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BB739" w14:textId="77777777" w:rsidR="009D7E6F" w:rsidRDefault="009D7E6F" w:rsidP="00C17F02">
      <w:pPr>
        <w:spacing w:before="0" w:after="0"/>
        <w:jc w:val="center"/>
        <w:rPr>
          <w:rFonts w:cs="Arial"/>
          <w:sz w:val="28"/>
          <w:szCs w:val="28"/>
        </w:rPr>
      </w:pPr>
    </w:p>
    <w:p w14:paraId="7870E58A" w14:textId="77777777" w:rsidR="009D7E6F" w:rsidRDefault="009D7E6F" w:rsidP="00C17F02">
      <w:pPr>
        <w:spacing w:before="0" w:after="0"/>
        <w:jc w:val="center"/>
        <w:rPr>
          <w:rFonts w:cs="Arial"/>
          <w:sz w:val="28"/>
          <w:szCs w:val="28"/>
        </w:rPr>
      </w:pPr>
    </w:p>
    <w:p w14:paraId="1E22C543" w14:textId="77777777" w:rsidR="009D7E6F" w:rsidRDefault="009D7E6F" w:rsidP="00C17F02">
      <w:pPr>
        <w:spacing w:before="0" w:after="0"/>
        <w:jc w:val="center"/>
        <w:rPr>
          <w:rFonts w:cs="Arial"/>
          <w:b/>
          <w:sz w:val="32"/>
          <w:szCs w:val="32"/>
        </w:rPr>
      </w:pPr>
    </w:p>
    <w:p w14:paraId="36F664FF" w14:textId="77777777" w:rsidR="009D7E6F" w:rsidRDefault="009D7E6F" w:rsidP="00C17F02">
      <w:pPr>
        <w:spacing w:before="0" w:after="0"/>
        <w:jc w:val="center"/>
        <w:rPr>
          <w:rFonts w:cs="Arial"/>
          <w:b/>
          <w:sz w:val="32"/>
          <w:szCs w:val="32"/>
        </w:rPr>
      </w:pPr>
    </w:p>
    <w:p w14:paraId="258D5352" w14:textId="77777777" w:rsidR="009D7E6F" w:rsidRDefault="009D7E6F" w:rsidP="00C17F02">
      <w:pPr>
        <w:spacing w:before="0" w:after="0"/>
        <w:jc w:val="center"/>
        <w:rPr>
          <w:rFonts w:cs="Arial"/>
          <w:b/>
          <w:sz w:val="32"/>
          <w:szCs w:val="32"/>
        </w:rPr>
      </w:pPr>
    </w:p>
    <w:p w14:paraId="39C22B9C" w14:textId="77777777" w:rsidR="009D7E6F" w:rsidRDefault="009D7E6F" w:rsidP="00C17F02">
      <w:pPr>
        <w:spacing w:before="0" w:after="0"/>
        <w:jc w:val="center"/>
        <w:rPr>
          <w:rFonts w:cs="Arial"/>
          <w:b/>
          <w:sz w:val="32"/>
          <w:szCs w:val="32"/>
        </w:rPr>
      </w:pPr>
    </w:p>
    <w:p w14:paraId="690FC9B3" w14:textId="77777777" w:rsidR="009D7E6F" w:rsidRDefault="009D7E6F" w:rsidP="00C17F02">
      <w:pPr>
        <w:spacing w:before="0" w:after="0"/>
        <w:jc w:val="center"/>
        <w:rPr>
          <w:rFonts w:cs="Arial"/>
          <w:b/>
          <w:sz w:val="32"/>
          <w:szCs w:val="32"/>
        </w:rPr>
      </w:pPr>
    </w:p>
    <w:p w14:paraId="1DB9C38D" w14:textId="77777777" w:rsidR="009D7E6F" w:rsidRDefault="009D7E6F" w:rsidP="00C17F02">
      <w:pPr>
        <w:spacing w:before="0" w:after="0"/>
        <w:jc w:val="center"/>
        <w:rPr>
          <w:rFonts w:cs="Arial"/>
          <w:b/>
          <w:sz w:val="32"/>
          <w:szCs w:val="32"/>
        </w:rPr>
      </w:pPr>
    </w:p>
    <w:p w14:paraId="295671D7" w14:textId="77777777" w:rsidR="00B40D78" w:rsidRDefault="00B40D78" w:rsidP="00B40D78">
      <w:pPr>
        <w:spacing w:before="0" w:after="0"/>
        <w:ind w:right="260"/>
        <w:jc w:val="right"/>
        <w:outlineLvl w:val="0"/>
        <w:rPr>
          <w:rFonts w:cs="Arial"/>
          <w:b/>
          <w:sz w:val="28"/>
          <w:szCs w:val="28"/>
        </w:rPr>
      </w:pPr>
      <w:bookmarkStart w:id="0" w:name="_Toc280342196"/>
      <w:bookmarkStart w:id="1" w:name="_Toc280342907"/>
      <w:bookmarkStart w:id="2" w:name="_Toc282418356"/>
      <w:bookmarkStart w:id="3" w:name="_Toc286132303"/>
    </w:p>
    <w:p w14:paraId="651AA07B" w14:textId="77777777" w:rsidR="00B40D78" w:rsidRDefault="00B40D78" w:rsidP="00B40D78">
      <w:pPr>
        <w:spacing w:before="0" w:after="0"/>
        <w:ind w:right="260"/>
        <w:jc w:val="right"/>
        <w:outlineLvl w:val="0"/>
        <w:rPr>
          <w:rFonts w:cs="Arial"/>
          <w:b/>
          <w:sz w:val="48"/>
          <w:szCs w:val="48"/>
        </w:rPr>
      </w:pPr>
    </w:p>
    <w:p w14:paraId="745A161A" w14:textId="498B7F4D" w:rsidR="00B40D78" w:rsidRPr="00B40D78" w:rsidRDefault="009D7E6F" w:rsidP="00B40D78">
      <w:pPr>
        <w:spacing w:before="0" w:after="0"/>
        <w:ind w:right="260"/>
        <w:jc w:val="right"/>
        <w:outlineLvl w:val="0"/>
        <w:rPr>
          <w:rFonts w:cs="Arial"/>
          <w:b/>
          <w:sz w:val="48"/>
          <w:szCs w:val="48"/>
        </w:rPr>
      </w:pPr>
      <w:r w:rsidRPr="00B40D78">
        <w:rPr>
          <w:rFonts w:cs="Arial"/>
          <w:b/>
          <w:sz w:val="48"/>
          <w:szCs w:val="48"/>
        </w:rPr>
        <w:t>Independent Progress Review</w:t>
      </w:r>
      <w:bookmarkEnd w:id="0"/>
      <w:bookmarkEnd w:id="1"/>
      <w:bookmarkEnd w:id="2"/>
      <w:bookmarkEnd w:id="3"/>
    </w:p>
    <w:p w14:paraId="30579F36" w14:textId="77777777" w:rsidR="009D7E6F" w:rsidRPr="00B40D78" w:rsidRDefault="000C672E" w:rsidP="00B40D78">
      <w:pPr>
        <w:spacing w:before="0" w:after="0"/>
        <w:ind w:right="260"/>
        <w:jc w:val="right"/>
        <w:rPr>
          <w:rFonts w:cs="Arial"/>
          <w:sz w:val="48"/>
          <w:szCs w:val="48"/>
        </w:rPr>
      </w:pPr>
      <w:r w:rsidRPr="00B40D78">
        <w:rPr>
          <w:rFonts w:cs="Arial"/>
          <w:b/>
          <w:sz w:val="48"/>
          <w:szCs w:val="48"/>
        </w:rPr>
        <w:t>Tonga TVET Support Program 1</w:t>
      </w:r>
    </w:p>
    <w:p w14:paraId="7D85D939" w14:textId="77777777" w:rsidR="00393F44" w:rsidRDefault="00393F44" w:rsidP="00B40D78">
      <w:pPr>
        <w:spacing w:before="0" w:after="0"/>
        <w:rPr>
          <w:rFonts w:cs="Arial"/>
          <w:sz w:val="28"/>
          <w:szCs w:val="28"/>
        </w:rPr>
      </w:pPr>
    </w:p>
    <w:p w14:paraId="12EB5220" w14:textId="4FEE512F" w:rsidR="009D7E6F" w:rsidRPr="00B40D78" w:rsidRDefault="005868ED" w:rsidP="00B40D78">
      <w:pPr>
        <w:spacing w:before="0" w:after="0"/>
        <w:ind w:right="260"/>
        <w:jc w:val="right"/>
        <w:rPr>
          <w:rFonts w:cs="Arial"/>
          <w:b/>
          <w:sz w:val="32"/>
          <w:szCs w:val="32"/>
        </w:rPr>
      </w:pPr>
      <w:r>
        <w:rPr>
          <w:rFonts w:cs="Arial"/>
          <w:b/>
          <w:sz w:val="32"/>
          <w:szCs w:val="32"/>
        </w:rPr>
        <w:t>July</w:t>
      </w:r>
      <w:r w:rsidR="000C672E" w:rsidRPr="00B40D78">
        <w:rPr>
          <w:rFonts w:cs="Arial"/>
          <w:b/>
          <w:sz w:val="32"/>
          <w:szCs w:val="32"/>
        </w:rPr>
        <w:t xml:space="preserve"> 2012</w:t>
      </w:r>
    </w:p>
    <w:p w14:paraId="68BA572F" w14:textId="77777777" w:rsidR="006B407C" w:rsidRDefault="006B407C" w:rsidP="00C17F02">
      <w:pPr>
        <w:spacing w:before="0" w:after="0"/>
        <w:jc w:val="center"/>
        <w:rPr>
          <w:rFonts w:cs="Arial"/>
          <w:sz w:val="28"/>
          <w:szCs w:val="28"/>
        </w:rPr>
      </w:pPr>
    </w:p>
    <w:p w14:paraId="5865EE66" w14:textId="77777777" w:rsidR="00B40D78" w:rsidRDefault="00B40D78" w:rsidP="00C17F02">
      <w:pPr>
        <w:spacing w:before="0" w:after="0"/>
        <w:jc w:val="center"/>
        <w:rPr>
          <w:rFonts w:cs="Arial"/>
          <w:sz w:val="28"/>
          <w:szCs w:val="28"/>
        </w:rPr>
      </w:pPr>
    </w:p>
    <w:p w14:paraId="5EDD7C15" w14:textId="64E508F9" w:rsidR="00B40D78" w:rsidRDefault="00B40D78" w:rsidP="00C17F02">
      <w:pPr>
        <w:spacing w:before="0" w:after="0"/>
        <w:jc w:val="center"/>
        <w:rPr>
          <w:rFonts w:cs="Arial"/>
          <w:sz w:val="28"/>
          <w:szCs w:val="28"/>
        </w:rPr>
      </w:pPr>
    </w:p>
    <w:p w14:paraId="71EE1BA6" w14:textId="77777777" w:rsidR="00B40D78" w:rsidRDefault="00B40D78" w:rsidP="00C17F02">
      <w:pPr>
        <w:spacing w:before="0" w:after="0"/>
        <w:jc w:val="center"/>
        <w:rPr>
          <w:rFonts w:cs="Arial"/>
          <w:sz w:val="28"/>
          <w:szCs w:val="28"/>
        </w:rPr>
      </w:pPr>
    </w:p>
    <w:p w14:paraId="56A7B055" w14:textId="177E7BB6" w:rsidR="00B40D78" w:rsidRDefault="00B40D78" w:rsidP="00C17F02">
      <w:pPr>
        <w:spacing w:before="0" w:after="0"/>
        <w:jc w:val="center"/>
        <w:rPr>
          <w:rFonts w:cs="Arial"/>
          <w:sz w:val="28"/>
          <w:szCs w:val="28"/>
        </w:rPr>
      </w:pPr>
    </w:p>
    <w:p w14:paraId="4FAFA3CE" w14:textId="77777777" w:rsidR="006B407C" w:rsidRDefault="006B407C" w:rsidP="00C17F02">
      <w:pPr>
        <w:pStyle w:val="Heading1"/>
        <w:spacing w:before="0" w:after="0"/>
        <w:rPr>
          <w:lang w:val="en-GB"/>
        </w:rPr>
        <w:sectPr w:rsidR="006B407C" w:rsidSect="00593009">
          <w:headerReference w:type="even" r:id="rId12"/>
          <w:headerReference w:type="default" r:id="rId13"/>
          <w:footerReference w:type="even" r:id="rId14"/>
          <w:pgSz w:w="11906" w:h="16838" w:code="9"/>
          <w:pgMar w:top="1440" w:right="1440" w:bottom="1440" w:left="1701" w:header="709" w:footer="709" w:gutter="0"/>
          <w:pgNumType w:fmt="lowerRoman"/>
          <w:cols w:space="708"/>
          <w:docGrid w:linePitch="360"/>
        </w:sectPr>
      </w:pPr>
    </w:p>
    <w:p w14:paraId="2E377BB5" w14:textId="77777777" w:rsidR="00821EF4" w:rsidRDefault="00821EF4" w:rsidP="00DA10C9">
      <w:pPr>
        <w:pStyle w:val="Heading1"/>
        <w:rPr>
          <w:lang w:val="en-GB"/>
        </w:rPr>
        <w:sectPr w:rsidR="00821EF4" w:rsidSect="00593009">
          <w:headerReference w:type="even" r:id="rId15"/>
          <w:headerReference w:type="default" r:id="rId16"/>
          <w:footerReference w:type="default" r:id="rId17"/>
          <w:headerReference w:type="first" r:id="rId18"/>
          <w:footerReference w:type="first" r:id="rId19"/>
          <w:pgSz w:w="11906" w:h="16838" w:code="9"/>
          <w:pgMar w:top="1440" w:right="1440" w:bottom="1440" w:left="1701" w:header="709" w:footer="709" w:gutter="0"/>
          <w:pgNumType w:fmt="lowerRoman" w:start="1"/>
          <w:cols w:space="708"/>
          <w:docGrid w:linePitch="360"/>
        </w:sectPr>
      </w:pPr>
    </w:p>
    <w:p w14:paraId="202BE7BC" w14:textId="2E3B2642" w:rsidR="009D7E6F" w:rsidRDefault="009D7E6F" w:rsidP="00DA10C9">
      <w:pPr>
        <w:pStyle w:val="Heading1"/>
        <w:rPr>
          <w:lang w:val="en-GB"/>
        </w:rPr>
      </w:pPr>
      <w:bookmarkStart w:id="4" w:name="_Toc203996776"/>
      <w:r w:rsidRPr="00010AA3">
        <w:rPr>
          <w:lang w:val="en-GB"/>
        </w:rPr>
        <w:lastRenderedPageBreak/>
        <w:t>Aid Activity Summary</w:t>
      </w:r>
      <w:bookmarkEnd w:id="4"/>
    </w:p>
    <w:p w14:paraId="4F65DF3A" w14:textId="77777777" w:rsidR="009D7E6F" w:rsidRPr="00010AA3" w:rsidRDefault="009D7E6F" w:rsidP="00C17F02">
      <w:pPr>
        <w:spacing w:before="0" w:after="0"/>
        <w:rPr>
          <w:rFonts w:cs="Arial"/>
          <w:b/>
          <w:bCs/>
          <w:lang w:val="en-GB"/>
        </w:rPr>
      </w:pPr>
    </w:p>
    <w:tbl>
      <w:tblPr>
        <w:tblStyle w:val="TableGrid"/>
        <w:tblW w:w="0" w:type="auto"/>
        <w:tblLook w:val="01E0" w:firstRow="1" w:lastRow="1" w:firstColumn="1" w:lastColumn="1" w:noHBand="0" w:noVBand="0"/>
      </w:tblPr>
      <w:tblGrid>
        <w:gridCol w:w="2376"/>
        <w:gridCol w:w="1906"/>
        <w:gridCol w:w="1687"/>
        <w:gridCol w:w="3012"/>
      </w:tblGrid>
      <w:tr w:rsidR="009D7E6F" w:rsidRPr="00010AA3" w14:paraId="572868D2" w14:textId="77777777" w:rsidTr="00355FC5">
        <w:tc>
          <w:tcPr>
            <w:tcW w:w="2376" w:type="dxa"/>
          </w:tcPr>
          <w:p w14:paraId="12319C4C" w14:textId="77777777" w:rsidR="009D7E6F" w:rsidRPr="004D50EC" w:rsidRDefault="009D7E6F" w:rsidP="004D50EC">
            <w:pPr>
              <w:jc w:val="left"/>
              <w:rPr>
                <w:rFonts w:cs="Arial"/>
                <w:b/>
                <w:szCs w:val="20"/>
                <w:lang w:val="en-US"/>
              </w:rPr>
            </w:pPr>
            <w:r w:rsidRPr="004D50EC">
              <w:rPr>
                <w:rFonts w:cs="Arial"/>
                <w:b/>
                <w:szCs w:val="20"/>
                <w:lang w:val="en-US"/>
              </w:rPr>
              <w:t>Aid Activity Name</w:t>
            </w:r>
          </w:p>
        </w:tc>
        <w:tc>
          <w:tcPr>
            <w:tcW w:w="6605" w:type="dxa"/>
            <w:gridSpan w:val="3"/>
          </w:tcPr>
          <w:p w14:paraId="1445DC7D" w14:textId="77777777" w:rsidR="009D7E6F" w:rsidRPr="004D50EC" w:rsidRDefault="005576E5" w:rsidP="004D50EC">
            <w:pPr>
              <w:jc w:val="left"/>
              <w:rPr>
                <w:rFonts w:cs="Arial"/>
                <w:b/>
                <w:szCs w:val="20"/>
                <w:lang w:val="en-US"/>
              </w:rPr>
            </w:pPr>
            <w:r w:rsidRPr="004D50EC">
              <w:rPr>
                <w:rFonts w:cs="Arial"/>
                <w:b/>
                <w:szCs w:val="20"/>
                <w:lang w:val="en-US"/>
              </w:rPr>
              <w:t>Tonga TVET Support Program Phase 1 (TSP 1)</w:t>
            </w:r>
          </w:p>
        </w:tc>
      </w:tr>
      <w:tr w:rsidR="009D7E6F" w:rsidRPr="00010AA3" w14:paraId="03839FC1" w14:textId="77777777" w:rsidTr="00355FC5">
        <w:tc>
          <w:tcPr>
            <w:tcW w:w="2376" w:type="dxa"/>
          </w:tcPr>
          <w:p w14:paraId="444A3015" w14:textId="77777777" w:rsidR="009D7E6F" w:rsidRPr="004D50EC" w:rsidRDefault="009D7E6F" w:rsidP="004D50EC">
            <w:pPr>
              <w:jc w:val="left"/>
              <w:rPr>
                <w:rFonts w:cs="Arial"/>
                <w:b/>
                <w:szCs w:val="20"/>
                <w:lang w:val="en-US"/>
              </w:rPr>
            </w:pPr>
            <w:proofErr w:type="spellStart"/>
            <w:r w:rsidRPr="004D50EC">
              <w:rPr>
                <w:rFonts w:cs="Arial"/>
                <w:b/>
                <w:szCs w:val="20"/>
                <w:lang w:val="en-US"/>
              </w:rPr>
              <w:t>AidWorks</w:t>
            </w:r>
            <w:proofErr w:type="spellEnd"/>
            <w:r w:rsidRPr="004D50EC">
              <w:rPr>
                <w:rFonts w:cs="Arial"/>
                <w:b/>
                <w:szCs w:val="20"/>
                <w:lang w:val="en-US"/>
              </w:rPr>
              <w:t xml:space="preserve"> initiative number</w:t>
            </w:r>
          </w:p>
        </w:tc>
        <w:tc>
          <w:tcPr>
            <w:tcW w:w="6605" w:type="dxa"/>
            <w:gridSpan w:val="3"/>
          </w:tcPr>
          <w:p w14:paraId="6D236FC4" w14:textId="77777777" w:rsidR="009D7E6F" w:rsidRPr="004D50EC" w:rsidRDefault="009D7E6F" w:rsidP="004D50EC">
            <w:pPr>
              <w:jc w:val="left"/>
              <w:rPr>
                <w:rFonts w:cs="Arial"/>
                <w:b/>
                <w:szCs w:val="20"/>
                <w:lang w:val="en-US"/>
              </w:rPr>
            </w:pPr>
          </w:p>
        </w:tc>
      </w:tr>
      <w:tr w:rsidR="009D7E6F" w:rsidRPr="00010AA3" w14:paraId="7E53EE19" w14:textId="77777777" w:rsidTr="00355FC5">
        <w:tc>
          <w:tcPr>
            <w:tcW w:w="2376" w:type="dxa"/>
          </w:tcPr>
          <w:p w14:paraId="6B9451CE" w14:textId="77777777" w:rsidR="009D7E6F" w:rsidRPr="004D50EC" w:rsidRDefault="009D7E6F" w:rsidP="004D50EC">
            <w:pPr>
              <w:jc w:val="left"/>
              <w:rPr>
                <w:rFonts w:cs="Arial"/>
                <w:b/>
                <w:szCs w:val="20"/>
                <w:lang w:val="en-US"/>
              </w:rPr>
            </w:pPr>
            <w:r w:rsidRPr="004D50EC">
              <w:rPr>
                <w:rFonts w:cs="Arial"/>
                <w:b/>
                <w:szCs w:val="20"/>
                <w:lang w:val="en-US"/>
              </w:rPr>
              <w:t>Commencement date</w:t>
            </w:r>
          </w:p>
        </w:tc>
        <w:tc>
          <w:tcPr>
            <w:tcW w:w="1906" w:type="dxa"/>
          </w:tcPr>
          <w:p w14:paraId="3413297F" w14:textId="7978C902" w:rsidR="009D7E6F" w:rsidRPr="004D50EC" w:rsidRDefault="00F71D26" w:rsidP="004D50EC">
            <w:pPr>
              <w:jc w:val="left"/>
              <w:rPr>
                <w:rFonts w:cs="Arial"/>
                <w:b/>
                <w:szCs w:val="20"/>
                <w:lang w:val="en-US"/>
              </w:rPr>
            </w:pPr>
            <w:r>
              <w:rPr>
                <w:rFonts w:cs="Arial"/>
                <w:b/>
                <w:szCs w:val="20"/>
                <w:lang w:val="en-US"/>
              </w:rPr>
              <w:t>May</w:t>
            </w:r>
            <w:r w:rsidR="005576E5" w:rsidRPr="004D50EC">
              <w:rPr>
                <w:rFonts w:cs="Arial"/>
                <w:b/>
                <w:szCs w:val="20"/>
                <w:lang w:val="en-US"/>
              </w:rPr>
              <w:t xml:space="preserve"> 2010</w:t>
            </w:r>
          </w:p>
        </w:tc>
        <w:tc>
          <w:tcPr>
            <w:tcW w:w="1687" w:type="dxa"/>
          </w:tcPr>
          <w:p w14:paraId="5E2BC912" w14:textId="77777777" w:rsidR="009D7E6F" w:rsidRPr="004D50EC" w:rsidRDefault="009D7E6F" w:rsidP="004D50EC">
            <w:pPr>
              <w:jc w:val="left"/>
              <w:rPr>
                <w:rFonts w:cs="Arial"/>
                <w:b/>
                <w:szCs w:val="20"/>
                <w:lang w:val="en-US"/>
              </w:rPr>
            </w:pPr>
            <w:r w:rsidRPr="004D50EC">
              <w:rPr>
                <w:rFonts w:cs="Arial"/>
                <w:b/>
                <w:szCs w:val="20"/>
                <w:lang w:val="en-US"/>
              </w:rPr>
              <w:t>Completion date</w:t>
            </w:r>
          </w:p>
        </w:tc>
        <w:tc>
          <w:tcPr>
            <w:tcW w:w="3012" w:type="dxa"/>
          </w:tcPr>
          <w:p w14:paraId="50CDB2DF" w14:textId="77777777" w:rsidR="009D7E6F" w:rsidRPr="004D50EC" w:rsidRDefault="005576E5" w:rsidP="004D50EC">
            <w:pPr>
              <w:jc w:val="left"/>
              <w:rPr>
                <w:rFonts w:cs="Arial"/>
                <w:b/>
                <w:szCs w:val="20"/>
                <w:lang w:val="en-US"/>
              </w:rPr>
            </w:pPr>
            <w:r w:rsidRPr="004D50EC">
              <w:rPr>
                <w:rFonts w:cs="Arial"/>
                <w:b/>
                <w:szCs w:val="20"/>
                <w:lang w:val="en-US"/>
              </w:rPr>
              <w:t>June 2014</w:t>
            </w:r>
          </w:p>
        </w:tc>
      </w:tr>
      <w:tr w:rsidR="009D7E6F" w:rsidRPr="00010AA3" w14:paraId="551E13E7" w14:textId="77777777" w:rsidTr="00355FC5">
        <w:tc>
          <w:tcPr>
            <w:tcW w:w="2376" w:type="dxa"/>
          </w:tcPr>
          <w:p w14:paraId="74E23428" w14:textId="77777777" w:rsidR="009D7E6F" w:rsidRPr="004D50EC" w:rsidRDefault="009D7E6F" w:rsidP="004D50EC">
            <w:pPr>
              <w:jc w:val="left"/>
              <w:rPr>
                <w:rFonts w:cs="Arial"/>
                <w:b/>
                <w:szCs w:val="20"/>
                <w:lang w:val="en-US"/>
              </w:rPr>
            </w:pPr>
            <w:r w:rsidRPr="004D50EC">
              <w:rPr>
                <w:rFonts w:cs="Arial"/>
                <w:b/>
                <w:szCs w:val="20"/>
                <w:lang w:val="en-US"/>
              </w:rPr>
              <w:t>Total Australian $</w:t>
            </w:r>
          </w:p>
        </w:tc>
        <w:tc>
          <w:tcPr>
            <w:tcW w:w="6605" w:type="dxa"/>
            <w:gridSpan w:val="3"/>
          </w:tcPr>
          <w:p w14:paraId="24F7E522" w14:textId="03BB63E7" w:rsidR="009D7E6F" w:rsidRPr="004D50EC" w:rsidRDefault="00627B99" w:rsidP="004D50EC">
            <w:pPr>
              <w:jc w:val="left"/>
              <w:rPr>
                <w:rFonts w:cs="Arial"/>
                <w:b/>
                <w:szCs w:val="20"/>
                <w:lang w:val="en-US"/>
              </w:rPr>
            </w:pPr>
            <w:r w:rsidRPr="004D50EC">
              <w:rPr>
                <w:rFonts w:cs="Arial"/>
                <w:b/>
                <w:szCs w:val="20"/>
                <w:lang w:val="en-US"/>
              </w:rPr>
              <w:t>$3.7</w:t>
            </w:r>
            <w:r w:rsidR="00F71D26">
              <w:rPr>
                <w:rFonts w:cs="Arial"/>
                <w:b/>
                <w:szCs w:val="20"/>
                <w:lang w:val="en-US"/>
              </w:rPr>
              <w:t>1</w:t>
            </w:r>
            <w:r w:rsidRPr="004D50EC">
              <w:rPr>
                <w:rFonts w:cs="Arial"/>
                <w:b/>
                <w:szCs w:val="20"/>
                <w:lang w:val="en-US"/>
              </w:rPr>
              <w:t xml:space="preserve"> million</w:t>
            </w:r>
          </w:p>
        </w:tc>
      </w:tr>
      <w:tr w:rsidR="009D7E6F" w:rsidRPr="00010AA3" w14:paraId="37D54A45" w14:textId="77777777" w:rsidTr="00355FC5">
        <w:tc>
          <w:tcPr>
            <w:tcW w:w="2376" w:type="dxa"/>
          </w:tcPr>
          <w:p w14:paraId="7DEE7ADA" w14:textId="77777777" w:rsidR="009D7E6F" w:rsidRPr="004D50EC" w:rsidRDefault="009D7E6F" w:rsidP="004D50EC">
            <w:pPr>
              <w:jc w:val="left"/>
              <w:rPr>
                <w:rFonts w:cs="Arial"/>
                <w:b/>
                <w:szCs w:val="20"/>
                <w:lang w:val="en-US"/>
              </w:rPr>
            </w:pPr>
            <w:r w:rsidRPr="004D50EC">
              <w:rPr>
                <w:rFonts w:cs="Arial"/>
                <w:b/>
                <w:szCs w:val="20"/>
                <w:lang w:val="en-US"/>
              </w:rPr>
              <w:t xml:space="preserve">Total </w:t>
            </w:r>
            <w:r w:rsidR="000C672E" w:rsidRPr="004D50EC">
              <w:rPr>
                <w:rFonts w:cs="Arial"/>
                <w:b/>
                <w:szCs w:val="20"/>
                <w:lang w:val="en-US"/>
              </w:rPr>
              <w:t>New Zealand</w:t>
            </w:r>
            <w:r w:rsidRPr="004D50EC">
              <w:rPr>
                <w:rFonts w:cs="Arial"/>
                <w:b/>
                <w:szCs w:val="20"/>
                <w:lang w:val="en-US"/>
              </w:rPr>
              <w:t xml:space="preserve"> $</w:t>
            </w:r>
          </w:p>
        </w:tc>
        <w:tc>
          <w:tcPr>
            <w:tcW w:w="6605" w:type="dxa"/>
            <w:gridSpan w:val="3"/>
          </w:tcPr>
          <w:p w14:paraId="40EBF9A7" w14:textId="46F4380F" w:rsidR="009D7E6F" w:rsidRPr="004D50EC" w:rsidRDefault="00627B99" w:rsidP="004D50EC">
            <w:pPr>
              <w:jc w:val="left"/>
              <w:rPr>
                <w:rFonts w:cs="Arial"/>
                <w:b/>
                <w:szCs w:val="20"/>
                <w:lang w:val="en-US"/>
              </w:rPr>
            </w:pPr>
            <w:r w:rsidRPr="004D50EC">
              <w:rPr>
                <w:rFonts w:cs="Arial"/>
                <w:b/>
                <w:szCs w:val="20"/>
                <w:lang w:val="en-US"/>
              </w:rPr>
              <w:t>$3.7</w:t>
            </w:r>
            <w:r w:rsidR="00F71D26">
              <w:rPr>
                <w:rFonts w:cs="Arial"/>
                <w:b/>
                <w:szCs w:val="20"/>
                <w:lang w:val="en-US"/>
              </w:rPr>
              <w:t>1</w:t>
            </w:r>
            <w:r w:rsidRPr="004D50EC">
              <w:rPr>
                <w:rFonts w:cs="Arial"/>
                <w:b/>
                <w:szCs w:val="20"/>
                <w:lang w:val="en-US"/>
              </w:rPr>
              <w:t xml:space="preserve"> million</w:t>
            </w:r>
          </w:p>
        </w:tc>
      </w:tr>
      <w:tr w:rsidR="00627B99" w:rsidRPr="00010AA3" w14:paraId="3B9478BA" w14:textId="77777777" w:rsidTr="00355FC5">
        <w:tc>
          <w:tcPr>
            <w:tcW w:w="2376" w:type="dxa"/>
          </w:tcPr>
          <w:p w14:paraId="0C8F014D" w14:textId="77777777" w:rsidR="00627B99" w:rsidRPr="004D50EC" w:rsidRDefault="00627B99" w:rsidP="004D50EC">
            <w:pPr>
              <w:jc w:val="left"/>
              <w:rPr>
                <w:rFonts w:cs="Arial"/>
                <w:b/>
                <w:szCs w:val="20"/>
                <w:lang w:val="en-US"/>
              </w:rPr>
            </w:pPr>
            <w:r w:rsidRPr="004D50EC">
              <w:rPr>
                <w:rFonts w:cs="Arial"/>
                <w:b/>
                <w:szCs w:val="20"/>
                <w:lang w:val="en-US"/>
              </w:rPr>
              <w:t>Implementing Partner</w:t>
            </w:r>
          </w:p>
        </w:tc>
        <w:tc>
          <w:tcPr>
            <w:tcW w:w="6605" w:type="dxa"/>
            <w:gridSpan w:val="3"/>
          </w:tcPr>
          <w:p w14:paraId="65319E58" w14:textId="77777777" w:rsidR="00627B99" w:rsidRPr="004D50EC" w:rsidRDefault="00627B99" w:rsidP="004D50EC">
            <w:pPr>
              <w:jc w:val="left"/>
              <w:rPr>
                <w:rFonts w:cs="Arial"/>
                <w:b/>
                <w:szCs w:val="20"/>
                <w:lang w:val="en-US"/>
              </w:rPr>
            </w:pPr>
            <w:r w:rsidRPr="004D50EC">
              <w:rPr>
                <w:rFonts w:cs="Arial"/>
                <w:b/>
                <w:szCs w:val="20"/>
                <w:lang w:val="en-US"/>
              </w:rPr>
              <w:t xml:space="preserve">Ministry of Training, Employment, Youth and Sports (MOTEYS) </w:t>
            </w:r>
          </w:p>
        </w:tc>
      </w:tr>
      <w:tr w:rsidR="009D7E6F" w:rsidRPr="00010AA3" w14:paraId="5B836AC5" w14:textId="77777777" w:rsidTr="00355FC5">
        <w:tc>
          <w:tcPr>
            <w:tcW w:w="2376" w:type="dxa"/>
          </w:tcPr>
          <w:p w14:paraId="49E83A7B" w14:textId="77777777" w:rsidR="009D7E6F" w:rsidRPr="004D50EC" w:rsidRDefault="00627B99" w:rsidP="004D50EC">
            <w:pPr>
              <w:jc w:val="left"/>
              <w:rPr>
                <w:rFonts w:cs="Arial"/>
                <w:b/>
                <w:szCs w:val="20"/>
                <w:lang w:val="en-US"/>
              </w:rPr>
            </w:pPr>
            <w:r w:rsidRPr="004D50EC">
              <w:rPr>
                <w:rFonts w:cs="Arial"/>
                <w:b/>
                <w:szCs w:val="20"/>
                <w:lang w:val="en-US"/>
              </w:rPr>
              <w:t xml:space="preserve">Delivery </w:t>
            </w:r>
            <w:proofErr w:type="spellStart"/>
            <w:r w:rsidRPr="004D50EC">
              <w:rPr>
                <w:rFonts w:cs="Arial"/>
                <w:b/>
                <w:szCs w:val="20"/>
                <w:lang w:val="en-US"/>
              </w:rPr>
              <w:t>organisation</w:t>
            </w:r>
            <w:proofErr w:type="spellEnd"/>
          </w:p>
        </w:tc>
        <w:tc>
          <w:tcPr>
            <w:tcW w:w="6605" w:type="dxa"/>
            <w:gridSpan w:val="3"/>
          </w:tcPr>
          <w:p w14:paraId="6D186263" w14:textId="77777777" w:rsidR="009D7E6F" w:rsidRPr="004D50EC" w:rsidRDefault="00627B99" w:rsidP="004D50EC">
            <w:pPr>
              <w:jc w:val="left"/>
              <w:rPr>
                <w:rFonts w:cs="Arial"/>
                <w:b/>
                <w:szCs w:val="20"/>
                <w:lang w:val="en-US"/>
              </w:rPr>
            </w:pPr>
            <w:r w:rsidRPr="004D50EC">
              <w:rPr>
                <w:rFonts w:cs="Arial"/>
                <w:b/>
                <w:szCs w:val="20"/>
                <w:lang w:val="en-US"/>
              </w:rPr>
              <w:t>TSP Office, MOTEYS</w:t>
            </w:r>
          </w:p>
        </w:tc>
      </w:tr>
      <w:tr w:rsidR="009D7E6F" w:rsidRPr="00010AA3" w14:paraId="47A0DFBB" w14:textId="77777777" w:rsidTr="00355FC5">
        <w:tc>
          <w:tcPr>
            <w:tcW w:w="2376" w:type="dxa"/>
          </w:tcPr>
          <w:p w14:paraId="5BA3FCAE" w14:textId="77777777" w:rsidR="009D7E6F" w:rsidRPr="004D50EC" w:rsidRDefault="009D7E6F" w:rsidP="004D50EC">
            <w:pPr>
              <w:jc w:val="left"/>
              <w:rPr>
                <w:rFonts w:cs="Arial"/>
                <w:b/>
                <w:szCs w:val="20"/>
                <w:lang w:val="en-US"/>
              </w:rPr>
            </w:pPr>
            <w:r w:rsidRPr="004D50EC">
              <w:rPr>
                <w:rFonts w:cs="Arial"/>
                <w:b/>
                <w:szCs w:val="20"/>
                <w:lang w:val="en-US"/>
              </w:rPr>
              <w:t>Country/Region</w:t>
            </w:r>
          </w:p>
        </w:tc>
        <w:tc>
          <w:tcPr>
            <w:tcW w:w="6605" w:type="dxa"/>
            <w:gridSpan w:val="3"/>
          </w:tcPr>
          <w:p w14:paraId="3D217561" w14:textId="77777777" w:rsidR="009D7E6F" w:rsidRPr="004D50EC" w:rsidRDefault="000C672E" w:rsidP="004D50EC">
            <w:pPr>
              <w:jc w:val="left"/>
              <w:rPr>
                <w:rFonts w:cs="Arial"/>
                <w:b/>
                <w:szCs w:val="20"/>
                <w:lang w:val="en-US"/>
              </w:rPr>
            </w:pPr>
            <w:r w:rsidRPr="004D50EC">
              <w:rPr>
                <w:rFonts w:cs="Arial"/>
                <w:b/>
                <w:szCs w:val="20"/>
                <w:lang w:val="en-US"/>
              </w:rPr>
              <w:t>Tonga</w:t>
            </w:r>
          </w:p>
        </w:tc>
      </w:tr>
      <w:tr w:rsidR="009D7E6F" w:rsidRPr="00010AA3" w14:paraId="1BB3243C" w14:textId="77777777" w:rsidTr="00355FC5">
        <w:tc>
          <w:tcPr>
            <w:tcW w:w="2376" w:type="dxa"/>
          </w:tcPr>
          <w:p w14:paraId="01B3EC71" w14:textId="77777777" w:rsidR="009D7E6F" w:rsidRPr="004D50EC" w:rsidRDefault="009D7E6F" w:rsidP="004D50EC">
            <w:pPr>
              <w:jc w:val="left"/>
              <w:rPr>
                <w:rFonts w:cs="Arial"/>
                <w:b/>
                <w:szCs w:val="20"/>
                <w:lang w:val="en-US"/>
              </w:rPr>
            </w:pPr>
            <w:r w:rsidRPr="004D50EC">
              <w:rPr>
                <w:rFonts w:cs="Arial"/>
                <w:b/>
                <w:szCs w:val="20"/>
                <w:lang w:val="en-US"/>
              </w:rPr>
              <w:t>Primary Sector</w:t>
            </w:r>
          </w:p>
        </w:tc>
        <w:tc>
          <w:tcPr>
            <w:tcW w:w="6605" w:type="dxa"/>
            <w:gridSpan w:val="3"/>
          </w:tcPr>
          <w:p w14:paraId="6E8266EA" w14:textId="77777777" w:rsidR="009D7E6F" w:rsidRPr="004D50EC" w:rsidRDefault="000C672E" w:rsidP="004D50EC">
            <w:pPr>
              <w:jc w:val="left"/>
              <w:rPr>
                <w:rFonts w:cs="Arial"/>
                <w:b/>
                <w:szCs w:val="20"/>
                <w:lang w:val="en-US"/>
              </w:rPr>
            </w:pPr>
            <w:r w:rsidRPr="004D50EC">
              <w:rPr>
                <w:rFonts w:cs="Arial"/>
                <w:b/>
                <w:szCs w:val="20"/>
                <w:lang w:val="en-US"/>
              </w:rPr>
              <w:t>TVET</w:t>
            </w:r>
          </w:p>
        </w:tc>
      </w:tr>
    </w:tbl>
    <w:p w14:paraId="4281DAB4" w14:textId="77777777" w:rsidR="009D7E6F" w:rsidRPr="00010AA3" w:rsidRDefault="009D7E6F" w:rsidP="00C17F02">
      <w:pPr>
        <w:spacing w:before="0" w:after="0"/>
        <w:rPr>
          <w:rFonts w:cs="Arial"/>
          <w:lang w:val="en-GB"/>
        </w:rPr>
      </w:pPr>
    </w:p>
    <w:p w14:paraId="0AAFFB1E" w14:textId="77777777" w:rsidR="009D7E6F" w:rsidRDefault="009D7E6F" w:rsidP="00C17F02">
      <w:pPr>
        <w:spacing w:before="0" w:after="0"/>
        <w:rPr>
          <w:rFonts w:cs="Arial"/>
          <w:b/>
          <w:bCs/>
          <w:lang w:val="en-GB"/>
        </w:rPr>
      </w:pPr>
    </w:p>
    <w:p w14:paraId="1C416B91" w14:textId="77777777" w:rsidR="009D7E6F" w:rsidRDefault="008378C9" w:rsidP="00C17F02">
      <w:pPr>
        <w:pStyle w:val="Heading1"/>
        <w:spacing w:before="0" w:after="0"/>
        <w:rPr>
          <w:lang w:val="en-GB"/>
        </w:rPr>
      </w:pPr>
      <w:bookmarkStart w:id="5" w:name="_Toc280342913"/>
      <w:bookmarkStart w:id="6" w:name="_Toc203996777"/>
      <w:r>
        <w:rPr>
          <w:lang w:val="en-GB"/>
        </w:rPr>
        <w:t>Review team d</w:t>
      </w:r>
      <w:r w:rsidR="009D7E6F" w:rsidRPr="00010AA3">
        <w:rPr>
          <w:lang w:val="en-GB"/>
        </w:rPr>
        <w:t>etails</w:t>
      </w:r>
      <w:bookmarkEnd w:id="5"/>
      <w:bookmarkEnd w:id="6"/>
    </w:p>
    <w:p w14:paraId="14C85FF6" w14:textId="77777777" w:rsidR="008378C9" w:rsidRDefault="008378C9" w:rsidP="00C17F02">
      <w:pPr>
        <w:spacing w:before="0" w:after="0"/>
        <w:jc w:val="center"/>
        <w:rPr>
          <w:lang w:val="en-GB"/>
        </w:rPr>
      </w:pPr>
    </w:p>
    <w:p w14:paraId="66162261" w14:textId="77777777" w:rsidR="006A113D" w:rsidRPr="006A113D" w:rsidRDefault="006A113D" w:rsidP="00C17F02">
      <w:pPr>
        <w:spacing w:before="0" w:after="0"/>
        <w:rPr>
          <w:b/>
          <w:lang w:val="en-GB"/>
        </w:rPr>
      </w:pPr>
      <w:r>
        <w:rPr>
          <w:b/>
          <w:lang w:val="en-GB"/>
        </w:rPr>
        <w:t xml:space="preserve">Independent review team: </w:t>
      </w:r>
    </w:p>
    <w:p w14:paraId="7D84AAA5" w14:textId="77777777" w:rsidR="00355FC5" w:rsidRDefault="00355FC5" w:rsidP="00355FC5">
      <w:pPr>
        <w:numPr>
          <w:ilvl w:val="0"/>
          <w:numId w:val="3"/>
        </w:numPr>
        <w:spacing w:before="0" w:after="0"/>
        <w:rPr>
          <w:rFonts w:cs="Arial"/>
          <w:lang w:val="en-US"/>
        </w:rPr>
      </w:pPr>
      <w:r>
        <w:rPr>
          <w:rFonts w:cs="Arial"/>
          <w:lang w:val="en-US"/>
        </w:rPr>
        <w:t>Peter Morris – Team Leader</w:t>
      </w:r>
    </w:p>
    <w:p w14:paraId="38104DF5" w14:textId="1F0C7FB7" w:rsidR="00355FC5" w:rsidRDefault="00355FC5" w:rsidP="00355FC5">
      <w:pPr>
        <w:numPr>
          <w:ilvl w:val="0"/>
          <w:numId w:val="3"/>
        </w:numPr>
        <w:spacing w:before="0" w:after="0"/>
        <w:rPr>
          <w:lang w:val="en-GB"/>
        </w:rPr>
      </w:pPr>
      <w:r>
        <w:rPr>
          <w:lang w:val="en-GB"/>
        </w:rPr>
        <w:t xml:space="preserve">Ton </w:t>
      </w:r>
      <w:proofErr w:type="spellStart"/>
      <w:r>
        <w:rPr>
          <w:lang w:val="en-GB"/>
        </w:rPr>
        <w:t>Farla</w:t>
      </w:r>
      <w:proofErr w:type="spellEnd"/>
      <w:r>
        <w:rPr>
          <w:lang w:val="en-GB"/>
        </w:rPr>
        <w:t xml:space="preserve"> – TVET </w:t>
      </w:r>
      <w:r w:rsidR="00415837">
        <w:rPr>
          <w:lang w:val="en-GB"/>
        </w:rPr>
        <w:t>S</w:t>
      </w:r>
      <w:r>
        <w:rPr>
          <w:lang w:val="en-GB"/>
        </w:rPr>
        <w:t xml:space="preserve">pecialist </w:t>
      </w:r>
    </w:p>
    <w:p w14:paraId="7A31BE0C" w14:textId="6774CD3A" w:rsidR="008378C9" w:rsidRDefault="000C672E" w:rsidP="00794A6D">
      <w:pPr>
        <w:numPr>
          <w:ilvl w:val="0"/>
          <w:numId w:val="3"/>
        </w:numPr>
        <w:spacing w:before="0" w:after="0"/>
        <w:rPr>
          <w:lang w:val="en-GB"/>
        </w:rPr>
      </w:pPr>
      <w:proofErr w:type="spellStart"/>
      <w:r>
        <w:rPr>
          <w:lang w:val="en-GB"/>
        </w:rPr>
        <w:t>Oto</w:t>
      </w:r>
      <w:proofErr w:type="spellEnd"/>
      <w:r w:rsidR="00EC2295">
        <w:rPr>
          <w:lang w:val="en-GB"/>
        </w:rPr>
        <w:t xml:space="preserve"> </w:t>
      </w:r>
      <w:proofErr w:type="spellStart"/>
      <w:r>
        <w:rPr>
          <w:lang w:val="en-GB"/>
        </w:rPr>
        <w:t>Misi</w:t>
      </w:r>
      <w:proofErr w:type="spellEnd"/>
      <w:r w:rsidR="0095774D">
        <w:rPr>
          <w:lang w:val="en-GB"/>
        </w:rPr>
        <w:t xml:space="preserve"> – </w:t>
      </w:r>
      <w:r>
        <w:rPr>
          <w:lang w:val="en-GB"/>
        </w:rPr>
        <w:t>Government of Tonga representative</w:t>
      </w:r>
    </w:p>
    <w:p w14:paraId="073C7F80" w14:textId="77777777" w:rsidR="006A113D" w:rsidRDefault="006A113D" w:rsidP="00C17F02">
      <w:pPr>
        <w:spacing w:before="0" w:after="0"/>
      </w:pPr>
    </w:p>
    <w:p w14:paraId="36F411B7" w14:textId="77777777" w:rsidR="006A113D" w:rsidRPr="006A113D" w:rsidRDefault="006A113D" w:rsidP="00C17F02">
      <w:pPr>
        <w:spacing w:before="0" w:after="0"/>
        <w:rPr>
          <w:b/>
          <w:lang w:val="en-GB"/>
        </w:rPr>
      </w:pPr>
      <w:r>
        <w:rPr>
          <w:b/>
        </w:rPr>
        <w:t xml:space="preserve">AusAID: </w:t>
      </w:r>
    </w:p>
    <w:p w14:paraId="4C586682" w14:textId="77777777" w:rsidR="006A113D" w:rsidRDefault="000C672E" w:rsidP="00794A6D">
      <w:pPr>
        <w:numPr>
          <w:ilvl w:val="0"/>
          <w:numId w:val="4"/>
        </w:numPr>
        <w:spacing w:before="0" w:after="0"/>
        <w:rPr>
          <w:rFonts w:cs="Arial"/>
        </w:rPr>
      </w:pPr>
      <w:r>
        <w:rPr>
          <w:rFonts w:cs="Arial"/>
        </w:rPr>
        <w:t>Greta Cranston</w:t>
      </w:r>
      <w:r w:rsidR="006A113D">
        <w:rPr>
          <w:rFonts w:cs="Arial"/>
        </w:rPr>
        <w:t xml:space="preserve"> – </w:t>
      </w:r>
      <w:r>
        <w:rPr>
          <w:rFonts w:cs="Arial"/>
        </w:rPr>
        <w:t>First Secretary</w:t>
      </w:r>
    </w:p>
    <w:p w14:paraId="76615893" w14:textId="06F223FC" w:rsidR="000C672E" w:rsidRDefault="000C672E" w:rsidP="00794A6D">
      <w:pPr>
        <w:numPr>
          <w:ilvl w:val="0"/>
          <w:numId w:val="4"/>
        </w:numPr>
        <w:spacing w:before="0" w:after="0"/>
      </w:pPr>
      <w:proofErr w:type="spellStart"/>
      <w:r>
        <w:t>Telusa</w:t>
      </w:r>
      <w:proofErr w:type="spellEnd"/>
      <w:r w:rsidR="00EC2295">
        <w:t xml:space="preserve"> </w:t>
      </w:r>
      <w:proofErr w:type="spellStart"/>
      <w:r>
        <w:t>Fotu</w:t>
      </w:r>
      <w:proofErr w:type="spellEnd"/>
      <w:r w:rsidR="006A113D" w:rsidRPr="0095774D">
        <w:t>– Senior Program Manager</w:t>
      </w:r>
    </w:p>
    <w:p w14:paraId="0F8FE6F5" w14:textId="125B1BF8" w:rsidR="006A113D" w:rsidRDefault="000C672E" w:rsidP="00794A6D">
      <w:pPr>
        <w:numPr>
          <w:ilvl w:val="0"/>
          <w:numId w:val="4"/>
        </w:numPr>
        <w:spacing w:before="0" w:after="0"/>
      </w:pPr>
      <w:proofErr w:type="spellStart"/>
      <w:r>
        <w:t>Vika</w:t>
      </w:r>
      <w:proofErr w:type="spellEnd"/>
      <w:r w:rsidR="00EC2295">
        <w:t xml:space="preserve"> </w:t>
      </w:r>
      <w:proofErr w:type="spellStart"/>
      <w:r>
        <w:t>Lutui</w:t>
      </w:r>
      <w:proofErr w:type="spellEnd"/>
      <w:r w:rsidR="006A113D">
        <w:t xml:space="preserve"> – </w:t>
      </w:r>
      <w:r>
        <w:t>Program Manager</w:t>
      </w:r>
    </w:p>
    <w:p w14:paraId="1E9BF9AE" w14:textId="77777777" w:rsidR="006A113D" w:rsidRDefault="006A113D" w:rsidP="00C17F02">
      <w:pPr>
        <w:spacing w:before="0" w:after="0"/>
      </w:pPr>
    </w:p>
    <w:p w14:paraId="60C65649" w14:textId="77777777" w:rsidR="00670337" w:rsidRDefault="000C672E" w:rsidP="00C17F02">
      <w:pPr>
        <w:spacing w:before="0" w:after="0"/>
        <w:rPr>
          <w:b/>
        </w:rPr>
      </w:pPr>
      <w:r>
        <w:rPr>
          <w:b/>
        </w:rPr>
        <w:t>New Zealand (MFAT):</w:t>
      </w:r>
    </w:p>
    <w:p w14:paraId="33E912B3" w14:textId="77777777" w:rsidR="000C672E" w:rsidRDefault="000C672E" w:rsidP="00794A6D">
      <w:pPr>
        <w:numPr>
          <w:ilvl w:val="0"/>
          <w:numId w:val="4"/>
        </w:numPr>
        <w:spacing w:before="0" w:after="0"/>
      </w:pPr>
      <w:r>
        <w:t>Peter S</w:t>
      </w:r>
      <w:r w:rsidRPr="000C672E">
        <w:t>hackleton</w:t>
      </w:r>
      <w:r>
        <w:t xml:space="preserve"> – Deputy High Commissioner</w:t>
      </w:r>
    </w:p>
    <w:p w14:paraId="0F7F3140" w14:textId="77777777" w:rsidR="000C672E" w:rsidRPr="000C672E" w:rsidRDefault="000C672E" w:rsidP="00794A6D">
      <w:pPr>
        <w:numPr>
          <w:ilvl w:val="0"/>
          <w:numId w:val="4"/>
        </w:numPr>
        <w:spacing w:before="0" w:after="0"/>
      </w:pPr>
      <w:r>
        <w:t xml:space="preserve">Mary </w:t>
      </w:r>
      <w:proofErr w:type="spellStart"/>
      <w:r w:rsidR="00C33626">
        <w:t>Nau</w:t>
      </w:r>
      <w:proofErr w:type="spellEnd"/>
      <w:r w:rsidR="00627B99">
        <w:t xml:space="preserve"> -Senior Development Program Coordinator</w:t>
      </w:r>
    </w:p>
    <w:p w14:paraId="1D911E06" w14:textId="77777777" w:rsidR="009D7E6F" w:rsidRPr="002D3595" w:rsidRDefault="009D7E6F" w:rsidP="00C17F02">
      <w:pPr>
        <w:spacing w:before="0" w:after="0"/>
        <w:rPr>
          <w:rFonts w:cs="Arial"/>
          <w:sz w:val="28"/>
          <w:szCs w:val="28"/>
        </w:rPr>
      </w:pPr>
    </w:p>
    <w:p w14:paraId="63398161" w14:textId="4C4CAD05" w:rsidR="009D7E6F" w:rsidRPr="002D3595" w:rsidRDefault="00A639B3" w:rsidP="00C17F02">
      <w:pPr>
        <w:spacing w:before="0" w:after="0"/>
        <w:rPr>
          <w:rFonts w:cs="Arial"/>
          <w:sz w:val="28"/>
          <w:szCs w:val="28"/>
        </w:rPr>
      </w:pPr>
      <w:r w:rsidRPr="00A639B3">
        <w:rPr>
          <w:lang w:val="en-GB"/>
        </w:rPr>
        <w:t>The views expressed in this report are those of the authors and do not necessarily represent the views of the Government of Australia</w:t>
      </w:r>
      <w:r w:rsidR="000C672E">
        <w:rPr>
          <w:lang w:val="en-GB"/>
        </w:rPr>
        <w:t xml:space="preserve">, the Government of New Zealand </w:t>
      </w:r>
      <w:r w:rsidRPr="00A639B3">
        <w:rPr>
          <w:lang w:val="en-GB"/>
        </w:rPr>
        <w:t xml:space="preserve">or the Government of </w:t>
      </w:r>
      <w:r w:rsidR="000C672E">
        <w:rPr>
          <w:lang w:val="en-GB"/>
        </w:rPr>
        <w:t>Tonga</w:t>
      </w:r>
      <w:r w:rsidR="00EC2295">
        <w:rPr>
          <w:lang w:val="en-GB"/>
        </w:rPr>
        <w:t>.</w:t>
      </w:r>
    </w:p>
    <w:p w14:paraId="30253EBB" w14:textId="77777777" w:rsidR="006A113D" w:rsidRDefault="006A113D" w:rsidP="00C17F02">
      <w:pPr>
        <w:pStyle w:val="Heading1"/>
        <w:spacing w:before="0" w:after="0"/>
        <w:rPr>
          <w:lang w:val="en-GB"/>
        </w:rPr>
      </w:pPr>
      <w:r>
        <w:rPr>
          <w:szCs w:val="28"/>
        </w:rPr>
        <w:br w:type="page"/>
      </w:r>
      <w:bookmarkStart w:id="7" w:name="_Toc203996778"/>
      <w:r w:rsidRPr="00010AA3">
        <w:rPr>
          <w:lang w:val="en-GB"/>
        </w:rPr>
        <w:lastRenderedPageBreak/>
        <w:t>Acknowledgments</w:t>
      </w:r>
      <w:bookmarkEnd w:id="7"/>
    </w:p>
    <w:p w14:paraId="626A62E5" w14:textId="58399C76" w:rsidR="00617137" w:rsidRDefault="007B5D93" w:rsidP="007B5D93">
      <w:pPr>
        <w:rPr>
          <w:lang w:val="en-GB"/>
        </w:rPr>
      </w:pPr>
      <w:r w:rsidRPr="007B5D93">
        <w:rPr>
          <w:lang w:val="en-GB"/>
        </w:rPr>
        <w:t xml:space="preserve">The </w:t>
      </w:r>
      <w:r>
        <w:rPr>
          <w:lang w:val="en-GB"/>
        </w:rPr>
        <w:t>TSP1 IPR</w:t>
      </w:r>
      <w:r w:rsidRPr="007B5D93">
        <w:rPr>
          <w:lang w:val="en-GB"/>
        </w:rPr>
        <w:t xml:space="preserve"> Review would like to </w:t>
      </w:r>
      <w:r>
        <w:rPr>
          <w:lang w:val="en-GB"/>
        </w:rPr>
        <w:t>acknowledge the high level of cooperation shown by all those we had the pleasure of interviewi</w:t>
      </w:r>
      <w:r w:rsidR="00E36871">
        <w:rPr>
          <w:lang w:val="en-GB"/>
        </w:rPr>
        <w:t xml:space="preserve">ng during the Review Mission </w:t>
      </w:r>
      <w:r w:rsidR="00617137">
        <w:rPr>
          <w:lang w:val="en-GB"/>
        </w:rPr>
        <w:t>(</w:t>
      </w:r>
      <w:r w:rsidR="00E36871">
        <w:rPr>
          <w:lang w:val="en-GB"/>
        </w:rPr>
        <w:t>a</w:t>
      </w:r>
      <w:r>
        <w:rPr>
          <w:lang w:val="en-GB"/>
        </w:rPr>
        <w:t xml:space="preserve"> full list of people consulted is provided in Annex 5). </w:t>
      </w:r>
      <w:r w:rsidR="00617137">
        <w:rPr>
          <w:lang w:val="en-GB"/>
        </w:rPr>
        <w:t xml:space="preserve">We appreciated greatly the hospitality and generosity </w:t>
      </w:r>
      <w:r w:rsidR="00C53997">
        <w:rPr>
          <w:lang w:val="en-GB"/>
        </w:rPr>
        <w:t>of those we met</w:t>
      </w:r>
      <w:r w:rsidR="00617137">
        <w:rPr>
          <w:lang w:val="en-GB"/>
        </w:rPr>
        <w:t xml:space="preserve"> as they gave freely of their time and </w:t>
      </w:r>
      <w:r w:rsidR="00C53997">
        <w:rPr>
          <w:lang w:val="en-GB"/>
        </w:rPr>
        <w:t>viewpoints</w:t>
      </w:r>
      <w:r w:rsidR="00617137">
        <w:rPr>
          <w:lang w:val="en-GB"/>
        </w:rPr>
        <w:t xml:space="preserve"> in response to review questions.</w:t>
      </w:r>
    </w:p>
    <w:p w14:paraId="2BCD0A65" w14:textId="59C2EF20" w:rsidR="00617137" w:rsidRDefault="00617137" w:rsidP="00C17F02">
      <w:pPr>
        <w:spacing w:before="0" w:after="0"/>
        <w:rPr>
          <w:lang w:val="en-GB"/>
        </w:rPr>
      </w:pPr>
      <w:r>
        <w:rPr>
          <w:lang w:val="en-GB"/>
        </w:rPr>
        <w:t xml:space="preserve">We are particularly grateful to the TSP1 </w:t>
      </w:r>
      <w:r w:rsidR="00C53997">
        <w:rPr>
          <w:lang w:val="en-GB"/>
        </w:rPr>
        <w:t xml:space="preserve">team </w:t>
      </w:r>
      <w:r>
        <w:rPr>
          <w:lang w:val="en-GB"/>
        </w:rPr>
        <w:t xml:space="preserve">who not only provided us with office support </w:t>
      </w:r>
      <w:proofErr w:type="gramStart"/>
      <w:r>
        <w:rPr>
          <w:lang w:val="en-GB"/>
        </w:rPr>
        <w:t>but</w:t>
      </w:r>
      <w:proofErr w:type="gramEnd"/>
      <w:r>
        <w:rPr>
          <w:lang w:val="en-GB"/>
        </w:rPr>
        <w:t xml:space="preserve"> were tireless in their efforts to respond to our frequent questioning and to provide any documentation we required.</w:t>
      </w:r>
    </w:p>
    <w:p w14:paraId="42D37255" w14:textId="77777777" w:rsidR="00303378" w:rsidRDefault="007B5D93" w:rsidP="00617137">
      <w:pPr>
        <w:rPr>
          <w:lang w:val="en-GB"/>
        </w:rPr>
      </w:pPr>
      <w:r w:rsidRPr="007B5D93">
        <w:rPr>
          <w:lang w:val="en-GB"/>
        </w:rPr>
        <w:t xml:space="preserve">Finally, we </w:t>
      </w:r>
      <w:r w:rsidR="00617137">
        <w:rPr>
          <w:lang w:val="en-GB"/>
        </w:rPr>
        <w:t>would like to thank</w:t>
      </w:r>
      <w:r w:rsidRPr="007B5D93">
        <w:rPr>
          <w:lang w:val="en-GB"/>
        </w:rPr>
        <w:t xml:space="preserve"> the AusAID staff </w:t>
      </w:r>
      <w:r w:rsidR="00617137">
        <w:rPr>
          <w:lang w:val="en-GB"/>
        </w:rPr>
        <w:t>for their efficiency and good humour in managing our ever changing itinerary</w:t>
      </w:r>
      <w:r w:rsidR="00C53997">
        <w:rPr>
          <w:lang w:val="en-GB"/>
        </w:rPr>
        <w:t xml:space="preserve"> and other logistical arrangements.</w:t>
      </w:r>
    </w:p>
    <w:p w14:paraId="1FE45345" w14:textId="44D60CDB" w:rsidR="00F1546A" w:rsidRDefault="00F1546A" w:rsidP="00617137">
      <w:pPr>
        <w:rPr>
          <w:lang w:val="en-GB"/>
        </w:rPr>
      </w:pPr>
      <w:r>
        <w:rPr>
          <w:lang w:val="en-GB"/>
        </w:rPr>
        <w:br w:type="page"/>
      </w:r>
    </w:p>
    <w:p w14:paraId="155B2E8C" w14:textId="77777777" w:rsidR="006A113D" w:rsidRPr="00DC40E5" w:rsidRDefault="006A113D" w:rsidP="00C17F02">
      <w:pPr>
        <w:spacing w:before="0" w:after="0"/>
        <w:rPr>
          <w:lang w:val="en-GB"/>
        </w:rPr>
      </w:pPr>
    </w:p>
    <w:p w14:paraId="66157857" w14:textId="77777777" w:rsidR="009D7E6F" w:rsidRDefault="009D7E6F" w:rsidP="00C17F02">
      <w:pPr>
        <w:pStyle w:val="Heading1"/>
        <w:spacing w:before="0" w:after="0"/>
      </w:pPr>
      <w:bookmarkStart w:id="8" w:name="_Toc280342914"/>
      <w:bookmarkStart w:id="9" w:name="_Toc203996779"/>
      <w:r>
        <w:t>Contents</w:t>
      </w:r>
      <w:bookmarkEnd w:id="8"/>
      <w:bookmarkEnd w:id="9"/>
    </w:p>
    <w:p w14:paraId="60B68662" w14:textId="77777777" w:rsidR="003A1814" w:rsidRPr="003A1814" w:rsidRDefault="003A1814" w:rsidP="00C17F02">
      <w:pPr>
        <w:spacing w:before="0" w:after="0"/>
      </w:pPr>
    </w:p>
    <w:p w14:paraId="0E74B5BF" w14:textId="77777777" w:rsidR="004E6AB0" w:rsidRDefault="004C5901">
      <w:pPr>
        <w:pStyle w:val="TOC1"/>
        <w:tabs>
          <w:tab w:val="right" w:leader="dot" w:pos="8755"/>
        </w:tabs>
        <w:rPr>
          <w:rFonts w:eastAsiaTheme="minorEastAsia" w:cstheme="minorBidi"/>
          <w:noProof/>
          <w:sz w:val="24"/>
          <w:szCs w:val="24"/>
          <w:lang w:val="en-US" w:eastAsia="ja-JP"/>
        </w:rPr>
      </w:pPr>
      <w:r>
        <w:fldChar w:fldCharType="begin"/>
      </w:r>
      <w:r w:rsidR="00BD108D">
        <w:instrText xml:space="preserve"> TOC \o "1-3" \h \z \u </w:instrText>
      </w:r>
      <w:r>
        <w:fldChar w:fldCharType="separate"/>
      </w:r>
      <w:r w:rsidR="004E6AB0" w:rsidRPr="005C234A">
        <w:rPr>
          <w:noProof/>
          <w:lang w:val="en-GB"/>
        </w:rPr>
        <w:t>Aid Activity Summary</w:t>
      </w:r>
      <w:r w:rsidR="004E6AB0">
        <w:rPr>
          <w:noProof/>
        </w:rPr>
        <w:tab/>
      </w:r>
      <w:r w:rsidR="004E6AB0">
        <w:rPr>
          <w:noProof/>
        </w:rPr>
        <w:fldChar w:fldCharType="begin"/>
      </w:r>
      <w:r w:rsidR="004E6AB0">
        <w:rPr>
          <w:noProof/>
        </w:rPr>
        <w:instrText xml:space="preserve"> PAGEREF _Toc203996776 \h </w:instrText>
      </w:r>
      <w:r w:rsidR="004E6AB0">
        <w:rPr>
          <w:noProof/>
        </w:rPr>
      </w:r>
      <w:r w:rsidR="004E6AB0">
        <w:rPr>
          <w:noProof/>
        </w:rPr>
        <w:fldChar w:fldCharType="separate"/>
      </w:r>
      <w:r w:rsidR="00835FDB">
        <w:rPr>
          <w:noProof/>
        </w:rPr>
        <w:t>i</w:t>
      </w:r>
      <w:r w:rsidR="004E6AB0">
        <w:rPr>
          <w:noProof/>
        </w:rPr>
        <w:fldChar w:fldCharType="end"/>
      </w:r>
    </w:p>
    <w:p w14:paraId="2E6D2ADE" w14:textId="32A5259A" w:rsidR="004E6AB0" w:rsidRDefault="004E6AB0">
      <w:pPr>
        <w:pStyle w:val="TOC1"/>
        <w:tabs>
          <w:tab w:val="right" w:leader="dot" w:pos="8755"/>
        </w:tabs>
        <w:rPr>
          <w:rFonts w:eastAsiaTheme="minorEastAsia" w:cstheme="minorBidi"/>
          <w:noProof/>
          <w:sz w:val="24"/>
          <w:szCs w:val="24"/>
          <w:lang w:val="en-US" w:eastAsia="ja-JP"/>
        </w:rPr>
      </w:pPr>
      <w:r w:rsidRPr="005C234A">
        <w:rPr>
          <w:noProof/>
          <w:lang w:val="en-GB"/>
        </w:rPr>
        <w:t>Review team details</w:t>
      </w:r>
      <w:r>
        <w:rPr>
          <w:noProof/>
        </w:rPr>
        <w:tab/>
      </w:r>
      <w:r>
        <w:rPr>
          <w:noProof/>
        </w:rPr>
        <w:fldChar w:fldCharType="begin"/>
      </w:r>
      <w:r>
        <w:rPr>
          <w:noProof/>
        </w:rPr>
        <w:instrText xml:space="preserve"> PAGEREF _Toc203996777 \h </w:instrText>
      </w:r>
      <w:r>
        <w:rPr>
          <w:noProof/>
        </w:rPr>
      </w:r>
      <w:r>
        <w:rPr>
          <w:noProof/>
        </w:rPr>
        <w:fldChar w:fldCharType="separate"/>
      </w:r>
      <w:r w:rsidR="00835FDB">
        <w:rPr>
          <w:noProof/>
        </w:rPr>
        <w:t>i</w:t>
      </w:r>
      <w:r>
        <w:rPr>
          <w:noProof/>
        </w:rPr>
        <w:fldChar w:fldCharType="end"/>
      </w:r>
    </w:p>
    <w:p w14:paraId="2D124F41" w14:textId="77777777" w:rsidR="004E6AB0" w:rsidRDefault="004E6AB0">
      <w:pPr>
        <w:pStyle w:val="TOC1"/>
        <w:tabs>
          <w:tab w:val="right" w:leader="dot" w:pos="8755"/>
        </w:tabs>
        <w:rPr>
          <w:rFonts w:eastAsiaTheme="minorEastAsia" w:cstheme="minorBidi"/>
          <w:noProof/>
          <w:sz w:val="24"/>
          <w:szCs w:val="24"/>
          <w:lang w:val="en-US" w:eastAsia="ja-JP"/>
        </w:rPr>
      </w:pPr>
      <w:r w:rsidRPr="005C234A">
        <w:rPr>
          <w:noProof/>
          <w:lang w:val="en-GB"/>
        </w:rPr>
        <w:t>Acknowledgments</w:t>
      </w:r>
      <w:r>
        <w:rPr>
          <w:noProof/>
        </w:rPr>
        <w:tab/>
      </w:r>
      <w:r>
        <w:rPr>
          <w:noProof/>
        </w:rPr>
        <w:fldChar w:fldCharType="begin"/>
      </w:r>
      <w:r>
        <w:rPr>
          <w:noProof/>
        </w:rPr>
        <w:instrText xml:space="preserve"> PAGEREF _Toc203996778 \h </w:instrText>
      </w:r>
      <w:r>
        <w:rPr>
          <w:noProof/>
        </w:rPr>
      </w:r>
      <w:r>
        <w:rPr>
          <w:noProof/>
        </w:rPr>
        <w:fldChar w:fldCharType="separate"/>
      </w:r>
      <w:r w:rsidR="00835FDB">
        <w:rPr>
          <w:noProof/>
        </w:rPr>
        <w:t>ii</w:t>
      </w:r>
      <w:r>
        <w:rPr>
          <w:noProof/>
        </w:rPr>
        <w:fldChar w:fldCharType="end"/>
      </w:r>
    </w:p>
    <w:p w14:paraId="32774AD4" w14:textId="77777777" w:rsidR="004E6AB0" w:rsidRDefault="004E6AB0">
      <w:pPr>
        <w:pStyle w:val="TOC1"/>
        <w:tabs>
          <w:tab w:val="right" w:leader="dot" w:pos="8755"/>
        </w:tabs>
        <w:rPr>
          <w:rFonts w:eastAsiaTheme="minorEastAsia" w:cstheme="minorBidi"/>
          <w:noProof/>
          <w:sz w:val="24"/>
          <w:szCs w:val="24"/>
          <w:lang w:val="en-US" w:eastAsia="ja-JP"/>
        </w:rPr>
      </w:pPr>
      <w:r>
        <w:rPr>
          <w:noProof/>
        </w:rPr>
        <w:t>Contents</w:t>
      </w:r>
      <w:r>
        <w:rPr>
          <w:noProof/>
        </w:rPr>
        <w:tab/>
      </w:r>
      <w:r>
        <w:rPr>
          <w:noProof/>
        </w:rPr>
        <w:fldChar w:fldCharType="begin"/>
      </w:r>
      <w:r>
        <w:rPr>
          <w:noProof/>
        </w:rPr>
        <w:instrText xml:space="preserve"> PAGEREF _Toc203996779 \h </w:instrText>
      </w:r>
      <w:r>
        <w:rPr>
          <w:noProof/>
        </w:rPr>
      </w:r>
      <w:r>
        <w:rPr>
          <w:noProof/>
        </w:rPr>
        <w:fldChar w:fldCharType="separate"/>
      </w:r>
      <w:r w:rsidR="00835FDB">
        <w:rPr>
          <w:noProof/>
        </w:rPr>
        <w:t>iii</w:t>
      </w:r>
      <w:r>
        <w:rPr>
          <w:noProof/>
        </w:rPr>
        <w:fldChar w:fldCharType="end"/>
      </w:r>
    </w:p>
    <w:p w14:paraId="257E752B" w14:textId="77777777" w:rsidR="004E6AB0" w:rsidRDefault="004E6AB0">
      <w:pPr>
        <w:pStyle w:val="TOC1"/>
        <w:tabs>
          <w:tab w:val="right" w:leader="dot" w:pos="8755"/>
        </w:tabs>
        <w:rPr>
          <w:rFonts w:eastAsiaTheme="minorEastAsia" w:cstheme="minorBidi"/>
          <w:noProof/>
          <w:sz w:val="24"/>
          <w:szCs w:val="24"/>
          <w:lang w:val="en-US" w:eastAsia="ja-JP"/>
        </w:rPr>
      </w:pPr>
      <w:r>
        <w:rPr>
          <w:noProof/>
        </w:rPr>
        <w:t>Acronyms</w:t>
      </w:r>
      <w:r>
        <w:rPr>
          <w:noProof/>
        </w:rPr>
        <w:tab/>
      </w:r>
      <w:r>
        <w:rPr>
          <w:noProof/>
        </w:rPr>
        <w:fldChar w:fldCharType="begin"/>
      </w:r>
      <w:r>
        <w:rPr>
          <w:noProof/>
        </w:rPr>
        <w:instrText xml:space="preserve"> PAGEREF _Toc203996780 \h </w:instrText>
      </w:r>
      <w:r>
        <w:rPr>
          <w:noProof/>
        </w:rPr>
      </w:r>
      <w:r>
        <w:rPr>
          <w:noProof/>
        </w:rPr>
        <w:fldChar w:fldCharType="separate"/>
      </w:r>
      <w:r w:rsidR="00835FDB">
        <w:rPr>
          <w:noProof/>
        </w:rPr>
        <w:t>iv</w:t>
      </w:r>
      <w:r>
        <w:rPr>
          <w:noProof/>
        </w:rPr>
        <w:fldChar w:fldCharType="end"/>
      </w:r>
    </w:p>
    <w:p w14:paraId="7F61B767" w14:textId="77777777" w:rsidR="004E6AB0" w:rsidRDefault="004E6AB0">
      <w:pPr>
        <w:pStyle w:val="TOC1"/>
        <w:tabs>
          <w:tab w:val="right" w:leader="dot" w:pos="8755"/>
        </w:tabs>
        <w:rPr>
          <w:rFonts w:eastAsiaTheme="minorEastAsia" w:cstheme="minorBidi"/>
          <w:noProof/>
          <w:sz w:val="24"/>
          <w:szCs w:val="24"/>
          <w:lang w:val="en-US" w:eastAsia="ja-JP"/>
        </w:rPr>
      </w:pPr>
      <w:r>
        <w:rPr>
          <w:noProof/>
        </w:rPr>
        <w:t>Executive summary</w:t>
      </w:r>
      <w:r>
        <w:rPr>
          <w:noProof/>
        </w:rPr>
        <w:tab/>
      </w:r>
      <w:r>
        <w:rPr>
          <w:noProof/>
        </w:rPr>
        <w:fldChar w:fldCharType="begin"/>
      </w:r>
      <w:r>
        <w:rPr>
          <w:noProof/>
        </w:rPr>
        <w:instrText xml:space="preserve"> PAGEREF _Toc203996781 \h </w:instrText>
      </w:r>
      <w:r>
        <w:rPr>
          <w:noProof/>
        </w:rPr>
      </w:r>
      <w:r>
        <w:rPr>
          <w:noProof/>
        </w:rPr>
        <w:fldChar w:fldCharType="separate"/>
      </w:r>
      <w:r w:rsidR="00835FDB">
        <w:rPr>
          <w:noProof/>
        </w:rPr>
        <w:t>1</w:t>
      </w:r>
      <w:r>
        <w:rPr>
          <w:noProof/>
        </w:rPr>
        <w:fldChar w:fldCharType="end"/>
      </w:r>
    </w:p>
    <w:p w14:paraId="62C5E0E1" w14:textId="77777777" w:rsidR="004E6AB0" w:rsidRDefault="004E6AB0">
      <w:pPr>
        <w:pStyle w:val="TOC1"/>
        <w:tabs>
          <w:tab w:val="left" w:pos="407"/>
          <w:tab w:val="right" w:leader="dot" w:pos="8755"/>
        </w:tabs>
        <w:rPr>
          <w:rFonts w:eastAsiaTheme="minorEastAsia" w:cstheme="minorBidi"/>
          <w:noProof/>
          <w:sz w:val="24"/>
          <w:szCs w:val="24"/>
          <w:lang w:val="en-US" w:eastAsia="ja-JP"/>
        </w:rPr>
      </w:pPr>
      <w:r>
        <w:rPr>
          <w:noProof/>
        </w:rPr>
        <w:t>1.</w:t>
      </w:r>
      <w:r>
        <w:rPr>
          <w:rFonts w:eastAsiaTheme="minorEastAsia" w:cstheme="minorBidi"/>
          <w:noProof/>
          <w:sz w:val="24"/>
          <w:szCs w:val="24"/>
          <w:lang w:val="en-US" w:eastAsia="ja-JP"/>
        </w:rPr>
        <w:tab/>
      </w:r>
      <w:r>
        <w:rPr>
          <w:noProof/>
        </w:rPr>
        <w:t>Introduction</w:t>
      </w:r>
      <w:r>
        <w:rPr>
          <w:noProof/>
        </w:rPr>
        <w:tab/>
      </w:r>
      <w:r>
        <w:rPr>
          <w:noProof/>
        </w:rPr>
        <w:fldChar w:fldCharType="begin"/>
      </w:r>
      <w:r>
        <w:rPr>
          <w:noProof/>
        </w:rPr>
        <w:instrText xml:space="preserve"> PAGEREF _Toc203996782 \h </w:instrText>
      </w:r>
      <w:r>
        <w:rPr>
          <w:noProof/>
        </w:rPr>
      </w:r>
      <w:r>
        <w:rPr>
          <w:noProof/>
        </w:rPr>
        <w:fldChar w:fldCharType="separate"/>
      </w:r>
      <w:r w:rsidR="00835FDB">
        <w:rPr>
          <w:noProof/>
        </w:rPr>
        <w:t>7</w:t>
      </w:r>
      <w:r>
        <w:rPr>
          <w:noProof/>
        </w:rPr>
        <w:fldChar w:fldCharType="end"/>
      </w:r>
    </w:p>
    <w:p w14:paraId="5C50F852" w14:textId="77777777" w:rsidR="004E6AB0" w:rsidRDefault="004E6AB0">
      <w:pPr>
        <w:pStyle w:val="TOC1"/>
        <w:tabs>
          <w:tab w:val="left" w:pos="407"/>
          <w:tab w:val="right" w:leader="dot" w:pos="8755"/>
        </w:tabs>
        <w:rPr>
          <w:rFonts w:eastAsiaTheme="minorEastAsia" w:cstheme="minorBidi"/>
          <w:noProof/>
          <w:sz w:val="24"/>
          <w:szCs w:val="24"/>
          <w:lang w:val="en-US" w:eastAsia="ja-JP"/>
        </w:rPr>
      </w:pPr>
      <w:r>
        <w:rPr>
          <w:noProof/>
        </w:rPr>
        <w:t>2.</w:t>
      </w:r>
      <w:r>
        <w:rPr>
          <w:rFonts w:eastAsiaTheme="minorEastAsia" w:cstheme="minorBidi"/>
          <w:noProof/>
          <w:sz w:val="24"/>
          <w:szCs w:val="24"/>
          <w:lang w:val="en-US" w:eastAsia="ja-JP"/>
        </w:rPr>
        <w:tab/>
      </w:r>
      <w:r>
        <w:rPr>
          <w:noProof/>
        </w:rPr>
        <w:t>Methodology</w:t>
      </w:r>
      <w:r>
        <w:rPr>
          <w:noProof/>
        </w:rPr>
        <w:tab/>
      </w:r>
      <w:r>
        <w:rPr>
          <w:noProof/>
        </w:rPr>
        <w:fldChar w:fldCharType="begin"/>
      </w:r>
      <w:r>
        <w:rPr>
          <w:noProof/>
        </w:rPr>
        <w:instrText xml:space="preserve"> PAGEREF _Toc203996783 \h </w:instrText>
      </w:r>
      <w:r>
        <w:rPr>
          <w:noProof/>
        </w:rPr>
      </w:r>
      <w:r>
        <w:rPr>
          <w:noProof/>
        </w:rPr>
        <w:fldChar w:fldCharType="separate"/>
      </w:r>
      <w:r w:rsidR="00835FDB">
        <w:rPr>
          <w:noProof/>
        </w:rPr>
        <w:t>8</w:t>
      </w:r>
      <w:r>
        <w:rPr>
          <w:noProof/>
        </w:rPr>
        <w:fldChar w:fldCharType="end"/>
      </w:r>
    </w:p>
    <w:p w14:paraId="295340CD"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2.1.</w:t>
      </w:r>
      <w:r>
        <w:rPr>
          <w:rFonts w:eastAsiaTheme="minorEastAsia" w:cstheme="minorBidi"/>
          <w:sz w:val="24"/>
          <w:szCs w:val="24"/>
          <w:lang w:val="en-US" w:eastAsia="ja-JP"/>
        </w:rPr>
        <w:tab/>
      </w:r>
      <w:r>
        <w:t>IPR Objectives</w:t>
      </w:r>
      <w:r>
        <w:tab/>
      </w:r>
      <w:r>
        <w:fldChar w:fldCharType="begin"/>
      </w:r>
      <w:r>
        <w:instrText xml:space="preserve"> PAGEREF _Toc203996784 \h </w:instrText>
      </w:r>
      <w:r>
        <w:fldChar w:fldCharType="separate"/>
      </w:r>
      <w:r w:rsidR="00835FDB">
        <w:t>8</w:t>
      </w:r>
      <w:r>
        <w:fldChar w:fldCharType="end"/>
      </w:r>
    </w:p>
    <w:p w14:paraId="79E9B83C"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2.2.</w:t>
      </w:r>
      <w:r>
        <w:rPr>
          <w:rFonts w:eastAsiaTheme="minorEastAsia" w:cstheme="minorBidi"/>
          <w:sz w:val="24"/>
          <w:szCs w:val="24"/>
          <w:lang w:val="en-US" w:eastAsia="ja-JP"/>
        </w:rPr>
        <w:tab/>
      </w:r>
      <w:r>
        <w:t>Approach</w:t>
      </w:r>
      <w:r>
        <w:tab/>
      </w:r>
      <w:r>
        <w:fldChar w:fldCharType="begin"/>
      </w:r>
      <w:r>
        <w:instrText xml:space="preserve"> PAGEREF _Toc203996785 \h </w:instrText>
      </w:r>
      <w:r>
        <w:fldChar w:fldCharType="separate"/>
      </w:r>
      <w:r w:rsidR="00835FDB">
        <w:t>8</w:t>
      </w:r>
      <w:r>
        <w:fldChar w:fldCharType="end"/>
      </w:r>
    </w:p>
    <w:p w14:paraId="164DC5BE"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2.3.</w:t>
      </w:r>
      <w:r>
        <w:rPr>
          <w:rFonts w:eastAsiaTheme="minorEastAsia" w:cstheme="minorBidi"/>
          <w:sz w:val="24"/>
          <w:szCs w:val="24"/>
          <w:lang w:val="en-US" w:eastAsia="ja-JP"/>
        </w:rPr>
        <w:tab/>
      </w:r>
      <w:r>
        <w:t>Challenges</w:t>
      </w:r>
      <w:r>
        <w:tab/>
      </w:r>
      <w:r>
        <w:fldChar w:fldCharType="begin"/>
      </w:r>
      <w:r>
        <w:instrText xml:space="preserve"> PAGEREF _Toc203996786 \h </w:instrText>
      </w:r>
      <w:r>
        <w:fldChar w:fldCharType="separate"/>
      </w:r>
      <w:r w:rsidR="00835FDB">
        <w:t>9</w:t>
      </w:r>
      <w:r>
        <w:fldChar w:fldCharType="end"/>
      </w:r>
    </w:p>
    <w:p w14:paraId="40A7CBE3" w14:textId="77777777" w:rsidR="004E6AB0" w:rsidRDefault="004E6AB0">
      <w:pPr>
        <w:pStyle w:val="TOC1"/>
        <w:tabs>
          <w:tab w:val="left" w:pos="407"/>
          <w:tab w:val="right" w:leader="dot" w:pos="8755"/>
        </w:tabs>
        <w:rPr>
          <w:rFonts w:eastAsiaTheme="minorEastAsia" w:cstheme="minorBidi"/>
          <w:noProof/>
          <w:sz w:val="24"/>
          <w:szCs w:val="24"/>
          <w:lang w:val="en-US" w:eastAsia="ja-JP"/>
        </w:rPr>
      </w:pPr>
      <w:r>
        <w:rPr>
          <w:noProof/>
        </w:rPr>
        <w:t>3.</w:t>
      </w:r>
      <w:r>
        <w:rPr>
          <w:rFonts w:eastAsiaTheme="minorEastAsia" w:cstheme="minorBidi"/>
          <w:noProof/>
          <w:sz w:val="24"/>
          <w:szCs w:val="24"/>
          <w:lang w:val="en-US" w:eastAsia="ja-JP"/>
        </w:rPr>
        <w:tab/>
      </w:r>
      <w:r>
        <w:rPr>
          <w:noProof/>
        </w:rPr>
        <w:t>Observations</w:t>
      </w:r>
      <w:r>
        <w:rPr>
          <w:noProof/>
        </w:rPr>
        <w:tab/>
      </w:r>
      <w:r>
        <w:rPr>
          <w:noProof/>
        </w:rPr>
        <w:fldChar w:fldCharType="begin"/>
      </w:r>
      <w:r>
        <w:rPr>
          <w:noProof/>
        </w:rPr>
        <w:instrText xml:space="preserve"> PAGEREF _Toc203996787 \h </w:instrText>
      </w:r>
      <w:r>
        <w:rPr>
          <w:noProof/>
        </w:rPr>
      </w:r>
      <w:r>
        <w:rPr>
          <w:noProof/>
        </w:rPr>
        <w:fldChar w:fldCharType="separate"/>
      </w:r>
      <w:r w:rsidR="00835FDB">
        <w:rPr>
          <w:noProof/>
        </w:rPr>
        <w:t>10</w:t>
      </w:r>
      <w:r>
        <w:rPr>
          <w:noProof/>
        </w:rPr>
        <w:fldChar w:fldCharType="end"/>
      </w:r>
    </w:p>
    <w:p w14:paraId="00459058"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3.1.</w:t>
      </w:r>
      <w:r>
        <w:rPr>
          <w:rFonts w:eastAsiaTheme="minorEastAsia" w:cstheme="minorBidi"/>
          <w:sz w:val="24"/>
          <w:szCs w:val="24"/>
          <w:lang w:val="en-US" w:eastAsia="ja-JP"/>
        </w:rPr>
        <w:tab/>
      </w:r>
      <w:r>
        <w:t>Operational Model</w:t>
      </w:r>
      <w:r>
        <w:tab/>
      </w:r>
      <w:r>
        <w:fldChar w:fldCharType="begin"/>
      </w:r>
      <w:r>
        <w:instrText xml:space="preserve"> PAGEREF _Toc203996788 \h </w:instrText>
      </w:r>
      <w:r>
        <w:fldChar w:fldCharType="separate"/>
      </w:r>
      <w:r w:rsidR="00835FDB">
        <w:t>10</w:t>
      </w:r>
      <w:r>
        <w:fldChar w:fldCharType="end"/>
      </w:r>
    </w:p>
    <w:p w14:paraId="07BF4163"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3.2.</w:t>
      </w:r>
      <w:r>
        <w:rPr>
          <w:rFonts w:eastAsiaTheme="minorEastAsia" w:cstheme="minorBidi"/>
          <w:sz w:val="24"/>
          <w:szCs w:val="24"/>
          <w:lang w:val="en-US" w:eastAsia="ja-JP"/>
        </w:rPr>
        <w:tab/>
      </w:r>
      <w:r>
        <w:t>Implementation Model (including Achievements)</w:t>
      </w:r>
      <w:r>
        <w:tab/>
      </w:r>
      <w:r>
        <w:fldChar w:fldCharType="begin"/>
      </w:r>
      <w:r>
        <w:instrText xml:space="preserve"> PAGEREF _Toc203996789 \h </w:instrText>
      </w:r>
      <w:r>
        <w:fldChar w:fldCharType="separate"/>
      </w:r>
      <w:r w:rsidR="00835FDB">
        <w:t>15</w:t>
      </w:r>
      <w:r>
        <w:fldChar w:fldCharType="end"/>
      </w:r>
    </w:p>
    <w:p w14:paraId="4F3C1608"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3.3.</w:t>
      </w:r>
      <w:r>
        <w:rPr>
          <w:rFonts w:eastAsiaTheme="minorEastAsia" w:cstheme="minorBidi"/>
          <w:sz w:val="24"/>
          <w:szCs w:val="24"/>
          <w:lang w:val="en-US" w:eastAsia="ja-JP"/>
        </w:rPr>
        <w:tab/>
      </w:r>
      <w:r>
        <w:t>Cross Cutting Issues</w:t>
      </w:r>
      <w:r>
        <w:tab/>
      </w:r>
      <w:r>
        <w:fldChar w:fldCharType="begin"/>
      </w:r>
      <w:r>
        <w:instrText xml:space="preserve"> PAGEREF _Toc203996790 \h </w:instrText>
      </w:r>
      <w:r>
        <w:fldChar w:fldCharType="separate"/>
      </w:r>
      <w:r w:rsidR="00835FDB">
        <w:t>22</w:t>
      </w:r>
      <w:r>
        <w:fldChar w:fldCharType="end"/>
      </w:r>
    </w:p>
    <w:p w14:paraId="4F26196C"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3.4.</w:t>
      </w:r>
      <w:r>
        <w:rPr>
          <w:rFonts w:eastAsiaTheme="minorEastAsia" w:cstheme="minorBidi"/>
          <w:sz w:val="24"/>
          <w:szCs w:val="24"/>
          <w:lang w:val="en-US" w:eastAsia="ja-JP"/>
        </w:rPr>
        <w:tab/>
      </w:r>
      <w:r>
        <w:t>Coherence and linkages</w:t>
      </w:r>
      <w:r>
        <w:tab/>
      </w:r>
      <w:r>
        <w:fldChar w:fldCharType="begin"/>
      </w:r>
      <w:r>
        <w:instrText xml:space="preserve"> PAGEREF _Toc203996791 \h </w:instrText>
      </w:r>
      <w:r>
        <w:fldChar w:fldCharType="separate"/>
      </w:r>
      <w:r w:rsidR="00835FDB">
        <w:t>23</w:t>
      </w:r>
      <w:r>
        <w:fldChar w:fldCharType="end"/>
      </w:r>
    </w:p>
    <w:p w14:paraId="03AA1DB4"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3.5.</w:t>
      </w:r>
      <w:r>
        <w:rPr>
          <w:rFonts w:eastAsiaTheme="minorEastAsia" w:cstheme="minorBidi"/>
          <w:sz w:val="24"/>
          <w:szCs w:val="24"/>
          <w:lang w:val="en-US" w:eastAsia="ja-JP"/>
        </w:rPr>
        <w:tab/>
      </w:r>
      <w:r>
        <w:t>Relevance to broader donor objectives</w:t>
      </w:r>
      <w:r>
        <w:tab/>
      </w:r>
      <w:r>
        <w:fldChar w:fldCharType="begin"/>
      </w:r>
      <w:r>
        <w:instrText xml:space="preserve"> PAGEREF _Toc203996792 \h </w:instrText>
      </w:r>
      <w:r>
        <w:fldChar w:fldCharType="separate"/>
      </w:r>
      <w:r w:rsidR="00835FDB">
        <w:t>25</w:t>
      </w:r>
      <w:r>
        <w:fldChar w:fldCharType="end"/>
      </w:r>
    </w:p>
    <w:p w14:paraId="30423139"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3.6.</w:t>
      </w:r>
      <w:r>
        <w:rPr>
          <w:rFonts w:eastAsiaTheme="minorEastAsia" w:cstheme="minorBidi"/>
          <w:sz w:val="24"/>
          <w:szCs w:val="24"/>
          <w:lang w:val="en-US" w:eastAsia="ja-JP"/>
        </w:rPr>
        <w:tab/>
      </w:r>
      <w:r>
        <w:t>Strategic &amp; operational lessons</w:t>
      </w:r>
      <w:r>
        <w:tab/>
      </w:r>
      <w:r>
        <w:fldChar w:fldCharType="begin"/>
      </w:r>
      <w:r>
        <w:instrText xml:space="preserve"> PAGEREF _Toc203996793 \h </w:instrText>
      </w:r>
      <w:r>
        <w:fldChar w:fldCharType="separate"/>
      </w:r>
      <w:r w:rsidR="00835FDB">
        <w:t>26</w:t>
      </w:r>
      <w:r>
        <w:fldChar w:fldCharType="end"/>
      </w:r>
    </w:p>
    <w:p w14:paraId="76671F56" w14:textId="77777777" w:rsidR="004E6AB0" w:rsidRDefault="004E6AB0">
      <w:pPr>
        <w:pStyle w:val="TOC2"/>
        <w:tabs>
          <w:tab w:val="left" w:pos="999"/>
        </w:tabs>
        <w:rPr>
          <w:rFonts w:eastAsiaTheme="minorEastAsia" w:cstheme="minorBidi"/>
          <w:sz w:val="24"/>
          <w:szCs w:val="24"/>
          <w:lang w:val="en-US" w:eastAsia="ja-JP"/>
        </w:rPr>
      </w:pPr>
      <w:r w:rsidRPr="005C234A">
        <w:rPr>
          <w:rFonts w:ascii="Cambria" w:hAnsi="Cambria"/>
        </w:rPr>
        <w:t>3.7.</w:t>
      </w:r>
      <w:r>
        <w:rPr>
          <w:rFonts w:eastAsiaTheme="minorEastAsia" w:cstheme="minorBidi"/>
          <w:sz w:val="24"/>
          <w:szCs w:val="24"/>
          <w:lang w:val="en-US" w:eastAsia="ja-JP"/>
        </w:rPr>
        <w:tab/>
      </w:r>
      <w:r>
        <w:t>Sustainability</w:t>
      </w:r>
      <w:r>
        <w:tab/>
      </w:r>
      <w:r>
        <w:fldChar w:fldCharType="begin"/>
      </w:r>
      <w:r>
        <w:instrText xml:space="preserve"> PAGEREF _Toc203996794 \h </w:instrText>
      </w:r>
      <w:r>
        <w:fldChar w:fldCharType="separate"/>
      </w:r>
      <w:r w:rsidR="00835FDB">
        <w:t>30</w:t>
      </w:r>
      <w:r>
        <w:fldChar w:fldCharType="end"/>
      </w:r>
    </w:p>
    <w:p w14:paraId="6D2A18F4" w14:textId="6BCC1541" w:rsidR="004E6AB0" w:rsidRDefault="004E6AB0">
      <w:pPr>
        <w:pStyle w:val="TOC1"/>
        <w:tabs>
          <w:tab w:val="left" w:pos="407"/>
          <w:tab w:val="right" w:leader="dot" w:pos="8755"/>
        </w:tabs>
        <w:rPr>
          <w:noProof/>
        </w:rPr>
      </w:pPr>
      <w:r>
        <w:rPr>
          <w:noProof/>
        </w:rPr>
        <w:t>4.</w:t>
      </w:r>
      <w:r>
        <w:rPr>
          <w:rFonts w:eastAsiaTheme="minorEastAsia" w:cstheme="minorBidi"/>
          <w:noProof/>
          <w:sz w:val="24"/>
          <w:szCs w:val="24"/>
          <w:lang w:val="en-US" w:eastAsia="ja-JP"/>
        </w:rPr>
        <w:tab/>
      </w:r>
      <w:r w:rsidR="00784935">
        <w:rPr>
          <w:noProof/>
        </w:rPr>
        <w:t>The next 9 months to April</w:t>
      </w:r>
      <w:r>
        <w:rPr>
          <w:noProof/>
        </w:rPr>
        <w:t>, 2013</w:t>
      </w:r>
      <w:r>
        <w:rPr>
          <w:noProof/>
        </w:rPr>
        <w:tab/>
      </w:r>
      <w:r>
        <w:rPr>
          <w:noProof/>
        </w:rPr>
        <w:fldChar w:fldCharType="begin"/>
      </w:r>
      <w:r>
        <w:rPr>
          <w:noProof/>
        </w:rPr>
        <w:instrText xml:space="preserve"> PAGEREF _Toc203996795 \h </w:instrText>
      </w:r>
      <w:r>
        <w:rPr>
          <w:noProof/>
        </w:rPr>
      </w:r>
      <w:r>
        <w:rPr>
          <w:noProof/>
        </w:rPr>
        <w:fldChar w:fldCharType="separate"/>
      </w:r>
      <w:r w:rsidR="00835FDB">
        <w:rPr>
          <w:noProof/>
        </w:rPr>
        <w:t>32</w:t>
      </w:r>
      <w:r>
        <w:rPr>
          <w:noProof/>
        </w:rPr>
        <w:fldChar w:fldCharType="end"/>
      </w:r>
    </w:p>
    <w:p w14:paraId="4FF90E81" w14:textId="20AE4920" w:rsidR="004940A8" w:rsidRPr="004940A8" w:rsidRDefault="004940A8" w:rsidP="004940A8">
      <w:pPr>
        <w:rPr>
          <w:rFonts w:eastAsiaTheme="minorEastAsia"/>
          <w:b/>
          <w:noProof/>
        </w:rPr>
      </w:pPr>
      <w:r w:rsidRPr="004940A8">
        <w:rPr>
          <w:rFonts w:eastAsiaTheme="minorEastAsia"/>
          <w:b/>
          <w:noProof/>
        </w:rPr>
        <w:t>Annexes</w:t>
      </w:r>
    </w:p>
    <w:p w14:paraId="030C4C72" w14:textId="0FBF5FFF" w:rsidR="004E6AB0" w:rsidRDefault="004E6AB0">
      <w:pPr>
        <w:pStyle w:val="TOC1"/>
        <w:tabs>
          <w:tab w:val="left" w:pos="1113"/>
          <w:tab w:val="right" w:leader="dot" w:pos="8755"/>
        </w:tabs>
        <w:rPr>
          <w:rFonts w:eastAsiaTheme="minorEastAsia" w:cstheme="minorBidi"/>
          <w:noProof/>
          <w:sz w:val="24"/>
          <w:szCs w:val="24"/>
          <w:lang w:val="en-US" w:eastAsia="ja-JP"/>
        </w:rPr>
      </w:pPr>
      <w:r>
        <w:rPr>
          <w:noProof/>
        </w:rPr>
        <w:t xml:space="preserve">Annex 1: </w:t>
      </w:r>
      <w:r>
        <w:rPr>
          <w:rFonts w:eastAsiaTheme="minorEastAsia" w:cstheme="minorBidi"/>
          <w:noProof/>
          <w:sz w:val="24"/>
          <w:szCs w:val="24"/>
          <w:lang w:val="en-US" w:eastAsia="ja-JP"/>
        </w:rPr>
        <w:tab/>
      </w:r>
      <w:r w:rsidR="00784935">
        <w:rPr>
          <w:noProof/>
        </w:rPr>
        <w:t xml:space="preserve">Workplan – </w:t>
      </w:r>
      <w:r w:rsidR="006F67A8">
        <w:rPr>
          <w:noProof/>
        </w:rPr>
        <w:t>August</w:t>
      </w:r>
      <w:r w:rsidR="00784935">
        <w:rPr>
          <w:noProof/>
        </w:rPr>
        <w:t xml:space="preserve"> 2012 – April</w:t>
      </w:r>
      <w:r>
        <w:rPr>
          <w:noProof/>
        </w:rPr>
        <w:t xml:space="preserve"> 2013</w:t>
      </w:r>
      <w:r>
        <w:rPr>
          <w:noProof/>
        </w:rPr>
        <w:tab/>
      </w:r>
      <w:r>
        <w:rPr>
          <w:noProof/>
        </w:rPr>
        <w:fldChar w:fldCharType="begin"/>
      </w:r>
      <w:r>
        <w:rPr>
          <w:noProof/>
        </w:rPr>
        <w:instrText xml:space="preserve"> PAGEREF _Toc203996796 \h </w:instrText>
      </w:r>
      <w:r>
        <w:rPr>
          <w:noProof/>
        </w:rPr>
      </w:r>
      <w:r>
        <w:rPr>
          <w:noProof/>
        </w:rPr>
        <w:fldChar w:fldCharType="separate"/>
      </w:r>
      <w:r w:rsidR="00835FDB">
        <w:rPr>
          <w:noProof/>
        </w:rPr>
        <w:t>33</w:t>
      </w:r>
      <w:r>
        <w:rPr>
          <w:noProof/>
        </w:rPr>
        <w:fldChar w:fldCharType="end"/>
      </w:r>
    </w:p>
    <w:p w14:paraId="09DD5203" w14:textId="77777777" w:rsidR="004E6AB0" w:rsidRDefault="004E6AB0">
      <w:pPr>
        <w:pStyle w:val="TOC1"/>
        <w:tabs>
          <w:tab w:val="left" w:pos="1113"/>
          <w:tab w:val="right" w:leader="dot" w:pos="8755"/>
        </w:tabs>
        <w:rPr>
          <w:rFonts w:eastAsiaTheme="minorEastAsia" w:cstheme="minorBidi"/>
          <w:noProof/>
          <w:sz w:val="24"/>
          <w:szCs w:val="24"/>
          <w:lang w:val="en-US" w:eastAsia="ja-JP"/>
        </w:rPr>
      </w:pPr>
      <w:r>
        <w:rPr>
          <w:noProof/>
        </w:rPr>
        <w:t xml:space="preserve">Annex 2: </w:t>
      </w:r>
      <w:r>
        <w:rPr>
          <w:rFonts w:eastAsiaTheme="minorEastAsia" w:cstheme="minorBidi"/>
          <w:noProof/>
          <w:sz w:val="24"/>
          <w:szCs w:val="24"/>
          <w:lang w:val="en-US" w:eastAsia="ja-JP"/>
        </w:rPr>
        <w:tab/>
      </w:r>
      <w:r>
        <w:rPr>
          <w:noProof/>
        </w:rPr>
        <w:t>Quality at Implementation Assessment</w:t>
      </w:r>
      <w:r>
        <w:rPr>
          <w:noProof/>
        </w:rPr>
        <w:tab/>
      </w:r>
      <w:r>
        <w:rPr>
          <w:noProof/>
        </w:rPr>
        <w:fldChar w:fldCharType="begin"/>
      </w:r>
      <w:r>
        <w:rPr>
          <w:noProof/>
        </w:rPr>
        <w:instrText xml:space="preserve"> PAGEREF _Toc203996797 \h </w:instrText>
      </w:r>
      <w:r>
        <w:rPr>
          <w:noProof/>
        </w:rPr>
      </w:r>
      <w:r>
        <w:rPr>
          <w:noProof/>
        </w:rPr>
        <w:fldChar w:fldCharType="separate"/>
      </w:r>
      <w:r w:rsidR="00835FDB">
        <w:rPr>
          <w:noProof/>
        </w:rPr>
        <w:t>37</w:t>
      </w:r>
      <w:r>
        <w:rPr>
          <w:noProof/>
        </w:rPr>
        <w:fldChar w:fldCharType="end"/>
      </w:r>
    </w:p>
    <w:p w14:paraId="0A9FF119" w14:textId="77777777" w:rsidR="004E6AB0" w:rsidRDefault="004E6AB0">
      <w:pPr>
        <w:pStyle w:val="TOC1"/>
        <w:tabs>
          <w:tab w:val="left" w:pos="1113"/>
          <w:tab w:val="right" w:leader="dot" w:pos="8755"/>
        </w:tabs>
        <w:rPr>
          <w:rFonts w:eastAsiaTheme="minorEastAsia" w:cstheme="minorBidi"/>
          <w:noProof/>
          <w:sz w:val="24"/>
          <w:szCs w:val="24"/>
          <w:lang w:val="en-US" w:eastAsia="ja-JP"/>
        </w:rPr>
      </w:pPr>
      <w:r>
        <w:rPr>
          <w:noProof/>
        </w:rPr>
        <w:t xml:space="preserve">Annex 3: </w:t>
      </w:r>
      <w:r>
        <w:rPr>
          <w:rFonts w:eastAsiaTheme="minorEastAsia" w:cstheme="minorBidi"/>
          <w:noProof/>
          <w:sz w:val="24"/>
          <w:szCs w:val="24"/>
          <w:lang w:val="en-US" w:eastAsia="ja-JP"/>
        </w:rPr>
        <w:tab/>
      </w:r>
      <w:r>
        <w:rPr>
          <w:noProof/>
        </w:rPr>
        <w:t>Extract from MET Education Lakalaka Framework</w:t>
      </w:r>
      <w:r>
        <w:rPr>
          <w:noProof/>
        </w:rPr>
        <w:tab/>
      </w:r>
      <w:r>
        <w:rPr>
          <w:noProof/>
        </w:rPr>
        <w:fldChar w:fldCharType="begin"/>
      </w:r>
      <w:r>
        <w:rPr>
          <w:noProof/>
        </w:rPr>
        <w:instrText xml:space="preserve"> PAGEREF _Toc203996798 \h </w:instrText>
      </w:r>
      <w:r>
        <w:rPr>
          <w:noProof/>
        </w:rPr>
      </w:r>
      <w:r>
        <w:rPr>
          <w:noProof/>
        </w:rPr>
        <w:fldChar w:fldCharType="separate"/>
      </w:r>
      <w:r w:rsidR="00835FDB">
        <w:rPr>
          <w:noProof/>
        </w:rPr>
        <w:t>42</w:t>
      </w:r>
      <w:r>
        <w:rPr>
          <w:noProof/>
        </w:rPr>
        <w:fldChar w:fldCharType="end"/>
      </w:r>
    </w:p>
    <w:p w14:paraId="34F0F270" w14:textId="77777777" w:rsidR="004E6AB0" w:rsidRDefault="004E6AB0">
      <w:pPr>
        <w:pStyle w:val="TOC1"/>
        <w:tabs>
          <w:tab w:val="left" w:pos="1113"/>
          <w:tab w:val="right" w:leader="dot" w:pos="8755"/>
        </w:tabs>
        <w:rPr>
          <w:rFonts w:eastAsiaTheme="minorEastAsia" w:cstheme="minorBidi"/>
          <w:noProof/>
          <w:sz w:val="24"/>
          <w:szCs w:val="24"/>
          <w:lang w:val="en-US" w:eastAsia="ja-JP"/>
        </w:rPr>
      </w:pPr>
      <w:r>
        <w:rPr>
          <w:noProof/>
        </w:rPr>
        <w:t xml:space="preserve">Annex 4: </w:t>
      </w:r>
      <w:r>
        <w:rPr>
          <w:rFonts w:eastAsiaTheme="minorEastAsia" w:cstheme="minorBidi"/>
          <w:noProof/>
          <w:sz w:val="24"/>
          <w:szCs w:val="24"/>
          <w:lang w:val="en-US" w:eastAsia="ja-JP"/>
        </w:rPr>
        <w:tab/>
      </w:r>
      <w:r>
        <w:rPr>
          <w:noProof/>
        </w:rPr>
        <w:t>People Consulted</w:t>
      </w:r>
      <w:r>
        <w:rPr>
          <w:noProof/>
        </w:rPr>
        <w:tab/>
      </w:r>
      <w:r>
        <w:rPr>
          <w:noProof/>
        </w:rPr>
        <w:fldChar w:fldCharType="begin"/>
      </w:r>
      <w:r>
        <w:rPr>
          <w:noProof/>
        </w:rPr>
        <w:instrText xml:space="preserve"> PAGEREF _Toc203996799 \h </w:instrText>
      </w:r>
      <w:r>
        <w:rPr>
          <w:noProof/>
        </w:rPr>
      </w:r>
      <w:r>
        <w:rPr>
          <w:noProof/>
        </w:rPr>
        <w:fldChar w:fldCharType="separate"/>
      </w:r>
      <w:r w:rsidR="00835FDB">
        <w:rPr>
          <w:noProof/>
        </w:rPr>
        <w:t>43</w:t>
      </w:r>
      <w:r>
        <w:rPr>
          <w:noProof/>
        </w:rPr>
        <w:fldChar w:fldCharType="end"/>
      </w:r>
    </w:p>
    <w:p w14:paraId="1A917D46" w14:textId="77777777" w:rsidR="004E6AB0" w:rsidRDefault="004E6AB0">
      <w:pPr>
        <w:pStyle w:val="TOC1"/>
        <w:tabs>
          <w:tab w:val="left" w:pos="1113"/>
          <w:tab w:val="right" w:leader="dot" w:pos="8755"/>
        </w:tabs>
        <w:rPr>
          <w:rFonts w:eastAsiaTheme="minorEastAsia" w:cstheme="minorBidi"/>
          <w:noProof/>
          <w:sz w:val="24"/>
          <w:szCs w:val="24"/>
          <w:lang w:val="en-US" w:eastAsia="ja-JP"/>
        </w:rPr>
      </w:pPr>
      <w:r>
        <w:rPr>
          <w:noProof/>
        </w:rPr>
        <w:t xml:space="preserve">Annex 5: </w:t>
      </w:r>
      <w:r>
        <w:rPr>
          <w:rFonts w:eastAsiaTheme="minorEastAsia" w:cstheme="minorBidi"/>
          <w:noProof/>
          <w:sz w:val="24"/>
          <w:szCs w:val="24"/>
          <w:lang w:val="en-US" w:eastAsia="ja-JP"/>
        </w:rPr>
        <w:tab/>
      </w:r>
      <w:r>
        <w:rPr>
          <w:noProof/>
        </w:rPr>
        <w:t>References</w:t>
      </w:r>
      <w:r>
        <w:rPr>
          <w:noProof/>
        </w:rPr>
        <w:tab/>
      </w:r>
      <w:r>
        <w:rPr>
          <w:noProof/>
        </w:rPr>
        <w:fldChar w:fldCharType="begin"/>
      </w:r>
      <w:r>
        <w:rPr>
          <w:noProof/>
        </w:rPr>
        <w:instrText xml:space="preserve"> PAGEREF _Toc203996800 \h </w:instrText>
      </w:r>
      <w:r>
        <w:rPr>
          <w:noProof/>
        </w:rPr>
      </w:r>
      <w:r>
        <w:rPr>
          <w:noProof/>
        </w:rPr>
        <w:fldChar w:fldCharType="separate"/>
      </w:r>
      <w:r w:rsidR="00835FDB">
        <w:rPr>
          <w:noProof/>
        </w:rPr>
        <w:t>45</w:t>
      </w:r>
      <w:r>
        <w:rPr>
          <w:noProof/>
        </w:rPr>
        <w:fldChar w:fldCharType="end"/>
      </w:r>
    </w:p>
    <w:p w14:paraId="5A7F970F" w14:textId="77777777" w:rsidR="004E6AB0" w:rsidRDefault="004E6AB0">
      <w:pPr>
        <w:pStyle w:val="TOC1"/>
        <w:tabs>
          <w:tab w:val="left" w:pos="1113"/>
          <w:tab w:val="right" w:leader="dot" w:pos="8755"/>
        </w:tabs>
        <w:rPr>
          <w:rFonts w:eastAsiaTheme="minorEastAsia" w:cstheme="minorBidi"/>
          <w:noProof/>
          <w:sz w:val="24"/>
          <w:szCs w:val="24"/>
          <w:lang w:val="en-US" w:eastAsia="ja-JP"/>
        </w:rPr>
      </w:pPr>
      <w:r>
        <w:rPr>
          <w:noProof/>
        </w:rPr>
        <w:t xml:space="preserve">Annex 6: </w:t>
      </w:r>
      <w:r>
        <w:rPr>
          <w:rFonts w:eastAsiaTheme="minorEastAsia" w:cstheme="minorBidi"/>
          <w:noProof/>
          <w:sz w:val="24"/>
          <w:szCs w:val="24"/>
          <w:lang w:val="en-US" w:eastAsia="ja-JP"/>
        </w:rPr>
        <w:tab/>
      </w:r>
      <w:r>
        <w:rPr>
          <w:noProof/>
        </w:rPr>
        <w:t>Terms of reference for review</w:t>
      </w:r>
      <w:r>
        <w:rPr>
          <w:noProof/>
        </w:rPr>
        <w:tab/>
      </w:r>
      <w:r>
        <w:rPr>
          <w:noProof/>
        </w:rPr>
        <w:fldChar w:fldCharType="begin"/>
      </w:r>
      <w:r>
        <w:rPr>
          <w:noProof/>
        </w:rPr>
        <w:instrText xml:space="preserve"> PAGEREF _Toc203996801 \h </w:instrText>
      </w:r>
      <w:r>
        <w:rPr>
          <w:noProof/>
        </w:rPr>
      </w:r>
      <w:r>
        <w:rPr>
          <w:noProof/>
        </w:rPr>
        <w:fldChar w:fldCharType="separate"/>
      </w:r>
      <w:r w:rsidR="00835FDB">
        <w:rPr>
          <w:noProof/>
        </w:rPr>
        <w:t>47</w:t>
      </w:r>
      <w:r>
        <w:rPr>
          <w:noProof/>
        </w:rPr>
        <w:fldChar w:fldCharType="end"/>
      </w:r>
    </w:p>
    <w:p w14:paraId="6BD2EFDD" w14:textId="6B3602A1" w:rsidR="004E6AB0" w:rsidRDefault="004E6AB0" w:rsidP="004940A8">
      <w:pPr>
        <w:pStyle w:val="TOC1"/>
        <w:tabs>
          <w:tab w:val="left" w:pos="407"/>
          <w:tab w:val="left" w:pos="1560"/>
          <w:tab w:val="right" w:leader="dot" w:pos="8755"/>
        </w:tabs>
        <w:ind w:firstLine="1134"/>
        <w:rPr>
          <w:rFonts w:eastAsiaTheme="minorEastAsia" w:cstheme="minorBidi"/>
          <w:noProof/>
          <w:sz w:val="24"/>
          <w:szCs w:val="24"/>
          <w:lang w:val="en-US" w:eastAsia="ja-JP"/>
        </w:rPr>
      </w:pPr>
      <w:r>
        <w:rPr>
          <w:noProof/>
        </w:rPr>
        <w:t>1.</w:t>
      </w:r>
      <w:r w:rsidR="004940A8">
        <w:rPr>
          <w:noProof/>
        </w:rPr>
        <w:t xml:space="preserve"> </w:t>
      </w:r>
      <w:r>
        <w:rPr>
          <w:noProof/>
        </w:rPr>
        <w:t>Purpose</w:t>
      </w:r>
      <w:r>
        <w:rPr>
          <w:noProof/>
        </w:rPr>
        <w:tab/>
      </w:r>
      <w:r>
        <w:rPr>
          <w:noProof/>
        </w:rPr>
        <w:fldChar w:fldCharType="begin"/>
      </w:r>
      <w:r>
        <w:rPr>
          <w:noProof/>
        </w:rPr>
        <w:instrText xml:space="preserve"> PAGEREF _Toc203996802 \h </w:instrText>
      </w:r>
      <w:r>
        <w:rPr>
          <w:noProof/>
        </w:rPr>
      </w:r>
      <w:r>
        <w:rPr>
          <w:noProof/>
        </w:rPr>
        <w:fldChar w:fldCharType="separate"/>
      </w:r>
      <w:r w:rsidR="00835FDB">
        <w:rPr>
          <w:noProof/>
        </w:rPr>
        <w:t>47</w:t>
      </w:r>
      <w:r>
        <w:rPr>
          <w:noProof/>
        </w:rPr>
        <w:fldChar w:fldCharType="end"/>
      </w:r>
    </w:p>
    <w:p w14:paraId="1648F430" w14:textId="120FDD3E" w:rsidR="004E6AB0" w:rsidRDefault="004E6AB0"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2.</w:t>
      </w:r>
      <w:r w:rsidR="004940A8">
        <w:rPr>
          <w:noProof/>
        </w:rPr>
        <w:t xml:space="preserve"> </w:t>
      </w:r>
      <w:r>
        <w:rPr>
          <w:noProof/>
        </w:rPr>
        <w:t>Background</w:t>
      </w:r>
      <w:r>
        <w:rPr>
          <w:noProof/>
        </w:rPr>
        <w:tab/>
      </w:r>
      <w:r>
        <w:rPr>
          <w:noProof/>
        </w:rPr>
        <w:fldChar w:fldCharType="begin"/>
      </w:r>
      <w:r>
        <w:rPr>
          <w:noProof/>
        </w:rPr>
        <w:instrText xml:space="preserve"> PAGEREF _Toc203996803 \h </w:instrText>
      </w:r>
      <w:r>
        <w:rPr>
          <w:noProof/>
        </w:rPr>
      </w:r>
      <w:r>
        <w:rPr>
          <w:noProof/>
        </w:rPr>
        <w:fldChar w:fldCharType="separate"/>
      </w:r>
      <w:r w:rsidR="00835FDB">
        <w:rPr>
          <w:noProof/>
        </w:rPr>
        <w:t>47</w:t>
      </w:r>
      <w:r>
        <w:rPr>
          <w:noProof/>
        </w:rPr>
        <w:fldChar w:fldCharType="end"/>
      </w:r>
    </w:p>
    <w:p w14:paraId="07CC9581" w14:textId="05A745A8" w:rsidR="004E6AB0" w:rsidRDefault="004E6AB0"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3.</w:t>
      </w:r>
      <w:r w:rsidR="004940A8">
        <w:rPr>
          <w:noProof/>
        </w:rPr>
        <w:t xml:space="preserve"> </w:t>
      </w:r>
      <w:r>
        <w:rPr>
          <w:noProof/>
        </w:rPr>
        <w:t>Objectives of the IPR and Re-Design  mission</w:t>
      </w:r>
      <w:r>
        <w:rPr>
          <w:noProof/>
        </w:rPr>
        <w:tab/>
      </w:r>
      <w:r>
        <w:rPr>
          <w:noProof/>
        </w:rPr>
        <w:fldChar w:fldCharType="begin"/>
      </w:r>
      <w:r>
        <w:rPr>
          <w:noProof/>
        </w:rPr>
        <w:instrText xml:space="preserve"> PAGEREF _Toc203996804 \h </w:instrText>
      </w:r>
      <w:r>
        <w:rPr>
          <w:noProof/>
        </w:rPr>
      </w:r>
      <w:r>
        <w:rPr>
          <w:noProof/>
        </w:rPr>
        <w:fldChar w:fldCharType="separate"/>
      </w:r>
      <w:r w:rsidR="00835FDB">
        <w:rPr>
          <w:noProof/>
        </w:rPr>
        <w:t>48</w:t>
      </w:r>
      <w:r>
        <w:rPr>
          <w:noProof/>
        </w:rPr>
        <w:fldChar w:fldCharType="end"/>
      </w:r>
    </w:p>
    <w:p w14:paraId="4E9034F4" w14:textId="7D27DEFF" w:rsidR="004E6AB0" w:rsidRDefault="004E6AB0"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4.</w:t>
      </w:r>
      <w:r w:rsidR="004940A8">
        <w:rPr>
          <w:noProof/>
        </w:rPr>
        <w:t xml:space="preserve"> </w:t>
      </w:r>
      <w:r>
        <w:rPr>
          <w:noProof/>
        </w:rPr>
        <w:t>Scope of the IPR and Re-Design Mission</w:t>
      </w:r>
      <w:r>
        <w:rPr>
          <w:noProof/>
        </w:rPr>
        <w:tab/>
      </w:r>
      <w:r>
        <w:rPr>
          <w:noProof/>
        </w:rPr>
        <w:fldChar w:fldCharType="begin"/>
      </w:r>
      <w:r>
        <w:rPr>
          <w:noProof/>
        </w:rPr>
        <w:instrText xml:space="preserve"> PAGEREF _Toc203996805 \h </w:instrText>
      </w:r>
      <w:r>
        <w:rPr>
          <w:noProof/>
        </w:rPr>
      </w:r>
      <w:r>
        <w:rPr>
          <w:noProof/>
        </w:rPr>
        <w:fldChar w:fldCharType="separate"/>
      </w:r>
      <w:r w:rsidR="00835FDB">
        <w:rPr>
          <w:noProof/>
        </w:rPr>
        <w:t>49</w:t>
      </w:r>
      <w:r>
        <w:rPr>
          <w:noProof/>
        </w:rPr>
        <w:fldChar w:fldCharType="end"/>
      </w:r>
    </w:p>
    <w:p w14:paraId="0D4C4C3C" w14:textId="7DA2D9D7" w:rsidR="004E6AB0" w:rsidRDefault="004940A8"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 xml:space="preserve">5. </w:t>
      </w:r>
      <w:r w:rsidR="004E6AB0">
        <w:rPr>
          <w:noProof/>
        </w:rPr>
        <w:t>Composition  of the IPR and Re-Design Team</w:t>
      </w:r>
      <w:r w:rsidR="004E6AB0">
        <w:rPr>
          <w:noProof/>
        </w:rPr>
        <w:tab/>
      </w:r>
      <w:r w:rsidR="004E6AB0">
        <w:rPr>
          <w:noProof/>
        </w:rPr>
        <w:fldChar w:fldCharType="begin"/>
      </w:r>
      <w:r w:rsidR="004E6AB0">
        <w:rPr>
          <w:noProof/>
        </w:rPr>
        <w:instrText xml:space="preserve"> PAGEREF _Toc203996806 \h </w:instrText>
      </w:r>
      <w:r w:rsidR="004E6AB0">
        <w:rPr>
          <w:noProof/>
        </w:rPr>
      </w:r>
      <w:r w:rsidR="004E6AB0">
        <w:rPr>
          <w:noProof/>
        </w:rPr>
        <w:fldChar w:fldCharType="separate"/>
      </w:r>
      <w:r w:rsidR="00835FDB">
        <w:rPr>
          <w:noProof/>
        </w:rPr>
        <w:t>52</w:t>
      </w:r>
      <w:r w:rsidR="004E6AB0">
        <w:rPr>
          <w:noProof/>
        </w:rPr>
        <w:fldChar w:fldCharType="end"/>
      </w:r>
    </w:p>
    <w:p w14:paraId="43155A3C" w14:textId="6B8BFB06" w:rsidR="004E6AB0" w:rsidRDefault="004E6AB0"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6.</w:t>
      </w:r>
      <w:r w:rsidR="004940A8">
        <w:rPr>
          <w:noProof/>
        </w:rPr>
        <w:t xml:space="preserve"> </w:t>
      </w:r>
      <w:r>
        <w:rPr>
          <w:noProof/>
        </w:rPr>
        <w:t>Roles and Responsibilities of the team</w:t>
      </w:r>
      <w:r>
        <w:rPr>
          <w:noProof/>
        </w:rPr>
        <w:tab/>
      </w:r>
      <w:r>
        <w:rPr>
          <w:noProof/>
        </w:rPr>
        <w:fldChar w:fldCharType="begin"/>
      </w:r>
      <w:r>
        <w:rPr>
          <w:noProof/>
        </w:rPr>
        <w:instrText xml:space="preserve"> PAGEREF _Toc203996807 \h </w:instrText>
      </w:r>
      <w:r>
        <w:rPr>
          <w:noProof/>
        </w:rPr>
      </w:r>
      <w:r>
        <w:rPr>
          <w:noProof/>
        </w:rPr>
        <w:fldChar w:fldCharType="separate"/>
      </w:r>
      <w:r w:rsidR="00835FDB">
        <w:rPr>
          <w:noProof/>
        </w:rPr>
        <w:t>53</w:t>
      </w:r>
      <w:r>
        <w:rPr>
          <w:noProof/>
        </w:rPr>
        <w:fldChar w:fldCharType="end"/>
      </w:r>
    </w:p>
    <w:p w14:paraId="253391BB" w14:textId="742A0100" w:rsidR="004E6AB0" w:rsidRDefault="004E6AB0"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7.</w:t>
      </w:r>
      <w:r w:rsidR="004940A8">
        <w:rPr>
          <w:noProof/>
        </w:rPr>
        <w:t xml:space="preserve"> </w:t>
      </w:r>
      <w:r>
        <w:rPr>
          <w:noProof/>
        </w:rPr>
        <w:t>Outputs and reporting requirements</w:t>
      </w:r>
      <w:r>
        <w:rPr>
          <w:noProof/>
        </w:rPr>
        <w:tab/>
      </w:r>
      <w:r>
        <w:rPr>
          <w:noProof/>
        </w:rPr>
        <w:fldChar w:fldCharType="begin"/>
      </w:r>
      <w:r>
        <w:rPr>
          <w:noProof/>
        </w:rPr>
        <w:instrText xml:space="preserve"> PAGEREF _Toc203996808 \h </w:instrText>
      </w:r>
      <w:r>
        <w:rPr>
          <w:noProof/>
        </w:rPr>
      </w:r>
      <w:r>
        <w:rPr>
          <w:noProof/>
        </w:rPr>
        <w:fldChar w:fldCharType="separate"/>
      </w:r>
      <w:r w:rsidR="00835FDB">
        <w:rPr>
          <w:noProof/>
        </w:rPr>
        <w:t>53</w:t>
      </w:r>
      <w:r>
        <w:rPr>
          <w:noProof/>
        </w:rPr>
        <w:fldChar w:fldCharType="end"/>
      </w:r>
    </w:p>
    <w:p w14:paraId="466A75EB" w14:textId="0A754587" w:rsidR="004E6AB0" w:rsidRDefault="004E6AB0" w:rsidP="004940A8">
      <w:pPr>
        <w:pStyle w:val="TOC1"/>
        <w:tabs>
          <w:tab w:val="left" w:pos="407"/>
          <w:tab w:val="right" w:leader="dot" w:pos="8755"/>
        </w:tabs>
        <w:ind w:firstLine="1134"/>
        <w:jc w:val="left"/>
        <w:rPr>
          <w:rFonts w:eastAsiaTheme="minorEastAsia" w:cstheme="minorBidi"/>
          <w:noProof/>
          <w:sz w:val="24"/>
          <w:szCs w:val="24"/>
          <w:lang w:val="en-US" w:eastAsia="ja-JP"/>
        </w:rPr>
      </w:pPr>
      <w:r>
        <w:rPr>
          <w:noProof/>
        </w:rPr>
        <w:t>8.</w:t>
      </w:r>
      <w:r w:rsidR="004940A8">
        <w:rPr>
          <w:noProof/>
        </w:rPr>
        <w:t xml:space="preserve"> </w:t>
      </w:r>
      <w:r>
        <w:rPr>
          <w:noProof/>
        </w:rPr>
        <w:t>Timing and Duration the IPR and Re-Design Mission</w:t>
      </w:r>
      <w:r>
        <w:rPr>
          <w:noProof/>
        </w:rPr>
        <w:tab/>
      </w:r>
      <w:r>
        <w:rPr>
          <w:noProof/>
        </w:rPr>
        <w:fldChar w:fldCharType="begin"/>
      </w:r>
      <w:r>
        <w:rPr>
          <w:noProof/>
        </w:rPr>
        <w:instrText xml:space="preserve"> PAGEREF _Toc203996809 \h </w:instrText>
      </w:r>
      <w:r>
        <w:rPr>
          <w:noProof/>
        </w:rPr>
      </w:r>
      <w:r>
        <w:rPr>
          <w:noProof/>
        </w:rPr>
        <w:fldChar w:fldCharType="separate"/>
      </w:r>
      <w:r w:rsidR="00835FDB">
        <w:rPr>
          <w:noProof/>
        </w:rPr>
        <w:t>56</w:t>
      </w:r>
      <w:r>
        <w:rPr>
          <w:noProof/>
        </w:rPr>
        <w:fldChar w:fldCharType="end"/>
      </w:r>
    </w:p>
    <w:p w14:paraId="7D3AA10B" w14:textId="77777777" w:rsidR="004E6AB0" w:rsidRDefault="004E6AB0" w:rsidP="004940A8">
      <w:pPr>
        <w:pStyle w:val="TOC1"/>
        <w:tabs>
          <w:tab w:val="right" w:leader="dot" w:pos="8755"/>
        </w:tabs>
        <w:ind w:firstLine="1134"/>
        <w:rPr>
          <w:rFonts w:eastAsiaTheme="minorEastAsia" w:cstheme="minorBidi"/>
          <w:noProof/>
          <w:sz w:val="24"/>
          <w:szCs w:val="24"/>
          <w:lang w:val="en-US" w:eastAsia="ja-JP"/>
        </w:rPr>
      </w:pPr>
      <w:r>
        <w:rPr>
          <w:noProof/>
        </w:rPr>
        <w:t>Attachment A: Key Documents</w:t>
      </w:r>
      <w:r>
        <w:rPr>
          <w:noProof/>
        </w:rPr>
        <w:tab/>
      </w:r>
      <w:r>
        <w:rPr>
          <w:noProof/>
        </w:rPr>
        <w:fldChar w:fldCharType="begin"/>
      </w:r>
      <w:r>
        <w:rPr>
          <w:noProof/>
        </w:rPr>
        <w:instrText xml:space="preserve"> PAGEREF _Toc203996810 \h </w:instrText>
      </w:r>
      <w:r>
        <w:rPr>
          <w:noProof/>
        </w:rPr>
      </w:r>
      <w:r>
        <w:rPr>
          <w:noProof/>
        </w:rPr>
        <w:fldChar w:fldCharType="separate"/>
      </w:r>
      <w:r w:rsidR="00835FDB">
        <w:rPr>
          <w:noProof/>
        </w:rPr>
        <w:t>58</w:t>
      </w:r>
      <w:r>
        <w:rPr>
          <w:noProof/>
        </w:rPr>
        <w:fldChar w:fldCharType="end"/>
      </w:r>
    </w:p>
    <w:p w14:paraId="4D4119AF" w14:textId="77777777" w:rsidR="004E6AB0" w:rsidRDefault="004E6AB0" w:rsidP="004940A8">
      <w:pPr>
        <w:pStyle w:val="TOC1"/>
        <w:tabs>
          <w:tab w:val="right" w:leader="dot" w:pos="8755"/>
        </w:tabs>
        <w:ind w:firstLine="1134"/>
        <w:rPr>
          <w:rFonts w:eastAsiaTheme="minorEastAsia" w:cstheme="minorBidi"/>
          <w:noProof/>
          <w:sz w:val="24"/>
          <w:szCs w:val="24"/>
          <w:lang w:val="en-US" w:eastAsia="ja-JP"/>
        </w:rPr>
      </w:pPr>
      <w:r>
        <w:rPr>
          <w:noProof/>
        </w:rPr>
        <w:t>Attachment B: Stakeholders to be Consulted</w:t>
      </w:r>
      <w:r>
        <w:rPr>
          <w:noProof/>
        </w:rPr>
        <w:tab/>
      </w:r>
      <w:r>
        <w:rPr>
          <w:noProof/>
        </w:rPr>
        <w:fldChar w:fldCharType="begin"/>
      </w:r>
      <w:r>
        <w:rPr>
          <w:noProof/>
        </w:rPr>
        <w:instrText xml:space="preserve"> PAGEREF _Toc203996811 \h </w:instrText>
      </w:r>
      <w:r>
        <w:rPr>
          <w:noProof/>
        </w:rPr>
      </w:r>
      <w:r>
        <w:rPr>
          <w:noProof/>
        </w:rPr>
        <w:fldChar w:fldCharType="separate"/>
      </w:r>
      <w:r w:rsidR="00835FDB">
        <w:rPr>
          <w:noProof/>
        </w:rPr>
        <w:t>60</w:t>
      </w:r>
      <w:r>
        <w:rPr>
          <w:noProof/>
        </w:rPr>
        <w:fldChar w:fldCharType="end"/>
      </w:r>
    </w:p>
    <w:p w14:paraId="560C12F7" w14:textId="77777777" w:rsidR="008F2253" w:rsidRDefault="004C5901" w:rsidP="00531AF0">
      <w:pPr>
        <w:spacing w:before="0" w:after="0"/>
        <w:sectPr w:rsidR="008F2253" w:rsidSect="00593009">
          <w:headerReference w:type="even" r:id="rId20"/>
          <w:headerReference w:type="default" r:id="rId21"/>
          <w:footerReference w:type="default" r:id="rId22"/>
          <w:headerReference w:type="first" r:id="rId23"/>
          <w:pgSz w:w="11906" w:h="16838" w:code="9"/>
          <w:pgMar w:top="1440" w:right="1440" w:bottom="1440" w:left="1701" w:header="709" w:footer="709" w:gutter="0"/>
          <w:pgNumType w:fmt="lowerRoman" w:start="1"/>
          <w:cols w:space="708"/>
          <w:docGrid w:linePitch="360"/>
        </w:sectPr>
      </w:pPr>
      <w:r>
        <w:fldChar w:fldCharType="end"/>
      </w:r>
    </w:p>
    <w:p w14:paraId="4C5EA05A" w14:textId="37BCA0CD" w:rsidR="009D7E6F" w:rsidRDefault="009D7E6F" w:rsidP="002838EF">
      <w:pPr>
        <w:pStyle w:val="Heading1"/>
        <w:spacing w:before="0" w:after="0"/>
      </w:pPr>
      <w:bookmarkStart w:id="10" w:name="_Toc203996780"/>
      <w:r>
        <w:lastRenderedPageBreak/>
        <w:t>Acronyms</w:t>
      </w:r>
      <w:bookmarkEnd w:id="10"/>
    </w:p>
    <w:p w14:paraId="5A71A92B" w14:textId="77777777" w:rsidR="002838EF" w:rsidRPr="002838EF" w:rsidRDefault="002838EF" w:rsidP="002838EF">
      <w:pPr>
        <w:spacing w:before="0" w:after="0"/>
      </w:pPr>
      <w:bookmarkStart w:id="11" w:name="_GoBack"/>
      <w:bookmarkEnd w:id="11"/>
    </w:p>
    <w:tbl>
      <w:tblPr>
        <w:tblW w:w="0" w:type="auto"/>
        <w:tblLook w:val="00A0" w:firstRow="1" w:lastRow="0" w:firstColumn="1" w:lastColumn="0" w:noHBand="0" w:noVBand="0"/>
      </w:tblPr>
      <w:tblGrid>
        <w:gridCol w:w="1242"/>
        <w:gridCol w:w="7655"/>
      </w:tblGrid>
      <w:tr w:rsidR="00627B99" w:rsidRPr="00775196" w14:paraId="41150FED" w14:textId="77777777" w:rsidTr="002838EF">
        <w:tc>
          <w:tcPr>
            <w:tcW w:w="1242" w:type="dxa"/>
          </w:tcPr>
          <w:p w14:paraId="16F462EF" w14:textId="77777777" w:rsidR="00627B99" w:rsidRPr="00775196" w:rsidRDefault="00627B99" w:rsidP="00C17F02">
            <w:pPr>
              <w:spacing w:before="0" w:after="0"/>
              <w:rPr>
                <w:bCs/>
              </w:rPr>
            </w:pPr>
            <w:r>
              <w:rPr>
                <w:bCs/>
              </w:rPr>
              <w:t>AP</w:t>
            </w:r>
          </w:p>
        </w:tc>
        <w:tc>
          <w:tcPr>
            <w:tcW w:w="7655" w:type="dxa"/>
          </w:tcPr>
          <w:p w14:paraId="38842891" w14:textId="77777777" w:rsidR="00627B99" w:rsidRPr="00775196" w:rsidRDefault="00627B99" w:rsidP="00DD22C4">
            <w:pPr>
              <w:spacing w:before="0" w:after="0"/>
              <w:jc w:val="left"/>
            </w:pPr>
            <w:r>
              <w:t>Annual Plan</w:t>
            </w:r>
          </w:p>
        </w:tc>
      </w:tr>
      <w:tr w:rsidR="00627B99" w:rsidRPr="00775196" w14:paraId="2095481E" w14:textId="77777777" w:rsidTr="002838EF">
        <w:tc>
          <w:tcPr>
            <w:tcW w:w="1242" w:type="dxa"/>
          </w:tcPr>
          <w:p w14:paraId="6010DB5A" w14:textId="77777777" w:rsidR="00627B99" w:rsidRPr="00775196" w:rsidRDefault="00627B99" w:rsidP="00C17F02">
            <w:pPr>
              <w:spacing w:before="0" w:after="0"/>
              <w:rPr>
                <w:bCs/>
              </w:rPr>
            </w:pPr>
            <w:r w:rsidRPr="00775196">
              <w:rPr>
                <w:bCs/>
              </w:rPr>
              <w:t>APTC</w:t>
            </w:r>
          </w:p>
        </w:tc>
        <w:tc>
          <w:tcPr>
            <w:tcW w:w="7655" w:type="dxa"/>
          </w:tcPr>
          <w:p w14:paraId="01BBE6E3" w14:textId="77777777" w:rsidR="00627B99" w:rsidRPr="00775196" w:rsidRDefault="00627B99" w:rsidP="00DD22C4">
            <w:pPr>
              <w:spacing w:before="0" w:after="0"/>
              <w:jc w:val="left"/>
              <w:rPr>
                <w:bCs/>
              </w:rPr>
            </w:pPr>
            <w:r w:rsidRPr="00775196">
              <w:t>Australian Pacific Technical College</w:t>
            </w:r>
          </w:p>
        </w:tc>
      </w:tr>
      <w:tr w:rsidR="00627B99" w:rsidRPr="00775196" w14:paraId="6C766F7B" w14:textId="77777777" w:rsidTr="002838EF">
        <w:tc>
          <w:tcPr>
            <w:tcW w:w="1242" w:type="dxa"/>
          </w:tcPr>
          <w:p w14:paraId="19FC5C7A" w14:textId="77777777" w:rsidR="00627B99" w:rsidRPr="00775196" w:rsidRDefault="00627B99" w:rsidP="00C17F02">
            <w:pPr>
              <w:spacing w:before="0" w:after="0"/>
              <w:rPr>
                <w:bCs/>
              </w:rPr>
            </w:pPr>
            <w:r w:rsidRPr="00775196">
              <w:rPr>
                <w:bCs/>
              </w:rPr>
              <w:t>APW</w:t>
            </w:r>
          </w:p>
        </w:tc>
        <w:tc>
          <w:tcPr>
            <w:tcW w:w="7655" w:type="dxa"/>
          </w:tcPr>
          <w:p w14:paraId="017479EF" w14:textId="77777777" w:rsidR="00627B99" w:rsidRPr="00775196" w:rsidRDefault="00627B99" w:rsidP="00DD22C4">
            <w:pPr>
              <w:spacing w:before="0" w:after="0"/>
              <w:jc w:val="left"/>
              <w:rPr>
                <w:bCs/>
              </w:rPr>
            </w:pPr>
            <w:r w:rsidRPr="00775196">
              <w:rPr>
                <w:bCs/>
              </w:rPr>
              <w:t>Alternative Pathways</w:t>
            </w:r>
          </w:p>
        </w:tc>
      </w:tr>
      <w:tr w:rsidR="00627B99" w:rsidRPr="00775196" w14:paraId="6B69437E" w14:textId="77777777" w:rsidTr="002838EF">
        <w:tc>
          <w:tcPr>
            <w:tcW w:w="1242" w:type="dxa"/>
          </w:tcPr>
          <w:p w14:paraId="169FC197" w14:textId="77777777" w:rsidR="00627B99" w:rsidRPr="00775196" w:rsidRDefault="00627B99" w:rsidP="00C17F02">
            <w:pPr>
              <w:spacing w:before="0" w:after="0"/>
              <w:rPr>
                <w:bCs/>
              </w:rPr>
            </w:pPr>
            <w:r w:rsidRPr="00775196">
              <w:rPr>
                <w:bCs/>
              </w:rPr>
              <w:t>AUD</w:t>
            </w:r>
          </w:p>
        </w:tc>
        <w:tc>
          <w:tcPr>
            <w:tcW w:w="7655" w:type="dxa"/>
          </w:tcPr>
          <w:p w14:paraId="09D27F46" w14:textId="77777777" w:rsidR="00627B99" w:rsidRPr="00775196" w:rsidRDefault="00627B99" w:rsidP="00DD22C4">
            <w:pPr>
              <w:spacing w:before="0" w:after="0"/>
              <w:jc w:val="left"/>
              <w:rPr>
                <w:bCs/>
              </w:rPr>
            </w:pPr>
            <w:r w:rsidRPr="00775196">
              <w:rPr>
                <w:bCs/>
              </w:rPr>
              <w:t>Australian Dollar</w:t>
            </w:r>
          </w:p>
        </w:tc>
      </w:tr>
      <w:tr w:rsidR="00627B99" w:rsidRPr="00775196" w14:paraId="6EBB6298" w14:textId="77777777" w:rsidTr="002838EF">
        <w:tc>
          <w:tcPr>
            <w:tcW w:w="1242" w:type="dxa"/>
          </w:tcPr>
          <w:p w14:paraId="404F3947" w14:textId="77777777" w:rsidR="00627B99" w:rsidRPr="00775196" w:rsidRDefault="00627B99" w:rsidP="00C17F02">
            <w:pPr>
              <w:spacing w:before="0" w:after="0"/>
              <w:rPr>
                <w:bCs/>
              </w:rPr>
            </w:pPr>
            <w:r w:rsidRPr="00775196">
              <w:rPr>
                <w:bCs/>
              </w:rPr>
              <w:t>AusAID</w:t>
            </w:r>
          </w:p>
        </w:tc>
        <w:tc>
          <w:tcPr>
            <w:tcW w:w="7655" w:type="dxa"/>
          </w:tcPr>
          <w:p w14:paraId="3A55200D" w14:textId="77777777" w:rsidR="00627B99" w:rsidRPr="00775196" w:rsidRDefault="00627B99" w:rsidP="00DD22C4">
            <w:pPr>
              <w:spacing w:before="0" w:after="0"/>
              <w:jc w:val="left"/>
              <w:rPr>
                <w:bCs/>
              </w:rPr>
            </w:pPr>
            <w:r w:rsidRPr="00775196">
              <w:rPr>
                <w:bCs/>
              </w:rPr>
              <w:t>Australian Agency for International Development</w:t>
            </w:r>
          </w:p>
        </w:tc>
      </w:tr>
      <w:tr w:rsidR="00627B99" w:rsidRPr="00775196" w14:paraId="70B40F50" w14:textId="77777777" w:rsidTr="002838EF">
        <w:tc>
          <w:tcPr>
            <w:tcW w:w="1242" w:type="dxa"/>
          </w:tcPr>
          <w:p w14:paraId="25C25330" w14:textId="77777777" w:rsidR="00627B99" w:rsidRPr="00775196" w:rsidRDefault="00627B99" w:rsidP="00C17F02">
            <w:pPr>
              <w:spacing w:before="0" w:after="0"/>
              <w:rPr>
                <w:bCs/>
              </w:rPr>
            </w:pPr>
            <w:r w:rsidRPr="00775196">
              <w:rPr>
                <w:bCs/>
              </w:rPr>
              <w:t>CBT</w:t>
            </w:r>
          </w:p>
        </w:tc>
        <w:tc>
          <w:tcPr>
            <w:tcW w:w="7655" w:type="dxa"/>
          </w:tcPr>
          <w:p w14:paraId="2AFE168E" w14:textId="77777777" w:rsidR="00627B99" w:rsidRPr="00775196" w:rsidRDefault="00627B99" w:rsidP="00DD22C4">
            <w:pPr>
              <w:spacing w:before="0" w:after="0"/>
              <w:jc w:val="left"/>
              <w:rPr>
                <w:bCs/>
              </w:rPr>
            </w:pPr>
            <w:r w:rsidRPr="00775196">
              <w:t>Competency Based Training</w:t>
            </w:r>
          </w:p>
        </w:tc>
      </w:tr>
      <w:tr w:rsidR="00627B99" w:rsidRPr="00775196" w14:paraId="00018502" w14:textId="77777777" w:rsidTr="002838EF">
        <w:tc>
          <w:tcPr>
            <w:tcW w:w="1242" w:type="dxa"/>
          </w:tcPr>
          <w:p w14:paraId="46BC6613" w14:textId="77777777" w:rsidR="00627B99" w:rsidRPr="00775196" w:rsidRDefault="00627B99" w:rsidP="00C17F02">
            <w:pPr>
              <w:spacing w:before="0" w:after="0"/>
              <w:rPr>
                <w:bCs/>
              </w:rPr>
            </w:pPr>
            <w:r w:rsidRPr="00775196">
              <w:rPr>
                <w:bCs/>
              </w:rPr>
              <w:t>CEO</w:t>
            </w:r>
          </w:p>
        </w:tc>
        <w:tc>
          <w:tcPr>
            <w:tcW w:w="7655" w:type="dxa"/>
          </w:tcPr>
          <w:p w14:paraId="44A4C40A" w14:textId="77777777" w:rsidR="00627B99" w:rsidRPr="00775196" w:rsidRDefault="00627B99" w:rsidP="00DD22C4">
            <w:pPr>
              <w:spacing w:before="0" w:after="0"/>
              <w:jc w:val="left"/>
            </w:pPr>
            <w:r w:rsidRPr="00775196">
              <w:t>Chief Executive Officer</w:t>
            </w:r>
          </w:p>
        </w:tc>
      </w:tr>
      <w:tr w:rsidR="00627B99" w:rsidRPr="00775196" w14:paraId="58CCDB9C" w14:textId="77777777" w:rsidTr="002838EF">
        <w:tc>
          <w:tcPr>
            <w:tcW w:w="1242" w:type="dxa"/>
          </w:tcPr>
          <w:p w14:paraId="1A896E4A" w14:textId="77777777" w:rsidR="00627B99" w:rsidRPr="00775196" w:rsidRDefault="00627B99" w:rsidP="00C17F02">
            <w:pPr>
              <w:spacing w:before="0" w:after="0"/>
              <w:rPr>
                <w:bCs/>
              </w:rPr>
            </w:pPr>
            <w:r w:rsidRPr="00775196">
              <w:rPr>
                <w:bCs/>
              </w:rPr>
              <w:t>DPM</w:t>
            </w:r>
          </w:p>
        </w:tc>
        <w:tc>
          <w:tcPr>
            <w:tcW w:w="7655" w:type="dxa"/>
          </w:tcPr>
          <w:p w14:paraId="2558C010" w14:textId="77777777" w:rsidR="00627B99" w:rsidRPr="00775196" w:rsidRDefault="00627B99" w:rsidP="002838EF">
            <w:pPr>
              <w:spacing w:before="0" w:after="0"/>
              <w:jc w:val="left"/>
              <w:rPr>
                <w:bCs/>
              </w:rPr>
            </w:pPr>
            <w:r w:rsidRPr="00775196">
              <w:rPr>
                <w:bCs/>
              </w:rPr>
              <w:t>Deputy Program Manager</w:t>
            </w:r>
          </w:p>
        </w:tc>
      </w:tr>
      <w:tr w:rsidR="00627B99" w:rsidRPr="00775196" w14:paraId="122B0056" w14:textId="77777777" w:rsidTr="002838EF">
        <w:tc>
          <w:tcPr>
            <w:tcW w:w="1242" w:type="dxa"/>
          </w:tcPr>
          <w:p w14:paraId="4611D98C" w14:textId="77777777" w:rsidR="00627B99" w:rsidRPr="00775196" w:rsidRDefault="00627B99" w:rsidP="00C17F02">
            <w:pPr>
              <w:spacing w:before="0" w:after="0"/>
              <w:rPr>
                <w:bCs/>
              </w:rPr>
            </w:pPr>
            <w:r w:rsidRPr="00775196">
              <w:rPr>
                <w:bCs/>
              </w:rPr>
              <w:t>ETF</w:t>
            </w:r>
          </w:p>
        </w:tc>
        <w:tc>
          <w:tcPr>
            <w:tcW w:w="7655" w:type="dxa"/>
          </w:tcPr>
          <w:p w14:paraId="35D39C96" w14:textId="77777777" w:rsidR="00627B99" w:rsidRPr="00775196" w:rsidRDefault="00627B99" w:rsidP="00DD22C4">
            <w:pPr>
              <w:spacing w:before="0" w:after="0"/>
              <w:jc w:val="left"/>
            </w:pPr>
            <w:r w:rsidRPr="00775196">
              <w:t>Employment and Training Fund (TSP1)</w:t>
            </w:r>
          </w:p>
        </w:tc>
      </w:tr>
      <w:tr w:rsidR="00627B99" w:rsidRPr="00775196" w14:paraId="4C4F9696" w14:textId="77777777" w:rsidTr="002838EF">
        <w:tc>
          <w:tcPr>
            <w:tcW w:w="1242" w:type="dxa"/>
          </w:tcPr>
          <w:p w14:paraId="64172F1E" w14:textId="77777777" w:rsidR="00627B99" w:rsidRPr="00775196" w:rsidRDefault="00627B99" w:rsidP="00C17F02">
            <w:pPr>
              <w:spacing w:before="0" w:after="0"/>
              <w:rPr>
                <w:bCs/>
              </w:rPr>
            </w:pPr>
            <w:r w:rsidRPr="00775196">
              <w:rPr>
                <w:bCs/>
              </w:rPr>
              <w:t>HIES</w:t>
            </w:r>
          </w:p>
        </w:tc>
        <w:tc>
          <w:tcPr>
            <w:tcW w:w="7655" w:type="dxa"/>
          </w:tcPr>
          <w:p w14:paraId="687785A9" w14:textId="77777777" w:rsidR="00627B99" w:rsidRPr="00775196" w:rsidRDefault="00627B99" w:rsidP="00DD22C4">
            <w:pPr>
              <w:spacing w:before="0" w:after="0"/>
              <w:jc w:val="left"/>
              <w:rPr>
                <w:bCs/>
              </w:rPr>
            </w:pPr>
            <w:r w:rsidRPr="00775196">
              <w:rPr>
                <w:bCs/>
              </w:rPr>
              <w:t>Household Income and Expenditure Survey</w:t>
            </w:r>
          </w:p>
        </w:tc>
      </w:tr>
      <w:tr w:rsidR="00627B99" w:rsidRPr="00775196" w14:paraId="5CAB0E4D" w14:textId="77777777" w:rsidTr="002838EF">
        <w:tc>
          <w:tcPr>
            <w:tcW w:w="1242" w:type="dxa"/>
          </w:tcPr>
          <w:p w14:paraId="58B5EC9B" w14:textId="77777777" w:rsidR="00627B99" w:rsidRPr="00775196" w:rsidRDefault="00627B99" w:rsidP="00C17F02">
            <w:pPr>
              <w:spacing w:before="0" w:after="0"/>
              <w:rPr>
                <w:bCs/>
              </w:rPr>
            </w:pPr>
            <w:r w:rsidRPr="00775196">
              <w:rPr>
                <w:bCs/>
              </w:rPr>
              <w:t>ITACs</w:t>
            </w:r>
          </w:p>
        </w:tc>
        <w:tc>
          <w:tcPr>
            <w:tcW w:w="7655" w:type="dxa"/>
          </w:tcPr>
          <w:p w14:paraId="5642D325" w14:textId="77777777" w:rsidR="00627B99" w:rsidRPr="00775196" w:rsidRDefault="00627B99" w:rsidP="00DD22C4">
            <w:pPr>
              <w:spacing w:before="0" w:after="0"/>
              <w:jc w:val="left"/>
              <w:rPr>
                <w:bCs/>
              </w:rPr>
            </w:pPr>
            <w:r w:rsidRPr="00775196">
              <w:rPr>
                <w:bCs/>
              </w:rPr>
              <w:t>Industry Training Advisory Councils</w:t>
            </w:r>
          </w:p>
        </w:tc>
      </w:tr>
      <w:tr w:rsidR="00627B99" w:rsidRPr="00775196" w14:paraId="1F812E7C" w14:textId="77777777" w:rsidTr="002838EF">
        <w:tc>
          <w:tcPr>
            <w:tcW w:w="1242" w:type="dxa"/>
          </w:tcPr>
          <w:p w14:paraId="29509457" w14:textId="77777777" w:rsidR="00627B99" w:rsidRPr="00775196" w:rsidRDefault="00627B99" w:rsidP="00C17F02">
            <w:pPr>
              <w:spacing w:before="0" w:after="0"/>
              <w:rPr>
                <w:bCs/>
              </w:rPr>
            </w:pPr>
            <w:r w:rsidRPr="00775196">
              <w:rPr>
                <w:bCs/>
              </w:rPr>
              <w:t>KPI</w:t>
            </w:r>
          </w:p>
        </w:tc>
        <w:tc>
          <w:tcPr>
            <w:tcW w:w="7655" w:type="dxa"/>
          </w:tcPr>
          <w:p w14:paraId="13578475" w14:textId="77777777" w:rsidR="00627B99" w:rsidRPr="00775196" w:rsidRDefault="00627B99" w:rsidP="00DD22C4">
            <w:pPr>
              <w:spacing w:before="0" w:after="0"/>
              <w:jc w:val="left"/>
              <w:rPr>
                <w:bCs/>
              </w:rPr>
            </w:pPr>
            <w:r w:rsidRPr="00775196">
              <w:rPr>
                <w:bCs/>
              </w:rPr>
              <w:t>Key Performance Indicator</w:t>
            </w:r>
          </w:p>
        </w:tc>
      </w:tr>
      <w:tr w:rsidR="00627B99" w:rsidRPr="00775196" w14:paraId="6F19FF72" w14:textId="77777777" w:rsidTr="002838EF">
        <w:tc>
          <w:tcPr>
            <w:tcW w:w="1242" w:type="dxa"/>
          </w:tcPr>
          <w:p w14:paraId="39E10471" w14:textId="77777777" w:rsidR="00627B99" w:rsidRPr="00775196" w:rsidRDefault="00627B99" w:rsidP="00C17F02">
            <w:pPr>
              <w:spacing w:before="0" w:after="0"/>
              <w:rPr>
                <w:bCs/>
              </w:rPr>
            </w:pPr>
            <w:r w:rsidRPr="00775196">
              <w:rPr>
                <w:bCs/>
              </w:rPr>
              <w:t>KRA</w:t>
            </w:r>
          </w:p>
        </w:tc>
        <w:tc>
          <w:tcPr>
            <w:tcW w:w="7655" w:type="dxa"/>
          </w:tcPr>
          <w:p w14:paraId="08744223" w14:textId="77777777" w:rsidR="00627B99" w:rsidRPr="00775196" w:rsidRDefault="00627B99" w:rsidP="00DD22C4">
            <w:pPr>
              <w:spacing w:before="0" w:after="0"/>
              <w:jc w:val="left"/>
              <w:rPr>
                <w:bCs/>
              </w:rPr>
            </w:pPr>
            <w:r w:rsidRPr="00775196">
              <w:rPr>
                <w:bCs/>
              </w:rPr>
              <w:t>Key Result Area</w:t>
            </w:r>
          </w:p>
        </w:tc>
      </w:tr>
      <w:tr w:rsidR="00627B99" w:rsidRPr="00775196" w14:paraId="0A37848B" w14:textId="77777777" w:rsidTr="002838EF">
        <w:tc>
          <w:tcPr>
            <w:tcW w:w="1242" w:type="dxa"/>
          </w:tcPr>
          <w:p w14:paraId="5369A43C" w14:textId="77777777" w:rsidR="00627B99" w:rsidRPr="00775196" w:rsidRDefault="00627B99" w:rsidP="00C17F02">
            <w:pPr>
              <w:spacing w:before="0" w:after="0"/>
              <w:rPr>
                <w:bCs/>
              </w:rPr>
            </w:pPr>
            <w:r w:rsidRPr="00775196">
              <w:rPr>
                <w:bCs/>
              </w:rPr>
              <w:t>M&amp;E</w:t>
            </w:r>
          </w:p>
        </w:tc>
        <w:tc>
          <w:tcPr>
            <w:tcW w:w="7655" w:type="dxa"/>
          </w:tcPr>
          <w:p w14:paraId="16CE7A53" w14:textId="77777777" w:rsidR="00627B99" w:rsidRPr="00775196" w:rsidRDefault="00627B99" w:rsidP="00DD22C4">
            <w:pPr>
              <w:spacing w:before="0" w:after="0"/>
              <w:jc w:val="left"/>
              <w:rPr>
                <w:bCs/>
              </w:rPr>
            </w:pPr>
            <w:r w:rsidRPr="00775196">
              <w:rPr>
                <w:bCs/>
              </w:rPr>
              <w:t>Monitoring and Evaluation</w:t>
            </w:r>
          </w:p>
        </w:tc>
      </w:tr>
      <w:tr w:rsidR="00627B99" w:rsidRPr="00775196" w14:paraId="6D2DA818" w14:textId="77777777" w:rsidTr="002838EF">
        <w:tc>
          <w:tcPr>
            <w:tcW w:w="1242" w:type="dxa"/>
          </w:tcPr>
          <w:p w14:paraId="0EE4796D" w14:textId="77777777" w:rsidR="00627B99" w:rsidRPr="00775196" w:rsidRDefault="00627B99" w:rsidP="00C17F02">
            <w:pPr>
              <w:spacing w:before="0" w:after="0"/>
              <w:rPr>
                <w:bCs/>
              </w:rPr>
            </w:pPr>
            <w:r>
              <w:rPr>
                <w:bCs/>
              </w:rPr>
              <w:t>MET</w:t>
            </w:r>
          </w:p>
        </w:tc>
        <w:tc>
          <w:tcPr>
            <w:tcW w:w="7655" w:type="dxa"/>
          </w:tcPr>
          <w:p w14:paraId="6E131586" w14:textId="77777777" w:rsidR="00627B99" w:rsidRPr="00775196" w:rsidRDefault="00627B99" w:rsidP="00DD22C4">
            <w:pPr>
              <w:spacing w:before="0" w:after="0"/>
              <w:jc w:val="left"/>
              <w:rPr>
                <w:bCs/>
              </w:rPr>
            </w:pPr>
            <w:r>
              <w:rPr>
                <w:bCs/>
              </w:rPr>
              <w:t>Ministry of Education and Training</w:t>
            </w:r>
          </w:p>
        </w:tc>
      </w:tr>
      <w:tr w:rsidR="00627B99" w:rsidRPr="00775196" w14:paraId="3EDFFD78" w14:textId="77777777" w:rsidTr="002838EF">
        <w:tc>
          <w:tcPr>
            <w:tcW w:w="1242" w:type="dxa"/>
          </w:tcPr>
          <w:p w14:paraId="0B9688A6" w14:textId="77777777" w:rsidR="00627B99" w:rsidRPr="00775196" w:rsidRDefault="00627B99" w:rsidP="00C17F02">
            <w:pPr>
              <w:spacing w:before="0" w:after="0"/>
              <w:rPr>
                <w:bCs/>
              </w:rPr>
            </w:pPr>
            <w:r w:rsidRPr="00775196">
              <w:rPr>
                <w:bCs/>
              </w:rPr>
              <w:t>MEWAC</w:t>
            </w:r>
          </w:p>
        </w:tc>
        <w:tc>
          <w:tcPr>
            <w:tcW w:w="7655" w:type="dxa"/>
          </w:tcPr>
          <w:p w14:paraId="2904F962" w14:textId="77777777" w:rsidR="00627B99" w:rsidRPr="00775196" w:rsidRDefault="00627B99" w:rsidP="00DD22C4">
            <w:pPr>
              <w:spacing w:before="0" w:after="0"/>
              <w:jc w:val="left"/>
              <w:rPr>
                <w:bCs/>
              </w:rPr>
            </w:pPr>
            <w:r w:rsidRPr="00775196">
              <w:rPr>
                <w:bCs/>
              </w:rPr>
              <w:t>Ministry of Education, Women’s Affairs and Culture</w:t>
            </w:r>
          </w:p>
        </w:tc>
      </w:tr>
      <w:tr w:rsidR="00DD22C4" w:rsidRPr="00775196" w14:paraId="6798692B" w14:textId="77777777" w:rsidTr="002838EF">
        <w:tc>
          <w:tcPr>
            <w:tcW w:w="1242" w:type="dxa"/>
          </w:tcPr>
          <w:p w14:paraId="320BA868" w14:textId="77777777" w:rsidR="00DD22C4" w:rsidRPr="00775196" w:rsidRDefault="00DD22C4" w:rsidP="00C17F02">
            <w:pPr>
              <w:spacing w:before="0" w:after="0"/>
            </w:pPr>
            <w:r>
              <w:t>MFAT</w:t>
            </w:r>
          </w:p>
        </w:tc>
        <w:tc>
          <w:tcPr>
            <w:tcW w:w="7655" w:type="dxa"/>
          </w:tcPr>
          <w:p w14:paraId="04486006" w14:textId="77777777" w:rsidR="00DD22C4" w:rsidRPr="00775196" w:rsidRDefault="00DD22C4" w:rsidP="00DD22C4">
            <w:pPr>
              <w:spacing w:before="0" w:after="0"/>
              <w:jc w:val="left"/>
            </w:pPr>
            <w:r>
              <w:t>Ministry of Foreign Affairs and Trade (New Zealand)</w:t>
            </w:r>
          </w:p>
        </w:tc>
      </w:tr>
      <w:tr w:rsidR="00627B99" w:rsidRPr="00775196" w14:paraId="4B15EF46" w14:textId="77777777" w:rsidTr="002838EF">
        <w:tc>
          <w:tcPr>
            <w:tcW w:w="1242" w:type="dxa"/>
          </w:tcPr>
          <w:p w14:paraId="5D079027" w14:textId="77777777" w:rsidR="00627B99" w:rsidRPr="00775196" w:rsidRDefault="00627B99" w:rsidP="00C17F02">
            <w:pPr>
              <w:spacing w:before="0" w:after="0"/>
            </w:pPr>
            <w:r w:rsidRPr="00775196">
              <w:t>MF</w:t>
            </w:r>
            <w:r>
              <w:t>N</w:t>
            </w:r>
            <w:r w:rsidRPr="00775196">
              <w:t>P</w:t>
            </w:r>
          </w:p>
        </w:tc>
        <w:tc>
          <w:tcPr>
            <w:tcW w:w="7655" w:type="dxa"/>
          </w:tcPr>
          <w:p w14:paraId="063219D7" w14:textId="77777777" w:rsidR="00627B99" w:rsidRPr="00775196" w:rsidRDefault="00627B99" w:rsidP="00DD22C4">
            <w:pPr>
              <w:spacing w:before="0" w:after="0"/>
              <w:jc w:val="left"/>
            </w:pPr>
            <w:r w:rsidRPr="00775196">
              <w:t xml:space="preserve">Ministry of Finance and </w:t>
            </w:r>
            <w:r>
              <w:t xml:space="preserve">National </w:t>
            </w:r>
            <w:r w:rsidRPr="00775196">
              <w:t xml:space="preserve">Planning </w:t>
            </w:r>
          </w:p>
        </w:tc>
      </w:tr>
      <w:tr w:rsidR="00627B99" w:rsidRPr="00775196" w14:paraId="7B0247AB" w14:textId="77777777" w:rsidTr="002838EF">
        <w:tc>
          <w:tcPr>
            <w:tcW w:w="1242" w:type="dxa"/>
          </w:tcPr>
          <w:p w14:paraId="238923AD" w14:textId="77777777" w:rsidR="00627B99" w:rsidRPr="00775196" w:rsidRDefault="00627B99" w:rsidP="00C17F02">
            <w:pPr>
              <w:spacing w:before="0" w:after="0"/>
            </w:pPr>
            <w:r w:rsidRPr="00775196">
              <w:t>MLCI</w:t>
            </w:r>
          </w:p>
        </w:tc>
        <w:tc>
          <w:tcPr>
            <w:tcW w:w="7655" w:type="dxa"/>
          </w:tcPr>
          <w:p w14:paraId="5F2A761E" w14:textId="77777777" w:rsidR="00627B99" w:rsidRPr="00775196" w:rsidRDefault="00627B99" w:rsidP="00DD22C4">
            <w:pPr>
              <w:spacing w:before="0" w:after="0"/>
              <w:jc w:val="left"/>
            </w:pPr>
            <w:r w:rsidRPr="00775196">
              <w:t>Ministry of Labour, Commerce and Industry</w:t>
            </w:r>
          </w:p>
        </w:tc>
      </w:tr>
      <w:tr w:rsidR="00627B99" w:rsidRPr="00775196" w14:paraId="5B21C31E" w14:textId="77777777" w:rsidTr="002838EF">
        <w:tc>
          <w:tcPr>
            <w:tcW w:w="1242" w:type="dxa"/>
          </w:tcPr>
          <w:p w14:paraId="2184651B" w14:textId="77777777" w:rsidR="00627B99" w:rsidRPr="00775196" w:rsidRDefault="00627B99" w:rsidP="00C17F02">
            <w:pPr>
              <w:spacing w:before="0" w:after="0"/>
            </w:pPr>
            <w:r w:rsidRPr="00775196">
              <w:t>MOTEYS</w:t>
            </w:r>
          </w:p>
        </w:tc>
        <w:tc>
          <w:tcPr>
            <w:tcW w:w="7655" w:type="dxa"/>
          </w:tcPr>
          <w:p w14:paraId="6F278B8E" w14:textId="77777777" w:rsidR="00627B99" w:rsidRPr="00775196" w:rsidRDefault="00627B99" w:rsidP="00DD22C4">
            <w:pPr>
              <w:spacing w:before="0" w:after="0"/>
              <w:jc w:val="left"/>
            </w:pPr>
            <w:r w:rsidRPr="00775196">
              <w:t>Ministry of Training, Employment, Youth and Sports</w:t>
            </w:r>
          </w:p>
        </w:tc>
      </w:tr>
      <w:tr w:rsidR="00627B99" w:rsidRPr="00775196" w14:paraId="32AFBA1C" w14:textId="77777777" w:rsidTr="002838EF">
        <w:tc>
          <w:tcPr>
            <w:tcW w:w="1242" w:type="dxa"/>
          </w:tcPr>
          <w:p w14:paraId="0DF24704" w14:textId="77777777" w:rsidR="00627B99" w:rsidRPr="00775196" w:rsidRDefault="00627B99" w:rsidP="00C17F02">
            <w:pPr>
              <w:spacing w:before="0" w:after="0"/>
              <w:rPr>
                <w:bCs/>
              </w:rPr>
            </w:pPr>
            <w:r w:rsidRPr="00775196">
              <w:rPr>
                <w:bCs/>
              </w:rPr>
              <w:t>NGOs</w:t>
            </w:r>
          </w:p>
        </w:tc>
        <w:tc>
          <w:tcPr>
            <w:tcW w:w="7655" w:type="dxa"/>
          </w:tcPr>
          <w:p w14:paraId="229B1635" w14:textId="77777777" w:rsidR="00627B99" w:rsidRPr="00775196" w:rsidRDefault="00627B99" w:rsidP="00DD22C4">
            <w:pPr>
              <w:spacing w:before="0" w:after="0"/>
              <w:jc w:val="left"/>
              <w:rPr>
                <w:bCs/>
              </w:rPr>
            </w:pPr>
            <w:r w:rsidRPr="00775196">
              <w:rPr>
                <w:bCs/>
              </w:rPr>
              <w:t>Non-Government Organisations</w:t>
            </w:r>
          </w:p>
        </w:tc>
      </w:tr>
      <w:tr w:rsidR="00627B99" w:rsidRPr="00775196" w14:paraId="73E04083" w14:textId="77777777" w:rsidTr="002838EF">
        <w:tc>
          <w:tcPr>
            <w:tcW w:w="1242" w:type="dxa"/>
          </w:tcPr>
          <w:p w14:paraId="1A838942" w14:textId="77777777" w:rsidR="00627B99" w:rsidRPr="00775196" w:rsidRDefault="00627B99" w:rsidP="00C17F02">
            <w:pPr>
              <w:spacing w:before="0" w:after="0"/>
            </w:pPr>
            <w:r w:rsidRPr="00775196">
              <w:t>NSPF</w:t>
            </w:r>
          </w:p>
        </w:tc>
        <w:tc>
          <w:tcPr>
            <w:tcW w:w="7655" w:type="dxa"/>
          </w:tcPr>
          <w:p w14:paraId="43356E96" w14:textId="77777777" w:rsidR="00627B99" w:rsidRPr="00775196" w:rsidRDefault="00627B99" w:rsidP="00DD22C4">
            <w:pPr>
              <w:spacing w:before="0" w:after="0"/>
              <w:jc w:val="left"/>
            </w:pPr>
            <w:r w:rsidRPr="00775196">
              <w:t>National Strategic Planning Framework</w:t>
            </w:r>
          </w:p>
        </w:tc>
      </w:tr>
      <w:tr w:rsidR="00627B99" w:rsidRPr="00775196" w14:paraId="63A5ECA4" w14:textId="77777777" w:rsidTr="002838EF">
        <w:tc>
          <w:tcPr>
            <w:tcW w:w="1242" w:type="dxa"/>
          </w:tcPr>
          <w:p w14:paraId="7D17E17D" w14:textId="77777777" w:rsidR="00627B99" w:rsidRPr="00775196" w:rsidRDefault="00627B99" w:rsidP="00C17F02">
            <w:pPr>
              <w:spacing w:before="0" w:after="0"/>
            </w:pPr>
            <w:r w:rsidRPr="00775196">
              <w:t>NTSF</w:t>
            </w:r>
          </w:p>
        </w:tc>
        <w:tc>
          <w:tcPr>
            <w:tcW w:w="7655" w:type="dxa"/>
          </w:tcPr>
          <w:p w14:paraId="18327B03" w14:textId="77777777" w:rsidR="00627B99" w:rsidRPr="00775196" w:rsidRDefault="00627B99" w:rsidP="00DD22C4">
            <w:pPr>
              <w:spacing w:before="0" w:after="0"/>
              <w:jc w:val="left"/>
            </w:pPr>
            <w:r w:rsidRPr="00775196">
              <w:t>National TVET Stakeholder Forum (previously National Steering Committee)</w:t>
            </w:r>
          </w:p>
        </w:tc>
      </w:tr>
      <w:tr w:rsidR="00627B99" w:rsidRPr="00775196" w14:paraId="21972DF6" w14:textId="77777777" w:rsidTr="002838EF">
        <w:tc>
          <w:tcPr>
            <w:tcW w:w="1242" w:type="dxa"/>
          </w:tcPr>
          <w:p w14:paraId="6F744583" w14:textId="77777777" w:rsidR="00627B99" w:rsidRPr="00775196" w:rsidRDefault="00627B99" w:rsidP="00C17F02">
            <w:pPr>
              <w:spacing w:before="0" w:after="0"/>
              <w:rPr>
                <w:bCs/>
              </w:rPr>
            </w:pPr>
            <w:r w:rsidRPr="00775196">
              <w:rPr>
                <w:bCs/>
              </w:rPr>
              <w:t>NZ</w:t>
            </w:r>
          </w:p>
        </w:tc>
        <w:tc>
          <w:tcPr>
            <w:tcW w:w="7655" w:type="dxa"/>
          </w:tcPr>
          <w:p w14:paraId="5A9BAF0B" w14:textId="77777777" w:rsidR="00627B99" w:rsidRPr="00775196" w:rsidRDefault="00627B99" w:rsidP="00DD22C4">
            <w:pPr>
              <w:spacing w:before="0" w:after="0"/>
              <w:jc w:val="left"/>
              <w:rPr>
                <w:bCs/>
              </w:rPr>
            </w:pPr>
            <w:r w:rsidRPr="00775196">
              <w:rPr>
                <w:bCs/>
              </w:rPr>
              <w:t>New Zealand</w:t>
            </w:r>
          </w:p>
        </w:tc>
      </w:tr>
      <w:tr w:rsidR="00627B99" w:rsidRPr="00775196" w14:paraId="3D23332F" w14:textId="77777777" w:rsidTr="002838EF">
        <w:tc>
          <w:tcPr>
            <w:tcW w:w="1242" w:type="dxa"/>
          </w:tcPr>
          <w:p w14:paraId="3FCAFE99" w14:textId="77777777" w:rsidR="00627B99" w:rsidRPr="00775196" w:rsidRDefault="00627B99" w:rsidP="00C17F02">
            <w:pPr>
              <w:spacing w:before="0" w:after="0"/>
              <w:rPr>
                <w:bCs/>
              </w:rPr>
            </w:pPr>
            <w:r w:rsidRPr="00775196">
              <w:rPr>
                <w:bCs/>
              </w:rPr>
              <w:t>NZAP</w:t>
            </w:r>
          </w:p>
        </w:tc>
        <w:tc>
          <w:tcPr>
            <w:tcW w:w="7655" w:type="dxa"/>
          </w:tcPr>
          <w:p w14:paraId="69961151" w14:textId="77777777" w:rsidR="00627B99" w:rsidRPr="00775196" w:rsidRDefault="00627B99" w:rsidP="00DD22C4">
            <w:pPr>
              <w:spacing w:before="0" w:after="0"/>
              <w:jc w:val="left"/>
              <w:rPr>
                <w:bCs/>
              </w:rPr>
            </w:pPr>
            <w:r>
              <w:rPr>
                <w:bCs/>
              </w:rPr>
              <w:t>New Zealand Aid Program</w:t>
            </w:r>
            <w:r w:rsidRPr="00775196">
              <w:rPr>
                <w:bCs/>
              </w:rPr>
              <w:t xml:space="preserve"> (formerly NZAID)</w:t>
            </w:r>
          </w:p>
        </w:tc>
      </w:tr>
      <w:tr w:rsidR="00DD22C4" w:rsidRPr="00775196" w14:paraId="0F677710" w14:textId="77777777" w:rsidTr="002838EF">
        <w:tc>
          <w:tcPr>
            <w:tcW w:w="1242" w:type="dxa"/>
          </w:tcPr>
          <w:p w14:paraId="0A6F54FD" w14:textId="77777777" w:rsidR="00DD22C4" w:rsidRPr="00775196" w:rsidRDefault="00DD22C4" w:rsidP="00C17F02">
            <w:pPr>
              <w:spacing w:before="0" w:after="0"/>
              <w:rPr>
                <w:bCs/>
              </w:rPr>
            </w:pPr>
            <w:r>
              <w:t>OECD DAC</w:t>
            </w:r>
          </w:p>
        </w:tc>
        <w:tc>
          <w:tcPr>
            <w:tcW w:w="7655" w:type="dxa"/>
          </w:tcPr>
          <w:p w14:paraId="6C1C2940" w14:textId="77777777" w:rsidR="00DD22C4" w:rsidRPr="00775196" w:rsidRDefault="00DD22C4" w:rsidP="00DD22C4">
            <w:pPr>
              <w:spacing w:before="0" w:after="0"/>
              <w:jc w:val="left"/>
              <w:rPr>
                <w:bCs/>
              </w:rPr>
            </w:pPr>
            <w:r w:rsidRPr="00DD22C4">
              <w:rPr>
                <w:bCs/>
              </w:rPr>
              <w:t>Organization for Economic Cooperation and Development</w:t>
            </w:r>
            <w:r>
              <w:rPr>
                <w:bCs/>
              </w:rPr>
              <w:t xml:space="preserve"> -Development Assistance Committee</w:t>
            </w:r>
          </w:p>
        </w:tc>
      </w:tr>
      <w:tr w:rsidR="00627B99" w:rsidRPr="00775196" w14:paraId="00D92529" w14:textId="77777777" w:rsidTr="002838EF">
        <w:tc>
          <w:tcPr>
            <w:tcW w:w="1242" w:type="dxa"/>
          </w:tcPr>
          <w:p w14:paraId="0F4F4934" w14:textId="77777777" w:rsidR="00627B99" w:rsidRPr="00775196" w:rsidRDefault="00627B99" w:rsidP="00C17F02">
            <w:pPr>
              <w:spacing w:before="0" w:after="0"/>
              <w:rPr>
                <w:bCs/>
              </w:rPr>
            </w:pPr>
            <w:r w:rsidRPr="00775196">
              <w:rPr>
                <w:bCs/>
              </w:rPr>
              <w:t>PE</w:t>
            </w:r>
            <w:r>
              <w:rPr>
                <w:bCs/>
              </w:rPr>
              <w:t>SDA</w:t>
            </w:r>
          </w:p>
        </w:tc>
        <w:tc>
          <w:tcPr>
            <w:tcW w:w="7655" w:type="dxa"/>
          </w:tcPr>
          <w:p w14:paraId="6FB7FFB1" w14:textId="77777777" w:rsidR="00627B99" w:rsidRPr="00775196" w:rsidRDefault="00627B99" w:rsidP="00DD22C4">
            <w:pPr>
              <w:spacing w:before="0" w:after="0"/>
              <w:jc w:val="left"/>
              <w:rPr>
                <w:bCs/>
              </w:rPr>
            </w:pPr>
            <w:r w:rsidRPr="00775196">
              <w:rPr>
                <w:bCs/>
              </w:rPr>
              <w:t xml:space="preserve">Pacific Education and </w:t>
            </w:r>
            <w:r>
              <w:rPr>
                <w:bCs/>
              </w:rPr>
              <w:t>Skills Development</w:t>
            </w:r>
            <w:r w:rsidRPr="00775196">
              <w:rPr>
                <w:bCs/>
              </w:rPr>
              <w:t xml:space="preserve"> Agenda</w:t>
            </w:r>
          </w:p>
        </w:tc>
      </w:tr>
      <w:tr w:rsidR="00627B99" w:rsidRPr="00775196" w14:paraId="73271CC0" w14:textId="77777777" w:rsidTr="002838EF">
        <w:tc>
          <w:tcPr>
            <w:tcW w:w="1242" w:type="dxa"/>
          </w:tcPr>
          <w:p w14:paraId="2573531D" w14:textId="77777777" w:rsidR="00627B99" w:rsidRPr="00775196" w:rsidRDefault="00627B99" w:rsidP="00C17F02">
            <w:pPr>
              <w:spacing w:before="0" w:after="0"/>
              <w:rPr>
                <w:bCs/>
              </w:rPr>
            </w:pPr>
            <w:r w:rsidRPr="00775196">
              <w:rPr>
                <w:bCs/>
              </w:rPr>
              <w:t>PDD</w:t>
            </w:r>
          </w:p>
        </w:tc>
        <w:tc>
          <w:tcPr>
            <w:tcW w:w="7655" w:type="dxa"/>
          </w:tcPr>
          <w:p w14:paraId="5448425F" w14:textId="77777777" w:rsidR="00627B99" w:rsidRPr="00775196" w:rsidRDefault="00627B99" w:rsidP="00DD22C4">
            <w:pPr>
              <w:spacing w:before="0" w:after="0"/>
              <w:jc w:val="left"/>
            </w:pPr>
            <w:r w:rsidRPr="00775196">
              <w:t>Program Design Document</w:t>
            </w:r>
          </w:p>
        </w:tc>
      </w:tr>
      <w:tr w:rsidR="00627B99" w:rsidRPr="00775196" w14:paraId="65E3AB9A" w14:textId="77777777" w:rsidTr="002838EF">
        <w:tc>
          <w:tcPr>
            <w:tcW w:w="1242" w:type="dxa"/>
          </w:tcPr>
          <w:p w14:paraId="3E86D900" w14:textId="77777777" w:rsidR="00627B99" w:rsidRPr="00775196" w:rsidRDefault="00627B99" w:rsidP="00C17F02">
            <w:pPr>
              <w:spacing w:before="0" w:after="0"/>
              <w:rPr>
                <w:bCs/>
              </w:rPr>
            </w:pPr>
            <w:r w:rsidRPr="00775196">
              <w:rPr>
                <w:bCs/>
              </w:rPr>
              <w:t>POME</w:t>
            </w:r>
          </w:p>
        </w:tc>
        <w:tc>
          <w:tcPr>
            <w:tcW w:w="7655" w:type="dxa"/>
          </w:tcPr>
          <w:p w14:paraId="563FBA87" w14:textId="77777777" w:rsidR="00627B99" w:rsidRPr="00775196" w:rsidRDefault="00627B99" w:rsidP="00DD22C4">
            <w:pPr>
              <w:spacing w:before="0" w:after="0"/>
              <w:jc w:val="left"/>
              <w:rPr>
                <w:bCs/>
              </w:rPr>
            </w:pPr>
            <w:r w:rsidRPr="00775196">
              <w:rPr>
                <w:bCs/>
              </w:rPr>
              <w:t>Program Officer for Monitoring &amp; Evaluation</w:t>
            </w:r>
          </w:p>
        </w:tc>
      </w:tr>
      <w:tr w:rsidR="00627B99" w:rsidRPr="00775196" w14:paraId="220DCACA" w14:textId="77777777" w:rsidTr="002838EF">
        <w:tc>
          <w:tcPr>
            <w:tcW w:w="1242" w:type="dxa"/>
          </w:tcPr>
          <w:p w14:paraId="6A3B15A0" w14:textId="77777777" w:rsidR="00627B99" w:rsidRPr="00775196" w:rsidRDefault="00627B99" w:rsidP="00C17F02">
            <w:pPr>
              <w:spacing w:before="0" w:after="0"/>
              <w:rPr>
                <w:bCs/>
              </w:rPr>
            </w:pPr>
            <w:r w:rsidRPr="00775196">
              <w:rPr>
                <w:bCs/>
              </w:rPr>
              <w:t>PPD</w:t>
            </w:r>
          </w:p>
        </w:tc>
        <w:tc>
          <w:tcPr>
            <w:tcW w:w="7655" w:type="dxa"/>
          </w:tcPr>
          <w:p w14:paraId="77B97D6E" w14:textId="77777777" w:rsidR="00627B99" w:rsidRPr="00775196" w:rsidRDefault="00627B99" w:rsidP="00DD22C4">
            <w:pPr>
              <w:spacing w:before="0" w:after="0"/>
              <w:jc w:val="left"/>
              <w:rPr>
                <w:bCs/>
              </w:rPr>
            </w:pPr>
            <w:r w:rsidRPr="00775196">
              <w:rPr>
                <w:bCs/>
              </w:rPr>
              <w:t>Partnership for Development</w:t>
            </w:r>
          </w:p>
        </w:tc>
      </w:tr>
      <w:tr w:rsidR="00627B99" w:rsidRPr="00775196" w14:paraId="1A71A7F1" w14:textId="77777777" w:rsidTr="002838EF">
        <w:tc>
          <w:tcPr>
            <w:tcW w:w="1242" w:type="dxa"/>
          </w:tcPr>
          <w:p w14:paraId="06297B88" w14:textId="77777777" w:rsidR="00627B99" w:rsidRPr="00775196" w:rsidRDefault="00627B99" w:rsidP="00C17F02">
            <w:pPr>
              <w:spacing w:before="0" w:after="0"/>
              <w:rPr>
                <w:bCs/>
              </w:rPr>
            </w:pPr>
            <w:r w:rsidRPr="00775196">
              <w:rPr>
                <w:bCs/>
              </w:rPr>
              <w:t>PSC</w:t>
            </w:r>
          </w:p>
        </w:tc>
        <w:tc>
          <w:tcPr>
            <w:tcW w:w="7655" w:type="dxa"/>
          </w:tcPr>
          <w:p w14:paraId="0074C336" w14:textId="77777777" w:rsidR="00627B99" w:rsidRPr="00775196" w:rsidRDefault="00627B99" w:rsidP="00DD22C4">
            <w:pPr>
              <w:spacing w:before="0" w:after="0"/>
              <w:jc w:val="left"/>
              <w:rPr>
                <w:bCs/>
              </w:rPr>
            </w:pPr>
            <w:r w:rsidRPr="00775196">
              <w:rPr>
                <w:bCs/>
              </w:rPr>
              <w:t>Program Steering Committee</w:t>
            </w:r>
          </w:p>
        </w:tc>
      </w:tr>
      <w:tr w:rsidR="00627B99" w:rsidRPr="00775196" w14:paraId="5DC9D208" w14:textId="77777777" w:rsidTr="002838EF">
        <w:tc>
          <w:tcPr>
            <w:tcW w:w="1242" w:type="dxa"/>
          </w:tcPr>
          <w:p w14:paraId="15447A4F" w14:textId="77777777" w:rsidR="00627B99" w:rsidRPr="00775196" w:rsidRDefault="00627B99" w:rsidP="00C17F02">
            <w:pPr>
              <w:spacing w:before="0" w:after="0"/>
              <w:rPr>
                <w:bCs/>
              </w:rPr>
            </w:pPr>
            <w:r w:rsidRPr="00775196">
              <w:rPr>
                <w:bCs/>
              </w:rPr>
              <w:t>PTM</w:t>
            </w:r>
          </w:p>
        </w:tc>
        <w:tc>
          <w:tcPr>
            <w:tcW w:w="7655" w:type="dxa"/>
          </w:tcPr>
          <w:p w14:paraId="7F14D8B0" w14:textId="77777777" w:rsidR="00627B99" w:rsidRPr="00775196" w:rsidRDefault="00627B99" w:rsidP="00DD22C4">
            <w:pPr>
              <w:spacing w:before="0" w:after="0"/>
              <w:jc w:val="left"/>
              <w:rPr>
                <w:bCs/>
              </w:rPr>
            </w:pPr>
            <w:r w:rsidRPr="00775196">
              <w:rPr>
                <w:bCs/>
              </w:rPr>
              <w:t>Program Technical Manager</w:t>
            </w:r>
          </w:p>
        </w:tc>
      </w:tr>
      <w:tr w:rsidR="00627B99" w:rsidRPr="00775196" w14:paraId="1BFE40BA" w14:textId="77777777" w:rsidTr="002838EF">
        <w:tc>
          <w:tcPr>
            <w:tcW w:w="1242" w:type="dxa"/>
          </w:tcPr>
          <w:p w14:paraId="228B6954" w14:textId="77777777" w:rsidR="00627B99" w:rsidRPr="00775196" w:rsidRDefault="00627B99" w:rsidP="00C17F02">
            <w:pPr>
              <w:spacing w:before="0" w:after="0"/>
              <w:rPr>
                <w:bCs/>
              </w:rPr>
            </w:pPr>
            <w:r w:rsidRPr="00775196">
              <w:rPr>
                <w:bCs/>
              </w:rPr>
              <w:t>QA</w:t>
            </w:r>
          </w:p>
        </w:tc>
        <w:tc>
          <w:tcPr>
            <w:tcW w:w="7655" w:type="dxa"/>
          </w:tcPr>
          <w:p w14:paraId="59548EFC" w14:textId="77777777" w:rsidR="00627B99" w:rsidRPr="00775196" w:rsidRDefault="00627B99" w:rsidP="00DD22C4">
            <w:pPr>
              <w:spacing w:before="0" w:after="0"/>
              <w:jc w:val="left"/>
              <w:rPr>
                <w:bCs/>
              </w:rPr>
            </w:pPr>
            <w:r w:rsidRPr="00775196">
              <w:rPr>
                <w:bCs/>
              </w:rPr>
              <w:t>Quality Assurance</w:t>
            </w:r>
          </w:p>
        </w:tc>
      </w:tr>
      <w:tr w:rsidR="00627B99" w:rsidRPr="00775196" w14:paraId="78CFEC2F" w14:textId="77777777" w:rsidTr="002838EF">
        <w:tc>
          <w:tcPr>
            <w:tcW w:w="1242" w:type="dxa"/>
          </w:tcPr>
          <w:p w14:paraId="433ED75A" w14:textId="77777777" w:rsidR="00627B99" w:rsidRPr="00775196" w:rsidRDefault="00627B99" w:rsidP="00C17F02">
            <w:pPr>
              <w:spacing w:before="0" w:after="0"/>
              <w:rPr>
                <w:bCs/>
              </w:rPr>
            </w:pPr>
            <w:r w:rsidRPr="00775196">
              <w:rPr>
                <w:bCs/>
              </w:rPr>
              <w:t>RTO</w:t>
            </w:r>
          </w:p>
        </w:tc>
        <w:tc>
          <w:tcPr>
            <w:tcW w:w="7655" w:type="dxa"/>
          </w:tcPr>
          <w:p w14:paraId="5CD880BE" w14:textId="77777777" w:rsidR="00627B99" w:rsidRPr="00775196" w:rsidRDefault="00627B99" w:rsidP="00DD22C4">
            <w:pPr>
              <w:spacing w:before="0" w:after="0"/>
              <w:jc w:val="left"/>
              <w:rPr>
                <w:bCs/>
              </w:rPr>
            </w:pPr>
            <w:r w:rsidRPr="00775196">
              <w:rPr>
                <w:bCs/>
              </w:rPr>
              <w:t>Registered Training Organisation</w:t>
            </w:r>
          </w:p>
        </w:tc>
      </w:tr>
      <w:tr w:rsidR="002838EF" w:rsidRPr="00775196" w14:paraId="66A69035" w14:textId="77777777" w:rsidTr="002838EF">
        <w:tc>
          <w:tcPr>
            <w:tcW w:w="1242" w:type="dxa"/>
          </w:tcPr>
          <w:p w14:paraId="7B77E02B" w14:textId="1EF72343" w:rsidR="002838EF" w:rsidRPr="00775196" w:rsidRDefault="002838EF" w:rsidP="00C17F02">
            <w:pPr>
              <w:spacing w:before="0" w:after="0"/>
              <w:rPr>
                <w:bCs/>
              </w:rPr>
            </w:pPr>
            <w:r>
              <w:rPr>
                <w:bCs/>
              </w:rPr>
              <w:t>SME</w:t>
            </w:r>
          </w:p>
        </w:tc>
        <w:tc>
          <w:tcPr>
            <w:tcW w:w="7655" w:type="dxa"/>
          </w:tcPr>
          <w:p w14:paraId="40DFD977" w14:textId="0A108B4C" w:rsidR="002838EF" w:rsidRPr="00775196" w:rsidRDefault="002838EF" w:rsidP="00DD22C4">
            <w:pPr>
              <w:spacing w:before="0" w:after="0"/>
              <w:jc w:val="left"/>
              <w:rPr>
                <w:bCs/>
              </w:rPr>
            </w:pPr>
            <w:r>
              <w:rPr>
                <w:bCs/>
              </w:rPr>
              <w:t>Small to Medium Enterprises</w:t>
            </w:r>
          </w:p>
        </w:tc>
      </w:tr>
      <w:tr w:rsidR="00627B99" w:rsidRPr="00775196" w14:paraId="11E1E674" w14:textId="77777777" w:rsidTr="002838EF">
        <w:tc>
          <w:tcPr>
            <w:tcW w:w="1242" w:type="dxa"/>
          </w:tcPr>
          <w:p w14:paraId="5BA4CE3E" w14:textId="77777777" w:rsidR="00627B99" w:rsidRPr="00775196" w:rsidRDefault="00627B99" w:rsidP="00C17F02">
            <w:pPr>
              <w:spacing w:before="0" w:after="0"/>
              <w:rPr>
                <w:bCs/>
              </w:rPr>
            </w:pPr>
            <w:r w:rsidRPr="00775196">
              <w:rPr>
                <w:bCs/>
              </w:rPr>
              <w:t>STA</w:t>
            </w:r>
          </w:p>
        </w:tc>
        <w:tc>
          <w:tcPr>
            <w:tcW w:w="7655" w:type="dxa"/>
          </w:tcPr>
          <w:p w14:paraId="5C891470" w14:textId="77777777" w:rsidR="00627B99" w:rsidRPr="00775196" w:rsidRDefault="00627B99" w:rsidP="00DD22C4">
            <w:pPr>
              <w:spacing w:before="0" w:after="0"/>
              <w:jc w:val="left"/>
              <w:rPr>
                <w:bCs/>
              </w:rPr>
            </w:pPr>
            <w:r w:rsidRPr="00775196">
              <w:rPr>
                <w:bCs/>
              </w:rPr>
              <w:t>Short Term Adviser</w:t>
            </w:r>
          </w:p>
        </w:tc>
      </w:tr>
      <w:tr w:rsidR="00627B99" w:rsidRPr="00775196" w14:paraId="7DA8E408" w14:textId="77777777" w:rsidTr="002838EF">
        <w:tc>
          <w:tcPr>
            <w:tcW w:w="1242" w:type="dxa"/>
          </w:tcPr>
          <w:p w14:paraId="2252BAD9" w14:textId="77777777" w:rsidR="00627B99" w:rsidRPr="00775196" w:rsidRDefault="00627B99" w:rsidP="00C17F02">
            <w:pPr>
              <w:spacing w:before="0" w:after="0"/>
              <w:rPr>
                <w:bCs/>
              </w:rPr>
            </w:pPr>
            <w:r w:rsidRPr="00775196">
              <w:rPr>
                <w:bCs/>
              </w:rPr>
              <w:t>TAA</w:t>
            </w:r>
          </w:p>
        </w:tc>
        <w:tc>
          <w:tcPr>
            <w:tcW w:w="7655" w:type="dxa"/>
          </w:tcPr>
          <w:p w14:paraId="5AD6CDFA" w14:textId="77777777" w:rsidR="00627B99" w:rsidRPr="00775196" w:rsidRDefault="00627B99" w:rsidP="00DD22C4">
            <w:pPr>
              <w:spacing w:before="0" w:after="0"/>
              <w:jc w:val="left"/>
              <w:rPr>
                <w:bCs/>
              </w:rPr>
            </w:pPr>
            <w:r w:rsidRPr="00775196">
              <w:rPr>
                <w:bCs/>
              </w:rPr>
              <w:t>Training and Assessment</w:t>
            </w:r>
          </w:p>
        </w:tc>
      </w:tr>
      <w:tr w:rsidR="00627B99" w:rsidRPr="00775196" w14:paraId="53443B04" w14:textId="77777777" w:rsidTr="002838EF">
        <w:tc>
          <w:tcPr>
            <w:tcW w:w="1242" w:type="dxa"/>
          </w:tcPr>
          <w:p w14:paraId="5340FC8B" w14:textId="77777777" w:rsidR="00627B99" w:rsidRPr="00775196" w:rsidRDefault="00627B99" w:rsidP="00C17F02">
            <w:pPr>
              <w:spacing w:before="0" w:after="0"/>
              <w:rPr>
                <w:bCs/>
              </w:rPr>
            </w:pPr>
            <w:r w:rsidRPr="00775196">
              <w:rPr>
                <w:bCs/>
              </w:rPr>
              <w:t>TAFE</w:t>
            </w:r>
          </w:p>
        </w:tc>
        <w:tc>
          <w:tcPr>
            <w:tcW w:w="7655" w:type="dxa"/>
          </w:tcPr>
          <w:p w14:paraId="7F25413A" w14:textId="77777777" w:rsidR="00627B99" w:rsidRPr="00775196" w:rsidRDefault="00627B99" w:rsidP="00DD22C4">
            <w:pPr>
              <w:spacing w:before="0" w:after="0"/>
              <w:jc w:val="left"/>
            </w:pPr>
            <w:r w:rsidRPr="00775196">
              <w:t>Technical and Further Education</w:t>
            </w:r>
          </w:p>
        </w:tc>
      </w:tr>
      <w:tr w:rsidR="00627B99" w:rsidRPr="00775196" w14:paraId="2C4BC2CA" w14:textId="77777777" w:rsidTr="002838EF">
        <w:tc>
          <w:tcPr>
            <w:tcW w:w="1242" w:type="dxa"/>
          </w:tcPr>
          <w:p w14:paraId="7B98E67C" w14:textId="77777777" w:rsidR="00627B99" w:rsidRPr="00775196" w:rsidRDefault="00627B99" w:rsidP="00C17F02">
            <w:pPr>
              <w:spacing w:before="0" w:after="0"/>
              <w:rPr>
                <w:bCs/>
              </w:rPr>
            </w:pPr>
            <w:r w:rsidRPr="00775196">
              <w:rPr>
                <w:bCs/>
              </w:rPr>
              <w:t>TATVET</w:t>
            </w:r>
          </w:p>
        </w:tc>
        <w:tc>
          <w:tcPr>
            <w:tcW w:w="7655" w:type="dxa"/>
          </w:tcPr>
          <w:p w14:paraId="33CF21AD" w14:textId="77777777" w:rsidR="00627B99" w:rsidRPr="00775196" w:rsidRDefault="00627B99" w:rsidP="00DD22C4">
            <w:pPr>
              <w:spacing w:before="0" w:after="0"/>
              <w:jc w:val="left"/>
              <w:rPr>
                <w:bCs/>
              </w:rPr>
            </w:pPr>
            <w:r w:rsidRPr="00775196">
              <w:rPr>
                <w:bCs/>
              </w:rPr>
              <w:t>Tonga Association for TVET</w:t>
            </w:r>
          </w:p>
        </w:tc>
      </w:tr>
      <w:tr w:rsidR="008B0DFE" w:rsidRPr="00775196" w14:paraId="4705CBAE" w14:textId="77777777" w:rsidTr="002838EF">
        <w:tc>
          <w:tcPr>
            <w:tcW w:w="1242" w:type="dxa"/>
          </w:tcPr>
          <w:p w14:paraId="717C8A29" w14:textId="77777777" w:rsidR="008B0DFE" w:rsidRPr="00775196" w:rsidRDefault="008B0DFE" w:rsidP="00C17F02">
            <w:pPr>
              <w:spacing w:before="0" w:after="0"/>
              <w:rPr>
                <w:bCs/>
              </w:rPr>
            </w:pPr>
            <w:r>
              <w:rPr>
                <w:bCs/>
              </w:rPr>
              <w:t>TCCI</w:t>
            </w:r>
          </w:p>
        </w:tc>
        <w:tc>
          <w:tcPr>
            <w:tcW w:w="7655" w:type="dxa"/>
          </w:tcPr>
          <w:p w14:paraId="51CD2B5F" w14:textId="77777777" w:rsidR="008B0DFE" w:rsidRPr="00775196" w:rsidRDefault="008B0DFE" w:rsidP="00DD22C4">
            <w:pPr>
              <w:spacing w:before="0" w:after="0"/>
              <w:jc w:val="left"/>
              <w:rPr>
                <w:bCs/>
              </w:rPr>
            </w:pPr>
            <w:r>
              <w:rPr>
                <w:bCs/>
              </w:rPr>
              <w:t>Tonga Chamber of Commerce and Industry</w:t>
            </w:r>
          </w:p>
        </w:tc>
      </w:tr>
      <w:tr w:rsidR="00627B99" w:rsidRPr="00775196" w14:paraId="36FB72C9" w14:textId="77777777" w:rsidTr="002838EF">
        <w:tc>
          <w:tcPr>
            <w:tcW w:w="1242" w:type="dxa"/>
          </w:tcPr>
          <w:p w14:paraId="4463A8D4" w14:textId="77777777" w:rsidR="00627B99" w:rsidRPr="00775196" w:rsidRDefault="00627B99" w:rsidP="00C17F02">
            <w:pPr>
              <w:spacing w:before="0" w:after="0"/>
              <w:rPr>
                <w:bCs/>
              </w:rPr>
            </w:pPr>
            <w:r w:rsidRPr="00775196">
              <w:rPr>
                <w:bCs/>
              </w:rPr>
              <w:t>TIST</w:t>
            </w:r>
          </w:p>
        </w:tc>
        <w:tc>
          <w:tcPr>
            <w:tcW w:w="7655" w:type="dxa"/>
          </w:tcPr>
          <w:p w14:paraId="3E50A5F5" w14:textId="77777777" w:rsidR="00627B99" w:rsidRPr="00775196" w:rsidRDefault="00627B99" w:rsidP="00DD22C4">
            <w:pPr>
              <w:spacing w:before="0" w:after="0"/>
              <w:jc w:val="left"/>
              <w:rPr>
                <w:bCs/>
              </w:rPr>
            </w:pPr>
            <w:r w:rsidRPr="00775196">
              <w:rPr>
                <w:bCs/>
              </w:rPr>
              <w:t>Tonga Institute of Science and Technology</w:t>
            </w:r>
          </w:p>
        </w:tc>
      </w:tr>
      <w:tr w:rsidR="00627B99" w:rsidRPr="00775196" w14:paraId="74A48C0F" w14:textId="77777777" w:rsidTr="002838EF">
        <w:tc>
          <w:tcPr>
            <w:tcW w:w="1242" w:type="dxa"/>
          </w:tcPr>
          <w:p w14:paraId="676F4722" w14:textId="77777777" w:rsidR="00627B99" w:rsidRPr="00775196" w:rsidRDefault="00627B99" w:rsidP="00C17F02">
            <w:pPr>
              <w:spacing w:before="0" w:after="0"/>
              <w:rPr>
                <w:bCs/>
              </w:rPr>
            </w:pPr>
            <w:r w:rsidRPr="00775196">
              <w:rPr>
                <w:bCs/>
              </w:rPr>
              <w:t>TMIS</w:t>
            </w:r>
          </w:p>
        </w:tc>
        <w:tc>
          <w:tcPr>
            <w:tcW w:w="7655" w:type="dxa"/>
          </w:tcPr>
          <w:p w14:paraId="3308D372" w14:textId="77777777" w:rsidR="00627B99" w:rsidRPr="00775196" w:rsidRDefault="00627B99" w:rsidP="00DD22C4">
            <w:pPr>
              <w:spacing w:before="0" w:after="0"/>
              <w:jc w:val="left"/>
              <w:rPr>
                <w:bCs/>
              </w:rPr>
            </w:pPr>
            <w:r w:rsidRPr="00775196">
              <w:rPr>
                <w:bCs/>
              </w:rPr>
              <w:t xml:space="preserve">TVET Management Information System </w:t>
            </w:r>
          </w:p>
        </w:tc>
      </w:tr>
      <w:tr w:rsidR="00627B99" w:rsidRPr="00775196" w14:paraId="4FFB1E53" w14:textId="77777777" w:rsidTr="002838EF">
        <w:tc>
          <w:tcPr>
            <w:tcW w:w="1242" w:type="dxa"/>
          </w:tcPr>
          <w:p w14:paraId="6AE18A5C" w14:textId="77777777" w:rsidR="00627B99" w:rsidRPr="00775196" w:rsidRDefault="00627B99" w:rsidP="00C17F02">
            <w:pPr>
              <w:spacing w:before="0" w:after="0"/>
              <w:rPr>
                <w:bCs/>
              </w:rPr>
            </w:pPr>
            <w:r w:rsidRPr="00775196">
              <w:rPr>
                <w:bCs/>
              </w:rPr>
              <w:t>TNA</w:t>
            </w:r>
          </w:p>
        </w:tc>
        <w:tc>
          <w:tcPr>
            <w:tcW w:w="7655" w:type="dxa"/>
          </w:tcPr>
          <w:p w14:paraId="6985E04F" w14:textId="77777777" w:rsidR="00627B99" w:rsidRPr="00775196" w:rsidRDefault="00627B99" w:rsidP="00DD22C4">
            <w:pPr>
              <w:spacing w:before="0" w:after="0"/>
              <w:jc w:val="left"/>
              <w:rPr>
                <w:bCs/>
              </w:rPr>
            </w:pPr>
            <w:r w:rsidRPr="00775196">
              <w:rPr>
                <w:bCs/>
              </w:rPr>
              <w:t>Training Needs Assessment</w:t>
            </w:r>
          </w:p>
        </w:tc>
      </w:tr>
      <w:tr w:rsidR="00627B99" w:rsidRPr="00775196" w14:paraId="039803AF" w14:textId="77777777" w:rsidTr="002838EF">
        <w:tc>
          <w:tcPr>
            <w:tcW w:w="1242" w:type="dxa"/>
          </w:tcPr>
          <w:p w14:paraId="6FC73802" w14:textId="77777777" w:rsidR="00627B99" w:rsidRPr="00775196" w:rsidRDefault="00627B99" w:rsidP="00C17F02">
            <w:pPr>
              <w:spacing w:before="0" w:after="0"/>
              <w:rPr>
                <w:bCs/>
              </w:rPr>
            </w:pPr>
            <w:r w:rsidRPr="00775196">
              <w:rPr>
                <w:bCs/>
              </w:rPr>
              <w:t>TNQAB</w:t>
            </w:r>
          </w:p>
        </w:tc>
        <w:tc>
          <w:tcPr>
            <w:tcW w:w="7655" w:type="dxa"/>
          </w:tcPr>
          <w:p w14:paraId="48BC871B" w14:textId="77777777" w:rsidR="00627B99" w:rsidRPr="00775196" w:rsidRDefault="00627B99" w:rsidP="00DD22C4">
            <w:pPr>
              <w:spacing w:before="0" w:after="0"/>
              <w:jc w:val="left"/>
              <w:rPr>
                <w:bCs/>
              </w:rPr>
            </w:pPr>
            <w:r w:rsidRPr="00775196">
              <w:rPr>
                <w:bCs/>
              </w:rPr>
              <w:t>Tonga National Qualifications and Accreditation Board</w:t>
            </w:r>
          </w:p>
        </w:tc>
      </w:tr>
      <w:tr w:rsidR="00627B99" w:rsidRPr="00775196" w14:paraId="02B0326D" w14:textId="77777777" w:rsidTr="002838EF">
        <w:tc>
          <w:tcPr>
            <w:tcW w:w="1242" w:type="dxa"/>
          </w:tcPr>
          <w:p w14:paraId="79D20120" w14:textId="77777777" w:rsidR="00627B99" w:rsidRPr="00775196" w:rsidRDefault="00627B99" w:rsidP="00C17F02">
            <w:pPr>
              <w:spacing w:before="0" w:after="0"/>
              <w:rPr>
                <w:bCs/>
              </w:rPr>
            </w:pPr>
            <w:r w:rsidRPr="00775196">
              <w:rPr>
                <w:bCs/>
              </w:rPr>
              <w:t>TOP</w:t>
            </w:r>
          </w:p>
        </w:tc>
        <w:tc>
          <w:tcPr>
            <w:tcW w:w="7655" w:type="dxa"/>
          </w:tcPr>
          <w:p w14:paraId="08821D71" w14:textId="77777777" w:rsidR="00627B99" w:rsidRPr="00775196" w:rsidRDefault="00627B99" w:rsidP="00DD22C4">
            <w:pPr>
              <w:spacing w:before="0" w:after="0"/>
              <w:jc w:val="left"/>
              <w:rPr>
                <w:bCs/>
              </w:rPr>
            </w:pPr>
            <w:r w:rsidRPr="00775196">
              <w:rPr>
                <w:bCs/>
              </w:rPr>
              <w:t>Tongan Pa’anga</w:t>
            </w:r>
          </w:p>
        </w:tc>
      </w:tr>
      <w:tr w:rsidR="00627B99" w:rsidRPr="00775196" w14:paraId="695176E4" w14:textId="77777777" w:rsidTr="002838EF">
        <w:tc>
          <w:tcPr>
            <w:tcW w:w="1242" w:type="dxa"/>
          </w:tcPr>
          <w:p w14:paraId="3C8B1FD1" w14:textId="77777777" w:rsidR="00627B99" w:rsidRPr="00775196" w:rsidRDefault="00627B99" w:rsidP="00C17F02">
            <w:pPr>
              <w:spacing w:before="0" w:after="0"/>
              <w:rPr>
                <w:bCs/>
              </w:rPr>
            </w:pPr>
            <w:r w:rsidRPr="00775196">
              <w:rPr>
                <w:bCs/>
              </w:rPr>
              <w:t>TOR</w:t>
            </w:r>
          </w:p>
        </w:tc>
        <w:tc>
          <w:tcPr>
            <w:tcW w:w="7655" w:type="dxa"/>
          </w:tcPr>
          <w:p w14:paraId="405072D0" w14:textId="77777777" w:rsidR="00627B99" w:rsidRPr="00775196" w:rsidRDefault="00627B99" w:rsidP="00DD22C4">
            <w:pPr>
              <w:spacing w:before="0" w:after="0"/>
              <w:jc w:val="left"/>
              <w:rPr>
                <w:bCs/>
              </w:rPr>
            </w:pPr>
            <w:r w:rsidRPr="00775196">
              <w:rPr>
                <w:bCs/>
              </w:rPr>
              <w:t>Terms of Reference</w:t>
            </w:r>
          </w:p>
        </w:tc>
      </w:tr>
      <w:tr w:rsidR="00627B99" w:rsidRPr="00775196" w14:paraId="2B34F8F4" w14:textId="77777777" w:rsidTr="002838EF">
        <w:tc>
          <w:tcPr>
            <w:tcW w:w="1242" w:type="dxa"/>
          </w:tcPr>
          <w:p w14:paraId="3ED9B38F" w14:textId="77777777" w:rsidR="00627B99" w:rsidRPr="00775196" w:rsidRDefault="00627B99" w:rsidP="00C17F02">
            <w:pPr>
              <w:spacing w:before="0" w:after="0"/>
              <w:rPr>
                <w:bCs/>
              </w:rPr>
            </w:pPr>
            <w:r w:rsidRPr="00775196">
              <w:rPr>
                <w:bCs/>
              </w:rPr>
              <w:t>TSP1</w:t>
            </w:r>
          </w:p>
        </w:tc>
        <w:tc>
          <w:tcPr>
            <w:tcW w:w="7655" w:type="dxa"/>
          </w:tcPr>
          <w:p w14:paraId="40CA47E5" w14:textId="77777777" w:rsidR="00627B99" w:rsidRPr="00775196" w:rsidRDefault="00627B99" w:rsidP="00DD22C4">
            <w:pPr>
              <w:spacing w:before="0" w:after="0"/>
              <w:jc w:val="left"/>
              <w:rPr>
                <w:bCs/>
              </w:rPr>
            </w:pPr>
            <w:r w:rsidRPr="00775196">
              <w:rPr>
                <w:bCs/>
              </w:rPr>
              <w:t>Tonga TVET Support Program Phase 1</w:t>
            </w:r>
          </w:p>
        </w:tc>
      </w:tr>
      <w:tr w:rsidR="00627B99" w:rsidRPr="00775196" w14:paraId="37A481AA" w14:textId="77777777" w:rsidTr="002838EF">
        <w:tc>
          <w:tcPr>
            <w:tcW w:w="1242" w:type="dxa"/>
          </w:tcPr>
          <w:p w14:paraId="2A3F7D89" w14:textId="77777777" w:rsidR="00627B99" w:rsidRPr="00775196" w:rsidRDefault="00627B99" w:rsidP="00C17F02">
            <w:pPr>
              <w:spacing w:before="0" w:after="0"/>
              <w:rPr>
                <w:bCs/>
              </w:rPr>
            </w:pPr>
            <w:r w:rsidRPr="00775196">
              <w:rPr>
                <w:bCs/>
              </w:rPr>
              <w:t>TVET</w:t>
            </w:r>
          </w:p>
        </w:tc>
        <w:tc>
          <w:tcPr>
            <w:tcW w:w="7655" w:type="dxa"/>
          </w:tcPr>
          <w:p w14:paraId="60BFC2E4" w14:textId="77777777" w:rsidR="00627B99" w:rsidRPr="00775196" w:rsidRDefault="00627B99" w:rsidP="00DD22C4">
            <w:pPr>
              <w:spacing w:before="0" w:after="0"/>
              <w:jc w:val="left"/>
              <w:rPr>
                <w:bCs/>
              </w:rPr>
            </w:pPr>
            <w:r w:rsidRPr="00775196">
              <w:rPr>
                <w:bCs/>
              </w:rPr>
              <w:t>Technical and Vocational Education and Training</w:t>
            </w:r>
          </w:p>
        </w:tc>
      </w:tr>
    </w:tbl>
    <w:p w14:paraId="5E36D50D" w14:textId="67F3F6D2" w:rsidR="009D7E6F" w:rsidRPr="00BE51B2" w:rsidRDefault="009D7E6F" w:rsidP="00BE51B2">
      <w:pPr>
        <w:tabs>
          <w:tab w:val="left" w:pos="3765"/>
        </w:tabs>
        <w:rPr>
          <w:color w:val="FF0000"/>
        </w:rPr>
        <w:sectPr w:rsidR="009D7E6F" w:rsidRPr="00BE51B2" w:rsidSect="00593009">
          <w:pgSz w:w="11906" w:h="16838" w:code="9"/>
          <w:pgMar w:top="1440" w:right="1440" w:bottom="1440" w:left="1701" w:header="709" w:footer="709" w:gutter="0"/>
          <w:pgNumType w:fmt="lowerRoman"/>
          <w:cols w:space="708"/>
          <w:docGrid w:linePitch="360"/>
        </w:sectPr>
      </w:pPr>
    </w:p>
    <w:p w14:paraId="78982C0F" w14:textId="77777777" w:rsidR="009D7E6F" w:rsidRDefault="009D7E6F" w:rsidP="009D7E6F">
      <w:pPr>
        <w:pStyle w:val="Heading1"/>
      </w:pPr>
      <w:bookmarkStart w:id="12" w:name="_Toc203996781"/>
      <w:r w:rsidRPr="008E1504">
        <w:lastRenderedPageBreak/>
        <w:t>Executive summary</w:t>
      </w:r>
      <w:bookmarkEnd w:id="12"/>
    </w:p>
    <w:p w14:paraId="4BDB9E3B" w14:textId="7AADC4F8" w:rsidR="00AF360A" w:rsidRDefault="00AF360A" w:rsidP="00AF360A">
      <w:r>
        <w:t xml:space="preserve">The Tonga TVET Support Program Phase1 (TSP1) was designed as a </w:t>
      </w:r>
      <w:proofErr w:type="gramStart"/>
      <w:r>
        <w:t>four year</w:t>
      </w:r>
      <w:proofErr w:type="gramEnd"/>
      <w:r>
        <w:t xml:space="preserve"> program and commenced in </w:t>
      </w:r>
      <w:r w:rsidR="00633B3D">
        <w:t>May</w:t>
      </w:r>
      <w:r>
        <w:t xml:space="preserve"> 2010 under a Delegated Cooperation Arrangement between Australia and New Zealand. </w:t>
      </w:r>
    </w:p>
    <w:p w14:paraId="43521FAA" w14:textId="77777777" w:rsidR="00AF360A" w:rsidRDefault="00AF360A" w:rsidP="00AF360A">
      <w:r>
        <w:t>The overarching objective of TSP1 is to make Tongans more competitive in domestic, regional and international labour markets through improved demand based TVET and internationally recognised qualifications.</w:t>
      </w:r>
    </w:p>
    <w:p w14:paraId="6F38C052" w14:textId="53220293" w:rsidR="00AF360A" w:rsidRDefault="00AF360A" w:rsidP="00AF360A">
      <w:r>
        <w:t xml:space="preserve">This Independent Progress Review </w:t>
      </w:r>
      <w:r w:rsidR="003904B3">
        <w:t xml:space="preserve">(IPR) </w:t>
      </w:r>
      <w:r>
        <w:t>was commissioned in April 201</w:t>
      </w:r>
      <w:r w:rsidR="00FE5B46">
        <w:t>2 with the following objectives</w:t>
      </w:r>
      <w:r>
        <w:t>:</w:t>
      </w:r>
    </w:p>
    <w:p w14:paraId="6F36F95B" w14:textId="062F8A5A" w:rsidR="00AF360A" w:rsidRPr="0083497E" w:rsidRDefault="00AF360A" w:rsidP="00AF360A">
      <w:pPr>
        <w:pStyle w:val="ListParagraph"/>
        <w:numPr>
          <w:ilvl w:val="0"/>
          <w:numId w:val="30"/>
        </w:numPr>
        <w:rPr>
          <w:i/>
        </w:rPr>
      </w:pPr>
      <w:r w:rsidRPr="0083497E">
        <w:rPr>
          <w:i/>
        </w:rPr>
        <w:t>Provide an independent assessment of the progress against objectives of the Tonga Technical and Vocational Education (TVET) Support Program (TSP1) referen</w:t>
      </w:r>
      <w:r w:rsidR="00FE5B46">
        <w:rPr>
          <w:i/>
        </w:rPr>
        <w:t>cing AusAID assessment criteria</w:t>
      </w:r>
      <w:r w:rsidRPr="0083497E">
        <w:rPr>
          <w:i/>
        </w:rPr>
        <w:t>.  In particular, the evaluation will examine the activity’s scope and its management model, strengths and comparative advantages and also provide lessons for future support to TVET in Tonga.</w:t>
      </w:r>
    </w:p>
    <w:p w14:paraId="2B0903BB" w14:textId="748CEE6D" w:rsidR="00AF360A" w:rsidRPr="0083497E" w:rsidRDefault="00AF360A" w:rsidP="00AF360A">
      <w:pPr>
        <w:pStyle w:val="ListParagraph"/>
        <w:numPr>
          <w:ilvl w:val="0"/>
          <w:numId w:val="30"/>
        </w:numPr>
        <w:rPr>
          <w:i/>
        </w:rPr>
      </w:pPr>
      <w:r w:rsidRPr="0083497E">
        <w:rPr>
          <w:i/>
        </w:rPr>
        <w:t xml:space="preserve">Identify issues that need to be addressed to improve the implementation and management of TSP1 through to </w:t>
      </w:r>
      <w:r w:rsidR="00784935">
        <w:rPr>
          <w:i/>
        </w:rPr>
        <w:t>April</w:t>
      </w:r>
      <w:r w:rsidRPr="0083497E">
        <w:rPr>
          <w:i/>
        </w:rPr>
        <w:t xml:space="preserve"> 2013 and recommend a course of action to accomplish this.</w:t>
      </w:r>
    </w:p>
    <w:p w14:paraId="57C5AFA6" w14:textId="3C3DE538" w:rsidR="003904B3" w:rsidRDefault="003904B3" w:rsidP="003904B3">
      <w:r>
        <w:t xml:space="preserve">The IPR evaluates TSP1 progress against eight </w:t>
      </w:r>
      <w:r w:rsidR="001D25C9">
        <w:t xml:space="preserve">AusAID OECD/DAC </w:t>
      </w:r>
      <w:r>
        <w:t xml:space="preserve">aid effectiveness criteria. A commentary and a score against each of these criteria </w:t>
      </w:r>
      <w:r w:rsidR="00FE5B46">
        <w:t>are</w:t>
      </w:r>
      <w:r>
        <w:t xml:space="preserve"> provided in </w:t>
      </w:r>
      <w:r w:rsidRPr="003904B3">
        <w:rPr>
          <w:b/>
        </w:rPr>
        <w:t>Annex 2: Quality at Implementation Assessment</w:t>
      </w:r>
      <w:r>
        <w:rPr>
          <w:b/>
        </w:rPr>
        <w:t xml:space="preserve">. </w:t>
      </w:r>
      <w:r w:rsidRPr="003904B3">
        <w:t>W</w:t>
      </w:r>
      <w:r>
        <w:t xml:space="preserve">hile the TSP1 strategic objective is </w:t>
      </w:r>
      <w:r w:rsidR="00615439">
        <w:t xml:space="preserve">still </w:t>
      </w:r>
      <w:r>
        <w:t xml:space="preserve">regarded </w:t>
      </w:r>
      <w:r w:rsidR="00615439">
        <w:t>as being highly relevant, a range of causal factors have compounded to impede TSP1 progress overall and the assessment against the other seven criteria is low</w:t>
      </w:r>
      <w:r w:rsidR="00FE5B46">
        <w:t>,</w:t>
      </w:r>
      <w:r w:rsidR="00615439">
        <w:t xml:space="preserve"> indicating that major work is needed to </w:t>
      </w:r>
      <w:r w:rsidR="00C23B2F">
        <w:t>rectify</w:t>
      </w:r>
      <w:r w:rsidR="00615439">
        <w:t>.</w:t>
      </w:r>
    </w:p>
    <w:p w14:paraId="11BCE806" w14:textId="37B7DCBC" w:rsidR="003904B3" w:rsidRDefault="003904B3" w:rsidP="003904B3">
      <w:r>
        <w:t>In addition</w:t>
      </w:r>
      <w:r w:rsidR="00FE5B46">
        <w:t xml:space="preserve"> to the </w:t>
      </w:r>
      <w:r w:rsidR="00FE5B46" w:rsidRPr="00FE5B46">
        <w:rPr>
          <w:i/>
        </w:rPr>
        <w:t>Quality at Implementation Assessment</w:t>
      </w:r>
      <w:r w:rsidR="00FE5B46">
        <w:t>,</w:t>
      </w:r>
      <w:r>
        <w:t xml:space="preserve"> the IPR </w:t>
      </w:r>
      <w:r w:rsidR="00FE5B46">
        <w:t xml:space="preserve">also </w:t>
      </w:r>
      <w:r w:rsidR="00615439">
        <w:t>includes an assessment of the</w:t>
      </w:r>
      <w:r>
        <w:t xml:space="preserve"> TSP1 design and </w:t>
      </w:r>
      <w:r w:rsidR="00FE5B46">
        <w:t>its progress to date</w:t>
      </w:r>
      <w:r>
        <w:t xml:space="preserve">, particularly with respect to </w:t>
      </w:r>
      <w:r w:rsidR="00BE1942">
        <w:t xml:space="preserve">its operational </w:t>
      </w:r>
      <w:r>
        <w:t xml:space="preserve">model, </w:t>
      </w:r>
      <w:r w:rsidR="00BE1942">
        <w:t>implementation</w:t>
      </w:r>
      <w:r>
        <w:t xml:space="preserve"> strategies, performance management, </w:t>
      </w:r>
      <w:proofErr w:type="gramStart"/>
      <w:r>
        <w:t>value</w:t>
      </w:r>
      <w:proofErr w:type="gramEnd"/>
      <w:r>
        <w:t xml:space="preserve"> for money and integration with other donor and Government of Tonga national and regional activities and frameworks.</w:t>
      </w:r>
    </w:p>
    <w:p w14:paraId="0AAF1DC6" w14:textId="586CA798" w:rsidR="0083497E" w:rsidRPr="00A52C93" w:rsidRDefault="00A52C93" w:rsidP="00A52C93">
      <w:pPr>
        <w:tabs>
          <w:tab w:val="left" w:pos="426"/>
        </w:tabs>
        <w:rPr>
          <w:b/>
        </w:rPr>
      </w:pPr>
      <w:r>
        <w:rPr>
          <w:b/>
        </w:rPr>
        <w:t>1.</w:t>
      </w:r>
      <w:r>
        <w:rPr>
          <w:b/>
        </w:rPr>
        <w:tab/>
      </w:r>
      <w:r w:rsidR="0083497E" w:rsidRPr="00A52C93">
        <w:rPr>
          <w:b/>
        </w:rPr>
        <w:t>Operational Model</w:t>
      </w:r>
    </w:p>
    <w:p w14:paraId="60DDB538" w14:textId="5D64A3BB" w:rsidR="0083497E" w:rsidRDefault="00F773C0" w:rsidP="00A52C93">
      <w:pPr>
        <w:tabs>
          <w:tab w:val="left" w:pos="426"/>
        </w:tabs>
      </w:pPr>
      <w:r w:rsidRPr="009E1E05">
        <w:t xml:space="preserve">TSP1 is programmatic in design, with a focus on working through Government of Tonga structures and systems in accordance with the Paris Declaration and Accra </w:t>
      </w:r>
      <w:r>
        <w:t>Agenda for Action. The IPR conclude</w:t>
      </w:r>
      <w:r w:rsidR="001826A1">
        <w:t>s</w:t>
      </w:r>
      <w:r>
        <w:t xml:space="preserve"> that the design assumption that the TSP1 could be readily integrated and delivered through Government of Tonga systems and processes was overly ambitious. A number of reasons are cited to substantiate this conclusion.</w:t>
      </w:r>
    </w:p>
    <w:p w14:paraId="3F826EF0" w14:textId="3E396F69" w:rsidR="00F773C0" w:rsidRDefault="00BE1942" w:rsidP="0083497E">
      <w:r>
        <w:t>Firstly it</w:t>
      </w:r>
      <w:r w:rsidR="00F773C0">
        <w:t xml:space="preserve"> has been difficult to establish ownership</w:t>
      </w:r>
      <w:r w:rsidR="00E61EF2">
        <w:t xml:space="preserve"> of the </w:t>
      </w:r>
      <w:r w:rsidR="00BC3861">
        <w:t>P</w:t>
      </w:r>
      <w:r w:rsidR="00E61EF2">
        <w:t xml:space="preserve">rogram in the absence of </w:t>
      </w:r>
      <w:r w:rsidR="001826A1">
        <w:t>a</w:t>
      </w:r>
      <w:r w:rsidR="00E61EF2">
        <w:t xml:space="preserve"> common </w:t>
      </w:r>
      <w:r w:rsidR="001826A1">
        <w:t>appreciation</w:t>
      </w:r>
      <w:r w:rsidR="00E61EF2">
        <w:t xml:space="preserve"> of TSP1 objectives and the means by which these objectives might </w:t>
      </w:r>
      <w:r>
        <w:t>b</w:t>
      </w:r>
      <w:r w:rsidR="00E61EF2">
        <w:t>e met.</w:t>
      </w:r>
      <w:r w:rsidR="001826A1">
        <w:t xml:space="preserve"> A general lack of </w:t>
      </w:r>
      <w:r w:rsidR="00E61EF2">
        <w:t>understanding of demand ba</w:t>
      </w:r>
      <w:r w:rsidR="00A024B5">
        <w:t xml:space="preserve">sed TVET </w:t>
      </w:r>
      <w:r w:rsidR="001826A1">
        <w:t>concepts</w:t>
      </w:r>
      <w:r w:rsidR="00A024B5">
        <w:t xml:space="preserve"> and </w:t>
      </w:r>
      <w:proofErr w:type="gramStart"/>
      <w:r w:rsidR="00A024B5">
        <w:t xml:space="preserve">approaches </w:t>
      </w:r>
      <w:r w:rsidR="00E61EF2">
        <w:t>has</w:t>
      </w:r>
      <w:proofErr w:type="gramEnd"/>
      <w:r w:rsidR="00E61EF2">
        <w:t xml:space="preserve"> </w:t>
      </w:r>
      <w:r w:rsidR="00BC3861">
        <w:t>hampered</w:t>
      </w:r>
      <w:r w:rsidR="00E61EF2">
        <w:t xml:space="preserve"> the development of a common vision for TVET within the Government.</w:t>
      </w:r>
    </w:p>
    <w:p w14:paraId="70080D20" w14:textId="24E9018D" w:rsidR="00615439" w:rsidRDefault="001826A1" w:rsidP="00615439">
      <w:r>
        <w:t>The TSP1</w:t>
      </w:r>
      <w:r w:rsidR="00615439">
        <w:t xml:space="preserve"> design </w:t>
      </w:r>
      <w:r>
        <w:t>assigned</w:t>
      </w:r>
      <w:r w:rsidR="00615439">
        <w:t xml:space="preserve"> responsibility for TSP1 implementation to </w:t>
      </w:r>
      <w:r>
        <w:t xml:space="preserve">the </w:t>
      </w:r>
      <w:r w:rsidRPr="00775196">
        <w:t>Ministry of Training, Employment, Youth and Sports</w:t>
      </w:r>
      <w:r>
        <w:t xml:space="preserve"> (</w:t>
      </w:r>
      <w:r w:rsidR="00615439">
        <w:t>MOTEYS</w:t>
      </w:r>
      <w:r>
        <w:t>)</w:t>
      </w:r>
      <w:r w:rsidR="00615439">
        <w:t xml:space="preserve"> which at the time was a relatively new Ministry (2006), had limited TVET experience amongst its staff and did not have legislated responsibilities for TVET as indicated in a footnote </w:t>
      </w:r>
      <w:r w:rsidR="00EB4721">
        <w:t>on Page 11 of</w:t>
      </w:r>
      <w:r w:rsidR="00615439">
        <w:t xml:space="preserve"> the design document - ‘legislation formalising MOTEYS’ responsibilities is under preparation and is expected to be in place by the start of TSP1’. </w:t>
      </w:r>
    </w:p>
    <w:p w14:paraId="7FEC82CD" w14:textId="3E0CC68D" w:rsidR="00615439" w:rsidRDefault="00615439" w:rsidP="00615439">
      <w:r>
        <w:t xml:space="preserve">In these circumstances, leaving aside the risk of assigning full program responsibility to a Ministry before it had acquired formal authority, it is surprising that a purely programmatic modality based on Paris and Accra principles was adopted. It is even more surprising when </w:t>
      </w:r>
      <w:r>
        <w:lastRenderedPageBreak/>
        <w:t xml:space="preserve">legislation </w:t>
      </w:r>
      <w:r w:rsidR="00A024B5">
        <w:t>was</w:t>
      </w:r>
      <w:r>
        <w:t xml:space="preserve"> not in place </w:t>
      </w:r>
      <w:r w:rsidR="00A024B5">
        <w:t xml:space="preserve">at the time </w:t>
      </w:r>
      <w:r>
        <w:t xml:space="preserve">and the impacts of such legislation </w:t>
      </w:r>
      <w:r w:rsidR="00A024B5">
        <w:t>was</w:t>
      </w:r>
      <w:r>
        <w:t xml:space="preserve"> not known in the workplace. </w:t>
      </w:r>
    </w:p>
    <w:p w14:paraId="0ED3A391" w14:textId="77777777" w:rsidR="00633B3D" w:rsidRDefault="00582F43" w:rsidP="00615439">
      <w:r>
        <w:t xml:space="preserve">Governance for the </w:t>
      </w:r>
      <w:r w:rsidR="00BC3861">
        <w:t>P</w:t>
      </w:r>
      <w:r>
        <w:t>rogram resides in a Program Steering Committee</w:t>
      </w:r>
      <w:r w:rsidR="00AD155A">
        <w:t xml:space="preserve"> (PSC</w:t>
      </w:r>
      <w:proofErr w:type="gramStart"/>
      <w:r w:rsidR="00AD155A">
        <w:t>)</w:t>
      </w:r>
      <w:r>
        <w:t xml:space="preserve"> </w:t>
      </w:r>
      <w:r w:rsidR="00976641">
        <w:t>which</w:t>
      </w:r>
      <w:proofErr w:type="gramEnd"/>
      <w:r w:rsidR="00976641">
        <w:t xml:space="preserve"> includes </w:t>
      </w:r>
      <w:r>
        <w:t xml:space="preserve">representatives of the </w:t>
      </w:r>
      <w:r w:rsidR="00976641">
        <w:t xml:space="preserve">Tonga, Australia and New Zealand </w:t>
      </w:r>
      <w:r>
        <w:t xml:space="preserve">Governments. The alignment </w:t>
      </w:r>
      <w:r w:rsidR="00976641">
        <w:t xml:space="preserve">of the Program </w:t>
      </w:r>
      <w:r>
        <w:t xml:space="preserve">to the Government of Tonga priorities systems and processes was made difficult by the respective layers of administration </w:t>
      </w:r>
      <w:r w:rsidR="00976641">
        <w:t xml:space="preserve">and </w:t>
      </w:r>
      <w:r>
        <w:t xml:space="preserve">accountability required by each of the partner Governments. Delays in funding approvals contributed to slow progress overall. </w:t>
      </w:r>
    </w:p>
    <w:p w14:paraId="2F62EE2E" w14:textId="65C9F65B" w:rsidR="00615439" w:rsidRDefault="00633B3D" w:rsidP="00615439">
      <w:r>
        <w:t>The Program continues to track well behind budget. I</w:t>
      </w:r>
      <w:r w:rsidR="00582F43">
        <w:t xml:space="preserve">n the first 13 months of operation, expenditure was only 58% of </w:t>
      </w:r>
      <w:r w:rsidR="001B1E88">
        <w:t xml:space="preserve">the planned TSP1 </w:t>
      </w:r>
      <w:r w:rsidR="00582F43">
        <w:t xml:space="preserve">budget. In the 9 months since then, expenditure sits at only 29% of the 2011/2012 annual </w:t>
      </w:r>
      <w:proofErr w:type="gramStart"/>
      <w:r w:rsidR="00582F43">
        <w:t>budget</w:t>
      </w:r>
      <w:proofErr w:type="gramEnd"/>
      <w:r w:rsidR="00582F43">
        <w:t>.</w:t>
      </w:r>
      <w:r>
        <w:t xml:space="preserve"> Slow progress is attributable to a number of factors cited in this review such as inexperienced management, overly ambitious planning, </w:t>
      </w:r>
      <w:proofErr w:type="gramStart"/>
      <w:r>
        <w:t>complex</w:t>
      </w:r>
      <w:proofErr w:type="gramEnd"/>
      <w:r>
        <w:t xml:space="preserve"> bureaucratic processes across the three Governments, </w:t>
      </w:r>
      <w:r w:rsidR="008977A1">
        <w:t xml:space="preserve">capacity constraints and </w:t>
      </w:r>
      <w:r>
        <w:t>high levels of staff turnover</w:t>
      </w:r>
      <w:r w:rsidR="008977A1">
        <w:t>.</w:t>
      </w:r>
    </w:p>
    <w:p w14:paraId="25D3FEC7" w14:textId="7DFAB69F" w:rsidR="00E61EF2" w:rsidRDefault="00A52C93" w:rsidP="0083497E">
      <w:r>
        <w:t xml:space="preserve">Donor harmonisation between Australia and New Zealand under a delegated cooperation agreement has not been as efficient as planned. Instead of the Government of Tonga having to deal with just one donor, as intended under the agreement, both donors played an active role through the </w:t>
      </w:r>
      <w:r w:rsidR="00AD155A">
        <w:t>PSC</w:t>
      </w:r>
      <w:r>
        <w:t xml:space="preserve"> in Program administration and funding approvals</w:t>
      </w:r>
      <w:r w:rsidR="001B1E88">
        <w:t xml:space="preserve"> resulting in delayed </w:t>
      </w:r>
      <w:proofErr w:type="gramStart"/>
      <w:r w:rsidR="001B1E88">
        <w:t>decision making</w:t>
      </w:r>
      <w:proofErr w:type="gramEnd"/>
      <w:r>
        <w:t xml:space="preserve">. </w:t>
      </w:r>
    </w:p>
    <w:p w14:paraId="28D0EE47" w14:textId="7428E745" w:rsidR="00A52C93" w:rsidRDefault="00BC3861" w:rsidP="0083497E">
      <w:r>
        <w:t>Effective management has also been hindered by the lack of a cohesive and systematic approach to monitoring and evaluation over the life of the Program. The problems with M&amp;E stem from a confusing mix of outcome, output and input indicators in the TSP1 design, a lack of clarity as to the relationship between expected outcomes and indicators and an overly complicated framework requiring substantial levels of data colle</w:t>
      </w:r>
      <w:r w:rsidR="00491EA6">
        <w:t xml:space="preserve">ction and analysis. The issues with M&amp;E have been exacerbated by the fact that the first M&amp;E officer was not appointed until after 8 months of Program operations. The subsequent resignation of that officer after 6 months </w:t>
      </w:r>
      <w:r w:rsidR="00AD155A">
        <w:t>resulted in the position being vacant for another month</w:t>
      </w:r>
      <w:r w:rsidR="00491EA6">
        <w:t xml:space="preserve"> before the appointment of the current M&amp;E officer. It is pleasing to note, however, that the quality and quantity of M&amp;E has improved over the past 9 months under the current officer with support from a </w:t>
      </w:r>
      <w:proofErr w:type="gramStart"/>
      <w:r w:rsidR="00491EA6">
        <w:t>short term</w:t>
      </w:r>
      <w:proofErr w:type="gramEnd"/>
      <w:r w:rsidR="00491EA6">
        <w:t xml:space="preserve"> adviser and the Program Technical Manager.</w:t>
      </w:r>
    </w:p>
    <w:p w14:paraId="7BFB780A" w14:textId="5E531516" w:rsidR="00A52C93" w:rsidRDefault="008C55A8" w:rsidP="0083497E">
      <w:r>
        <w:t xml:space="preserve">While the </w:t>
      </w:r>
      <w:r w:rsidR="00D439C4">
        <w:t xml:space="preserve">programmatic </w:t>
      </w:r>
      <w:r>
        <w:t xml:space="preserve">approach </w:t>
      </w:r>
      <w:r w:rsidR="00D439C4">
        <w:t xml:space="preserve">is </w:t>
      </w:r>
      <w:r>
        <w:t xml:space="preserve">in accordance with Paris/Accra principles </w:t>
      </w:r>
      <w:r w:rsidR="00D439C4">
        <w:t xml:space="preserve">and </w:t>
      </w:r>
      <w:r>
        <w:t xml:space="preserve">is consistent with the Government of Tonga’s Aid Management Policy </w:t>
      </w:r>
      <w:r w:rsidR="00D439C4">
        <w:t>and</w:t>
      </w:r>
      <w:r>
        <w:t xml:space="preserve"> the policies of the two donors, the</w:t>
      </w:r>
      <w:r w:rsidRPr="008C55A8">
        <w:t xml:space="preserve"> </w:t>
      </w:r>
      <w:r w:rsidR="001B1E88">
        <w:t>general</w:t>
      </w:r>
      <w:r w:rsidRPr="008C55A8">
        <w:t xml:space="preserve"> level of underperformance</w:t>
      </w:r>
      <w:r>
        <w:t xml:space="preserve"> in relation to these principles raises </w:t>
      </w:r>
      <w:r w:rsidRPr="008C55A8">
        <w:t xml:space="preserve">the question as to whether </w:t>
      </w:r>
      <w:r w:rsidR="00D439C4">
        <w:t>this</w:t>
      </w:r>
      <w:r w:rsidRPr="008C55A8">
        <w:t xml:space="preserve"> </w:t>
      </w:r>
      <w:r>
        <w:t>modality</w:t>
      </w:r>
      <w:r w:rsidRPr="008C55A8">
        <w:t xml:space="preserve"> was appropriate given the lack of program management experience amongst MOTEYS and donor personnel</w:t>
      </w:r>
      <w:r w:rsidR="00D439C4">
        <w:t>,</w:t>
      </w:r>
      <w:r w:rsidRPr="008C55A8">
        <w:t xml:space="preserve"> and the absence of established and commonly understood systems and processes within which they should operate.</w:t>
      </w:r>
    </w:p>
    <w:p w14:paraId="78CC1919" w14:textId="73F43E00" w:rsidR="003122A6" w:rsidRPr="00A52C93" w:rsidRDefault="00A52C93" w:rsidP="00A52C93">
      <w:pPr>
        <w:tabs>
          <w:tab w:val="left" w:pos="426"/>
        </w:tabs>
        <w:rPr>
          <w:b/>
        </w:rPr>
      </w:pPr>
      <w:r>
        <w:rPr>
          <w:b/>
        </w:rPr>
        <w:t>2.</w:t>
      </w:r>
      <w:r>
        <w:rPr>
          <w:b/>
        </w:rPr>
        <w:tab/>
      </w:r>
      <w:r w:rsidR="0083497E" w:rsidRPr="00A52C93">
        <w:rPr>
          <w:b/>
        </w:rPr>
        <w:t>Implementation Model (including Achievements)</w:t>
      </w:r>
    </w:p>
    <w:p w14:paraId="2209348F" w14:textId="6B84CCC2" w:rsidR="00130836" w:rsidRDefault="005C2273" w:rsidP="000B3901">
      <w:r>
        <w:t xml:space="preserve">Program momentum has improved over the past 6 months or so following the appointment of a new Program Technical Manager </w:t>
      </w:r>
      <w:r w:rsidR="009F79A4">
        <w:t>(PTM)</w:t>
      </w:r>
      <w:r w:rsidR="00C454B0">
        <w:t>.</w:t>
      </w:r>
      <w:r w:rsidR="009F79A4">
        <w:t xml:space="preserve"> </w:t>
      </w:r>
      <w:r w:rsidR="00C454B0">
        <w:t>C</w:t>
      </w:r>
      <w:r>
        <w:t xml:space="preserve">onstructive </w:t>
      </w:r>
      <w:r w:rsidR="009F79A4">
        <w:t xml:space="preserve">management relationships have been developed between </w:t>
      </w:r>
      <w:r w:rsidR="00C454B0">
        <w:t xml:space="preserve">the new PTM and both </w:t>
      </w:r>
      <w:r w:rsidR="009F79A4">
        <w:t>the former and current TSP1 Program Directors</w:t>
      </w:r>
      <w:r w:rsidR="00C454B0">
        <w:t xml:space="preserve"> and a</w:t>
      </w:r>
      <w:r w:rsidR="009F79A4">
        <w:t xml:space="preserve"> stable and capable staffing platform is now being built.</w:t>
      </w:r>
    </w:p>
    <w:p w14:paraId="45A59415" w14:textId="37AC41DA" w:rsidR="009F79A4" w:rsidRDefault="009F79A4" w:rsidP="000B3901">
      <w:r>
        <w:t>This has not always been the case as TSP1 implementation has been adversely affected by significant levels of disruption caused by difficult procurement processes delaying staff appointments and high levels of staff turnover.</w:t>
      </w:r>
    </w:p>
    <w:p w14:paraId="605A047B" w14:textId="1AF4903C" w:rsidR="00F71D26" w:rsidRDefault="009F79A4" w:rsidP="000B3901">
      <w:r>
        <w:t>The following is a comment on TSP1 achievements and issues in</w:t>
      </w:r>
      <w:r w:rsidR="001B1E88">
        <w:t xml:space="preserve"> relation to</w:t>
      </w:r>
      <w:r>
        <w:t xml:space="preserve"> each of the three </w:t>
      </w:r>
      <w:r w:rsidR="001B1E88">
        <w:t xml:space="preserve">Program design </w:t>
      </w:r>
      <w:r>
        <w:t>components:</w:t>
      </w:r>
    </w:p>
    <w:p w14:paraId="334E13A2" w14:textId="77777777" w:rsidR="00F71D26" w:rsidRDefault="00F71D26">
      <w:pPr>
        <w:spacing w:before="0" w:after="0"/>
        <w:jc w:val="left"/>
      </w:pPr>
      <w:r>
        <w:br w:type="page"/>
      </w:r>
    </w:p>
    <w:p w14:paraId="1BBFD9E5" w14:textId="5553EC6A" w:rsidR="009F79A4" w:rsidRPr="001C24F1" w:rsidRDefault="00F71D26" w:rsidP="00F71D26">
      <w:pPr>
        <w:tabs>
          <w:tab w:val="left" w:pos="426"/>
        </w:tabs>
        <w:rPr>
          <w:b/>
        </w:rPr>
      </w:pPr>
      <w:r>
        <w:lastRenderedPageBreak/>
        <w:tab/>
      </w:r>
      <w:r w:rsidR="009F79A4" w:rsidRPr="001C24F1">
        <w:rPr>
          <w:b/>
        </w:rPr>
        <w:t>Component 1.</w:t>
      </w:r>
      <w:r w:rsidR="009F79A4" w:rsidRPr="001C24F1">
        <w:rPr>
          <w:b/>
        </w:rPr>
        <w:tab/>
        <w:t>Developing a National System</w:t>
      </w:r>
    </w:p>
    <w:p w14:paraId="6F18121A" w14:textId="4015E806" w:rsidR="009F79A4" w:rsidRDefault="009F79A4" w:rsidP="001C24F1">
      <w:pPr>
        <w:tabs>
          <w:tab w:val="left" w:pos="426"/>
        </w:tabs>
        <w:ind w:left="426"/>
      </w:pPr>
      <w:r>
        <w:t>Industry Training Advisory Committees have been established in two sectors that were identified as priorities in the TSP1 design – tourism and hospitality</w:t>
      </w:r>
      <w:r w:rsidR="00A464C7">
        <w:t xml:space="preserve">, and construction. With </w:t>
      </w:r>
      <w:proofErr w:type="gramStart"/>
      <w:r w:rsidR="00A464C7">
        <w:t>short term</w:t>
      </w:r>
      <w:proofErr w:type="gramEnd"/>
      <w:r w:rsidR="00A464C7">
        <w:t xml:space="preserve"> advisory assistance these committees identified a long list of competency standards and courses thought appropriate to the respective industry sectors. In both instances these competency standards have now been submitted to the Tonga National Qualifications and Assessment Board (TNQAB) for accreditation.</w:t>
      </w:r>
    </w:p>
    <w:p w14:paraId="050F2108" w14:textId="5593E74C" w:rsidR="00A464C7" w:rsidRDefault="00A464C7" w:rsidP="001C24F1">
      <w:pPr>
        <w:tabs>
          <w:tab w:val="left" w:pos="426"/>
        </w:tabs>
        <w:ind w:left="426"/>
      </w:pPr>
      <w:r>
        <w:t xml:space="preserve">While acknowledging this achievement, the IPR finds that in the Tourism and Hospitality case a lack of consideration of TNQAB processes has resulted in significant delays in accreditation. </w:t>
      </w:r>
      <w:r w:rsidR="0082761D">
        <w:t>There has also been a</w:t>
      </w:r>
      <w:r w:rsidR="006429FD">
        <w:t xml:space="preserve"> </w:t>
      </w:r>
      <w:r w:rsidR="005A009C">
        <w:t xml:space="preserve">general </w:t>
      </w:r>
      <w:r>
        <w:t>lack of concern for the quantification of skills demand</w:t>
      </w:r>
      <w:r w:rsidR="0082761D">
        <w:t>. Labour market information is scarce and there has been little attempt, if any, to build a better understanding of the dynamics of the labour market. Without this it is difficult t</w:t>
      </w:r>
      <w:r w:rsidR="005A009C">
        <w:t xml:space="preserve">o gear training investment or </w:t>
      </w:r>
      <w:r w:rsidR="0082761D">
        <w:t xml:space="preserve">determine the most effective means by which </w:t>
      </w:r>
      <w:r w:rsidR="005A009C">
        <w:t>skills training demand</w:t>
      </w:r>
      <w:r w:rsidR="0082761D">
        <w:t xml:space="preserve"> can be met</w:t>
      </w:r>
      <w:r w:rsidR="005A009C">
        <w:t>.</w:t>
      </w:r>
    </w:p>
    <w:p w14:paraId="79E50024" w14:textId="77777777" w:rsidR="006C5BEE" w:rsidRDefault="005A009C" w:rsidP="001C24F1">
      <w:pPr>
        <w:tabs>
          <w:tab w:val="left" w:pos="426"/>
        </w:tabs>
        <w:ind w:left="426"/>
      </w:pPr>
      <w:r>
        <w:t xml:space="preserve">Support for the TNQAB is now progressing </w:t>
      </w:r>
      <w:r w:rsidR="00F006DF">
        <w:t xml:space="preserve">with TSP1 assisting training provider compliance with TNQAB registration and accreditation processes as well as capacity building of TNQAB personnel. It has been unfortunate that there was not the same level of interaction between the TNQAB and TSP1 in the earlier stages of the Program when competency standards and courses were being identified for the </w:t>
      </w:r>
      <w:r w:rsidR="006C5BEE">
        <w:t>t</w:t>
      </w:r>
      <w:r w:rsidR="00F006DF">
        <w:t xml:space="preserve">ourism and </w:t>
      </w:r>
      <w:r w:rsidR="006C5BEE">
        <w:t>h</w:t>
      </w:r>
      <w:r w:rsidR="00F006DF">
        <w:t>ospitality sector</w:t>
      </w:r>
      <w:r w:rsidR="006C5BEE">
        <w:t>. Lack of engagement at that time has resulted in a protracted accreditation process caused by lack of compliance with TNQAB requirements. More recently, the development of construction sector competencies have occurred in a much more collaborative manner with the TNQAB.</w:t>
      </w:r>
    </w:p>
    <w:p w14:paraId="694CA4AC" w14:textId="6B1BDA4B" w:rsidR="005A009C" w:rsidRDefault="006C5BEE" w:rsidP="001C24F1">
      <w:pPr>
        <w:tabs>
          <w:tab w:val="left" w:pos="426"/>
        </w:tabs>
        <w:ind w:left="426"/>
      </w:pPr>
      <w:r>
        <w:t>Over 70 trainers have successfully completed a Certificate IV in Training and Assessment</w:t>
      </w:r>
      <w:r w:rsidR="00487C08">
        <w:t xml:space="preserve"> delivered by the APTC but again in the absence of quantifiable evidence of skill demand it is difficult to assess </w:t>
      </w:r>
      <w:r w:rsidR="0074402A">
        <w:t>how the selection of trainers was targeted.</w:t>
      </w:r>
    </w:p>
    <w:p w14:paraId="26925C91" w14:textId="1EB5B032" w:rsidR="0074402A" w:rsidRDefault="0074402A" w:rsidP="001C24F1">
      <w:pPr>
        <w:tabs>
          <w:tab w:val="left" w:pos="426"/>
        </w:tabs>
        <w:ind w:left="426"/>
      </w:pPr>
      <w:r>
        <w:t xml:space="preserve">A significant investment in study tours early in the Program was premature given the early stages of development of demand driven TVET in Tonga and the lack of technical experience amongst the touring parties. Without a </w:t>
      </w:r>
      <w:r w:rsidR="008B4D93">
        <w:t xml:space="preserve">conceptual </w:t>
      </w:r>
      <w:r>
        <w:t xml:space="preserve">frame of reference it is difficult </w:t>
      </w:r>
      <w:r w:rsidR="008B4D93">
        <w:t xml:space="preserve">for those on study tours </w:t>
      </w:r>
      <w:r>
        <w:t>to draw comparisons with sophisticated systems that have been in development for decades.</w:t>
      </w:r>
    </w:p>
    <w:p w14:paraId="4B1C8E5D" w14:textId="3B353FE9" w:rsidR="00D9129D" w:rsidRDefault="0074402A" w:rsidP="001C24F1">
      <w:pPr>
        <w:tabs>
          <w:tab w:val="left" w:pos="426"/>
        </w:tabs>
        <w:ind w:left="426"/>
      </w:pPr>
      <w:r>
        <w:t xml:space="preserve">The TSP1 </w:t>
      </w:r>
      <w:r w:rsidR="00D9129D">
        <w:t xml:space="preserve">design </w:t>
      </w:r>
      <w:r>
        <w:t xml:space="preserve">envisaged the availability of equipment grants would provide an incentive for training providers to </w:t>
      </w:r>
      <w:r w:rsidR="00D9129D" w:rsidRPr="009E1E05">
        <w:t>‘…meet the requirements of program accreditation and to deliver training in designated priority areas.’</w:t>
      </w:r>
      <w:r w:rsidR="00D9129D" w:rsidRPr="009E1E05">
        <w:rPr>
          <w:vertAlign w:val="superscript"/>
        </w:rPr>
        <w:footnoteReference w:id="1"/>
      </w:r>
      <w:r w:rsidR="00EC10ED">
        <w:t xml:space="preserve"> Equipment grant approval processes have been put in place and a number of grants </w:t>
      </w:r>
      <w:r w:rsidR="008B4D93">
        <w:t xml:space="preserve">have been </w:t>
      </w:r>
      <w:r w:rsidR="00EC10ED">
        <w:t xml:space="preserve">made but most, judging by TNQAB records, have preceded course accreditation. </w:t>
      </w:r>
      <w:r w:rsidR="00EC10ED" w:rsidRPr="009E1E05">
        <w:t>Inexperience with equipment procurement procedures and a desire for local purchase has</w:t>
      </w:r>
      <w:r w:rsidR="006429FD">
        <w:t xml:space="preserve"> also</w:t>
      </w:r>
      <w:r w:rsidR="00EC10ED" w:rsidRPr="009E1E05">
        <w:t>, in some cases, resulted in the supply of tools and equipment better suited to a handyman environment than a simulated trade environment in schools.</w:t>
      </w:r>
    </w:p>
    <w:p w14:paraId="04E1AE02" w14:textId="72FF6BDD" w:rsidR="008B4D93" w:rsidRDefault="00EC10ED" w:rsidP="001D25C9">
      <w:pPr>
        <w:tabs>
          <w:tab w:val="left" w:pos="426"/>
        </w:tabs>
        <w:ind w:left="426"/>
      </w:pPr>
      <w:r>
        <w:t xml:space="preserve">In the absence of broader systemic developments the Alternate Pathways (APW) Pilot in eight non-government schools has emerged as a primary focus of TSP1. </w:t>
      </w:r>
      <w:r w:rsidRPr="00EC10ED">
        <w:t>While understandable in the context, an overemphasis on school level alternative pathways has distracted and diverted resources away from more strategic investments in the tertiary sector.</w:t>
      </w:r>
    </w:p>
    <w:p w14:paraId="675B2690" w14:textId="757873DD" w:rsidR="001C24F1" w:rsidRPr="001C24F1" w:rsidRDefault="001C24F1" w:rsidP="001C24F1">
      <w:pPr>
        <w:tabs>
          <w:tab w:val="left" w:pos="426"/>
        </w:tabs>
        <w:ind w:left="426"/>
        <w:rPr>
          <w:b/>
        </w:rPr>
      </w:pPr>
      <w:r w:rsidRPr="001C24F1">
        <w:rPr>
          <w:b/>
        </w:rPr>
        <w:t xml:space="preserve">Component </w:t>
      </w:r>
      <w:r>
        <w:rPr>
          <w:b/>
        </w:rPr>
        <w:t>2</w:t>
      </w:r>
      <w:r w:rsidRPr="001C24F1">
        <w:rPr>
          <w:b/>
        </w:rPr>
        <w:t>.</w:t>
      </w:r>
      <w:r w:rsidRPr="001C24F1">
        <w:rPr>
          <w:b/>
        </w:rPr>
        <w:tab/>
      </w:r>
      <w:r>
        <w:rPr>
          <w:b/>
        </w:rPr>
        <w:t>Promoting Demand Driven Training</w:t>
      </w:r>
    </w:p>
    <w:p w14:paraId="01D7414D" w14:textId="40EB371A" w:rsidR="001C24F1" w:rsidRDefault="001C24F1" w:rsidP="00F71D26">
      <w:pPr>
        <w:widowControl w:val="0"/>
        <w:tabs>
          <w:tab w:val="left" w:pos="426"/>
        </w:tabs>
        <w:ind w:left="425"/>
      </w:pPr>
      <w:r>
        <w:lastRenderedPageBreak/>
        <w:t xml:space="preserve">An Employment and Training Fund (ETF) was seen in the TSP1 design as a primary mechanism to encourage a demand focused, responsive and flexible training system. While recent TSP1 activity has facilitated the finalisation of arrangements for the delivery of one ETF funded program in the hospitality sector, there has been no other short course delivery during the 24 months of </w:t>
      </w:r>
      <w:r w:rsidR="00ED3EDC">
        <w:t>TSP1</w:t>
      </w:r>
      <w:r>
        <w:t xml:space="preserve"> implementation. The primary reason </w:t>
      </w:r>
      <w:r w:rsidR="006429FD">
        <w:t>for this is</w:t>
      </w:r>
      <w:r>
        <w:t xml:space="preserve"> that for an ETF to be effective</w:t>
      </w:r>
      <w:r w:rsidR="006429FD">
        <w:t xml:space="preserve"> at a systemic level,</w:t>
      </w:r>
      <w:r>
        <w:t xml:space="preserve"> it is necessary that a number of conditions </w:t>
      </w:r>
      <w:proofErr w:type="gramStart"/>
      <w:r w:rsidR="006429FD">
        <w:t>are</w:t>
      </w:r>
      <w:proofErr w:type="gramEnd"/>
      <w:r w:rsidR="006429FD">
        <w:t xml:space="preserve"> in place</w:t>
      </w:r>
      <w:r>
        <w:t xml:space="preserve"> including </w:t>
      </w:r>
      <w:r w:rsidR="008A3802" w:rsidRPr="00997860">
        <w:t>evidence of skill development priorities, availability of courses, availability of qualified trainers, training provider managers with commercial acumen and industry confidence to enter into partnership arrangements.</w:t>
      </w:r>
      <w:r w:rsidR="008A3802">
        <w:t xml:space="preserve"> While these conditions are still in development under TSP1 it is unrealistic to anticipate any effective deployment of an ETF.</w:t>
      </w:r>
    </w:p>
    <w:p w14:paraId="4B92CC8A" w14:textId="3C4242C3" w:rsidR="008A3802" w:rsidRPr="001C24F1" w:rsidRDefault="008A3802" w:rsidP="008A3802">
      <w:pPr>
        <w:tabs>
          <w:tab w:val="left" w:pos="426"/>
        </w:tabs>
        <w:ind w:left="426"/>
        <w:rPr>
          <w:b/>
        </w:rPr>
      </w:pPr>
      <w:r w:rsidRPr="001C24F1">
        <w:rPr>
          <w:b/>
        </w:rPr>
        <w:t xml:space="preserve">Component </w:t>
      </w:r>
      <w:r>
        <w:rPr>
          <w:b/>
        </w:rPr>
        <w:t>3</w:t>
      </w:r>
      <w:r w:rsidRPr="001C24F1">
        <w:rPr>
          <w:b/>
        </w:rPr>
        <w:t>.</w:t>
      </w:r>
      <w:r w:rsidRPr="001C24F1">
        <w:rPr>
          <w:b/>
        </w:rPr>
        <w:tab/>
      </w:r>
      <w:r>
        <w:rPr>
          <w:b/>
        </w:rPr>
        <w:t>Program Management</w:t>
      </w:r>
    </w:p>
    <w:p w14:paraId="1310C25F" w14:textId="32485076" w:rsidR="001C24F1" w:rsidRDefault="008A3802" w:rsidP="001C24F1">
      <w:pPr>
        <w:tabs>
          <w:tab w:val="left" w:pos="426"/>
        </w:tabs>
        <w:ind w:left="426"/>
      </w:pPr>
      <w:r>
        <w:t>Significant program management issues have arisen during the life of the Program. These include:</w:t>
      </w:r>
    </w:p>
    <w:p w14:paraId="55081632" w14:textId="172F9B0D" w:rsidR="008A3802" w:rsidRDefault="008A3802" w:rsidP="00F27FD0">
      <w:pPr>
        <w:pStyle w:val="ListParagraph"/>
        <w:numPr>
          <w:ilvl w:val="0"/>
          <w:numId w:val="31"/>
        </w:numPr>
        <w:tabs>
          <w:tab w:val="left" w:pos="426"/>
        </w:tabs>
      </w:pPr>
      <w:r>
        <w:t>An overly ambitious assumption that the capacity and resources to manage a large donor funded program existed within MOTEYS and the donors</w:t>
      </w:r>
      <w:r w:rsidR="0075306E">
        <w:t>.</w:t>
      </w:r>
    </w:p>
    <w:p w14:paraId="43618E2E" w14:textId="4F8EB22C" w:rsidR="008A3802" w:rsidRDefault="00775939" w:rsidP="00F27FD0">
      <w:pPr>
        <w:pStyle w:val="ListParagraph"/>
        <w:numPr>
          <w:ilvl w:val="0"/>
          <w:numId w:val="31"/>
        </w:numPr>
        <w:tabs>
          <w:tab w:val="left" w:pos="426"/>
        </w:tabs>
      </w:pPr>
      <w:r>
        <w:t>Despite a delegated cooperation arrangement there emerged d</w:t>
      </w:r>
      <w:r w:rsidR="00F27FD0">
        <w:t xml:space="preserve">ifferent administration requirements by the two donors and </w:t>
      </w:r>
      <w:r>
        <w:t xml:space="preserve">a </w:t>
      </w:r>
      <w:r w:rsidR="00F27FD0">
        <w:t>lack of institutional support to resolve differences</w:t>
      </w:r>
      <w:r w:rsidR="0075306E">
        <w:t>.</w:t>
      </w:r>
    </w:p>
    <w:p w14:paraId="5D04B1FD" w14:textId="1A701BFD" w:rsidR="00F27FD0" w:rsidRDefault="00F27FD0" w:rsidP="00F27FD0">
      <w:pPr>
        <w:pStyle w:val="ListParagraph"/>
        <w:numPr>
          <w:ilvl w:val="0"/>
          <w:numId w:val="31"/>
        </w:numPr>
        <w:tabs>
          <w:tab w:val="left" w:pos="426"/>
        </w:tabs>
      </w:pPr>
      <w:r>
        <w:t>Irregular and infrequent meetings of the Program Steering Committee (PSC)</w:t>
      </w:r>
      <w:r w:rsidR="0075306E">
        <w:t>.</w:t>
      </w:r>
    </w:p>
    <w:p w14:paraId="795D0AD6" w14:textId="59EE6AF6" w:rsidR="00F27FD0" w:rsidRDefault="00F27FD0" w:rsidP="00F27FD0">
      <w:pPr>
        <w:pStyle w:val="ListParagraph"/>
        <w:numPr>
          <w:ilvl w:val="0"/>
          <w:numId w:val="31"/>
        </w:numPr>
        <w:tabs>
          <w:tab w:val="left" w:pos="426"/>
        </w:tabs>
      </w:pPr>
      <w:r>
        <w:t>Unrealistic expectations by TSP1 management that the PSC would ‘rubber stamp’ proposals despite lack of consultation and the presentation of voluminous documentation on short notice</w:t>
      </w:r>
      <w:r w:rsidR="0075306E">
        <w:t>.</w:t>
      </w:r>
    </w:p>
    <w:p w14:paraId="339A82C6" w14:textId="305626EA" w:rsidR="00F27FD0" w:rsidRDefault="00F27FD0" w:rsidP="00F27FD0">
      <w:pPr>
        <w:pStyle w:val="ListParagraph"/>
        <w:numPr>
          <w:ilvl w:val="0"/>
          <w:numId w:val="31"/>
        </w:numPr>
        <w:tabs>
          <w:tab w:val="left" w:pos="426"/>
        </w:tabs>
      </w:pPr>
      <w:r>
        <w:t>Unclear linkage between some TSP1 financial requests and TSP1 objectives</w:t>
      </w:r>
      <w:r w:rsidR="00775939">
        <w:t>.</w:t>
      </w:r>
    </w:p>
    <w:p w14:paraId="21B1CC48" w14:textId="2A8A4618" w:rsidR="00F27FD0" w:rsidRDefault="00F27FD0" w:rsidP="00F27FD0">
      <w:pPr>
        <w:pStyle w:val="ListParagraph"/>
        <w:numPr>
          <w:ilvl w:val="0"/>
          <w:numId w:val="31"/>
        </w:numPr>
        <w:tabs>
          <w:tab w:val="left" w:pos="426"/>
        </w:tabs>
      </w:pPr>
      <w:r>
        <w:t>High levels of staff turnover</w:t>
      </w:r>
      <w:r w:rsidR="0075306E">
        <w:t>.</w:t>
      </w:r>
    </w:p>
    <w:p w14:paraId="1652B5DB" w14:textId="15AFE1AF" w:rsidR="00F27FD0" w:rsidRDefault="00F27FD0" w:rsidP="00F27FD0">
      <w:pPr>
        <w:pStyle w:val="ListParagraph"/>
        <w:numPr>
          <w:ilvl w:val="0"/>
          <w:numId w:val="31"/>
        </w:numPr>
        <w:tabs>
          <w:tab w:val="left" w:pos="426"/>
        </w:tabs>
      </w:pPr>
      <w:r>
        <w:t>Complex procurement processes</w:t>
      </w:r>
      <w:r w:rsidR="0075306E">
        <w:t>.</w:t>
      </w:r>
    </w:p>
    <w:p w14:paraId="7776EA24" w14:textId="1771BDAF" w:rsidR="00F27FD0" w:rsidRDefault="00F27FD0" w:rsidP="00F27FD0">
      <w:pPr>
        <w:pStyle w:val="ListParagraph"/>
        <w:numPr>
          <w:ilvl w:val="0"/>
          <w:numId w:val="31"/>
        </w:numPr>
        <w:tabs>
          <w:tab w:val="left" w:pos="426"/>
        </w:tabs>
      </w:pPr>
      <w:r>
        <w:t>Inexperience with recruitment and performance management of international personnel</w:t>
      </w:r>
      <w:r w:rsidR="0075306E">
        <w:t>.</w:t>
      </w:r>
    </w:p>
    <w:p w14:paraId="2FDED0BC" w14:textId="0186A484" w:rsidR="00F27FD0" w:rsidRDefault="00F27FD0" w:rsidP="00F27FD0">
      <w:pPr>
        <w:pStyle w:val="ListParagraph"/>
        <w:numPr>
          <w:ilvl w:val="0"/>
          <w:numId w:val="31"/>
        </w:numPr>
        <w:tabs>
          <w:tab w:val="left" w:pos="426"/>
        </w:tabs>
      </w:pPr>
      <w:r>
        <w:t>Poorly implemented TVET Management Information System (TMIS)</w:t>
      </w:r>
      <w:r w:rsidR="0075306E">
        <w:t>.</w:t>
      </w:r>
    </w:p>
    <w:p w14:paraId="2C8BC13C" w14:textId="1182FB96" w:rsidR="00F27FD0" w:rsidRDefault="00F27FD0" w:rsidP="00D62140">
      <w:pPr>
        <w:tabs>
          <w:tab w:val="left" w:pos="426"/>
        </w:tabs>
        <w:ind w:left="426"/>
      </w:pPr>
      <w:r>
        <w:t>Over the past 9 months or so there have been improvements especially in financial acquittals and reporting</w:t>
      </w:r>
      <w:r w:rsidR="00D62140">
        <w:t xml:space="preserve"> but the Program remains significantly underspent in relation to budgeted activity.</w:t>
      </w:r>
    </w:p>
    <w:p w14:paraId="7FE1B8FF" w14:textId="68748FCE" w:rsidR="00D62140" w:rsidRDefault="00D62140" w:rsidP="00D62140">
      <w:pPr>
        <w:tabs>
          <w:tab w:val="left" w:pos="426"/>
        </w:tabs>
        <w:ind w:left="426"/>
      </w:pPr>
      <w:r>
        <w:t>Good work is now proceeding with monitoring and evaluation but as yet, 24 months into implementation, significant gaps still exist in baseline data and there has been little consideration of progress against indicators.</w:t>
      </w:r>
    </w:p>
    <w:p w14:paraId="48EBC0CE" w14:textId="218261F2" w:rsidR="003122A6" w:rsidRDefault="00130836" w:rsidP="00130836">
      <w:pPr>
        <w:tabs>
          <w:tab w:val="left" w:pos="426"/>
        </w:tabs>
        <w:rPr>
          <w:b/>
        </w:rPr>
      </w:pPr>
      <w:r>
        <w:rPr>
          <w:b/>
        </w:rPr>
        <w:t>3.</w:t>
      </w:r>
      <w:r>
        <w:rPr>
          <w:b/>
        </w:rPr>
        <w:tab/>
      </w:r>
      <w:r w:rsidR="0083497E" w:rsidRPr="00130836">
        <w:rPr>
          <w:b/>
        </w:rPr>
        <w:t>Cross Cutting Issues</w:t>
      </w:r>
    </w:p>
    <w:p w14:paraId="21F43C69" w14:textId="3909755D" w:rsidR="00130836" w:rsidRPr="00EC50B0" w:rsidRDefault="00EC50B0" w:rsidP="00130836">
      <w:pPr>
        <w:tabs>
          <w:tab w:val="left" w:pos="426"/>
        </w:tabs>
      </w:pPr>
      <w:r w:rsidRPr="00EC50B0">
        <w:t xml:space="preserve">At this stage there is </w:t>
      </w:r>
      <w:r>
        <w:t xml:space="preserve">little evidence that TSP1 has adequately identified, addressed, monitored and reported gender equality issues. </w:t>
      </w:r>
      <w:r w:rsidR="005D7F58">
        <w:t>In addition, with respect to disability support, a</w:t>
      </w:r>
      <w:r>
        <w:t xml:space="preserve"> decision was taken on donor advice </w:t>
      </w:r>
      <w:r w:rsidR="005D7F58">
        <w:t>to defer activities until the third or fourth year due to a lack of technical leadership, high staff turnover and limited capacity within MOTEYS to mainstream disability approaches within TSP1 operations.</w:t>
      </w:r>
    </w:p>
    <w:p w14:paraId="175067E5" w14:textId="4DE0822B" w:rsidR="003122A6" w:rsidRPr="00130836" w:rsidRDefault="00130836" w:rsidP="00130836">
      <w:pPr>
        <w:tabs>
          <w:tab w:val="left" w:pos="426"/>
        </w:tabs>
        <w:rPr>
          <w:b/>
        </w:rPr>
      </w:pPr>
      <w:r>
        <w:rPr>
          <w:b/>
        </w:rPr>
        <w:t>4.</w:t>
      </w:r>
      <w:r>
        <w:rPr>
          <w:b/>
        </w:rPr>
        <w:tab/>
      </w:r>
      <w:r w:rsidR="0083497E" w:rsidRPr="00130836">
        <w:rPr>
          <w:b/>
        </w:rPr>
        <w:t>Coherence and linkages</w:t>
      </w:r>
    </w:p>
    <w:p w14:paraId="3236285A" w14:textId="0E5B5DE2" w:rsidR="001D25C9" w:rsidRDefault="009F661D" w:rsidP="000B3901">
      <w:r>
        <w:t xml:space="preserve">TSP1 has not contemplated a coherent and integrated approach to national system reform. Opportunities have been missed, for example in tourism, where the New Zealand Government is actively supporting the Tongan tourism sector as a whole. Targeted training support aligned to the Government of Tonga and donor activity in the tourism sector would </w:t>
      </w:r>
      <w:r>
        <w:lastRenderedPageBreak/>
        <w:t xml:space="preserve">not only have met identified skills training needs but would also have established a model of demand driven training linked to economic development. </w:t>
      </w:r>
    </w:p>
    <w:p w14:paraId="02AE737E" w14:textId="38EE8550" w:rsidR="003122A6" w:rsidRPr="00130836" w:rsidRDefault="00130836" w:rsidP="00130836">
      <w:pPr>
        <w:tabs>
          <w:tab w:val="left" w:pos="426"/>
        </w:tabs>
        <w:rPr>
          <w:b/>
        </w:rPr>
      </w:pPr>
      <w:r>
        <w:rPr>
          <w:b/>
        </w:rPr>
        <w:t>5.</w:t>
      </w:r>
      <w:r>
        <w:rPr>
          <w:b/>
        </w:rPr>
        <w:tab/>
      </w:r>
      <w:r w:rsidR="0083497E" w:rsidRPr="00130836">
        <w:rPr>
          <w:b/>
        </w:rPr>
        <w:t>Relevance to broader donor objectives</w:t>
      </w:r>
    </w:p>
    <w:p w14:paraId="0AE031CA" w14:textId="4847D47D" w:rsidR="00A54A65" w:rsidRDefault="009F661D" w:rsidP="000B3901">
      <w:r>
        <w:t xml:space="preserve">The TSP1 strategic objective </w:t>
      </w:r>
      <w:r w:rsidR="00A54A65">
        <w:t xml:space="preserve">to improve the employability of Tongans in domestic and international labour markets through an improved TVET system </w:t>
      </w:r>
      <w:r>
        <w:t xml:space="preserve">remains </w:t>
      </w:r>
      <w:r w:rsidR="00A54A65">
        <w:t>relevant and is consistent with the Tonga Strategic Development Framework 2011- 2</w:t>
      </w:r>
      <w:r w:rsidR="0075306E">
        <w:t xml:space="preserve">014, the Australian Government </w:t>
      </w:r>
      <w:r w:rsidR="00A54A65">
        <w:t xml:space="preserve">Pacific Education and Skills Development Agenda (2011) </w:t>
      </w:r>
      <w:r w:rsidR="0075306E">
        <w:t xml:space="preserve">(PESDA) </w:t>
      </w:r>
      <w:r w:rsidR="00A54A65">
        <w:t>and its emerging Pacific Tertiary Education Strategy.</w:t>
      </w:r>
    </w:p>
    <w:p w14:paraId="6B49C5B0" w14:textId="0FC27FA6" w:rsidR="00130836" w:rsidRDefault="00A54A65" w:rsidP="000B3901">
      <w:r>
        <w:t>The Partnership Agreement between Australia and Tonga and the Commitment Agreement between New Zealand and Tonga both cite employability and improved TVET as a priority outcome.</w:t>
      </w:r>
    </w:p>
    <w:p w14:paraId="38356574" w14:textId="317D11CD" w:rsidR="0083497E" w:rsidRPr="00130836" w:rsidRDefault="00130836" w:rsidP="00130836">
      <w:pPr>
        <w:tabs>
          <w:tab w:val="left" w:pos="426"/>
        </w:tabs>
        <w:rPr>
          <w:b/>
        </w:rPr>
      </w:pPr>
      <w:r>
        <w:rPr>
          <w:b/>
        </w:rPr>
        <w:t>6.</w:t>
      </w:r>
      <w:r>
        <w:rPr>
          <w:b/>
        </w:rPr>
        <w:tab/>
      </w:r>
      <w:r w:rsidR="0083497E" w:rsidRPr="00130836">
        <w:rPr>
          <w:b/>
        </w:rPr>
        <w:t xml:space="preserve">Strategic &amp; operational lessons </w:t>
      </w:r>
    </w:p>
    <w:p w14:paraId="0831E741" w14:textId="7E1D645B" w:rsidR="00130836" w:rsidRDefault="00A54A65" w:rsidP="0083497E">
      <w:r>
        <w:t xml:space="preserve">A number of </w:t>
      </w:r>
      <w:proofErr w:type="gramStart"/>
      <w:r>
        <w:t>higher level</w:t>
      </w:r>
      <w:proofErr w:type="gramEnd"/>
      <w:r>
        <w:t xml:space="preserve"> lessons have been observed </w:t>
      </w:r>
      <w:r w:rsidR="00775939">
        <w:t>as follows</w:t>
      </w:r>
      <w:r>
        <w:t>:</w:t>
      </w:r>
    </w:p>
    <w:p w14:paraId="38AD4388" w14:textId="1A560CE9" w:rsidR="00A54A65" w:rsidRDefault="00C50CDC" w:rsidP="007A045A">
      <w:pPr>
        <w:pStyle w:val="ListParagraph"/>
        <w:numPr>
          <w:ilvl w:val="0"/>
          <w:numId w:val="32"/>
        </w:numPr>
        <w:ind w:left="360"/>
      </w:pPr>
      <w:r>
        <w:t>A programmatic approach is difficult when partner Government systems and counterpart experience are underdeveloped. In these circumstances, consideration should be given to a complementary project modality</w:t>
      </w:r>
      <w:r w:rsidR="00961307">
        <w:t xml:space="preserve"> whereby</w:t>
      </w:r>
      <w:r>
        <w:t xml:space="preserve"> technical, human resource, financial and performance management risks </w:t>
      </w:r>
      <w:r w:rsidR="00961307">
        <w:t xml:space="preserve">are managed and </w:t>
      </w:r>
      <w:r>
        <w:t>counterpart capacity</w:t>
      </w:r>
      <w:r w:rsidR="00961307" w:rsidRPr="00961307">
        <w:t xml:space="preserve"> </w:t>
      </w:r>
      <w:r w:rsidR="00961307">
        <w:t>is strengthened to enable transition to a programmatic approach.</w:t>
      </w:r>
    </w:p>
    <w:p w14:paraId="723A00C9" w14:textId="68BB0AE5" w:rsidR="00961307" w:rsidRDefault="00961307" w:rsidP="007A045A">
      <w:pPr>
        <w:pStyle w:val="ListParagraph"/>
        <w:numPr>
          <w:ilvl w:val="0"/>
          <w:numId w:val="32"/>
        </w:numPr>
        <w:ind w:left="360"/>
      </w:pPr>
      <w:r>
        <w:t>If a delegated cooperation agreement is to be efficient, donors need to develop binding financial management protocols.</w:t>
      </w:r>
    </w:p>
    <w:p w14:paraId="3B1D1ED2" w14:textId="77777777" w:rsidR="00961307" w:rsidRDefault="00961307" w:rsidP="007A045A">
      <w:pPr>
        <w:pStyle w:val="ListParagraph"/>
        <w:numPr>
          <w:ilvl w:val="0"/>
          <w:numId w:val="32"/>
        </w:numPr>
        <w:tabs>
          <w:tab w:val="left" w:pos="426"/>
        </w:tabs>
        <w:ind w:left="360"/>
      </w:pPr>
      <w:r>
        <w:t>Where donor funded programs are to be implemented within partner Government systems and processes it is essential that donor personnel be given the tools and resources to manage effectively.</w:t>
      </w:r>
    </w:p>
    <w:p w14:paraId="78E875F2" w14:textId="0901ACB2" w:rsidR="00D63699" w:rsidRDefault="00D63699" w:rsidP="007A045A">
      <w:pPr>
        <w:pStyle w:val="ListParagraph"/>
        <w:numPr>
          <w:ilvl w:val="0"/>
          <w:numId w:val="32"/>
        </w:numPr>
        <w:tabs>
          <w:tab w:val="left" w:pos="426"/>
        </w:tabs>
        <w:ind w:left="360"/>
      </w:pPr>
      <w:r>
        <w:t>In the absence of an agreed policy framework within which to operate, it is very difficult for personnel with limited TVET experience to interpret design intentions, to see the inter-relationships between component parts and to develop a coherent approach to program implementation.</w:t>
      </w:r>
    </w:p>
    <w:p w14:paraId="5A908DB1" w14:textId="72A7EACE" w:rsidR="00961307" w:rsidRDefault="00961307" w:rsidP="007A045A">
      <w:pPr>
        <w:pStyle w:val="ListParagraph"/>
        <w:numPr>
          <w:ilvl w:val="0"/>
          <w:numId w:val="32"/>
        </w:numPr>
        <w:tabs>
          <w:tab w:val="left" w:pos="426"/>
        </w:tabs>
        <w:ind w:left="360"/>
      </w:pPr>
      <w:r>
        <w:t>Where there is a lack of technical understanding, a consultative and collaborative approach to policy development can build a common vision and increase ownership of policy outcomes.</w:t>
      </w:r>
    </w:p>
    <w:p w14:paraId="189AEC03" w14:textId="5DB26147" w:rsidR="007A045A" w:rsidRDefault="007A045A" w:rsidP="007A045A">
      <w:pPr>
        <w:pStyle w:val="ListParagraph"/>
        <w:numPr>
          <w:ilvl w:val="0"/>
          <w:numId w:val="32"/>
        </w:numPr>
        <w:tabs>
          <w:tab w:val="left" w:pos="426"/>
        </w:tabs>
        <w:ind w:left="360"/>
      </w:pPr>
      <w:r w:rsidRPr="007A045A">
        <w:t>Shifting to a demand driven training system requires both a quantitative and qualitative understanding of skill demands</w:t>
      </w:r>
      <w:r>
        <w:t>. Labour market studies to identify current and projected skill demand should inform competency standard and course selection processes.</w:t>
      </w:r>
    </w:p>
    <w:p w14:paraId="1F186252" w14:textId="489FFCCE" w:rsidR="00304D5C" w:rsidRDefault="00304D5C" w:rsidP="007A045A">
      <w:pPr>
        <w:pStyle w:val="ListParagraph"/>
        <w:numPr>
          <w:ilvl w:val="0"/>
          <w:numId w:val="32"/>
        </w:numPr>
        <w:tabs>
          <w:tab w:val="left" w:pos="426"/>
        </w:tabs>
        <w:ind w:left="360"/>
      </w:pPr>
      <w:r>
        <w:t>I</w:t>
      </w:r>
      <w:r w:rsidR="003E75B3">
        <w:t xml:space="preserve">t is critical </w:t>
      </w:r>
      <w:r>
        <w:t xml:space="preserve">that program level monitoring and evaluation frameworks are simply expressed and </w:t>
      </w:r>
      <w:r w:rsidR="00775939">
        <w:t xml:space="preserve">are </w:t>
      </w:r>
      <w:r>
        <w:t xml:space="preserve">commensurate with available resource capacity to </w:t>
      </w:r>
      <w:proofErr w:type="gramStart"/>
      <w:r>
        <w:t>collect,</w:t>
      </w:r>
      <w:proofErr w:type="gramEnd"/>
      <w:r>
        <w:t xml:space="preserve"> analyse and report data.</w:t>
      </w:r>
    </w:p>
    <w:p w14:paraId="5A8C55F9" w14:textId="4EDB51B4" w:rsidR="0040246D" w:rsidRDefault="0040246D" w:rsidP="007A045A">
      <w:pPr>
        <w:pStyle w:val="ListParagraph"/>
        <w:numPr>
          <w:ilvl w:val="0"/>
          <w:numId w:val="32"/>
        </w:numPr>
        <w:tabs>
          <w:tab w:val="left" w:pos="426"/>
        </w:tabs>
        <w:ind w:left="360"/>
      </w:pPr>
      <w:r>
        <w:t xml:space="preserve">TSP1 program level strategic objectives and associated </w:t>
      </w:r>
      <w:r w:rsidR="00304D5C">
        <w:t>outcome</w:t>
      </w:r>
      <w:r>
        <w:t>s</w:t>
      </w:r>
      <w:r w:rsidR="00304D5C">
        <w:t xml:space="preserve"> </w:t>
      </w:r>
      <w:r>
        <w:t xml:space="preserve">should be aligned to and inform </w:t>
      </w:r>
      <w:proofErr w:type="gramStart"/>
      <w:r>
        <w:t>higher level</w:t>
      </w:r>
      <w:proofErr w:type="gramEnd"/>
      <w:r>
        <w:t xml:space="preserve"> outcome objectives such as the Tonga Strategic Development Framework, Partnership Agreements and PESDA.</w:t>
      </w:r>
    </w:p>
    <w:p w14:paraId="204ACBCF" w14:textId="57F5CEC8" w:rsidR="00D63699" w:rsidRDefault="0040246D" w:rsidP="007A045A">
      <w:pPr>
        <w:pStyle w:val="ListParagraph"/>
        <w:numPr>
          <w:ilvl w:val="0"/>
          <w:numId w:val="32"/>
        </w:numPr>
        <w:tabs>
          <w:tab w:val="left" w:pos="426"/>
        </w:tabs>
        <w:ind w:left="360"/>
      </w:pPr>
      <w:r>
        <w:t xml:space="preserve">Recruitment, contracting and performance management of international technical assistance is often outside the experience and systems of developing countries such as Tonga. Consideration should be given to contracting external support to manage the risks associated with this process. </w:t>
      </w:r>
    </w:p>
    <w:p w14:paraId="0C0AA5A7" w14:textId="5EE27E44" w:rsidR="0040246D" w:rsidRDefault="0040246D" w:rsidP="00E43D5E">
      <w:pPr>
        <w:pStyle w:val="ListParagraph"/>
        <w:numPr>
          <w:ilvl w:val="0"/>
          <w:numId w:val="32"/>
        </w:numPr>
        <w:tabs>
          <w:tab w:val="left" w:pos="426"/>
        </w:tabs>
        <w:ind w:left="360"/>
      </w:pPr>
      <w:r>
        <w:t xml:space="preserve">Successful deployment of employment and training funds as an incentive mechanism </w:t>
      </w:r>
      <w:r w:rsidR="00E43D5E">
        <w:t xml:space="preserve">to promote a more responsive and demand driven training system </w:t>
      </w:r>
      <w:r>
        <w:t xml:space="preserve">require </w:t>
      </w:r>
      <w:r w:rsidR="00E43D5E">
        <w:t>greater levels of TVET system development than has been the case in Tonga.</w:t>
      </w:r>
    </w:p>
    <w:p w14:paraId="3212DC02" w14:textId="4C00A89A" w:rsidR="001D25C9" w:rsidRDefault="00E43D5E" w:rsidP="00E43D5E">
      <w:pPr>
        <w:pStyle w:val="ListParagraph"/>
        <w:numPr>
          <w:ilvl w:val="0"/>
          <w:numId w:val="32"/>
        </w:numPr>
        <w:tabs>
          <w:tab w:val="left" w:pos="426"/>
        </w:tabs>
        <w:ind w:left="360"/>
      </w:pPr>
      <w:r>
        <w:t xml:space="preserve">The TSP1 strategic objective and component structure point to the development of an improved national training system as a pre-condition for improved employability </w:t>
      </w:r>
      <w:r w:rsidR="00775939">
        <w:t>of</w:t>
      </w:r>
      <w:r>
        <w:t xml:space="preserve"> </w:t>
      </w:r>
      <w:r>
        <w:lastRenderedPageBreak/>
        <w:t xml:space="preserve">Tongans at home and abroad. In fact the converse could be true. That is, through targeted interventions, models </w:t>
      </w:r>
      <w:r w:rsidR="00636155">
        <w:t>could</w:t>
      </w:r>
      <w:r>
        <w:t xml:space="preserve"> be developed </w:t>
      </w:r>
      <w:r w:rsidR="00636155">
        <w:t>to improve employability and</w:t>
      </w:r>
      <w:r>
        <w:t xml:space="preserve"> inform understanding of what an effective national TVET system might comprise which in turn could be articulated in</w:t>
      </w:r>
      <w:r w:rsidR="00636155">
        <w:t>to</w:t>
      </w:r>
      <w:r>
        <w:t xml:space="preserve"> national policy.</w:t>
      </w:r>
    </w:p>
    <w:p w14:paraId="3A411D05" w14:textId="67344038" w:rsidR="0083497E" w:rsidRDefault="00130836" w:rsidP="00130836">
      <w:pPr>
        <w:tabs>
          <w:tab w:val="left" w:pos="426"/>
        </w:tabs>
        <w:rPr>
          <w:b/>
        </w:rPr>
      </w:pPr>
      <w:r>
        <w:rPr>
          <w:b/>
        </w:rPr>
        <w:t>7.</w:t>
      </w:r>
      <w:r>
        <w:rPr>
          <w:b/>
        </w:rPr>
        <w:tab/>
      </w:r>
      <w:r w:rsidR="0083497E" w:rsidRPr="00130836">
        <w:rPr>
          <w:b/>
        </w:rPr>
        <w:t xml:space="preserve">Sustainability </w:t>
      </w:r>
    </w:p>
    <w:p w14:paraId="226B6A9C" w14:textId="0D0800CF" w:rsidR="00130836" w:rsidRDefault="0095607B" w:rsidP="00130836">
      <w:pPr>
        <w:tabs>
          <w:tab w:val="left" w:pos="426"/>
        </w:tabs>
      </w:pPr>
      <w:r w:rsidRPr="0095607B">
        <w:t>Elements of a sustainable TVET system are in place</w:t>
      </w:r>
      <w:r>
        <w:t xml:space="preserve"> including</w:t>
      </w:r>
      <w:r w:rsidR="00775939">
        <w:t>:</w:t>
      </w:r>
      <w:r>
        <w:t xml:space="preserve"> the TNQAB which is fully operational (albeit with continuing donor support), a number of franchise arrangements to deliver internationally recognised qualifications </w:t>
      </w:r>
      <w:r w:rsidR="0075306E">
        <w:t>are in operation</w:t>
      </w:r>
      <w:r>
        <w:t>, there is strong support for TVET at senior Government levels and local industry in the tourism and hospitality and construction sectors have demonstrated their willingness to be integral partners in the TVET system.</w:t>
      </w:r>
    </w:p>
    <w:p w14:paraId="17EE9428" w14:textId="4B2129A5" w:rsidR="0095607B" w:rsidRDefault="0095607B" w:rsidP="00130836">
      <w:pPr>
        <w:tabs>
          <w:tab w:val="left" w:pos="426"/>
        </w:tabs>
      </w:pPr>
      <w:r>
        <w:t>However these gains remain fragile given an uncertainty surrounding the transfer of TVET responsibilities to a traditionally academically orientated Ministry</w:t>
      </w:r>
      <w:r w:rsidR="00DF48A5">
        <w:t xml:space="preserve"> with </w:t>
      </w:r>
      <w:proofErr w:type="gramStart"/>
      <w:r w:rsidR="00DF48A5">
        <w:t>high level</w:t>
      </w:r>
      <w:proofErr w:type="gramEnd"/>
      <w:r w:rsidR="00DF48A5">
        <w:t xml:space="preserve"> competing demands from other elements of the education portfolio and a generally held view in the broader community about the low status of TVET.</w:t>
      </w:r>
    </w:p>
    <w:p w14:paraId="25F535E4" w14:textId="1A19CC08" w:rsidR="00DF48A5" w:rsidRPr="0095607B" w:rsidRDefault="00DF48A5" w:rsidP="00130836">
      <w:pPr>
        <w:tabs>
          <w:tab w:val="left" w:pos="426"/>
        </w:tabs>
      </w:pPr>
      <w:r w:rsidRPr="009E1E05">
        <w:t>If TSP1 is unable to demonstrate improved graduate outcomes in the labour market it will continue to be difficult to gain community and political support.</w:t>
      </w:r>
    </w:p>
    <w:p w14:paraId="264E9969" w14:textId="6FF3A776" w:rsidR="003717ED" w:rsidRDefault="00784935" w:rsidP="00130836">
      <w:pPr>
        <w:tabs>
          <w:tab w:val="left" w:pos="426"/>
        </w:tabs>
        <w:rPr>
          <w:b/>
        </w:rPr>
      </w:pPr>
      <w:r>
        <w:rPr>
          <w:b/>
        </w:rPr>
        <w:t xml:space="preserve">The next 9 months to </w:t>
      </w:r>
      <w:proofErr w:type="gramStart"/>
      <w:r>
        <w:rPr>
          <w:b/>
        </w:rPr>
        <w:t>April,</w:t>
      </w:r>
      <w:proofErr w:type="gramEnd"/>
      <w:r w:rsidR="0083497E" w:rsidRPr="00130836">
        <w:rPr>
          <w:b/>
        </w:rPr>
        <w:t xml:space="preserve"> 2013</w:t>
      </w:r>
    </w:p>
    <w:p w14:paraId="59982BBE" w14:textId="77777777" w:rsidR="003717ED" w:rsidRDefault="003717ED" w:rsidP="00130836">
      <w:pPr>
        <w:tabs>
          <w:tab w:val="left" w:pos="426"/>
        </w:tabs>
      </w:pPr>
      <w:r w:rsidRPr="003717ED">
        <w:t>The IPR has identified a complex mix of causal factors that have led to uns</w:t>
      </w:r>
      <w:r>
        <w:t>atisfactory performance against almost all of the AusAID OECD/DAC evaluation criteria.</w:t>
      </w:r>
    </w:p>
    <w:p w14:paraId="28CBB7D1" w14:textId="77777777" w:rsidR="003717ED" w:rsidRDefault="003717ED" w:rsidP="00130836">
      <w:pPr>
        <w:tabs>
          <w:tab w:val="left" w:pos="426"/>
        </w:tabs>
      </w:pPr>
      <w:r>
        <w:t>In this context it is recommended that the three partner Governments commence consultations to determine the best way forward for TVET in Tonga.</w:t>
      </w:r>
    </w:p>
    <w:p w14:paraId="6CF102B1" w14:textId="77777777" w:rsidR="003717ED" w:rsidRDefault="003717ED" w:rsidP="00130836">
      <w:pPr>
        <w:tabs>
          <w:tab w:val="left" w:pos="426"/>
        </w:tabs>
      </w:pPr>
      <w:r>
        <w:t>While these discussions proceed it is important to provide TSP1 staff and TVET stakeholders a level of certainty about the immediate future.</w:t>
      </w:r>
    </w:p>
    <w:p w14:paraId="15EB4F11" w14:textId="626F7163" w:rsidR="00CA2735" w:rsidRDefault="003717ED" w:rsidP="00130836">
      <w:pPr>
        <w:tabs>
          <w:tab w:val="left" w:pos="426"/>
        </w:tabs>
      </w:pPr>
      <w:r>
        <w:t xml:space="preserve">A </w:t>
      </w:r>
      <w:proofErr w:type="spellStart"/>
      <w:r w:rsidRPr="00F214AA">
        <w:rPr>
          <w:b/>
        </w:rPr>
        <w:t>Workplan</w:t>
      </w:r>
      <w:proofErr w:type="spellEnd"/>
      <w:r>
        <w:t xml:space="preserve"> covering the next 9 months until th</w:t>
      </w:r>
      <w:r w:rsidR="00784935">
        <w:t>e end of April</w:t>
      </w:r>
      <w:r w:rsidR="00CA2735">
        <w:t xml:space="preserve"> 2013 is provided in </w:t>
      </w:r>
      <w:r w:rsidR="00CA2735" w:rsidRPr="00CA2735">
        <w:rPr>
          <w:b/>
        </w:rPr>
        <w:t>Annex 1.</w:t>
      </w:r>
    </w:p>
    <w:p w14:paraId="60E85A14" w14:textId="77777777" w:rsidR="00CA2735" w:rsidRDefault="00CA2735" w:rsidP="00130836">
      <w:pPr>
        <w:tabs>
          <w:tab w:val="left" w:pos="426"/>
        </w:tabs>
      </w:pPr>
      <w:r>
        <w:t>Foremost among the planned activities is a labour market study incorporating both an analysis of the current domestic and regional</w:t>
      </w:r>
      <w:r>
        <w:rPr>
          <w:rStyle w:val="FootnoteReference"/>
        </w:rPr>
        <w:footnoteReference w:id="2"/>
      </w:r>
      <w:r>
        <w:t xml:space="preserve"> labour markets (including skill shortages, skill gaps and training priorities) and a projection of skill needs over the next 5 years.</w:t>
      </w:r>
    </w:p>
    <w:p w14:paraId="214E3A6D" w14:textId="0713B2E9" w:rsidR="00CA2735" w:rsidRDefault="00CA2735" w:rsidP="00130836">
      <w:pPr>
        <w:tabs>
          <w:tab w:val="left" w:pos="426"/>
        </w:tabs>
      </w:pPr>
      <w:r>
        <w:t>A second major activity will be a consultative and collaborative process to develop a national TVET policy</w:t>
      </w:r>
      <w:r w:rsidR="00775939">
        <w:t>,</w:t>
      </w:r>
      <w:r>
        <w:t xml:space="preserve"> informed in part by the labour market study. While the policy outcome is important, equally important will be the policy development process through which a common vision for TVET in Tonga should emerge.</w:t>
      </w:r>
    </w:p>
    <w:p w14:paraId="4BE8E8CC" w14:textId="4137AB68" w:rsidR="00E27CDC" w:rsidRDefault="00E27CDC" w:rsidP="00130836">
      <w:pPr>
        <w:tabs>
          <w:tab w:val="left" w:pos="426"/>
        </w:tabs>
      </w:pPr>
      <w:r>
        <w:t xml:space="preserve">Both of these activities will be led by </w:t>
      </w:r>
      <w:proofErr w:type="gramStart"/>
      <w:r>
        <w:t>short term</w:t>
      </w:r>
      <w:proofErr w:type="gramEnd"/>
      <w:r>
        <w:t xml:space="preserve"> technical assistance and they are seen as major professional development opportunities for TSP1 and relevant MET staff.</w:t>
      </w:r>
    </w:p>
    <w:p w14:paraId="560596B1" w14:textId="512435AC" w:rsidR="00BE51B2" w:rsidRPr="003717ED" w:rsidRDefault="00BE51B2" w:rsidP="00130836">
      <w:pPr>
        <w:tabs>
          <w:tab w:val="left" w:pos="426"/>
        </w:tabs>
      </w:pPr>
      <w:r w:rsidRPr="003717ED">
        <w:br w:type="page"/>
      </w:r>
    </w:p>
    <w:p w14:paraId="7A5074B1" w14:textId="1550C0EA" w:rsidR="00980557" w:rsidRDefault="009D7E6F" w:rsidP="00010AF2">
      <w:pPr>
        <w:pStyle w:val="Heading1"/>
        <w:numPr>
          <w:ilvl w:val="0"/>
          <w:numId w:val="2"/>
        </w:numPr>
        <w:spacing w:after="0"/>
        <w:ind w:left="709" w:hanging="709"/>
      </w:pPr>
      <w:bookmarkStart w:id="13" w:name="_Toc203996782"/>
      <w:r>
        <w:lastRenderedPageBreak/>
        <w:t>Introduction</w:t>
      </w:r>
      <w:bookmarkEnd w:id="13"/>
    </w:p>
    <w:p w14:paraId="7B999B7A" w14:textId="4382DFE1" w:rsidR="007E621C" w:rsidRDefault="002328D7" w:rsidP="00046EED">
      <w:pPr>
        <w:ind w:left="720"/>
      </w:pPr>
      <w:r>
        <w:t>The Tonga T</w:t>
      </w:r>
      <w:r w:rsidR="007E621C">
        <w:t xml:space="preserve">VET </w:t>
      </w:r>
      <w:r>
        <w:t>S</w:t>
      </w:r>
      <w:r w:rsidR="007E621C">
        <w:t xml:space="preserve">upport </w:t>
      </w:r>
      <w:r>
        <w:t>P</w:t>
      </w:r>
      <w:r w:rsidR="007E621C">
        <w:t xml:space="preserve">rogram Phase1 </w:t>
      </w:r>
      <w:r w:rsidR="00EC2295">
        <w:t xml:space="preserve">(TSP1) </w:t>
      </w:r>
      <w:r w:rsidR="007E621C">
        <w:t>was designed as</w:t>
      </w:r>
      <w:r>
        <w:t xml:space="preserve"> a </w:t>
      </w:r>
      <w:proofErr w:type="gramStart"/>
      <w:r>
        <w:t>four year</w:t>
      </w:r>
      <w:proofErr w:type="gramEnd"/>
      <w:r>
        <w:t xml:space="preserve"> program </w:t>
      </w:r>
      <w:r w:rsidR="007E621C">
        <w:t>and</w:t>
      </w:r>
      <w:r>
        <w:t xml:space="preserve"> commenced in </w:t>
      </w:r>
      <w:r w:rsidR="00633B3D">
        <w:t>May</w:t>
      </w:r>
      <w:r>
        <w:t xml:space="preserve"> 2010 under a </w:t>
      </w:r>
      <w:r w:rsidRPr="004513A5">
        <w:rPr>
          <w:i/>
        </w:rPr>
        <w:t>Delegated Cooperation Arrangement</w:t>
      </w:r>
      <w:r>
        <w:t xml:space="preserve"> between Australia and New Zealand. </w:t>
      </w:r>
    </w:p>
    <w:p w14:paraId="4EEE9294" w14:textId="77777777" w:rsidR="007E621C" w:rsidRDefault="007E621C" w:rsidP="00046EED">
      <w:pPr>
        <w:ind w:left="720"/>
      </w:pPr>
      <w:r>
        <w:t>The overarching objective of TSP1 is to make Tongans more competitive in domestic, regional and international labour markets through improved demand based TVET and internationally recognised qualifications.</w:t>
      </w:r>
    </w:p>
    <w:p w14:paraId="317A09F7" w14:textId="3AAA1B12" w:rsidR="007E621C" w:rsidRDefault="007E621C" w:rsidP="00046EED">
      <w:pPr>
        <w:ind w:left="720"/>
      </w:pPr>
      <w:r>
        <w:t xml:space="preserve">The primary assumption underpinning this objective </w:t>
      </w:r>
      <w:r w:rsidR="00EC2295">
        <w:t>is</w:t>
      </w:r>
      <w:r>
        <w:t xml:space="preserve"> that the introduction of a demand based TVET system would lead to the delivery and acquisition of internationally recognised qualifications</w:t>
      </w:r>
      <w:r w:rsidR="00046EED">
        <w:t>,</w:t>
      </w:r>
      <w:r>
        <w:t xml:space="preserve"> which in turn would improve </w:t>
      </w:r>
      <w:r w:rsidR="00046EED">
        <w:t xml:space="preserve">the </w:t>
      </w:r>
      <w:r>
        <w:t xml:space="preserve">employability </w:t>
      </w:r>
      <w:r w:rsidR="00046EED">
        <w:t>of</w:t>
      </w:r>
      <w:r>
        <w:t xml:space="preserve"> Tongan TVET graduates</w:t>
      </w:r>
      <w:r w:rsidR="00046EED">
        <w:t xml:space="preserve"> at home and abroad.</w:t>
      </w:r>
    </w:p>
    <w:p w14:paraId="31DD062C" w14:textId="739810EA" w:rsidR="00046EED" w:rsidRDefault="00046EED" w:rsidP="00046EED">
      <w:pPr>
        <w:ind w:left="720"/>
      </w:pPr>
      <w:r>
        <w:t xml:space="preserve">The TSP1 design envisaged that this objective would be achieved through the implementation of three inter-connected </w:t>
      </w:r>
      <w:r w:rsidR="004513A5">
        <w:t>components</w:t>
      </w:r>
      <w:r>
        <w:t>:</w:t>
      </w:r>
    </w:p>
    <w:p w14:paraId="07429DBB" w14:textId="77777777" w:rsidR="00046EED" w:rsidRDefault="00046EED" w:rsidP="00043E07">
      <w:pPr>
        <w:pStyle w:val="ListParagraph"/>
        <w:numPr>
          <w:ilvl w:val="0"/>
          <w:numId w:val="5"/>
        </w:numPr>
      </w:pPr>
      <w:r>
        <w:t>Develop a national training system</w:t>
      </w:r>
    </w:p>
    <w:p w14:paraId="21A9B6F3" w14:textId="77777777" w:rsidR="00046EED" w:rsidRDefault="00046EED" w:rsidP="00043E07">
      <w:pPr>
        <w:pStyle w:val="ListParagraph"/>
        <w:numPr>
          <w:ilvl w:val="0"/>
          <w:numId w:val="5"/>
        </w:numPr>
      </w:pPr>
      <w:r>
        <w:t>Promote demand driven training</w:t>
      </w:r>
    </w:p>
    <w:p w14:paraId="06DC3B9B" w14:textId="77777777" w:rsidR="00046EED" w:rsidRDefault="00764F31" w:rsidP="00043E07">
      <w:pPr>
        <w:pStyle w:val="ListParagraph"/>
        <w:numPr>
          <w:ilvl w:val="0"/>
          <w:numId w:val="5"/>
        </w:numPr>
      </w:pPr>
      <w:r>
        <w:t xml:space="preserve">Strengthen </w:t>
      </w:r>
      <w:r w:rsidR="00046EED">
        <w:t>TVET management structures in the Ministry of Training, Employment, Youth and Sports (MOTEYS)</w:t>
      </w:r>
    </w:p>
    <w:p w14:paraId="49E76D0B" w14:textId="11548840" w:rsidR="00145DD9" w:rsidRDefault="00046EED" w:rsidP="00046EED">
      <w:pPr>
        <w:ind w:left="720"/>
      </w:pPr>
      <w:r>
        <w:t xml:space="preserve">A number of elements </w:t>
      </w:r>
      <w:r w:rsidR="000F784F">
        <w:t>have been identified u</w:t>
      </w:r>
      <w:r>
        <w:t xml:space="preserve">nder the first </w:t>
      </w:r>
      <w:r w:rsidR="004513A5">
        <w:t>component</w:t>
      </w:r>
      <w:r>
        <w:t xml:space="preserve"> to develop a national training system </w:t>
      </w:r>
      <w:r w:rsidR="00871D23">
        <w:t>including support for the Tonga National Qualifications and Assessment Board (TNQAB), a national qualifications framework built on internationally</w:t>
      </w:r>
      <w:r w:rsidR="00145DD9">
        <w:t xml:space="preserve"> benchmarked skills standards, </w:t>
      </w:r>
      <w:r w:rsidR="00871D23">
        <w:t xml:space="preserve">and the strengthening of training providers to enable full compliance with TNQAB quality requirements and the </w:t>
      </w:r>
      <w:r w:rsidR="00145DD9">
        <w:t>integration of Tongan qualifications within regional and international qualifications systems.</w:t>
      </w:r>
    </w:p>
    <w:p w14:paraId="4E4F20A1" w14:textId="77777777" w:rsidR="007E621C" w:rsidRDefault="00145DD9" w:rsidP="00046EED">
      <w:pPr>
        <w:ind w:left="720"/>
      </w:pPr>
      <w:r>
        <w:t xml:space="preserve">For the promotion of demand driven training, the TSP1 design relies heavily on an Employment and Training Fund (ETF) as an incentive mechanism for training providers to realign both their long course and short course delivery to areas of skill demand within both the national and international labour markets. </w:t>
      </w:r>
    </w:p>
    <w:p w14:paraId="4CA38DF7" w14:textId="77777777" w:rsidR="007E621C" w:rsidRDefault="00764F31" w:rsidP="00C36016">
      <w:pPr>
        <w:ind w:left="720"/>
      </w:pPr>
      <w:r>
        <w:t xml:space="preserve">In 2006 </w:t>
      </w:r>
      <w:r w:rsidR="00391D3C">
        <w:t xml:space="preserve">MOTEYS was mandated by the Government of Tonga to </w:t>
      </w:r>
      <w:r w:rsidR="005073DC">
        <w:t>oversee</w:t>
      </w:r>
      <w:r w:rsidR="00391D3C">
        <w:t xml:space="preserve"> the </w:t>
      </w:r>
      <w:r>
        <w:t>continuing development</w:t>
      </w:r>
      <w:r w:rsidR="00391D3C">
        <w:t xml:space="preserve"> of the Tongan TVET system</w:t>
      </w:r>
      <w:r>
        <w:t>. As such,</w:t>
      </w:r>
      <w:r w:rsidR="00C36016">
        <w:t xml:space="preserve"> it became responsible for TSP1 </w:t>
      </w:r>
      <w:r>
        <w:t xml:space="preserve">with the MOTEYS Chief Executive Officer (CEO) </w:t>
      </w:r>
      <w:r w:rsidR="00C36016">
        <w:t>given overall policy and management responsibility for TSP1 implementation. T</w:t>
      </w:r>
      <w:r>
        <w:t xml:space="preserve">he TSP1 design </w:t>
      </w:r>
      <w:r w:rsidR="00C36016">
        <w:t>provided for institutional strengthening of MOTEYS including capacity</w:t>
      </w:r>
      <w:r w:rsidR="002D4DBD">
        <w:t xml:space="preserve"> building and improved approaches to monitoring and evaluation</w:t>
      </w:r>
      <w:r w:rsidR="00C36016">
        <w:t xml:space="preserve"> and risk management.</w:t>
      </w:r>
    </w:p>
    <w:p w14:paraId="398A0F87" w14:textId="4B17EED5" w:rsidR="00884336" w:rsidRDefault="00884336" w:rsidP="00C36016">
      <w:pPr>
        <w:ind w:left="720"/>
      </w:pPr>
      <w:r>
        <w:t>Funding for TSP1 is being provided by both Australia and New Zealand under a donor fund</w:t>
      </w:r>
      <w:r w:rsidR="00257351">
        <w:t>ing</w:t>
      </w:r>
      <w:r w:rsidR="00EC2295">
        <w:t xml:space="preserve"> </w:t>
      </w:r>
      <w:proofErr w:type="gramStart"/>
      <w:r>
        <w:t>arrangement which</w:t>
      </w:r>
      <w:proofErr w:type="gramEnd"/>
      <w:r w:rsidR="00EC2295">
        <w:t xml:space="preserve"> </w:t>
      </w:r>
      <w:r w:rsidR="00257351">
        <w:t>provides for</w:t>
      </w:r>
      <w:r w:rsidR="00EC2295">
        <w:t xml:space="preserve"> </w:t>
      </w:r>
      <w:r w:rsidR="00592559">
        <w:t>a</w:t>
      </w:r>
      <w:r>
        <w:t xml:space="preserve"> contribution </w:t>
      </w:r>
      <w:r w:rsidR="00592559">
        <w:t xml:space="preserve">of AUD3.71 million </w:t>
      </w:r>
      <w:r w:rsidR="00257351">
        <w:t>each</w:t>
      </w:r>
      <w:r w:rsidR="0037514E">
        <w:t>.</w:t>
      </w:r>
      <w:r w:rsidR="00257351">
        <w:t xml:space="preserve"> The don</w:t>
      </w:r>
      <w:r w:rsidR="0071485B">
        <w:t>or agreement stipulates that AusAID will hold, administer and implement the donor partner contributions to TSP1 implementation.</w:t>
      </w:r>
    </w:p>
    <w:p w14:paraId="00827CDF" w14:textId="77777777" w:rsidR="00F1567F" w:rsidRDefault="00F1567F" w:rsidP="003734A6"/>
    <w:p w14:paraId="28FD2DC9" w14:textId="77777777" w:rsidR="00F1567F" w:rsidRPr="00046EED" w:rsidRDefault="00F1567F" w:rsidP="00F1567F">
      <w:pPr>
        <w:ind w:left="720"/>
        <w:sectPr w:rsidR="00F1567F" w:rsidRPr="00046EED" w:rsidSect="00593009">
          <w:headerReference w:type="even" r:id="rId24"/>
          <w:footerReference w:type="default" r:id="rId25"/>
          <w:headerReference w:type="first" r:id="rId26"/>
          <w:pgSz w:w="11906" w:h="16838" w:code="9"/>
          <w:pgMar w:top="1440" w:right="1440" w:bottom="1440" w:left="1701" w:header="709" w:footer="709" w:gutter="0"/>
          <w:pgNumType w:start="1"/>
          <w:cols w:space="708"/>
          <w:docGrid w:linePitch="360"/>
        </w:sectPr>
      </w:pPr>
    </w:p>
    <w:p w14:paraId="13D24965" w14:textId="77777777" w:rsidR="009D7E6F" w:rsidRDefault="00D845E7" w:rsidP="00DA10C9">
      <w:pPr>
        <w:pStyle w:val="Heading1"/>
        <w:numPr>
          <w:ilvl w:val="0"/>
          <w:numId w:val="2"/>
        </w:numPr>
        <w:ind w:left="709" w:hanging="709"/>
      </w:pPr>
      <w:bookmarkStart w:id="14" w:name="_Toc203996783"/>
      <w:r>
        <w:lastRenderedPageBreak/>
        <w:t>Methodology</w:t>
      </w:r>
      <w:bookmarkEnd w:id="14"/>
    </w:p>
    <w:p w14:paraId="055670B7" w14:textId="77777777" w:rsidR="001804BF" w:rsidRPr="0031563A" w:rsidRDefault="003734A6" w:rsidP="00DA10C9">
      <w:pPr>
        <w:pStyle w:val="Heading2"/>
        <w:numPr>
          <w:ilvl w:val="1"/>
          <w:numId w:val="2"/>
        </w:numPr>
        <w:ind w:left="709" w:hanging="709"/>
      </w:pPr>
      <w:bookmarkStart w:id="15" w:name="_Toc203996784"/>
      <w:r w:rsidRPr="0031563A">
        <w:t>IPR Objectives</w:t>
      </w:r>
      <w:bookmarkEnd w:id="15"/>
    </w:p>
    <w:p w14:paraId="602EBD1C" w14:textId="7E7DA783" w:rsidR="003734A6" w:rsidRDefault="003734A6" w:rsidP="003734A6">
      <w:pPr>
        <w:ind w:left="720"/>
      </w:pPr>
      <w:r>
        <w:t>This Independent Progress Review was commissioned in April 2012 with the following objectives</w:t>
      </w:r>
      <w:r w:rsidR="00E94A54">
        <w:rPr>
          <w:rStyle w:val="FootnoteReference"/>
        </w:rPr>
        <w:footnoteReference w:id="3"/>
      </w:r>
      <w:r>
        <w:t>:</w:t>
      </w:r>
    </w:p>
    <w:p w14:paraId="7C19CC33" w14:textId="7F5D4B64" w:rsidR="003734A6" w:rsidRPr="00501F53" w:rsidRDefault="003734A6" w:rsidP="00C21794">
      <w:pPr>
        <w:numPr>
          <w:ilvl w:val="1"/>
          <w:numId w:val="6"/>
        </w:numPr>
        <w:rPr>
          <w:i/>
          <w:lang w:val="en-GB"/>
        </w:rPr>
      </w:pPr>
      <w:r w:rsidRPr="00501F53">
        <w:rPr>
          <w:i/>
          <w:lang w:val="en-GB"/>
        </w:rPr>
        <w:t>Provide an independent assessment of the progress against objectives of the Tonga Technical and Vocational Education (TVET) Support Program (TSP1) referencing AusAID assessment criteria</w:t>
      </w:r>
      <w:r w:rsidRPr="00501F53">
        <w:rPr>
          <w:i/>
          <w:vertAlign w:val="superscript"/>
          <w:lang w:val="en-GB"/>
        </w:rPr>
        <w:footnoteReference w:id="4"/>
      </w:r>
      <w:r w:rsidR="00ED18FF">
        <w:rPr>
          <w:i/>
          <w:lang w:val="en-GB"/>
        </w:rPr>
        <w:t xml:space="preserve">. </w:t>
      </w:r>
      <w:r w:rsidRPr="00501F53">
        <w:rPr>
          <w:i/>
          <w:lang w:val="en-GB"/>
        </w:rPr>
        <w:t>In particular, the evaluation will examine the activity’s scope and its management model, strengths and comparative advantages and also provide lessons for future support to TVET in Tonga.</w:t>
      </w:r>
    </w:p>
    <w:p w14:paraId="04BBADC7" w14:textId="73C14739" w:rsidR="003734A6" w:rsidRPr="00501F53" w:rsidRDefault="003734A6" w:rsidP="00C21794">
      <w:pPr>
        <w:numPr>
          <w:ilvl w:val="1"/>
          <w:numId w:val="6"/>
        </w:numPr>
        <w:rPr>
          <w:i/>
          <w:lang w:val="en-GB"/>
        </w:rPr>
      </w:pPr>
      <w:r w:rsidRPr="00501F53">
        <w:rPr>
          <w:i/>
          <w:lang w:val="en-GB"/>
        </w:rPr>
        <w:t xml:space="preserve">Identify issues that need to be addressed to improve the implementation and management of TSP1 through to </w:t>
      </w:r>
      <w:r w:rsidR="00784935">
        <w:rPr>
          <w:i/>
          <w:lang w:val="en-GB"/>
        </w:rPr>
        <w:t>April</w:t>
      </w:r>
      <w:r w:rsidRPr="00501F53">
        <w:rPr>
          <w:i/>
          <w:lang w:val="en-GB"/>
        </w:rPr>
        <w:t xml:space="preserve"> 201</w:t>
      </w:r>
      <w:r w:rsidR="00AF360A">
        <w:rPr>
          <w:i/>
          <w:lang w:val="en-GB"/>
        </w:rPr>
        <w:t>3</w:t>
      </w:r>
      <w:r w:rsidRPr="00501F53">
        <w:rPr>
          <w:i/>
          <w:lang w:val="en-GB"/>
        </w:rPr>
        <w:t xml:space="preserve"> and recommend a course of action to accomplish this.</w:t>
      </w:r>
    </w:p>
    <w:p w14:paraId="45FF2C61" w14:textId="77777777" w:rsidR="00C2520A" w:rsidRPr="0031563A" w:rsidRDefault="003734A6" w:rsidP="00DA10C9">
      <w:pPr>
        <w:pStyle w:val="Heading2"/>
        <w:numPr>
          <w:ilvl w:val="1"/>
          <w:numId w:val="2"/>
        </w:numPr>
        <w:ind w:left="709" w:hanging="709"/>
      </w:pPr>
      <w:bookmarkStart w:id="16" w:name="_Toc203996785"/>
      <w:r w:rsidRPr="0031563A">
        <w:t>Approach</w:t>
      </w:r>
      <w:bookmarkEnd w:id="16"/>
    </w:p>
    <w:p w14:paraId="69566AEA" w14:textId="77777777" w:rsidR="003734A6" w:rsidRDefault="00C2520A" w:rsidP="00C2520A">
      <w:pPr>
        <w:ind w:left="720"/>
      </w:pPr>
      <w:r>
        <w:t>The findings and recommendations in this IPR report have been derived from</w:t>
      </w:r>
      <w:r w:rsidR="00B501EF">
        <w:t xml:space="preserve"> a combination of</w:t>
      </w:r>
      <w:r w:rsidR="003734A6">
        <w:t>:</w:t>
      </w:r>
    </w:p>
    <w:p w14:paraId="33507F81" w14:textId="77777777" w:rsidR="003734A6" w:rsidRDefault="009934F5" w:rsidP="00043E07">
      <w:pPr>
        <w:pStyle w:val="ListParagraph"/>
        <w:numPr>
          <w:ilvl w:val="0"/>
          <w:numId w:val="5"/>
        </w:numPr>
      </w:pPr>
      <w:r>
        <w:t>Preliminary desk r</w:t>
      </w:r>
      <w:r w:rsidR="003734A6">
        <w:t>esearch</w:t>
      </w:r>
    </w:p>
    <w:p w14:paraId="3238524E" w14:textId="77777777" w:rsidR="003734A6" w:rsidRDefault="003734A6" w:rsidP="00043E07">
      <w:pPr>
        <w:pStyle w:val="ListParagraph"/>
        <w:numPr>
          <w:ilvl w:val="0"/>
          <w:numId w:val="5"/>
        </w:numPr>
      </w:pPr>
      <w:r>
        <w:t xml:space="preserve">In-country </w:t>
      </w:r>
      <w:r w:rsidR="009934F5">
        <w:t>c</w:t>
      </w:r>
      <w:r>
        <w:t>onsultation and the preparation of an Aide Memoire</w:t>
      </w:r>
    </w:p>
    <w:p w14:paraId="35BA3707" w14:textId="77777777" w:rsidR="003734A6" w:rsidRDefault="009934F5" w:rsidP="00043E07">
      <w:pPr>
        <w:pStyle w:val="ListParagraph"/>
        <w:numPr>
          <w:ilvl w:val="0"/>
          <w:numId w:val="5"/>
        </w:numPr>
      </w:pPr>
      <w:r>
        <w:t>Continuing research and discussions during the p</w:t>
      </w:r>
      <w:r w:rsidR="003734A6">
        <w:t>reparation of reports</w:t>
      </w:r>
    </w:p>
    <w:p w14:paraId="43DDE654" w14:textId="77777777" w:rsidR="003734A6" w:rsidRDefault="003734A6" w:rsidP="003734A6">
      <w:pPr>
        <w:ind w:left="720"/>
      </w:pPr>
      <w:r w:rsidRPr="00B87B11">
        <w:rPr>
          <w:b/>
        </w:rPr>
        <w:t>Desk Research</w:t>
      </w:r>
      <w:r w:rsidR="00C2520A">
        <w:rPr>
          <w:rStyle w:val="FootnoteReference"/>
        </w:rPr>
        <w:footnoteReference w:id="5"/>
      </w:r>
    </w:p>
    <w:p w14:paraId="32D9F5BD" w14:textId="0A2ED00C" w:rsidR="003734A6" w:rsidRDefault="00E40508" w:rsidP="003734A6">
      <w:pPr>
        <w:ind w:left="720"/>
      </w:pPr>
      <w:r>
        <w:t>Prior to the in-country mission, e</w:t>
      </w:r>
      <w:r w:rsidR="003734A6">
        <w:t xml:space="preserve">xtensive documentation </w:t>
      </w:r>
      <w:r>
        <w:t>was</w:t>
      </w:r>
      <w:r w:rsidR="0031548E">
        <w:t xml:space="preserve"> </w:t>
      </w:r>
      <w:r>
        <w:t>reviewed</w:t>
      </w:r>
      <w:r w:rsidR="0031548E">
        <w:t xml:space="preserve"> </w:t>
      </w:r>
      <w:r>
        <w:t>and applied</w:t>
      </w:r>
      <w:r w:rsidR="003734A6">
        <w:t xml:space="preserve"> to inform the development of the evaluation instruments and to prepare the team for in-country consultations. </w:t>
      </w:r>
      <w:r>
        <w:t>The d</w:t>
      </w:r>
      <w:r w:rsidR="003734A6">
        <w:t xml:space="preserve">ocuments </w:t>
      </w:r>
      <w:r>
        <w:t>that have been reviewed include relevant government strategic plans, policies, partnership agreements, financial statements and TSP1 plans and reports.</w:t>
      </w:r>
    </w:p>
    <w:p w14:paraId="6EB5299A" w14:textId="77777777" w:rsidR="003734A6" w:rsidRDefault="003734A6" w:rsidP="003734A6">
      <w:pPr>
        <w:ind w:left="720"/>
      </w:pPr>
      <w:r w:rsidRPr="00B87B11">
        <w:rPr>
          <w:b/>
        </w:rPr>
        <w:t>In-country Mission</w:t>
      </w:r>
      <w:r w:rsidR="00C2520A">
        <w:rPr>
          <w:rStyle w:val="FootnoteReference"/>
        </w:rPr>
        <w:footnoteReference w:id="6"/>
      </w:r>
    </w:p>
    <w:p w14:paraId="3709DFE6" w14:textId="77777777" w:rsidR="003734A6" w:rsidRDefault="003734A6" w:rsidP="003734A6">
      <w:pPr>
        <w:ind w:left="720"/>
      </w:pPr>
      <w:r>
        <w:t xml:space="preserve">The in-country mission </w:t>
      </w:r>
      <w:r w:rsidR="00C2520A">
        <w:t>was</w:t>
      </w:r>
      <w:r>
        <w:t xml:space="preserve"> conducted over a </w:t>
      </w:r>
      <w:proofErr w:type="gramStart"/>
      <w:r>
        <w:t>two week</w:t>
      </w:r>
      <w:proofErr w:type="gramEnd"/>
      <w:r>
        <w:t xml:space="preserve"> period (April 30 – May 12, 2012). Consultative meetings </w:t>
      </w:r>
      <w:r w:rsidR="00C2520A">
        <w:t>were</w:t>
      </w:r>
      <w:r>
        <w:t xml:space="preserve"> held with key TVET stakeholders in Tonga including:</w:t>
      </w:r>
    </w:p>
    <w:p w14:paraId="10DF4436" w14:textId="77777777" w:rsidR="003734A6" w:rsidRDefault="003734A6" w:rsidP="00043E07">
      <w:pPr>
        <w:pStyle w:val="ListParagraph"/>
        <w:numPr>
          <w:ilvl w:val="0"/>
          <w:numId w:val="5"/>
        </w:numPr>
      </w:pPr>
      <w:r>
        <w:t>Relevant Government departments and agencies</w:t>
      </w:r>
    </w:p>
    <w:p w14:paraId="6048944C" w14:textId="77777777" w:rsidR="003734A6" w:rsidRDefault="003734A6" w:rsidP="00043E07">
      <w:pPr>
        <w:pStyle w:val="ListParagraph"/>
        <w:numPr>
          <w:ilvl w:val="0"/>
          <w:numId w:val="5"/>
        </w:numPr>
      </w:pPr>
      <w:r>
        <w:t>Donors</w:t>
      </w:r>
    </w:p>
    <w:p w14:paraId="5B6E08CA" w14:textId="77777777" w:rsidR="003734A6" w:rsidRDefault="003734A6" w:rsidP="00043E07">
      <w:pPr>
        <w:pStyle w:val="ListParagraph"/>
        <w:numPr>
          <w:ilvl w:val="0"/>
          <w:numId w:val="5"/>
        </w:numPr>
      </w:pPr>
      <w:r>
        <w:t>Private sector representatives and umbrella organisations</w:t>
      </w:r>
    </w:p>
    <w:p w14:paraId="27541DC7" w14:textId="77777777" w:rsidR="003734A6" w:rsidRDefault="003734A6" w:rsidP="00043E07">
      <w:pPr>
        <w:pStyle w:val="ListParagraph"/>
        <w:numPr>
          <w:ilvl w:val="0"/>
          <w:numId w:val="5"/>
        </w:numPr>
      </w:pPr>
      <w:r>
        <w:t>Training providers and umbrella organisations</w:t>
      </w:r>
    </w:p>
    <w:p w14:paraId="61072073" w14:textId="77777777" w:rsidR="003734A6" w:rsidRDefault="003734A6" w:rsidP="00043E07">
      <w:pPr>
        <w:pStyle w:val="ListParagraph"/>
        <w:numPr>
          <w:ilvl w:val="0"/>
          <w:numId w:val="5"/>
        </w:numPr>
      </w:pPr>
      <w:r>
        <w:t>Relevant non-government organisations</w:t>
      </w:r>
    </w:p>
    <w:p w14:paraId="6974CEB7" w14:textId="55E407AB" w:rsidR="00C2520A" w:rsidRDefault="0031548E" w:rsidP="00043E07">
      <w:pPr>
        <w:pStyle w:val="ListParagraph"/>
        <w:numPr>
          <w:ilvl w:val="0"/>
          <w:numId w:val="5"/>
        </w:numPr>
      </w:pPr>
      <w:r>
        <w:t>TSP</w:t>
      </w:r>
      <w:r w:rsidR="003734A6">
        <w:t>1 team members</w:t>
      </w:r>
    </w:p>
    <w:p w14:paraId="412B34BF" w14:textId="77777777" w:rsidR="00BE4997" w:rsidRPr="00B87B11" w:rsidRDefault="00BE4997" w:rsidP="00BE4997">
      <w:pPr>
        <w:ind w:left="720"/>
        <w:rPr>
          <w:b/>
        </w:rPr>
      </w:pPr>
      <w:r w:rsidRPr="00B87B11">
        <w:rPr>
          <w:b/>
        </w:rPr>
        <w:t>Preparation of Reports</w:t>
      </w:r>
    </w:p>
    <w:p w14:paraId="7D6F2B9C" w14:textId="45CE1E68" w:rsidR="0029324F" w:rsidRDefault="00C343CB" w:rsidP="0083497E">
      <w:pPr>
        <w:ind w:left="720"/>
      </w:pPr>
      <w:r>
        <w:t xml:space="preserve">This IPR report </w:t>
      </w:r>
      <w:r w:rsidR="0029324F">
        <w:t>examine</w:t>
      </w:r>
      <w:r>
        <w:t>s</w:t>
      </w:r>
      <w:r w:rsidR="0029324F">
        <w:t xml:space="preserve"> and report</w:t>
      </w:r>
      <w:r>
        <w:t>s</w:t>
      </w:r>
      <w:r w:rsidR="0029324F">
        <w:t xml:space="preserve"> TSP</w:t>
      </w:r>
      <w:r w:rsidR="0031548E">
        <w:t>1</w:t>
      </w:r>
      <w:r w:rsidR="0029324F">
        <w:t xml:space="preserve"> progress against eight aid effectiveness criteria</w:t>
      </w:r>
      <w:r>
        <w:rPr>
          <w:rStyle w:val="FootnoteReference"/>
        </w:rPr>
        <w:footnoteReference w:id="7"/>
      </w:r>
      <w:r w:rsidR="0029324F">
        <w:t>. In addition it assess</w:t>
      </w:r>
      <w:r>
        <w:t>es</w:t>
      </w:r>
      <w:r w:rsidR="0029324F">
        <w:t xml:space="preserve"> TSP1 program design and implementation progress, </w:t>
      </w:r>
      <w:r w:rsidR="0029324F">
        <w:lastRenderedPageBreak/>
        <w:t xml:space="preserve">particularly with respect to management models, operational strategies, performance management, value for money and integration </w:t>
      </w:r>
      <w:r>
        <w:t xml:space="preserve">with </w:t>
      </w:r>
      <w:r w:rsidR="0029324F">
        <w:t xml:space="preserve">other donor and Government of Tonga national and regional </w:t>
      </w:r>
      <w:r>
        <w:t xml:space="preserve">activities and </w:t>
      </w:r>
      <w:r w:rsidR="0029324F">
        <w:t>frameworks.</w:t>
      </w:r>
    </w:p>
    <w:p w14:paraId="1F0C5829" w14:textId="77777777" w:rsidR="00F92973" w:rsidRDefault="003734A6" w:rsidP="00DA10C9">
      <w:pPr>
        <w:pStyle w:val="Heading2"/>
        <w:numPr>
          <w:ilvl w:val="1"/>
          <w:numId w:val="2"/>
        </w:numPr>
        <w:ind w:left="709" w:hanging="709"/>
      </w:pPr>
      <w:bookmarkStart w:id="17" w:name="_Toc203996786"/>
      <w:r w:rsidRPr="0031563A">
        <w:t>Challenges</w:t>
      </w:r>
      <w:bookmarkEnd w:id="17"/>
    </w:p>
    <w:p w14:paraId="379EF264" w14:textId="77777777" w:rsidR="00D70E7F" w:rsidRDefault="00D70E7F" w:rsidP="00D70E7F">
      <w:pPr>
        <w:ind w:left="720"/>
      </w:pPr>
      <w:r>
        <w:t>In addition to the usual constraints associated with limited resources and short timeframes there are two other factors that have contributed to the complexity of the review:</w:t>
      </w:r>
    </w:p>
    <w:p w14:paraId="67C5AEF8" w14:textId="77777777" w:rsidR="00A712E7" w:rsidRDefault="008625DD" w:rsidP="00043E07">
      <w:pPr>
        <w:pStyle w:val="ListParagraph"/>
        <w:numPr>
          <w:ilvl w:val="0"/>
          <w:numId w:val="5"/>
        </w:numPr>
      </w:pPr>
      <w:r>
        <w:t xml:space="preserve">There is a high level of interest in the review outcomes at senior levels of the Tongan Government and amongst the donor partners. </w:t>
      </w:r>
    </w:p>
    <w:p w14:paraId="25D650F0" w14:textId="01C48404" w:rsidR="008625DD" w:rsidRDefault="00A712E7" w:rsidP="00D70E7F">
      <w:pPr>
        <w:ind w:left="1080"/>
      </w:pPr>
      <w:r>
        <w:t>T</w:t>
      </w:r>
      <w:r w:rsidR="008625DD">
        <w:t>he restructure of the Tongan civil service and the transference of TVET responsibilities to the newly created Ministry for Education and Training (MET)</w:t>
      </w:r>
      <w:r>
        <w:t xml:space="preserve"> </w:t>
      </w:r>
      <w:r w:rsidR="00432CDB">
        <w:t>provide</w:t>
      </w:r>
      <w:r>
        <w:t xml:space="preserve"> both opportunity and risk for the continuing reform of the TVET system in Tonga. The review team w</w:t>
      </w:r>
      <w:r w:rsidR="00D70E7F">
        <w:t>as</w:t>
      </w:r>
      <w:r>
        <w:t xml:space="preserve"> advised by the Minister that the Education Act is currently being reviewed and amended and that the preparation of the TVET component within the new Act is awaiting the outcome of the review.</w:t>
      </w:r>
    </w:p>
    <w:p w14:paraId="29EBCFCB" w14:textId="77777777" w:rsidR="00A712E7" w:rsidRDefault="00A712E7" w:rsidP="00D70E7F">
      <w:pPr>
        <w:ind w:left="1080"/>
      </w:pPr>
      <w:r>
        <w:t xml:space="preserve">Both the donor partners expressed similar levels of expectation that the review outcomes and recommendations will have a direct bearing on their individual and collective strategies going forward for continuing support of the Tongan education and training sector generally. </w:t>
      </w:r>
    </w:p>
    <w:p w14:paraId="568F78F5" w14:textId="35793693" w:rsidR="00F92973" w:rsidRDefault="00774551" w:rsidP="00043E07">
      <w:pPr>
        <w:pStyle w:val="ListParagraph"/>
        <w:numPr>
          <w:ilvl w:val="0"/>
          <w:numId w:val="5"/>
        </w:numPr>
      </w:pPr>
      <w:r>
        <w:t>In completing the review mission the TSP1 IPR team were highly conscious of the fact that while the team ha</w:t>
      </w:r>
      <w:r w:rsidR="00432CDB">
        <w:t>s</w:t>
      </w:r>
      <w:r>
        <w:t xml:space="preserve"> strong international TVET experience in developing countries, they had not </w:t>
      </w:r>
      <w:r w:rsidR="00432CDB">
        <w:t xml:space="preserve">previously </w:t>
      </w:r>
      <w:r>
        <w:t>had the opportunity to work in Tonga. It is difficult for a review team with this background to appreciate fully the unique Tongan context within a short period of time and to avoid easy comparisons with systems and approaches observed</w:t>
      </w:r>
      <w:r w:rsidR="007E3B37">
        <w:t>/experienced</w:t>
      </w:r>
      <w:r>
        <w:t xml:space="preserve"> elsewhere. The input of the Government of Tonga representative on the review team was invaluable in this regard. </w:t>
      </w:r>
      <w:r w:rsidR="007E3B37">
        <w:t>His</w:t>
      </w:r>
      <w:r>
        <w:t xml:space="preserve"> deep understanding of the background and current context </w:t>
      </w:r>
      <w:r w:rsidR="007E3B37">
        <w:t>of TVET reform in Tonga, has enabled the development of more objective observations specific to the Tongan context and not simply a comparative and subjective analysis of the TSP1 in relation to donor funded TVET reforms in other developing countries.</w:t>
      </w:r>
    </w:p>
    <w:p w14:paraId="59204384" w14:textId="77777777" w:rsidR="004D50EC" w:rsidRPr="004D50EC" w:rsidRDefault="004D50EC" w:rsidP="004D50EC"/>
    <w:p w14:paraId="45CB0A1A" w14:textId="77777777" w:rsidR="004D50EC" w:rsidRDefault="004D50EC" w:rsidP="004D50EC">
      <w:pPr>
        <w:sectPr w:rsidR="004D50EC" w:rsidSect="00593009">
          <w:pgSz w:w="11906" w:h="16838" w:code="9"/>
          <w:pgMar w:top="1440" w:right="1440" w:bottom="1440" w:left="1701" w:header="709" w:footer="709" w:gutter="0"/>
          <w:cols w:space="708"/>
          <w:docGrid w:linePitch="360"/>
        </w:sectPr>
      </w:pPr>
    </w:p>
    <w:p w14:paraId="194F578C" w14:textId="77777777" w:rsidR="00775484" w:rsidRPr="009E1E05" w:rsidRDefault="00775484" w:rsidP="004135E1">
      <w:pPr>
        <w:pStyle w:val="Heading1"/>
        <w:numPr>
          <w:ilvl w:val="0"/>
          <w:numId w:val="2"/>
        </w:numPr>
        <w:ind w:left="709" w:hanging="709"/>
      </w:pPr>
      <w:bookmarkStart w:id="18" w:name="_Toc203996787"/>
      <w:r w:rsidRPr="009E1E05">
        <w:lastRenderedPageBreak/>
        <w:t>Observations</w:t>
      </w:r>
      <w:bookmarkEnd w:id="18"/>
    </w:p>
    <w:p w14:paraId="1653783B" w14:textId="77777777" w:rsidR="00775484" w:rsidRPr="00E94D89" w:rsidRDefault="00775484" w:rsidP="00046CD7">
      <w:pPr>
        <w:pStyle w:val="Heading2"/>
        <w:numPr>
          <w:ilvl w:val="1"/>
          <w:numId w:val="2"/>
        </w:numPr>
        <w:ind w:left="709" w:hanging="709"/>
      </w:pPr>
      <w:bookmarkStart w:id="19" w:name="_Toc203996788"/>
      <w:r w:rsidRPr="00E94D89">
        <w:t>Operational Model</w:t>
      </w:r>
      <w:bookmarkEnd w:id="19"/>
    </w:p>
    <w:p w14:paraId="1B3838F1" w14:textId="77777777" w:rsidR="00775484" w:rsidRPr="009E1E05" w:rsidRDefault="00775484" w:rsidP="00775484">
      <w:pPr>
        <w:ind w:left="720"/>
      </w:pPr>
      <w:r w:rsidRPr="009E1E05">
        <w:t>TSP1 is programmatic in design, with a focus on working through Government of Tonga structures and systems in accordance with the Paris Declaration</w:t>
      </w:r>
      <w:r>
        <w:rPr>
          <w:rStyle w:val="FootnoteReference"/>
        </w:rPr>
        <w:footnoteReference w:id="8"/>
      </w:r>
      <w:r w:rsidRPr="009E1E05">
        <w:t xml:space="preserve"> and Accra </w:t>
      </w:r>
      <w:r>
        <w:t>Agenda for Action</w:t>
      </w:r>
      <w:r>
        <w:rPr>
          <w:rStyle w:val="FootnoteReference"/>
        </w:rPr>
        <w:footnoteReference w:id="9"/>
      </w:r>
      <w:r w:rsidRPr="009E1E05">
        <w:t xml:space="preserve">. The design </w:t>
      </w:r>
      <w:r w:rsidR="0074579A">
        <w:t>in fact</w:t>
      </w:r>
      <w:r w:rsidR="00D60BE1">
        <w:t xml:space="preserve"> </w:t>
      </w:r>
      <w:r w:rsidRPr="009E1E05">
        <w:t>maps the proposed approach against Paris and Accra principles</w:t>
      </w:r>
      <w:r w:rsidRPr="009E1E05">
        <w:rPr>
          <w:vertAlign w:val="superscript"/>
        </w:rPr>
        <w:footnoteReference w:id="10"/>
      </w:r>
      <w:r w:rsidRPr="009E1E05">
        <w:t>, specifically:</w:t>
      </w:r>
    </w:p>
    <w:p w14:paraId="56ED304B" w14:textId="77777777" w:rsidR="00775484" w:rsidRPr="009E1E05" w:rsidRDefault="00775484" w:rsidP="00043E07">
      <w:pPr>
        <w:numPr>
          <w:ilvl w:val="0"/>
          <w:numId w:val="5"/>
        </w:numPr>
        <w:contextualSpacing/>
      </w:pPr>
      <w:r w:rsidRPr="009E1E05">
        <w:t xml:space="preserve">Strengthening developing country ownership of aid </w:t>
      </w:r>
    </w:p>
    <w:p w14:paraId="646296AB" w14:textId="77777777" w:rsidR="00775484" w:rsidRPr="009E1E05" w:rsidRDefault="00775484" w:rsidP="00043E07">
      <w:pPr>
        <w:numPr>
          <w:ilvl w:val="0"/>
          <w:numId w:val="5"/>
        </w:numPr>
        <w:contextualSpacing/>
      </w:pPr>
      <w:r w:rsidRPr="009E1E05">
        <w:t>Alignment of aid to partner government priorities, systems and processes</w:t>
      </w:r>
    </w:p>
    <w:p w14:paraId="353B0DC4" w14:textId="77777777" w:rsidR="00775484" w:rsidRPr="009E1E05" w:rsidRDefault="00775484" w:rsidP="00043E07">
      <w:pPr>
        <w:numPr>
          <w:ilvl w:val="0"/>
          <w:numId w:val="5"/>
        </w:numPr>
        <w:contextualSpacing/>
      </w:pPr>
      <w:r w:rsidRPr="009E1E05">
        <w:t>Harmonisation between donors</w:t>
      </w:r>
    </w:p>
    <w:p w14:paraId="358BE468" w14:textId="77777777" w:rsidR="00775484" w:rsidRPr="009E1E05" w:rsidRDefault="00775484" w:rsidP="00043E07">
      <w:pPr>
        <w:numPr>
          <w:ilvl w:val="0"/>
          <w:numId w:val="5"/>
        </w:numPr>
        <w:contextualSpacing/>
      </w:pPr>
      <w:r w:rsidRPr="009E1E05">
        <w:t>Managing for results</w:t>
      </w:r>
    </w:p>
    <w:p w14:paraId="52C63934" w14:textId="77777777" w:rsidR="00775484" w:rsidRPr="009E1E05" w:rsidRDefault="00775484" w:rsidP="00043E07">
      <w:pPr>
        <w:numPr>
          <w:ilvl w:val="0"/>
          <w:numId w:val="5"/>
        </w:numPr>
        <w:ind w:left="1077" w:hanging="357"/>
      </w:pPr>
      <w:r w:rsidRPr="009E1E05">
        <w:t>Mutual accountability between donors, partners an</w:t>
      </w:r>
      <w:r w:rsidR="0074579A">
        <w:t>d</w:t>
      </w:r>
      <w:r w:rsidRPr="009E1E05">
        <w:t xml:space="preserve"> populations</w:t>
      </w:r>
    </w:p>
    <w:p w14:paraId="198D6E6A" w14:textId="77777777" w:rsidR="00775484" w:rsidRPr="009E1E05" w:rsidRDefault="00775484" w:rsidP="00775484">
      <w:pPr>
        <w:ind w:left="720"/>
      </w:pPr>
      <w:r w:rsidRPr="009E1E05">
        <w:t xml:space="preserve">The following assessment provides comments on how well these principles have been </w:t>
      </w:r>
      <w:r>
        <w:t>achieved</w:t>
      </w:r>
      <w:r w:rsidRPr="009E1E05">
        <w:t>.</w:t>
      </w:r>
    </w:p>
    <w:p w14:paraId="61D188E9" w14:textId="77777777" w:rsidR="00775484" w:rsidRPr="009E1E05" w:rsidRDefault="00775484" w:rsidP="00775484">
      <w:pPr>
        <w:ind w:left="720"/>
        <w:rPr>
          <w:b/>
        </w:rPr>
      </w:pPr>
      <w:r w:rsidRPr="009E1E05">
        <w:rPr>
          <w:b/>
        </w:rPr>
        <w:t>Strengthening developing country ownership of aid</w:t>
      </w:r>
    </w:p>
    <w:p w14:paraId="3E7E3986" w14:textId="2DC5B8C6" w:rsidR="00775484" w:rsidRPr="009E1E05" w:rsidRDefault="00775484" w:rsidP="00775484">
      <w:pPr>
        <w:ind w:left="720"/>
      </w:pPr>
      <w:r w:rsidRPr="009E1E05">
        <w:t xml:space="preserve">Ownership is built on common understanding of purpose, principles and intended practices. The TSP1 design assumed such understanding was broadly held across the Government of Tonga and donors alike. While the review team observed that some progress </w:t>
      </w:r>
      <w:r w:rsidR="007E4557">
        <w:t>is</w:t>
      </w:r>
      <w:r w:rsidRPr="009E1E05">
        <w:t xml:space="preserve"> now be</w:t>
      </w:r>
      <w:r w:rsidR="007E4557">
        <w:t>ing</w:t>
      </w:r>
      <w:r w:rsidRPr="009E1E05">
        <w:t xml:space="preserve"> made to build the conceptual infrastructure within which systematic implementation might occur, it also notes that it is n</w:t>
      </w:r>
      <w:r w:rsidR="007E4557">
        <w:t>ow almost two years into a four-</w:t>
      </w:r>
      <w:r w:rsidRPr="009E1E05">
        <w:t>year program.</w:t>
      </w:r>
    </w:p>
    <w:p w14:paraId="0B718C38" w14:textId="154E4139" w:rsidR="00775484" w:rsidRPr="009E1E05" w:rsidRDefault="00775484" w:rsidP="00775484">
      <w:pPr>
        <w:ind w:left="720"/>
      </w:pPr>
      <w:r w:rsidRPr="009E1E05">
        <w:t xml:space="preserve">An opportunity to build a common vision </w:t>
      </w:r>
      <w:r>
        <w:t xml:space="preserve">and ownership </w:t>
      </w:r>
      <w:r w:rsidRPr="009E1E05">
        <w:t xml:space="preserve">through a consultative policy development process has been missed up until now. Before embarking </w:t>
      </w:r>
      <w:proofErr w:type="gramStart"/>
      <w:r w:rsidRPr="009E1E05">
        <w:t>on an outputs</w:t>
      </w:r>
      <w:proofErr w:type="gramEnd"/>
      <w:r w:rsidRPr="009E1E05">
        <w:t xml:space="preserve"> orient</w:t>
      </w:r>
      <w:r w:rsidR="007E4557">
        <w:t>at</w:t>
      </w:r>
      <w:r w:rsidRPr="009E1E05">
        <w:t>ed program delivery strategy it would have been advantageous for the TSP1 to facilitate a process to develop a policy framework to guide the achievement of the Government’s strategic objective to:</w:t>
      </w:r>
    </w:p>
    <w:p w14:paraId="1E1CFF36" w14:textId="77777777" w:rsidR="00775484" w:rsidRPr="009E1E05" w:rsidRDefault="00775484" w:rsidP="00775484">
      <w:pPr>
        <w:ind w:left="720"/>
      </w:pPr>
      <w:r w:rsidRPr="009E1E05">
        <w:rPr>
          <w:i/>
        </w:rPr>
        <w:t>‘Appropriately skilled workforce to meet available opportunities in Tonga and overseas by delivery of improved TVET’</w:t>
      </w:r>
      <w:r w:rsidRPr="009E1E05">
        <w:rPr>
          <w:i/>
          <w:vertAlign w:val="superscript"/>
        </w:rPr>
        <w:footnoteReference w:id="11"/>
      </w:r>
    </w:p>
    <w:p w14:paraId="59777D4D" w14:textId="77777777" w:rsidR="00775484" w:rsidRPr="00AF2025" w:rsidRDefault="00775484" w:rsidP="00775484">
      <w:pPr>
        <w:ind w:left="720"/>
      </w:pPr>
      <w:r w:rsidRPr="00AF2025">
        <w:t>Such a process would have not only built a common vision but it would have laid the groundwork for a clear understanding of the roles and responsibilities of key stakeholders, both public and private, in a nationwide TVET sector. It would also have established the operating environment within which TSP1 would be implemented, and clarified an understanding that TSP1 is not the TVET sector in itself but a mechanism by which the Tongan TVET sector might be developed and strengthened more broadly.</w:t>
      </w:r>
    </w:p>
    <w:p w14:paraId="580EE623" w14:textId="1BC60536" w:rsidR="00775484" w:rsidRPr="009E1E05" w:rsidRDefault="00775484" w:rsidP="00775484">
      <w:pPr>
        <w:ind w:left="720"/>
      </w:pPr>
      <w:r w:rsidRPr="009E1E05">
        <w:t xml:space="preserve">The </w:t>
      </w:r>
      <w:r w:rsidR="007E4557">
        <w:t>absence of</w:t>
      </w:r>
      <w:r w:rsidRPr="009E1E05">
        <w:t xml:space="preserve"> a National TVET Policy is recognised in the new Ministry of Education and Training (MET) </w:t>
      </w:r>
      <w:r w:rsidRPr="009E1E05">
        <w:rPr>
          <w:i/>
        </w:rPr>
        <w:t>Education Policy Framework, July 2012,</w:t>
      </w:r>
      <w:r w:rsidRPr="009E1E05">
        <w:t xml:space="preserve"> which highlights that there is a ‘lack of clear policy direction, and a holis</w:t>
      </w:r>
      <w:r>
        <w:t>ti</w:t>
      </w:r>
      <w:r w:rsidRPr="009E1E05">
        <w:t>c vision for post-secondary education in Tonga.’</w:t>
      </w:r>
      <w:r w:rsidRPr="009E1E05">
        <w:rPr>
          <w:vertAlign w:val="superscript"/>
        </w:rPr>
        <w:footnoteReference w:id="12"/>
      </w:r>
    </w:p>
    <w:p w14:paraId="4E9FAD86" w14:textId="77777777" w:rsidR="00775484" w:rsidRPr="00AF2025" w:rsidRDefault="00775484" w:rsidP="00775484">
      <w:pPr>
        <w:ind w:left="720"/>
      </w:pPr>
      <w:r w:rsidRPr="00AF2025">
        <w:lastRenderedPageBreak/>
        <w:t>It is the absence of an agreed policy framework that has contributed to a non-integrated approach to program implementation, which has perpetuated the component silos of the design and established a staccato pattern of isolated output delivery.</w:t>
      </w:r>
    </w:p>
    <w:p w14:paraId="5ED0BB3B" w14:textId="35CB3DE4" w:rsidR="00775484" w:rsidRPr="00AF2025" w:rsidRDefault="00775484" w:rsidP="00775484">
      <w:pPr>
        <w:ind w:left="720"/>
      </w:pPr>
      <w:r w:rsidRPr="00AF2025">
        <w:t>There has also been a lack of data, particularly labour market information and skills plans to inform policy development and TSP1 implementation strategies. It is unfortunate that TSP1 did not identify the need or facilitate a process to build labour market information or skills plans as a first step to determining demand and identifying appropriate units of competence</w:t>
      </w:r>
      <w:r w:rsidR="0068034D" w:rsidRPr="0068034D">
        <w:t xml:space="preserve"> </w:t>
      </w:r>
      <w:r w:rsidR="0068034D" w:rsidRPr="00AF2025">
        <w:t>and courses</w:t>
      </w:r>
      <w:r w:rsidRPr="00AF2025">
        <w:t>.</w:t>
      </w:r>
    </w:p>
    <w:p w14:paraId="08ABA034" w14:textId="77777777" w:rsidR="00775484" w:rsidRPr="00AF2025" w:rsidRDefault="00775484" w:rsidP="00775484">
      <w:pPr>
        <w:ind w:left="720"/>
        <w:rPr>
          <w:b/>
        </w:rPr>
      </w:pPr>
      <w:r w:rsidRPr="00AF2025">
        <w:rPr>
          <w:b/>
        </w:rPr>
        <w:t>Alignment of aid to partner government priorities, systems and processes</w:t>
      </w:r>
    </w:p>
    <w:p w14:paraId="3B2D8F3B" w14:textId="77777777" w:rsidR="00775484" w:rsidRPr="00AF2025" w:rsidRDefault="00775484" w:rsidP="00775484">
      <w:pPr>
        <w:ind w:left="720"/>
      </w:pPr>
      <w:r w:rsidRPr="00AF2025">
        <w:t xml:space="preserve">Responsibility for TSP1 program management was assigned to the Ministry for Training, Employment, Youth and Sports (MOTEYS) in which was established a Program Office comprised of MOTEYS TVET staff and six technical advisers (one international and five national). </w:t>
      </w:r>
    </w:p>
    <w:p w14:paraId="5DDCA7F1" w14:textId="77777777" w:rsidR="00775484" w:rsidRPr="009E1E05" w:rsidRDefault="00775484" w:rsidP="00775484">
      <w:pPr>
        <w:ind w:left="720"/>
      </w:pPr>
      <w:r w:rsidRPr="00AF2025">
        <w:t>The embedding of TSP1 within a Government ministry and the level of localisation of technical assistance are both worthy of commendation in Paris and Accra terms. However, with limited experience in the implementation of a large donor funded program, both from a technical and program management perspective, it was difficult at the outset for the Program Management team to perceive the opportunities and</w:t>
      </w:r>
      <w:r w:rsidRPr="009E1E05">
        <w:t xml:space="preserve"> risks in the TSP1 design</w:t>
      </w:r>
      <w:r>
        <w:t>,</w:t>
      </w:r>
      <w:r w:rsidRPr="009E1E05">
        <w:t xml:space="preserve"> and to define and direct a coherent approach to program implementation</w:t>
      </w:r>
      <w:r>
        <w:t xml:space="preserve"> in line with broader priorities, sys</w:t>
      </w:r>
      <w:r w:rsidR="00044DE2">
        <w:t>t</w:t>
      </w:r>
      <w:r>
        <w:t>ems and processes</w:t>
      </w:r>
      <w:r w:rsidR="00044DE2">
        <w:t xml:space="preserve"> </w:t>
      </w:r>
      <w:r>
        <w:t>in Tonga</w:t>
      </w:r>
      <w:r w:rsidRPr="009E1E05">
        <w:t>.</w:t>
      </w:r>
    </w:p>
    <w:p w14:paraId="7523BCC3" w14:textId="3159B370" w:rsidR="00775484" w:rsidRPr="009E1E05" w:rsidRDefault="00775484" w:rsidP="00775484">
      <w:pPr>
        <w:ind w:left="720"/>
      </w:pPr>
      <w:r w:rsidRPr="009E1E05">
        <w:t xml:space="preserve">Overall policy and management responsibility rested with the MOTEYS Chief Executive Officer who was to be supported by an international Program Technical Manager (PTM). Unfortunately difficult professional relationships between the MOTEYS CEO and the PTM resulted in the resignation of the PTM only seven months into the Program and it took 9 </w:t>
      </w:r>
      <w:r>
        <w:t xml:space="preserve">months to field a replacement. </w:t>
      </w:r>
      <w:r w:rsidRPr="009E1E05">
        <w:t xml:space="preserve">During this period, all of the original national technical advisers also resigned. </w:t>
      </w:r>
      <w:r w:rsidR="00EE1F34">
        <w:t>It was further reported that at times TVET staff were diverted to support other MOTEYS activities.</w:t>
      </w:r>
    </w:p>
    <w:p w14:paraId="770D7A79" w14:textId="594591B3" w:rsidR="00775484" w:rsidRPr="00AF2025" w:rsidRDefault="00775484" w:rsidP="00775484">
      <w:pPr>
        <w:ind w:left="720"/>
      </w:pPr>
      <w:r w:rsidRPr="00AF2025">
        <w:t xml:space="preserve">The compound effects of </w:t>
      </w:r>
      <w:r w:rsidR="00EE1F34" w:rsidRPr="00AF2025">
        <w:t xml:space="preserve">limited absorptive capacity in MOTEYS, </w:t>
      </w:r>
      <w:r w:rsidRPr="00AF2025">
        <w:t>a difficult management environment, high levels of staff turnover and the absence of an experienced PTM for an extended period of time exacerbated the negative impact of limited experience on program implementation and its successful embedding within local systems.</w:t>
      </w:r>
    </w:p>
    <w:p w14:paraId="5B207B0D" w14:textId="75B79353" w:rsidR="00775484" w:rsidRPr="009E1E05" w:rsidRDefault="00775484" w:rsidP="00775484">
      <w:pPr>
        <w:ind w:left="720"/>
      </w:pPr>
      <w:r w:rsidRPr="009E1E05">
        <w:t xml:space="preserve">The TSP1 design designated </w:t>
      </w:r>
      <w:r w:rsidR="00B848C6">
        <w:t>P</w:t>
      </w:r>
      <w:r w:rsidRPr="009E1E05">
        <w:t xml:space="preserve">rogram oversight to a National Steering Committee (NSC) comprised of representation from related Government agencies, donors, training providers and the private sector. It was recognised early that such a body, with its broad representation and twice yearly meeting schedule, could not be responsive to emerging issues as they arose nor was it an appropriate body to provide fiduciary oversight of </w:t>
      </w:r>
      <w:r w:rsidR="00044DE2">
        <w:t>P</w:t>
      </w:r>
      <w:r w:rsidRPr="009E1E05">
        <w:t>rogram operations.</w:t>
      </w:r>
    </w:p>
    <w:p w14:paraId="081D8EBF" w14:textId="7729A49B" w:rsidR="00775484" w:rsidRPr="009E1E05" w:rsidRDefault="00775484" w:rsidP="00775484">
      <w:pPr>
        <w:ind w:left="720"/>
      </w:pPr>
      <w:r w:rsidRPr="009E1E05">
        <w:t xml:space="preserve">As a consequence a Program Steering Committee (PSC) was established and the NSC was rebadged as a National TVET Stakeholder Forum (NTSF) with revised terms of reference. </w:t>
      </w:r>
    </w:p>
    <w:p w14:paraId="70F9F3E0" w14:textId="77777777" w:rsidR="00775484" w:rsidRPr="009E1E05" w:rsidRDefault="00775484" w:rsidP="00775484">
      <w:pPr>
        <w:ind w:left="720"/>
      </w:pPr>
      <w:r w:rsidRPr="009E1E05">
        <w:t xml:space="preserve">The PSC is chaired by AusAID and comprises senior level representatives from </w:t>
      </w:r>
      <w:r w:rsidRPr="00B848C6">
        <w:t xml:space="preserve">NZ MFAT, MOTEYS, MEWAC, TNQAB, TATVET and </w:t>
      </w:r>
      <w:r w:rsidR="008B0DFE" w:rsidRPr="00B848C6">
        <w:t>TCCI</w:t>
      </w:r>
      <w:r w:rsidRPr="00B848C6">
        <w:t>.</w:t>
      </w:r>
      <w:r w:rsidRPr="009E1E05">
        <w:t xml:space="preserve"> Its functions included policy guidance, funding approvals and performance review.</w:t>
      </w:r>
    </w:p>
    <w:p w14:paraId="400DC4F2" w14:textId="511222E0" w:rsidR="00775484" w:rsidRPr="009E1E05" w:rsidRDefault="00775484" w:rsidP="00775484">
      <w:pPr>
        <w:ind w:left="720"/>
      </w:pPr>
      <w:r w:rsidRPr="009E1E05">
        <w:t>Despite these changes</w:t>
      </w:r>
      <w:r w:rsidR="0068034D">
        <w:t>,</w:t>
      </w:r>
      <w:r w:rsidR="009C7F24">
        <w:t xml:space="preserve"> which were</w:t>
      </w:r>
      <w:r w:rsidRPr="009E1E05">
        <w:t xml:space="preserve"> intended to improve the governance structure, program implementation often stalled. Infrequent meetings of the PSC and/or </w:t>
      </w:r>
      <w:r w:rsidRPr="009E1E05">
        <w:lastRenderedPageBreak/>
        <w:t>protracted PSC decision making processes outside of meetings have impeded responsiveness and added further delays to program activity.</w:t>
      </w:r>
    </w:p>
    <w:p w14:paraId="6B495965" w14:textId="1E9BCDFE" w:rsidR="00775484" w:rsidRPr="009E1E05" w:rsidRDefault="00775484" w:rsidP="00775484">
      <w:pPr>
        <w:ind w:left="720"/>
      </w:pPr>
      <w:proofErr w:type="gramStart"/>
      <w:r w:rsidRPr="009E1E05">
        <w:t xml:space="preserve">The extent of program delay is perhaps best represented </w:t>
      </w:r>
      <w:r w:rsidR="002A1D44">
        <w:t>by TSP1 financial records</w:t>
      </w:r>
      <w:proofErr w:type="gramEnd"/>
      <w:r w:rsidR="002A1D44">
        <w:t>.</w:t>
      </w:r>
      <w:r w:rsidR="00044DE2">
        <w:t xml:space="preserve"> </w:t>
      </w:r>
      <w:r w:rsidRPr="009E1E05">
        <w:t>Auditors</w:t>
      </w:r>
      <w:r w:rsidRPr="009E1E05">
        <w:rPr>
          <w:vertAlign w:val="superscript"/>
        </w:rPr>
        <w:footnoteReference w:id="13"/>
      </w:r>
      <w:r w:rsidRPr="009E1E05">
        <w:t xml:space="preserve"> reported that the </w:t>
      </w:r>
      <w:r>
        <w:t>P</w:t>
      </w:r>
      <w:r w:rsidRPr="009E1E05">
        <w:t xml:space="preserve">rogram had under-expended against budget by 58% in the 13 month period from program commencement to June 30, 2011. The situation appears to be even worse in the 2011/2012 financial </w:t>
      </w:r>
      <w:proofErr w:type="gramStart"/>
      <w:r w:rsidRPr="009E1E05">
        <w:t>year</w:t>
      </w:r>
      <w:proofErr w:type="gramEnd"/>
      <w:r w:rsidRPr="009E1E05">
        <w:t xml:space="preserve"> with figures showing that only 29% of the budget for the period had been expended up to the end of March, 2012</w:t>
      </w:r>
      <w:r w:rsidRPr="009E1E05">
        <w:rPr>
          <w:vertAlign w:val="superscript"/>
        </w:rPr>
        <w:footnoteReference w:id="14"/>
      </w:r>
      <w:r w:rsidRPr="009E1E05">
        <w:t>.</w:t>
      </w:r>
    </w:p>
    <w:p w14:paraId="77F75D97" w14:textId="3EB3D65A" w:rsidR="00775484" w:rsidRPr="009E1E05" w:rsidRDefault="009C7F24" w:rsidP="00775484">
      <w:pPr>
        <w:ind w:left="720"/>
      </w:pPr>
      <w:r>
        <w:t>One</w:t>
      </w:r>
      <w:r w:rsidR="00775484" w:rsidRPr="009E1E05">
        <w:t xml:space="preserve"> of the reason</w:t>
      </w:r>
      <w:r>
        <w:t>s</w:t>
      </w:r>
      <w:r w:rsidR="00775484" w:rsidRPr="009E1E05">
        <w:t xml:space="preserve"> for under-expenditure has been </w:t>
      </w:r>
      <w:proofErr w:type="gramStart"/>
      <w:r w:rsidR="00775484" w:rsidRPr="009E1E05">
        <w:t>difficulties</w:t>
      </w:r>
      <w:proofErr w:type="gramEnd"/>
      <w:r w:rsidR="00775484" w:rsidRPr="009E1E05">
        <w:t xml:space="preserve"> within the Ministry of Finance and National Planning (MFNP) particularly in the procurement and accounts payable sections. For example, recruitment of </w:t>
      </w:r>
      <w:proofErr w:type="gramStart"/>
      <w:r w:rsidR="00775484" w:rsidRPr="009E1E05">
        <w:t>short term</w:t>
      </w:r>
      <w:proofErr w:type="gramEnd"/>
      <w:r w:rsidR="00775484" w:rsidRPr="009E1E05">
        <w:t xml:space="preserve"> advisers is very complex, especially for a ‘sole supplier’ (i.e. a specific adviser) which can take up to 6 months. The MFNP uses a manual system for accounts payment and TSP1 personnel have had to follow up payments frequently.</w:t>
      </w:r>
    </w:p>
    <w:p w14:paraId="67CE6B41" w14:textId="308E0619" w:rsidR="00775484" w:rsidRPr="00AF2025" w:rsidRDefault="00775484" w:rsidP="00775484">
      <w:pPr>
        <w:ind w:left="720"/>
      </w:pPr>
      <w:r w:rsidRPr="009E1E05">
        <w:t>While the level of expenditure may be commensurate with TSP1 progress to date</w:t>
      </w:r>
      <w:r w:rsidR="009C7F24">
        <w:t>,</w:t>
      </w:r>
      <w:r w:rsidRPr="009E1E05">
        <w:t xml:space="preserve"> it is difficult </w:t>
      </w:r>
      <w:r w:rsidR="009C7F24">
        <w:t xml:space="preserve">at this stage </w:t>
      </w:r>
      <w:r w:rsidRPr="009E1E05">
        <w:t>to identify any real value for money</w:t>
      </w:r>
      <w:r w:rsidR="009C7F24">
        <w:t>,</w:t>
      </w:r>
      <w:r w:rsidRPr="009E1E05">
        <w:t xml:space="preserve"> in either development or monetary terms</w:t>
      </w:r>
      <w:r w:rsidR="009C7F24">
        <w:t>,</w:t>
      </w:r>
      <w:r w:rsidRPr="009E1E05">
        <w:t xml:space="preserve"> </w:t>
      </w:r>
      <w:r w:rsidR="009C7F24">
        <w:t>in relation to the Program’s four-</w:t>
      </w:r>
      <w:r w:rsidRPr="009E1E05">
        <w:t>year objectives. One of the donors remarked that the level of progress to date seemed to be what might have been expected after 6 or 9 months rather than the 24 months</w:t>
      </w:r>
      <w:r w:rsidR="00CE7CBD">
        <w:t xml:space="preserve"> that have passed </w:t>
      </w:r>
      <w:r w:rsidRPr="009E1E05">
        <w:t xml:space="preserve">in actuality. The lack of progress in combination with high opportunity costs raises significant </w:t>
      </w:r>
      <w:r w:rsidRPr="00AF2025">
        <w:t>questions in value for money terms.</w:t>
      </w:r>
    </w:p>
    <w:p w14:paraId="74F59120" w14:textId="77777777" w:rsidR="00775484" w:rsidRPr="00AF2025" w:rsidRDefault="00775484" w:rsidP="00775484">
      <w:pPr>
        <w:ind w:left="720"/>
      </w:pPr>
      <w:r w:rsidRPr="00AF2025">
        <w:t>It also highlights the fact that despite the best intentions to the contrary, the alignment to partner government priorities, systems and processes was made difficult by the respective layers of accountability required by each of the partner Governments. As one TSP1 manager commented during interview:</w:t>
      </w:r>
    </w:p>
    <w:p w14:paraId="0BCD63C7" w14:textId="77777777" w:rsidR="00775484" w:rsidRDefault="00775484" w:rsidP="00C65086">
      <w:pPr>
        <w:ind w:left="1440" w:right="827"/>
        <w:jc w:val="left"/>
      </w:pPr>
      <w:r w:rsidRPr="00893A9C">
        <w:t>‘</w:t>
      </w:r>
      <w:r w:rsidRPr="00893A9C">
        <w:rPr>
          <w:i/>
        </w:rPr>
        <w:t>There were no guidelines and there were different expectations from each donor – MOTEYS needed a clearer understanding of donor financial management processes’</w:t>
      </w:r>
      <w:r w:rsidR="00D23E1C">
        <w:rPr>
          <w:i/>
        </w:rPr>
        <w:t>.</w:t>
      </w:r>
    </w:p>
    <w:p w14:paraId="6179732D" w14:textId="77777777" w:rsidR="00775484" w:rsidRPr="009E1E05" w:rsidRDefault="00775484" w:rsidP="00775484">
      <w:pPr>
        <w:ind w:left="720"/>
        <w:rPr>
          <w:b/>
        </w:rPr>
      </w:pPr>
      <w:r w:rsidRPr="009E1E05">
        <w:rPr>
          <w:b/>
        </w:rPr>
        <w:t>Harmonisation between donors</w:t>
      </w:r>
    </w:p>
    <w:p w14:paraId="0E6B1224" w14:textId="108C9DFE" w:rsidR="008557FC" w:rsidRDefault="00775484" w:rsidP="008557FC">
      <w:pPr>
        <w:ind w:left="720"/>
      </w:pPr>
      <w:r w:rsidRPr="009E1E05">
        <w:t xml:space="preserve">Funding for the </w:t>
      </w:r>
      <w:r>
        <w:t>P</w:t>
      </w:r>
      <w:r w:rsidRPr="009E1E05">
        <w:t xml:space="preserve">rogram is being provided through a formal donor funding agreement between the Australian and New Zealand Governments. Under this agreement, AusAID has delegated authority to hold, administer and implement the MFAT (NZ) contribution towards the support of TSP1.  </w:t>
      </w:r>
      <w:r w:rsidR="008557FC">
        <w:t xml:space="preserve">This arrangement appears to be based on a TSP1 design assumption that a high </w:t>
      </w:r>
      <w:r w:rsidR="002105DC">
        <w:t>level of harmon</w:t>
      </w:r>
      <w:r w:rsidR="008557FC">
        <w:t>isation</w:t>
      </w:r>
      <w:r w:rsidR="002105DC">
        <w:t xml:space="preserve"> </w:t>
      </w:r>
      <w:r w:rsidR="008557FC">
        <w:t xml:space="preserve">existed </w:t>
      </w:r>
      <w:r w:rsidR="002105DC">
        <w:t>between Australia</w:t>
      </w:r>
      <w:r w:rsidR="008557FC">
        <w:t>n</w:t>
      </w:r>
      <w:r w:rsidR="002105DC">
        <w:t xml:space="preserve"> and New Zealand </w:t>
      </w:r>
      <w:r w:rsidR="008557FC">
        <w:t xml:space="preserve">Government </w:t>
      </w:r>
      <w:r w:rsidR="00E101F0">
        <w:t xml:space="preserve">development systems and </w:t>
      </w:r>
      <w:r w:rsidR="008557FC">
        <w:t>approaches to program administration.</w:t>
      </w:r>
    </w:p>
    <w:p w14:paraId="00E51471" w14:textId="2133737E" w:rsidR="002105DC" w:rsidRDefault="008557FC" w:rsidP="008557FC">
      <w:pPr>
        <w:ind w:left="720"/>
      </w:pPr>
      <w:r>
        <w:t xml:space="preserve">However, </w:t>
      </w:r>
      <w:r w:rsidR="002105DC">
        <w:t>i</w:t>
      </w:r>
      <w:r w:rsidR="00775484" w:rsidRPr="009E1E05">
        <w:t xml:space="preserve">n practice both donors have played an active role in program implementation particularly with respect </w:t>
      </w:r>
      <w:r w:rsidR="00D23E1C">
        <w:t xml:space="preserve">to </w:t>
      </w:r>
      <w:r w:rsidR="00775484">
        <w:t>their participation in</w:t>
      </w:r>
      <w:r w:rsidR="00775484" w:rsidRPr="009E1E05">
        <w:t xml:space="preserve"> the Program Steering Committee and its </w:t>
      </w:r>
      <w:r w:rsidR="00775484">
        <w:t xml:space="preserve">stated </w:t>
      </w:r>
      <w:r w:rsidR="00775484" w:rsidRPr="009E1E05">
        <w:t>r</w:t>
      </w:r>
      <w:r w:rsidR="0033240D">
        <w:t>esponsibility</w:t>
      </w:r>
      <w:r w:rsidR="00775484" w:rsidRPr="009E1E05">
        <w:t xml:space="preserve"> to ‘consider, approve, decline or defer TSP1 funding proposals’.</w:t>
      </w:r>
      <w:r w:rsidR="00775484" w:rsidRPr="009E1E05">
        <w:rPr>
          <w:vertAlign w:val="superscript"/>
        </w:rPr>
        <w:footnoteReference w:id="15"/>
      </w:r>
      <w:r w:rsidR="00775484" w:rsidRPr="009E1E05">
        <w:t xml:space="preserve"> </w:t>
      </w:r>
    </w:p>
    <w:p w14:paraId="5C1B028B" w14:textId="6E6FD9A8" w:rsidR="00775484" w:rsidRPr="009E1E05" w:rsidRDefault="00775484" w:rsidP="006F71A3">
      <w:pPr>
        <w:widowControl w:val="0"/>
        <w:ind w:left="720"/>
      </w:pPr>
      <w:r w:rsidRPr="00FD4EF9">
        <w:t>During interviews</w:t>
      </w:r>
      <w:r w:rsidR="00E101F0" w:rsidRPr="00FD4EF9">
        <w:t>, MOTEYS and TSP1 personnel, while acknowledging difficulties with Government of Tonga program management</w:t>
      </w:r>
      <w:r w:rsidRPr="00FD4EF9">
        <w:t xml:space="preserve"> </w:t>
      </w:r>
      <w:r w:rsidR="00E101F0" w:rsidRPr="00FD4EF9">
        <w:t xml:space="preserve">approaches, also expressed </w:t>
      </w:r>
      <w:r w:rsidR="00E101F0" w:rsidRPr="00FD4EF9">
        <w:lastRenderedPageBreak/>
        <w:t>concern</w:t>
      </w:r>
      <w:r w:rsidRPr="00FD4EF9">
        <w:t xml:space="preserve"> about donor funding approval processes.  </w:t>
      </w:r>
      <w:r w:rsidR="00E101F0">
        <w:t>For example</w:t>
      </w:r>
      <w:r w:rsidRPr="009E1E05">
        <w:t>:</w:t>
      </w:r>
    </w:p>
    <w:p w14:paraId="133D797F" w14:textId="77777777" w:rsidR="00775484" w:rsidRPr="009E1E05" w:rsidRDefault="00775484" w:rsidP="00043E07">
      <w:pPr>
        <w:numPr>
          <w:ilvl w:val="0"/>
          <w:numId w:val="5"/>
        </w:numPr>
        <w:contextualSpacing/>
        <w:rPr>
          <w:i/>
        </w:rPr>
      </w:pPr>
      <w:r w:rsidRPr="009E1E05">
        <w:rPr>
          <w:i/>
        </w:rPr>
        <w:t>‘Everything had to go through the donors so things only happened when the donors were ready’</w:t>
      </w:r>
    </w:p>
    <w:p w14:paraId="386ABF4D" w14:textId="77777777" w:rsidR="00775484" w:rsidRPr="009E1E05" w:rsidRDefault="00775484" w:rsidP="00043E07">
      <w:pPr>
        <w:numPr>
          <w:ilvl w:val="0"/>
          <w:numId w:val="5"/>
        </w:numPr>
        <w:contextualSpacing/>
        <w:rPr>
          <w:i/>
        </w:rPr>
      </w:pPr>
      <w:r w:rsidRPr="009E1E05">
        <w:rPr>
          <w:i/>
        </w:rPr>
        <w:t xml:space="preserve"> ‘There was no donor structure to manage the </w:t>
      </w:r>
      <w:r>
        <w:rPr>
          <w:i/>
        </w:rPr>
        <w:t>P</w:t>
      </w:r>
      <w:r w:rsidRPr="009E1E05">
        <w:rPr>
          <w:i/>
        </w:rPr>
        <w:t>rogram’</w:t>
      </w:r>
    </w:p>
    <w:p w14:paraId="7239AF5B" w14:textId="77777777" w:rsidR="00775484" w:rsidRPr="009E1E05" w:rsidRDefault="00775484" w:rsidP="00043E07">
      <w:pPr>
        <w:numPr>
          <w:ilvl w:val="0"/>
          <w:numId w:val="5"/>
        </w:numPr>
        <w:contextualSpacing/>
        <w:rPr>
          <w:i/>
        </w:rPr>
      </w:pPr>
      <w:r w:rsidRPr="009E1E05">
        <w:rPr>
          <w:i/>
        </w:rPr>
        <w:t>‘Donors were not technical either’</w:t>
      </w:r>
    </w:p>
    <w:p w14:paraId="2A0933B7" w14:textId="77777777" w:rsidR="00775484" w:rsidRPr="009E1E05" w:rsidRDefault="00775484" w:rsidP="00043E07">
      <w:pPr>
        <w:numPr>
          <w:ilvl w:val="0"/>
          <w:numId w:val="5"/>
        </w:numPr>
        <w:contextualSpacing/>
        <w:rPr>
          <w:i/>
        </w:rPr>
      </w:pPr>
      <w:r w:rsidRPr="009E1E05">
        <w:rPr>
          <w:i/>
        </w:rPr>
        <w:t>‘There needed to be clearer delegations’</w:t>
      </w:r>
    </w:p>
    <w:p w14:paraId="3E11BE7C" w14:textId="77777777" w:rsidR="00775484" w:rsidRPr="009E1E05" w:rsidRDefault="00775484" w:rsidP="00043E07">
      <w:pPr>
        <w:numPr>
          <w:ilvl w:val="0"/>
          <w:numId w:val="5"/>
        </w:numPr>
        <w:contextualSpacing/>
        <w:rPr>
          <w:i/>
        </w:rPr>
      </w:pPr>
      <w:r w:rsidRPr="009E1E05">
        <w:rPr>
          <w:i/>
        </w:rPr>
        <w:t>‘Changes in management styles when donor personnel changed during implementation and no program management structure or guidelines to operate within’</w:t>
      </w:r>
    </w:p>
    <w:p w14:paraId="49C56E11" w14:textId="77777777" w:rsidR="00775484" w:rsidRPr="009E1E05" w:rsidRDefault="00775484" w:rsidP="00775484">
      <w:pPr>
        <w:ind w:left="720"/>
      </w:pPr>
      <w:r w:rsidRPr="009E1E05">
        <w:t xml:space="preserve">It is interesting to note that some of these difficulties were reflected in conversations with donors </w:t>
      </w:r>
      <w:r>
        <w:t xml:space="preserve">themselves </w:t>
      </w:r>
      <w:r w:rsidRPr="009E1E05">
        <w:t>and the following quote from a report on the Tonga-Australia Partnership is pertinent:</w:t>
      </w:r>
      <w:r w:rsidRPr="009E1E05">
        <w:rPr>
          <w:vertAlign w:val="superscript"/>
        </w:rPr>
        <w:footnoteReference w:id="16"/>
      </w:r>
    </w:p>
    <w:p w14:paraId="361C65E8" w14:textId="77777777" w:rsidR="00775484" w:rsidRPr="009E1E05" w:rsidRDefault="00775484" w:rsidP="00C65086">
      <w:pPr>
        <w:ind w:left="1134" w:right="827"/>
        <w:jc w:val="left"/>
      </w:pPr>
      <w:r w:rsidRPr="009E1E05">
        <w:rPr>
          <w:i/>
        </w:rPr>
        <w:t>Delegated cooperation arrangements are intended to increase efficiency and reduce transaction costs by allowing the Government of Tonga to engage with only one donor rather than two. The experience to date is that delegated arrangements between Australia and New Zealand have not increased efficiency as planned. Australia, Tonga and New Zealand will take lessons from the delegation experience with TVET into consideration in designing joint Australian and New Zealand support for basic education</w:t>
      </w:r>
      <w:r w:rsidRPr="009E1E05">
        <w:t xml:space="preserve">. </w:t>
      </w:r>
    </w:p>
    <w:p w14:paraId="7A7E460D" w14:textId="77777777" w:rsidR="00775484" w:rsidRPr="009E1E05" w:rsidRDefault="00775484" w:rsidP="00775484">
      <w:pPr>
        <w:ind w:left="720"/>
      </w:pPr>
      <w:r w:rsidRPr="009E1E05">
        <w:t>Other than reference to the joint funding arrangement between Australia and New Zealand, the TSP1 design makes no reference to potential linkages and harmonisation of TSP1 activities to other donor activity, either within or outside the education and training sector.</w:t>
      </w:r>
    </w:p>
    <w:p w14:paraId="59525995" w14:textId="77777777" w:rsidR="00775484" w:rsidRPr="009E1E05" w:rsidRDefault="00775484" w:rsidP="00775484">
      <w:pPr>
        <w:ind w:left="720"/>
        <w:rPr>
          <w:b/>
        </w:rPr>
      </w:pPr>
      <w:r w:rsidRPr="009E1E05">
        <w:rPr>
          <w:b/>
        </w:rPr>
        <w:t>Managing for result</w:t>
      </w:r>
    </w:p>
    <w:p w14:paraId="5E933F5E" w14:textId="3D308D35" w:rsidR="00A75A2F" w:rsidRDefault="00775484" w:rsidP="00775484">
      <w:pPr>
        <w:ind w:left="720"/>
      </w:pPr>
      <w:r w:rsidRPr="009E1E05">
        <w:t>In the same Partnership Report cited above it was noted that there had been no significant results relevant to Partnership targets by the time of its writing (August 2011). This is understandable given the higher order nature of Partnership targets and the fact that TSP1 had only been operational for just over a year. However, what is surprising is the report noting that ‘a key challenge in measuring future progress is the lack of a baseline.’</w:t>
      </w:r>
      <w:r w:rsidRPr="009E1E05">
        <w:rPr>
          <w:vertAlign w:val="superscript"/>
        </w:rPr>
        <w:footnoteReference w:id="17"/>
      </w:r>
      <w:r w:rsidRPr="009E1E05">
        <w:t xml:space="preserve"> Thirteen months into implementation it is reasonable to expect that the identification and collection of relevant baseline data would have been well progressed.</w:t>
      </w:r>
      <w:r w:rsidR="005D161D">
        <w:t xml:space="preserve"> A</w:t>
      </w:r>
      <w:r w:rsidR="007971F9">
        <w:t xml:space="preserve"> major reason for this would appear to be a lack of </w:t>
      </w:r>
      <w:r w:rsidR="005D161D">
        <w:t>priority</w:t>
      </w:r>
      <w:r w:rsidR="007971F9">
        <w:t xml:space="preserve"> </w:t>
      </w:r>
      <w:r w:rsidR="005D161D">
        <w:t xml:space="preserve">given </w:t>
      </w:r>
      <w:r w:rsidR="007971F9">
        <w:t>to monitoring and evaluation (M&amp;E) as evidenced by delays in the appointment of M&amp;E personnel. The first M&amp;E Program Officer and Short Term Adviser beginning 8 months and 12 months after Program commencement respectively.</w:t>
      </w:r>
    </w:p>
    <w:p w14:paraId="03F2F68C" w14:textId="1A56DE95" w:rsidR="00775484" w:rsidRPr="009E1E05" w:rsidRDefault="005D161D" w:rsidP="00775484">
      <w:pPr>
        <w:ind w:left="709"/>
      </w:pPr>
      <w:r>
        <w:t>P</w:t>
      </w:r>
      <w:r w:rsidR="00775484" w:rsidRPr="009E1E05">
        <w:t>roblem</w:t>
      </w:r>
      <w:r>
        <w:t>s</w:t>
      </w:r>
      <w:r w:rsidR="00775484" w:rsidRPr="009E1E05">
        <w:t xml:space="preserve"> with TSP1 </w:t>
      </w:r>
      <w:r w:rsidR="00A75A2F">
        <w:t>M&amp;E</w:t>
      </w:r>
      <w:r w:rsidR="00775484" w:rsidRPr="009E1E05">
        <w:t xml:space="preserve"> </w:t>
      </w:r>
      <w:r>
        <w:t>also arise</w:t>
      </w:r>
      <w:r w:rsidR="00775484" w:rsidRPr="009E1E05">
        <w:t xml:space="preserve"> with</w:t>
      </w:r>
      <w:r>
        <w:t>in</w:t>
      </w:r>
      <w:r w:rsidR="00775484" w:rsidRPr="009E1E05">
        <w:t xml:space="preserve"> the Program </w:t>
      </w:r>
      <w:proofErr w:type="gramStart"/>
      <w:r w:rsidR="007D13C6">
        <w:t>d</w:t>
      </w:r>
      <w:r w:rsidR="00775484" w:rsidRPr="009E1E05">
        <w:t>esign which</w:t>
      </w:r>
      <w:proofErr w:type="gramEnd"/>
      <w:r w:rsidR="00775484" w:rsidRPr="009E1E05">
        <w:t xml:space="preserve"> presents, under a heading of</w:t>
      </w:r>
      <w:r w:rsidR="00775484" w:rsidRPr="009E1E05">
        <w:rPr>
          <w:i/>
        </w:rPr>
        <w:t xml:space="preserve"> Intended Outcomes, </w:t>
      </w:r>
      <w:r w:rsidR="00775484" w:rsidRPr="009E1E05">
        <w:t>a mix of outcomes, outputs and inputs. Performance indicators are defined for each ‘outcome’ and while these indicators are specific and measurable</w:t>
      </w:r>
      <w:r w:rsidR="00054A89">
        <w:t>,</w:t>
      </w:r>
      <w:r w:rsidR="00775484" w:rsidRPr="009E1E05">
        <w:t xml:space="preserve"> questions arise as to whether they are attainable, realistic and timely. It is also not clear in some cases what the connection is between the outcome and the indicator. For example, Outcome 1 is </w:t>
      </w:r>
      <w:r w:rsidR="00775484" w:rsidRPr="009E1E05">
        <w:rPr>
          <w:i/>
        </w:rPr>
        <w:t>a system wide shift from provider focussed training to training focused on workforce and industry skill needs</w:t>
      </w:r>
      <w:r w:rsidR="00C65086">
        <w:rPr>
          <w:i/>
        </w:rPr>
        <w:t xml:space="preserve"> </w:t>
      </w:r>
      <w:r w:rsidR="00C65086">
        <w:t>and yet t</w:t>
      </w:r>
      <w:r w:rsidR="00775484" w:rsidRPr="009E1E05">
        <w:t>he indicators for this outcome are:</w:t>
      </w:r>
    </w:p>
    <w:p w14:paraId="1AE8FE40" w14:textId="77777777" w:rsidR="00775484" w:rsidRPr="009E1E05" w:rsidRDefault="00775484" w:rsidP="00043E07">
      <w:pPr>
        <w:numPr>
          <w:ilvl w:val="0"/>
          <w:numId w:val="5"/>
        </w:numPr>
        <w:contextualSpacing/>
        <w:rPr>
          <w:i/>
        </w:rPr>
      </w:pPr>
      <w:r w:rsidRPr="009E1E05">
        <w:rPr>
          <w:i/>
        </w:rPr>
        <w:lastRenderedPageBreak/>
        <w:t>80% of all TVET courses showing sustained increased participation by women, the disabled and other disadvantaged groups.</w:t>
      </w:r>
    </w:p>
    <w:p w14:paraId="776EA939" w14:textId="7983A417" w:rsidR="00775484" w:rsidRPr="009E1E05" w:rsidRDefault="00775484" w:rsidP="00043E07">
      <w:pPr>
        <w:numPr>
          <w:ilvl w:val="0"/>
          <w:numId w:val="5"/>
        </w:numPr>
        <w:contextualSpacing/>
        <w:rPr>
          <w:i/>
        </w:rPr>
      </w:pPr>
      <w:r w:rsidRPr="009E1E05">
        <w:rPr>
          <w:i/>
        </w:rPr>
        <w:t>M</w:t>
      </w:r>
      <w:r w:rsidR="00EC2981">
        <w:rPr>
          <w:i/>
        </w:rPr>
        <w:t>O</w:t>
      </w:r>
      <w:r w:rsidRPr="009E1E05">
        <w:rPr>
          <w:i/>
        </w:rPr>
        <w:t>TEYS TVET staff trained, including through short-term attachments in New Zealand and/or Australia to manage training functions within 18 months.</w:t>
      </w:r>
    </w:p>
    <w:p w14:paraId="6B5EF6F3" w14:textId="77777777" w:rsidR="00775484" w:rsidRPr="009E1E05" w:rsidRDefault="00775484" w:rsidP="00043E07">
      <w:pPr>
        <w:numPr>
          <w:ilvl w:val="0"/>
          <w:numId w:val="5"/>
        </w:numPr>
        <w:ind w:left="1077" w:hanging="357"/>
        <w:rPr>
          <w:i/>
        </w:rPr>
      </w:pPr>
      <w:r w:rsidRPr="009E1E05">
        <w:rPr>
          <w:i/>
        </w:rPr>
        <w:t>Providers design more relevant training from feedback on outcomes from graduates as evidenced by TNQAB reports.</w:t>
      </w:r>
    </w:p>
    <w:p w14:paraId="3534C33C" w14:textId="77777777" w:rsidR="00775484" w:rsidRPr="009E1E05" w:rsidRDefault="00775484" w:rsidP="00775484">
      <w:pPr>
        <w:ind w:left="709"/>
      </w:pPr>
      <w:r w:rsidRPr="009E1E05">
        <w:t>It is not clear how meeting these targets could lead confidently to a conclusion that the shift to demand driven training had been achieved.</w:t>
      </w:r>
    </w:p>
    <w:p w14:paraId="4432B17C" w14:textId="77777777" w:rsidR="00775484" w:rsidRPr="009E1E05" w:rsidRDefault="00775484" w:rsidP="00775484">
      <w:pPr>
        <w:ind w:left="709"/>
      </w:pPr>
      <w:r w:rsidRPr="009E1E05">
        <w:t>A Results Framework is provided which includes ‘</w:t>
      </w:r>
      <w:r w:rsidRPr="009E1E05">
        <w:rPr>
          <w:i/>
        </w:rPr>
        <w:t>performance indicators, process indicators and measures of intermediate outcomes’</w:t>
      </w:r>
      <w:r w:rsidRPr="009E1E05">
        <w:t xml:space="preserve"> for each sub-component. In all there are 29 separate indicators, each requiring baseline data and on-going data collection and monitoring.</w:t>
      </w:r>
    </w:p>
    <w:p w14:paraId="67CFAFF8" w14:textId="77777777" w:rsidR="00775484" w:rsidRPr="009E1E05" w:rsidRDefault="00775484" w:rsidP="00775484">
      <w:pPr>
        <w:ind w:left="709"/>
      </w:pPr>
      <w:r w:rsidRPr="009E1E05">
        <w:t>Attempts by the P</w:t>
      </w:r>
      <w:r>
        <w:t>rogram to interpret the design</w:t>
      </w:r>
      <w:r w:rsidRPr="009E1E05">
        <w:t>’s intentions resulted in an overly complicated M&amp;E framework incorporating a heavy data collection load and difficult to measure indicators, e.g. ‘</w:t>
      </w:r>
      <w:r w:rsidRPr="009E1E05">
        <w:rPr>
          <w:i/>
        </w:rPr>
        <w:t>schools selected to participate are appropriately engaged</w:t>
      </w:r>
      <w:r w:rsidRPr="009E1E05">
        <w:t>’.</w:t>
      </w:r>
    </w:p>
    <w:p w14:paraId="259EB9B4" w14:textId="205A52EF" w:rsidR="00775484" w:rsidRPr="009E1E05" w:rsidRDefault="00775484" w:rsidP="00775484">
      <w:pPr>
        <w:ind w:left="709"/>
      </w:pPr>
      <w:r w:rsidRPr="009E1E05">
        <w:t xml:space="preserve">It is not clear how this </w:t>
      </w:r>
      <w:r w:rsidR="007D13C6">
        <w:t>volume</w:t>
      </w:r>
      <w:r>
        <w:t xml:space="preserve"> of</w:t>
      </w:r>
      <w:r w:rsidRPr="009E1E05">
        <w:t xml:space="preserve"> data collection</w:t>
      </w:r>
      <w:r>
        <w:t xml:space="preserve"> and entry</w:t>
      </w:r>
      <w:r w:rsidRPr="009E1E05">
        <w:t xml:space="preserve"> in the yet to be developed </w:t>
      </w:r>
      <w:r>
        <w:t>TVET Management Information System (</w:t>
      </w:r>
      <w:r w:rsidRPr="009E1E05">
        <w:t>TMIS</w:t>
      </w:r>
      <w:r>
        <w:t>)</w:t>
      </w:r>
      <w:r w:rsidRPr="009E1E05">
        <w:t>, as well as analysis and reporting</w:t>
      </w:r>
      <w:r w:rsidR="00D84E17">
        <w:t>,</w:t>
      </w:r>
      <w:r w:rsidRPr="009E1E05">
        <w:t xml:space="preserve"> will be accomplished. </w:t>
      </w:r>
    </w:p>
    <w:p w14:paraId="58C87757" w14:textId="4E57E9D8" w:rsidR="00AF5183" w:rsidRPr="00754707" w:rsidRDefault="00775484" w:rsidP="00775484">
      <w:pPr>
        <w:ind w:left="709"/>
      </w:pPr>
      <w:r w:rsidRPr="00754707">
        <w:t xml:space="preserve">The work to simplify the TSP1 approach to M&amp;E is </w:t>
      </w:r>
      <w:r w:rsidR="00A21A88">
        <w:t xml:space="preserve">now </w:t>
      </w:r>
      <w:r w:rsidR="000F6E4F" w:rsidRPr="00754707">
        <w:t>underway</w:t>
      </w:r>
      <w:r w:rsidRPr="00754707">
        <w:t xml:space="preserve"> by the current Program Office M&amp;E Officer and an international Short Term Adviser</w:t>
      </w:r>
      <w:r w:rsidR="00C20ADA" w:rsidRPr="00754707">
        <w:t xml:space="preserve"> and it is pleasing to note that there are a number of recent examples of concerted M&amp;E activity such as a Graduate Tracer Survey 2007-2010 [completed in May 2012] and a review of TSP1 funded trainer training programs </w:t>
      </w:r>
      <w:r w:rsidR="00E84441" w:rsidRPr="00754707">
        <w:t xml:space="preserve">in </w:t>
      </w:r>
      <w:r w:rsidR="00C20ADA" w:rsidRPr="00754707">
        <w:t>2009 and 2011.</w:t>
      </w:r>
    </w:p>
    <w:p w14:paraId="5546E47D" w14:textId="1DB2E793" w:rsidR="00775484" w:rsidRPr="00754707" w:rsidRDefault="00775484" w:rsidP="00F92EEE">
      <w:pPr>
        <w:ind w:left="709"/>
      </w:pPr>
      <w:r w:rsidRPr="00754707">
        <w:t>Nevertheless at this halfway stage of program implementation</w:t>
      </w:r>
      <w:r w:rsidR="00C20ADA" w:rsidRPr="00754707">
        <w:t>,</w:t>
      </w:r>
      <w:r w:rsidRPr="00754707">
        <w:t xml:space="preserve"> </w:t>
      </w:r>
      <w:r w:rsidR="00C20ADA" w:rsidRPr="00754707">
        <w:t>apart from these more recent examples, there is little evidence of a systematic and cohesive response to M&amp;E over the life of the Program</w:t>
      </w:r>
      <w:r w:rsidR="00E84441" w:rsidRPr="00754707">
        <w:t xml:space="preserve">. At the time of the review, </w:t>
      </w:r>
      <w:r w:rsidRPr="00754707">
        <w:t>minimal baseline data ha</w:t>
      </w:r>
      <w:r w:rsidR="00E84441" w:rsidRPr="00754707">
        <w:t>d</w:t>
      </w:r>
      <w:r w:rsidRPr="00754707">
        <w:t xml:space="preserve"> been collected, minimal follow up data ha</w:t>
      </w:r>
      <w:r w:rsidR="00E84441" w:rsidRPr="00754707">
        <w:t>d</w:t>
      </w:r>
      <w:r w:rsidRPr="00754707">
        <w:t xml:space="preserve"> been collected and there ha</w:t>
      </w:r>
      <w:r w:rsidR="00E84441" w:rsidRPr="00754707">
        <w:t>d</w:t>
      </w:r>
      <w:r w:rsidRPr="00754707">
        <w:t xml:space="preserve"> been no </w:t>
      </w:r>
      <w:r w:rsidR="00E84441" w:rsidRPr="00754707">
        <w:t>development of a comprehensive TSP1 Evaluation Report covering the first 24 months of implementation</w:t>
      </w:r>
      <w:r w:rsidRPr="00754707">
        <w:t>.</w:t>
      </w:r>
      <w:r w:rsidR="00F92EEE" w:rsidRPr="00754707">
        <w:t xml:space="preserve"> This is not a reflection on the current M&amp;E officer who has only been in the position for the past 9 months. It is however a reflection of a difficult M&amp;E framework in the TSP1 design and an apparent lack of consideration </w:t>
      </w:r>
      <w:r w:rsidR="00A21A88">
        <w:t xml:space="preserve">for M&amp;E </w:t>
      </w:r>
      <w:r w:rsidR="00F92EEE" w:rsidRPr="00754707">
        <w:t>in the early stages of implementation with the first M&amp;E officer not commencing until 8 months after commencement. There was a further period of one month when the M&amp;E officer position was vacant following this officer’s resignation after just 6 months on the job.</w:t>
      </w:r>
    </w:p>
    <w:p w14:paraId="1BB86ECC" w14:textId="77777777" w:rsidR="00775484" w:rsidRPr="009E1E05" w:rsidRDefault="00775484" w:rsidP="00775484">
      <w:pPr>
        <w:ind w:left="720"/>
        <w:rPr>
          <w:b/>
        </w:rPr>
      </w:pPr>
      <w:r w:rsidRPr="009E1E05">
        <w:rPr>
          <w:b/>
        </w:rPr>
        <w:t>Mutual accountability between donors, partners and populations</w:t>
      </w:r>
    </w:p>
    <w:p w14:paraId="0D7F445B" w14:textId="0EA30C43" w:rsidR="00775484" w:rsidRPr="009E1E05" w:rsidRDefault="00775484" w:rsidP="00775484">
      <w:pPr>
        <w:ind w:left="709"/>
      </w:pPr>
      <w:r w:rsidRPr="009E1E05">
        <w:t xml:space="preserve">Joint Government and donor participation in the Program Steering Committee, has facilitated </w:t>
      </w:r>
      <w:r w:rsidR="0071125F">
        <w:t>combined</w:t>
      </w:r>
      <w:r w:rsidRPr="009E1E05">
        <w:t xml:space="preserve"> review of Program progress and transparent disclosures of financial planning and expenditures. The Terms of Reference for the PSC provides for quarterly meetings but it is noted that to date the PSC has only met twice.</w:t>
      </w:r>
      <w:r w:rsidRPr="009E1E05">
        <w:rPr>
          <w:vertAlign w:val="superscript"/>
        </w:rPr>
        <w:footnoteReference w:id="18"/>
      </w:r>
      <w:r w:rsidRPr="009E1E05">
        <w:t xml:space="preserve"> While there have been limited formal meetings, the Review Team was advised that there was considerable interaction between PSC members outside of the two formal meetings.</w:t>
      </w:r>
    </w:p>
    <w:p w14:paraId="666E0C08" w14:textId="47CB0B3E" w:rsidR="00775484" w:rsidRPr="009E1E05" w:rsidRDefault="00775484" w:rsidP="00775484">
      <w:pPr>
        <w:ind w:left="720"/>
      </w:pPr>
      <w:r w:rsidRPr="009E1E05">
        <w:lastRenderedPageBreak/>
        <w:t xml:space="preserve">The foregoing analysis </w:t>
      </w:r>
      <w:r w:rsidR="0019233D">
        <w:t xml:space="preserve">of the Operational Model </w:t>
      </w:r>
      <w:r w:rsidRPr="009E1E05">
        <w:t>lea</w:t>
      </w:r>
      <w:r>
        <w:t xml:space="preserve">ds to a conclusion that the </w:t>
      </w:r>
      <w:r w:rsidR="0019233D">
        <w:t xml:space="preserve">implementation of </w:t>
      </w:r>
      <w:r>
        <w:t>TSP1</w:t>
      </w:r>
      <w:r w:rsidR="0019233D">
        <w:t>,</w:t>
      </w:r>
      <w:r>
        <w:t xml:space="preserve"> </w:t>
      </w:r>
      <w:r w:rsidRPr="009E1E05">
        <w:t xml:space="preserve">based on </w:t>
      </w:r>
      <w:r w:rsidR="000C223C" w:rsidRPr="009E1E05">
        <w:t xml:space="preserve">Paris and Accra </w:t>
      </w:r>
      <w:r w:rsidR="000C223C">
        <w:t>principles</w:t>
      </w:r>
      <w:r w:rsidR="0019233D">
        <w:t>,</w:t>
      </w:r>
      <w:r w:rsidRPr="009E1E05">
        <w:t xml:space="preserve"> has proved to be problematic. While the approach is entirely consistent with the Government of Tonga’s Aid Management Policy,</w:t>
      </w:r>
      <w:r w:rsidRPr="009E1E05">
        <w:rPr>
          <w:vertAlign w:val="superscript"/>
        </w:rPr>
        <w:footnoteReference w:id="19"/>
      </w:r>
      <w:r w:rsidRPr="009E1E05">
        <w:t xml:space="preserve"> it is clear that in implementation, </w:t>
      </w:r>
      <w:r>
        <w:t>it has been difficult to fully apply th</w:t>
      </w:r>
      <w:r w:rsidRPr="009E1E05">
        <w:t xml:space="preserve">e principles </w:t>
      </w:r>
      <w:r>
        <w:t>resulting</w:t>
      </w:r>
      <w:r w:rsidRPr="009E1E05">
        <w:t xml:space="preserve"> in TSP1 underperforming against every criteri</w:t>
      </w:r>
      <w:r>
        <w:t>on</w:t>
      </w:r>
      <w:r w:rsidRPr="009E1E05">
        <w:t>.</w:t>
      </w:r>
    </w:p>
    <w:p w14:paraId="26D078DB" w14:textId="3C6AE91D" w:rsidR="00775484" w:rsidRPr="00AF2025" w:rsidRDefault="00775484" w:rsidP="0019233D">
      <w:pPr>
        <w:widowControl w:val="0"/>
        <w:ind w:left="720"/>
      </w:pPr>
      <w:r w:rsidRPr="00AF2025">
        <w:t>With this consistent level of underperformance, th</w:t>
      </w:r>
      <w:r w:rsidR="000C223C">
        <w:t>e question arises as to whether a programmatic approach</w:t>
      </w:r>
      <w:r w:rsidRPr="00AF2025">
        <w:t xml:space="preserve"> was appropriate given the lack of program management experience amongst MOTEYS and donor personnel and the absence of established and commonly understood systems and processes within which they should operate.</w:t>
      </w:r>
    </w:p>
    <w:p w14:paraId="26B93D41" w14:textId="751FC3A4" w:rsidR="00775484" w:rsidRDefault="00775484" w:rsidP="00775484">
      <w:pPr>
        <w:ind w:left="720"/>
      </w:pPr>
      <w:r>
        <w:t>Without this enabling environment, it bec</w:t>
      </w:r>
      <w:r w:rsidR="00B848C6">
        <w:t>a</w:t>
      </w:r>
      <w:r>
        <w:t>me particularly difficult to introduce new and sometimes difficult concepts associated with the reform of a national TVET system.</w:t>
      </w:r>
    </w:p>
    <w:p w14:paraId="2B6FBC55" w14:textId="14699D81" w:rsidR="00775484" w:rsidRPr="006F71A3" w:rsidRDefault="00775484" w:rsidP="00775484">
      <w:pPr>
        <w:ind w:left="720"/>
      </w:pPr>
      <w:r w:rsidRPr="006F71A3">
        <w:t>During the review</w:t>
      </w:r>
      <w:r w:rsidR="005B4037" w:rsidRPr="006F71A3">
        <w:t>,</w:t>
      </w:r>
      <w:r w:rsidRPr="006F71A3">
        <w:t xml:space="preserve"> both Government and donor personnel commented on the inherent weaknesses in the current program management modality.</w:t>
      </w:r>
      <w:r w:rsidR="000F6E4F" w:rsidRPr="006F71A3">
        <w:t xml:space="preserve"> </w:t>
      </w:r>
      <w:r w:rsidR="00F2779F" w:rsidRPr="006F71A3">
        <w:t>In light of this,</w:t>
      </w:r>
      <w:r w:rsidRPr="006F71A3">
        <w:t xml:space="preserve"> a transitional approach, from </w:t>
      </w:r>
      <w:r w:rsidR="00F9536F" w:rsidRPr="006F71A3">
        <w:t xml:space="preserve">program </w:t>
      </w:r>
      <w:r w:rsidRPr="006F71A3">
        <w:t>to</w:t>
      </w:r>
      <w:r w:rsidR="00F9536F" w:rsidRPr="006F71A3">
        <w:t xml:space="preserve"> project</w:t>
      </w:r>
      <w:r w:rsidRPr="006F71A3">
        <w:t xml:space="preserve">, should be the considered. The adoption of a </w:t>
      </w:r>
      <w:r w:rsidRPr="006F71A3">
        <w:rPr>
          <w:u w:val="single"/>
        </w:rPr>
        <w:t>project</w:t>
      </w:r>
      <w:r w:rsidRPr="006F71A3">
        <w:t xml:space="preserve"> modality would enable the management of technical, human resource, financial and performance management risks while at the same time facilitate policy development, concept modelling, systems integration and capacity development as national understanding, policies, systems and human resource capacity are </w:t>
      </w:r>
      <w:r w:rsidR="00F2779F" w:rsidRPr="006F71A3">
        <w:t>increasingly strengthened</w:t>
      </w:r>
      <w:r w:rsidRPr="006F71A3">
        <w:t>.</w:t>
      </w:r>
    </w:p>
    <w:p w14:paraId="1B138BF8" w14:textId="77777777" w:rsidR="00775484" w:rsidRPr="00E94D89" w:rsidRDefault="00775484" w:rsidP="00E94D89">
      <w:pPr>
        <w:pStyle w:val="Heading2"/>
        <w:numPr>
          <w:ilvl w:val="1"/>
          <w:numId w:val="2"/>
        </w:numPr>
        <w:ind w:left="709" w:hanging="567"/>
      </w:pPr>
      <w:bookmarkStart w:id="20" w:name="_Toc203996789"/>
      <w:r w:rsidRPr="00E94D89">
        <w:t>Implementation Model (including Achievements)</w:t>
      </w:r>
      <w:bookmarkEnd w:id="20"/>
    </w:p>
    <w:p w14:paraId="57ED62DD" w14:textId="77777777" w:rsidR="00775484" w:rsidRPr="009E1E05" w:rsidRDefault="00775484" w:rsidP="00775484">
      <w:pPr>
        <w:ind w:left="720"/>
        <w:rPr>
          <w:b/>
        </w:rPr>
      </w:pPr>
      <w:r w:rsidRPr="009E1E05">
        <w:rPr>
          <w:b/>
        </w:rPr>
        <w:t>Background</w:t>
      </w:r>
    </w:p>
    <w:p w14:paraId="48F693D9" w14:textId="77777777" w:rsidR="00775484" w:rsidRPr="009E1E05" w:rsidRDefault="00775484" w:rsidP="00775484">
      <w:pPr>
        <w:ind w:left="709"/>
      </w:pPr>
      <w:r w:rsidRPr="009E1E05">
        <w:t xml:space="preserve">A number of achievements have been identified but there is a general sense amongst those interviewed that the Program is tracking well behind expected progress to date. </w:t>
      </w:r>
    </w:p>
    <w:p w14:paraId="3692C453" w14:textId="77777777" w:rsidR="00775484" w:rsidRPr="009E1E05" w:rsidRDefault="00775484" w:rsidP="0056663E">
      <w:pPr>
        <w:ind w:left="709"/>
      </w:pPr>
      <w:r w:rsidRPr="009E1E05">
        <w:t>Since the appointment of the new Program Technical Manager (PTM) in November 2011 the Program has picked up momentum largely due to improved professional relationships between the PTM and both the former and current Program Technical Directors.</w:t>
      </w:r>
      <w:r w:rsidR="0056663E">
        <w:t xml:space="preserve"> </w:t>
      </w:r>
      <w:r w:rsidRPr="009E1E05">
        <w:t xml:space="preserve">Within this improved leadership environment, it has been possible to build an increasingly capable and stable program implementation team. </w:t>
      </w:r>
    </w:p>
    <w:p w14:paraId="37826B7C" w14:textId="72F2F88F" w:rsidR="00775484" w:rsidRDefault="00775484" w:rsidP="006B5A8D">
      <w:pPr>
        <w:ind w:left="709"/>
      </w:pPr>
      <w:r w:rsidRPr="009E1E05">
        <w:t xml:space="preserve">This has not always been the case. There has been a high level of staff turnover and significant periods when positions have remained vacant. In only two instances have there been contiguous transition from one person to another, meaning that there has been limited opportunity for handover from previous staff to new staff. Most of the current staff </w:t>
      </w:r>
      <w:proofErr w:type="gramStart"/>
      <w:r w:rsidRPr="009E1E05">
        <w:t>have</w:t>
      </w:r>
      <w:proofErr w:type="gramEnd"/>
      <w:r w:rsidRPr="009E1E05">
        <w:t xml:space="preserve"> been in their respective positions for less than twelve months.</w:t>
      </w:r>
    </w:p>
    <w:p w14:paraId="6E87F0DA" w14:textId="77777777" w:rsidR="006F71A3" w:rsidRPr="009E1E05" w:rsidRDefault="006F71A3" w:rsidP="006F71A3">
      <w:pPr>
        <w:ind w:left="709"/>
      </w:pPr>
      <w:r w:rsidRPr="009E1E05">
        <w:t xml:space="preserve">Such an irregular staffing pattern has been detrimental to TSP1 progress by any measure of effectiveness or efficiency. Loss of staff is particularly critical in an environment where there is minimal experience of the technical and program management requirements associated with a large donor funded program. There has been little chance to consistently build staff capacity and any initial gains have been lost when original staff departed, often without handover. This has not only meant a disconnected, stop/start approach to implementation but has also increased the likelihood of confused or mixed messages, with each new staff member bringing to </w:t>
      </w:r>
      <w:r w:rsidRPr="009E1E05">
        <w:lastRenderedPageBreak/>
        <w:t xml:space="preserve">Program concepts their own individual perceptions and interpretations which </w:t>
      </w:r>
      <w:r>
        <w:t>are</w:t>
      </w:r>
      <w:r w:rsidRPr="009E1E05">
        <w:t xml:space="preserve"> not necessarily consistent with </w:t>
      </w:r>
      <w:r>
        <w:t xml:space="preserve">those of </w:t>
      </w:r>
      <w:r w:rsidRPr="009E1E05">
        <w:t>their predecessors.</w:t>
      </w:r>
    </w:p>
    <w:p w14:paraId="10E64F96" w14:textId="6E368B3F" w:rsidR="006F71A3" w:rsidRPr="009E1E05" w:rsidRDefault="006F71A3" w:rsidP="006B5A8D">
      <w:pPr>
        <w:ind w:left="709"/>
      </w:pPr>
      <w:r w:rsidRPr="009E1E05">
        <w:t>The following table illustrates the long term staffing pattern over the past two years.</w:t>
      </w:r>
    </w:p>
    <w:tbl>
      <w:tblPr>
        <w:tblW w:w="4582" w:type="pct"/>
        <w:tblInd w:w="739" w:type="dxa"/>
        <w:tblLayout w:type="fixed"/>
        <w:tblCellMar>
          <w:left w:w="30" w:type="dxa"/>
          <w:right w:w="30" w:type="dxa"/>
        </w:tblCellMar>
        <w:tblLook w:val="0000" w:firstRow="0" w:lastRow="0" w:firstColumn="0" w:lastColumn="0" w:noHBand="0" w:noVBand="0"/>
      </w:tblPr>
      <w:tblGrid>
        <w:gridCol w:w="1800"/>
        <w:gridCol w:w="263"/>
        <w:gridCol w:w="263"/>
        <w:gridCol w:w="263"/>
        <w:gridCol w:w="261"/>
        <w:gridCol w:w="261"/>
        <w:gridCol w:w="261"/>
        <w:gridCol w:w="291"/>
        <w:gridCol w:w="268"/>
        <w:gridCol w:w="260"/>
        <w:gridCol w:w="260"/>
        <w:gridCol w:w="260"/>
        <w:gridCol w:w="260"/>
        <w:gridCol w:w="260"/>
        <w:gridCol w:w="260"/>
        <w:gridCol w:w="260"/>
        <w:gridCol w:w="260"/>
        <w:gridCol w:w="260"/>
        <w:gridCol w:w="260"/>
        <w:gridCol w:w="285"/>
        <w:gridCol w:w="260"/>
        <w:gridCol w:w="260"/>
        <w:gridCol w:w="260"/>
        <w:gridCol w:w="260"/>
        <w:gridCol w:w="231"/>
      </w:tblGrid>
      <w:tr w:rsidR="00775484" w:rsidRPr="00661B9F" w14:paraId="1C1E90ED" w14:textId="77777777" w:rsidTr="00892805">
        <w:trPr>
          <w:gridBefore w:val="1"/>
          <w:wBefore w:w="1112" w:type="pct"/>
          <w:trHeight w:val="362"/>
        </w:trPr>
        <w:tc>
          <w:tcPr>
            <w:tcW w:w="1148" w:type="pct"/>
            <w:gridSpan w:val="7"/>
            <w:tcBorders>
              <w:top w:val="single" w:sz="6" w:space="0" w:color="auto"/>
              <w:left w:val="single" w:sz="6" w:space="0" w:color="auto"/>
              <w:bottom w:val="single" w:sz="2" w:space="0" w:color="000000"/>
              <w:right w:val="single" w:sz="6" w:space="0" w:color="auto"/>
            </w:tcBorders>
            <w:shd w:val="clear" w:color="auto" w:fill="8DB3E2" w:themeFill="text2" w:themeFillTint="66"/>
          </w:tcPr>
          <w:p w14:paraId="21624AE4" w14:textId="77777777" w:rsidR="00775484" w:rsidRPr="009E1E05" w:rsidRDefault="00775484" w:rsidP="00ED7EEC">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2010</w:t>
            </w:r>
          </w:p>
        </w:tc>
        <w:tc>
          <w:tcPr>
            <w:tcW w:w="1949" w:type="pct"/>
            <w:gridSpan w:val="12"/>
            <w:tcBorders>
              <w:top w:val="single" w:sz="6" w:space="0" w:color="auto"/>
              <w:left w:val="single" w:sz="6" w:space="0" w:color="auto"/>
              <w:bottom w:val="single" w:sz="2" w:space="0" w:color="000000"/>
              <w:right w:val="single" w:sz="6" w:space="0" w:color="auto"/>
            </w:tcBorders>
            <w:shd w:val="clear" w:color="auto" w:fill="8DB3E2" w:themeFill="text2" w:themeFillTint="66"/>
          </w:tcPr>
          <w:p w14:paraId="52DFD44F" w14:textId="77777777" w:rsidR="00775484" w:rsidRPr="009E1E05" w:rsidRDefault="00775484" w:rsidP="00ED7EEC">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2011</w:t>
            </w:r>
          </w:p>
        </w:tc>
        <w:tc>
          <w:tcPr>
            <w:tcW w:w="791" w:type="pct"/>
            <w:gridSpan w:val="5"/>
            <w:tcBorders>
              <w:top w:val="single" w:sz="6" w:space="0" w:color="auto"/>
              <w:left w:val="single" w:sz="6" w:space="0" w:color="auto"/>
              <w:bottom w:val="single" w:sz="2" w:space="0" w:color="000000"/>
              <w:right w:val="single" w:sz="6" w:space="0" w:color="auto"/>
            </w:tcBorders>
            <w:shd w:val="clear" w:color="auto" w:fill="8DB3E2" w:themeFill="text2" w:themeFillTint="66"/>
          </w:tcPr>
          <w:p w14:paraId="6FE0BF7A" w14:textId="77777777" w:rsidR="00775484" w:rsidRPr="009E1E05" w:rsidRDefault="00775484" w:rsidP="00ED7EEC">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2012</w:t>
            </w:r>
          </w:p>
        </w:tc>
      </w:tr>
      <w:tr w:rsidR="008364A8" w:rsidRPr="00661B9F" w14:paraId="1AB76602" w14:textId="77777777" w:rsidTr="00984AAC">
        <w:trPr>
          <w:cantSplit/>
          <w:trHeight w:val="420"/>
        </w:trPr>
        <w:tc>
          <w:tcPr>
            <w:tcW w:w="1112" w:type="pct"/>
            <w:tcBorders>
              <w:top w:val="single" w:sz="2" w:space="0" w:color="000000"/>
              <w:left w:val="single" w:sz="2" w:space="0" w:color="000000"/>
              <w:bottom w:val="single" w:sz="6" w:space="0" w:color="auto"/>
              <w:right w:val="single" w:sz="6" w:space="0" w:color="auto"/>
            </w:tcBorders>
            <w:shd w:val="clear" w:color="auto" w:fill="DBE5F1" w:themeFill="accent1" w:themeFillTint="33"/>
          </w:tcPr>
          <w:p w14:paraId="5BAA9343"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6" w:space="0" w:color="auto"/>
              <w:bottom w:val="single" w:sz="6" w:space="0" w:color="auto"/>
              <w:right w:val="single" w:sz="2" w:space="0" w:color="000000"/>
            </w:tcBorders>
            <w:shd w:val="clear" w:color="auto" w:fill="DBE5F1" w:themeFill="accent1" w:themeFillTint="33"/>
            <w:textDirection w:val="btLr"/>
            <w:vAlign w:val="center"/>
          </w:tcPr>
          <w:p w14:paraId="39E04FE6"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Jun</w:t>
            </w:r>
          </w:p>
        </w:tc>
        <w:tc>
          <w:tcPr>
            <w:tcW w:w="162"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6D660D3C"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Jul</w:t>
            </w:r>
          </w:p>
        </w:tc>
        <w:tc>
          <w:tcPr>
            <w:tcW w:w="162"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7F169919"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Aug</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20FC6046"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Sep</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0D063194"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Oct</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41A8AD91"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Nov</w:t>
            </w:r>
          </w:p>
        </w:tc>
        <w:tc>
          <w:tcPr>
            <w:tcW w:w="180" w:type="pct"/>
            <w:tcBorders>
              <w:top w:val="single" w:sz="2" w:space="0" w:color="000000"/>
              <w:left w:val="single" w:sz="2" w:space="0" w:color="000000"/>
              <w:bottom w:val="single" w:sz="6" w:space="0" w:color="auto"/>
              <w:right w:val="single" w:sz="6" w:space="0" w:color="auto"/>
            </w:tcBorders>
            <w:shd w:val="clear" w:color="auto" w:fill="DBE5F1" w:themeFill="accent1" w:themeFillTint="33"/>
            <w:textDirection w:val="btLr"/>
            <w:vAlign w:val="center"/>
          </w:tcPr>
          <w:p w14:paraId="7F17735B"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Dec</w:t>
            </w:r>
          </w:p>
        </w:tc>
        <w:tc>
          <w:tcPr>
            <w:tcW w:w="166" w:type="pct"/>
            <w:tcBorders>
              <w:top w:val="single" w:sz="2" w:space="0" w:color="000000"/>
              <w:left w:val="single" w:sz="6" w:space="0" w:color="auto"/>
              <w:bottom w:val="single" w:sz="6" w:space="0" w:color="auto"/>
              <w:right w:val="single" w:sz="2" w:space="0" w:color="000000"/>
            </w:tcBorders>
            <w:shd w:val="clear" w:color="auto" w:fill="DBE5F1" w:themeFill="accent1" w:themeFillTint="33"/>
            <w:textDirection w:val="btLr"/>
            <w:vAlign w:val="center"/>
          </w:tcPr>
          <w:p w14:paraId="41B1688A"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Jan</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4E0440FC"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Feb</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143DEEFF"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Mar</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2706723F"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Apr</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3D59AAE9"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May</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33FE862F"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Jun</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466E953C"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Jul</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1B6008AC" w14:textId="77777777" w:rsidR="00775484" w:rsidRPr="009E1E05" w:rsidRDefault="00775484" w:rsidP="005E0AFB">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Aug</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4E397B36"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Sep</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0E38A076"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Oct</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2D707A2D"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Nov</w:t>
            </w:r>
          </w:p>
        </w:tc>
        <w:tc>
          <w:tcPr>
            <w:tcW w:w="176" w:type="pct"/>
            <w:tcBorders>
              <w:top w:val="single" w:sz="2" w:space="0" w:color="000000"/>
              <w:left w:val="single" w:sz="2" w:space="0" w:color="000000"/>
              <w:bottom w:val="single" w:sz="6" w:space="0" w:color="auto"/>
              <w:right w:val="single" w:sz="6" w:space="0" w:color="auto"/>
            </w:tcBorders>
            <w:shd w:val="clear" w:color="auto" w:fill="DBE5F1" w:themeFill="accent1" w:themeFillTint="33"/>
            <w:textDirection w:val="btLr"/>
            <w:vAlign w:val="center"/>
          </w:tcPr>
          <w:p w14:paraId="4F0BE9BD"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Dec</w:t>
            </w:r>
          </w:p>
        </w:tc>
        <w:tc>
          <w:tcPr>
            <w:tcW w:w="161" w:type="pct"/>
            <w:tcBorders>
              <w:top w:val="single" w:sz="2" w:space="0" w:color="000000"/>
              <w:left w:val="single" w:sz="6" w:space="0" w:color="auto"/>
              <w:bottom w:val="single" w:sz="6" w:space="0" w:color="auto"/>
              <w:right w:val="single" w:sz="2" w:space="0" w:color="000000"/>
            </w:tcBorders>
            <w:shd w:val="clear" w:color="auto" w:fill="DBE5F1" w:themeFill="accent1" w:themeFillTint="33"/>
            <w:textDirection w:val="btLr"/>
            <w:vAlign w:val="center"/>
          </w:tcPr>
          <w:p w14:paraId="1712C5E3"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Jan</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463E6138"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Feb</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62246D52"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Mar</w:t>
            </w:r>
          </w:p>
        </w:tc>
        <w:tc>
          <w:tcPr>
            <w:tcW w:w="161" w:type="pct"/>
            <w:tcBorders>
              <w:top w:val="single" w:sz="2" w:space="0" w:color="000000"/>
              <w:left w:val="single" w:sz="2" w:space="0" w:color="000000"/>
              <w:bottom w:val="single" w:sz="6" w:space="0" w:color="auto"/>
              <w:right w:val="single" w:sz="2" w:space="0" w:color="000000"/>
            </w:tcBorders>
            <w:shd w:val="clear" w:color="auto" w:fill="DBE5F1" w:themeFill="accent1" w:themeFillTint="33"/>
            <w:textDirection w:val="btLr"/>
            <w:vAlign w:val="center"/>
          </w:tcPr>
          <w:p w14:paraId="2A82C3AC"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Apr</w:t>
            </w:r>
          </w:p>
        </w:tc>
        <w:tc>
          <w:tcPr>
            <w:tcW w:w="148" w:type="pct"/>
            <w:tcBorders>
              <w:top w:val="single" w:sz="2" w:space="0" w:color="000000"/>
              <w:left w:val="single" w:sz="2" w:space="0" w:color="000000"/>
              <w:bottom w:val="single" w:sz="6" w:space="0" w:color="auto"/>
              <w:right w:val="single" w:sz="6" w:space="0" w:color="auto"/>
            </w:tcBorders>
            <w:shd w:val="clear" w:color="auto" w:fill="DBE5F1" w:themeFill="accent1" w:themeFillTint="33"/>
            <w:textDirection w:val="btLr"/>
            <w:vAlign w:val="center"/>
          </w:tcPr>
          <w:p w14:paraId="75997200" w14:textId="77777777" w:rsidR="00775484" w:rsidRPr="009E1E05" w:rsidRDefault="00775484" w:rsidP="008364A8">
            <w:pPr>
              <w:widowControl w:val="0"/>
              <w:autoSpaceDE w:val="0"/>
              <w:autoSpaceDN w:val="0"/>
              <w:adjustRightInd w:val="0"/>
              <w:jc w:val="center"/>
              <w:rPr>
                <w:rFonts w:ascii="Calibri" w:hAnsi="Calibri" w:cs="Calibri"/>
                <w:color w:val="000000"/>
                <w:sz w:val="16"/>
                <w:szCs w:val="16"/>
              </w:rPr>
            </w:pPr>
            <w:r w:rsidRPr="009E1E05">
              <w:rPr>
                <w:rFonts w:ascii="Calibri" w:hAnsi="Calibri" w:cs="Calibri"/>
                <w:color w:val="000000"/>
                <w:sz w:val="16"/>
                <w:szCs w:val="16"/>
              </w:rPr>
              <w:t>May</w:t>
            </w:r>
          </w:p>
        </w:tc>
      </w:tr>
      <w:tr w:rsidR="00892805" w:rsidRPr="00661B9F" w14:paraId="73031416" w14:textId="77777777" w:rsidTr="00892805">
        <w:trPr>
          <w:trHeight w:val="391"/>
        </w:trPr>
        <w:tc>
          <w:tcPr>
            <w:tcW w:w="1112" w:type="pct"/>
            <w:tcBorders>
              <w:top w:val="single" w:sz="6" w:space="0" w:color="auto"/>
              <w:left w:val="single" w:sz="6" w:space="0" w:color="auto"/>
              <w:bottom w:val="single" w:sz="2" w:space="0" w:color="000000"/>
              <w:right w:val="single" w:sz="6" w:space="0" w:color="auto"/>
            </w:tcBorders>
            <w:shd w:val="clear" w:color="auto" w:fill="8DB3E2" w:themeFill="text2" w:themeFillTint="66"/>
          </w:tcPr>
          <w:p w14:paraId="08D125E2"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Program Director (national)</w:t>
            </w:r>
          </w:p>
        </w:tc>
        <w:tc>
          <w:tcPr>
            <w:tcW w:w="162" w:type="pct"/>
            <w:tcBorders>
              <w:top w:val="single" w:sz="6" w:space="0" w:color="auto"/>
              <w:left w:val="single" w:sz="6" w:space="0" w:color="auto"/>
              <w:bottom w:val="single" w:sz="6" w:space="0" w:color="auto"/>
              <w:right w:val="single" w:sz="2" w:space="0" w:color="000000"/>
            </w:tcBorders>
            <w:shd w:val="clear" w:color="auto" w:fill="FFFFDD"/>
          </w:tcPr>
          <w:p w14:paraId="5AA709B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6" w:space="0" w:color="auto"/>
              <w:left w:val="single" w:sz="2" w:space="0" w:color="000000"/>
              <w:bottom w:val="single" w:sz="6" w:space="0" w:color="auto"/>
              <w:right w:val="single" w:sz="2" w:space="0" w:color="000000"/>
            </w:tcBorders>
            <w:shd w:val="clear" w:color="auto" w:fill="FFFFDD"/>
          </w:tcPr>
          <w:p w14:paraId="552BCD2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6" w:space="0" w:color="auto"/>
              <w:left w:val="single" w:sz="2" w:space="0" w:color="000000"/>
              <w:bottom w:val="single" w:sz="6" w:space="0" w:color="auto"/>
              <w:right w:val="single" w:sz="2" w:space="0" w:color="000000"/>
            </w:tcBorders>
            <w:shd w:val="clear" w:color="auto" w:fill="FFFFDD"/>
          </w:tcPr>
          <w:p w14:paraId="0C6A22B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5EC1ABC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46E6E19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2268DC2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6" w:space="0" w:color="auto"/>
              <w:left w:val="single" w:sz="2" w:space="0" w:color="000000"/>
              <w:bottom w:val="single" w:sz="6" w:space="0" w:color="auto"/>
              <w:right w:val="single" w:sz="6" w:space="0" w:color="auto"/>
            </w:tcBorders>
            <w:shd w:val="clear" w:color="auto" w:fill="FFFFDD"/>
          </w:tcPr>
          <w:p w14:paraId="2BD1D760"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6" w:space="0" w:color="auto"/>
              <w:left w:val="single" w:sz="6" w:space="0" w:color="auto"/>
              <w:bottom w:val="single" w:sz="6" w:space="0" w:color="auto"/>
              <w:right w:val="single" w:sz="2" w:space="0" w:color="000000"/>
            </w:tcBorders>
            <w:shd w:val="clear" w:color="auto" w:fill="FFFFDD"/>
          </w:tcPr>
          <w:p w14:paraId="2C403B3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372D8A4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691F581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7283DD1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47C6DBE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32EE3D0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78A8EE4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03CA938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0D8A8B9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171B039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0266885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FFFFDD"/>
          </w:tcPr>
          <w:p w14:paraId="328A019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736C0BB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1309969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71E2DA1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6D6CB1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193A776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r w:rsidR="00892805" w:rsidRPr="00661B9F" w14:paraId="58EBF665" w14:textId="77777777" w:rsidTr="00457414">
        <w:trPr>
          <w:trHeight w:val="391"/>
        </w:trPr>
        <w:tc>
          <w:tcPr>
            <w:tcW w:w="1112" w:type="pct"/>
            <w:tcBorders>
              <w:top w:val="single" w:sz="2" w:space="0" w:color="000000"/>
              <w:left w:val="single" w:sz="6" w:space="0" w:color="auto"/>
              <w:bottom w:val="single" w:sz="2" w:space="0" w:color="000000"/>
              <w:right w:val="single" w:sz="6" w:space="0" w:color="auto"/>
            </w:tcBorders>
            <w:shd w:val="clear" w:color="auto" w:fill="C6D9F1" w:themeFill="text2" w:themeFillTint="33"/>
          </w:tcPr>
          <w:p w14:paraId="58268B40"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Program Technical Manager (international)</w:t>
            </w:r>
          </w:p>
        </w:tc>
        <w:tc>
          <w:tcPr>
            <w:tcW w:w="162" w:type="pct"/>
            <w:tcBorders>
              <w:top w:val="single" w:sz="6" w:space="0" w:color="auto"/>
              <w:left w:val="single" w:sz="6" w:space="0" w:color="auto"/>
              <w:bottom w:val="single" w:sz="2" w:space="0" w:color="000000"/>
              <w:right w:val="single" w:sz="6" w:space="0" w:color="auto"/>
            </w:tcBorders>
            <w:shd w:val="clear" w:color="auto" w:fill="C0504D" w:themeFill="accent2"/>
          </w:tcPr>
          <w:p w14:paraId="59B8E87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6" w:space="0" w:color="auto"/>
              <w:left w:val="single" w:sz="6" w:space="0" w:color="auto"/>
              <w:bottom w:val="single" w:sz="6" w:space="0" w:color="auto"/>
              <w:right w:val="single" w:sz="2" w:space="0" w:color="000000"/>
            </w:tcBorders>
            <w:shd w:val="clear" w:color="333399" w:fill="FFFFDD"/>
          </w:tcPr>
          <w:p w14:paraId="25BA413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6" w:space="0" w:color="auto"/>
              <w:left w:val="single" w:sz="2" w:space="0" w:color="000000"/>
              <w:bottom w:val="single" w:sz="6" w:space="0" w:color="auto"/>
              <w:right w:val="single" w:sz="2" w:space="0" w:color="000000"/>
            </w:tcBorders>
            <w:shd w:val="clear" w:color="333399" w:fill="FFFFDD"/>
          </w:tcPr>
          <w:p w14:paraId="7564D91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38E8EF5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5B33C2F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6BCC359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6" w:space="0" w:color="auto"/>
              <w:left w:val="single" w:sz="2" w:space="0" w:color="000000"/>
              <w:bottom w:val="single" w:sz="6" w:space="0" w:color="auto"/>
              <w:right w:val="single" w:sz="6" w:space="0" w:color="auto"/>
            </w:tcBorders>
            <w:shd w:val="clear" w:color="333399" w:fill="FFFFDD"/>
          </w:tcPr>
          <w:p w14:paraId="14306E8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6" w:space="0" w:color="auto"/>
              <w:left w:val="single" w:sz="6" w:space="0" w:color="auto"/>
              <w:bottom w:val="single" w:sz="6" w:space="0" w:color="auto"/>
              <w:right w:val="single" w:sz="6" w:space="0" w:color="auto"/>
            </w:tcBorders>
            <w:shd w:val="clear" w:color="333399" w:fill="FFFFDD"/>
          </w:tcPr>
          <w:p w14:paraId="210CB29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C0504D" w:themeFill="accent2"/>
          </w:tcPr>
          <w:p w14:paraId="7F2D2A1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02B5AF1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0F0BF33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587EF66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19BFA15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679D4AD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184DEC5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00704FE0"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6" w:space="0" w:color="auto"/>
            </w:tcBorders>
            <w:shd w:val="clear" w:color="auto" w:fill="C0504D" w:themeFill="accent2"/>
          </w:tcPr>
          <w:p w14:paraId="6FB4F36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0BEB9F8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3366FF"/>
          </w:tcPr>
          <w:p w14:paraId="6952BD1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262D72D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89BD7F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4DB8A5C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FBC799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3C927053"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r w:rsidR="00892805" w:rsidRPr="00661B9F" w14:paraId="38780E26" w14:textId="77777777" w:rsidTr="00457414">
        <w:trPr>
          <w:trHeight w:val="391"/>
        </w:trPr>
        <w:tc>
          <w:tcPr>
            <w:tcW w:w="1112" w:type="pct"/>
            <w:tcBorders>
              <w:top w:val="single" w:sz="2" w:space="0" w:color="000000"/>
              <w:left w:val="single" w:sz="6" w:space="0" w:color="auto"/>
              <w:bottom w:val="single" w:sz="2" w:space="0" w:color="000000"/>
              <w:right w:val="single" w:sz="6" w:space="0" w:color="auto"/>
            </w:tcBorders>
            <w:shd w:val="clear" w:color="auto" w:fill="8DB3E2" w:themeFill="text2" w:themeFillTint="66"/>
          </w:tcPr>
          <w:p w14:paraId="6F585D26"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Program Officer National Training System (national)</w:t>
            </w:r>
          </w:p>
        </w:tc>
        <w:tc>
          <w:tcPr>
            <w:tcW w:w="162" w:type="pct"/>
            <w:tcBorders>
              <w:top w:val="single" w:sz="2" w:space="0" w:color="000000"/>
              <w:left w:val="single" w:sz="6" w:space="0" w:color="auto"/>
              <w:bottom w:val="single" w:sz="2" w:space="0" w:color="000000"/>
              <w:right w:val="single" w:sz="2" w:space="0" w:color="000000"/>
            </w:tcBorders>
            <w:shd w:val="clear" w:color="auto" w:fill="C0504D" w:themeFill="accent2"/>
          </w:tcPr>
          <w:p w14:paraId="2BFA808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6" w:space="0" w:color="auto"/>
              <w:left w:val="single" w:sz="2" w:space="0" w:color="000000"/>
              <w:bottom w:val="single" w:sz="2" w:space="0" w:color="000000"/>
              <w:right w:val="single" w:sz="2" w:space="0" w:color="000000"/>
            </w:tcBorders>
            <w:shd w:val="clear" w:color="auto" w:fill="C0504D" w:themeFill="accent2"/>
          </w:tcPr>
          <w:p w14:paraId="442283E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6" w:space="0" w:color="auto"/>
              <w:left w:val="single" w:sz="2" w:space="0" w:color="000000"/>
              <w:bottom w:val="single" w:sz="2" w:space="0" w:color="000000"/>
              <w:right w:val="single" w:sz="6" w:space="0" w:color="auto"/>
            </w:tcBorders>
            <w:shd w:val="clear" w:color="auto" w:fill="C0504D" w:themeFill="accent2"/>
          </w:tcPr>
          <w:p w14:paraId="7B2B173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333399" w:fill="FFFFDD"/>
          </w:tcPr>
          <w:p w14:paraId="3F26CB8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4E5B1AE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18245C2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6" w:space="0" w:color="auto"/>
              <w:left w:val="single" w:sz="2" w:space="0" w:color="000000"/>
              <w:bottom w:val="single" w:sz="6" w:space="0" w:color="auto"/>
              <w:right w:val="single" w:sz="6" w:space="0" w:color="auto"/>
            </w:tcBorders>
            <w:shd w:val="clear" w:color="333399" w:fill="FFFFDD"/>
          </w:tcPr>
          <w:p w14:paraId="45F0E3A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6" w:space="0" w:color="auto"/>
              <w:left w:val="single" w:sz="6" w:space="0" w:color="auto"/>
              <w:bottom w:val="single" w:sz="6" w:space="0" w:color="auto"/>
              <w:right w:val="single" w:sz="6" w:space="0" w:color="auto"/>
            </w:tcBorders>
            <w:shd w:val="clear" w:color="auto" w:fill="C0504D" w:themeFill="accent2"/>
          </w:tcPr>
          <w:p w14:paraId="455AEF3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FFFF00" w:fill="3366FF"/>
          </w:tcPr>
          <w:p w14:paraId="4C98C203"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FFFF00" w:fill="3366FF"/>
          </w:tcPr>
          <w:p w14:paraId="1B57D88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FFFF00" w:fill="3366FF"/>
          </w:tcPr>
          <w:p w14:paraId="141AEBB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FFFF00" w:fill="3366FF"/>
          </w:tcPr>
          <w:p w14:paraId="67D2A80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1785ADE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7E6D2CB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D59525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6B939D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AED8DB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76630C7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3366FF"/>
          </w:tcPr>
          <w:p w14:paraId="50E2CAC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278B586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7CBC5F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4F760D9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7EF5100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1A75E8F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r w:rsidR="00892805" w:rsidRPr="00661B9F" w14:paraId="5E1477B1" w14:textId="77777777" w:rsidTr="00457414">
        <w:trPr>
          <w:trHeight w:val="391"/>
        </w:trPr>
        <w:tc>
          <w:tcPr>
            <w:tcW w:w="1112" w:type="pct"/>
            <w:tcBorders>
              <w:top w:val="single" w:sz="2" w:space="0" w:color="000000"/>
              <w:left w:val="single" w:sz="6" w:space="0" w:color="auto"/>
              <w:bottom w:val="single" w:sz="2" w:space="0" w:color="000000"/>
              <w:right w:val="single" w:sz="6" w:space="0" w:color="auto"/>
            </w:tcBorders>
            <w:shd w:val="clear" w:color="auto" w:fill="C6D9F1" w:themeFill="text2" w:themeFillTint="33"/>
          </w:tcPr>
          <w:p w14:paraId="70C39248"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Procurement Officer (national)</w:t>
            </w:r>
          </w:p>
        </w:tc>
        <w:tc>
          <w:tcPr>
            <w:tcW w:w="162" w:type="pct"/>
            <w:tcBorders>
              <w:top w:val="single" w:sz="2" w:space="0" w:color="000000"/>
              <w:left w:val="single" w:sz="6" w:space="0" w:color="auto"/>
              <w:bottom w:val="single" w:sz="2" w:space="0" w:color="000000"/>
              <w:right w:val="single" w:sz="2" w:space="0" w:color="000000"/>
            </w:tcBorders>
            <w:shd w:val="clear" w:color="auto" w:fill="C0504D" w:themeFill="accent2"/>
          </w:tcPr>
          <w:p w14:paraId="19CFC32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527D7CE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6" w:space="0" w:color="auto"/>
            </w:tcBorders>
            <w:shd w:val="clear" w:color="auto" w:fill="C0504D" w:themeFill="accent2"/>
          </w:tcPr>
          <w:p w14:paraId="332DF22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333399" w:fill="FFFFDD"/>
          </w:tcPr>
          <w:p w14:paraId="04AE9CA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39BC832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333399" w:fill="FFFFDD"/>
          </w:tcPr>
          <w:p w14:paraId="0FFFD91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6" w:space="0" w:color="auto"/>
              <w:left w:val="single" w:sz="2" w:space="0" w:color="000000"/>
              <w:bottom w:val="single" w:sz="6" w:space="0" w:color="auto"/>
              <w:right w:val="single" w:sz="6" w:space="0" w:color="auto"/>
            </w:tcBorders>
            <w:shd w:val="clear" w:color="333399" w:fill="FFFFDD"/>
          </w:tcPr>
          <w:p w14:paraId="6537249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6" w:space="0" w:color="auto"/>
              <w:left w:val="single" w:sz="6" w:space="0" w:color="auto"/>
              <w:bottom w:val="single" w:sz="6" w:space="0" w:color="auto"/>
              <w:right w:val="single" w:sz="2" w:space="0" w:color="000000"/>
            </w:tcBorders>
            <w:shd w:val="clear" w:color="333399" w:fill="FFFFDD"/>
          </w:tcPr>
          <w:p w14:paraId="0F8460C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6" w:space="0" w:color="auto"/>
            </w:tcBorders>
            <w:shd w:val="clear" w:color="333399" w:fill="FFFFDD"/>
          </w:tcPr>
          <w:p w14:paraId="648229B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C0504D" w:themeFill="accent2"/>
          </w:tcPr>
          <w:p w14:paraId="7086D60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C0504D" w:themeFill="accent2"/>
          </w:tcPr>
          <w:p w14:paraId="7FCE8DA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6" w:space="0" w:color="auto"/>
            </w:tcBorders>
            <w:shd w:val="clear" w:color="auto" w:fill="C0504D" w:themeFill="accent2"/>
          </w:tcPr>
          <w:p w14:paraId="321C62A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06029D8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D62289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9BC464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6E103A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71572E0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88CEFF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3366FF"/>
          </w:tcPr>
          <w:p w14:paraId="11DEF70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31B6A92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4783CAB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6053D0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20402C0"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5EEA503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r w:rsidR="00892805" w:rsidRPr="00661B9F" w14:paraId="5B4C8D98" w14:textId="77777777" w:rsidTr="00457414">
        <w:trPr>
          <w:trHeight w:val="391"/>
        </w:trPr>
        <w:tc>
          <w:tcPr>
            <w:tcW w:w="1112" w:type="pct"/>
            <w:tcBorders>
              <w:top w:val="single" w:sz="2" w:space="0" w:color="000000"/>
              <w:left w:val="single" w:sz="6" w:space="0" w:color="auto"/>
              <w:bottom w:val="single" w:sz="2" w:space="0" w:color="000000"/>
              <w:right w:val="single" w:sz="6" w:space="0" w:color="auto"/>
            </w:tcBorders>
            <w:shd w:val="clear" w:color="auto" w:fill="8DB3E2" w:themeFill="text2" w:themeFillTint="66"/>
          </w:tcPr>
          <w:p w14:paraId="5240AB19"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Program Officer Demand Driven Training (national)</w:t>
            </w:r>
          </w:p>
        </w:tc>
        <w:tc>
          <w:tcPr>
            <w:tcW w:w="162" w:type="pct"/>
            <w:tcBorders>
              <w:top w:val="single" w:sz="2" w:space="0" w:color="000000"/>
              <w:left w:val="single" w:sz="6" w:space="0" w:color="auto"/>
              <w:bottom w:val="single" w:sz="2" w:space="0" w:color="000000"/>
              <w:right w:val="single" w:sz="2" w:space="0" w:color="000000"/>
            </w:tcBorders>
            <w:shd w:val="clear" w:color="auto" w:fill="C0504D" w:themeFill="accent2"/>
          </w:tcPr>
          <w:p w14:paraId="15F0CA3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518A0AD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37CF1E7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2" w:space="0" w:color="000000"/>
              <w:right w:val="single" w:sz="2" w:space="0" w:color="000000"/>
            </w:tcBorders>
            <w:shd w:val="clear" w:color="auto" w:fill="C0504D" w:themeFill="accent2"/>
          </w:tcPr>
          <w:p w14:paraId="1FD1A4B0"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2" w:space="0" w:color="000000"/>
              <w:right w:val="single" w:sz="2" w:space="0" w:color="000000"/>
            </w:tcBorders>
            <w:shd w:val="clear" w:color="auto" w:fill="C0504D" w:themeFill="accent2"/>
          </w:tcPr>
          <w:p w14:paraId="48A7B06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2" w:space="0" w:color="000000"/>
              <w:right w:val="single" w:sz="2" w:space="0" w:color="000000"/>
            </w:tcBorders>
            <w:shd w:val="clear" w:color="auto" w:fill="C0504D" w:themeFill="accent2"/>
          </w:tcPr>
          <w:p w14:paraId="64274FA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6" w:space="0" w:color="auto"/>
              <w:left w:val="single" w:sz="2" w:space="0" w:color="000000"/>
              <w:bottom w:val="single" w:sz="2" w:space="0" w:color="000000"/>
              <w:right w:val="single" w:sz="6" w:space="0" w:color="auto"/>
            </w:tcBorders>
            <w:shd w:val="clear" w:color="auto" w:fill="C0504D" w:themeFill="accent2"/>
          </w:tcPr>
          <w:p w14:paraId="5327E3F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6" w:space="0" w:color="auto"/>
              <w:left w:val="single" w:sz="6" w:space="0" w:color="auto"/>
              <w:bottom w:val="single" w:sz="2" w:space="0" w:color="000000"/>
              <w:right w:val="single" w:sz="6" w:space="0" w:color="auto"/>
            </w:tcBorders>
            <w:shd w:val="clear" w:color="auto" w:fill="C0504D" w:themeFill="accent2"/>
          </w:tcPr>
          <w:p w14:paraId="3C61E90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FFFFDD"/>
          </w:tcPr>
          <w:p w14:paraId="1334968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637F26E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2004942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6AB3ADD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0A2235D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5D77DC7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5A524C0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6" w:space="0" w:color="auto"/>
            </w:tcBorders>
            <w:shd w:val="clear" w:color="auto" w:fill="FFFFDD"/>
          </w:tcPr>
          <w:p w14:paraId="223C61B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017E99C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70DD51E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3366FF"/>
          </w:tcPr>
          <w:p w14:paraId="759B43F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608B194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535645D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FC2ED2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6411B28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15FB0DC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r w:rsidR="00892805" w:rsidRPr="00661B9F" w14:paraId="72D0CD85" w14:textId="77777777" w:rsidTr="00457414">
        <w:trPr>
          <w:trHeight w:val="391"/>
        </w:trPr>
        <w:tc>
          <w:tcPr>
            <w:tcW w:w="1112" w:type="pct"/>
            <w:tcBorders>
              <w:top w:val="single" w:sz="2" w:space="0" w:color="000000"/>
              <w:left w:val="single" w:sz="6" w:space="0" w:color="auto"/>
              <w:bottom w:val="single" w:sz="2" w:space="0" w:color="000000"/>
              <w:right w:val="single" w:sz="6" w:space="0" w:color="auto"/>
            </w:tcBorders>
            <w:shd w:val="clear" w:color="auto" w:fill="C6D9F1" w:themeFill="text2" w:themeFillTint="33"/>
          </w:tcPr>
          <w:p w14:paraId="22E0D531"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 xml:space="preserve">Program Officer </w:t>
            </w:r>
            <w:r w:rsidR="008364A8">
              <w:rPr>
                <w:rFonts w:ascii="Calibri" w:hAnsi="Calibri" w:cs="Calibri"/>
                <w:color w:val="000000"/>
                <w:sz w:val="16"/>
                <w:szCs w:val="16"/>
              </w:rPr>
              <w:t xml:space="preserve">M&amp;E </w:t>
            </w:r>
            <w:r w:rsidRPr="009E1E05">
              <w:rPr>
                <w:rFonts w:ascii="Calibri" w:hAnsi="Calibri" w:cs="Calibri"/>
                <w:color w:val="000000"/>
                <w:sz w:val="16"/>
                <w:szCs w:val="16"/>
              </w:rPr>
              <w:t>(national)</w:t>
            </w:r>
          </w:p>
        </w:tc>
        <w:tc>
          <w:tcPr>
            <w:tcW w:w="162" w:type="pct"/>
            <w:tcBorders>
              <w:top w:val="single" w:sz="2" w:space="0" w:color="000000"/>
              <w:left w:val="single" w:sz="6" w:space="0" w:color="auto"/>
              <w:bottom w:val="single" w:sz="2" w:space="0" w:color="000000"/>
              <w:right w:val="single" w:sz="2" w:space="0" w:color="000000"/>
            </w:tcBorders>
            <w:shd w:val="clear" w:color="auto" w:fill="C0504D" w:themeFill="accent2"/>
          </w:tcPr>
          <w:p w14:paraId="265F6B8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35ACF2C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46E9D8B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142BAEF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6AE3DBF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2" w:space="0" w:color="000000"/>
              <w:left w:val="single" w:sz="2" w:space="0" w:color="000000"/>
              <w:bottom w:val="single" w:sz="6" w:space="0" w:color="auto"/>
              <w:right w:val="single" w:sz="2" w:space="0" w:color="000000"/>
            </w:tcBorders>
            <w:shd w:val="clear" w:color="auto" w:fill="C0504D" w:themeFill="accent2"/>
          </w:tcPr>
          <w:p w14:paraId="427AB9A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2" w:space="0" w:color="000000"/>
              <w:left w:val="single" w:sz="2" w:space="0" w:color="000000"/>
              <w:bottom w:val="single" w:sz="6" w:space="0" w:color="auto"/>
              <w:right w:val="single" w:sz="6" w:space="0" w:color="auto"/>
            </w:tcBorders>
            <w:shd w:val="clear" w:color="auto" w:fill="C0504D" w:themeFill="accent2"/>
          </w:tcPr>
          <w:p w14:paraId="7931C9A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2" w:space="0" w:color="000000"/>
              <w:left w:val="single" w:sz="6" w:space="0" w:color="auto"/>
              <w:bottom w:val="single" w:sz="6" w:space="0" w:color="auto"/>
              <w:right w:val="single" w:sz="6" w:space="0" w:color="auto"/>
            </w:tcBorders>
            <w:shd w:val="clear" w:color="auto" w:fill="C0504D" w:themeFill="accent2"/>
          </w:tcPr>
          <w:p w14:paraId="0611370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FFFFDD"/>
          </w:tcPr>
          <w:p w14:paraId="5D77CB3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57BD1E5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0D4172A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22D941D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03BFE3F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6" w:space="0" w:color="auto"/>
            </w:tcBorders>
            <w:shd w:val="clear" w:color="auto" w:fill="FFFFDD"/>
          </w:tcPr>
          <w:p w14:paraId="739A700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2" w:space="0" w:color="000000"/>
              <w:right w:val="single" w:sz="6" w:space="0" w:color="auto"/>
            </w:tcBorders>
            <w:shd w:val="clear" w:color="auto" w:fill="C0504D" w:themeFill="accent2"/>
          </w:tcPr>
          <w:p w14:paraId="06C86D7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FFFF00" w:fill="3366FF"/>
          </w:tcPr>
          <w:p w14:paraId="521C85F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B4C016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1DDE16B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3366FF"/>
          </w:tcPr>
          <w:p w14:paraId="6C197B6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28A14A2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4EA7C67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1575917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5A5A0141"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49EF0CF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r w:rsidR="00892805" w:rsidRPr="00661B9F" w14:paraId="2BB36516" w14:textId="77777777" w:rsidTr="00457414">
        <w:trPr>
          <w:trHeight w:val="391"/>
        </w:trPr>
        <w:tc>
          <w:tcPr>
            <w:tcW w:w="1112" w:type="pct"/>
            <w:tcBorders>
              <w:top w:val="single" w:sz="2" w:space="0" w:color="000000"/>
              <w:left w:val="single" w:sz="6" w:space="0" w:color="auto"/>
              <w:bottom w:val="single" w:sz="2" w:space="0" w:color="000000"/>
              <w:right w:val="single" w:sz="6" w:space="0" w:color="auto"/>
            </w:tcBorders>
            <w:shd w:val="clear" w:color="auto" w:fill="8DB3E2" w:themeFill="text2" w:themeFillTint="66"/>
          </w:tcPr>
          <w:p w14:paraId="4F696233" w14:textId="77777777" w:rsidR="00775484" w:rsidRPr="009E1E05" w:rsidRDefault="00775484" w:rsidP="008364A8">
            <w:pPr>
              <w:widowControl w:val="0"/>
              <w:autoSpaceDE w:val="0"/>
              <w:autoSpaceDN w:val="0"/>
              <w:adjustRightInd w:val="0"/>
              <w:spacing w:before="0" w:after="0"/>
              <w:jc w:val="left"/>
              <w:rPr>
                <w:rFonts w:ascii="Calibri" w:hAnsi="Calibri" w:cs="Calibri"/>
                <w:color w:val="000000"/>
                <w:sz w:val="16"/>
                <w:szCs w:val="16"/>
              </w:rPr>
            </w:pPr>
            <w:r w:rsidRPr="009E1E05">
              <w:rPr>
                <w:rFonts w:ascii="Calibri" w:hAnsi="Calibri" w:cs="Calibri"/>
                <w:color w:val="000000"/>
                <w:sz w:val="16"/>
                <w:szCs w:val="16"/>
              </w:rPr>
              <w:t>Administrative Officer (national)</w:t>
            </w:r>
          </w:p>
        </w:tc>
        <w:tc>
          <w:tcPr>
            <w:tcW w:w="162" w:type="pct"/>
            <w:tcBorders>
              <w:top w:val="single" w:sz="2" w:space="0" w:color="000000"/>
              <w:left w:val="single" w:sz="6" w:space="0" w:color="auto"/>
              <w:bottom w:val="single" w:sz="2" w:space="0" w:color="000000"/>
              <w:right w:val="single" w:sz="2" w:space="0" w:color="000000"/>
            </w:tcBorders>
            <w:shd w:val="clear" w:color="auto" w:fill="C0504D" w:themeFill="accent2"/>
          </w:tcPr>
          <w:p w14:paraId="18E9142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40B7A710"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2"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6090EAC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2" w:space="0" w:color="000000"/>
              <w:left w:val="single" w:sz="2" w:space="0" w:color="000000"/>
              <w:bottom w:val="single" w:sz="2" w:space="0" w:color="000000"/>
              <w:right w:val="single" w:sz="2" w:space="0" w:color="000000"/>
            </w:tcBorders>
            <w:shd w:val="clear" w:color="auto" w:fill="C0504D" w:themeFill="accent2"/>
          </w:tcPr>
          <w:p w14:paraId="328C9A1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2" w:space="0" w:color="000000"/>
              <w:left w:val="single" w:sz="2" w:space="0" w:color="000000"/>
              <w:bottom w:val="single" w:sz="2" w:space="0" w:color="000000"/>
              <w:right w:val="single" w:sz="6" w:space="0" w:color="auto"/>
            </w:tcBorders>
            <w:shd w:val="clear" w:color="auto" w:fill="C0504D" w:themeFill="accent2"/>
          </w:tcPr>
          <w:p w14:paraId="56FFE8C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FFFFDD"/>
          </w:tcPr>
          <w:p w14:paraId="3291E945"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80" w:type="pct"/>
            <w:tcBorders>
              <w:top w:val="single" w:sz="6" w:space="0" w:color="auto"/>
              <w:left w:val="single" w:sz="2" w:space="0" w:color="000000"/>
              <w:bottom w:val="single" w:sz="6" w:space="0" w:color="auto"/>
              <w:right w:val="single" w:sz="6" w:space="0" w:color="auto"/>
            </w:tcBorders>
            <w:shd w:val="clear" w:color="auto" w:fill="FFFFDD"/>
          </w:tcPr>
          <w:p w14:paraId="22AEC0C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6" w:type="pct"/>
            <w:tcBorders>
              <w:top w:val="single" w:sz="6" w:space="0" w:color="auto"/>
              <w:left w:val="single" w:sz="6" w:space="0" w:color="auto"/>
              <w:bottom w:val="single" w:sz="6" w:space="0" w:color="auto"/>
              <w:right w:val="single" w:sz="2" w:space="0" w:color="000000"/>
            </w:tcBorders>
            <w:shd w:val="clear" w:color="auto" w:fill="FFFFDD"/>
          </w:tcPr>
          <w:p w14:paraId="25265B6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4B8E22DD"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26DC4FF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6CF40B0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FFFFDD"/>
          </w:tcPr>
          <w:p w14:paraId="6958A92B"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6" w:space="0" w:color="auto"/>
            </w:tcBorders>
            <w:shd w:val="clear" w:color="auto" w:fill="FFFFDD"/>
          </w:tcPr>
          <w:p w14:paraId="095EC05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C0504D" w:themeFill="accent2"/>
          </w:tcPr>
          <w:p w14:paraId="1305D520"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2" w:space="0" w:color="000000"/>
              <w:left w:val="single" w:sz="2" w:space="0" w:color="000000"/>
              <w:bottom w:val="single" w:sz="2" w:space="0" w:color="000000"/>
              <w:right w:val="single" w:sz="6" w:space="0" w:color="auto"/>
            </w:tcBorders>
            <w:shd w:val="clear" w:color="auto" w:fill="C0504D" w:themeFill="accent2"/>
          </w:tcPr>
          <w:p w14:paraId="61CDE857"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FFFF00" w:fill="3366FF"/>
          </w:tcPr>
          <w:p w14:paraId="335748E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36943343"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6E7F6269"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76" w:type="pct"/>
            <w:tcBorders>
              <w:top w:val="single" w:sz="6" w:space="0" w:color="auto"/>
              <w:left w:val="single" w:sz="2" w:space="0" w:color="000000"/>
              <w:bottom w:val="single" w:sz="6" w:space="0" w:color="auto"/>
              <w:right w:val="single" w:sz="6" w:space="0" w:color="auto"/>
            </w:tcBorders>
            <w:shd w:val="clear" w:color="auto" w:fill="3366FF"/>
          </w:tcPr>
          <w:p w14:paraId="27EF4484"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6" w:space="0" w:color="auto"/>
              <w:bottom w:val="single" w:sz="6" w:space="0" w:color="auto"/>
              <w:right w:val="single" w:sz="2" w:space="0" w:color="000000"/>
            </w:tcBorders>
            <w:shd w:val="clear" w:color="auto" w:fill="3366FF"/>
          </w:tcPr>
          <w:p w14:paraId="212444DC"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07727BA6"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4DFE4CF8"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61" w:type="pct"/>
            <w:tcBorders>
              <w:top w:val="single" w:sz="6" w:space="0" w:color="auto"/>
              <w:left w:val="single" w:sz="2" w:space="0" w:color="000000"/>
              <w:bottom w:val="single" w:sz="6" w:space="0" w:color="auto"/>
              <w:right w:val="single" w:sz="2" w:space="0" w:color="000000"/>
            </w:tcBorders>
            <w:shd w:val="clear" w:color="auto" w:fill="3366FF"/>
          </w:tcPr>
          <w:p w14:paraId="2FDBB2BE"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48" w:type="pct"/>
            <w:tcBorders>
              <w:top w:val="single" w:sz="6" w:space="0" w:color="auto"/>
              <w:left w:val="single" w:sz="2" w:space="0" w:color="000000"/>
              <w:bottom w:val="single" w:sz="6" w:space="0" w:color="auto"/>
              <w:right w:val="single" w:sz="6" w:space="0" w:color="auto"/>
            </w:tcBorders>
            <w:shd w:val="clear" w:color="auto" w:fill="3366FF"/>
          </w:tcPr>
          <w:p w14:paraId="1A64E50A"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r>
    </w:tbl>
    <w:p w14:paraId="1C39B62A" w14:textId="77777777" w:rsidR="00775484" w:rsidRPr="009E1E05" w:rsidRDefault="00775484" w:rsidP="008364A8">
      <w:pPr>
        <w:spacing w:before="0" w:after="0"/>
      </w:pPr>
    </w:p>
    <w:tbl>
      <w:tblPr>
        <w:tblW w:w="2324" w:type="pct"/>
        <w:jc w:val="center"/>
        <w:tblLayout w:type="fixed"/>
        <w:tblCellMar>
          <w:left w:w="30" w:type="dxa"/>
          <w:right w:w="30" w:type="dxa"/>
        </w:tblCellMar>
        <w:tblLook w:val="0000" w:firstRow="0" w:lastRow="0" w:firstColumn="0" w:lastColumn="0" w:noHBand="0" w:noVBand="0"/>
      </w:tblPr>
      <w:tblGrid>
        <w:gridCol w:w="262"/>
        <w:gridCol w:w="1050"/>
        <w:gridCol w:w="284"/>
        <w:gridCol w:w="991"/>
        <w:gridCol w:w="283"/>
        <w:gridCol w:w="1232"/>
      </w:tblGrid>
      <w:tr w:rsidR="00775484" w:rsidRPr="00661B9F" w14:paraId="3EDB5512" w14:textId="77777777" w:rsidTr="00457414">
        <w:trPr>
          <w:trHeight w:val="192"/>
          <w:jc w:val="center"/>
        </w:trPr>
        <w:tc>
          <w:tcPr>
            <w:tcW w:w="319" w:type="pct"/>
            <w:tcBorders>
              <w:top w:val="single" w:sz="2" w:space="0" w:color="000000"/>
              <w:left w:val="single" w:sz="6" w:space="0" w:color="auto"/>
              <w:bottom w:val="single" w:sz="6" w:space="0" w:color="auto"/>
              <w:right w:val="single" w:sz="2" w:space="0" w:color="000000"/>
            </w:tcBorders>
            <w:shd w:val="clear" w:color="auto" w:fill="FFFFDD"/>
          </w:tcPr>
          <w:p w14:paraId="6D0E336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280" w:type="pct"/>
            <w:tcBorders>
              <w:top w:val="single" w:sz="2" w:space="0" w:color="000000"/>
              <w:left w:val="single" w:sz="2" w:space="0" w:color="000000"/>
              <w:bottom w:val="single" w:sz="6" w:space="0" w:color="auto"/>
              <w:right w:val="single" w:sz="2" w:space="0" w:color="000000"/>
            </w:tcBorders>
            <w:shd w:val="clear" w:color="auto" w:fill="auto"/>
          </w:tcPr>
          <w:p w14:paraId="54D822C8" w14:textId="77777777" w:rsidR="00775484" w:rsidRPr="009E1E05" w:rsidRDefault="00775484" w:rsidP="00ED7EEC">
            <w:pPr>
              <w:widowControl w:val="0"/>
              <w:autoSpaceDE w:val="0"/>
              <w:autoSpaceDN w:val="0"/>
              <w:adjustRightInd w:val="0"/>
              <w:rPr>
                <w:rFonts w:ascii="Calibri" w:hAnsi="Calibri" w:cs="Calibri"/>
                <w:color w:val="000000"/>
                <w:sz w:val="16"/>
                <w:szCs w:val="16"/>
              </w:rPr>
            </w:pPr>
            <w:r w:rsidRPr="009E1E05">
              <w:rPr>
                <w:rFonts w:ascii="Calibri" w:hAnsi="Calibri" w:cs="Calibri"/>
                <w:color w:val="000000"/>
                <w:sz w:val="16"/>
                <w:szCs w:val="16"/>
              </w:rPr>
              <w:t>Previous Staff</w:t>
            </w:r>
          </w:p>
        </w:tc>
        <w:tc>
          <w:tcPr>
            <w:tcW w:w="346" w:type="pct"/>
            <w:tcBorders>
              <w:top w:val="single" w:sz="6" w:space="0" w:color="auto"/>
              <w:left w:val="single" w:sz="6" w:space="0" w:color="auto"/>
              <w:bottom w:val="single" w:sz="6" w:space="0" w:color="auto"/>
              <w:right w:val="single" w:sz="2" w:space="0" w:color="000000"/>
            </w:tcBorders>
            <w:shd w:val="clear" w:color="333399" w:fill="3366FF"/>
          </w:tcPr>
          <w:p w14:paraId="02BB3D6F"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208" w:type="pct"/>
            <w:tcBorders>
              <w:top w:val="single" w:sz="6" w:space="0" w:color="auto"/>
              <w:left w:val="single" w:sz="2" w:space="0" w:color="000000"/>
              <w:bottom w:val="single" w:sz="6" w:space="0" w:color="auto"/>
              <w:right w:val="single" w:sz="6" w:space="0" w:color="auto"/>
            </w:tcBorders>
            <w:shd w:val="clear" w:color="333399" w:fill="auto"/>
          </w:tcPr>
          <w:p w14:paraId="64307894" w14:textId="77777777" w:rsidR="00775484" w:rsidRPr="009E1E05" w:rsidRDefault="00775484" w:rsidP="00ED7EEC">
            <w:pPr>
              <w:widowControl w:val="0"/>
              <w:autoSpaceDE w:val="0"/>
              <w:autoSpaceDN w:val="0"/>
              <w:adjustRightInd w:val="0"/>
              <w:rPr>
                <w:rFonts w:ascii="Calibri" w:hAnsi="Calibri" w:cs="Calibri"/>
                <w:color w:val="000000"/>
                <w:sz w:val="16"/>
                <w:szCs w:val="16"/>
              </w:rPr>
            </w:pPr>
            <w:r w:rsidRPr="009E1E05">
              <w:rPr>
                <w:rFonts w:ascii="Calibri" w:hAnsi="Calibri" w:cs="Calibri"/>
                <w:color w:val="000000"/>
                <w:sz w:val="16"/>
                <w:szCs w:val="16"/>
              </w:rPr>
              <w:t>Current Staff</w:t>
            </w:r>
          </w:p>
        </w:tc>
        <w:tc>
          <w:tcPr>
            <w:tcW w:w="345" w:type="pct"/>
            <w:tcBorders>
              <w:top w:val="single" w:sz="2" w:space="0" w:color="000000"/>
              <w:left w:val="single" w:sz="2" w:space="0" w:color="000000"/>
              <w:bottom w:val="single" w:sz="6" w:space="0" w:color="auto"/>
              <w:right w:val="single" w:sz="6" w:space="0" w:color="auto"/>
            </w:tcBorders>
            <w:shd w:val="clear" w:color="auto" w:fill="C0504D" w:themeFill="accent2"/>
          </w:tcPr>
          <w:p w14:paraId="328EBAE2" w14:textId="77777777" w:rsidR="00775484" w:rsidRPr="009E1E05" w:rsidRDefault="00775484" w:rsidP="00ED7EEC">
            <w:pPr>
              <w:widowControl w:val="0"/>
              <w:autoSpaceDE w:val="0"/>
              <w:autoSpaceDN w:val="0"/>
              <w:adjustRightInd w:val="0"/>
              <w:jc w:val="right"/>
              <w:rPr>
                <w:rFonts w:ascii="Calibri" w:hAnsi="Calibri" w:cs="Calibri"/>
                <w:color w:val="000000"/>
                <w:sz w:val="16"/>
                <w:szCs w:val="16"/>
              </w:rPr>
            </w:pPr>
          </w:p>
        </w:tc>
        <w:tc>
          <w:tcPr>
            <w:tcW w:w="1502" w:type="pct"/>
            <w:tcBorders>
              <w:top w:val="single" w:sz="6" w:space="0" w:color="auto"/>
              <w:left w:val="single" w:sz="6" w:space="0" w:color="auto"/>
              <w:bottom w:val="single" w:sz="6" w:space="0" w:color="auto"/>
              <w:right w:val="single" w:sz="2" w:space="0" w:color="000000"/>
            </w:tcBorders>
            <w:shd w:val="clear" w:color="FFFF00" w:fill="auto"/>
          </w:tcPr>
          <w:p w14:paraId="28A436E9" w14:textId="77777777" w:rsidR="00775484" w:rsidRPr="009E1E05" w:rsidRDefault="00775484" w:rsidP="00ED7EEC">
            <w:pPr>
              <w:widowControl w:val="0"/>
              <w:autoSpaceDE w:val="0"/>
              <w:autoSpaceDN w:val="0"/>
              <w:adjustRightInd w:val="0"/>
              <w:rPr>
                <w:rFonts w:ascii="Calibri" w:hAnsi="Calibri" w:cs="Calibri"/>
                <w:color w:val="000000"/>
                <w:sz w:val="16"/>
                <w:szCs w:val="16"/>
              </w:rPr>
            </w:pPr>
            <w:r w:rsidRPr="009E1E05">
              <w:rPr>
                <w:rFonts w:ascii="Calibri" w:hAnsi="Calibri" w:cs="Calibri"/>
                <w:color w:val="000000"/>
                <w:sz w:val="16"/>
                <w:szCs w:val="16"/>
              </w:rPr>
              <w:t>Vacant Positions</w:t>
            </w:r>
          </w:p>
        </w:tc>
      </w:tr>
    </w:tbl>
    <w:p w14:paraId="731261CD" w14:textId="77777777" w:rsidR="00775484" w:rsidRPr="009E1E05" w:rsidRDefault="00775484" w:rsidP="00775484">
      <w:pPr>
        <w:ind w:left="709"/>
      </w:pPr>
      <w:r w:rsidRPr="009E1E05">
        <w:t xml:space="preserve">The negative impact of high staff turnover in combination with the cost of multiple recruitments, training and then retraining, </w:t>
      </w:r>
      <w:r w:rsidR="00536CF5">
        <w:t>as well as</w:t>
      </w:r>
      <w:r w:rsidRPr="009E1E05">
        <w:t xml:space="preserve"> the opportunity cost of having positions vacant for any period of time point to significant underperformance from a value for money perspective.</w:t>
      </w:r>
    </w:p>
    <w:p w14:paraId="32344384" w14:textId="4AE3E600" w:rsidR="00FC3D19" w:rsidRDefault="00FC3D19" w:rsidP="00FC3D19">
      <w:pPr>
        <w:ind w:left="709"/>
      </w:pPr>
      <w:r>
        <w:t>Given the</w:t>
      </w:r>
      <w:r w:rsidR="00775484" w:rsidRPr="009E1E05">
        <w:t xml:space="preserve"> current team’s relative inexperience</w:t>
      </w:r>
      <w:r>
        <w:t xml:space="preserve"> and </w:t>
      </w:r>
      <w:r w:rsidRPr="009E1E05">
        <w:t xml:space="preserve">the absence of an </w:t>
      </w:r>
      <w:r>
        <w:t xml:space="preserve">overarching strategic framework, </w:t>
      </w:r>
      <w:r w:rsidRPr="009E1E05">
        <w:t xml:space="preserve">TSP1 </w:t>
      </w:r>
      <w:r>
        <w:t xml:space="preserve">implementation has </w:t>
      </w:r>
      <w:r w:rsidRPr="009E1E05">
        <w:t>tended to focus on individual component level outputs rather than building a platform of common understanding as to the inter-relationships between the components and to establish models for integrated delivery.</w:t>
      </w:r>
    </w:p>
    <w:p w14:paraId="233EF3E1" w14:textId="3049749F" w:rsidR="00775484" w:rsidRPr="009E1E05" w:rsidRDefault="00FC3D19" w:rsidP="00775484">
      <w:pPr>
        <w:ind w:left="709"/>
      </w:pPr>
      <w:r>
        <w:t xml:space="preserve">Nevertheless </w:t>
      </w:r>
      <w:r w:rsidR="00A07064">
        <w:t xml:space="preserve">TSP1 </w:t>
      </w:r>
      <w:proofErr w:type="gramStart"/>
      <w:r>
        <w:t>staff</w:t>
      </w:r>
      <w:r w:rsidR="00775484" w:rsidRPr="009E1E05">
        <w:t xml:space="preserve"> </w:t>
      </w:r>
      <w:r>
        <w:t>are</w:t>
      </w:r>
      <w:proofErr w:type="gramEnd"/>
      <w:r w:rsidR="00775484" w:rsidRPr="009E1E05">
        <w:t xml:space="preserve"> respond</w:t>
      </w:r>
      <w:r>
        <w:t>ing</w:t>
      </w:r>
      <w:r w:rsidR="00775484" w:rsidRPr="009E1E05">
        <w:t xml:space="preserve"> well to training and guidance provided under the Program and are now collectively </w:t>
      </w:r>
      <w:r w:rsidR="002A1D44">
        <w:t xml:space="preserve">improving their understanding of TVET principles and practices, and </w:t>
      </w:r>
      <w:r w:rsidR="00775484" w:rsidRPr="009E1E05">
        <w:t>restoring the confidence of TVET stakeholders, Government officials and donors in the potential for TSP</w:t>
      </w:r>
      <w:r w:rsidR="00775484">
        <w:t>1</w:t>
      </w:r>
      <w:r w:rsidR="00775484" w:rsidRPr="009E1E05">
        <w:t xml:space="preserve"> to meet its objectives. </w:t>
      </w:r>
    </w:p>
    <w:p w14:paraId="411EC2B3" w14:textId="77777777" w:rsidR="00775484" w:rsidRPr="009E1E05" w:rsidRDefault="00775484" w:rsidP="00775484">
      <w:pPr>
        <w:ind w:left="709"/>
      </w:pPr>
      <w:r w:rsidRPr="009E1E05">
        <w:t>The following is a commentary on TSP1 achievements and overall implementation issues structured around the three TSP1 components:</w:t>
      </w:r>
    </w:p>
    <w:p w14:paraId="54201D33" w14:textId="77777777" w:rsidR="00775484" w:rsidRPr="009E1E05" w:rsidRDefault="00775484" w:rsidP="00C21794">
      <w:pPr>
        <w:numPr>
          <w:ilvl w:val="0"/>
          <w:numId w:val="13"/>
        </w:numPr>
        <w:contextualSpacing/>
      </w:pPr>
      <w:r w:rsidRPr="009E1E05">
        <w:t>Developing a National Training System</w:t>
      </w:r>
    </w:p>
    <w:p w14:paraId="6F0D1500" w14:textId="77777777" w:rsidR="00775484" w:rsidRPr="009E1E05" w:rsidRDefault="00775484" w:rsidP="00C21794">
      <w:pPr>
        <w:numPr>
          <w:ilvl w:val="0"/>
          <w:numId w:val="13"/>
        </w:numPr>
        <w:contextualSpacing/>
      </w:pPr>
      <w:r w:rsidRPr="009E1E05">
        <w:t>Promoting Demand Driven Training</w:t>
      </w:r>
    </w:p>
    <w:p w14:paraId="63EB9B48" w14:textId="77777777" w:rsidR="00775484" w:rsidRPr="009E1E05" w:rsidRDefault="00775484" w:rsidP="00C21794">
      <w:pPr>
        <w:numPr>
          <w:ilvl w:val="0"/>
          <w:numId w:val="13"/>
        </w:numPr>
      </w:pPr>
      <w:r w:rsidRPr="009E1E05">
        <w:t>Program Management and Institutional Strengthening</w:t>
      </w:r>
    </w:p>
    <w:p w14:paraId="60B103C7" w14:textId="77777777" w:rsidR="00775484" w:rsidRPr="009E1E05" w:rsidRDefault="00775484" w:rsidP="00C21794">
      <w:pPr>
        <w:numPr>
          <w:ilvl w:val="0"/>
          <w:numId w:val="11"/>
        </w:numPr>
        <w:ind w:left="1134" w:hanging="425"/>
        <w:rPr>
          <w:b/>
        </w:rPr>
      </w:pPr>
      <w:r w:rsidRPr="009E1E05">
        <w:rPr>
          <w:b/>
        </w:rPr>
        <w:t>Developing the National Training System</w:t>
      </w:r>
    </w:p>
    <w:p w14:paraId="01EAD558" w14:textId="77777777" w:rsidR="00775484" w:rsidRPr="009E1E05" w:rsidRDefault="00775484" w:rsidP="00C21794">
      <w:pPr>
        <w:numPr>
          <w:ilvl w:val="1"/>
          <w:numId w:val="12"/>
        </w:numPr>
        <w:ind w:left="1134" w:hanging="431"/>
      </w:pPr>
      <w:r w:rsidRPr="009E1E05">
        <w:t xml:space="preserve">The establishment of two </w:t>
      </w:r>
      <w:r w:rsidRPr="009E1E05">
        <w:rPr>
          <w:u w:val="single"/>
        </w:rPr>
        <w:t>Industry Training and Advisory Committees</w:t>
      </w:r>
      <w:r w:rsidRPr="009E1E05">
        <w:t xml:space="preserve"> (Tourism and Hospitality and Construction) has led to the identification of a number of relevant courses and units of competence.  The Construction sector activity was just being completed at the time of the review.</w:t>
      </w:r>
    </w:p>
    <w:p w14:paraId="58D93446" w14:textId="5B683B35" w:rsidR="00B414D8" w:rsidRPr="009E1E05" w:rsidRDefault="004255C0" w:rsidP="00324042">
      <w:pPr>
        <w:ind w:left="1134"/>
      </w:pPr>
      <w:r>
        <w:lastRenderedPageBreak/>
        <w:t>With the</w:t>
      </w:r>
      <w:r w:rsidR="00775484" w:rsidRPr="009E1E05">
        <w:t xml:space="preserve"> Tourism and Hospitality </w:t>
      </w:r>
      <w:r>
        <w:t xml:space="preserve">ITAC </w:t>
      </w:r>
      <w:r w:rsidR="00775484" w:rsidRPr="009E1E05">
        <w:t>a total of 14 courses from Certificate 1 to Diploma level were identified</w:t>
      </w:r>
      <w:r w:rsidR="00775484" w:rsidRPr="009E1E05">
        <w:rPr>
          <w:vertAlign w:val="superscript"/>
        </w:rPr>
        <w:footnoteReference w:id="20"/>
      </w:r>
      <w:r w:rsidR="00775484" w:rsidRPr="009E1E05">
        <w:t>.</w:t>
      </w:r>
    </w:p>
    <w:tbl>
      <w:tblPr>
        <w:tblStyle w:val="MediumGrid2-Accent1"/>
        <w:tblW w:w="0" w:type="auto"/>
        <w:jc w:val="center"/>
        <w:tblLook w:val="04A0" w:firstRow="1" w:lastRow="0" w:firstColumn="1" w:lastColumn="0" w:noHBand="0" w:noVBand="1"/>
      </w:tblPr>
      <w:tblGrid>
        <w:gridCol w:w="1450"/>
        <w:gridCol w:w="1019"/>
        <w:gridCol w:w="1462"/>
      </w:tblGrid>
      <w:tr w:rsidR="00775484" w:rsidRPr="00384F93" w14:paraId="5C2C4A59" w14:textId="77777777" w:rsidTr="00384F9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166C6001" w14:textId="77777777" w:rsidR="00775484" w:rsidRPr="004F6DCF" w:rsidRDefault="00775484" w:rsidP="00384F93">
            <w:pPr>
              <w:spacing w:before="0" w:after="0"/>
              <w:jc w:val="center"/>
              <w:rPr>
                <w:b w:val="0"/>
              </w:rPr>
            </w:pPr>
          </w:p>
        </w:tc>
        <w:tc>
          <w:tcPr>
            <w:tcW w:w="0" w:type="auto"/>
          </w:tcPr>
          <w:p w14:paraId="56ABD38A" w14:textId="77777777" w:rsidR="00775484" w:rsidRPr="00384F93" w:rsidRDefault="00775484" w:rsidP="00384F93">
            <w:pPr>
              <w:spacing w:before="0" w:after="0"/>
              <w:jc w:val="center"/>
              <w:cnfStyle w:val="100000000000" w:firstRow="1" w:lastRow="0" w:firstColumn="0" w:lastColumn="0" w:oddVBand="0" w:evenVBand="0" w:oddHBand="0" w:evenHBand="0" w:firstRowFirstColumn="0" w:firstRowLastColumn="0" w:lastRowFirstColumn="0" w:lastRowLastColumn="0"/>
            </w:pPr>
            <w:r w:rsidRPr="00384F93">
              <w:t>Courses</w:t>
            </w:r>
          </w:p>
        </w:tc>
        <w:tc>
          <w:tcPr>
            <w:tcW w:w="0" w:type="auto"/>
          </w:tcPr>
          <w:p w14:paraId="18DF326C" w14:textId="77777777" w:rsidR="00775484" w:rsidRPr="00384F93" w:rsidRDefault="00775484" w:rsidP="00384F93">
            <w:pPr>
              <w:spacing w:before="0" w:after="0"/>
              <w:jc w:val="center"/>
              <w:cnfStyle w:val="100000000000" w:firstRow="1" w:lastRow="0" w:firstColumn="0" w:lastColumn="0" w:oddVBand="0" w:evenVBand="0" w:oddHBand="0" w:evenHBand="0" w:firstRowFirstColumn="0" w:firstRowLastColumn="0" w:lastRowFirstColumn="0" w:lastRowLastColumn="0"/>
            </w:pPr>
            <w:r w:rsidRPr="00384F93">
              <w:t>Units of</w:t>
            </w:r>
          </w:p>
          <w:p w14:paraId="459E122E" w14:textId="77777777" w:rsidR="00775484" w:rsidRPr="00384F93" w:rsidRDefault="00775484" w:rsidP="00384F93">
            <w:pPr>
              <w:spacing w:before="0" w:after="0"/>
              <w:jc w:val="center"/>
              <w:cnfStyle w:val="100000000000" w:firstRow="1" w:lastRow="0" w:firstColumn="0" w:lastColumn="0" w:oddVBand="0" w:evenVBand="0" w:oddHBand="0" w:evenHBand="0" w:firstRowFirstColumn="0" w:firstRowLastColumn="0" w:lastRowFirstColumn="0" w:lastRowLastColumn="0"/>
            </w:pPr>
            <w:r w:rsidRPr="00384F93">
              <w:t>Competency</w:t>
            </w:r>
          </w:p>
        </w:tc>
      </w:tr>
      <w:tr w:rsidR="00775484" w:rsidRPr="00384F93" w14:paraId="60E075AA" w14:textId="77777777" w:rsidTr="00384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2D17CB" w14:textId="77777777" w:rsidR="00775484" w:rsidRPr="004F6DCF" w:rsidRDefault="00775484" w:rsidP="00384F93">
            <w:pPr>
              <w:spacing w:before="0" w:after="0"/>
              <w:rPr>
                <w:b w:val="0"/>
              </w:rPr>
            </w:pPr>
            <w:r w:rsidRPr="004F6DCF">
              <w:rPr>
                <w:b w:val="0"/>
              </w:rPr>
              <w:t>Certificate I</w:t>
            </w:r>
          </w:p>
        </w:tc>
        <w:tc>
          <w:tcPr>
            <w:tcW w:w="0" w:type="auto"/>
          </w:tcPr>
          <w:p w14:paraId="1EF689F6" w14:textId="77777777" w:rsidR="00775484" w:rsidRPr="00384F93" w:rsidRDefault="00775484" w:rsidP="00384F93">
            <w:pPr>
              <w:spacing w:before="0" w:after="0"/>
              <w:jc w:val="right"/>
              <w:cnfStyle w:val="000000100000" w:firstRow="0" w:lastRow="0" w:firstColumn="0" w:lastColumn="0" w:oddVBand="0" w:evenVBand="0" w:oddHBand="1" w:evenHBand="0" w:firstRowFirstColumn="0" w:firstRowLastColumn="0" w:lastRowFirstColumn="0" w:lastRowLastColumn="0"/>
            </w:pPr>
            <w:r w:rsidRPr="00384F93">
              <w:t>2</w:t>
            </w:r>
          </w:p>
        </w:tc>
        <w:tc>
          <w:tcPr>
            <w:tcW w:w="0" w:type="auto"/>
          </w:tcPr>
          <w:p w14:paraId="73175338" w14:textId="77777777" w:rsidR="00775484" w:rsidRPr="00384F93" w:rsidRDefault="00775484" w:rsidP="00384F93">
            <w:pPr>
              <w:spacing w:before="0" w:after="0"/>
              <w:jc w:val="right"/>
              <w:cnfStyle w:val="000000100000" w:firstRow="0" w:lastRow="0" w:firstColumn="0" w:lastColumn="0" w:oddVBand="0" w:evenVBand="0" w:oddHBand="1" w:evenHBand="0" w:firstRowFirstColumn="0" w:firstRowLastColumn="0" w:lastRowFirstColumn="0" w:lastRowLastColumn="0"/>
            </w:pPr>
            <w:r w:rsidRPr="00384F93">
              <w:t>17</w:t>
            </w:r>
          </w:p>
        </w:tc>
      </w:tr>
      <w:tr w:rsidR="00775484" w:rsidRPr="00384F93" w14:paraId="5B223873" w14:textId="77777777" w:rsidTr="00384F9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0EF15F" w14:textId="77777777" w:rsidR="00775484" w:rsidRPr="004F6DCF" w:rsidRDefault="00775484" w:rsidP="00384F93">
            <w:pPr>
              <w:spacing w:before="0" w:after="0"/>
              <w:rPr>
                <w:b w:val="0"/>
              </w:rPr>
            </w:pPr>
            <w:r w:rsidRPr="004F6DCF">
              <w:rPr>
                <w:b w:val="0"/>
              </w:rPr>
              <w:t>Certificate II</w:t>
            </w:r>
          </w:p>
        </w:tc>
        <w:tc>
          <w:tcPr>
            <w:tcW w:w="0" w:type="auto"/>
          </w:tcPr>
          <w:p w14:paraId="3E4E9198" w14:textId="77777777" w:rsidR="00775484" w:rsidRPr="00384F93" w:rsidRDefault="00775484" w:rsidP="00384F93">
            <w:pPr>
              <w:spacing w:before="0" w:after="0"/>
              <w:jc w:val="right"/>
              <w:cnfStyle w:val="000000000000" w:firstRow="0" w:lastRow="0" w:firstColumn="0" w:lastColumn="0" w:oddVBand="0" w:evenVBand="0" w:oddHBand="0" w:evenHBand="0" w:firstRowFirstColumn="0" w:firstRowLastColumn="0" w:lastRowFirstColumn="0" w:lastRowLastColumn="0"/>
            </w:pPr>
            <w:r w:rsidRPr="00384F93">
              <w:t>3</w:t>
            </w:r>
          </w:p>
        </w:tc>
        <w:tc>
          <w:tcPr>
            <w:tcW w:w="0" w:type="auto"/>
          </w:tcPr>
          <w:p w14:paraId="67344404" w14:textId="77777777" w:rsidR="00775484" w:rsidRPr="00384F93" w:rsidRDefault="00775484" w:rsidP="00384F93">
            <w:pPr>
              <w:spacing w:before="0" w:after="0"/>
              <w:jc w:val="right"/>
              <w:cnfStyle w:val="000000000000" w:firstRow="0" w:lastRow="0" w:firstColumn="0" w:lastColumn="0" w:oddVBand="0" w:evenVBand="0" w:oddHBand="0" w:evenHBand="0" w:firstRowFirstColumn="0" w:firstRowLastColumn="0" w:lastRowFirstColumn="0" w:lastRowLastColumn="0"/>
            </w:pPr>
            <w:r w:rsidRPr="00384F93">
              <w:t>39</w:t>
            </w:r>
          </w:p>
        </w:tc>
      </w:tr>
      <w:tr w:rsidR="00775484" w:rsidRPr="00384F93" w14:paraId="49C6376E" w14:textId="77777777" w:rsidTr="00384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ADC7C4D" w14:textId="77777777" w:rsidR="00775484" w:rsidRPr="004F6DCF" w:rsidRDefault="00775484" w:rsidP="00384F93">
            <w:pPr>
              <w:spacing w:before="0" w:after="0"/>
              <w:rPr>
                <w:b w:val="0"/>
              </w:rPr>
            </w:pPr>
            <w:r w:rsidRPr="004F6DCF">
              <w:rPr>
                <w:b w:val="0"/>
              </w:rPr>
              <w:t>Certificate III</w:t>
            </w:r>
          </w:p>
        </w:tc>
        <w:tc>
          <w:tcPr>
            <w:tcW w:w="0" w:type="auto"/>
          </w:tcPr>
          <w:p w14:paraId="07997EBA" w14:textId="77777777" w:rsidR="00775484" w:rsidRPr="00384F93" w:rsidRDefault="00775484" w:rsidP="00384F93">
            <w:pPr>
              <w:spacing w:before="0" w:after="0"/>
              <w:jc w:val="right"/>
              <w:cnfStyle w:val="000000100000" w:firstRow="0" w:lastRow="0" w:firstColumn="0" w:lastColumn="0" w:oddVBand="0" w:evenVBand="0" w:oddHBand="1" w:evenHBand="0" w:firstRowFirstColumn="0" w:firstRowLastColumn="0" w:lastRowFirstColumn="0" w:lastRowLastColumn="0"/>
            </w:pPr>
            <w:r w:rsidRPr="00384F93">
              <w:t>5</w:t>
            </w:r>
          </w:p>
        </w:tc>
        <w:tc>
          <w:tcPr>
            <w:tcW w:w="0" w:type="auto"/>
          </w:tcPr>
          <w:p w14:paraId="269F5680" w14:textId="77777777" w:rsidR="00775484" w:rsidRPr="00384F93" w:rsidRDefault="00775484" w:rsidP="00384F93">
            <w:pPr>
              <w:spacing w:before="0" w:after="0"/>
              <w:jc w:val="right"/>
              <w:cnfStyle w:val="000000100000" w:firstRow="0" w:lastRow="0" w:firstColumn="0" w:lastColumn="0" w:oddVBand="0" w:evenVBand="0" w:oddHBand="1" w:evenHBand="0" w:firstRowFirstColumn="0" w:firstRowLastColumn="0" w:lastRowFirstColumn="0" w:lastRowLastColumn="0"/>
            </w:pPr>
            <w:r w:rsidRPr="00384F93">
              <w:t>96</w:t>
            </w:r>
          </w:p>
        </w:tc>
      </w:tr>
      <w:tr w:rsidR="00775484" w:rsidRPr="00384F93" w14:paraId="18D9524C" w14:textId="77777777" w:rsidTr="00384F9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494303" w14:textId="77777777" w:rsidR="00775484" w:rsidRPr="004F6DCF" w:rsidRDefault="00775484" w:rsidP="00384F93">
            <w:pPr>
              <w:spacing w:before="0" w:after="0"/>
              <w:rPr>
                <w:b w:val="0"/>
              </w:rPr>
            </w:pPr>
            <w:r w:rsidRPr="004F6DCF">
              <w:rPr>
                <w:b w:val="0"/>
              </w:rPr>
              <w:t>Certificate IV</w:t>
            </w:r>
          </w:p>
        </w:tc>
        <w:tc>
          <w:tcPr>
            <w:tcW w:w="0" w:type="auto"/>
          </w:tcPr>
          <w:p w14:paraId="199CB1F1" w14:textId="77777777" w:rsidR="00775484" w:rsidRPr="00384F93" w:rsidRDefault="00775484" w:rsidP="00384F93">
            <w:pPr>
              <w:spacing w:before="0" w:after="0"/>
              <w:jc w:val="right"/>
              <w:cnfStyle w:val="000000000000" w:firstRow="0" w:lastRow="0" w:firstColumn="0" w:lastColumn="0" w:oddVBand="0" w:evenVBand="0" w:oddHBand="0" w:evenHBand="0" w:firstRowFirstColumn="0" w:firstRowLastColumn="0" w:lastRowFirstColumn="0" w:lastRowLastColumn="0"/>
            </w:pPr>
            <w:r w:rsidRPr="00384F93">
              <w:t>2</w:t>
            </w:r>
          </w:p>
        </w:tc>
        <w:tc>
          <w:tcPr>
            <w:tcW w:w="0" w:type="auto"/>
          </w:tcPr>
          <w:p w14:paraId="2B633AF3" w14:textId="77777777" w:rsidR="00775484" w:rsidRPr="00384F93" w:rsidRDefault="00775484" w:rsidP="00384F93">
            <w:pPr>
              <w:spacing w:before="0" w:after="0"/>
              <w:jc w:val="right"/>
              <w:cnfStyle w:val="000000000000" w:firstRow="0" w:lastRow="0" w:firstColumn="0" w:lastColumn="0" w:oddVBand="0" w:evenVBand="0" w:oddHBand="0" w:evenHBand="0" w:firstRowFirstColumn="0" w:firstRowLastColumn="0" w:lastRowFirstColumn="0" w:lastRowLastColumn="0"/>
            </w:pPr>
            <w:r w:rsidRPr="00384F93">
              <w:t>51</w:t>
            </w:r>
          </w:p>
        </w:tc>
      </w:tr>
      <w:tr w:rsidR="00775484" w:rsidRPr="00384F93" w14:paraId="2C1EC75F" w14:textId="77777777" w:rsidTr="00384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36F52A" w14:textId="77777777" w:rsidR="00775484" w:rsidRPr="004F6DCF" w:rsidRDefault="00775484" w:rsidP="00384F93">
            <w:pPr>
              <w:spacing w:before="0" w:after="0"/>
              <w:rPr>
                <w:b w:val="0"/>
              </w:rPr>
            </w:pPr>
            <w:r w:rsidRPr="004F6DCF">
              <w:rPr>
                <w:b w:val="0"/>
              </w:rPr>
              <w:t>Diploma</w:t>
            </w:r>
          </w:p>
        </w:tc>
        <w:tc>
          <w:tcPr>
            <w:tcW w:w="0" w:type="auto"/>
          </w:tcPr>
          <w:p w14:paraId="2B683802" w14:textId="77777777" w:rsidR="00775484" w:rsidRPr="00384F93" w:rsidRDefault="00775484" w:rsidP="00384F93">
            <w:pPr>
              <w:spacing w:before="0" w:after="0"/>
              <w:jc w:val="right"/>
              <w:cnfStyle w:val="000000100000" w:firstRow="0" w:lastRow="0" w:firstColumn="0" w:lastColumn="0" w:oddVBand="0" w:evenVBand="0" w:oddHBand="1" w:evenHBand="0" w:firstRowFirstColumn="0" w:firstRowLastColumn="0" w:lastRowFirstColumn="0" w:lastRowLastColumn="0"/>
            </w:pPr>
            <w:r w:rsidRPr="00384F93">
              <w:t>2</w:t>
            </w:r>
          </w:p>
        </w:tc>
        <w:tc>
          <w:tcPr>
            <w:tcW w:w="0" w:type="auto"/>
          </w:tcPr>
          <w:p w14:paraId="58395FD8" w14:textId="77777777" w:rsidR="00775484" w:rsidRPr="00384F93" w:rsidRDefault="00775484" w:rsidP="00384F93">
            <w:pPr>
              <w:spacing w:before="0" w:after="0"/>
              <w:ind w:left="-2003" w:firstLine="2003"/>
              <w:jc w:val="right"/>
              <w:cnfStyle w:val="000000100000" w:firstRow="0" w:lastRow="0" w:firstColumn="0" w:lastColumn="0" w:oddVBand="0" w:evenVBand="0" w:oddHBand="1" w:evenHBand="0" w:firstRowFirstColumn="0" w:firstRowLastColumn="0" w:lastRowFirstColumn="0" w:lastRowLastColumn="0"/>
            </w:pPr>
            <w:r w:rsidRPr="00384F93">
              <w:t>72</w:t>
            </w:r>
          </w:p>
        </w:tc>
      </w:tr>
      <w:tr w:rsidR="00775484" w:rsidRPr="00384F93" w14:paraId="274F759B" w14:textId="77777777" w:rsidTr="00384F9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3D3628D" w14:textId="77777777" w:rsidR="00775484" w:rsidRPr="004F6DCF" w:rsidRDefault="00775484" w:rsidP="00384F93">
            <w:pPr>
              <w:spacing w:before="0" w:after="0"/>
              <w:rPr>
                <w:b w:val="0"/>
              </w:rPr>
            </w:pPr>
          </w:p>
        </w:tc>
        <w:tc>
          <w:tcPr>
            <w:tcW w:w="0" w:type="auto"/>
          </w:tcPr>
          <w:p w14:paraId="4F78894C" w14:textId="77777777" w:rsidR="00775484" w:rsidRPr="00384F93" w:rsidRDefault="00775484" w:rsidP="00384F93">
            <w:pPr>
              <w:spacing w:before="0" w:after="0"/>
              <w:jc w:val="right"/>
              <w:cnfStyle w:val="000000000000" w:firstRow="0" w:lastRow="0" w:firstColumn="0" w:lastColumn="0" w:oddVBand="0" w:evenVBand="0" w:oddHBand="0" w:evenHBand="0" w:firstRowFirstColumn="0" w:firstRowLastColumn="0" w:lastRowFirstColumn="0" w:lastRowLastColumn="0"/>
            </w:pPr>
            <w:r w:rsidRPr="00384F93">
              <w:t>14</w:t>
            </w:r>
          </w:p>
        </w:tc>
        <w:tc>
          <w:tcPr>
            <w:tcW w:w="0" w:type="auto"/>
          </w:tcPr>
          <w:p w14:paraId="5E380CC9" w14:textId="77777777" w:rsidR="00775484" w:rsidRPr="00384F93" w:rsidRDefault="00775484" w:rsidP="00384F93">
            <w:pPr>
              <w:spacing w:before="0" w:after="0"/>
              <w:ind w:left="-2003" w:firstLine="2003"/>
              <w:jc w:val="right"/>
              <w:cnfStyle w:val="000000000000" w:firstRow="0" w:lastRow="0" w:firstColumn="0" w:lastColumn="0" w:oddVBand="0" w:evenVBand="0" w:oddHBand="0" w:evenHBand="0" w:firstRowFirstColumn="0" w:firstRowLastColumn="0" w:lastRowFirstColumn="0" w:lastRowLastColumn="0"/>
            </w:pPr>
            <w:r w:rsidRPr="00384F93">
              <w:t>275</w:t>
            </w:r>
          </w:p>
        </w:tc>
      </w:tr>
    </w:tbl>
    <w:p w14:paraId="094A52AA" w14:textId="51F2C276" w:rsidR="003E0885" w:rsidRPr="00754707" w:rsidRDefault="00775484" w:rsidP="00775484">
      <w:pPr>
        <w:ind w:left="1134"/>
      </w:pPr>
      <w:r w:rsidRPr="00754707">
        <w:t xml:space="preserve">This would seem a reasonable achievement </w:t>
      </w:r>
      <w:r w:rsidR="003E0885" w:rsidRPr="00754707">
        <w:t>and it is clear that the ITACs were highly professional and contributed long hours to the development of such a comprehensive list of competencies and courses under the leadership of international technical assistance.</w:t>
      </w:r>
    </w:p>
    <w:p w14:paraId="1978FF9C" w14:textId="50D0A22C" w:rsidR="003E0885" w:rsidRPr="00754707" w:rsidRDefault="003E0885" w:rsidP="00C73D8D">
      <w:pPr>
        <w:ind w:left="1134"/>
      </w:pPr>
      <w:r w:rsidRPr="00754707">
        <w:t xml:space="preserve">However this review makes the observation that this process could have been far better targeted and focused on specific high priority areas that were deliverable in the Tongan context. </w:t>
      </w:r>
      <w:r w:rsidR="00C73D8D" w:rsidRPr="00754707">
        <w:t>In other words, without real analysis of actual demand (skill shortages, skill gaps, size of labour market, dynamics of labour market and so forth) or consideration of the capacity of Tongan training providers to deliver it is inevitable that ITACs</w:t>
      </w:r>
      <w:r w:rsidR="003F14A8" w:rsidRPr="00754707">
        <w:t>,</w:t>
      </w:r>
      <w:r w:rsidR="00C73D8D" w:rsidRPr="00754707">
        <w:t xml:space="preserve"> when presented with a long list of internationally recognised competencies and courses</w:t>
      </w:r>
      <w:r w:rsidR="003F14A8" w:rsidRPr="00754707">
        <w:t>,</w:t>
      </w:r>
      <w:r w:rsidR="00C73D8D" w:rsidRPr="00754707">
        <w:t xml:space="preserve"> would see most of them as appropriate or ‘good to have’.</w:t>
      </w:r>
    </w:p>
    <w:p w14:paraId="1F1B5BD5" w14:textId="0771324F" w:rsidR="00775484" w:rsidRPr="009E1E05" w:rsidRDefault="00775484" w:rsidP="00775484">
      <w:pPr>
        <w:ind w:left="1134"/>
      </w:pPr>
      <w:r w:rsidRPr="009E1E05">
        <w:t>It should also be noted at this point that a number of training providers are already delivering higher</w:t>
      </w:r>
      <w:r w:rsidR="003F14A8">
        <w:t>-</w:t>
      </w:r>
      <w:r w:rsidRPr="009E1E05">
        <w:t xml:space="preserve">level programs under franchise arrangements with New Zealand institutes. </w:t>
      </w:r>
    </w:p>
    <w:p w14:paraId="779EAC81" w14:textId="0C803364" w:rsidR="00775484" w:rsidRPr="00A464C7" w:rsidRDefault="00775484" w:rsidP="00775484">
      <w:pPr>
        <w:ind w:left="1134"/>
      </w:pPr>
      <w:r w:rsidRPr="00A464C7">
        <w:t>The ‘</w:t>
      </w:r>
      <w:r w:rsidR="00C73D8D" w:rsidRPr="00A464C7">
        <w:t>good to have</w:t>
      </w:r>
      <w:r w:rsidRPr="00A464C7">
        <w:t xml:space="preserve"> approach’ together with the availability of franchised courses</w:t>
      </w:r>
      <w:r w:rsidR="00536CF5" w:rsidRPr="00A464C7">
        <w:t xml:space="preserve"> </w:t>
      </w:r>
      <w:r w:rsidRPr="00A464C7">
        <w:t>raise</w:t>
      </w:r>
      <w:r w:rsidR="00536CF5" w:rsidRPr="00A464C7">
        <w:t>s</w:t>
      </w:r>
      <w:r w:rsidRPr="00A464C7">
        <w:t xml:space="preserve"> a number of questions:</w:t>
      </w:r>
    </w:p>
    <w:p w14:paraId="1D4CBE90" w14:textId="77777777" w:rsidR="00775484" w:rsidRPr="009E1E05" w:rsidRDefault="00775484" w:rsidP="00043E07">
      <w:pPr>
        <w:numPr>
          <w:ilvl w:val="0"/>
          <w:numId w:val="5"/>
        </w:numPr>
        <w:ind w:left="1418" w:hanging="284"/>
        <w:contextualSpacing/>
      </w:pPr>
      <w:r w:rsidRPr="009E1E05">
        <w:t>Why spend so much time and resources working with an ITAC to develop courses that to a large extent will be beyond the capacity of Tongan training providers to provide in their own right?</w:t>
      </w:r>
    </w:p>
    <w:p w14:paraId="24374ACB" w14:textId="77777777" w:rsidR="00775484" w:rsidRPr="009E1E05" w:rsidRDefault="00775484" w:rsidP="00043E07">
      <w:pPr>
        <w:numPr>
          <w:ilvl w:val="0"/>
          <w:numId w:val="5"/>
        </w:numPr>
        <w:ind w:left="1418" w:hanging="284"/>
        <w:contextualSpacing/>
      </w:pPr>
      <w:r w:rsidRPr="009E1E05">
        <w:t>Why clog up the TNQAB accreditation process with so much material when in reality much of it will never be used?</w:t>
      </w:r>
    </w:p>
    <w:p w14:paraId="783D1539" w14:textId="77777777" w:rsidR="00775484" w:rsidRPr="009E1E05" w:rsidRDefault="00775484" w:rsidP="00043E07">
      <w:pPr>
        <w:numPr>
          <w:ilvl w:val="0"/>
          <w:numId w:val="5"/>
        </w:numPr>
        <w:ind w:left="1418" w:hanging="284"/>
      </w:pPr>
      <w:r w:rsidRPr="009E1E05">
        <w:t>Why attempt to emulate or duplicate internationally recognised qualifications when these are readily accessible through franchise arrangements?</w:t>
      </w:r>
    </w:p>
    <w:p w14:paraId="5A6436D9" w14:textId="77777777" w:rsidR="00775484" w:rsidRPr="009E1E05" w:rsidRDefault="00775484" w:rsidP="00775484">
      <w:pPr>
        <w:ind w:left="1134"/>
      </w:pPr>
      <w:r w:rsidRPr="009E1E05">
        <w:t>The approach to competency standards development has also been flawed in two other respects:</w:t>
      </w:r>
    </w:p>
    <w:p w14:paraId="51990882" w14:textId="77777777" w:rsidR="00775484" w:rsidRPr="009E1E05" w:rsidRDefault="00775484" w:rsidP="00043E07">
      <w:pPr>
        <w:numPr>
          <w:ilvl w:val="0"/>
          <w:numId w:val="5"/>
        </w:numPr>
        <w:ind w:left="1418" w:hanging="284"/>
      </w:pPr>
      <w:r w:rsidRPr="009E1E05">
        <w:t xml:space="preserve">No cost/benefit analysis was provided for in the TSP1 design to </w:t>
      </w:r>
      <w:r>
        <w:t>examine the relative efficiencies and effectiveness of alternative methods</w:t>
      </w:r>
      <w:r w:rsidRPr="009E1E05">
        <w:t xml:space="preserve"> to deliver internationally recognised qualifications in Tonga. For example, </w:t>
      </w:r>
      <w:r>
        <w:t xml:space="preserve">on close analysis it could be that </w:t>
      </w:r>
      <w:r w:rsidRPr="009E1E05">
        <w:t xml:space="preserve">franchise arrangements </w:t>
      </w:r>
      <w:r>
        <w:t xml:space="preserve">which </w:t>
      </w:r>
      <w:r w:rsidRPr="009E1E05">
        <w:t>offer a number of advantages such as no development cost, local provider capacity development, external quality assurance and immediate international recognition</w:t>
      </w:r>
      <w:r>
        <w:t xml:space="preserve"> could obviate the need for national development of comparable courses</w:t>
      </w:r>
      <w:r w:rsidRPr="009E1E05">
        <w:t xml:space="preserve">.  </w:t>
      </w:r>
    </w:p>
    <w:p w14:paraId="76E84FB8" w14:textId="7D7351FB" w:rsidR="00775484" w:rsidRPr="009E1E05" w:rsidRDefault="00775484" w:rsidP="00775484">
      <w:pPr>
        <w:ind w:left="1440"/>
      </w:pPr>
      <w:r>
        <w:lastRenderedPageBreak/>
        <w:t>While c</w:t>
      </w:r>
      <w:r w:rsidRPr="009E1E05">
        <w:t xml:space="preserve">oncern was raised that </w:t>
      </w:r>
      <w:r w:rsidR="00167F73" w:rsidRPr="009E1E05">
        <w:t xml:space="preserve">high </w:t>
      </w:r>
      <w:r w:rsidRPr="009E1E05">
        <w:t>franchise course fees preclude access by poorer sections of the community</w:t>
      </w:r>
      <w:r>
        <w:t>,</w:t>
      </w:r>
      <w:r w:rsidRPr="009E1E05">
        <w:t xml:space="preserve"> a cost/benefit analysis may in fact demonstrate that this option requires less investment from Government and that savings could be applied to subsidise fees. </w:t>
      </w:r>
    </w:p>
    <w:p w14:paraId="494746A5" w14:textId="77777777" w:rsidR="00775484" w:rsidRPr="009E1E05" w:rsidRDefault="00775484" w:rsidP="00775484">
      <w:pPr>
        <w:ind w:left="1440"/>
      </w:pPr>
      <w:r w:rsidRPr="009E1E05">
        <w:t>In addition, donors may find that a national scholarship arrangement facilitating more universal access to franchised programs may be one of a number of cost effective methods to achieve the TSP1 employability objective.</w:t>
      </w:r>
    </w:p>
    <w:p w14:paraId="4E6E0B12" w14:textId="77777777" w:rsidR="00775484" w:rsidRPr="009E1E05" w:rsidRDefault="00775484" w:rsidP="00775484">
      <w:pPr>
        <w:ind w:left="1440"/>
      </w:pPr>
      <w:r w:rsidRPr="009E1E05">
        <w:t xml:space="preserve">There is also the possibility that with TSP1 support Tongan training providers could be strengthened to enable delivery under franchise of internationally accredited </w:t>
      </w:r>
      <w:r w:rsidRPr="00B17571">
        <w:rPr>
          <w:u w:val="single"/>
        </w:rPr>
        <w:t>short courses</w:t>
      </w:r>
      <w:r w:rsidRPr="009E1E05">
        <w:t xml:space="preserve"> for industry which would provide an additional revenue stream that could be applied in part to reducing fees for long-cycle tertiary programs.</w:t>
      </w:r>
    </w:p>
    <w:p w14:paraId="6EAB974A" w14:textId="77777777" w:rsidR="00775484" w:rsidRPr="009E1E05" w:rsidRDefault="00775484" w:rsidP="00043E07">
      <w:pPr>
        <w:numPr>
          <w:ilvl w:val="0"/>
          <w:numId w:val="5"/>
        </w:numPr>
        <w:ind w:left="1418" w:hanging="284"/>
      </w:pPr>
      <w:r w:rsidRPr="009E1E05">
        <w:t>There is a lack of labour market information and skills planning to inform demand. No attempt was made through the ITAC process or otherwise to determine the numbers of trainees in each employment category that might be absorbed into the tourism and hospitality industry each year – either in Tonga or internationally.</w:t>
      </w:r>
    </w:p>
    <w:p w14:paraId="47D7E559" w14:textId="77777777" w:rsidR="00775484" w:rsidRPr="009E1E05" w:rsidRDefault="00775484" w:rsidP="00775484">
      <w:pPr>
        <w:ind w:left="1440"/>
      </w:pPr>
      <w:r w:rsidRPr="009E1E05">
        <w:t>With a better understanding of actual demand, the energy of the ITAC would have been better directed toward endorsing competencies and courses for those specific demand areas.</w:t>
      </w:r>
    </w:p>
    <w:p w14:paraId="40865DBA" w14:textId="77777777" w:rsidR="00775484" w:rsidRPr="009E1E05" w:rsidRDefault="00775484" w:rsidP="00775484">
      <w:pPr>
        <w:ind w:left="1440"/>
      </w:pPr>
      <w:r w:rsidRPr="009E1E05">
        <w:t>Such analysis would have also identified gaps on the supply side enabling TSP1 to target its training provider support strategies accordingly.</w:t>
      </w:r>
    </w:p>
    <w:p w14:paraId="7DC66C9A" w14:textId="77777777" w:rsidR="00775484" w:rsidRPr="009E1E05" w:rsidRDefault="00775484" w:rsidP="00C21794">
      <w:pPr>
        <w:numPr>
          <w:ilvl w:val="1"/>
          <w:numId w:val="12"/>
        </w:numPr>
        <w:ind w:left="1134" w:hanging="431"/>
      </w:pPr>
      <w:r w:rsidRPr="009E1E05">
        <w:t xml:space="preserve">Current cooperative activity </w:t>
      </w:r>
      <w:r>
        <w:t>between the Program and</w:t>
      </w:r>
      <w:r w:rsidRPr="009E1E05">
        <w:t xml:space="preserve"> the </w:t>
      </w:r>
      <w:r w:rsidRPr="009E1E05">
        <w:rPr>
          <w:u w:val="single"/>
        </w:rPr>
        <w:t>Tonga National Qualifications and Accreditation Board</w:t>
      </w:r>
      <w:r w:rsidRPr="009E1E05">
        <w:t xml:space="preserve"> (TNQAB) and support for the preparation of Guidelines for National Qualifications Development and the Tonga Qualifications Framework </w:t>
      </w:r>
      <w:r>
        <w:t>are</w:t>
      </w:r>
      <w:r w:rsidRPr="009E1E05">
        <w:t xml:space="preserve"> encouraging but </w:t>
      </w:r>
      <w:r w:rsidR="007D3B2F">
        <w:t xml:space="preserve">a </w:t>
      </w:r>
      <w:r w:rsidRPr="009E1E05">
        <w:t xml:space="preserve">cooperative </w:t>
      </w:r>
      <w:r w:rsidR="007D3B2F">
        <w:t>approach</w:t>
      </w:r>
      <w:r w:rsidRPr="009E1E05">
        <w:t xml:space="preserve"> has not always been the case.</w:t>
      </w:r>
    </w:p>
    <w:p w14:paraId="40414D73" w14:textId="77777777" w:rsidR="00775484" w:rsidRPr="009E1E05" w:rsidRDefault="00775484" w:rsidP="00775484">
      <w:pPr>
        <w:ind w:left="1134"/>
      </w:pPr>
      <w:r w:rsidRPr="009E1E05">
        <w:t xml:space="preserve">There has been a significant delay in the accreditation of the Tourism and Hospitality courses and units of competence. This is in no small part due to the deliberate exclusion by </w:t>
      </w:r>
      <w:r>
        <w:t xml:space="preserve">Program </w:t>
      </w:r>
      <w:r w:rsidRPr="009E1E05">
        <w:t xml:space="preserve">technical advisers of the TNQAB in competency standards development. </w:t>
      </w:r>
    </w:p>
    <w:p w14:paraId="24451836" w14:textId="77777777" w:rsidR="00775484" w:rsidRPr="009E1E05" w:rsidRDefault="00775484" w:rsidP="00775484">
      <w:pPr>
        <w:ind w:left="1134"/>
      </w:pPr>
      <w:r>
        <w:t xml:space="preserve">The reason offered at the time was a perception that a </w:t>
      </w:r>
      <w:r w:rsidRPr="009E1E05">
        <w:t xml:space="preserve">conflict of interest </w:t>
      </w:r>
      <w:r>
        <w:t xml:space="preserve">arises </w:t>
      </w:r>
      <w:r w:rsidRPr="009E1E05">
        <w:t xml:space="preserve">when the accrediting authority is also involved in standards development. In a strict legal sense this may be the case but under these circumstances, where the TNQAB is being asked to accredit competency standards that already have international </w:t>
      </w:r>
      <w:r>
        <w:t>accreditation</w:t>
      </w:r>
      <w:r w:rsidRPr="009E1E05">
        <w:t xml:space="preserve">, one wonders where any real conflict of interest arises. The question also arises </w:t>
      </w:r>
      <w:r w:rsidR="007D3B2F">
        <w:t xml:space="preserve">as to </w:t>
      </w:r>
      <w:r w:rsidRPr="009E1E05">
        <w:t xml:space="preserve">whether such a high level of sensitivity is a luxury </w:t>
      </w:r>
      <w:proofErr w:type="gramStart"/>
      <w:r w:rsidRPr="009E1E05">
        <w:t>ill-afforded</w:t>
      </w:r>
      <w:proofErr w:type="gramEnd"/>
      <w:r w:rsidRPr="009E1E05">
        <w:t xml:space="preserve"> in a resource poor</w:t>
      </w:r>
      <w:r>
        <w:t>,</w:t>
      </w:r>
      <w:r w:rsidRPr="009E1E05">
        <w:t xml:space="preserve"> system development process.</w:t>
      </w:r>
    </w:p>
    <w:p w14:paraId="09BE8485" w14:textId="77777777" w:rsidR="00775484" w:rsidRPr="009E1E05" w:rsidRDefault="00775484" w:rsidP="00775484">
      <w:pPr>
        <w:ind w:left="1134"/>
      </w:pPr>
      <w:r w:rsidRPr="009E1E05">
        <w:t>The impact of this over-sensitivity was in fact to stall the accreditation process. In interview, the CEO of the TNQAB indicated that there were no issues with accreditation of international competency standards but the standards need to be in a format that is compliant with TNQAB requirements. The delay in the accreditation of the Tourism and Hospitality units is simply due to this fact</w:t>
      </w:r>
      <w:r>
        <w:t>, which</w:t>
      </w:r>
      <w:r w:rsidRPr="009E1E05">
        <w:t xml:space="preserve"> could have been avoided had the TNQAB been consulted and engaged in the process from the outset.</w:t>
      </w:r>
    </w:p>
    <w:p w14:paraId="6CEE9EEE" w14:textId="77777777" w:rsidR="00775484" w:rsidRPr="009E1E05" w:rsidRDefault="00775484" w:rsidP="00775484">
      <w:pPr>
        <w:ind w:left="1134"/>
      </w:pPr>
      <w:r w:rsidRPr="009E1E05">
        <w:t xml:space="preserve">It is pleasing to note that the development of the construction units of competency has occurred in a much more collaborative manner with the TNQAB. </w:t>
      </w:r>
    </w:p>
    <w:p w14:paraId="19540EA5" w14:textId="77777777" w:rsidR="00775484" w:rsidRPr="009E1E05" w:rsidRDefault="00775484" w:rsidP="00C21794">
      <w:pPr>
        <w:numPr>
          <w:ilvl w:val="1"/>
          <w:numId w:val="12"/>
        </w:numPr>
        <w:ind w:left="1134" w:hanging="431"/>
      </w:pPr>
      <w:r w:rsidRPr="009E1E05">
        <w:rPr>
          <w:u w:val="single"/>
        </w:rPr>
        <w:lastRenderedPageBreak/>
        <w:t>Over 70 trainers</w:t>
      </w:r>
      <w:r w:rsidRPr="009E1E05">
        <w:t xml:space="preserve"> have successfully completed a Certificate IV in Training and Assessment course delivered by the Australian Pacific Technical College.</w:t>
      </w:r>
    </w:p>
    <w:p w14:paraId="48C27EEC" w14:textId="77777777" w:rsidR="00775484" w:rsidRPr="009E1E05" w:rsidRDefault="00775484" w:rsidP="00775484">
      <w:pPr>
        <w:ind w:left="1134"/>
      </w:pPr>
      <w:r w:rsidRPr="009E1E05">
        <w:t xml:space="preserve">While the advantages of this trainer upgrading is understood in a systemic sense, it is less clear from a Program perspective. Given the Program objective for better targeted training in response to identified skill demand it would normally be expected that decisions about which trainers to be trained would be linked to </w:t>
      </w:r>
      <w:r>
        <w:t>identified</w:t>
      </w:r>
      <w:r w:rsidRPr="009E1E05">
        <w:t xml:space="preserve"> demand areas</w:t>
      </w:r>
      <w:r w:rsidR="007D3B2F">
        <w:t xml:space="preserve"> and there is no evidence of such strategic thinking having underpinned the selection of trainers trained</w:t>
      </w:r>
      <w:r w:rsidRPr="009E1E05">
        <w:t xml:space="preserve">. </w:t>
      </w:r>
    </w:p>
    <w:p w14:paraId="688BF94D" w14:textId="77777777" w:rsidR="00775484" w:rsidRPr="009E1E05" w:rsidRDefault="00775484" w:rsidP="00C21794">
      <w:pPr>
        <w:numPr>
          <w:ilvl w:val="1"/>
          <w:numId w:val="12"/>
        </w:numPr>
        <w:ind w:left="1134" w:hanging="431"/>
      </w:pPr>
      <w:r w:rsidRPr="009E1E05">
        <w:rPr>
          <w:u w:val="single"/>
        </w:rPr>
        <w:t>Study tours</w:t>
      </w:r>
      <w:r w:rsidRPr="009E1E05">
        <w:t xml:space="preserve"> were conducted to Australia, Fiji and Vanuatu within the first 6 months of implementation at a cost of AUD95</w:t>
      </w:r>
      <w:proofErr w:type="gramStart"/>
      <w:r w:rsidRPr="009E1E05">
        <w:t>,000</w:t>
      </w:r>
      <w:proofErr w:type="gramEnd"/>
      <w:r w:rsidRPr="009E1E05">
        <w:t xml:space="preserve">. </w:t>
      </w:r>
    </w:p>
    <w:p w14:paraId="5CE7E972" w14:textId="77777777" w:rsidR="00775484" w:rsidRPr="009E1E05" w:rsidRDefault="00775484" w:rsidP="00210D3F">
      <w:pPr>
        <w:ind w:left="1134"/>
      </w:pPr>
      <w:r w:rsidRPr="009E1E05">
        <w:t xml:space="preserve">In concept, the idea of study tours, particularly to regional locations, has merit but in this case they seem to have been undertaken prematurely. Given the early stage of TVET system development in Tonga and the relative inexperience of the touring parties it is questionable what real benefits the participants gained by observing sophisticated systems that have had the benefit of decades of development. Even in Vanuatu, which shares many of the economic challenges of Tonga, there has been over 15 years of TVET system development funded by AusAID and other donors. It is little wonder that expectations were unrealistically raised and ultimately not realised. </w:t>
      </w:r>
    </w:p>
    <w:p w14:paraId="47F39886" w14:textId="77777777" w:rsidR="00775484" w:rsidRPr="009E1E05" w:rsidRDefault="00775484" w:rsidP="00C21794">
      <w:pPr>
        <w:numPr>
          <w:ilvl w:val="1"/>
          <w:numId w:val="12"/>
        </w:numPr>
        <w:ind w:left="1134" w:hanging="431"/>
      </w:pPr>
      <w:r w:rsidRPr="009E1E05">
        <w:rPr>
          <w:u w:val="single"/>
        </w:rPr>
        <w:t>Equipment Grants</w:t>
      </w:r>
      <w:r w:rsidRPr="009E1E05">
        <w:t xml:space="preserve"> were provided in the TSP1 design to help training providers ‘…meet the requirements of program accreditation and to deliver training in designated priority areas.’</w:t>
      </w:r>
      <w:r w:rsidRPr="009E1E05">
        <w:rPr>
          <w:vertAlign w:val="superscript"/>
        </w:rPr>
        <w:footnoteReference w:id="21"/>
      </w:r>
      <w:r w:rsidRPr="009E1E05">
        <w:t xml:space="preserve"> While the Equipment Grant scheme has progressed it is difficult to tell how well this criteri</w:t>
      </w:r>
      <w:r>
        <w:t>on</w:t>
      </w:r>
      <w:r w:rsidRPr="009E1E05">
        <w:t xml:space="preserve"> has been applied. Financial records for the 13 month period up to June 30, 2011 indicate Small Equipment Grant expenditure of AUD88</w:t>
      </w:r>
      <w:proofErr w:type="gramStart"/>
      <w:r w:rsidRPr="009E1E05">
        <w:t>,000</w:t>
      </w:r>
      <w:proofErr w:type="gramEnd"/>
      <w:r w:rsidRPr="009E1E05">
        <w:t xml:space="preserve"> presumably under </w:t>
      </w:r>
      <w:r w:rsidRPr="0056663E">
        <w:rPr>
          <w:i/>
        </w:rPr>
        <w:t>Component 1.3</w:t>
      </w:r>
      <w:r w:rsidR="0056663E" w:rsidRPr="0056663E">
        <w:rPr>
          <w:i/>
        </w:rPr>
        <w:t xml:space="preserve"> – Capacity Building of Training Providers</w:t>
      </w:r>
      <w:r w:rsidRPr="009E1E05">
        <w:t xml:space="preserve"> and yet TNQAB records shows very few applications for accreditation and only one course accredited at the time.</w:t>
      </w:r>
    </w:p>
    <w:p w14:paraId="672F2BE9" w14:textId="5C48F265" w:rsidR="00775484" w:rsidRPr="004C03F6" w:rsidRDefault="00775484" w:rsidP="00775484">
      <w:pPr>
        <w:ind w:left="1134"/>
        <w:rPr>
          <w:color w:val="008000"/>
        </w:rPr>
      </w:pPr>
      <w:r w:rsidRPr="009E1E05">
        <w:t xml:space="preserve">In the period since June 1, 2011 there has been no expenditure against the Component 1.3. There has however been $48,000 worth of Equipment Grants spent against </w:t>
      </w:r>
      <w:r w:rsidRPr="0056663E">
        <w:rPr>
          <w:i/>
        </w:rPr>
        <w:t>Component 1.4 – Alternative Pathways</w:t>
      </w:r>
      <w:r w:rsidRPr="009E1E05">
        <w:t xml:space="preserve"> line. </w:t>
      </w:r>
      <w:r w:rsidR="003F14A8" w:rsidRPr="00754707">
        <w:t xml:space="preserve">While for the most part these grants align to the priority areas </w:t>
      </w:r>
      <w:r w:rsidR="004C03F6" w:rsidRPr="00754707">
        <w:t xml:space="preserve">identified </w:t>
      </w:r>
      <w:r w:rsidR="003F14A8" w:rsidRPr="00754707">
        <w:t xml:space="preserve">in the </w:t>
      </w:r>
      <w:r w:rsidR="004C03F6" w:rsidRPr="00754707">
        <w:t xml:space="preserve">TSP1 </w:t>
      </w:r>
      <w:r w:rsidR="003F14A8" w:rsidRPr="00754707">
        <w:t>design (automotive, construction, tourism and hospitality)</w:t>
      </w:r>
      <w:r w:rsidR="004C03F6" w:rsidRPr="00754707">
        <w:t>,</w:t>
      </w:r>
      <w:r w:rsidR="003F14A8" w:rsidRPr="00754707">
        <w:t xml:space="preserve"> </w:t>
      </w:r>
      <w:r w:rsidR="004C03F6" w:rsidRPr="00754707">
        <w:t>t</w:t>
      </w:r>
      <w:r w:rsidRPr="00754707">
        <w:t xml:space="preserve">here is </w:t>
      </w:r>
      <w:r w:rsidR="004C03F6" w:rsidRPr="00754707">
        <w:t>little</w:t>
      </w:r>
      <w:r w:rsidRPr="00754707">
        <w:t xml:space="preserve"> evidence that </w:t>
      </w:r>
      <w:r w:rsidR="004C03F6" w:rsidRPr="00754707">
        <w:t xml:space="preserve">the equipment grant ‘carrot’ had been applied to encourage </w:t>
      </w:r>
      <w:r w:rsidR="00422A28" w:rsidRPr="00754707">
        <w:t xml:space="preserve">accredited </w:t>
      </w:r>
      <w:r w:rsidR="004C03F6" w:rsidRPr="00754707">
        <w:t>course development as a condition, prior to grant approval</w:t>
      </w:r>
      <w:r w:rsidRPr="00754707">
        <w:t>.</w:t>
      </w:r>
    </w:p>
    <w:p w14:paraId="17B484AE" w14:textId="77777777" w:rsidR="00775484" w:rsidRPr="009E1E05" w:rsidRDefault="00775484" w:rsidP="00775484">
      <w:pPr>
        <w:ind w:left="1134"/>
      </w:pPr>
      <w:r w:rsidRPr="009E1E05">
        <w:t>Inexperience with equipment procurement procedures and a desire for local purchase has, in some cases, resulted in the supply of tools and equipment better suited to a handyman environment than a simulated trade environment in schools. The expected low level of durability of this equipment in a school environment raises further questions about cost-effectiveness and value for money.</w:t>
      </w:r>
    </w:p>
    <w:p w14:paraId="0352C46E" w14:textId="77777777" w:rsidR="00775484" w:rsidRPr="009E1E05" w:rsidRDefault="00775484" w:rsidP="00C21794">
      <w:pPr>
        <w:numPr>
          <w:ilvl w:val="1"/>
          <w:numId w:val="12"/>
        </w:numPr>
        <w:ind w:left="1134"/>
        <w:contextualSpacing/>
      </w:pPr>
      <w:r w:rsidRPr="009E1E05">
        <w:t xml:space="preserve">An </w:t>
      </w:r>
      <w:r w:rsidRPr="009E1E05">
        <w:rPr>
          <w:u w:val="single"/>
        </w:rPr>
        <w:t xml:space="preserve">Alternative Pathways </w:t>
      </w:r>
      <w:r>
        <w:rPr>
          <w:u w:val="single"/>
        </w:rPr>
        <w:t xml:space="preserve">(APW) </w:t>
      </w:r>
      <w:r w:rsidRPr="009E1E05">
        <w:rPr>
          <w:u w:val="single"/>
        </w:rPr>
        <w:t>Pilot Scheme</w:t>
      </w:r>
      <w:r w:rsidRPr="009E1E05">
        <w:t xml:space="preserve"> is being implemented for eight non-government schools and colleges to strengthen their capacity to deliver pre-vocational courses in order to:</w:t>
      </w:r>
    </w:p>
    <w:p w14:paraId="194672CD" w14:textId="77777777" w:rsidR="00775484" w:rsidRPr="009E1E05" w:rsidRDefault="00775484" w:rsidP="00C21794">
      <w:pPr>
        <w:numPr>
          <w:ilvl w:val="0"/>
          <w:numId w:val="10"/>
        </w:numPr>
        <w:ind w:left="1434" w:hanging="357"/>
        <w:contextualSpacing/>
        <w:rPr>
          <w:i/>
        </w:rPr>
      </w:pPr>
      <w:r w:rsidRPr="009E1E05">
        <w:rPr>
          <w:i/>
        </w:rPr>
        <w:t>Create a range of sustainable options for students in forms 4-6 to develop practical and technical skills (vocational) suited for the workplace; and</w:t>
      </w:r>
    </w:p>
    <w:p w14:paraId="3EAED6DA" w14:textId="77777777" w:rsidR="00775484" w:rsidRPr="009E1E05" w:rsidRDefault="00775484" w:rsidP="00C21794">
      <w:pPr>
        <w:numPr>
          <w:ilvl w:val="0"/>
          <w:numId w:val="10"/>
        </w:numPr>
        <w:rPr>
          <w:i/>
        </w:rPr>
      </w:pPr>
      <w:r w:rsidRPr="009E1E05">
        <w:rPr>
          <w:i/>
        </w:rPr>
        <w:lastRenderedPageBreak/>
        <w:t>Reduce the number of voluntary school leavers exiting at Forms 4-5</w:t>
      </w:r>
      <w:r w:rsidRPr="009E1E05">
        <w:rPr>
          <w:i/>
          <w:vertAlign w:val="superscript"/>
        </w:rPr>
        <w:footnoteReference w:id="22"/>
      </w:r>
    </w:p>
    <w:p w14:paraId="54753266" w14:textId="77777777" w:rsidR="00775484" w:rsidRPr="009E1E05" w:rsidRDefault="00775484" w:rsidP="00775484">
      <w:pPr>
        <w:ind w:left="1077"/>
      </w:pPr>
      <w:r w:rsidRPr="009E1E05">
        <w:t>Again, while worthy in its own right, the scheme has lacked a specific demand focus and decisions about trainer training and material support in the form of equipment grants has not been linked directly to solid data related to demand. In most cases, trainers have been trained and equipment has been ordered and delivered in advance of course development.</w:t>
      </w:r>
    </w:p>
    <w:p w14:paraId="2F1B5EA7" w14:textId="77777777" w:rsidR="00775484" w:rsidRPr="009E1E05" w:rsidRDefault="00775484" w:rsidP="00775484">
      <w:pPr>
        <w:ind w:left="1077"/>
      </w:pPr>
      <w:r w:rsidRPr="009E1E05">
        <w:t xml:space="preserve">The APW Pilot has emerged as a primary focus of TSP1.  At the beginning of the Program there was a high level (and perhaps unrealistic) expectation about the potential overall benefits of TSP1. As the Program stalled there was increasing frustration amongst stakeholders with the pace of delivery. In this context the APW became an important mechanism to restore good will and build positive relationships. Participation in trainer training programs and the equipment grant scheme </w:t>
      </w:r>
      <w:proofErr w:type="gramStart"/>
      <w:r w:rsidRPr="009E1E05">
        <w:t>have</w:t>
      </w:r>
      <w:proofErr w:type="gramEnd"/>
      <w:r w:rsidRPr="009E1E05">
        <w:t xml:space="preserve"> been very well received by the 8 participating non-government schools.</w:t>
      </w:r>
    </w:p>
    <w:p w14:paraId="480B0036" w14:textId="77777777" w:rsidR="00775484" w:rsidRPr="009E1E05" w:rsidRDefault="00775484" w:rsidP="00775484">
      <w:pPr>
        <w:ind w:left="1077"/>
      </w:pPr>
      <w:r w:rsidRPr="009E1E05">
        <w:t xml:space="preserve">While understandable in the context, an overemphasis on school level alternative pathways has distracted and diverted resources away from more strategic investments in the tertiary sector. </w:t>
      </w:r>
    </w:p>
    <w:p w14:paraId="691405C2" w14:textId="77777777" w:rsidR="00775484" w:rsidRPr="009E1E05" w:rsidRDefault="00775484" w:rsidP="00775484">
      <w:pPr>
        <w:ind w:left="1077"/>
      </w:pPr>
      <w:r w:rsidRPr="009E1E05">
        <w:t xml:space="preserve">It should be noted that the APW Pilot is only operating in the non-Government school sector. The reason </w:t>
      </w:r>
      <w:r w:rsidR="001209DA">
        <w:t>is</w:t>
      </w:r>
      <w:r w:rsidRPr="009E1E05">
        <w:t xml:space="preserve"> apparently</w:t>
      </w:r>
      <w:r w:rsidR="001209DA">
        <w:t xml:space="preserve"> due to the</w:t>
      </w:r>
      <w:r w:rsidRPr="009E1E05">
        <w:t xml:space="preserve"> strong view</w:t>
      </w:r>
      <w:r w:rsidR="001209DA">
        <w:t xml:space="preserve"> held</w:t>
      </w:r>
      <w:r w:rsidRPr="009E1E05">
        <w:t xml:space="preserve"> in MEWAC at the time (early 2011) that general education was the responsibility of MEWAC and there was no place for TVET in general education.</w:t>
      </w:r>
    </w:p>
    <w:p w14:paraId="402DE421" w14:textId="77777777" w:rsidR="00775484" w:rsidRPr="009E1E05" w:rsidRDefault="00775484" w:rsidP="00775484">
      <w:pPr>
        <w:ind w:left="1077"/>
      </w:pPr>
      <w:r w:rsidRPr="009E1E05">
        <w:t>With the transference in July of TVET responsibility to the newly created Ministry of Education and Training (MET), there will be a reversal of this position, with both the Minister and the current MEWAC CEO expressing strong interest in the APW concept. In fact, MEWAC has commenced a review of upper secondary curriculum including the development of a technical pathway that will focus on vocational skills training.</w:t>
      </w:r>
    </w:p>
    <w:p w14:paraId="3B959B1B" w14:textId="77777777" w:rsidR="00775484" w:rsidRPr="009E1E05" w:rsidRDefault="00775484" w:rsidP="00C21794">
      <w:pPr>
        <w:numPr>
          <w:ilvl w:val="0"/>
          <w:numId w:val="11"/>
        </w:numPr>
        <w:ind w:left="1134" w:hanging="425"/>
        <w:rPr>
          <w:b/>
        </w:rPr>
      </w:pPr>
      <w:r w:rsidRPr="009E1E05">
        <w:rPr>
          <w:b/>
        </w:rPr>
        <w:t>Promoting Demand Driven Training</w:t>
      </w:r>
    </w:p>
    <w:p w14:paraId="756C41D5" w14:textId="6D9599F5" w:rsidR="00775484" w:rsidRPr="00754707" w:rsidRDefault="00E76A0F" w:rsidP="00E76A0F">
      <w:pPr>
        <w:ind w:left="1134"/>
      </w:pPr>
      <w:r w:rsidRPr="00754707">
        <w:t xml:space="preserve">It is noteworthy </w:t>
      </w:r>
      <w:r w:rsidR="00422A28" w:rsidRPr="00754707">
        <w:t>that</w:t>
      </w:r>
      <w:r w:rsidRPr="00754707">
        <w:t>,</w:t>
      </w:r>
      <w:r w:rsidR="00422A28" w:rsidRPr="00754707">
        <w:t xml:space="preserve"> since commencement </w:t>
      </w:r>
      <w:r w:rsidRPr="00754707">
        <w:t xml:space="preserve">just </w:t>
      </w:r>
      <w:r w:rsidR="00422A28" w:rsidRPr="00754707">
        <w:t>9 months ago</w:t>
      </w:r>
      <w:r w:rsidRPr="00754707">
        <w:t>,</w:t>
      </w:r>
      <w:r w:rsidR="00422A28" w:rsidRPr="00754707">
        <w:t xml:space="preserve"> the </w:t>
      </w:r>
      <w:r w:rsidRPr="00754707">
        <w:t xml:space="preserve">current </w:t>
      </w:r>
      <w:r w:rsidR="00422A28" w:rsidRPr="00754707">
        <w:t xml:space="preserve">Program Officer </w:t>
      </w:r>
      <w:r w:rsidR="00AB7190" w:rsidRPr="00754707">
        <w:t xml:space="preserve">- </w:t>
      </w:r>
      <w:r w:rsidR="00422A28" w:rsidRPr="00754707">
        <w:t>Demand Driven Training</w:t>
      </w:r>
      <w:r w:rsidRPr="00754707">
        <w:t>,</w:t>
      </w:r>
      <w:r w:rsidR="00422A28" w:rsidRPr="00754707">
        <w:t xml:space="preserve"> in collaboration with other TSP1 staff</w:t>
      </w:r>
      <w:r w:rsidRPr="00754707">
        <w:t xml:space="preserve">, </w:t>
      </w:r>
      <w:r w:rsidR="00422A28" w:rsidRPr="00754707">
        <w:t xml:space="preserve">has been working to improve the level of activity </w:t>
      </w:r>
      <w:r w:rsidRPr="00754707">
        <w:t>in this component</w:t>
      </w:r>
      <w:r w:rsidR="00AB7190" w:rsidRPr="00754707">
        <w:t>. This effort has yielded the imminent delivery of one ETF funded activity</w:t>
      </w:r>
      <w:r w:rsidRPr="00754707">
        <w:t>. However, apart from this</w:t>
      </w:r>
      <w:r w:rsidR="00AB7190" w:rsidRPr="00754707">
        <w:t>,</w:t>
      </w:r>
      <w:r w:rsidRPr="00754707">
        <w:t xml:space="preserve"> t</w:t>
      </w:r>
      <w:r w:rsidR="00775484" w:rsidRPr="00754707">
        <w:t xml:space="preserve">here is little to comment on in relation to Component 2 </w:t>
      </w:r>
      <w:r w:rsidRPr="00754707">
        <w:t>activity over the first 2 years of TSP1 implementation.</w:t>
      </w:r>
    </w:p>
    <w:p w14:paraId="55267F37" w14:textId="77777777" w:rsidR="00775484" w:rsidRPr="009E1E05" w:rsidRDefault="00775484" w:rsidP="00775484">
      <w:pPr>
        <w:ind w:left="1134"/>
      </w:pPr>
      <w:r w:rsidRPr="009E1E05">
        <w:t>The TSP1 design envisaged an Employment and Training Fund (ETF) as the primary mechanism to leverage a shift to demand driven training. It assumed that the availability of the ETF would encourage the formation of partnerships between training providers and industry</w:t>
      </w:r>
      <w:r w:rsidR="001209DA">
        <w:t>/productive sectors</w:t>
      </w:r>
      <w:r w:rsidRPr="009E1E05">
        <w:t xml:space="preserve"> to deliver either accredited full or short courses that would either improve productivity of the existing workforce or improve the employability of unemployed youth. </w:t>
      </w:r>
    </w:p>
    <w:p w14:paraId="40EB3E1E" w14:textId="3C212F06" w:rsidR="00775484" w:rsidRPr="00AB7190" w:rsidRDefault="00775484" w:rsidP="00775484">
      <w:pPr>
        <w:ind w:left="1134"/>
      </w:pPr>
      <w:r w:rsidRPr="00AB7190">
        <w:t xml:space="preserve">This has proven to be an overly ambitious assumption as evidenced by the fact that at this midway stage of Program implementation there </w:t>
      </w:r>
      <w:r w:rsidR="00E76A0F" w:rsidRPr="00AB7190">
        <w:t>is</w:t>
      </w:r>
      <w:r w:rsidR="00AB7190" w:rsidRPr="00AB7190">
        <w:t xml:space="preserve"> </w:t>
      </w:r>
      <w:r w:rsidRPr="00AB7190">
        <w:t xml:space="preserve">only one activity in the pipeline and no ETF funded activity has actually been delivered. </w:t>
      </w:r>
    </w:p>
    <w:p w14:paraId="1BBAD646" w14:textId="3CB5223F" w:rsidR="00775484" w:rsidRPr="00AF2025" w:rsidRDefault="00775484" w:rsidP="00775484">
      <w:pPr>
        <w:ind w:left="1134"/>
      </w:pPr>
      <w:r w:rsidRPr="00AF2025">
        <w:lastRenderedPageBreak/>
        <w:t xml:space="preserve">Critically, for an ETF to be effective </w:t>
      </w:r>
      <w:r w:rsidR="001C0D92">
        <w:t xml:space="preserve">at the systemic level </w:t>
      </w:r>
      <w:r w:rsidRPr="00AF2025">
        <w:t>there is a need to have fundamental building blocks in place such as:</w:t>
      </w:r>
    </w:p>
    <w:p w14:paraId="69BAF8F2" w14:textId="54C814B0" w:rsidR="00775484" w:rsidRPr="00AF2025" w:rsidRDefault="00775484" w:rsidP="00043E07">
      <w:pPr>
        <w:numPr>
          <w:ilvl w:val="0"/>
          <w:numId w:val="5"/>
        </w:numPr>
        <w:ind w:left="1494"/>
        <w:contextualSpacing/>
      </w:pPr>
      <w:proofErr w:type="gramStart"/>
      <w:r w:rsidRPr="00AF2025">
        <w:t>a</w:t>
      </w:r>
      <w:proofErr w:type="gramEnd"/>
      <w:r w:rsidRPr="00AF2025">
        <w:t xml:space="preserve"> common understanding of what demand driven training means</w:t>
      </w:r>
      <w:r w:rsidR="00415837" w:rsidRPr="00AF2025">
        <w:t>;</w:t>
      </w:r>
    </w:p>
    <w:p w14:paraId="44ED3AA0" w14:textId="7E3D92A7" w:rsidR="00775484" w:rsidRPr="00AF2025" w:rsidRDefault="00775484" w:rsidP="00043E07">
      <w:pPr>
        <w:numPr>
          <w:ilvl w:val="0"/>
          <w:numId w:val="5"/>
        </w:numPr>
        <w:ind w:left="1494"/>
        <w:contextualSpacing/>
      </w:pPr>
      <w:proofErr w:type="gramStart"/>
      <w:r w:rsidRPr="00AF2025">
        <w:t>evidence</w:t>
      </w:r>
      <w:proofErr w:type="gramEnd"/>
      <w:r w:rsidRPr="00AF2025">
        <w:t xml:space="preserve"> </w:t>
      </w:r>
      <w:r w:rsidR="00415837" w:rsidRPr="00AF2025">
        <w:t>of skill development priorities;</w:t>
      </w:r>
    </w:p>
    <w:p w14:paraId="5BEED661" w14:textId="1C605FA4" w:rsidR="00775484" w:rsidRPr="00AF2025" w:rsidRDefault="00775484" w:rsidP="00043E07">
      <w:pPr>
        <w:numPr>
          <w:ilvl w:val="0"/>
          <w:numId w:val="5"/>
        </w:numPr>
        <w:ind w:left="1494"/>
        <w:contextualSpacing/>
      </w:pPr>
      <w:proofErr w:type="gramStart"/>
      <w:r w:rsidRPr="00AF2025">
        <w:t>registered</w:t>
      </w:r>
      <w:proofErr w:type="gramEnd"/>
      <w:r w:rsidRPr="00AF2025">
        <w:t xml:space="preserve"> training pro</w:t>
      </w:r>
      <w:r w:rsidR="00415837" w:rsidRPr="00AF2025">
        <w:t>viders and accredited programs;</w:t>
      </w:r>
    </w:p>
    <w:p w14:paraId="74A3214D" w14:textId="53D9743E" w:rsidR="00775484" w:rsidRPr="00AF2025" w:rsidRDefault="00415837" w:rsidP="00043E07">
      <w:pPr>
        <w:numPr>
          <w:ilvl w:val="0"/>
          <w:numId w:val="5"/>
        </w:numPr>
        <w:ind w:left="1494"/>
        <w:contextualSpacing/>
      </w:pPr>
      <w:proofErr w:type="gramStart"/>
      <w:r w:rsidRPr="00AF2025">
        <w:t>suitably</w:t>
      </w:r>
      <w:proofErr w:type="gramEnd"/>
      <w:r w:rsidRPr="00AF2025">
        <w:t xml:space="preserve"> qualified trainers;</w:t>
      </w:r>
    </w:p>
    <w:p w14:paraId="31416D8D" w14:textId="2820067C" w:rsidR="00775484" w:rsidRPr="00AF2025" w:rsidRDefault="00775484" w:rsidP="00043E07">
      <w:pPr>
        <w:numPr>
          <w:ilvl w:val="0"/>
          <w:numId w:val="5"/>
        </w:numPr>
        <w:ind w:left="1494"/>
        <w:contextualSpacing/>
      </w:pPr>
      <w:proofErr w:type="gramStart"/>
      <w:r w:rsidRPr="00AF2025">
        <w:t>training</w:t>
      </w:r>
      <w:proofErr w:type="gramEnd"/>
      <w:r w:rsidRPr="00AF2025">
        <w:t xml:space="preserve"> providers with the capacity to release trainers or re</w:t>
      </w:r>
      <w:r w:rsidR="00415837" w:rsidRPr="00AF2025">
        <w:t>cruit trainers for this purpose;</w:t>
      </w:r>
    </w:p>
    <w:p w14:paraId="36148753" w14:textId="3CBA8215" w:rsidR="00775484" w:rsidRPr="00AF2025" w:rsidRDefault="00775484" w:rsidP="00043E07">
      <w:pPr>
        <w:numPr>
          <w:ilvl w:val="0"/>
          <w:numId w:val="5"/>
        </w:numPr>
        <w:ind w:left="1494"/>
        <w:contextualSpacing/>
      </w:pPr>
      <w:proofErr w:type="gramStart"/>
      <w:r w:rsidRPr="00AF2025">
        <w:t>training</w:t>
      </w:r>
      <w:proofErr w:type="gramEnd"/>
      <w:r w:rsidRPr="00AF2025">
        <w:t xml:space="preserve"> provider managers with the capacity and commercial acumen to rethink their traditional supply</w:t>
      </w:r>
      <w:r w:rsidR="00415837" w:rsidRPr="00AF2025">
        <w:t xml:space="preserve"> and time based delivery models;</w:t>
      </w:r>
      <w:r w:rsidRPr="00AF2025">
        <w:t xml:space="preserve"> </w:t>
      </w:r>
    </w:p>
    <w:p w14:paraId="4C985178" w14:textId="2B7521D3" w:rsidR="00775484" w:rsidRPr="00AF2025" w:rsidRDefault="00775484" w:rsidP="00043E07">
      <w:pPr>
        <w:numPr>
          <w:ilvl w:val="0"/>
          <w:numId w:val="5"/>
        </w:numPr>
        <w:ind w:left="1494"/>
        <w:contextualSpacing/>
      </w:pPr>
      <w:proofErr w:type="gramStart"/>
      <w:r w:rsidRPr="00AF2025">
        <w:t>industry</w:t>
      </w:r>
      <w:proofErr w:type="gramEnd"/>
      <w:r w:rsidRPr="00AF2025">
        <w:t xml:space="preserve"> awareness and confidence to enter into partn</w:t>
      </w:r>
      <w:r w:rsidR="00415837" w:rsidRPr="00AF2025">
        <w:t>ership arrangements;</w:t>
      </w:r>
      <w:r w:rsidRPr="00AF2025">
        <w:t xml:space="preserve"> and </w:t>
      </w:r>
    </w:p>
    <w:p w14:paraId="0A7A4C07" w14:textId="77777777" w:rsidR="00775484" w:rsidRPr="00AF2025" w:rsidRDefault="00775484" w:rsidP="00043E07">
      <w:pPr>
        <w:numPr>
          <w:ilvl w:val="0"/>
          <w:numId w:val="5"/>
        </w:numPr>
        <w:ind w:left="1491" w:hanging="357"/>
      </w:pPr>
      <w:proofErr w:type="gramStart"/>
      <w:r w:rsidRPr="00AF2025">
        <w:t>flexible</w:t>
      </w:r>
      <w:proofErr w:type="gramEnd"/>
      <w:r w:rsidRPr="00AF2025">
        <w:t xml:space="preserve"> and responsive funding arrangements.</w:t>
      </w:r>
    </w:p>
    <w:p w14:paraId="10C35D72" w14:textId="77777777" w:rsidR="00775484" w:rsidRDefault="00775484" w:rsidP="00775484">
      <w:pPr>
        <w:ind w:left="1134"/>
      </w:pPr>
      <w:r w:rsidRPr="009E1E05">
        <w:t>Within the current TVET context in Tonga,</w:t>
      </w:r>
      <w:r>
        <w:t xml:space="preserve"> where few of these building blocks are in place,</w:t>
      </w:r>
      <w:r w:rsidRPr="009E1E05">
        <w:t xml:space="preserve"> the timing and </w:t>
      </w:r>
      <w:r w:rsidR="00BC00EB">
        <w:t xml:space="preserve">expected </w:t>
      </w:r>
      <w:r w:rsidRPr="009E1E05">
        <w:t xml:space="preserve">performance </w:t>
      </w:r>
      <w:r w:rsidR="00BC00EB">
        <w:t>levels</w:t>
      </w:r>
      <w:r w:rsidRPr="009E1E05">
        <w:t xml:space="preserve"> for this component are unrealistic.</w:t>
      </w:r>
    </w:p>
    <w:p w14:paraId="31E49B08" w14:textId="77777777" w:rsidR="00775484" w:rsidRPr="009E1E05" w:rsidRDefault="00775484" w:rsidP="00775484">
      <w:pPr>
        <w:ind w:left="1134"/>
      </w:pPr>
      <w:r>
        <w:t>So far no short courses to facilitate youth employment or further training have been developed or delivered.</w:t>
      </w:r>
    </w:p>
    <w:p w14:paraId="2A1C59B9" w14:textId="77777777" w:rsidR="00775484" w:rsidRPr="009E1E05" w:rsidRDefault="00775484" w:rsidP="00C21794">
      <w:pPr>
        <w:numPr>
          <w:ilvl w:val="0"/>
          <w:numId w:val="11"/>
        </w:numPr>
        <w:ind w:left="1134" w:hanging="425"/>
        <w:rPr>
          <w:b/>
        </w:rPr>
      </w:pPr>
      <w:r w:rsidRPr="009E1E05">
        <w:rPr>
          <w:b/>
        </w:rPr>
        <w:t>Program Management</w:t>
      </w:r>
    </w:p>
    <w:p w14:paraId="1CAAE38E" w14:textId="77777777" w:rsidR="00775484" w:rsidRPr="009E1E05" w:rsidRDefault="00775484" w:rsidP="00775484">
      <w:pPr>
        <w:ind w:left="1134"/>
      </w:pPr>
      <w:r w:rsidRPr="009E1E05">
        <w:t xml:space="preserve">Substantial comment on Program Management has already been provided above in </w:t>
      </w:r>
      <w:r w:rsidRPr="009E1E05">
        <w:rPr>
          <w:i/>
        </w:rPr>
        <w:t>Section 3.2 Operational Model</w:t>
      </w:r>
      <w:r w:rsidRPr="009E1E05">
        <w:t>. In summary, there are a number of concerns related to program management including:</w:t>
      </w:r>
    </w:p>
    <w:p w14:paraId="62E86DCA" w14:textId="77777777" w:rsidR="00775484" w:rsidRPr="009E1E05" w:rsidRDefault="00775484" w:rsidP="00043E07">
      <w:pPr>
        <w:numPr>
          <w:ilvl w:val="0"/>
          <w:numId w:val="5"/>
        </w:numPr>
        <w:ind w:left="1494"/>
        <w:contextualSpacing/>
      </w:pPr>
      <w:proofErr w:type="gramStart"/>
      <w:r w:rsidRPr="009E1E05">
        <w:t>a</w:t>
      </w:r>
      <w:proofErr w:type="gramEnd"/>
      <w:r w:rsidRPr="009E1E05">
        <w:t xml:space="preserve"> Program Management structure falsely based on assumed administrative and technical capacity within MOTEYS and the donors to implement a large (by Tongan standards) development cooperation program</w:t>
      </w:r>
      <w:r w:rsidR="001209DA">
        <w:t>;</w:t>
      </w:r>
    </w:p>
    <w:p w14:paraId="09C8C8DC" w14:textId="000D3B4A" w:rsidR="00775484" w:rsidRPr="009E1E05" w:rsidRDefault="00A51F4A" w:rsidP="00043E07">
      <w:pPr>
        <w:numPr>
          <w:ilvl w:val="0"/>
          <w:numId w:val="5"/>
        </w:numPr>
        <w:ind w:left="1494"/>
        <w:contextualSpacing/>
      </w:pPr>
      <w:proofErr w:type="gramStart"/>
      <w:r>
        <w:t>difficulties</w:t>
      </w:r>
      <w:proofErr w:type="gramEnd"/>
      <w:r>
        <w:t xml:space="preserve"> in</w:t>
      </w:r>
      <w:r w:rsidR="00775484" w:rsidRPr="009E1E05">
        <w:t xml:space="preserve"> implement</w:t>
      </w:r>
      <w:r>
        <w:t>ation of the</w:t>
      </w:r>
      <w:r w:rsidR="00775484" w:rsidRPr="009E1E05">
        <w:t xml:space="preserve"> Donor Funding Arrangement </w:t>
      </w:r>
      <w:r>
        <w:t xml:space="preserve">caused by differences in </w:t>
      </w:r>
      <w:r w:rsidR="00775484" w:rsidRPr="009E1E05">
        <w:t xml:space="preserve"> </w:t>
      </w:r>
      <w:r>
        <w:t>administration requirements</w:t>
      </w:r>
      <w:r w:rsidR="00775484" w:rsidRPr="009E1E05">
        <w:t xml:space="preserve"> between the Governments of Australia and New Zealand</w:t>
      </w:r>
      <w:r>
        <w:t xml:space="preserve"> and the lack of institutional support to avert or resolve </w:t>
      </w:r>
      <w:r w:rsidR="008315AE">
        <w:t>differences where they arose</w:t>
      </w:r>
      <w:r w:rsidR="001209DA">
        <w:t>;</w:t>
      </w:r>
    </w:p>
    <w:p w14:paraId="76CE57AA" w14:textId="568DFF79" w:rsidR="00775484" w:rsidRDefault="00775484" w:rsidP="00043E07">
      <w:pPr>
        <w:numPr>
          <w:ilvl w:val="0"/>
          <w:numId w:val="5"/>
        </w:numPr>
        <w:ind w:left="1494"/>
        <w:contextualSpacing/>
      </w:pPr>
      <w:proofErr w:type="gramStart"/>
      <w:r w:rsidRPr="009E1E05">
        <w:t>irregular</w:t>
      </w:r>
      <w:proofErr w:type="gramEnd"/>
      <w:r w:rsidRPr="009E1E05">
        <w:t xml:space="preserve"> and infrequent meetings of the Program Steering Committee</w:t>
      </w:r>
      <w:r w:rsidR="008315AE">
        <w:t xml:space="preserve"> (PSC)</w:t>
      </w:r>
      <w:r w:rsidRPr="009E1E05">
        <w:t xml:space="preserve"> to address and redress issues as they </w:t>
      </w:r>
      <w:r w:rsidR="00A8032B">
        <w:t>occurred</w:t>
      </w:r>
      <w:r w:rsidR="00E51F1A">
        <w:t>;</w:t>
      </w:r>
    </w:p>
    <w:p w14:paraId="16A8365D" w14:textId="67BDC3D8" w:rsidR="008315AE" w:rsidRDefault="008315AE" w:rsidP="00043E07">
      <w:pPr>
        <w:numPr>
          <w:ilvl w:val="0"/>
          <w:numId w:val="5"/>
        </w:numPr>
        <w:ind w:left="1494"/>
        <w:contextualSpacing/>
      </w:pPr>
      <w:proofErr w:type="gramStart"/>
      <w:r>
        <w:t>unrealistic</w:t>
      </w:r>
      <w:proofErr w:type="gramEnd"/>
      <w:r>
        <w:t xml:space="preserve"> expectations by TSP1 management that the PSC would simply ‘rubber stamp’ requests despite lack of consultation/communication in the preparation of proposals and the presentation of voluminous documentation on short notice;</w:t>
      </w:r>
    </w:p>
    <w:p w14:paraId="65178FF1" w14:textId="4BC89FE6" w:rsidR="000E3ECC" w:rsidRPr="009E1E05" w:rsidRDefault="000E3ECC" w:rsidP="00043E07">
      <w:pPr>
        <w:numPr>
          <w:ilvl w:val="0"/>
          <w:numId w:val="5"/>
        </w:numPr>
        <w:ind w:left="1494"/>
        <w:contextualSpacing/>
      </w:pPr>
      <w:proofErr w:type="gramStart"/>
      <w:r>
        <w:t>lack</w:t>
      </w:r>
      <w:proofErr w:type="gramEnd"/>
      <w:r>
        <w:t xml:space="preserve"> of clarity as to the relationship between some TSP1 management funding requests and overall Program objectives;</w:t>
      </w:r>
    </w:p>
    <w:p w14:paraId="65061A5A" w14:textId="77777777" w:rsidR="00775484" w:rsidRPr="009E1E05" w:rsidRDefault="00775484" w:rsidP="00043E07">
      <w:pPr>
        <w:numPr>
          <w:ilvl w:val="0"/>
          <w:numId w:val="5"/>
        </w:numPr>
        <w:ind w:left="1494"/>
        <w:contextualSpacing/>
      </w:pPr>
      <w:proofErr w:type="gramStart"/>
      <w:r w:rsidRPr="009E1E05">
        <w:t>poor</w:t>
      </w:r>
      <w:proofErr w:type="gramEnd"/>
      <w:r w:rsidRPr="009E1E05">
        <w:t xml:space="preserve"> human resource management practices leading to high levels of staff turnover</w:t>
      </w:r>
      <w:r w:rsidR="00E51F1A">
        <w:t>;</w:t>
      </w:r>
    </w:p>
    <w:p w14:paraId="362DE9CE" w14:textId="77777777" w:rsidR="00775484" w:rsidRPr="009E1E05" w:rsidRDefault="00775484" w:rsidP="00043E07">
      <w:pPr>
        <w:numPr>
          <w:ilvl w:val="0"/>
          <w:numId w:val="5"/>
        </w:numPr>
        <w:ind w:left="1494"/>
        <w:contextualSpacing/>
      </w:pPr>
      <w:proofErr w:type="gramStart"/>
      <w:r w:rsidRPr="009E1E05">
        <w:t>inexperience</w:t>
      </w:r>
      <w:proofErr w:type="gramEnd"/>
      <w:r w:rsidRPr="009E1E05">
        <w:t xml:space="preserve"> with recruitment and performance management of internationally recruited technical assistance</w:t>
      </w:r>
      <w:r w:rsidR="00E51F1A">
        <w:t>;</w:t>
      </w:r>
      <w:r w:rsidRPr="009E1E05">
        <w:t xml:space="preserve"> and</w:t>
      </w:r>
    </w:p>
    <w:p w14:paraId="1A6F4806" w14:textId="77777777" w:rsidR="00775484" w:rsidRPr="009E1E05" w:rsidRDefault="00775484" w:rsidP="00043E07">
      <w:pPr>
        <w:numPr>
          <w:ilvl w:val="0"/>
          <w:numId w:val="5"/>
        </w:numPr>
        <w:ind w:left="1491" w:hanging="357"/>
      </w:pPr>
      <w:proofErr w:type="gramStart"/>
      <w:r w:rsidRPr="009E1E05">
        <w:t>slow</w:t>
      </w:r>
      <w:proofErr w:type="gramEnd"/>
      <w:r w:rsidRPr="009E1E05">
        <w:t xml:space="preserve"> development of an effective TVET Management Information System (TMIS) which appears to be overly cumbersome and inflexible due in part to an overly complicated monitoring and evaluation system, an inadequate brief and an apparent lack of systems analysis at the beginning.</w:t>
      </w:r>
    </w:p>
    <w:p w14:paraId="3A2ACCE5" w14:textId="77777777" w:rsidR="00775484" w:rsidRPr="009E1E05" w:rsidRDefault="00775484" w:rsidP="00775484">
      <w:pPr>
        <w:ind w:left="1134"/>
      </w:pPr>
      <w:r w:rsidRPr="009E1E05">
        <w:t>On the brighter side:</w:t>
      </w:r>
    </w:p>
    <w:p w14:paraId="1703484F" w14:textId="5AFA48B9" w:rsidR="00775484" w:rsidRPr="009E1E05" w:rsidRDefault="00775484" w:rsidP="00043E07">
      <w:pPr>
        <w:numPr>
          <w:ilvl w:val="0"/>
          <w:numId w:val="5"/>
        </w:numPr>
        <w:ind w:left="1494"/>
        <w:contextualSpacing/>
      </w:pPr>
      <w:r w:rsidRPr="009E1E05">
        <w:lastRenderedPageBreak/>
        <w:t>Financial management systems have improved and regular acquittal and reporting is now being provided to management but there remains two areas of concern:</w:t>
      </w:r>
    </w:p>
    <w:p w14:paraId="73F9AD60" w14:textId="77777777" w:rsidR="00775484" w:rsidRPr="009E1E05" w:rsidRDefault="00775484" w:rsidP="00043E07">
      <w:pPr>
        <w:numPr>
          <w:ilvl w:val="1"/>
          <w:numId w:val="5"/>
        </w:numPr>
        <w:contextualSpacing/>
      </w:pPr>
      <w:proofErr w:type="gramStart"/>
      <w:r w:rsidRPr="009E1E05">
        <w:t>systems</w:t>
      </w:r>
      <w:proofErr w:type="gramEnd"/>
      <w:r w:rsidRPr="009E1E05">
        <w:t xml:space="preserve"> for disbursement of funds are </w:t>
      </w:r>
      <w:r w:rsidR="00BC00EB">
        <w:t>unnecessarily</w:t>
      </w:r>
      <w:r w:rsidRPr="009E1E05">
        <w:t xml:space="preserve"> complex and  more flexibility and authority should be given to the Program Office in relation to procurement decisions</w:t>
      </w:r>
      <w:r w:rsidR="00E51F1A">
        <w:t>;</w:t>
      </w:r>
      <w:r w:rsidRPr="009E1E05">
        <w:t xml:space="preserve"> and </w:t>
      </w:r>
    </w:p>
    <w:p w14:paraId="4C7D424C" w14:textId="77777777" w:rsidR="00775484" w:rsidRPr="009E1E05" w:rsidRDefault="00775484" w:rsidP="00043E07">
      <w:pPr>
        <w:numPr>
          <w:ilvl w:val="1"/>
          <w:numId w:val="5"/>
        </w:numPr>
        <w:contextualSpacing/>
      </w:pPr>
      <w:proofErr w:type="gramStart"/>
      <w:r w:rsidRPr="009E1E05">
        <w:t>the</w:t>
      </w:r>
      <w:proofErr w:type="gramEnd"/>
      <w:r w:rsidRPr="009E1E05">
        <w:t xml:space="preserve"> Program remains significantly underspent in relation to budget. This is symptomatic of slow progress against planned activity. Annual Plans have been over</w:t>
      </w:r>
      <w:r w:rsidR="00E51F1A">
        <w:t>-</w:t>
      </w:r>
      <w:r w:rsidRPr="009E1E05">
        <w:t>optimistic in relation to expected outputs and future planning needs to be more realistic both in scope and budget.</w:t>
      </w:r>
    </w:p>
    <w:p w14:paraId="7C65325A" w14:textId="77777777" w:rsidR="00775484" w:rsidRPr="009E1E05" w:rsidRDefault="00775484" w:rsidP="00043E07">
      <w:pPr>
        <w:numPr>
          <w:ilvl w:val="0"/>
          <w:numId w:val="5"/>
        </w:numPr>
        <w:ind w:left="1494"/>
        <w:contextualSpacing/>
      </w:pPr>
      <w:r w:rsidRPr="009E1E05">
        <w:t xml:space="preserve">There is awareness among Program staff that the approach to M&amp;E still requires considerable work. In this context it is encouraging that the new M&amp;E </w:t>
      </w:r>
      <w:r>
        <w:t>A</w:t>
      </w:r>
      <w:r w:rsidRPr="009E1E05">
        <w:t>dviser and the Program M&amp;E Officer are working closely to improve systems overall. The latter is responding very well to the coaching and mentoring being provided by both the M&amp;E Adviser and the PTM.</w:t>
      </w:r>
    </w:p>
    <w:p w14:paraId="5149913E" w14:textId="77777777" w:rsidR="00775484" w:rsidRPr="009E1E05" w:rsidRDefault="00775484" w:rsidP="00043E07">
      <w:pPr>
        <w:numPr>
          <w:ilvl w:val="0"/>
          <w:numId w:val="5"/>
        </w:numPr>
        <w:ind w:left="1491" w:hanging="357"/>
      </w:pPr>
      <w:r w:rsidRPr="009E1E05">
        <w:t>Professional offices have been established with reliable office systems and support.</w:t>
      </w:r>
    </w:p>
    <w:p w14:paraId="0E55DCC1" w14:textId="77777777" w:rsidR="00775484" w:rsidRPr="00E94D89" w:rsidRDefault="00775484" w:rsidP="00E94D89">
      <w:pPr>
        <w:pStyle w:val="Heading2"/>
        <w:numPr>
          <w:ilvl w:val="1"/>
          <w:numId w:val="2"/>
        </w:numPr>
        <w:ind w:left="709" w:hanging="567"/>
      </w:pPr>
      <w:bookmarkStart w:id="21" w:name="_Toc203996790"/>
      <w:r w:rsidRPr="00E94D89">
        <w:t>Cross Cutting Issues</w:t>
      </w:r>
      <w:bookmarkEnd w:id="21"/>
    </w:p>
    <w:p w14:paraId="0F029ACE" w14:textId="77777777" w:rsidR="00775484" w:rsidRPr="009E1E05" w:rsidRDefault="00775484" w:rsidP="00775484">
      <w:pPr>
        <w:ind w:left="709"/>
      </w:pPr>
      <w:r w:rsidRPr="009E1E05">
        <w:t>The Government of Tonga has clearly defined gender equality as a primary strategy to achieve the outcome objective for strong inclusive communities. The Tonga Strategic Development Framework (TSDF)</w:t>
      </w:r>
      <w:r w:rsidRPr="009E1E05">
        <w:rPr>
          <w:vertAlign w:val="superscript"/>
        </w:rPr>
        <w:footnoteReference w:id="23"/>
      </w:r>
      <w:r w:rsidRPr="009E1E05">
        <w:t xml:space="preserve"> cites support for an increase in the level of gender balanced economic opportunities and activities throughout Tonga. The partnership agreement between Australia and Tonga specifically refers to equal opportunity for all within </w:t>
      </w:r>
      <w:r w:rsidRPr="009E1E05">
        <w:rPr>
          <w:i/>
        </w:rPr>
        <w:t>Priority Outcome 3 – Improved Technical and Vocational Skills</w:t>
      </w:r>
      <w:r w:rsidRPr="009E1E05">
        <w:t>. The Commitment Agreement between New Zealand and Tonga is underpinned by the New Zealand aid program objective ‘…to increase overall human wellbeing by promoting gender equality and the empowerment of women…’</w:t>
      </w:r>
      <w:r w:rsidRPr="009E1E05">
        <w:rPr>
          <w:vertAlign w:val="superscript"/>
        </w:rPr>
        <w:footnoteReference w:id="24"/>
      </w:r>
    </w:p>
    <w:p w14:paraId="71F97745" w14:textId="77777777" w:rsidR="00775484" w:rsidRPr="009E1E05" w:rsidRDefault="00683E9A" w:rsidP="00775484">
      <w:pPr>
        <w:ind w:left="709"/>
      </w:pPr>
      <w:r>
        <w:t>However</w:t>
      </w:r>
      <w:r w:rsidR="00E51F1A">
        <w:t>,</w:t>
      </w:r>
      <w:r w:rsidR="00775484" w:rsidRPr="009E1E05">
        <w:t xml:space="preserve"> at this stage it is difficult to find evidence that TSP1 has adequately identified, addressed, monitored and reported gender equality issues or improved female access to TVET training in Tonga. </w:t>
      </w:r>
    </w:p>
    <w:p w14:paraId="0A61993E" w14:textId="77777777" w:rsidR="00775484" w:rsidRPr="009E1E05" w:rsidRDefault="00775484" w:rsidP="00775484">
      <w:pPr>
        <w:ind w:left="709"/>
      </w:pPr>
      <w:r w:rsidRPr="009E1E05">
        <w:t>By its own admission, TSP1 notes in its Year 2 Annual Plan that ‘during Year 1 there has been little explicit emphasis on gender equality’.</w:t>
      </w:r>
      <w:r w:rsidRPr="009E1E05">
        <w:rPr>
          <w:vertAlign w:val="superscript"/>
        </w:rPr>
        <w:footnoteReference w:id="25"/>
      </w:r>
      <w:r w:rsidRPr="009E1E05">
        <w:t xml:space="preserve"> It cites one of the primary reasons for this is that Gender Equality was not fully integrated into the TSP1 design. This may well be the case. While the design makes reference to inclusiveness and equity as guiding principles for implementation, it offers very little in the way of strategies to achieve this other than as a criterion for ETF </w:t>
      </w:r>
      <w:r w:rsidR="00E51F1A">
        <w:t>f</w:t>
      </w:r>
      <w:r w:rsidRPr="009E1E05">
        <w:t>unding. Given the significant position of gender equality in each partner government</w:t>
      </w:r>
      <w:r w:rsidR="00E51F1A">
        <w:t>’</w:t>
      </w:r>
      <w:r w:rsidRPr="009E1E05">
        <w:t>s policy it is a reasonable expectation that a design would provide clear guidance to the development of program specific gender related policy and implementation strategies.</w:t>
      </w:r>
    </w:p>
    <w:p w14:paraId="5D4086B6" w14:textId="77777777" w:rsidR="00775484" w:rsidRPr="009E1E05" w:rsidRDefault="00775484" w:rsidP="00775484">
      <w:pPr>
        <w:ind w:left="709"/>
      </w:pPr>
      <w:r w:rsidRPr="009E1E05">
        <w:t>Nevertheless the TSP1 Year 2 Annual Plan proposes a number of strategies intended to place increased focus on female participation in the TVET sector including:</w:t>
      </w:r>
    </w:p>
    <w:p w14:paraId="0F7CCDE2" w14:textId="77777777" w:rsidR="00775484" w:rsidRPr="009E1E05" w:rsidRDefault="00775484" w:rsidP="00C21794">
      <w:pPr>
        <w:numPr>
          <w:ilvl w:val="0"/>
          <w:numId w:val="9"/>
        </w:numPr>
        <w:contextualSpacing/>
      </w:pPr>
      <w:proofErr w:type="gramStart"/>
      <w:r w:rsidRPr="009E1E05">
        <w:t>a</w:t>
      </w:r>
      <w:proofErr w:type="gramEnd"/>
      <w:r w:rsidRPr="009E1E05">
        <w:t xml:space="preserve"> Communication Strategy targeting females </w:t>
      </w:r>
    </w:p>
    <w:p w14:paraId="41F321CE" w14:textId="77777777" w:rsidR="00775484" w:rsidRPr="009E1E05" w:rsidRDefault="00775484" w:rsidP="00C21794">
      <w:pPr>
        <w:numPr>
          <w:ilvl w:val="0"/>
          <w:numId w:val="9"/>
        </w:numPr>
        <w:contextualSpacing/>
      </w:pPr>
      <w:proofErr w:type="gramStart"/>
      <w:r w:rsidRPr="009E1E05">
        <w:lastRenderedPageBreak/>
        <w:t>the</w:t>
      </w:r>
      <w:proofErr w:type="gramEnd"/>
      <w:r w:rsidRPr="009E1E05">
        <w:t xml:space="preserve"> collection of sex-disaggregated data for all M&amp;E activities </w:t>
      </w:r>
    </w:p>
    <w:p w14:paraId="2764B959" w14:textId="77777777" w:rsidR="00775484" w:rsidRPr="00E429CA" w:rsidRDefault="00775484" w:rsidP="00C21794">
      <w:pPr>
        <w:numPr>
          <w:ilvl w:val="0"/>
          <w:numId w:val="9"/>
        </w:numPr>
        <w:contextualSpacing/>
      </w:pPr>
      <w:proofErr w:type="gramStart"/>
      <w:r w:rsidRPr="009E1E05">
        <w:t>gender</w:t>
      </w:r>
      <w:proofErr w:type="gramEnd"/>
      <w:r w:rsidRPr="009E1E05">
        <w:t xml:space="preserve"> equality criteria in </w:t>
      </w:r>
      <w:r w:rsidRPr="00E429CA">
        <w:t xml:space="preserve">Equipment Grant guidelines </w:t>
      </w:r>
    </w:p>
    <w:p w14:paraId="5E27592E" w14:textId="77777777" w:rsidR="00775484" w:rsidRPr="009E1E05" w:rsidRDefault="00775484" w:rsidP="00C21794">
      <w:pPr>
        <w:numPr>
          <w:ilvl w:val="0"/>
          <w:numId w:val="9"/>
        </w:numPr>
        <w:contextualSpacing/>
      </w:pPr>
      <w:proofErr w:type="gramStart"/>
      <w:r w:rsidRPr="009E1E05">
        <w:t>gender</w:t>
      </w:r>
      <w:proofErr w:type="gramEnd"/>
      <w:r w:rsidRPr="009E1E05">
        <w:t xml:space="preserve"> equality criteria in ETF Grant Guidelines </w:t>
      </w:r>
    </w:p>
    <w:p w14:paraId="26952F5A" w14:textId="77777777" w:rsidR="00775484" w:rsidRPr="009E1E05" w:rsidRDefault="00775484" w:rsidP="00C21794">
      <w:pPr>
        <w:numPr>
          <w:ilvl w:val="0"/>
          <w:numId w:val="9"/>
        </w:numPr>
        <w:ind w:hanging="357"/>
      </w:pPr>
      <w:proofErr w:type="gramStart"/>
      <w:r w:rsidRPr="009E1E05">
        <w:t>nomination</w:t>
      </w:r>
      <w:proofErr w:type="gramEnd"/>
      <w:r w:rsidRPr="009E1E05">
        <w:t xml:space="preserve"> of Year 3 and 4 industry sectors selection to prioritise gender equality </w:t>
      </w:r>
    </w:p>
    <w:p w14:paraId="444649EA" w14:textId="77777777" w:rsidR="00775484" w:rsidRPr="009E1E05" w:rsidRDefault="00775484" w:rsidP="00775484">
      <w:pPr>
        <w:ind w:left="709"/>
      </w:pPr>
      <w:r w:rsidRPr="009E1E05">
        <w:t>Unfortunately in almost every case, it was not possible to identify any marked change during the year of the Annual Plan’s implementation. A communications strategy has not been developed and no systematic M&amp;E data collection has occurred – disaggregated or otherwise. The Equipment Grant Guidelines make no mention of gender and the suggested priority sector for Year 3 is automotive which is not traditionally an industry sector with high female participation. T</w:t>
      </w:r>
      <w:r>
        <w:t>he one area that has proceeded as planned</w:t>
      </w:r>
      <w:r w:rsidRPr="009E1E05">
        <w:t xml:space="preserve"> is </w:t>
      </w:r>
      <w:r>
        <w:t>the inclusion</w:t>
      </w:r>
      <w:r w:rsidR="00E51F1A">
        <w:t xml:space="preserve"> </w:t>
      </w:r>
      <w:r>
        <w:t xml:space="preserve">of </w:t>
      </w:r>
      <w:r w:rsidRPr="009E1E05">
        <w:t>gender equality as one of the selection criteria for ETF funding approval. This has had no impact to date because</w:t>
      </w:r>
      <w:r w:rsidR="00E51F1A">
        <w:t>,</w:t>
      </w:r>
      <w:r w:rsidRPr="009E1E05">
        <w:t xml:space="preserve"> at the time of the review, no ETF funded activity has occurred. </w:t>
      </w:r>
    </w:p>
    <w:p w14:paraId="578E7504" w14:textId="77777777" w:rsidR="00775484" w:rsidRPr="009E1E05" w:rsidRDefault="00775484" w:rsidP="00775484">
      <w:pPr>
        <w:ind w:left="709"/>
      </w:pPr>
      <w:r w:rsidRPr="009E1E05">
        <w:t>The recognition of gender issues is identified as a critical success factor for the Alternative Pathways Program</w:t>
      </w:r>
      <w:r w:rsidRPr="009E1E05">
        <w:rPr>
          <w:vertAlign w:val="superscript"/>
        </w:rPr>
        <w:footnoteReference w:id="26"/>
      </w:r>
      <w:r w:rsidRPr="009E1E05">
        <w:t xml:space="preserve"> but if the nature of the equipment grants to APW schools can be taken as a proxy indicator, there is a way to go before this critical success factor might be achieved. Of the 15 equipment grants made to date, 10 have been in the traditionally male dominated trade areas of carpentry and automotive. The remaining 5 grants have been in the hospitality and tourism </w:t>
      </w:r>
      <w:proofErr w:type="gramStart"/>
      <w:r w:rsidRPr="009E1E05">
        <w:t>sector which</w:t>
      </w:r>
      <w:proofErr w:type="gramEnd"/>
      <w:r w:rsidRPr="009E1E05">
        <w:t xml:space="preserve"> in Tonga attracts a higher proportion of females to males.</w:t>
      </w:r>
    </w:p>
    <w:p w14:paraId="0F2C0095" w14:textId="77777777" w:rsidR="00775484" w:rsidRPr="009E1E05" w:rsidRDefault="00775484" w:rsidP="00BC00EB">
      <w:pPr>
        <w:ind w:left="709"/>
      </w:pPr>
      <w:r w:rsidRPr="009E1E05">
        <w:t>There has been similar numbers of men and women participating in study tours and train the trainer programs and there is gender balance within TSP1 staff. There is also a plan for TSP1 staff to undertake gender and development training this year. But beyond this, there is little evidence of any other direct approaches to establish a more inclusive TVET system.</w:t>
      </w:r>
      <w:r w:rsidR="00BC00EB">
        <w:t xml:space="preserve"> </w:t>
      </w:r>
      <w:r w:rsidRPr="009E1E05">
        <w:t xml:space="preserve">No </w:t>
      </w:r>
      <w:r>
        <w:t>overarching strategy is</w:t>
      </w:r>
      <w:r w:rsidRPr="009E1E05">
        <w:t xml:space="preserve"> in place to consider gender equality issues that would enable the Program to pro-actively take a lead in improving participation rates of women and girls in training and employment.</w:t>
      </w:r>
    </w:p>
    <w:p w14:paraId="261F1DB6" w14:textId="606123B7" w:rsidR="00775484" w:rsidRPr="009E1E05" w:rsidRDefault="00775484" w:rsidP="00775484">
      <w:pPr>
        <w:ind w:left="709"/>
      </w:pPr>
      <w:r w:rsidRPr="009E1E05">
        <w:t>Whilst there is frequent reference to improving disabled access to quality training in both the design and early planning documents, there has been little progress other than the inclusion of disability training support as a selection criteri</w:t>
      </w:r>
      <w:r>
        <w:t>on</w:t>
      </w:r>
      <w:r w:rsidRPr="009E1E05">
        <w:t xml:space="preserve"> for the ETF Grants.</w:t>
      </w:r>
    </w:p>
    <w:p w14:paraId="12C390D5" w14:textId="77777777" w:rsidR="00775484" w:rsidRPr="009E1E05" w:rsidRDefault="00775484" w:rsidP="00775484">
      <w:pPr>
        <w:ind w:left="709"/>
      </w:pPr>
      <w:r w:rsidRPr="009E1E05">
        <w:t>The Review Team was advised that the reason for this was that in planning for Year 2, a decision was taken on donor advice that, in the absence of technical leadership and high levels of staff turnover, there was no capacity within MOTEYS to mainstream disability support within TSP1 operations. Plans for a thematic study on the specific training needs of people with a disability have been deferred to either year 3 or 4.</w:t>
      </w:r>
    </w:p>
    <w:p w14:paraId="7397FA51" w14:textId="77777777" w:rsidR="00775484" w:rsidRPr="00E94D89" w:rsidRDefault="00775484" w:rsidP="00E94D89">
      <w:pPr>
        <w:pStyle w:val="Heading2"/>
        <w:numPr>
          <w:ilvl w:val="1"/>
          <w:numId w:val="2"/>
        </w:numPr>
        <w:ind w:left="709" w:hanging="567"/>
      </w:pPr>
      <w:bookmarkStart w:id="22" w:name="_Toc203996791"/>
      <w:r w:rsidRPr="00E94D89">
        <w:t>Coherence and linkages</w:t>
      </w:r>
      <w:bookmarkEnd w:id="22"/>
    </w:p>
    <w:p w14:paraId="286AE572" w14:textId="77777777" w:rsidR="00775484" w:rsidRPr="009E1E05" w:rsidRDefault="00775484" w:rsidP="00775484">
      <w:pPr>
        <w:ind w:left="709"/>
      </w:pPr>
      <w:r w:rsidRPr="009E1E05">
        <w:t xml:space="preserve">Neither the TSP1 design nor TSP1 planning documents and/or reports make reference to the identification of linkages with other donor supported initiatives and with other relevant Government of Tonga activities. </w:t>
      </w:r>
    </w:p>
    <w:p w14:paraId="27F10F2C" w14:textId="77777777" w:rsidR="00775484" w:rsidRPr="009E1E05" w:rsidRDefault="00775484" w:rsidP="00775484">
      <w:pPr>
        <w:ind w:left="709"/>
      </w:pPr>
      <w:r w:rsidRPr="009E1E05">
        <w:t xml:space="preserve">TSP1 has not contemplated a coherent and integrated approach to national system reform but rather worked from an assumption that by introducing </w:t>
      </w:r>
      <w:r>
        <w:t xml:space="preserve">discrete </w:t>
      </w:r>
      <w:r w:rsidRPr="009E1E05">
        <w:t xml:space="preserve">elements of a TVET system such as industry training advisory committees, competency </w:t>
      </w:r>
      <w:r w:rsidRPr="009E1E05">
        <w:lastRenderedPageBreak/>
        <w:t xml:space="preserve">standards, </w:t>
      </w:r>
      <w:proofErr w:type="gramStart"/>
      <w:r w:rsidRPr="009E1E05">
        <w:t>trainer</w:t>
      </w:r>
      <w:proofErr w:type="gramEnd"/>
      <w:r w:rsidRPr="009E1E05">
        <w:t xml:space="preserve"> training and some facilities development, a quality national TVET system would somehow emerge. </w:t>
      </w:r>
    </w:p>
    <w:p w14:paraId="65DFCCC5" w14:textId="77777777" w:rsidR="00775484" w:rsidRPr="009E1E05" w:rsidRDefault="00775484" w:rsidP="00775484">
      <w:pPr>
        <w:ind w:left="709"/>
      </w:pPr>
      <w:r w:rsidRPr="009E1E05">
        <w:t xml:space="preserve">Ironically, whilst the Program has a specific objective to re-orient training to demand, its supply side focus has resulted in missed opportunities to facilitate training responses to areas of specific demand associated with other donor or Government of Tonga activities. </w:t>
      </w:r>
    </w:p>
    <w:p w14:paraId="55BF8DD6" w14:textId="77777777" w:rsidR="00775484" w:rsidRPr="009E1E05" w:rsidRDefault="00775484" w:rsidP="00775484">
      <w:pPr>
        <w:ind w:left="709"/>
      </w:pPr>
      <w:r w:rsidRPr="009E1E05">
        <w:t>Tourism is a case in point</w:t>
      </w:r>
      <w:r>
        <w:t xml:space="preserve"> where a more coherent approach could have been applied</w:t>
      </w:r>
      <w:r w:rsidRPr="009E1E05">
        <w:t xml:space="preserve">. </w:t>
      </w:r>
    </w:p>
    <w:p w14:paraId="30B136A4" w14:textId="284137AC" w:rsidR="00775484" w:rsidRPr="009E1E05" w:rsidRDefault="00775484" w:rsidP="00775484">
      <w:pPr>
        <w:ind w:left="709"/>
      </w:pPr>
      <w:r w:rsidRPr="009E1E05">
        <w:t xml:space="preserve">Tourism is a national economic development priority in Tonga and the Government of New Zealand plays a strong partnership role to promote growth of the Tongan tourism sector as a whole. In January, 2011 New Zealand committed to provide up to TOP$5.2million over three years to support tourism development in Tonga. The funding is intended to support the development of marketing activities, improved licensing and regulation of operators, heritage site development and management, better research to guide marketing and planning, and support for </w:t>
      </w:r>
      <w:r w:rsidR="00B25B13">
        <w:t xml:space="preserve">the </w:t>
      </w:r>
      <w:r w:rsidRPr="009E1E05">
        <w:t>private sector.</w:t>
      </w:r>
    </w:p>
    <w:p w14:paraId="1989FAA3" w14:textId="77777777" w:rsidR="00775484" w:rsidRPr="009E1E05" w:rsidRDefault="00775484" w:rsidP="00775484">
      <w:pPr>
        <w:ind w:left="709"/>
      </w:pPr>
      <w:r w:rsidRPr="009E1E05">
        <w:t>In 2009, a New Zealand Government sponsored Training Needs Analysis</w:t>
      </w:r>
      <w:r w:rsidRPr="009E1E05">
        <w:rPr>
          <w:vertAlign w:val="superscript"/>
        </w:rPr>
        <w:footnoteReference w:id="27"/>
      </w:r>
      <w:r w:rsidRPr="009E1E05">
        <w:t xml:space="preserve"> was prepared for the Tourism Sector in Tonga. The study quantified the scope of the tourism sector and identified a number of priority areas of skill demand such as customer service, reception, marketing and tour guiding. </w:t>
      </w:r>
    </w:p>
    <w:p w14:paraId="5D60F683" w14:textId="03AFB0CB" w:rsidR="00775484" w:rsidRPr="009E1E05" w:rsidRDefault="00B25B13" w:rsidP="00775484">
      <w:pPr>
        <w:ind w:left="709"/>
      </w:pPr>
      <w:r>
        <w:t>Given the above, o</w:t>
      </w:r>
      <w:r w:rsidR="00775484">
        <w:t>ne wonders h</w:t>
      </w:r>
      <w:r w:rsidR="00775484" w:rsidRPr="009E1E05">
        <w:t xml:space="preserve">ow much </w:t>
      </w:r>
      <w:r w:rsidR="00775484">
        <w:t>further advanced</w:t>
      </w:r>
      <w:r w:rsidR="00775484" w:rsidRPr="009E1E05">
        <w:t xml:space="preserve"> TSP1 would have been</w:t>
      </w:r>
      <w:r w:rsidR="00775484">
        <w:t>,</w:t>
      </w:r>
      <w:r w:rsidR="00775484" w:rsidRPr="009E1E05">
        <w:t xml:space="preserve"> and how much better might the concept of a flexible, demand driven and quality training system </w:t>
      </w:r>
      <w:r w:rsidR="00775484">
        <w:t xml:space="preserve">have been understood, </w:t>
      </w:r>
      <w:r w:rsidR="00775484" w:rsidRPr="009E1E05">
        <w:t xml:space="preserve">had TSP1 focused on establishing a model of short course, workplace delivery in the tourism sector. </w:t>
      </w:r>
    </w:p>
    <w:p w14:paraId="6BDDDB60" w14:textId="0B54EEB5" w:rsidR="00775484" w:rsidRDefault="00775484" w:rsidP="00775484">
      <w:pPr>
        <w:ind w:left="709"/>
      </w:pPr>
      <w:r w:rsidRPr="000C54AF">
        <w:t xml:space="preserve">In other words, the identification of competency standards, the training of trainers, the facilitation of franchise arrangements, and the provision of equipment grants </w:t>
      </w:r>
      <w:r w:rsidR="001D49C1">
        <w:t>c</w:t>
      </w:r>
      <w:r w:rsidRPr="000C54AF">
        <w:t xml:space="preserve">ould have been aligned </w:t>
      </w:r>
      <w:r w:rsidR="001D49C1">
        <w:t>to</w:t>
      </w:r>
      <w:r w:rsidRPr="000C54AF">
        <w:t xml:space="preserve"> priority demands, rather than beginning with an extended and generalised process of competency standard development and accreditation of every competency and course of </w:t>
      </w:r>
      <w:r w:rsidR="00465AD5">
        <w:t xml:space="preserve">possible </w:t>
      </w:r>
      <w:r w:rsidRPr="000C54AF">
        <w:t>interest to the tourist sector.</w:t>
      </w:r>
    </w:p>
    <w:p w14:paraId="3935DF45" w14:textId="77777777" w:rsidR="00775484" w:rsidRPr="00AF2025" w:rsidRDefault="00775484" w:rsidP="00775484">
      <w:pPr>
        <w:ind w:left="709"/>
      </w:pPr>
      <w:r w:rsidRPr="00AF2025">
        <w:t xml:space="preserve">Such an approach </w:t>
      </w:r>
      <w:r w:rsidR="00465AD5" w:rsidRPr="00AF2025">
        <w:t>c</w:t>
      </w:r>
      <w:r w:rsidRPr="00AF2025">
        <w:t xml:space="preserve">ould </w:t>
      </w:r>
      <w:r w:rsidR="00683E9A" w:rsidRPr="00AF2025">
        <w:t xml:space="preserve">well </w:t>
      </w:r>
      <w:r w:rsidRPr="00AF2025">
        <w:t>have</w:t>
      </w:r>
      <w:r w:rsidR="00465AD5" w:rsidRPr="00AF2025">
        <w:t xml:space="preserve"> </w:t>
      </w:r>
      <w:r w:rsidRPr="00AF2025">
        <w:t xml:space="preserve">led to early delivery of courses and graduate outcomes. In other words, </w:t>
      </w:r>
      <w:r w:rsidR="00465AD5" w:rsidRPr="00AF2025">
        <w:t xml:space="preserve">there could have been </w:t>
      </w:r>
      <w:r w:rsidRPr="00AF2025">
        <w:t>the establishment of a model yielding quick results that would not only have guided further development of the TVET sector but would have also demonstrated an integrated approach to skill development in support of national economic development initiatives.</w:t>
      </w:r>
    </w:p>
    <w:p w14:paraId="62C33B65" w14:textId="77777777" w:rsidR="00775484" w:rsidRPr="009E1E05" w:rsidRDefault="00775484" w:rsidP="00775484">
      <w:pPr>
        <w:ind w:left="709"/>
      </w:pPr>
      <w:r w:rsidRPr="009E1E05">
        <w:t>Interestingly, a model of this type of approach already exists in the Tonga Business Enterprise Centre (TBEC) established by the Tonga Chamber of Commerce and Industry (TCCI) in 2010.</w:t>
      </w:r>
    </w:p>
    <w:p w14:paraId="76CA9004" w14:textId="77777777" w:rsidR="00775484" w:rsidRPr="009E1E05" w:rsidRDefault="00775484" w:rsidP="00775484">
      <w:pPr>
        <w:ind w:left="709"/>
      </w:pPr>
      <w:r w:rsidRPr="009E1E05">
        <w:t>There are numerous other donor activities that potentially have specific skill development requirements</w:t>
      </w:r>
      <w:r w:rsidR="00465AD5">
        <w:t xml:space="preserve"> able to be effectively met by the TVET system</w:t>
      </w:r>
      <w:r w:rsidRPr="009E1E05">
        <w:t xml:space="preserve"> such as the growing use of renewable energy sources, expanding telecommunications with the arrival of optical fibre cabling next year and other transport related infrastructure projects funded variously through multilateral, bilateral and grant aid programs. </w:t>
      </w:r>
    </w:p>
    <w:p w14:paraId="5403F318" w14:textId="77777777" w:rsidR="00775484" w:rsidRPr="009E1E05" w:rsidRDefault="00775484" w:rsidP="00775484">
      <w:pPr>
        <w:ind w:left="709"/>
      </w:pPr>
      <w:r>
        <w:t>These opportunities for a more coherent</w:t>
      </w:r>
      <w:r w:rsidR="00465AD5">
        <w:t>, demand-driven</w:t>
      </w:r>
      <w:r>
        <w:t xml:space="preserve"> and outward looking approach to Program delivery have been missed because</w:t>
      </w:r>
      <w:r w:rsidR="00465AD5">
        <w:t>,</w:t>
      </w:r>
      <w:r>
        <w:t xml:space="preserve"> in reality, TSP1 has been </w:t>
      </w:r>
      <w:r w:rsidR="006B5A8D">
        <w:t xml:space="preserve">more </w:t>
      </w:r>
      <w:r>
        <w:t>focused inwardly</w:t>
      </w:r>
      <w:r w:rsidR="00465AD5">
        <w:t xml:space="preserve"> </w:t>
      </w:r>
      <w:r>
        <w:t>on resolving its</w:t>
      </w:r>
      <w:r w:rsidRPr="009E1E05">
        <w:t xml:space="preserve"> own internal coordination issues as reported in the Annual Plan:</w:t>
      </w:r>
    </w:p>
    <w:p w14:paraId="3691D37C" w14:textId="77777777" w:rsidR="00775484" w:rsidRPr="009E1E05" w:rsidRDefault="00775484" w:rsidP="00775484">
      <w:pPr>
        <w:ind w:left="1440"/>
      </w:pPr>
      <w:r w:rsidRPr="009E1E05">
        <w:rPr>
          <w:i/>
        </w:rPr>
        <w:lastRenderedPageBreak/>
        <w:t xml:space="preserve">There is a need for improved communication, understanding and coordination with respect to critical path activities (e.g. TNQAB accreditation processes) with other key </w:t>
      </w:r>
      <w:proofErr w:type="spellStart"/>
      <w:r w:rsidRPr="009E1E05">
        <w:rPr>
          <w:i/>
        </w:rPr>
        <w:t>GoT</w:t>
      </w:r>
      <w:proofErr w:type="spellEnd"/>
      <w:r w:rsidRPr="009E1E05">
        <w:rPr>
          <w:i/>
        </w:rPr>
        <w:t xml:space="preserve"> particularly TNQAB/MEWAC/ Finance.</w:t>
      </w:r>
      <w:r w:rsidRPr="009E1E05">
        <w:rPr>
          <w:i/>
          <w:vertAlign w:val="superscript"/>
        </w:rPr>
        <w:footnoteReference w:id="28"/>
      </w:r>
    </w:p>
    <w:p w14:paraId="136B07E1" w14:textId="77777777" w:rsidR="00775484" w:rsidRPr="00E94D89" w:rsidRDefault="00775484" w:rsidP="00E94D89">
      <w:pPr>
        <w:pStyle w:val="Heading2"/>
        <w:numPr>
          <w:ilvl w:val="1"/>
          <w:numId w:val="2"/>
        </w:numPr>
        <w:ind w:left="709" w:hanging="567"/>
      </w:pPr>
      <w:bookmarkStart w:id="23" w:name="_Toc203996792"/>
      <w:r w:rsidRPr="00E94D89">
        <w:t>Relevance to broader donor objectives</w:t>
      </w:r>
      <w:bookmarkEnd w:id="23"/>
    </w:p>
    <w:p w14:paraId="0C19EF53" w14:textId="77777777" w:rsidR="00775484" w:rsidRPr="009E1E05" w:rsidRDefault="00775484" w:rsidP="00775484">
      <w:pPr>
        <w:ind w:left="720"/>
      </w:pPr>
      <w:r w:rsidRPr="009E1E05">
        <w:t>The TSP</w:t>
      </w:r>
      <w:r>
        <w:t>1</w:t>
      </w:r>
      <w:r w:rsidRPr="009E1E05">
        <w:t xml:space="preserve"> objective to improve the employability of Tongans in national and international labour markets through an improved TVET system remains relevant to the broad policy frameworks of the respective Governments of Tonga, Australia and New Zealand.</w:t>
      </w:r>
    </w:p>
    <w:p w14:paraId="59FEF98D" w14:textId="77777777" w:rsidR="00775484" w:rsidRPr="009E1E05" w:rsidRDefault="00775484" w:rsidP="00775484">
      <w:pPr>
        <w:ind w:left="720"/>
        <w:rPr>
          <w:i/>
        </w:rPr>
      </w:pPr>
      <w:r w:rsidRPr="009E1E05">
        <w:t xml:space="preserve">The </w:t>
      </w:r>
      <w:r w:rsidRPr="009E1E05">
        <w:rPr>
          <w:i/>
        </w:rPr>
        <w:t>Tonga Strategic Development Framework</w:t>
      </w:r>
      <w:r>
        <w:rPr>
          <w:i/>
        </w:rPr>
        <w:t xml:space="preserve"> (TSDF)</w:t>
      </w:r>
      <w:r w:rsidRPr="009E1E05">
        <w:rPr>
          <w:i/>
        </w:rPr>
        <w:t xml:space="preserve"> 2011 – 2014</w:t>
      </w:r>
      <w:r w:rsidRPr="009E1E05">
        <w:t xml:space="preserve"> and the </w:t>
      </w:r>
      <w:r w:rsidRPr="009E1E05">
        <w:rPr>
          <w:i/>
        </w:rPr>
        <w:t>Education Policy Framework</w:t>
      </w:r>
      <w:r w:rsidR="00465AD5">
        <w:rPr>
          <w:i/>
        </w:rPr>
        <w:t xml:space="preserve"> </w:t>
      </w:r>
      <w:r w:rsidRPr="009E1E05">
        <w:rPr>
          <w:i/>
        </w:rPr>
        <w:t>July 2012</w:t>
      </w:r>
      <w:r w:rsidRPr="009E1E05">
        <w:t xml:space="preserve"> (recently developed by the new Ministry of Education and Training) both specifically cite the objective for an </w:t>
      </w:r>
      <w:r w:rsidRPr="009E1E05">
        <w:rPr>
          <w:i/>
        </w:rPr>
        <w:t>‘Appropriately skilled workforce to meet available opportunities in Tonga and overseas by delivery of improved TVET’</w:t>
      </w:r>
      <w:r>
        <w:rPr>
          <w:i/>
        </w:rPr>
        <w:t>.</w:t>
      </w:r>
    </w:p>
    <w:p w14:paraId="25B86B1E" w14:textId="77777777" w:rsidR="00775484" w:rsidRPr="009E1E05" w:rsidRDefault="00775484" w:rsidP="00775484">
      <w:pPr>
        <w:ind w:left="720"/>
      </w:pPr>
      <w:r w:rsidRPr="009E1E05">
        <w:t>The TSDF goes further and identifies two primary strategies to achieve this objective:</w:t>
      </w:r>
    </w:p>
    <w:p w14:paraId="2EF23005" w14:textId="77777777" w:rsidR="00775484" w:rsidRPr="009E1E05" w:rsidRDefault="00465AD5" w:rsidP="00C21794">
      <w:pPr>
        <w:numPr>
          <w:ilvl w:val="0"/>
          <w:numId w:val="9"/>
        </w:numPr>
        <w:contextualSpacing/>
      </w:pPr>
      <w:r>
        <w:t>P</w:t>
      </w:r>
      <w:r w:rsidR="00775484" w:rsidRPr="009E1E05">
        <w:t>romoting skill development through appropriate development of domestic training institutions, and mobilization of external training opportunities.</w:t>
      </w:r>
    </w:p>
    <w:p w14:paraId="1C290CA8" w14:textId="77777777" w:rsidR="00775484" w:rsidRPr="009E1E05" w:rsidRDefault="00775484" w:rsidP="00C21794">
      <w:pPr>
        <w:numPr>
          <w:ilvl w:val="0"/>
          <w:numId w:val="9"/>
        </w:numPr>
        <w:ind w:hanging="357"/>
      </w:pPr>
      <w:r w:rsidRPr="009E1E05">
        <w:t>Improving the focus of education and training on increased productivity of the work force to increase production, exports and overseas employment of Tongans</w:t>
      </w:r>
      <w:r w:rsidR="00465AD5">
        <w:t>.</w:t>
      </w:r>
    </w:p>
    <w:p w14:paraId="6DD73E87" w14:textId="0E07A551" w:rsidR="00775484" w:rsidRPr="009E1E05" w:rsidRDefault="00775484" w:rsidP="00775484">
      <w:pPr>
        <w:ind w:left="720"/>
      </w:pPr>
      <w:r w:rsidRPr="009E1E05">
        <w:t xml:space="preserve">This objective and its associated strategies </w:t>
      </w:r>
      <w:r w:rsidR="001D49C1">
        <w:t>are</w:t>
      </w:r>
      <w:r w:rsidRPr="009E1E05">
        <w:t xml:space="preserve"> reflected in the Partnership Agreement between the Governments of Tonga and Australia which cites </w:t>
      </w:r>
      <w:r w:rsidRPr="009E1E05">
        <w:rPr>
          <w:i/>
        </w:rPr>
        <w:t>Improved Technical and Vocational Skills</w:t>
      </w:r>
      <w:r w:rsidRPr="009E1E05">
        <w:t xml:space="preserve"> as one of four priority outcomes under the agreement. The Partnership Agreement expressly targets:</w:t>
      </w:r>
    </w:p>
    <w:p w14:paraId="7586B567" w14:textId="77777777" w:rsidR="00775484" w:rsidRPr="009E1E05" w:rsidRDefault="00775484" w:rsidP="00C21794">
      <w:pPr>
        <w:numPr>
          <w:ilvl w:val="0"/>
          <w:numId w:val="9"/>
        </w:numPr>
        <w:contextualSpacing/>
      </w:pPr>
      <w:r w:rsidRPr="009E1E05">
        <w:t>Increased number of Tongans completing locally or internationally accredited technical and vocational education and training (TVET) courses, including a focus on equal opportunities for all.</w:t>
      </w:r>
    </w:p>
    <w:p w14:paraId="4BEA3411" w14:textId="77777777" w:rsidR="00775484" w:rsidRPr="009E1E05" w:rsidRDefault="00775484" w:rsidP="00C21794">
      <w:pPr>
        <w:numPr>
          <w:ilvl w:val="0"/>
          <w:numId w:val="9"/>
        </w:numPr>
        <w:contextualSpacing/>
      </w:pPr>
      <w:r w:rsidRPr="009E1E05">
        <w:t>Increased number of accredited technical and vocational qualifications available in Tonga.</w:t>
      </w:r>
    </w:p>
    <w:p w14:paraId="72DC4F8F" w14:textId="77777777" w:rsidR="00775484" w:rsidRPr="009E1E05" w:rsidRDefault="00775484" w:rsidP="00775484">
      <w:pPr>
        <w:ind w:left="720"/>
      </w:pPr>
      <w:r w:rsidRPr="009E1E05">
        <w:t>More broadly the TSP1 objective is nested within AusAID’s Pacific Education and Skills Development Agenda (PESDA) and the emerging Pacific Tertiary Education strategy.  Under PESDA the Australian Government is committed to supporting increased skills for employability/qualifications by:</w:t>
      </w:r>
    </w:p>
    <w:p w14:paraId="08E5038F" w14:textId="77777777" w:rsidR="00775484" w:rsidRPr="009E1E05" w:rsidRDefault="00775484" w:rsidP="00C21794">
      <w:pPr>
        <w:numPr>
          <w:ilvl w:val="0"/>
          <w:numId w:val="9"/>
        </w:numPr>
        <w:contextualSpacing/>
      </w:pPr>
      <w:proofErr w:type="gramStart"/>
      <w:r w:rsidRPr="009E1E05">
        <w:t>assisting</w:t>
      </w:r>
      <w:proofErr w:type="gramEnd"/>
      <w:r w:rsidRPr="009E1E05">
        <w:t xml:space="preserve"> a wide range of viable local training providers to ensure they are able to flexibly provide recognised skills and qualifications that are in demand and valued in the national, regional and international labour markets</w:t>
      </w:r>
      <w:r w:rsidR="00465AD5">
        <w:t>;</w:t>
      </w:r>
    </w:p>
    <w:p w14:paraId="54C639EC" w14:textId="77777777" w:rsidR="00775484" w:rsidRPr="009E1E05" w:rsidRDefault="00775484" w:rsidP="00C21794">
      <w:pPr>
        <w:numPr>
          <w:ilvl w:val="0"/>
          <w:numId w:val="9"/>
        </w:numPr>
        <w:contextualSpacing/>
      </w:pPr>
      <w:proofErr w:type="gramStart"/>
      <w:r w:rsidRPr="009E1E05">
        <w:t>ensuring</w:t>
      </w:r>
      <w:proofErr w:type="gramEnd"/>
      <w:r w:rsidRPr="009E1E05">
        <w:t xml:space="preserve"> that the opportunities to develop skills after secondary school, both locally and in the region, are accessible to women, people with a disability and those living in rural areas and on outer islands</w:t>
      </w:r>
      <w:r w:rsidR="00465AD5">
        <w:t>;</w:t>
      </w:r>
      <w:r w:rsidRPr="009E1E05">
        <w:t xml:space="preserve"> and</w:t>
      </w:r>
    </w:p>
    <w:p w14:paraId="53A8FCAF" w14:textId="77777777" w:rsidR="00775484" w:rsidRPr="009E1E05" w:rsidRDefault="00775484" w:rsidP="00C21794">
      <w:pPr>
        <w:numPr>
          <w:ilvl w:val="0"/>
          <w:numId w:val="9"/>
        </w:numPr>
        <w:ind w:hanging="357"/>
      </w:pPr>
      <w:proofErr w:type="gramStart"/>
      <w:r w:rsidRPr="009E1E05">
        <w:t>consolidating</w:t>
      </w:r>
      <w:proofErr w:type="gramEnd"/>
      <w:r w:rsidRPr="009E1E05">
        <w:t xml:space="preserve"> the role of industry as a critical partner in developing, delivering and monitoring the quality of regional and national training.</w:t>
      </w:r>
      <w:r w:rsidRPr="009E1E05">
        <w:rPr>
          <w:vertAlign w:val="superscript"/>
        </w:rPr>
        <w:footnoteReference w:id="29"/>
      </w:r>
    </w:p>
    <w:p w14:paraId="14F29946" w14:textId="77777777" w:rsidR="00775484" w:rsidRPr="009E1E05" w:rsidRDefault="00775484" w:rsidP="00775484">
      <w:pPr>
        <w:ind w:left="720"/>
      </w:pPr>
      <w:r w:rsidRPr="009E1E05">
        <w:t>The Commitment Agreement between the Governments of Tonga and New Zealand specifically refers to New Zealand’s support for TVET reform in Tonga in cooperation with AusAID.</w:t>
      </w:r>
    </w:p>
    <w:p w14:paraId="39EEC1C9" w14:textId="77777777" w:rsidR="00775484" w:rsidRPr="009E1E05" w:rsidRDefault="00775484" w:rsidP="00775484">
      <w:pPr>
        <w:ind w:left="720"/>
      </w:pPr>
      <w:r w:rsidRPr="009E1E05">
        <w:lastRenderedPageBreak/>
        <w:t>The relevance of the TSP1 objective was further endorsed by the private sector (ITACs in Hospitality and Tourism and Construction) and Government agencies engaged in labour and economic development activities such as the Department of Labour, Commerce and Industry, which is soon to subsume the Department of Tourism under the Civil Service restructure.</w:t>
      </w:r>
    </w:p>
    <w:p w14:paraId="178D0E12" w14:textId="6D35F973" w:rsidR="00775484" w:rsidRPr="009E1E05" w:rsidRDefault="00775484" w:rsidP="00775484">
      <w:pPr>
        <w:ind w:left="720"/>
      </w:pPr>
      <w:r w:rsidRPr="009E1E05">
        <w:t xml:space="preserve">While the TSP1 strategic objective remains highly relevant to the three partner governments’ broader national and regional objectives it is less clear how </w:t>
      </w:r>
      <w:r w:rsidR="001D49C1">
        <w:t>TSP1’s</w:t>
      </w:r>
      <w:r w:rsidRPr="009E1E05">
        <w:t xml:space="preserve"> current operational and implementation strategies can actually achieve the objective.</w:t>
      </w:r>
    </w:p>
    <w:p w14:paraId="1961780C" w14:textId="77777777" w:rsidR="00775484" w:rsidRPr="00F35AE5" w:rsidRDefault="00775484" w:rsidP="00E94D89">
      <w:pPr>
        <w:pStyle w:val="Heading2"/>
        <w:numPr>
          <w:ilvl w:val="1"/>
          <w:numId w:val="2"/>
        </w:numPr>
        <w:ind w:left="709" w:hanging="567"/>
      </w:pPr>
      <w:bookmarkStart w:id="24" w:name="_Toc203996793"/>
      <w:r w:rsidRPr="00F35AE5">
        <w:t>Strategic &amp; operational lessons</w:t>
      </w:r>
      <w:bookmarkEnd w:id="24"/>
    </w:p>
    <w:p w14:paraId="7622D7E9" w14:textId="49F874C6" w:rsidR="00C33EAD" w:rsidRDefault="00A8032B" w:rsidP="00C33EAD">
      <w:pPr>
        <w:ind w:left="720"/>
      </w:pPr>
      <w:r>
        <w:t>While the TSP1 strategic objective remains relevant</w:t>
      </w:r>
      <w:r w:rsidR="00C33EAD" w:rsidRPr="009E1E05">
        <w:t xml:space="preserve">, </w:t>
      </w:r>
      <w:r>
        <w:t>the Program</w:t>
      </w:r>
      <w:r w:rsidR="00C33EAD" w:rsidRPr="009E1E05">
        <w:t xml:space="preserve"> </w:t>
      </w:r>
      <w:r w:rsidR="00C33EAD">
        <w:t xml:space="preserve">has struggled against other AusAID/DAC </w:t>
      </w:r>
      <w:r w:rsidR="00C33EAD" w:rsidRPr="009E1E05">
        <w:t>evaluation criteria including effectiveness, efficiency, impact, sustainability, monitoring and evaluation, gender equality, and analysis and learning.</w:t>
      </w:r>
    </w:p>
    <w:p w14:paraId="31C1EA46" w14:textId="77777777" w:rsidR="00C33EAD" w:rsidRDefault="00C33EAD" w:rsidP="00C33EAD">
      <w:pPr>
        <w:ind w:left="720"/>
      </w:pPr>
      <w:r w:rsidRPr="00E858D1">
        <w:t xml:space="preserve">There are complex causal relationships as to why </w:t>
      </w:r>
      <w:r>
        <w:t>this</w:t>
      </w:r>
      <w:r w:rsidRPr="00E858D1">
        <w:t xml:space="preserve"> might be the case but perhaps the primary reason stems from an overly ambitious design assumption that systems and </w:t>
      </w:r>
      <w:r w:rsidRPr="006122A7">
        <w:t xml:space="preserve">processes were in place and the </w:t>
      </w:r>
      <w:r>
        <w:t xml:space="preserve">technical </w:t>
      </w:r>
      <w:r w:rsidRPr="006122A7">
        <w:t>capacity to understand and manage a large donor funded</w:t>
      </w:r>
      <w:r w:rsidRPr="00E858D1">
        <w:t xml:space="preserve"> development cooperation program, such as TSP1, existed both within the Government of Tonga and the two donors at post.</w:t>
      </w:r>
    </w:p>
    <w:p w14:paraId="7745572B" w14:textId="77777777" w:rsidR="00C33EAD" w:rsidRDefault="00C33EAD" w:rsidP="00C33EAD">
      <w:pPr>
        <w:ind w:left="720"/>
      </w:pPr>
      <w:r>
        <w:t>Given this context, a number of strategic and operational lessons can be discerned:</w:t>
      </w:r>
    </w:p>
    <w:p w14:paraId="006C71BF" w14:textId="5BA4A9C4" w:rsidR="00C33EAD" w:rsidRPr="009E1E05" w:rsidRDefault="00C33EAD" w:rsidP="00C33EAD">
      <w:pPr>
        <w:pStyle w:val="ListParagraph"/>
        <w:numPr>
          <w:ilvl w:val="0"/>
          <w:numId w:val="23"/>
        </w:numPr>
      </w:pPr>
      <w:r>
        <w:t>The Australian Government is committed to the view that ‘…the best ways to improve and strengthen [partner] government systems and processes such as planning, financial, procurement and audit is to work with partner Government</w:t>
      </w:r>
      <w:r w:rsidR="00A8032B">
        <w:t>s</w:t>
      </w:r>
      <w:r>
        <w:t xml:space="preserve"> rather than work outside them…</w:t>
      </w:r>
      <w:r w:rsidRPr="00B27578">
        <w:t xml:space="preserve">where we assess these </w:t>
      </w:r>
      <w:r>
        <w:t xml:space="preserve">[systems and processes] </w:t>
      </w:r>
      <w:r w:rsidRPr="00B27578">
        <w:t>as being robust</w:t>
      </w:r>
      <w:r>
        <w:t xml:space="preserve">.’ </w:t>
      </w:r>
      <w:r>
        <w:rPr>
          <w:rStyle w:val="FootnoteReference"/>
        </w:rPr>
        <w:footnoteReference w:id="30"/>
      </w:r>
    </w:p>
    <w:p w14:paraId="5B544E07" w14:textId="77777777" w:rsidR="00C33EAD" w:rsidRDefault="00C33EAD" w:rsidP="00C33EAD">
      <w:pPr>
        <w:ind w:left="1080"/>
      </w:pPr>
      <w:r>
        <w:t>It is critical therefore that decisions about aid modality in program design be based on a full assessment of the readiness of partner government systems and processes to absorb the substantial demands of donor funded program implementation – particularly where there is an acknowledged lack of program management and technical experience and where such systems are yet to be developed as appears to be the case for TSP1.</w:t>
      </w:r>
    </w:p>
    <w:p w14:paraId="4C4251BD" w14:textId="77777777" w:rsidR="00C33EAD" w:rsidRDefault="00C33EAD" w:rsidP="00C33EAD">
      <w:pPr>
        <w:ind w:left="1080"/>
      </w:pPr>
      <w:r>
        <w:t>Through the design process, responsibility for TSP1 implementation was assigned to MOTEYS, which at the time was a relatively new Ministry (2006), had limited TVET experience amongst its staff and did not have legislated responsibilities for TVET as indicated in a footnote in the design document - ‘legislation formalising MOTEYS’ responsibilities is under preparation and is expected to be in place by the start of TSP1’.</w:t>
      </w:r>
      <w:r>
        <w:rPr>
          <w:rStyle w:val="FootnoteReference"/>
        </w:rPr>
        <w:footnoteReference w:id="31"/>
      </w:r>
    </w:p>
    <w:p w14:paraId="274693E2" w14:textId="45312B88" w:rsidR="00C33EAD" w:rsidRDefault="00C33EAD" w:rsidP="00C33EAD">
      <w:pPr>
        <w:ind w:left="1080"/>
      </w:pPr>
      <w:r>
        <w:t xml:space="preserve">In these circumstances, leaving aside the risk of assigning full program responsibility to a Ministry before it had acquired formal authority, it is surprising that a purely programmatic modality based on Paris and Accra principles was adopted. It is even more surprising when legislation </w:t>
      </w:r>
      <w:r w:rsidR="00A8032B">
        <w:t>was</w:t>
      </w:r>
      <w:r>
        <w:t xml:space="preserve"> not in place and the impacts of such legislation </w:t>
      </w:r>
      <w:r w:rsidR="00A8032B">
        <w:t>was</w:t>
      </w:r>
      <w:r>
        <w:t xml:space="preserve"> not known in the workplace. </w:t>
      </w:r>
    </w:p>
    <w:p w14:paraId="59A3FEDF" w14:textId="77777777" w:rsidR="00C33EAD" w:rsidRDefault="00C33EAD" w:rsidP="00C33EAD">
      <w:pPr>
        <w:ind w:left="1080"/>
      </w:pPr>
      <w:r>
        <w:lastRenderedPageBreak/>
        <w:t>The AusAID aid effectiveness review advocates that a project modality should be considered where the ‘…necessary expertise does not exist in-house…’</w:t>
      </w:r>
      <w:r>
        <w:rPr>
          <w:rStyle w:val="FootnoteReference"/>
        </w:rPr>
        <w:footnoteReference w:id="32"/>
      </w:r>
      <w:r>
        <w:t xml:space="preserve"> This is not to suggest operating outside partner Government systems and processes, but more it suggests a complementary </w:t>
      </w:r>
      <w:r w:rsidRPr="0021289A">
        <w:t>approach</w:t>
      </w:r>
      <w:r>
        <w:t xml:space="preserve"> to facilitate a transition to a fully programmatic modality by initially building Government (and donor) systems. </w:t>
      </w:r>
    </w:p>
    <w:p w14:paraId="51686590" w14:textId="77777777" w:rsidR="00C33EAD" w:rsidRDefault="00C33EAD" w:rsidP="00C33EAD">
      <w:pPr>
        <w:ind w:left="1080"/>
      </w:pPr>
      <w:r>
        <w:t xml:space="preserve">In the TSP1 context, </w:t>
      </w:r>
      <w:r w:rsidRPr="009E1E05">
        <w:t xml:space="preserve">the management of technical, human resource, financial and performance management risks </w:t>
      </w:r>
      <w:r>
        <w:t xml:space="preserve">could have been better accommodated within a project modality which </w:t>
      </w:r>
      <w:r w:rsidRPr="009E1E05">
        <w:t xml:space="preserve">at the same time </w:t>
      </w:r>
      <w:r>
        <w:t xml:space="preserve">could have built the basis for a transition to a fully programmatic </w:t>
      </w:r>
      <w:r w:rsidRPr="00CA722E">
        <w:t>approach</w:t>
      </w:r>
      <w:r>
        <w:t xml:space="preserve"> by strengthening counterpart capacity, supporting policy and procedures development, concept modelling and evaluation, and contextually based systems design and integration.</w:t>
      </w:r>
    </w:p>
    <w:p w14:paraId="2A653B34" w14:textId="1F4426BD" w:rsidR="00C33EAD" w:rsidRDefault="00C33EAD" w:rsidP="00C33EAD">
      <w:pPr>
        <w:pStyle w:val="ListParagraph"/>
        <w:numPr>
          <w:ilvl w:val="0"/>
          <w:numId w:val="23"/>
        </w:numPr>
        <w:contextualSpacing w:val="0"/>
      </w:pPr>
      <w:r>
        <w:t>Funding for TSP1 was provided under a delegated cooperation arrangement between Australia and New Zealand. Under this arrangement Australia had delegated responsibility to manage New Zealand contributions. The intention for such an arrangement was to improve efficiency by enabling the Tongan Government to deal with just one donor. However, i</w:t>
      </w:r>
      <w:r w:rsidRPr="009E1E05">
        <w:t>n practice both donors have played an active role in program implementation</w:t>
      </w:r>
      <w:r>
        <w:t xml:space="preserve"> </w:t>
      </w:r>
      <w:r w:rsidR="00BC45A7">
        <w:t>and</w:t>
      </w:r>
      <w:r>
        <w:t xml:space="preserve"> differences in program administration systems and accountability structures </w:t>
      </w:r>
      <w:r w:rsidR="00BC45A7">
        <w:t xml:space="preserve">have </w:t>
      </w:r>
      <w:r>
        <w:t>impacted negatively on TSP1 financial approval processes.</w:t>
      </w:r>
    </w:p>
    <w:p w14:paraId="089D136F" w14:textId="529A033E" w:rsidR="00C33EAD" w:rsidRDefault="00C33EAD" w:rsidP="00C33EAD">
      <w:pPr>
        <w:pStyle w:val="ListParagraph"/>
        <w:ind w:left="1080"/>
        <w:contextualSpacing w:val="0"/>
      </w:pPr>
      <w:r>
        <w:t>Further consideration needs to be given to clarifying the respective donor roles under the delegated cooperation agreement and to establishing agreed and binding financial management protocols within current and future delegated cooperation agreements.</w:t>
      </w:r>
    </w:p>
    <w:p w14:paraId="7822867A" w14:textId="73C5817F" w:rsidR="009669D9" w:rsidRDefault="00C33EAD" w:rsidP="00C33EAD">
      <w:pPr>
        <w:pStyle w:val="ListParagraph"/>
        <w:ind w:left="1080"/>
        <w:contextualSpacing w:val="0"/>
      </w:pPr>
      <w:r>
        <w:t xml:space="preserve">It should also be recognised that the management of a large development program, with its multiple layers of complexity and accountability places considerable extra demand on donor resources at post. The capacity to absorb this additional load is tested further when </w:t>
      </w:r>
      <w:proofErr w:type="gramStart"/>
      <w:r>
        <w:t>staff have</w:t>
      </w:r>
      <w:proofErr w:type="gramEnd"/>
      <w:r>
        <w:t xml:space="preserve"> neither had program management experience with this scale of program nor specific program management training. Where donor funded programs are to be implemented within partner Government systems and processes it is essential that donor personnel be given the tools and resources to manage effectively.</w:t>
      </w:r>
    </w:p>
    <w:p w14:paraId="0B22C185" w14:textId="77777777" w:rsidR="00C33EAD" w:rsidRDefault="00C33EAD" w:rsidP="00C33EAD">
      <w:pPr>
        <w:pStyle w:val="ListParagraph"/>
        <w:numPr>
          <w:ilvl w:val="0"/>
          <w:numId w:val="23"/>
        </w:numPr>
        <w:contextualSpacing w:val="0"/>
      </w:pPr>
      <w:r>
        <w:t>The TSP1 design notes that, ‘While there is, as yet, no national TVET policy…’</w:t>
      </w:r>
      <w:r>
        <w:rPr>
          <w:rStyle w:val="FootnoteReference"/>
        </w:rPr>
        <w:footnoteReference w:id="33"/>
      </w:r>
      <w:r>
        <w:t xml:space="preserve"> MOTEYS is the Ministry ‘…responsible for setting policy to guide TVET provision.’</w:t>
      </w:r>
      <w:r>
        <w:rPr>
          <w:rStyle w:val="FootnoteReference"/>
        </w:rPr>
        <w:footnoteReference w:id="34"/>
      </w:r>
      <w:r>
        <w:t xml:space="preserve"> Despite this recognition of a lack of policy, the TSP1 design provides no specific guidance for the development of such a policy. </w:t>
      </w:r>
    </w:p>
    <w:p w14:paraId="4F66C250" w14:textId="77777777" w:rsidR="00C33EAD" w:rsidRDefault="00C33EAD" w:rsidP="00C33EAD">
      <w:pPr>
        <w:pStyle w:val="ListParagraph"/>
        <w:ind w:left="1080"/>
        <w:contextualSpacing w:val="0"/>
      </w:pPr>
      <w:r>
        <w:t>In the absence of an agreed policy framework within which to operate, it is very difficult for personnel with limited TVET experience to interpret design intentions, to see the inter-relationships between component parts and to develop a coherent approach to program implementation.</w:t>
      </w:r>
    </w:p>
    <w:p w14:paraId="34395D57" w14:textId="77777777" w:rsidR="00C33EAD" w:rsidRDefault="00C33EAD" w:rsidP="00C33EAD">
      <w:pPr>
        <w:pStyle w:val="ListParagraph"/>
        <w:ind w:left="1080"/>
        <w:contextualSpacing w:val="0"/>
      </w:pPr>
      <w:r>
        <w:t xml:space="preserve">Significantly, it is not only the lack of policy that is at issue. Equally important has been the loss of opportunity to build a common vision for TVET in Tonga during the policy development process. Through a </w:t>
      </w:r>
      <w:proofErr w:type="gramStart"/>
      <w:r>
        <w:t>well managed</w:t>
      </w:r>
      <w:proofErr w:type="gramEnd"/>
      <w:r>
        <w:t xml:space="preserve"> process, TSP1 could </w:t>
      </w:r>
      <w:r>
        <w:lastRenderedPageBreak/>
        <w:t>have facilitated the emergence of a clear understanding of respective stakeholder roles and responsibilities and built ownership of a national TVET system.</w:t>
      </w:r>
    </w:p>
    <w:p w14:paraId="17BEAA20" w14:textId="77777777" w:rsidR="00C33EAD" w:rsidRDefault="00C33EAD" w:rsidP="00C33EAD">
      <w:pPr>
        <w:pStyle w:val="ListParagraph"/>
        <w:ind w:left="1080"/>
        <w:contextualSpacing w:val="0"/>
      </w:pPr>
      <w:r>
        <w:t>Such a process would have also highlighted where there were weaknesses in the evidence base for policy development and established priority courses of action for TSP1 to target.</w:t>
      </w:r>
    </w:p>
    <w:p w14:paraId="140AB905" w14:textId="77777777" w:rsidR="00C33EAD" w:rsidRDefault="00C33EAD" w:rsidP="00C33EAD">
      <w:pPr>
        <w:pStyle w:val="ListParagraph"/>
        <w:numPr>
          <w:ilvl w:val="0"/>
          <w:numId w:val="23"/>
        </w:numPr>
        <w:contextualSpacing w:val="0"/>
      </w:pPr>
      <w:r>
        <w:t>In response to the strategic objective to improve employability, the TSP1 design opted for a whole of system approach based on an understanding that the need to strengthen the Tongan TVET system ‘had been recognised for many years’</w:t>
      </w:r>
      <w:r w:rsidRPr="00BB4B24">
        <w:rPr>
          <w:vertAlign w:val="superscript"/>
        </w:rPr>
        <w:footnoteReference w:id="35"/>
      </w:r>
      <w:r>
        <w:t xml:space="preserve"> and that the current system is ‘complex and fragmented… inefficient’</w:t>
      </w:r>
      <w:r w:rsidRPr="00BB4B24">
        <w:rPr>
          <w:vertAlign w:val="superscript"/>
        </w:rPr>
        <w:footnoteReference w:id="36"/>
      </w:r>
      <w:r>
        <w:t xml:space="preserve"> and that ‘reforming training is a complex and long term commitment, which requires adequate planning and sequencing of reforms and programs.’</w:t>
      </w:r>
      <w:r w:rsidRPr="00BB4B24">
        <w:rPr>
          <w:vertAlign w:val="superscript"/>
        </w:rPr>
        <w:footnoteReference w:id="37"/>
      </w:r>
    </w:p>
    <w:p w14:paraId="7A68A25F" w14:textId="77777777" w:rsidR="00C33EAD" w:rsidRPr="009E1E05" w:rsidRDefault="00C33EAD" w:rsidP="00C33EAD">
      <w:pPr>
        <w:pStyle w:val="ListParagraph"/>
        <w:ind w:left="1080"/>
        <w:contextualSpacing w:val="0"/>
      </w:pPr>
      <w:r>
        <w:t>However, f</w:t>
      </w:r>
      <w:r w:rsidRPr="006122A7">
        <w:t xml:space="preserve">rom the beginning, </w:t>
      </w:r>
      <w:r>
        <w:t>limited</w:t>
      </w:r>
      <w:r w:rsidRPr="006122A7">
        <w:t xml:space="preserve"> program management experience </w:t>
      </w:r>
      <w:r>
        <w:t xml:space="preserve">together with the lack of supportive mechanisms </w:t>
      </w:r>
      <w:r w:rsidRPr="006122A7">
        <w:t>compounded to</w:t>
      </w:r>
      <w:r w:rsidRPr="009E1E05">
        <w:t xml:space="preserve"> create a confused and reactive implementation environment. </w:t>
      </w:r>
      <w:r>
        <w:t>A lack of technical experience resulted in</w:t>
      </w:r>
      <w:r w:rsidRPr="009E1E05">
        <w:t xml:space="preserve"> l</w:t>
      </w:r>
      <w:r>
        <w:t>ittle critical analysis of the P</w:t>
      </w:r>
      <w:r w:rsidRPr="009E1E05">
        <w:t xml:space="preserve">rogram design and minimal consideration of how outputs might be rationalised and sequenced in a way commensurate to the context and capacity constraints that existed at that time. </w:t>
      </w:r>
    </w:p>
    <w:p w14:paraId="1B2A0123" w14:textId="77777777" w:rsidR="00C33EAD" w:rsidRDefault="00C33EAD" w:rsidP="00C33EAD">
      <w:pPr>
        <w:pStyle w:val="ListParagraph"/>
        <w:ind w:left="1077"/>
        <w:contextualSpacing w:val="0"/>
      </w:pPr>
      <w:r w:rsidRPr="009E1E05">
        <w:t xml:space="preserve">In the absence of an overarching strategic framework TSP1 tended to focus on individual component level outputs rather than building a platform of common understanding as to the relationship between the components and to establish models for integrated delivery. </w:t>
      </w:r>
    </w:p>
    <w:p w14:paraId="357A6179" w14:textId="77777777" w:rsidR="00C33EAD" w:rsidRDefault="00C33EAD" w:rsidP="00C33EAD">
      <w:pPr>
        <w:pStyle w:val="ListParagraph"/>
        <w:ind w:left="1077"/>
        <w:contextualSpacing w:val="0"/>
      </w:pPr>
      <w:r>
        <w:t>The lesson here is that in circumstances where there is limited conceptual understanding of critical technical elements and/or the interrelationship between elements, it is unrealistic to expect coherent leadership for system wide reform to emerge.</w:t>
      </w:r>
    </w:p>
    <w:p w14:paraId="32FA3CEB" w14:textId="5BB5CAE0" w:rsidR="00C33EAD" w:rsidRDefault="00C33EAD" w:rsidP="00C33EAD">
      <w:pPr>
        <w:pStyle w:val="ListParagraph"/>
        <w:ind w:left="1077"/>
        <w:contextualSpacing w:val="0"/>
      </w:pPr>
      <w:r>
        <w:t xml:space="preserve">The employability objective could have </w:t>
      </w:r>
      <w:r w:rsidR="00136913">
        <w:t xml:space="preserve">been </w:t>
      </w:r>
      <w:r>
        <w:t xml:space="preserve">addressed through targeted </w:t>
      </w:r>
      <w:proofErr w:type="gramStart"/>
      <w:r>
        <w:t>interventions which</w:t>
      </w:r>
      <w:proofErr w:type="gramEnd"/>
      <w:r>
        <w:t xml:space="preserve"> in turn would have established models from which the conceptual infrastructure for more general reforms could have been built.</w:t>
      </w:r>
    </w:p>
    <w:p w14:paraId="44FFD4AB" w14:textId="3971A928" w:rsidR="00C33EAD" w:rsidRDefault="00C33EAD" w:rsidP="00C33EAD">
      <w:pPr>
        <w:ind w:left="1080"/>
      </w:pPr>
      <w:r w:rsidRPr="00E34082">
        <w:t>For example, a model of an effective, demand driven and quality assured TVET system could have been developed at the outset through the short course program envisaged in the design. Basic TVET principles could have been illustrated at the beginning with de</w:t>
      </w:r>
      <w:r w:rsidR="00530B62">
        <w:t>mand analysis of priority skill-</w:t>
      </w:r>
      <w:r w:rsidRPr="00E34082">
        <w:t>sets</w:t>
      </w:r>
      <w:r>
        <w:t xml:space="preserve"> </w:t>
      </w:r>
      <w:r w:rsidRPr="00E34082">
        <w:t>and the development, with industry support, of relevant competencies for Tonga National Qualifications and Accreditation Board (TNQAB) accreditation. Training provider strengthening, including trainer training and equipment grants, could have similarly been tailored specifically to the short course skills training required. The establishment of related program management and monitoring and evaluation systems specific to the model would have provided a base from which more extensive systems could have been developed. An approach such as this would have integrated elements of all three TSP1 components and assisted the development of a common frame of reference for Program implementation overall.</w:t>
      </w:r>
    </w:p>
    <w:p w14:paraId="22977A48" w14:textId="4B5247A0" w:rsidR="00C4559E" w:rsidRDefault="00C4559E" w:rsidP="00C4559E">
      <w:pPr>
        <w:pStyle w:val="ListParagraph"/>
        <w:numPr>
          <w:ilvl w:val="0"/>
          <w:numId w:val="23"/>
        </w:numPr>
        <w:contextualSpacing w:val="0"/>
      </w:pPr>
      <w:r>
        <w:lastRenderedPageBreak/>
        <w:t>Shifting to a demand driven training system requires both a quantitative and qualitative understanding of skill demands. In other words how many people are required to be trained, in what skill areas, and at what level at any one time?</w:t>
      </w:r>
    </w:p>
    <w:p w14:paraId="283ADB8C" w14:textId="77777777" w:rsidR="00C4559E" w:rsidRDefault="00C4559E" w:rsidP="00C4559E">
      <w:pPr>
        <w:pStyle w:val="ListParagraph"/>
        <w:ind w:left="1080"/>
        <w:contextualSpacing w:val="0"/>
      </w:pPr>
      <w:r>
        <w:t>The TSP1 design, while espousing a demand driven training objective, placed heavy emphasis on the qualitative aspects (the development of competency standards and courses) but gave no guidance as to the need for and the processes by which quantitative labour market data should be derived.</w:t>
      </w:r>
    </w:p>
    <w:p w14:paraId="750556F5" w14:textId="77777777" w:rsidR="00C4559E" w:rsidRDefault="00C4559E" w:rsidP="00C4559E">
      <w:pPr>
        <w:pStyle w:val="ListParagraph"/>
        <w:ind w:left="1080"/>
        <w:contextualSpacing w:val="0"/>
      </w:pPr>
      <w:r>
        <w:t xml:space="preserve">Without this evidence base it is difficult to gear training investment or determine the most effective means by which training demand can be met. It is one thing to have a list of desirable competencies but in the absence of quantitative data about the respective demand/priority for individual or sets of competencies, questions about the most suitable training response cannot be answered. </w:t>
      </w:r>
    </w:p>
    <w:p w14:paraId="2F46FF17" w14:textId="3507C3A0" w:rsidR="001415C2" w:rsidRDefault="00C4559E" w:rsidP="00C4559E">
      <w:pPr>
        <w:pStyle w:val="ListParagraph"/>
        <w:ind w:left="1080"/>
        <w:contextualSpacing w:val="0"/>
      </w:pPr>
      <w:r>
        <w:t>It is essential for TSP1 to place greater emphasis on labour market information and to work with established ITACs to quantify actual skill demand in their respective sectors. When asked directly as to what follows their work now that they had completed the identification of desirable competency standards and courses, the Chairs of both the Tourism and Hospitality and the Construction ITACs said they ‘didn’t know’. It is suggested by this review that assistance with the quantification of skill demand would be a useful first step</w:t>
      </w:r>
      <w:r w:rsidR="00CF40E2">
        <w:t>.</w:t>
      </w:r>
    </w:p>
    <w:p w14:paraId="1B6F3E9E" w14:textId="77777777" w:rsidR="00691BC2" w:rsidRDefault="00CF40E2" w:rsidP="00530B62">
      <w:pPr>
        <w:pStyle w:val="ListParagraph"/>
        <w:numPr>
          <w:ilvl w:val="0"/>
          <w:numId w:val="23"/>
        </w:numPr>
        <w:ind w:left="1077"/>
        <w:contextualSpacing w:val="0"/>
      </w:pPr>
      <w:r>
        <w:t>There is a n</w:t>
      </w:r>
      <w:r w:rsidRPr="00914FAA">
        <w:t xml:space="preserve">eed </w:t>
      </w:r>
      <w:r>
        <w:t>for TSP1 M&amp;E to be</w:t>
      </w:r>
      <w:r w:rsidRPr="00914FAA">
        <w:t xml:space="preserve"> </w:t>
      </w:r>
      <w:r>
        <w:t xml:space="preserve">better </w:t>
      </w:r>
      <w:r w:rsidRPr="00914FAA">
        <w:t>aligned to Government and donor strategic frameworks</w:t>
      </w:r>
      <w:r>
        <w:t xml:space="preserve">. </w:t>
      </w:r>
    </w:p>
    <w:p w14:paraId="2A4C5D29" w14:textId="15C1ED79" w:rsidR="00CF40E2" w:rsidRDefault="00CF40E2" w:rsidP="00530B62">
      <w:pPr>
        <w:pStyle w:val="ListParagraph"/>
        <w:ind w:left="1080"/>
        <w:contextualSpacing w:val="0"/>
      </w:pPr>
      <w:r>
        <w:t xml:space="preserve">While a need for activity level monitoring and reporting is acknowledged it is essential that </w:t>
      </w:r>
      <w:r w:rsidR="00801877">
        <w:t>scarce program resources and program monitoring do not get lost in activity level details clouding any higher level evaluation of outcomes.</w:t>
      </w:r>
    </w:p>
    <w:p w14:paraId="412202A0" w14:textId="6A91D70F" w:rsidR="00801877" w:rsidRDefault="00801877" w:rsidP="00530B62">
      <w:pPr>
        <w:pStyle w:val="ListParagraph"/>
        <w:ind w:left="1080"/>
        <w:contextualSpacing w:val="0"/>
      </w:pPr>
      <w:r>
        <w:t>The current M&amp;E system is overly complicated with a heavy data collection and analysis load. It is believed that the reason for this stems from a confusing mix of outcomes, output</w:t>
      </w:r>
      <w:r w:rsidR="001A3836">
        <w:t xml:space="preserve">s and inputs in the TSP1 design and the fact that the relationship between notional outcomes and performance indicators </w:t>
      </w:r>
      <w:r w:rsidR="00691BC2">
        <w:t>was</w:t>
      </w:r>
      <w:r w:rsidR="001A3836">
        <w:t xml:space="preserve"> not clear</w:t>
      </w:r>
      <w:r w:rsidR="00691BC2">
        <w:t xml:space="preserve"> in many cases</w:t>
      </w:r>
      <w:r w:rsidR="001A3836">
        <w:t>.</w:t>
      </w:r>
    </w:p>
    <w:p w14:paraId="364867E9" w14:textId="76A1D5D2" w:rsidR="00CF40E2" w:rsidRDefault="001A3836" w:rsidP="00530B62">
      <w:pPr>
        <w:pStyle w:val="ListParagraph"/>
        <w:ind w:left="1080"/>
        <w:contextualSpacing w:val="0"/>
      </w:pPr>
      <w:r>
        <w:t xml:space="preserve">Given this context it was surprising to read in </w:t>
      </w:r>
      <w:r w:rsidR="00723BF6">
        <w:t>the</w:t>
      </w:r>
      <w:r>
        <w:t xml:space="preserve"> TSP1 </w:t>
      </w:r>
      <w:r w:rsidR="00723BF6">
        <w:t>Annual Plan (2011-2012)</w:t>
      </w:r>
      <w:r>
        <w:t xml:space="preserve"> a </w:t>
      </w:r>
      <w:r w:rsidR="00723BF6">
        <w:t>suggestion</w:t>
      </w:r>
      <w:r>
        <w:t xml:space="preserve"> for the Ministry of Finance and National Planning to revise and align the relevant TSDF outcomes and indicators to TSP1 outcomes and indicators</w:t>
      </w:r>
      <w:r w:rsidR="00E27CC5">
        <w:t xml:space="preserve"> when in fact the </w:t>
      </w:r>
      <w:r w:rsidR="00CF40E2">
        <w:t xml:space="preserve">TSDF </w:t>
      </w:r>
      <w:r w:rsidR="00E27CC5">
        <w:t>O</w:t>
      </w:r>
      <w:r w:rsidR="00CF40E2">
        <w:t>utcome</w:t>
      </w:r>
      <w:r w:rsidR="00E27CC5">
        <w:t xml:space="preserve"> 5</w:t>
      </w:r>
      <w:r w:rsidR="00E27CC5" w:rsidRPr="00530B62">
        <w:footnoteReference w:id="38"/>
      </w:r>
      <w:r w:rsidR="00E27CC5">
        <w:t xml:space="preserve"> and its associated strategies and indicators could well serve as the basis for a simplified TSP1 M&amp;E framework at the outcome level.</w:t>
      </w:r>
    </w:p>
    <w:p w14:paraId="5F41345E" w14:textId="77777777" w:rsidR="00997860" w:rsidRDefault="00C4559E" w:rsidP="00530B62">
      <w:pPr>
        <w:pStyle w:val="ListParagraph"/>
        <w:numPr>
          <w:ilvl w:val="0"/>
          <w:numId w:val="23"/>
        </w:numPr>
        <w:ind w:left="1077"/>
        <w:contextualSpacing w:val="0"/>
      </w:pPr>
      <w:r>
        <w:t xml:space="preserve">TSP1 has experienced significant delays in recruitment of international technical assistance. This is a product of the compounding effects of inflexible and difficult procurement policies in the Ministry of Finance and National Planning, lack of access to international labour markets for technical assistance, and lack of experience in negotiating with and contracting international personnel. Once recruited, further human resource management issues have arisen due to lack of experience with performance management. Even within a program approach </w:t>
      </w:r>
      <w:r w:rsidRPr="00997860">
        <w:t>consideration should be given to contracting third party support for the recruitment and performance management of international technical assistance</w:t>
      </w:r>
      <w:r w:rsidR="008C0DE4" w:rsidRPr="00997860">
        <w:t>.</w:t>
      </w:r>
    </w:p>
    <w:p w14:paraId="3B0AD687" w14:textId="6382DD6D" w:rsidR="00C4559E" w:rsidRPr="00997860" w:rsidRDefault="00C4559E" w:rsidP="00530B62">
      <w:pPr>
        <w:pStyle w:val="ListParagraph"/>
        <w:numPr>
          <w:ilvl w:val="0"/>
          <w:numId w:val="23"/>
        </w:numPr>
        <w:ind w:left="1077"/>
        <w:contextualSpacing w:val="0"/>
      </w:pPr>
      <w:r w:rsidRPr="00997860">
        <w:lastRenderedPageBreak/>
        <w:t xml:space="preserve">The inclusion of an Employment Training Fund as a critical platform for leveraging a shift to a more flexible and responsive demand driven training system was premature in this case. A number of conditions need to be present </w:t>
      </w:r>
      <w:r w:rsidR="00C17D50" w:rsidRPr="00997860">
        <w:t>such as</w:t>
      </w:r>
      <w:r w:rsidRPr="00997860">
        <w:t xml:space="preserve"> </w:t>
      </w:r>
      <w:r w:rsidR="00C17D50" w:rsidRPr="00997860">
        <w:t xml:space="preserve">evidence of skill development priorities, availability of courses, availability of qualified trainers, </w:t>
      </w:r>
      <w:proofErr w:type="gramStart"/>
      <w:r w:rsidR="00C17D50" w:rsidRPr="00997860">
        <w:t>training</w:t>
      </w:r>
      <w:proofErr w:type="gramEnd"/>
      <w:r w:rsidR="00C17D50" w:rsidRPr="00997860">
        <w:t xml:space="preserve"> provider managers with commercial acumen and industry confidence to enter into partnership arrangements. </w:t>
      </w:r>
      <w:r w:rsidRPr="00997860">
        <w:t xml:space="preserve">Given </w:t>
      </w:r>
      <w:r w:rsidR="00C17D50" w:rsidRPr="00997860">
        <w:t xml:space="preserve">the absence of these conditions at the time of the design and the fact </w:t>
      </w:r>
      <w:r w:rsidRPr="00997860">
        <w:t>that the</w:t>
      </w:r>
      <w:r>
        <w:t xml:space="preserve"> designers </w:t>
      </w:r>
      <w:r w:rsidR="00C17D50">
        <w:t>recognised</w:t>
      </w:r>
      <w:r>
        <w:t xml:space="preserve"> that ‘reforming training is a complex and long term commitment’ it </w:t>
      </w:r>
      <w:r w:rsidR="00C17D50">
        <w:t>was</w:t>
      </w:r>
      <w:r>
        <w:t xml:space="preserve"> unrealistic to expect any significant take-up of ETF activity in the short term.</w:t>
      </w:r>
    </w:p>
    <w:p w14:paraId="29D4D97A" w14:textId="58C57082" w:rsidR="00C4559E" w:rsidRDefault="00C4559E" w:rsidP="00530B62">
      <w:pPr>
        <w:pStyle w:val="ListParagraph"/>
        <w:ind w:left="1077"/>
        <w:contextualSpacing w:val="0"/>
      </w:pPr>
      <w:r w:rsidRPr="00442E08">
        <w:t>However, the principles of an ETF could have been demonstrated by establishing targeted models that supported the development of training provider capacity</w:t>
      </w:r>
      <w:r w:rsidR="00997860">
        <w:t xml:space="preserve"> and industry partnerships</w:t>
      </w:r>
      <w:r w:rsidRPr="00442E08">
        <w:t xml:space="preserve"> to respond to specific skills gaps in priority areas.</w:t>
      </w:r>
    </w:p>
    <w:p w14:paraId="32DEA5E4" w14:textId="77777777" w:rsidR="00B75358" w:rsidRDefault="00B75358" w:rsidP="00530B62">
      <w:pPr>
        <w:pStyle w:val="ListParagraph"/>
        <w:numPr>
          <w:ilvl w:val="0"/>
          <w:numId w:val="23"/>
        </w:numPr>
        <w:ind w:left="1077"/>
        <w:contextualSpacing w:val="0"/>
      </w:pPr>
      <w:r>
        <w:t>The TSP1 strategic objective to make Tongans more competitive in domestic, regional and international labour markets through systemic improvements in the national TVET system implies that improved employability is dependent on systemic change. The TSP1 design further acknowledges that systemic change is a complex and long term proposition requiring careful planning and sequencing of events. In other words it is unrealistic to expect any changes in employability outcomes until the conditions of a well developed TVET system is in place.</w:t>
      </w:r>
    </w:p>
    <w:p w14:paraId="36BAAF2A" w14:textId="18633A50" w:rsidR="00B75358" w:rsidRPr="00442E08" w:rsidRDefault="00B75358" w:rsidP="00CF4B00">
      <w:pPr>
        <w:pStyle w:val="ListParagraph"/>
        <w:ind w:left="1077"/>
        <w:contextualSpacing w:val="0"/>
      </w:pPr>
      <w:r>
        <w:t xml:space="preserve">On the other hand, it could be argued that </w:t>
      </w:r>
      <w:r w:rsidR="00CF4B00">
        <w:t xml:space="preserve">the converse would be more effective. That is, build systemic improvements in the national TVET system through </w:t>
      </w:r>
      <w:r>
        <w:t xml:space="preserve">smaller scale model </w:t>
      </w:r>
      <w:proofErr w:type="gramStart"/>
      <w:r>
        <w:t>interventions which</w:t>
      </w:r>
      <w:proofErr w:type="gramEnd"/>
      <w:r>
        <w:t xml:space="preserve"> specifically target national and international labour market opportunities. Not only would such an approach improve employability in the short term </w:t>
      </w:r>
      <w:proofErr w:type="gramStart"/>
      <w:r>
        <w:t>but</w:t>
      </w:r>
      <w:proofErr w:type="gramEnd"/>
      <w:r>
        <w:t xml:space="preserve"> the models would facilitate the development of a broader understanding of what a flexible and responsive demand driven system might comprise. This in turn would generate popular and political support and underpin the development of evidenced based national policy.</w:t>
      </w:r>
    </w:p>
    <w:p w14:paraId="4835A1B6" w14:textId="77777777" w:rsidR="00775484" w:rsidRPr="00E94D89" w:rsidRDefault="00775484" w:rsidP="00B414D8">
      <w:pPr>
        <w:pStyle w:val="Heading2"/>
        <w:numPr>
          <w:ilvl w:val="1"/>
          <w:numId w:val="2"/>
        </w:numPr>
        <w:ind w:left="709" w:hanging="567"/>
      </w:pPr>
      <w:bookmarkStart w:id="25" w:name="_Toc203996794"/>
      <w:r w:rsidRPr="00E94D89">
        <w:t>Sustainability</w:t>
      </w:r>
      <w:bookmarkEnd w:id="25"/>
    </w:p>
    <w:p w14:paraId="4C89AAE4" w14:textId="77777777" w:rsidR="00775484" w:rsidRPr="009E1E05" w:rsidRDefault="00775484" w:rsidP="00775484">
      <w:pPr>
        <w:ind w:left="709"/>
      </w:pPr>
      <w:r w:rsidRPr="009E1E05">
        <w:t xml:space="preserve">At this point in time there are </w:t>
      </w:r>
      <w:r>
        <w:t>some</w:t>
      </w:r>
      <w:r w:rsidRPr="009E1E05">
        <w:t xml:space="preserve"> indicators of </w:t>
      </w:r>
      <w:r>
        <w:t>system development</w:t>
      </w:r>
      <w:r w:rsidRPr="009E1E05">
        <w:t xml:space="preserve">: </w:t>
      </w:r>
    </w:p>
    <w:p w14:paraId="586DDC9F" w14:textId="77777777" w:rsidR="00775484" w:rsidRPr="009E1E05" w:rsidRDefault="00775484" w:rsidP="00043E07">
      <w:pPr>
        <w:numPr>
          <w:ilvl w:val="0"/>
          <w:numId w:val="5"/>
        </w:numPr>
        <w:ind w:left="1077"/>
      </w:pPr>
      <w:r w:rsidRPr="009E1E05">
        <w:t>The TNQAB is now fully operational and has gained a level of respect amongst training providers and TVET system administrators. The concept of a quality system based on training provider registration and cou</w:t>
      </w:r>
      <w:r>
        <w:t xml:space="preserve">rse accreditation appears to becoming </w:t>
      </w:r>
      <w:r w:rsidRPr="009E1E05">
        <w:t>accepted.</w:t>
      </w:r>
    </w:p>
    <w:p w14:paraId="09B599E7" w14:textId="77777777" w:rsidR="00775484" w:rsidRPr="009E1E05" w:rsidRDefault="00775484" w:rsidP="00043E07">
      <w:pPr>
        <w:numPr>
          <w:ilvl w:val="0"/>
          <w:numId w:val="5"/>
        </w:numPr>
        <w:ind w:left="1077"/>
      </w:pPr>
      <w:r w:rsidRPr="009E1E05">
        <w:t xml:space="preserve">The importance </w:t>
      </w:r>
      <w:r>
        <w:t xml:space="preserve">of international qualifications is </w:t>
      </w:r>
      <w:r w:rsidRPr="009E1E05">
        <w:t>recognised given the number of franchise arrangements between Tonga training providers and international institutions.</w:t>
      </w:r>
    </w:p>
    <w:p w14:paraId="16DDFA1A" w14:textId="77777777" w:rsidR="00775484" w:rsidRPr="009E1E05" w:rsidRDefault="00775484" w:rsidP="00043E07">
      <w:pPr>
        <w:numPr>
          <w:ilvl w:val="0"/>
          <w:numId w:val="5"/>
        </w:numPr>
        <w:ind w:left="1077"/>
      </w:pPr>
      <w:r w:rsidRPr="009E1E05">
        <w:t>There is support for a strong and effective TVET system at senior levels of Government as evidenced in the Tonga National Strategic Plan and other agency documentation.</w:t>
      </w:r>
    </w:p>
    <w:p w14:paraId="5CD08059" w14:textId="77777777" w:rsidR="00775484" w:rsidRPr="009E1E05" w:rsidRDefault="00775484" w:rsidP="00043E07">
      <w:pPr>
        <w:numPr>
          <w:ilvl w:val="0"/>
          <w:numId w:val="5"/>
        </w:numPr>
        <w:ind w:left="1077"/>
      </w:pPr>
      <w:proofErr w:type="gramStart"/>
      <w:r w:rsidRPr="009E1E05">
        <w:t>local</w:t>
      </w:r>
      <w:proofErr w:type="gramEnd"/>
      <w:r w:rsidRPr="009E1E05">
        <w:t xml:space="preserve"> industry </w:t>
      </w:r>
      <w:r>
        <w:t xml:space="preserve">has shown a willingness </w:t>
      </w:r>
      <w:r w:rsidRPr="009E1E05">
        <w:t>to become integral partners in the TVET system and participate in ITACs.</w:t>
      </w:r>
    </w:p>
    <w:p w14:paraId="45D8CC6B" w14:textId="77777777" w:rsidR="00775484" w:rsidRPr="009E1E05" w:rsidRDefault="00775484" w:rsidP="00775484">
      <w:pPr>
        <w:ind w:left="709"/>
      </w:pPr>
      <w:r w:rsidRPr="009E1E05">
        <w:t>However these gains remain fragile.</w:t>
      </w:r>
    </w:p>
    <w:p w14:paraId="47C72854" w14:textId="3D76F747" w:rsidR="000F7B55" w:rsidRDefault="00052A98" w:rsidP="00775484">
      <w:pPr>
        <w:ind w:left="709"/>
      </w:pPr>
      <w:r>
        <w:t>Funding for the</w:t>
      </w:r>
      <w:r w:rsidR="000F7B55">
        <w:t xml:space="preserve"> TNQAB CEO position </w:t>
      </w:r>
      <w:r>
        <w:t>remains</w:t>
      </w:r>
      <w:r w:rsidR="000F7B55">
        <w:t xml:space="preserve"> </w:t>
      </w:r>
      <w:r>
        <w:t>dependent on donor (Australia and New Zealand) support.</w:t>
      </w:r>
    </w:p>
    <w:p w14:paraId="292708E7" w14:textId="77777777" w:rsidR="00775484" w:rsidRPr="009E1E05" w:rsidRDefault="00775484" w:rsidP="00775484">
      <w:pPr>
        <w:ind w:left="709"/>
      </w:pPr>
      <w:r w:rsidRPr="009E1E05">
        <w:lastRenderedPageBreak/>
        <w:t>MOTEYS</w:t>
      </w:r>
      <w:r w:rsidR="00DF4C2E">
        <w:t>’</w:t>
      </w:r>
      <w:r w:rsidRPr="009E1E05">
        <w:t xml:space="preserve"> responsibility for TVET will pass to the newly established Ministry of Education and Training (MET). The Minister and CEO have confirmed their support for the prioritisation of TVET in the new structure, and TSP1 program activities will be integrated into the core work program of existing Ministerial staff. </w:t>
      </w:r>
    </w:p>
    <w:p w14:paraId="598D4C33" w14:textId="77777777" w:rsidR="00775484" w:rsidRPr="009E1E05" w:rsidRDefault="00775484" w:rsidP="00BC00EB">
      <w:pPr>
        <w:ind w:left="709"/>
      </w:pPr>
      <w:r w:rsidRPr="009E1E05">
        <w:t>While this move will enable the integration of TVET into a coherent education and training structure, concern was expressed that within the traditionally academically oriented Ministry of Education, the specific needs of an emerging and comparatively expensive TVET system, particularly at the tertiary level, will not receive due attention.</w:t>
      </w:r>
      <w:r w:rsidR="00BC00EB">
        <w:t xml:space="preserve"> </w:t>
      </w:r>
      <w:r w:rsidRPr="009E1E05">
        <w:t xml:space="preserve">It is critical therefore to develop an evidenced based </w:t>
      </w:r>
      <w:r>
        <w:t xml:space="preserve">and consensually developed </w:t>
      </w:r>
      <w:r w:rsidRPr="009E1E05">
        <w:t xml:space="preserve">national TVET policy based on </w:t>
      </w:r>
      <w:r>
        <w:t xml:space="preserve">an </w:t>
      </w:r>
      <w:r w:rsidRPr="009E1E05">
        <w:t xml:space="preserve">improved </w:t>
      </w:r>
      <w:r>
        <w:t>evidence base</w:t>
      </w:r>
      <w:r w:rsidRPr="009E1E05">
        <w:t xml:space="preserve"> – particularly labour market information and skills planning. </w:t>
      </w:r>
    </w:p>
    <w:p w14:paraId="1CB128E8" w14:textId="77777777" w:rsidR="00775484" w:rsidRPr="009E1E05" w:rsidRDefault="00775484" w:rsidP="00775484">
      <w:pPr>
        <w:ind w:left="709"/>
      </w:pPr>
      <w:r w:rsidRPr="009E1E05">
        <w:t>A further risk</w:t>
      </w:r>
      <w:r>
        <w:t xml:space="preserve"> to sustainability</w:t>
      </w:r>
      <w:r w:rsidRPr="009E1E05">
        <w:t xml:space="preserve"> is the </w:t>
      </w:r>
      <w:r>
        <w:t xml:space="preserve">low status of TVET </w:t>
      </w:r>
      <w:r w:rsidRPr="009E1E05">
        <w:t>amongst the broader community. If TSP1 is unable to demonstrate improved graduate outcomes in the labour market it will continue to be difficult to gain community and political support.</w:t>
      </w:r>
    </w:p>
    <w:p w14:paraId="537B00BB" w14:textId="77777777" w:rsidR="001850F4" w:rsidRDefault="001850F4" w:rsidP="001850F4">
      <w:pPr>
        <w:ind w:left="709"/>
      </w:pPr>
    </w:p>
    <w:p w14:paraId="30D7E578" w14:textId="77777777" w:rsidR="001850F4" w:rsidRPr="001850F4" w:rsidRDefault="001850F4" w:rsidP="001850F4">
      <w:pPr>
        <w:ind w:left="709"/>
        <w:sectPr w:rsidR="001850F4" w:rsidRPr="001850F4" w:rsidSect="00593009">
          <w:pgSz w:w="11906" w:h="16838" w:code="9"/>
          <w:pgMar w:top="1440" w:right="1440" w:bottom="1440" w:left="1701" w:header="709" w:footer="709" w:gutter="0"/>
          <w:cols w:space="708"/>
          <w:docGrid w:linePitch="360"/>
        </w:sectPr>
      </w:pPr>
    </w:p>
    <w:p w14:paraId="6564FA2A" w14:textId="42E7EFAA" w:rsidR="003A1814" w:rsidRDefault="005868ED" w:rsidP="009F03D9">
      <w:pPr>
        <w:pStyle w:val="Heading1"/>
        <w:ind w:left="709" w:hanging="709"/>
      </w:pPr>
      <w:bookmarkStart w:id="26" w:name="_Toc203996795"/>
      <w:r w:rsidRPr="005C6ABD">
        <w:lastRenderedPageBreak/>
        <w:t>4</w:t>
      </w:r>
      <w:r w:rsidR="0030229A" w:rsidRPr="005C6ABD">
        <w:t>.</w:t>
      </w:r>
      <w:r w:rsidR="0030229A" w:rsidRPr="005C6ABD">
        <w:tab/>
      </w:r>
      <w:r w:rsidR="00062369" w:rsidRPr="005C6ABD">
        <w:t>The</w:t>
      </w:r>
      <w:r w:rsidR="003A1814" w:rsidRPr="005C6ABD">
        <w:t xml:space="preserve"> next </w:t>
      </w:r>
      <w:r w:rsidR="00062369" w:rsidRPr="005C6ABD">
        <w:t>9</w:t>
      </w:r>
      <w:r w:rsidR="003A1814" w:rsidRPr="005C6ABD">
        <w:t xml:space="preserve"> months</w:t>
      </w:r>
      <w:r w:rsidR="0030229A" w:rsidRPr="005C6ABD">
        <w:t xml:space="preserve"> to </w:t>
      </w:r>
      <w:r w:rsidR="003412F4">
        <w:t>April</w:t>
      </w:r>
      <w:r w:rsidR="00FB4B92" w:rsidRPr="005C6ABD">
        <w:t>, 201</w:t>
      </w:r>
      <w:r w:rsidR="00696C82" w:rsidRPr="005C6ABD">
        <w:t>3</w:t>
      </w:r>
      <w:bookmarkEnd w:id="26"/>
    </w:p>
    <w:p w14:paraId="63151632" w14:textId="387B7F92" w:rsidR="006D1BBF" w:rsidRDefault="00C138E3" w:rsidP="006D1BBF">
      <w:pPr>
        <w:ind w:left="709"/>
      </w:pPr>
      <w:r>
        <w:t xml:space="preserve">This IPR has identified </w:t>
      </w:r>
      <w:r w:rsidR="0091587B">
        <w:t>a complex mix of causal factors that have led to a lack of satisfactory progress in the achievement of TSP1 objectives. At this stage</w:t>
      </w:r>
      <w:r w:rsidR="00192A31">
        <w:t>, two years into a planned four-</w:t>
      </w:r>
      <w:r w:rsidR="0091587B">
        <w:t xml:space="preserve">year intervention, it is </w:t>
      </w:r>
      <w:r w:rsidR="00696C82">
        <w:t xml:space="preserve">therefore </w:t>
      </w:r>
      <w:r w:rsidR="0091587B">
        <w:t xml:space="preserve">timely to reflect </w:t>
      </w:r>
      <w:r w:rsidR="00696C82">
        <w:t xml:space="preserve">on </w:t>
      </w:r>
      <w:r w:rsidR="0091587B">
        <w:t xml:space="preserve">whether the current approach </w:t>
      </w:r>
      <w:r w:rsidR="00696C82">
        <w:t>needs to be reconsidered</w:t>
      </w:r>
      <w:r w:rsidR="006D1BBF">
        <w:t>.</w:t>
      </w:r>
    </w:p>
    <w:p w14:paraId="61B91767" w14:textId="2620C463" w:rsidR="00550947" w:rsidRDefault="00696C82" w:rsidP="00F173AC">
      <w:pPr>
        <w:ind w:left="709"/>
      </w:pPr>
      <w:r>
        <w:t>In this context, i</w:t>
      </w:r>
      <w:r w:rsidR="00C138E3">
        <w:t xml:space="preserve">t is recommended that the Governments of Tonga, Australia and New Zealand </w:t>
      </w:r>
      <w:r>
        <w:t xml:space="preserve">meet at their earliest convenience to commence discussions on the way forward with a view to reaching a common view by the end of </w:t>
      </w:r>
      <w:proofErr w:type="gramStart"/>
      <w:r>
        <w:t>August,</w:t>
      </w:r>
      <w:proofErr w:type="gramEnd"/>
      <w:r>
        <w:t xml:space="preserve"> 2012.</w:t>
      </w:r>
      <w:r w:rsidR="00F173AC">
        <w:t xml:space="preserve"> </w:t>
      </w:r>
      <w:r>
        <w:t xml:space="preserve">During this period of discussion and </w:t>
      </w:r>
      <w:r w:rsidR="00DB6F6E">
        <w:t xml:space="preserve">any </w:t>
      </w:r>
      <w:r>
        <w:t xml:space="preserve">subsequent </w:t>
      </w:r>
      <w:r w:rsidR="00DB6F6E">
        <w:t>periods required to implement the outcomes of the discussions it is important to provide a level of certainty for TSP1 staff about the immediate future.</w:t>
      </w:r>
    </w:p>
    <w:p w14:paraId="2E7160F9" w14:textId="4B5C5E7D" w:rsidR="00DB6F6E" w:rsidRDefault="00DB6F6E" w:rsidP="00C138E3">
      <w:pPr>
        <w:ind w:left="709"/>
      </w:pPr>
      <w:r>
        <w:t xml:space="preserve">The following is a recommended list of activities for the period up to the end of </w:t>
      </w:r>
      <w:proofErr w:type="gramStart"/>
      <w:r w:rsidR="00E13BB5">
        <w:t>April</w:t>
      </w:r>
      <w:r>
        <w:t>,</w:t>
      </w:r>
      <w:proofErr w:type="gramEnd"/>
      <w:r>
        <w:t xml:space="preserve"> 2013:</w:t>
      </w:r>
    </w:p>
    <w:p w14:paraId="080522F0" w14:textId="48539CEA" w:rsidR="00550947" w:rsidRDefault="00DB6F6E" w:rsidP="00DB6F6E">
      <w:pPr>
        <w:pStyle w:val="ListParagraph"/>
        <w:numPr>
          <w:ilvl w:val="0"/>
          <w:numId w:val="26"/>
        </w:numPr>
      </w:pPr>
      <w:r>
        <w:t>Specialist technical assistance should be engaged to assist the TSP design and implement an analysis of the current labour market in Tonga and, to the extent possible, project future skill demands for Tongans in both national and regional labour m</w:t>
      </w:r>
      <w:r w:rsidR="00747EA6">
        <w:t xml:space="preserve">arkets, including Australia, </w:t>
      </w:r>
      <w:r>
        <w:t>New Zealand</w:t>
      </w:r>
      <w:r w:rsidR="00747EA6">
        <w:t xml:space="preserve"> and possibly the United States</w:t>
      </w:r>
      <w:r>
        <w:t>. It is understood that the Public Service Commission has commenced workforce planning for the Public Sector. This should be complemented by a similar activity undertaken by TSP</w:t>
      </w:r>
      <w:r w:rsidR="00747EA6">
        <w:t>1</w:t>
      </w:r>
      <w:r>
        <w:t xml:space="preserve"> in the private sector to build up a comprehensive understanding of workforce needs over the next 5 years.</w:t>
      </w:r>
    </w:p>
    <w:p w14:paraId="633AF556" w14:textId="53088578" w:rsidR="00C138E3" w:rsidRDefault="004B79CB" w:rsidP="005D5AE9">
      <w:pPr>
        <w:pStyle w:val="ListParagraph"/>
        <w:numPr>
          <w:ilvl w:val="0"/>
          <w:numId w:val="26"/>
        </w:numPr>
      </w:pPr>
      <w:r>
        <w:t xml:space="preserve">Given the July 1 transfer of the TSP1 from MOTEYS to MET, it is timely to commence the system development work that to date has not been accomplished. </w:t>
      </w:r>
      <w:r w:rsidR="00DB6F6E">
        <w:t xml:space="preserve">TSP1 should identify suitable national and/or international technical assistance with skills in broad based stakeholder consultation and policy development to facilitate the drafting of National TVET Policy for consideration by Government </w:t>
      </w:r>
      <w:r w:rsidR="005D5AE9">
        <w:t xml:space="preserve">of Tonga </w:t>
      </w:r>
      <w:r w:rsidR="00DB6F6E">
        <w:t>before the end of the year.</w:t>
      </w:r>
    </w:p>
    <w:p w14:paraId="20DD05D5" w14:textId="42B300C2" w:rsidR="005D5AE9" w:rsidRDefault="005D5AE9" w:rsidP="005D5AE9">
      <w:pPr>
        <w:pStyle w:val="ListParagraph"/>
        <w:numPr>
          <w:ilvl w:val="0"/>
          <w:numId w:val="26"/>
        </w:numPr>
      </w:pPr>
      <w:r>
        <w:t xml:space="preserve">TSP1 staff should participate actively in both the labour market study and the policy development </w:t>
      </w:r>
      <w:proofErr w:type="gramStart"/>
      <w:r>
        <w:t>process</w:t>
      </w:r>
      <w:proofErr w:type="gramEnd"/>
      <w:r>
        <w:t xml:space="preserve"> as </w:t>
      </w:r>
      <w:r w:rsidR="004B79CB">
        <w:t>each of these</w:t>
      </w:r>
      <w:r>
        <w:t xml:space="preserve"> activities will provide considerable professional development opportunities that will further enhance TSP1 staff capacity to effectively guide TVET reform within a new Ministry. </w:t>
      </w:r>
    </w:p>
    <w:p w14:paraId="78BF52B1" w14:textId="22858FD9" w:rsidR="00F61AD6" w:rsidRDefault="00303A16" w:rsidP="00BB51FD">
      <w:pPr>
        <w:pStyle w:val="ListParagraph"/>
        <w:numPr>
          <w:ilvl w:val="0"/>
          <w:numId w:val="26"/>
        </w:numPr>
        <w:ind w:left="1071" w:hanging="357"/>
      </w:pPr>
      <w:r>
        <w:t xml:space="preserve">The processes required to complete the labour market study and the national policy </w:t>
      </w:r>
      <w:r w:rsidR="00392C1A">
        <w:t>will</w:t>
      </w:r>
      <w:r>
        <w:t xml:space="preserve"> </w:t>
      </w:r>
      <w:r w:rsidR="00397468">
        <w:t>absorb</w:t>
      </w:r>
      <w:r>
        <w:t xml:space="preserve"> </w:t>
      </w:r>
      <w:r w:rsidR="00397468">
        <w:t xml:space="preserve">substantial amounts of TSP1 staff time and it will be </w:t>
      </w:r>
      <w:r w:rsidR="00C138E3">
        <w:t xml:space="preserve">necessary to confine </w:t>
      </w:r>
      <w:r w:rsidR="00392C1A">
        <w:t xml:space="preserve">other </w:t>
      </w:r>
      <w:r w:rsidR="00C138E3">
        <w:t xml:space="preserve">work </w:t>
      </w:r>
      <w:r w:rsidR="00397468">
        <w:t xml:space="preserve">mostly </w:t>
      </w:r>
      <w:r w:rsidR="00C138E3">
        <w:t>to the completion of existing activity</w:t>
      </w:r>
      <w:r w:rsidR="00337472">
        <w:t>.</w:t>
      </w:r>
      <w:r w:rsidR="00C138E3">
        <w:t xml:space="preserve"> </w:t>
      </w:r>
      <w:r w:rsidR="00984B47">
        <w:t xml:space="preserve">A </w:t>
      </w:r>
      <w:proofErr w:type="spellStart"/>
      <w:r w:rsidR="00984B47" w:rsidRPr="00984B47">
        <w:rPr>
          <w:b/>
        </w:rPr>
        <w:t>Workplan</w:t>
      </w:r>
      <w:proofErr w:type="spellEnd"/>
      <w:r w:rsidR="00984B47">
        <w:t xml:space="preserve"> recommending a range of activities to be accomplished up to the end of </w:t>
      </w:r>
      <w:r w:rsidR="00E13BB5">
        <w:t>April</w:t>
      </w:r>
      <w:r w:rsidR="00984B47">
        <w:t xml:space="preserve"> 2013 is included in </w:t>
      </w:r>
      <w:r w:rsidR="00984B47" w:rsidRPr="00984B47">
        <w:rPr>
          <w:b/>
        </w:rPr>
        <w:t>Annex 1</w:t>
      </w:r>
      <w:r w:rsidR="00984B47">
        <w:t>.</w:t>
      </w:r>
      <w:r w:rsidR="00337472">
        <w:rPr>
          <w:rStyle w:val="FootnoteReference"/>
        </w:rPr>
        <w:footnoteReference w:id="39"/>
      </w:r>
    </w:p>
    <w:p w14:paraId="2CB83692" w14:textId="47B9F3AE" w:rsidR="00BB51FD" w:rsidRDefault="00BB51FD" w:rsidP="00BB51FD">
      <w:pPr>
        <w:pStyle w:val="ListParagraph"/>
        <w:numPr>
          <w:ilvl w:val="0"/>
          <w:numId w:val="26"/>
        </w:numPr>
        <w:ind w:left="1071" w:hanging="357"/>
      </w:pPr>
      <w:r>
        <w:t xml:space="preserve">The next nine months should be considered as a period of consolidation of recent gains. Given the number and range of activities identified in the </w:t>
      </w:r>
      <w:proofErr w:type="spellStart"/>
      <w:r>
        <w:rPr>
          <w:b/>
        </w:rPr>
        <w:t>Workplan</w:t>
      </w:r>
      <w:proofErr w:type="spellEnd"/>
      <w:r>
        <w:rPr>
          <w:b/>
        </w:rPr>
        <w:t xml:space="preserve"> </w:t>
      </w:r>
      <w:r w:rsidRPr="00BB51FD">
        <w:t>current staff will be fully occupied</w:t>
      </w:r>
      <w:r>
        <w:rPr>
          <w:b/>
        </w:rPr>
        <w:t>.</w:t>
      </w:r>
      <w:r>
        <w:t xml:space="preserve"> To this end there should be no new initiatives</w:t>
      </w:r>
      <w:r w:rsidR="009E3038">
        <w:t>.</w:t>
      </w:r>
      <w:r>
        <w:t xml:space="preserve"> </w:t>
      </w:r>
      <w:r w:rsidR="009E3038">
        <w:t xml:space="preserve">Other than the labour market and policy STAs there should be </w:t>
      </w:r>
      <w:r>
        <w:t>no further inv</w:t>
      </w:r>
      <w:r w:rsidR="009E3038">
        <w:t xml:space="preserve">estment in additional personnel </w:t>
      </w:r>
      <w:r>
        <w:t xml:space="preserve">or </w:t>
      </w:r>
      <w:r w:rsidR="009E3038">
        <w:t xml:space="preserve">in </w:t>
      </w:r>
      <w:r>
        <w:t>capital items such as computer networking equipment.</w:t>
      </w:r>
      <w:r w:rsidR="00260C5A">
        <w:t xml:space="preserve"> </w:t>
      </w:r>
      <w:r w:rsidR="00F173AC">
        <w:t>It will not be possible to undertake study tours during this period.</w:t>
      </w:r>
    </w:p>
    <w:p w14:paraId="1B0F1432" w14:textId="0278784C" w:rsidR="00F61AD6" w:rsidRDefault="00F61AD6" w:rsidP="00F173AC">
      <w:pPr>
        <w:pStyle w:val="ListParagraph"/>
        <w:widowControl w:val="0"/>
        <w:numPr>
          <w:ilvl w:val="0"/>
          <w:numId w:val="26"/>
        </w:numPr>
        <w:ind w:left="1071" w:hanging="357"/>
        <w:contextualSpacing w:val="0"/>
      </w:pPr>
      <w:r>
        <w:t>All activit</w:t>
      </w:r>
      <w:r w:rsidR="00BB51FD">
        <w:t>y</w:t>
      </w:r>
      <w:r>
        <w:t xml:space="preserve"> </w:t>
      </w:r>
      <w:r w:rsidR="00BB51FD">
        <w:t xml:space="preserve">should be limited to that cited </w:t>
      </w:r>
      <w:r>
        <w:t xml:space="preserve">in the </w:t>
      </w:r>
      <w:proofErr w:type="spellStart"/>
      <w:r w:rsidRPr="00F61AD6">
        <w:rPr>
          <w:b/>
        </w:rPr>
        <w:t>Wor</w:t>
      </w:r>
      <w:r>
        <w:rPr>
          <w:b/>
        </w:rPr>
        <w:t>k</w:t>
      </w:r>
      <w:r w:rsidRPr="00F61AD6">
        <w:rPr>
          <w:b/>
        </w:rPr>
        <w:t>plan</w:t>
      </w:r>
      <w:proofErr w:type="spellEnd"/>
      <w:r w:rsidR="00BB51FD">
        <w:rPr>
          <w:b/>
        </w:rPr>
        <w:t xml:space="preserve">. </w:t>
      </w:r>
      <w:r w:rsidR="00BB51FD" w:rsidRPr="00BB51FD">
        <w:t>These activities</w:t>
      </w:r>
      <w:r>
        <w:t xml:space="preserve"> will need to be costed by TSP1 and submitted to the PSC for approval before implementation.</w:t>
      </w:r>
    </w:p>
    <w:p w14:paraId="0B1E0E16" w14:textId="77777777" w:rsidR="00F61AD6" w:rsidRDefault="00F61AD6" w:rsidP="00F61AD6">
      <w:pPr>
        <w:sectPr w:rsidR="00F61AD6" w:rsidSect="00593009">
          <w:headerReference w:type="even" r:id="rId27"/>
          <w:footerReference w:type="even" r:id="rId28"/>
          <w:headerReference w:type="first" r:id="rId29"/>
          <w:pgSz w:w="11906" w:h="16838" w:code="9"/>
          <w:pgMar w:top="1440" w:right="1440" w:bottom="1440" w:left="1701" w:header="709" w:footer="709" w:gutter="0"/>
          <w:cols w:space="708"/>
          <w:docGrid w:linePitch="360"/>
        </w:sectPr>
      </w:pPr>
    </w:p>
    <w:p w14:paraId="15EED8EC" w14:textId="1EC1F6A0" w:rsidR="00754707" w:rsidRPr="00754707" w:rsidRDefault="00984B47" w:rsidP="004E6AB0">
      <w:pPr>
        <w:pStyle w:val="Heading1"/>
        <w:tabs>
          <w:tab w:val="left" w:pos="1276"/>
        </w:tabs>
      </w:pPr>
      <w:bookmarkStart w:id="27" w:name="_Toc203996796"/>
      <w:r w:rsidRPr="00754707">
        <w:lastRenderedPageBreak/>
        <w:t>Annex 1</w:t>
      </w:r>
      <w:r w:rsidR="004E6AB0">
        <w:t>:</w:t>
      </w:r>
      <w:r w:rsidR="004E6AB0">
        <w:tab/>
      </w:r>
      <w:proofErr w:type="spellStart"/>
      <w:r w:rsidRPr="00754707">
        <w:t>Workplan</w:t>
      </w:r>
      <w:proofErr w:type="spellEnd"/>
      <w:r w:rsidRPr="00754707">
        <w:t xml:space="preserve"> – </w:t>
      </w:r>
      <w:r w:rsidR="003412F4">
        <w:t>August</w:t>
      </w:r>
      <w:r w:rsidRPr="00754707">
        <w:t xml:space="preserve"> 2012 – </w:t>
      </w:r>
      <w:r w:rsidR="003412F4">
        <w:t>April</w:t>
      </w:r>
      <w:r w:rsidRPr="00754707">
        <w:t xml:space="preserve"> 2013</w:t>
      </w:r>
      <w:bookmarkEnd w:id="27"/>
    </w:p>
    <w:tbl>
      <w:tblPr>
        <w:tblStyle w:val="TableGrid"/>
        <w:tblW w:w="4894" w:type="pct"/>
        <w:tblInd w:w="108" w:type="dxa"/>
        <w:tblLayout w:type="fixed"/>
        <w:tblLook w:val="04A0" w:firstRow="1" w:lastRow="0" w:firstColumn="1" w:lastColumn="0" w:noHBand="0" w:noVBand="1"/>
      </w:tblPr>
      <w:tblGrid>
        <w:gridCol w:w="6238"/>
        <w:gridCol w:w="284"/>
        <w:gridCol w:w="283"/>
        <w:gridCol w:w="284"/>
        <w:gridCol w:w="283"/>
        <w:gridCol w:w="283"/>
        <w:gridCol w:w="284"/>
        <w:gridCol w:w="284"/>
        <w:gridCol w:w="283"/>
        <w:gridCol w:w="285"/>
      </w:tblGrid>
      <w:tr w:rsidR="003412F4" w:rsidRPr="00984B47" w14:paraId="286C1142" w14:textId="77777777" w:rsidTr="003412F4">
        <w:trPr>
          <w:tblHeader/>
        </w:trPr>
        <w:tc>
          <w:tcPr>
            <w:tcW w:w="6238" w:type="dxa"/>
            <w:tcBorders>
              <w:top w:val="nil"/>
              <w:left w:val="nil"/>
              <w:bottom w:val="nil"/>
              <w:right w:val="single" w:sz="4" w:space="0" w:color="3366FF"/>
            </w:tcBorders>
          </w:tcPr>
          <w:p w14:paraId="0F6C4CAF" w14:textId="77777777" w:rsidR="003412F4" w:rsidRPr="00984B47" w:rsidRDefault="003412F4" w:rsidP="00212261">
            <w:pPr>
              <w:spacing w:before="0" w:after="0"/>
              <w:ind w:left="459" w:hanging="459"/>
              <w:jc w:val="left"/>
              <w:rPr>
                <w:sz w:val="20"/>
                <w:szCs w:val="20"/>
              </w:rPr>
            </w:pPr>
          </w:p>
        </w:tc>
        <w:tc>
          <w:tcPr>
            <w:tcW w:w="1417" w:type="dxa"/>
            <w:gridSpan w:val="5"/>
            <w:tcBorders>
              <w:top w:val="nil"/>
              <w:left w:val="single" w:sz="4" w:space="0" w:color="3366FF"/>
              <w:bottom w:val="single" w:sz="4" w:space="0" w:color="3366FF"/>
              <w:right w:val="single" w:sz="4" w:space="0" w:color="3366FF"/>
            </w:tcBorders>
            <w:shd w:val="clear" w:color="auto" w:fill="C6D9F1" w:themeFill="text2" w:themeFillTint="33"/>
          </w:tcPr>
          <w:p w14:paraId="0F2CCA71" w14:textId="3F0590B1" w:rsidR="003412F4" w:rsidRPr="00984B47" w:rsidRDefault="003412F4" w:rsidP="004E6AB0">
            <w:pPr>
              <w:spacing w:before="0" w:after="0"/>
              <w:ind w:left="-11"/>
              <w:jc w:val="center"/>
              <w:rPr>
                <w:sz w:val="20"/>
                <w:szCs w:val="20"/>
              </w:rPr>
            </w:pPr>
            <w:r>
              <w:rPr>
                <w:sz w:val="20"/>
                <w:szCs w:val="20"/>
              </w:rPr>
              <w:t>2012</w:t>
            </w:r>
          </w:p>
        </w:tc>
        <w:tc>
          <w:tcPr>
            <w:tcW w:w="1136" w:type="dxa"/>
            <w:gridSpan w:val="4"/>
            <w:tcBorders>
              <w:top w:val="nil"/>
              <w:left w:val="single" w:sz="4" w:space="0" w:color="3366FF"/>
              <w:bottom w:val="single" w:sz="4" w:space="0" w:color="3366FF"/>
              <w:right w:val="single" w:sz="4" w:space="0" w:color="0000FF"/>
            </w:tcBorders>
            <w:shd w:val="clear" w:color="auto" w:fill="C6D9F1" w:themeFill="text2" w:themeFillTint="33"/>
          </w:tcPr>
          <w:p w14:paraId="3DC778A4" w14:textId="4C94E67A" w:rsidR="003412F4" w:rsidRPr="00984B47" w:rsidRDefault="003412F4" w:rsidP="004E6AB0">
            <w:pPr>
              <w:spacing w:before="0" w:after="0"/>
              <w:ind w:left="-11"/>
              <w:jc w:val="center"/>
              <w:rPr>
                <w:sz w:val="20"/>
                <w:szCs w:val="20"/>
              </w:rPr>
            </w:pPr>
            <w:r>
              <w:rPr>
                <w:sz w:val="20"/>
                <w:szCs w:val="20"/>
              </w:rPr>
              <w:t>2013</w:t>
            </w:r>
          </w:p>
        </w:tc>
      </w:tr>
      <w:tr w:rsidR="005B48E5" w:rsidRPr="00984B47" w14:paraId="6FEB032A" w14:textId="77777777" w:rsidTr="003412F4">
        <w:trPr>
          <w:tblHeader/>
        </w:trPr>
        <w:tc>
          <w:tcPr>
            <w:tcW w:w="6238" w:type="dxa"/>
            <w:tcBorders>
              <w:top w:val="nil"/>
              <w:left w:val="nil"/>
              <w:bottom w:val="nil"/>
              <w:right w:val="single" w:sz="4" w:space="0" w:color="3366FF"/>
            </w:tcBorders>
          </w:tcPr>
          <w:p w14:paraId="55A158D4" w14:textId="5613CF1E" w:rsidR="005B48E5" w:rsidRPr="00984B47" w:rsidRDefault="005B48E5" w:rsidP="00212261">
            <w:pPr>
              <w:spacing w:before="0" w:after="0"/>
              <w:ind w:left="459" w:hanging="459"/>
              <w:jc w:val="left"/>
              <w:rPr>
                <w:sz w:val="20"/>
                <w:szCs w:val="20"/>
              </w:rPr>
            </w:pPr>
          </w:p>
        </w:tc>
        <w:tc>
          <w:tcPr>
            <w:tcW w:w="284" w:type="dxa"/>
            <w:tcBorders>
              <w:top w:val="nil"/>
              <w:left w:val="single" w:sz="4" w:space="0" w:color="3366FF"/>
              <w:bottom w:val="single" w:sz="4" w:space="0" w:color="3366FF"/>
              <w:right w:val="single" w:sz="4" w:space="0" w:color="0000FF"/>
            </w:tcBorders>
            <w:shd w:val="clear" w:color="auto" w:fill="C6D9F1" w:themeFill="text2" w:themeFillTint="33"/>
          </w:tcPr>
          <w:p w14:paraId="29D9AF0F" w14:textId="50BB604F" w:rsidR="005B48E5" w:rsidRPr="00984B47" w:rsidRDefault="003412F4" w:rsidP="00212261">
            <w:pPr>
              <w:spacing w:before="0" w:after="0"/>
              <w:ind w:left="-11"/>
              <w:rPr>
                <w:sz w:val="20"/>
                <w:szCs w:val="20"/>
              </w:rPr>
            </w:pPr>
            <w:r>
              <w:rPr>
                <w:sz w:val="20"/>
                <w:szCs w:val="20"/>
              </w:rPr>
              <w:t>A</w:t>
            </w:r>
          </w:p>
        </w:tc>
        <w:tc>
          <w:tcPr>
            <w:tcW w:w="283" w:type="dxa"/>
            <w:tcBorders>
              <w:top w:val="nil"/>
              <w:left w:val="single" w:sz="4" w:space="0" w:color="0000FF"/>
              <w:bottom w:val="single" w:sz="4" w:space="0" w:color="3366FF"/>
              <w:right w:val="single" w:sz="4" w:space="0" w:color="0000FF"/>
            </w:tcBorders>
            <w:shd w:val="clear" w:color="auto" w:fill="C6D9F1" w:themeFill="text2" w:themeFillTint="33"/>
          </w:tcPr>
          <w:p w14:paraId="1F1D9776" w14:textId="75D33454" w:rsidR="005B48E5" w:rsidRPr="00984B47" w:rsidRDefault="003412F4" w:rsidP="00212261">
            <w:pPr>
              <w:spacing w:before="0" w:after="0"/>
              <w:ind w:left="-11"/>
              <w:rPr>
                <w:sz w:val="20"/>
                <w:szCs w:val="20"/>
              </w:rPr>
            </w:pPr>
            <w:r>
              <w:rPr>
                <w:sz w:val="20"/>
                <w:szCs w:val="20"/>
              </w:rPr>
              <w:t>S</w:t>
            </w:r>
          </w:p>
        </w:tc>
        <w:tc>
          <w:tcPr>
            <w:tcW w:w="284" w:type="dxa"/>
            <w:tcBorders>
              <w:top w:val="nil"/>
              <w:left w:val="single" w:sz="4" w:space="0" w:color="0000FF"/>
              <w:bottom w:val="single" w:sz="4" w:space="0" w:color="3366FF"/>
              <w:right w:val="single" w:sz="4" w:space="0" w:color="0000FF"/>
            </w:tcBorders>
            <w:shd w:val="clear" w:color="auto" w:fill="C6D9F1" w:themeFill="text2" w:themeFillTint="33"/>
          </w:tcPr>
          <w:p w14:paraId="4D484882" w14:textId="7A7CE758" w:rsidR="005B48E5" w:rsidRPr="00984B47" w:rsidRDefault="003412F4" w:rsidP="00212261">
            <w:pPr>
              <w:spacing w:before="0" w:after="0"/>
              <w:ind w:left="-11"/>
              <w:rPr>
                <w:sz w:val="20"/>
                <w:szCs w:val="20"/>
              </w:rPr>
            </w:pPr>
            <w:r>
              <w:rPr>
                <w:sz w:val="20"/>
                <w:szCs w:val="20"/>
              </w:rPr>
              <w:t>O</w:t>
            </w:r>
          </w:p>
        </w:tc>
        <w:tc>
          <w:tcPr>
            <w:tcW w:w="283" w:type="dxa"/>
            <w:tcBorders>
              <w:top w:val="nil"/>
              <w:left w:val="single" w:sz="4" w:space="0" w:color="0000FF"/>
              <w:bottom w:val="single" w:sz="4" w:space="0" w:color="3366FF"/>
              <w:right w:val="single" w:sz="4" w:space="0" w:color="0000FF"/>
            </w:tcBorders>
            <w:shd w:val="clear" w:color="auto" w:fill="C6D9F1" w:themeFill="text2" w:themeFillTint="33"/>
          </w:tcPr>
          <w:p w14:paraId="6912775E" w14:textId="1386CAF9" w:rsidR="005B48E5" w:rsidRPr="00984B47" w:rsidRDefault="003412F4" w:rsidP="00212261">
            <w:pPr>
              <w:spacing w:before="0" w:after="0"/>
              <w:ind w:left="-11"/>
              <w:rPr>
                <w:sz w:val="20"/>
                <w:szCs w:val="20"/>
              </w:rPr>
            </w:pPr>
            <w:r>
              <w:rPr>
                <w:sz w:val="20"/>
                <w:szCs w:val="20"/>
              </w:rPr>
              <w:t>N</w:t>
            </w:r>
          </w:p>
        </w:tc>
        <w:tc>
          <w:tcPr>
            <w:tcW w:w="283" w:type="dxa"/>
            <w:tcBorders>
              <w:top w:val="nil"/>
              <w:left w:val="single" w:sz="4" w:space="0" w:color="0000FF"/>
              <w:bottom w:val="single" w:sz="4" w:space="0" w:color="3366FF"/>
              <w:right w:val="single" w:sz="4" w:space="0" w:color="0000FF"/>
            </w:tcBorders>
            <w:shd w:val="clear" w:color="auto" w:fill="C6D9F1" w:themeFill="text2" w:themeFillTint="33"/>
          </w:tcPr>
          <w:p w14:paraId="047A50AE" w14:textId="75F27CEF" w:rsidR="005B48E5" w:rsidRPr="00984B47" w:rsidRDefault="003412F4" w:rsidP="00212261">
            <w:pPr>
              <w:spacing w:before="0" w:after="0"/>
              <w:ind w:left="-11"/>
              <w:rPr>
                <w:sz w:val="20"/>
                <w:szCs w:val="20"/>
              </w:rPr>
            </w:pPr>
            <w:r>
              <w:rPr>
                <w:sz w:val="20"/>
                <w:szCs w:val="20"/>
              </w:rPr>
              <w:t>D</w:t>
            </w:r>
          </w:p>
        </w:tc>
        <w:tc>
          <w:tcPr>
            <w:tcW w:w="284" w:type="dxa"/>
            <w:tcBorders>
              <w:top w:val="nil"/>
              <w:left w:val="single" w:sz="4" w:space="0" w:color="0000FF"/>
              <w:bottom w:val="single" w:sz="4" w:space="0" w:color="3366FF"/>
              <w:right w:val="single" w:sz="4" w:space="0" w:color="0000FF"/>
            </w:tcBorders>
            <w:shd w:val="clear" w:color="auto" w:fill="C6D9F1" w:themeFill="text2" w:themeFillTint="33"/>
          </w:tcPr>
          <w:p w14:paraId="6375DC87" w14:textId="5EC51277" w:rsidR="005B48E5" w:rsidRPr="00984B47" w:rsidRDefault="003412F4" w:rsidP="00212261">
            <w:pPr>
              <w:spacing w:before="0" w:after="0"/>
              <w:ind w:left="-11"/>
              <w:rPr>
                <w:sz w:val="20"/>
                <w:szCs w:val="20"/>
              </w:rPr>
            </w:pPr>
            <w:r>
              <w:rPr>
                <w:sz w:val="20"/>
                <w:szCs w:val="20"/>
              </w:rPr>
              <w:t>J</w:t>
            </w:r>
          </w:p>
        </w:tc>
        <w:tc>
          <w:tcPr>
            <w:tcW w:w="284" w:type="dxa"/>
            <w:tcBorders>
              <w:top w:val="nil"/>
              <w:left w:val="single" w:sz="4" w:space="0" w:color="0000FF"/>
              <w:bottom w:val="single" w:sz="4" w:space="0" w:color="3366FF"/>
              <w:right w:val="single" w:sz="4" w:space="0" w:color="0000FF"/>
            </w:tcBorders>
            <w:shd w:val="clear" w:color="auto" w:fill="C6D9F1" w:themeFill="text2" w:themeFillTint="33"/>
          </w:tcPr>
          <w:p w14:paraId="3B9A2586" w14:textId="5A22A2F7" w:rsidR="005B48E5" w:rsidRPr="00984B47" w:rsidRDefault="003412F4" w:rsidP="00212261">
            <w:pPr>
              <w:spacing w:before="0" w:after="0"/>
              <w:ind w:left="-11"/>
              <w:rPr>
                <w:sz w:val="20"/>
                <w:szCs w:val="20"/>
              </w:rPr>
            </w:pPr>
            <w:r>
              <w:rPr>
                <w:sz w:val="20"/>
                <w:szCs w:val="20"/>
              </w:rPr>
              <w:t>F</w:t>
            </w:r>
          </w:p>
        </w:tc>
        <w:tc>
          <w:tcPr>
            <w:tcW w:w="283" w:type="dxa"/>
            <w:tcBorders>
              <w:top w:val="nil"/>
              <w:left w:val="single" w:sz="4" w:space="0" w:color="0000FF"/>
              <w:bottom w:val="single" w:sz="4" w:space="0" w:color="3366FF"/>
              <w:right w:val="single" w:sz="4" w:space="0" w:color="0000FF"/>
            </w:tcBorders>
            <w:shd w:val="clear" w:color="auto" w:fill="C6D9F1" w:themeFill="text2" w:themeFillTint="33"/>
          </w:tcPr>
          <w:p w14:paraId="239E5089" w14:textId="1ACA4BD5" w:rsidR="005B48E5" w:rsidRPr="00984B47" w:rsidRDefault="003412F4" w:rsidP="00212261">
            <w:pPr>
              <w:spacing w:before="0" w:after="0"/>
              <w:ind w:left="-11"/>
              <w:rPr>
                <w:sz w:val="20"/>
                <w:szCs w:val="20"/>
              </w:rPr>
            </w:pPr>
            <w:r>
              <w:rPr>
                <w:sz w:val="20"/>
                <w:szCs w:val="20"/>
              </w:rPr>
              <w:t>M</w:t>
            </w:r>
          </w:p>
        </w:tc>
        <w:tc>
          <w:tcPr>
            <w:tcW w:w="285" w:type="dxa"/>
            <w:tcBorders>
              <w:top w:val="nil"/>
              <w:left w:val="single" w:sz="4" w:space="0" w:color="0000FF"/>
              <w:bottom w:val="single" w:sz="4" w:space="0" w:color="3366FF"/>
              <w:right w:val="single" w:sz="4" w:space="0" w:color="0000FF"/>
            </w:tcBorders>
            <w:shd w:val="clear" w:color="auto" w:fill="C6D9F1" w:themeFill="text2" w:themeFillTint="33"/>
          </w:tcPr>
          <w:p w14:paraId="0B845CDB" w14:textId="7024F693" w:rsidR="005B48E5" w:rsidRPr="00984B47" w:rsidRDefault="003412F4" w:rsidP="00212261">
            <w:pPr>
              <w:spacing w:before="0" w:after="0"/>
              <w:ind w:left="-11"/>
              <w:rPr>
                <w:sz w:val="20"/>
                <w:szCs w:val="20"/>
              </w:rPr>
            </w:pPr>
            <w:r>
              <w:rPr>
                <w:sz w:val="20"/>
                <w:szCs w:val="20"/>
              </w:rPr>
              <w:t>A</w:t>
            </w:r>
          </w:p>
        </w:tc>
      </w:tr>
      <w:tr w:rsidR="00984B47" w:rsidRPr="00152E18" w14:paraId="6406DA93" w14:textId="77777777" w:rsidTr="003412F4">
        <w:tc>
          <w:tcPr>
            <w:tcW w:w="6238" w:type="dxa"/>
            <w:tcBorders>
              <w:top w:val="nil"/>
              <w:left w:val="nil"/>
              <w:bottom w:val="nil"/>
              <w:right w:val="single" w:sz="4" w:space="0" w:color="3366FF"/>
            </w:tcBorders>
            <w:shd w:val="clear" w:color="auto" w:fill="C6D9F1" w:themeFill="text2" w:themeFillTint="33"/>
          </w:tcPr>
          <w:p w14:paraId="52D4B590" w14:textId="170C87E1" w:rsidR="00984B47" w:rsidRDefault="00984B47" w:rsidP="00984B47">
            <w:pPr>
              <w:spacing w:before="0" w:after="0"/>
              <w:ind w:left="459" w:hanging="459"/>
              <w:jc w:val="left"/>
              <w:rPr>
                <w:b/>
              </w:rPr>
            </w:pPr>
            <w:r w:rsidRPr="00392C1A">
              <w:rPr>
                <w:b/>
              </w:rPr>
              <w:t>Component 1</w:t>
            </w:r>
          </w:p>
        </w:tc>
        <w:tc>
          <w:tcPr>
            <w:tcW w:w="284" w:type="dxa"/>
            <w:tcBorders>
              <w:top w:val="single" w:sz="4" w:space="0" w:color="3366FF"/>
              <w:left w:val="single" w:sz="4" w:space="0" w:color="3366FF"/>
              <w:bottom w:val="nil"/>
              <w:right w:val="single" w:sz="4" w:space="0" w:color="0000FF"/>
            </w:tcBorders>
            <w:shd w:val="clear" w:color="auto" w:fill="C6D9F1" w:themeFill="text2" w:themeFillTint="33"/>
          </w:tcPr>
          <w:p w14:paraId="454624D0" w14:textId="77777777" w:rsidR="00984B47" w:rsidRPr="00984B47" w:rsidRDefault="00984B47" w:rsidP="00984B47">
            <w:pPr>
              <w:spacing w:before="0" w:after="0"/>
              <w:ind w:left="-11"/>
              <w:rPr>
                <w:sz w:val="16"/>
                <w:szCs w:val="16"/>
              </w:rPr>
            </w:pPr>
          </w:p>
        </w:tc>
        <w:tc>
          <w:tcPr>
            <w:tcW w:w="283" w:type="dxa"/>
            <w:tcBorders>
              <w:top w:val="single" w:sz="4" w:space="0" w:color="3366FF"/>
              <w:left w:val="single" w:sz="4" w:space="0" w:color="0000FF"/>
              <w:bottom w:val="nil"/>
              <w:right w:val="single" w:sz="4" w:space="0" w:color="0000FF"/>
            </w:tcBorders>
            <w:shd w:val="clear" w:color="auto" w:fill="C6D9F1" w:themeFill="text2" w:themeFillTint="33"/>
          </w:tcPr>
          <w:p w14:paraId="2EFF0EB0" w14:textId="77777777" w:rsidR="00984B47" w:rsidRPr="00984B47" w:rsidRDefault="00984B47" w:rsidP="00984B47">
            <w:pPr>
              <w:spacing w:before="0" w:after="0"/>
              <w:ind w:left="-11"/>
              <w:rPr>
                <w:sz w:val="16"/>
                <w:szCs w:val="16"/>
              </w:rPr>
            </w:pPr>
          </w:p>
        </w:tc>
        <w:tc>
          <w:tcPr>
            <w:tcW w:w="284" w:type="dxa"/>
            <w:tcBorders>
              <w:top w:val="single" w:sz="4" w:space="0" w:color="3366FF"/>
              <w:left w:val="single" w:sz="4" w:space="0" w:color="0000FF"/>
              <w:bottom w:val="nil"/>
              <w:right w:val="single" w:sz="4" w:space="0" w:color="0000FF"/>
            </w:tcBorders>
            <w:shd w:val="clear" w:color="auto" w:fill="C6D9F1" w:themeFill="text2" w:themeFillTint="33"/>
          </w:tcPr>
          <w:p w14:paraId="09E34896" w14:textId="77777777" w:rsidR="00984B47" w:rsidRPr="00984B47" w:rsidRDefault="00984B47" w:rsidP="00984B47">
            <w:pPr>
              <w:spacing w:before="0" w:after="0"/>
              <w:ind w:left="-11"/>
              <w:rPr>
                <w:sz w:val="16"/>
                <w:szCs w:val="16"/>
              </w:rPr>
            </w:pPr>
          </w:p>
        </w:tc>
        <w:tc>
          <w:tcPr>
            <w:tcW w:w="283" w:type="dxa"/>
            <w:tcBorders>
              <w:top w:val="single" w:sz="4" w:space="0" w:color="3366FF"/>
              <w:left w:val="single" w:sz="4" w:space="0" w:color="0000FF"/>
              <w:bottom w:val="nil"/>
              <w:right w:val="single" w:sz="4" w:space="0" w:color="0000FF"/>
            </w:tcBorders>
            <w:shd w:val="clear" w:color="auto" w:fill="C6D9F1" w:themeFill="text2" w:themeFillTint="33"/>
          </w:tcPr>
          <w:p w14:paraId="6F646361" w14:textId="77777777" w:rsidR="00984B47" w:rsidRPr="00984B47" w:rsidRDefault="00984B47" w:rsidP="00984B47">
            <w:pPr>
              <w:spacing w:before="0" w:after="0"/>
              <w:ind w:left="-11"/>
              <w:rPr>
                <w:sz w:val="16"/>
                <w:szCs w:val="16"/>
              </w:rPr>
            </w:pPr>
          </w:p>
        </w:tc>
        <w:tc>
          <w:tcPr>
            <w:tcW w:w="283" w:type="dxa"/>
            <w:tcBorders>
              <w:top w:val="single" w:sz="4" w:space="0" w:color="3366FF"/>
              <w:left w:val="single" w:sz="4" w:space="0" w:color="0000FF"/>
              <w:bottom w:val="nil"/>
              <w:right w:val="single" w:sz="4" w:space="0" w:color="0000FF"/>
            </w:tcBorders>
            <w:shd w:val="clear" w:color="auto" w:fill="C6D9F1" w:themeFill="text2" w:themeFillTint="33"/>
          </w:tcPr>
          <w:p w14:paraId="7945659D" w14:textId="77777777" w:rsidR="00984B47" w:rsidRPr="00984B47" w:rsidRDefault="00984B47" w:rsidP="00984B47">
            <w:pPr>
              <w:spacing w:before="0" w:after="0"/>
              <w:ind w:left="-11"/>
              <w:rPr>
                <w:sz w:val="16"/>
                <w:szCs w:val="16"/>
              </w:rPr>
            </w:pPr>
          </w:p>
        </w:tc>
        <w:tc>
          <w:tcPr>
            <w:tcW w:w="284" w:type="dxa"/>
            <w:tcBorders>
              <w:top w:val="single" w:sz="4" w:space="0" w:color="3366FF"/>
              <w:left w:val="single" w:sz="4" w:space="0" w:color="0000FF"/>
              <w:bottom w:val="nil"/>
              <w:right w:val="single" w:sz="4" w:space="0" w:color="0000FF"/>
            </w:tcBorders>
            <w:shd w:val="clear" w:color="auto" w:fill="C6D9F1" w:themeFill="text2" w:themeFillTint="33"/>
          </w:tcPr>
          <w:p w14:paraId="76582F18" w14:textId="77777777" w:rsidR="00984B47" w:rsidRPr="00984B47" w:rsidRDefault="00984B47" w:rsidP="00984B47">
            <w:pPr>
              <w:spacing w:before="0" w:after="0"/>
              <w:ind w:left="-11"/>
              <w:rPr>
                <w:sz w:val="16"/>
                <w:szCs w:val="16"/>
              </w:rPr>
            </w:pPr>
          </w:p>
        </w:tc>
        <w:tc>
          <w:tcPr>
            <w:tcW w:w="284" w:type="dxa"/>
            <w:tcBorders>
              <w:top w:val="single" w:sz="4" w:space="0" w:color="3366FF"/>
              <w:left w:val="single" w:sz="4" w:space="0" w:color="0000FF"/>
              <w:bottom w:val="nil"/>
              <w:right w:val="single" w:sz="4" w:space="0" w:color="0000FF"/>
            </w:tcBorders>
            <w:shd w:val="clear" w:color="auto" w:fill="C6D9F1" w:themeFill="text2" w:themeFillTint="33"/>
          </w:tcPr>
          <w:p w14:paraId="30139DB0" w14:textId="77777777" w:rsidR="00984B47" w:rsidRPr="00984B47" w:rsidRDefault="00984B47" w:rsidP="00984B47">
            <w:pPr>
              <w:spacing w:before="0" w:after="0"/>
              <w:ind w:left="-11"/>
              <w:rPr>
                <w:sz w:val="16"/>
                <w:szCs w:val="16"/>
              </w:rPr>
            </w:pPr>
          </w:p>
        </w:tc>
        <w:tc>
          <w:tcPr>
            <w:tcW w:w="283" w:type="dxa"/>
            <w:tcBorders>
              <w:top w:val="single" w:sz="4" w:space="0" w:color="3366FF"/>
              <w:left w:val="single" w:sz="4" w:space="0" w:color="0000FF"/>
              <w:bottom w:val="nil"/>
              <w:right w:val="single" w:sz="4" w:space="0" w:color="0000FF"/>
            </w:tcBorders>
            <w:shd w:val="clear" w:color="auto" w:fill="C6D9F1" w:themeFill="text2" w:themeFillTint="33"/>
          </w:tcPr>
          <w:p w14:paraId="7B95270D" w14:textId="77777777" w:rsidR="00984B47" w:rsidRPr="00984B47" w:rsidRDefault="00984B47" w:rsidP="00984B47">
            <w:pPr>
              <w:spacing w:before="0" w:after="0"/>
              <w:ind w:left="-11"/>
              <w:rPr>
                <w:sz w:val="16"/>
                <w:szCs w:val="16"/>
              </w:rPr>
            </w:pPr>
          </w:p>
        </w:tc>
        <w:tc>
          <w:tcPr>
            <w:tcW w:w="285" w:type="dxa"/>
            <w:tcBorders>
              <w:top w:val="single" w:sz="4" w:space="0" w:color="3366FF"/>
              <w:left w:val="single" w:sz="4" w:space="0" w:color="0000FF"/>
              <w:bottom w:val="nil"/>
              <w:right w:val="single" w:sz="4" w:space="0" w:color="0000FF"/>
            </w:tcBorders>
            <w:shd w:val="clear" w:color="auto" w:fill="C6D9F1" w:themeFill="text2" w:themeFillTint="33"/>
          </w:tcPr>
          <w:p w14:paraId="24080DD1" w14:textId="77777777" w:rsidR="00984B47" w:rsidRPr="00984B47" w:rsidRDefault="00984B47" w:rsidP="00984B47">
            <w:pPr>
              <w:spacing w:before="0" w:after="0"/>
              <w:ind w:left="-11"/>
              <w:rPr>
                <w:sz w:val="16"/>
                <w:szCs w:val="16"/>
              </w:rPr>
            </w:pPr>
          </w:p>
        </w:tc>
      </w:tr>
      <w:tr w:rsidR="003402DB" w:rsidRPr="00152E18" w14:paraId="6DA8E017" w14:textId="77777777" w:rsidTr="003412F4">
        <w:tc>
          <w:tcPr>
            <w:tcW w:w="6238" w:type="dxa"/>
            <w:tcBorders>
              <w:top w:val="nil"/>
              <w:left w:val="nil"/>
              <w:bottom w:val="nil"/>
              <w:right w:val="single" w:sz="4" w:space="0" w:color="3366FF"/>
            </w:tcBorders>
          </w:tcPr>
          <w:p w14:paraId="28A0E94F" w14:textId="65AEB78C" w:rsidR="003402DB" w:rsidRPr="003402DB" w:rsidRDefault="003402DB" w:rsidP="00036D6B">
            <w:pPr>
              <w:ind w:left="459" w:hanging="459"/>
              <w:jc w:val="left"/>
              <w:rPr>
                <w:b/>
              </w:rPr>
            </w:pPr>
            <w:r>
              <w:rPr>
                <w:b/>
              </w:rPr>
              <w:t>1.1</w:t>
            </w:r>
            <w:r>
              <w:rPr>
                <w:b/>
              </w:rPr>
              <w:tab/>
            </w:r>
            <w:r w:rsidRPr="005B48E5">
              <w:rPr>
                <w:b/>
              </w:rPr>
              <w:t>Introduc</w:t>
            </w:r>
            <w:r w:rsidR="00036D6B">
              <w:rPr>
                <w:b/>
              </w:rPr>
              <w:t>e</w:t>
            </w:r>
            <w:r w:rsidRPr="005B48E5">
              <w:rPr>
                <w:b/>
              </w:rPr>
              <w:t xml:space="preserve"> internationally benchmarked skill standards</w:t>
            </w:r>
          </w:p>
        </w:tc>
        <w:tc>
          <w:tcPr>
            <w:tcW w:w="284" w:type="dxa"/>
            <w:tcBorders>
              <w:top w:val="nil"/>
              <w:left w:val="single" w:sz="4" w:space="0" w:color="3366FF"/>
              <w:bottom w:val="nil"/>
              <w:right w:val="single" w:sz="4" w:space="0" w:color="0000FF"/>
            </w:tcBorders>
          </w:tcPr>
          <w:p w14:paraId="40233B8A" w14:textId="77777777" w:rsidR="003402DB" w:rsidRPr="00984B47" w:rsidRDefault="003402DB"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2AFEDAF" w14:textId="77777777" w:rsidR="003402DB" w:rsidRPr="00984B47" w:rsidRDefault="003402DB"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523E102A" w14:textId="77777777" w:rsidR="003402DB" w:rsidRPr="00984B47" w:rsidRDefault="003402DB"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31FF00F0" w14:textId="77777777" w:rsidR="003402DB" w:rsidRPr="00984B47" w:rsidRDefault="003402DB"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1ED3BD53" w14:textId="77777777" w:rsidR="003402DB" w:rsidRPr="00984B47" w:rsidRDefault="003402DB"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3C12CD3A" w14:textId="77777777" w:rsidR="003402DB" w:rsidRPr="00984B47" w:rsidRDefault="003402DB"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38580D20" w14:textId="77777777" w:rsidR="003402DB" w:rsidRPr="00984B47" w:rsidRDefault="003402DB"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4FC6369" w14:textId="77777777" w:rsidR="003402DB" w:rsidRPr="00984B47" w:rsidRDefault="003402DB" w:rsidP="00212261">
            <w:pPr>
              <w:spacing w:before="0" w:after="0"/>
              <w:ind w:left="-11"/>
              <w:rPr>
                <w:sz w:val="16"/>
                <w:szCs w:val="16"/>
              </w:rPr>
            </w:pPr>
          </w:p>
        </w:tc>
        <w:tc>
          <w:tcPr>
            <w:tcW w:w="285" w:type="dxa"/>
            <w:tcBorders>
              <w:top w:val="nil"/>
              <w:left w:val="single" w:sz="4" w:space="0" w:color="0000FF"/>
              <w:bottom w:val="nil"/>
              <w:right w:val="single" w:sz="4" w:space="0" w:color="0000FF"/>
            </w:tcBorders>
          </w:tcPr>
          <w:p w14:paraId="017E845F" w14:textId="77777777" w:rsidR="003402DB" w:rsidRPr="00984B47" w:rsidRDefault="003402DB" w:rsidP="00212261">
            <w:pPr>
              <w:spacing w:before="0" w:after="0"/>
              <w:ind w:left="-11"/>
              <w:rPr>
                <w:sz w:val="16"/>
                <w:szCs w:val="16"/>
              </w:rPr>
            </w:pPr>
          </w:p>
        </w:tc>
      </w:tr>
      <w:tr w:rsidR="003402DB" w:rsidRPr="00152E18" w14:paraId="53416D31" w14:textId="77777777" w:rsidTr="003412F4">
        <w:tc>
          <w:tcPr>
            <w:tcW w:w="6238" w:type="dxa"/>
            <w:vMerge w:val="restart"/>
            <w:tcBorders>
              <w:top w:val="nil"/>
              <w:left w:val="nil"/>
              <w:bottom w:val="nil"/>
              <w:right w:val="single" w:sz="4" w:space="0" w:color="3366FF"/>
            </w:tcBorders>
          </w:tcPr>
          <w:p w14:paraId="25E558A5" w14:textId="3E96852B" w:rsidR="003402DB" w:rsidRPr="00152E18" w:rsidRDefault="003402DB" w:rsidP="002D63E1">
            <w:pPr>
              <w:pStyle w:val="ListParagraph"/>
              <w:numPr>
                <w:ilvl w:val="0"/>
                <w:numId w:val="28"/>
              </w:numPr>
              <w:ind w:left="743" w:hanging="284"/>
              <w:contextualSpacing w:val="0"/>
              <w:jc w:val="left"/>
            </w:pPr>
            <w:r w:rsidRPr="00152E18">
              <w:t>Facilitate active involvement of ITACs for Tourism and Hospitality and for Construction in both the labour market analy</w:t>
            </w:r>
            <w:r w:rsidR="00433AA4">
              <w:t>sis and TVET policy development</w:t>
            </w:r>
          </w:p>
        </w:tc>
        <w:tc>
          <w:tcPr>
            <w:tcW w:w="284" w:type="dxa"/>
            <w:tcBorders>
              <w:top w:val="nil"/>
              <w:left w:val="single" w:sz="4" w:space="0" w:color="3366FF"/>
              <w:bottom w:val="thinThickThinSmallGap" w:sz="48" w:space="0" w:color="0000FF"/>
              <w:right w:val="single" w:sz="4" w:space="0" w:color="0000FF"/>
            </w:tcBorders>
          </w:tcPr>
          <w:p w14:paraId="6A868B7A" w14:textId="77777777" w:rsidR="003402DB" w:rsidRPr="00984B47" w:rsidRDefault="003402DB"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46A1C9D8" w14:textId="77777777" w:rsidR="003402DB" w:rsidRPr="00984B47" w:rsidRDefault="003402DB"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47C94D58" w14:textId="77777777" w:rsidR="003402DB" w:rsidRPr="00984B47" w:rsidRDefault="003402DB"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10A8F5B3" w14:textId="77777777" w:rsidR="003402DB" w:rsidRPr="00984B47" w:rsidRDefault="003402D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CE68781" w14:textId="77777777" w:rsidR="003402DB" w:rsidRPr="00984B47" w:rsidRDefault="003402D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2E93188" w14:textId="77777777" w:rsidR="003402DB" w:rsidRPr="00984B47" w:rsidRDefault="003402D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71E2E28" w14:textId="77777777" w:rsidR="003402DB" w:rsidRPr="00984B47" w:rsidRDefault="003402D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BDDA931" w14:textId="77777777" w:rsidR="003402DB" w:rsidRPr="00984B47" w:rsidRDefault="003402DB"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61B0B5F5" w14:textId="77777777" w:rsidR="003402DB" w:rsidRPr="00984B47" w:rsidRDefault="003402DB" w:rsidP="00212261">
            <w:pPr>
              <w:spacing w:before="0" w:after="0"/>
              <w:ind w:left="-11"/>
              <w:rPr>
                <w:sz w:val="16"/>
                <w:szCs w:val="16"/>
              </w:rPr>
            </w:pPr>
          </w:p>
        </w:tc>
      </w:tr>
      <w:tr w:rsidR="003402DB" w:rsidRPr="00152E18" w14:paraId="7DA1ADB3" w14:textId="77777777" w:rsidTr="003412F4">
        <w:tc>
          <w:tcPr>
            <w:tcW w:w="6238" w:type="dxa"/>
            <w:vMerge/>
            <w:tcBorders>
              <w:top w:val="nil"/>
              <w:left w:val="nil"/>
              <w:bottom w:val="nil"/>
              <w:right w:val="single" w:sz="4" w:space="0" w:color="3366FF"/>
            </w:tcBorders>
          </w:tcPr>
          <w:p w14:paraId="1006CDF1" w14:textId="77777777" w:rsidR="003402DB" w:rsidRPr="00152E18" w:rsidRDefault="003402DB" w:rsidP="002D63E1">
            <w:pPr>
              <w:pStyle w:val="ListParagraph"/>
              <w:numPr>
                <w:ilvl w:val="0"/>
                <w:numId w:val="28"/>
              </w:numPr>
              <w:ind w:left="743" w:hanging="284"/>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7017418F" w14:textId="77777777" w:rsidR="003402DB" w:rsidRPr="00984B47" w:rsidRDefault="003402DB" w:rsidP="00212261">
            <w:pPr>
              <w:spacing w:before="0" w:after="0"/>
              <w:rPr>
                <w:sz w:val="16"/>
                <w:szCs w:val="16"/>
              </w:rPr>
            </w:pPr>
          </w:p>
        </w:tc>
        <w:tc>
          <w:tcPr>
            <w:tcW w:w="283" w:type="dxa"/>
            <w:tcBorders>
              <w:top w:val="thinThickThinSmallGap" w:sz="48" w:space="0" w:color="0000FF"/>
              <w:left w:val="single" w:sz="4" w:space="0" w:color="0000FF"/>
              <w:bottom w:val="nil"/>
              <w:right w:val="single" w:sz="4" w:space="0" w:color="0000FF"/>
            </w:tcBorders>
          </w:tcPr>
          <w:p w14:paraId="473AEED4" w14:textId="77777777" w:rsidR="003402DB" w:rsidRPr="00984B47" w:rsidRDefault="003402DB"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3AE919CD" w14:textId="77777777" w:rsidR="003402DB" w:rsidRPr="00984B47" w:rsidRDefault="003402DB"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1B8F9EB3" w14:textId="77777777" w:rsidR="003402DB" w:rsidRPr="00984B47" w:rsidRDefault="003402D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FC7E89B" w14:textId="77777777" w:rsidR="003402DB" w:rsidRPr="00984B47" w:rsidRDefault="003402D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3336942" w14:textId="77777777" w:rsidR="003402DB" w:rsidRPr="00984B47" w:rsidRDefault="003402D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659F8FF" w14:textId="77777777" w:rsidR="003402DB" w:rsidRPr="00984B47" w:rsidRDefault="003402D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4B21752" w14:textId="77777777" w:rsidR="003402DB" w:rsidRPr="00984B47" w:rsidRDefault="003402DB"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F355F9C" w14:textId="77777777" w:rsidR="003402DB" w:rsidRPr="00984B47" w:rsidRDefault="003402DB" w:rsidP="00212261">
            <w:pPr>
              <w:spacing w:before="0" w:after="0"/>
              <w:ind w:left="-11"/>
              <w:rPr>
                <w:sz w:val="16"/>
                <w:szCs w:val="16"/>
              </w:rPr>
            </w:pPr>
          </w:p>
        </w:tc>
      </w:tr>
      <w:tr w:rsidR="005B48E5" w:rsidRPr="00152E18" w14:paraId="4452A67A" w14:textId="77777777" w:rsidTr="003412F4">
        <w:tc>
          <w:tcPr>
            <w:tcW w:w="6238" w:type="dxa"/>
            <w:vMerge w:val="restart"/>
            <w:tcBorders>
              <w:top w:val="nil"/>
              <w:left w:val="nil"/>
              <w:bottom w:val="nil"/>
              <w:right w:val="single" w:sz="4" w:space="0" w:color="3366FF"/>
            </w:tcBorders>
          </w:tcPr>
          <w:p w14:paraId="3E91978D" w14:textId="4F291AF3" w:rsidR="005B48E5" w:rsidRPr="00152E18" w:rsidRDefault="005B48E5" w:rsidP="002D63E1">
            <w:pPr>
              <w:pStyle w:val="ListParagraph"/>
              <w:numPr>
                <w:ilvl w:val="0"/>
                <w:numId w:val="28"/>
              </w:numPr>
              <w:ind w:left="743" w:hanging="284"/>
              <w:contextualSpacing w:val="0"/>
              <w:jc w:val="left"/>
            </w:pPr>
            <w:r w:rsidRPr="00152E18">
              <w:t>Ensure the Terms of Reference for the labour market analysis includes a requirement for capacity building of ITACs to facilitate their participation in on-going collection of labour market data and strategic skills plan</w:t>
            </w:r>
            <w:r w:rsidR="00433AA4">
              <w:t>ning in their respective sector</w:t>
            </w:r>
          </w:p>
        </w:tc>
        <w:tc>
          <w:tcPr>
            <w:tcW w:w="284" w:type="dxa"/>
            <w:tcBorders>
              <w:top w:val="nil"/>
              <w:left w:val="single" w:sz="4" w:space="0" w:color="3366FF"/>
              <w:bottom w:val="thinThickThinSmallGap" w:sz="48" w:space="0" w:color="0000FF"/>
              <w:right w:val="single" w:sz="4" w:space="0" w:color="0000FF"/>
            </w:tcBorders>
          </w:tcPr>
          <w:p w14:paraId="726FC8DF" w14:textId="77777777" w:rsidR="005B48E5" w:rsidRPr="00984B47" w:rsidRDefault="005B48E5"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57A0C3F" w14:textId="77777777" w:rsidR="005B48E5" w:rsidRPr="00984B47" w:rsidRDefault="005B48E5"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634A2D4" w14:textId="77777777" w:rsidR="005B48E5" w:rsidRPr="00984B47" w:rsidRDefault="005B48E5"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C5785F7" w14:textId="77777777" w:rsidR="005B48E5" w:rsidRPr="00984B47" w:rsidRDefault="005B48E5"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4BB44C0" w14:textId="77777777" w:rsidR="005B48E5" w:rsidRPr="00984B47" w:rsidRDefault="005B48E5"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F49426E" w14:textId="77777777" w:rsidR="005B48E5" w:rsidRPr="00984B47" w:rsidRDefault="005B48E5"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8865724" w14:textId="77777777" w:rsidR="005B48E5" w:rsidRPr="00984B47" w:rsidRDefault="005B48E5"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4C9F078" w14:textId="77777777" w:rsidR="005B48E5" w:rsidRPr="00984B47" w:rsidRDefault="005B48E5"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621B171D" w14:textId="77777777" w:rsidR="005B48E5" w:rsidRPr="00984B47" w:rsidRDefault="005B48E5" w:rsidP="00212261">
            <w:pPr>
              <w:spacing w:before="0" w:after="0"/>
              <w:ind w:left="-11"/>
              <w:rPr>
                <w:sz w:val="16"/>
                <w:szCs w:val="16"/>
              </w:rPr>
            </w:pPr>
          </w:p>
        </w:tc>
      </w:tr>
      <w:tr w:rsidR="005B48E5" w:rsidRPr="00152E18" w14:paraId="59B06589" w14:textId="77777777" w:rsidTr="003412F4">
        <w:trPr>
          <w:trHeight w:val="498"/>
        </w:trPr>
        <w:tc>
          <w:tcPr>
            <w:tcW w:w="6238" w:type="dxa"/>
            <w:vMerge/>
            <w:tcBorders>
              <w:top w:val="nil"/>
              <w:left w:val="nil"/>
              <w:bottom w:val="nil"/>
              <w:right w:val="single" w:sz="4" w:space="0" w:color="3366FF"/>
            </w:tcBorders>
          </w:tcPr>
          <w:p w14:paraId="31C96239" w14:textId="77777777" w:rsidR="005B48E5" w:rsidRPr="00152E18" w:rsidRDefault="005B48E5" w:rsidP="003402DB">
            <w:pPr>
              <w:pStyle w:val="ListParagraph"/>
              <w:numPr>
                <w:ilvl w:val="0"/>
                <w:numId w:val="28"/>
              </w:numPr>
              <w:ind w:left="131" w:hanging="142"/>
              <w:contextualSpacing w:val="0"/>
              <w:jc w:val="left"/>
            </w:pPr>
          </w:p>
        </w:tc>
        <w:tc>
          <w:tcPr>
            <w:tcW w:w="284" w:type="dxa"/>
            <w:vMerge w:val="restart"/>
            <w:tcBorders>
              <w:top w:val="thinThickThinSmallGap" w:sz="48" w:space="0" w:color="0000FF"/>
              <w:left w:val="single" w:sz="4" w:space="0" w:color="3366FF"/>
              <w:right w:val="single" w:sz="4" w:space="0" w:color="0000FF"/>
            </w:tcBorders>
          </w:tcPr>
          <w:p w14:paraId="15C9FEA0" w14:textId="77777777" w:rsidR="005B48E5" w:rsidRPr="00984B47" w:rsidRDefault="005B48E5"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0139F268" w14:textId="77777777" w:rsidR="005B48E5" w:rsidRPr="00984B47" w:rsidRDefault="005B48E5" w:rsidP="00212261">
            <w:pPr>
              <w:spacing w:before="0" w:after="0"/>
              <w:ind w:left="-11"/>
              <w:rPr>
                <w:sz w:val="16"/>
                <w:szCs w:val="16"/>
              </w:rPr>
            </w:pPr>
          </w:p>
        </w:tc>
        <w:tc>
          <w:tcPr>
            <w:tcW w:w="284" w:type="dxa"/>
            <w:vMerge/>
            <w:tcBorders>
              <w:left w:val="single" w:sz="4" w:space="0" w:color="0000FF"/>
              <w:bottom w:val="thinThickThinSmallGap" w:sz="48" w:space="0" w:color="0000FF"/>
              <w:right w:val="single" w:sz="4" w:space="0" w:color="0000FF"/>
            </w:tcBorders>
          </w:tcPr>
          <w:p w14:paraId="27152EB0" w14:textId="77777777" w:rsidR="005B48E5" w:rsidRPr="00984B47" w:rsidRDefault="005B48E5"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72ACE489" w14:textId="77777777" w:rsidR="005B48E5" w:rsidRPr="00984B47" w:rsidRDefault="005B48E5"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6DC855DD" w14:textId="77777777" w:rsidR="005B48E5" w:rsidRPr="00984B47" w:rsidRDefault="005B48E5" w:rsidP="00212261">
            <w:pPr>
              <w:spacing w:before="0" w:after="0"/>
              <w:ind w:left="-11"/>
              <w:rPr>
                <w:sz w:val="16"/>
                <w:szCs w:val="16"/>
              </w:rPr>
            </w:pPr>
          </w:p>
        </w:tc>
        <w:tc>
          <w:tcPr>
            <w:tcW w:w="284" w:type="dxa"/>
            <w:vMerge/>
            <w:tcBorders>
              <w:left w:val="single" w:sz="4" w:space="0" w:color="0000FF"/>
              <w:right w:val="single" w:sz="4" w:space="0" w:color="0000FF"/>
            </w:tcBorders>
          </w:tcPr>
          <w:p w14:paraId="3992EBB5" w14:textId="77777777" w:rsidR="005B48E5" w:rsidRPr="00984B47" w:rsidRDefault="005B48E5" w:rsidP="00212261">
            <w:pPr>
              <w:spacing w:before="0" w:after="0"/>
              <w:ind w:left="-11"/>
              <w:rPr>
                <w:sz w:val="16"/>
                <w:szCs w:val="16"/>
              </w:rPr>
            </w:pPr>
          </w:p>
        </w:tc>
        <w:tc>
          <w:tcPr>
            <w:tcW w:w="284" w:type="dxa"/>
            <w:vMerge/>
            <w:tcBorders>
              <w:left w:val="single" w:sz="4" w:space="0" w:color="0000FF"/>
              <w:right w:val="single" w:sz="4" w:space="0" w:color="0000FF"/>
            </w:tcBorders>
          </w:tcPr>
          <w:p w14:paraId="5469524C" w14:textId="77777777" w:rsidR="005B48E5" w:rsidRPr="00984B47" w:rsidRDefault="005B48E5" w:rsidP="00212261">
            <w:pPr>
              <w:spacing w:before="0" w:after="0"/>
              <w:ind w:left="-11"/>
              <w:rPr>
                <w:sz w:val="16"/>
                <w:szCs w:val="16"/>
              </w:rPr>
            </w:pPr>
          </w:p>
        </w:tc>
        <w:tc>
          <w:tcPr>
            <w:tcW w:w="283" w:type="dxa"/>
            <w:vMerge/>
            <w:tcBorders>
              <w:left w:val="single" w:sz="4" w:space="0" w:color="0000FF"/>
              <w:right w:val="single" w:sz="4" w:space="0" w:color="0000FF"/>
            </w:tcBorders>
          </w:tcPr>
          <w:p w14:paraId="67871BC0" w14:textId="77777777" w:rsidR="005B48E5" w:rsidRPr="00984B47" w:rsidRDefault="005B48E5" w:rsidP="00212261">
            <w:pPr>
              <w:spacing w:before="0" w:after="0"/>
              <w:ind w:left="-11"/>
              <w:rPr>
                <w:sz w:val="16"/>
                <w:szCs w:val="16"/>
              </w:rPr>
            </w:pPr>
          </w:p>
        </w:tc>
        <w:tc>
          <w:tcPr>
            <w:tcW w:w="285" w:type="dxa"/>
            <w:vMerge/>
            <w:tcBorders>
              <w:left w:val="single" w:sz="4" w:space="0" w:color="0000FF"/>
              <w:right w:val="single" w:sz="4" w:space="0" w:color="0000FF"/>
            </w:tcBorders>
          </w:tcPr>
          <w:p w14:paraId="45409567" w14:textId="77777777" w:rsidR="005B48E5" w:rsidRPr="00984B47" w:rsidRDefault="005B48E5" w:rsidP="00212261">
            <w:pPr>
              <w:spacing w:before="0" w:after="0"/>
              <w:ind w:left="-11"/>
              <w:rPr>
                <w:sz w:val="16"/>
                <w:szCs w:val="16"/>
              </w:rPr>
            </w:pPr>
          </w:p>
        </w:tc>
      </w:tr>
      <w:tr w:rsidR="00EE389E" w:rsidRPr="00152E18" w14:paraId="25A5DED4" w14:textId="77777777" w:rsidTr="003412F4">
        <w:tc>
          <w:tcPr>
            <w:tcW w:w="6238" w:type="dxa"/>
            <w:vMerge/>
            <w:tcBorders>
              <w:top w:val="nil"/>
              <w:left w:val="nil"/>
              <w:bottom w:val="nil"/>
              <w:right w:val="single" w:sz="4" w:space="0" w:color="3366FF"/>
            </w:tcBorders>
          </w:tcPr>
          <w:p w14:paraId="5F341FCB" w14:textId="77777777" w:rsidR="00EE389E" w:rsidRPr="00152E18" w:rsidRDefault="00EE389E" w:rsidP="003402DB">
            <w:pPr>
              <w:pStyle w:val="ListParagraph"/>
              <w:numPr>
                <w:ilvl w:val="0"/>
                <w:numId w:val="28"/>
              </w:numPr>
              <w:ind w:left="131" w:hanging="142"/>
              <w:contextualSpacing w:val="0"/>
              <w:jc w:val="left"/>
            </w:pPr>
          </w:p>
        </w:tc>
        <w:tc>
          <w:tcPr>
            <w:tcW w:w="284" w:type="dxa"/>
            <w:vMerge/>
            <w:tcBorders>
              <w:top w:val="thinThickThinSmallGap" w:sz="48" w:space="0" w:color="0000FF"/>
              <w:left w:val="single" w:sz="4" w:space="0" w:color="3366FF"/>
              <w:bottom w:val="nil"/>
              <w:right w:val="single" w:sz="4" w:space="0" w:color="0000FF"/>
            </w:tcBorders>
          </w:tcPr>
          <w:p w14:paraId="6DB4A594" w14:textId="77777777" w:rsidR="00EE389E" w:rsidRPr="00984B47" w:rsidRDefault="00EE389E"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4641221D" w14:textId="77777777" w:rsidR="00EE389E" w:rsidRPr="00984B47" w:rsidRDefault="00EE389E"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4BC69C69" w14:textId="77777777" w:rsidR="00EE389E" w:rsidRPr="00984B47" w:rsidRDefault="00EE389E"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1D6B34E0" w14:textId="77777777" w:rsidR="00EE389E" w:rsidRPr="00984B47" w:rsidRDefault="00EE389E"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34D828DA" w14:textId="77777777" w:rsidR="00EE389E" w:rsidRPr="00984B47" w:rsidRDefault="00EE389E"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3A404DE" w14:textId="77777777" w:rsidR="00EE389E" w:rsidRPr="00984B47" w:rsidRDefault="00EE389E"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65B920A" w14:textId="77777777" w:rsidR="00EE389E" w:rsidRPr="00984B47" w:rsidRDefault="00EE389E"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1FE57DC" w14:textId="77777777" w:rsidR="00EE389E" w:rsidRPr="00984B47" w:rsidRDefault="00EE389E"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57D5EAD" w14:textId="77777777" w:rsidR="00EE389E" w:rsidRPr="00984B47" w:rsidRDefault="00EE389E" w:rsidP="00212261">
            <w:pPr>
              <w:spacing w:before="0" w:after="0"/>
              <w:ind w:left="-11"/>
              <w:rPr>
                <w:sz w:val="16"/>
                <w:szCs w:val="16"/>
              </w:rPr>
            </w:pPr>
          </w:p>
        </w:tc>
      </w:tr>
      <w:tr w:rsidR="00EE389E" w:rsidRPr="00152E18" w14:paraId="11E37818" w14:textId="77777777" w:rsidTr="003412F4">
        <w:tc>
          <w:tcPr>
            <w:tcW w:w="6238" w:type="dxa"/>
            <w:tcBorders>
              <w:top w:val="nil"/>
              <w:left w:val="nil"/>
              <w:bottom w:val="nil"/>
              <w:right w:val="single" w:sz="4" w:space="0" w:color="3366FF"/>
            </w:tcBorders>
          </w:tcPr>
          <w:p w14:paraId="42CF1DB2" w14:textId="2A0940DD" w:rsidR="00EE389E" w:rsidRPr="00205F22" w:rsidRDefault="00205F22" w:rsidP="003402DB">
            <w:pPr>
              <w:ind w:left="459" w:hanging="459"/>
              <w:jc w:val="left"/>
              <w:rPr>
                <w:b/>
              </w:rPr>
            </w:pPr>
            <w:r>
              <w:rPr>
                <w:b/>
              </w:rPr>
              <w:t>1.2</w:t>
            </w:r>
            <w:r>
              <w:rPr>
                <w:b/>
              </w:rPr>
              <w:tab/>
            </w:r>
            <w:r w:rsidRPr="00636243">
              <w:rPr>
                <w:b/>
              </w:rPr>
              <w:t>TNQAB</w:t>
            </w:r>
          </w:p>
        </w:tc>
        <w:tc>
          <w:tcPr>
            <w:tcW w:w="284" w:type="dxa"/>
            <w:tcBorders>
              <w:top w:val="nil"/>
              <w:left w:val="single" w:sz="4" w:space="0" w:color="3366FF"/>
              <w:bottom w:val="nil"/>
              <w:right w:val="single" w:sz="4" w:space="0" w:color="0000FF"/>
            </w:tcBorders>
          </w:tcPr>
          <w:p w14:paraId="1EB3156D" w14:textId="77777777" w:rsidR="00EE389E" w:rsidRPr="00984B47" w:rsidRDefault="00EE389E"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5749AF51" w14:textId="77777777" w:rsidR="00EE389E" w:rsidRPr="00984B47" w:rsidRDefault="00EE389E"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40D7A386" w14:textId="77777777" w:rsidR="00EE389E" w:rsidRPr="00984B47" w:rsidRDefault="00EE389E"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BA91124" w14:textId="77777777" w:rsidR="00EE389E" w:rsidRPr="00984B47" w:rsidRDefault="00EE389E"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1003542B" w14:textId="77777777" w:rsidR="00EE389E" w:rsidRPr="00984B47" w:rsidRDefault="00EE389E"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6AC0B109" w14:textId="77777777" w:rsidR="00EE389E" w:rsidRPr="00984B47" w:rsidRDefault="00EE389E"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7D54A80B" w14:textId="77777777" w:rsidR="00EE389E" w:rsidRPr="00984B47" w:rsidRDefault="00EE389E"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33BF9EEA" w14:textId="77777777" w:rsidR="00EE389E" w:rsidRPr="00984B47" w:rsidRDefault="00EE389E" w:rsidP="00212261">
            <w:pPr>
              <w:spacing w:before="0" w:after="0"/>
              <w:ind w:left="-11"/>
              <w:rPr>
                <w:sz w:val="16"/>
                <w:szCs w:val="16"/>
              </w:rPr>
            </w:pPr>
          </w:p>
        </w:tc>
        <w:tc>
          <w:tcPr>
            <w:tcW w:w="285" w:type="dxa"/>
            <w:tcBorders>
              <w:top w:val="nil"/>
              <w:left w:val="single" w:sz="4" w:space="0" w:color="0000FF"/>
              <w:bottom w:val="nil"/>
              <w:right w:val="single" w:sz="4" w:space="0" w:color="0000FF"/>
            </w:tcBorders>
          </w:tcPr>
          <w:p w14:paraId="594046A8" w14:textId="77777777" w:rsidR="00EE389E" w:rsidRPr="00984B47" w:rsidRDefault="00EE389E" w:rsidP="00212261">
            <w:pPr>
              <w:spacing w:before="0" w:after="0"/>
              <w:ind w:left="-11"/>
              <w:rPr>
                <w:sz w:val="16"/>
                <w:szCs w:val="16"/>
              </w:rPr>
            </w:pPr>
          </w:p>
        </w:tc>
      </w:tr>
      <w:tr w:rsidR="00205F22" w:rsidRPr="00152E18" w14:paraId="124E785D" w14:textId="77777777" w:rsidTr="003412F4">
        <w:tc>
          <w:tcPr>
            <w:tcW w:w="6238" w:type="dxa"/>
            <w:vMerge w:val="restart"/>
            <w:tcBorders>
              <w:top w:val="nil"/>
              <w:left w:val="nil"/>
              <w:right w:val="single" w:sz="4" w:space="0" w:color="3366FF"/>
            </w:tcBorders>
          </w:tcPr>
          <w:p w14:paraId="75FEBD39" w14:textId="76FBC4A6" w:rsidR="00205F22" w:rsidRPr="00152E18" w:rsidRDefault="00205F22" w:rsidP="002D63E1">
            <w:pPr>
              <w:pStyle w:val="ListParagraph"/>
              <w:numPr>
                <w:ilvl w:val="0"/>
                <w:numId w:val="28"/>
              </w:numPr>
              <w:ind w:left="743" w:hanging="284"/>
              <w:contextualSpacing w:val="0"/>
              <w:jc w:val="left"/>
            </w:pPr>
            <w:r>
              <w:t>With ITAC support continue liaison with the TNQAB to finalise of accreditation of Tourism and Hospitality, and Construction units of competency and courses</w:t>
            </w:r>
          </w:p>
        </w:tc>
        <w:tc>
          <w:tcPr>
            <w:tcW w:w="284" w:type="dxa"/>
            <w:tcBorders>
              <w:top w:val="nil"/>
              <w:left w:val="single" w:sz="4" w:space="0" w:color="3366FF"/>
              <w:bottom w:val="thinThickThinSmallGap" w:sz="48" w:space="0" w:color="0000FF"/>
              <w:right w:val="single" w:sz="4" w:space="0" w:color="0000FF"/>
            </w:tcBorders>
          </w:tcPr>
          <w:p w14:paraId="48AE17BC" w14:textId="77777777" w:rsidR="00205F22" w:rsidRPr="00984B47" w:rsidRDefault="00205F22"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59D17404" w14:textId="77777777" w:rsidR="00205F22" w:rsidRPr="00984B47" w:rsidRDefault="00205F22"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535CACCC" w14:textId="77777777" w:rsidR="00205F22" w:rsidRPr="00984B47" w:rsidRDefault="00205F22"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55DE4CE" w14:textId="77777777" w:rsidR="00205F22" w:rsidRPr="00984B47" w:rsidRDefault="00205F22"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E1F6C62" w14:textId="77777777" w:rsidR="00205F22" w:rsidRPr="00984B47" w:rsidRDefault="00205F22"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68DB243" w14:textId="77777777" w:rsidR="00205F22" w:rsidRPr="00984B47" w:rsidRDefault="00205F22"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4FC72D4" w14:textId="77777777" w:rsidR="00205F22" w:rsidRPr="00984B47" w:rsidRDefault="00205F22"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3CE1B97" w14:textId="77777777" w:rsidR="00205F22" w:rsidRPr="00984B47" w:rsidRDefault="00205F22"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65052AF9" w14:textId="77777777" w:rsidR="00205F22" w:rsidRPr="00984B47" w:rsidRDefault="00205F22" w:rsidP="00212261">
            <w:pPr>
              <w:spacing w:before="0" w:after="0"/>
              <w:ind w:left="-11"/>
              <w:rPr>
                <w:sz w:val="16"/>
                <w:szCs w:val="16"/>
              </w:rPr>
            </w:pPr>
          </w:p>
        </w:tc>
      </w:tr>
      <w:tr w:rsidR="00205F22" w:rsidRPr="00152E18" w14:paraId="51393CA5" w14:textId="77777777" w:rsidTr="003412F4">
        <w:tc>
          <w:tcPr>
            <w:tcW w:w="6238" w:type="dxa"/>
            <w:vMerge/>
            <w:tcBorders>
              <w:left w:val="nil"/>
              <w:bottom w:val="nil"/>
              <w:right w:val="single" w:sz="4" w:space="0" w:color="3366FF"/>
            </w:tcBorders>
          </w:tcPr>
          <w:p w14:paraId="6C65B3CC" w14:textId="77777777" w:rsidR="00205F22" w:rsidRDefault="00205F22" w:rsidP="002D63E1">
            <w:pPr>
              <w:pStyle w:val="ListParagraph"/>
              <w:numPr>
                <w:ilvl w:val="0"/>
                <w:numId w:val="28"/>
              </w:numPr>
              <w:ind w:left="743" w:hanging="284"/>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14AF848F" w14:textId="77777777" w:rsidR="00205F22" w:rsidRPr="00984B47" w:rsidRDefault="00205F22"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2C7D27B5" w14:textId="77777777" w:rsidR="00205F22" w:rsidRPr="00984B47" w:rsidRDefault="00205F22"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586928B6" w14:textId="77777777" w:rsidR="00205F22" w:rsidRPr="00984B47" w:rsidRDefault="00205F22"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54BC5C7" w14:textId="77777777" w:rsidR="00205F22" w:rsidRPr="00984B47" w:rsidRDefault="00205F22"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6EF4034" w14:textId="77777777" w:rsidR="00205F22" w:rsidRPr="00984B47" w:rsidRDefault="00205F22"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37EEDB9" w14:textId="77777777" w:rsidR="00205F22" w:rsidRPr="00984B47" w:rsidRDefault="00205F22"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7729C17" w14:textId="77777777" w:rsidR="00205F22" w:rsidRPr="00984B47" w:rsidRDefault="00205F22"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2DAD593" w14:textId="77777777" w:rsidR="00205F22" w:rsidRPr="00984B47" w:rsidRDefault="00205F22"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50406395" w14:textId="77777777" w:rsidR="00205F22" w:rsidRPr="00984B47" w:rsidRDefault="00205F22" w:rsidP="00212261">
            <w:pPr>
              <w:spacing w:before="0" w:after="0"/>
              <w:ind w:left="-11"/>
              <w:rPr>
                <w:sz w:val="16"/>
                <w:szCs w:val="16"/>
              </w:rPr>
            </w:pPr>
          </w:p>
        </w:tc>
      </w:tr>
      <w:tr w:rsidR="00E96FCA" w:rsidRPr="00152E18" w14:paraId="5F32896F" w14:textId="77777777" w:rsidTr="003412F4">
        <w:tc>
          <w:tcPr>
            <w:tcW w:w="6238" w:type="dxa"/>
            <w:vMerge w:val="restart"/>
            <w:tcBorders>
              <w:top w:val="nil"/>
              <w:left w:val="nil"/>
              <w:right w:val="single" w:sz="4" w:space="0" w:color="3366FF"/>
            </w:tcBorders>
          </w:tcPr>
          <w:p w14:paraId="0C45C26B" w14:textId="33B4157B" w:rsidR="00E96FCA" w:rsidRPr="00152E18" w:rsidRDefault="00E96FCA" w:rsidP="002D63E1">
            <w:pPr>
              <w:pStyle w:val="ListParagraph"/>
              <w:numPr>
                <w:ilvl w:val="0"/>
                <w:numId w:val="28"/>
              </w:numPr>
              <w:ind w:left="743" w:hanging="284"/>
              <w:contextualSpacing w:val="0"/>
              <w:jc w:val="left"/>
            </w:pPr>
            <w:r>
              <w:t>Continue to provide support to strengthen TNQAB quality assurance practices through the STA TNQAB and TSP1 funded technical officers including capacity building for Quality Assessment Panel members</w:t>
            </w:r>
          </w:p>
        </w:tc>
        <w:tc>
          <w:tcPr>
            <w:tcW w:w="284" w:type="dxa"/>
            <w:tcBorders>
              <w:top w:val="nil"/>
              <w:left w:val="single" w:sz="4" w:space="0" w:color="3366FF"/>
              <w:bottom w:val="thinThickThinSmallGap" w:sz="48" w:space="0" w:color="0000FF"/>
              <w:right w:val="single" w:sz="4" w:space="0" w:color="0000FF"/>
            </w:tcBorders>
          </w:tcPr>
          <w:p w14:paraId="6B40421C"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1B3511B4" w14:textId="77777777" w:rsidR="00E96FCA" w:rsidRPr="00984B47" w:rsidRDefault="00E96FCA"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DF4DEA9" w14:textId="77777777" w:rsidR="00E96FCA" w:rsidRPr="00984B47" w:rsidRDefault="00E96FCA"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60EE30C" w14:textId="77777777" w:rsidR="00E96FCA" w:rsidRPr="00984B47" w:rsidRDefault="00E96FCA"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428FB2E" w14:textId="77777777" w:rsidR="00E96FCA" w:rsidRPr="00984B47" w:rsidRDefault="00E96FCA"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338F9EA" w14:textId="77777777" w:rsidR="00E96FCA" w:rsidRPr="00984B47" w:rsidRDefault="00E96FCA"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BD8568D" w14:textId="77777777" w:rsidR="00E96FCA" w:rsidRPr="00984B47" w:rsidRDefault="00E96FCA"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57D698B" w14:textId="77777777" w:rsidR="00E96FCA" w:rsidRPr="00984B47" w:rsidRDefault="00E96FCA"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2746B8F6" w14:textId="77777777" w:rsidR="00E96FCA" w:rsidRPr="00984B47" w:rsidRDefault="00E96FCA" w:rsidP="00212261">
            <w:pPr>
              <w:spacing w:before="0" w:after="0"/>
              <w:ind w:left="-11"/>
              <w:rPr>
                <w:sz w:val="16"/>
                <w:szCs w:val="16"/>
              </w:rPr>
            </w:pPr>
          </w:p>
        </w:tc>
      </w:tr>
      <w:tr w:rsidR="00E96FCA" w:rsidRPr="00152E18" w14:paraId="64A891B7" w14:textId="77777777" w:rsidTr="003412F4">
        <w:tc>
          <w:tcPr>
            <w:tcW w:w="6238" w:type="dxa"/>
            <w:vMerge/>
            <w:tcBorders>
              <w:left w:val="nil"/>
              <w:bottom w:val="nil"/>
              <w:right w:val="single" w:sz="4" w:space="0" w:color="3366FF"/>
            </w:tcBorders>
          </w:tcPr>
          <w:p w14:paraId="31B02526" w14:textId="77777777" w:rsidR="00E96FCA" w:rsidRDefault="00E96FCA" w:rsidP="002D63E1">
            <w:pPr>
              <w:pStyle w:val="ListParagraph"/>
              <w:numPr>
                <w:ilvl w:val="0"/>
                <w:numId w:val="28"/>
              </w:numPr>
              <w:ind w:left="743" w:hanging="284"/>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4D8DEA70" w14:textId="77777777" w:rsidR="00E96FCA" w:rsidRPr="00984B47" w:rsidRDefault="00E96FCA"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5867970A" w14:textId="77777777" w:rsidR="00E96FCA" w:rsidRPr="00984B47" w:rsidRDefault="00E96FCA"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91A37FF" w14:textId="77777777" w:rsidR="00E96FCA" w:rsidRPr="00984B47" w:rsidRDefault="00E96FCA"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DE2F18E" w14:textId="77777777" w:rsidR="00E96FCA" w:rsidRPr="00984B47" w:rsidRDefault="00E96FCA"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65985BE" w14:textId="77777777" w:rsidR="00E96FCA" w:rsidRPr="00984B47" w:rsidRDefault="00E96FCA"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536C837E" w14:textId="77777777" w:rsidR="00E96FCA" w:rsidRPr="00984B47" w:rsidRDefault="00E96FCA"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04FD5ED4" w14:textId="77777777" w:rsidR="00E96FCA" w:rsidRPr="00984B47" w:rsidRDefault="00E96FCA"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72BADA1" w14:textId="77777777" w:rsidR="00E96FCA" w:rsidRPr="00984B47" w:rsidRDefault="00E96FCA"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1B0BF53" w14:textId="77777777" w:rsidR="00E96FCA" w:rsidRPr="00984B47" w:rsidRDefault="00E96FCA" w:rsidP="00212261">
            <w:pPr>
              <w:spacing w:before="0" w:after="0"/>
              <w:ind w:left="-11"/>
              <w:rPr>
                <w:sz w:val="16"/>
                <w:szCs w:val="16"/>
              </w:rPr>
            </w:pPr>
          </w:p>
        </w:tc>
      </w:tr>
      <w:tr w:rsidR="00E96FCA" w:rsidRPr="00152E18" w14:paraId="7815F3CF" w14:textId="77777777" w:rsidTr="003412F4">
        <w:tc>
          <w:tcPr>
            <w:tcW w:w="6238" w:type="dxa"/>
            <w:vMerge w:val="restart"/>
            <w:tcBorders>
              <w:top w:val="nil"/>
              <w:left w:val="nil"/>
              <w:right w:val="single" w:sz="4" w:space="0" w:color="3366FF"/>
            </w:tcBorders>
          </w:tcPr>
          <w:p w14:paraId="6A20E9D7" w14:textId="1EA8EF38" w:rsidR="00E96FCA" w:rsidRPr="00152E18" w:rsidRDefault="00E96FCA" w:rsidP="002D63E1">
            <w:pPr>
              <w:pStyle w:val="ListParagraph"/>
              <w:numPr>
                <w:ilvl w:val="0"/>
                <w:numId w:val="28"/>
              </w:numPr>
              <w:ind w:left="743" w:hanging="284"/>
              <w:contextualSpacing w:val="0"/>
              <w:jc w:val="left"/>
            </w:pPr>
            <w:r>
              <w:t>Continue to support training provider compliance with TNQAB registration and course accreditation documentation</w:t>
            </w:r>
          </w:p>
        </w:tc>
        <w:tc>
          <w:tcPr>
            <w:tcW w:w="284" w:type="dxa"/>
            <w:tcBorders>
              <w:top w:val="nil"/>
              <w:left w:val="single" w:sz="4" w:space="0" w:color="3366FF"/>
              <w:bottom w:val="thinThickThinSmallGap" w:sz="48" w:space="0" w:color="0000FF"/>
              <w:right w:val="single" w:sz="4" w:space="0" w:color="0000FF"/>
            </w:tcBorders>
          </w:tcPr>
          <w:p w14:paraId="0BB7CF13"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258FC9F2"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18430BAE"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5F23BF9E"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797AED15"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7BE632EA"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493C379D"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262E5E93" w14:textId="77777777" w:rsidR="00E96FCA" w:rsidRPr="00984B47" w:rsidRDefault="00E96FCA" w:rsidP="00212261">
            <w:pPr>
              <w:spacing w:before="0" w:after="0"/>
              <w:ind w:left="-11"/>
              <w:rPr>
                <w:sz w:val="16"/>
                <w:szCs w:val="16"/>
              </w:rPr>
            </w:pPr>
          </w:p>
        </w:tc>
        <w:tc>
          <w:tcPr>
            <w:tcW w:w="285" w:type="dxa"/>
            <w:tcBorders>
              <w:top w:val="nil"/>
              <w:left w:val="single" w:sz="4" w:space="0" w:color="0000FF"/>
              <w:bottom w:val="thinThickThinSmallGap" w:sz="48" w:space="0" w:color="0000FF"/>
              <w:right w:val="single" w:sz="4" w:space="0" w:color="0000FF"/>
            </w:tcBorders>
          </w:tcPr>
          <w:p w14:paraId="5BEEED64" w14:textId="77777777" w:rsidR="00E96FCA" w:rsidRPr="00984B47" w:rsidRDefault="00E96FCA" w:rsidP="00212261">
            <w:pPr>
              <w:spacing w:before="0" w:after="0"/>
              <w:ind w:left="-11"/>
              <w:rPr>
                <w:sz w:val="16"/>
                <w:szCs w:val="16"/>
              </w:rPr>
            </w:pPr>
          </w:p>
        </w:tc>
      </w:tr>
      <w:tr w:rsidR="00E96FCA" w:rsidRPr="00152E18" w14:paraId="3188BD80" w14:textId="77777777" w:rsidTr="003412F4">
        <w:tc>
          <w:tcPr>
            <w:tcW w:w="6238" w:type="dxa"/>
            <w:vMerge/>
            <w:tcBorders>
              <w:left w:val="nil"/>
              <w:bottom w:val="nil"/>
              <w:right w:val="single" w:sz="4" w:space="0" w:color="3366FF"/>
            </w:tcBorders>
          </w:tcPr>
          <w:p w14:paraId="4E7419AE" w14:textId="77777777" w:rsidR="00E96FCA" w:rsidRDefault="00E96FCA" w:rsidP="002D63E1">
            <w:pPr>
              <w:pStyle w:val="ListParagraph"/>
              <w:numPr>
                <w:ilvl w:val="0"/>
                <w:numId w:val="28"/>
              </w:numPr>
              <w:ind w:left="743" w:hanging="284"/>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570A0725" w14:textId="77777777" w:rsidR="00E96FCA" w:rsidRPr="00984B47" w:rsidRDefault="00E96FCA"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36C0F59A" w14:textId="77777777" w:rsidR="00E96FCA" w:rsidRPr="00984B47" w:rsidRDefault="00E96FCA"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239AE2A6" w14:textId="77777777" w:rsidR="00E96FCA" w:rsidRPr="00984B47" w:rsidRDefault="00E96FCA"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07F5BBA5" w14:textId="77777777" w:rsidR="00E96FCA" w:rsidRPr="00984B47" w:rsidRDefault="00E96FCA"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792C6B66" w14:textId="77777777" w:rsidR="00E96FCA" w:rsidRPr="00984B47" w:rsidRDefault="00E96FCA"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38212CAE" w14:textId="77777777" w:rsidR="00E96FCA" w:rsidRPr="00984B47" w:rsidRDefault="00E96FCA"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6BBBD62A" w14:textId="77777777" w:rsidR="00E96FCA" w:rsidRPr="00984B47" w:rsidRDefault="00E96FCA"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201409FD" w14:textId="77777777" w:rsidR="00E96FCA" w:rsidRPr="00984B47" w:rsidRDefault="00E96FCA" w:rsidP="00212261">
            <w:pPr>
              <w:spacing w:before="0" w:after="0"/>
              <w:ind w:left="-11"/>
              <w:rPr>
                <w:sz w:val="16"/>
                <w:szCs w:val="16"/>
              </w:rPr>
            </w:pPr>
          </w:p>
        </w:tc>
        <w:tc>
          <w:tcPr>
            <w:tcW w:w="285" w:type="dxa"/>
            <w:tcBorders>
              <w:top w:val="thinThickThinSmallGap" w:sz="48" w:space="0" w:color="0000FF"/>
              <w:left w:val="single" w:sz="4" w:space="0" w:color="0000FF"/>
              <w:bottom w:val="nil"/>
              <w:right w:val="single" w:sz="4" w:space="0" w:color="0000FF"/>
            </w:tcBorders>
          </w:tcPr>
          <w:p w14:paraId="3BCFE4C9" w14:textId="77777777" w:rsidR="00E96FCA" w:rsidRPr="00984B47" w:rsidRDefault="00E96FCA" w:rsidP="00212261">
            <w:pPr>
              <w:spacing w:before="0" w:after="0"/>
              <w:ind w:left="-11"/>
              <w:rPr>
                <w:sz w:val="16"/>
                <w:szCs w:val="16"/>
              </w:rPr>
            </w:pPr>
          </w:p>
        </w:tc>
      </w:tr>
      <w:tr w:rsidR="00E96FCA" w:rsidRPr="00152E18" w14:paraId="0528567B" w14:textId="77777777" w:rsidTr="003412F4">
        <w:tc>
          <w:tcPr>
            <w:tcW w:w="6238" w:type="dxa"/>
            <w:vMerge w:val="restart"/>
            <w:tcBorders>
              <w:top w:val="nil"/>
              <w:left w:val="nil"/>
              <w:right w:val="single" w:sz="4" w:space="0" w:color="3366FF"/>
            </w:tcBorders>
          </w:tcPr>
          <w:p w14:paraId="5DFA5D10" w14:textId="51EE0186" w:rsidR="00E96FCA" w:rsidRPr="00152E18" w:rsidRDefault="00E96FCA" w:rsidP="002D63E1">
            <w:pPr>
              <w:pStyle w:val="ListParagraph"/>
              <w:numPr>
                <w:ilvl w:val="0"/>
                <w:numId w:val="28"/>
              </w:numPr>
              <w:ind w:left="743" w:hanging="284"/>
              <w:contextualSpacing w:val="0"/>
              <w:jc w:val="left"/>
            </w:pPr>
            <w:r>
              <w:t>With ITAC support continue liaison with the TNQAB to finalise of accreditation of Tourism and Hospitality, and Construction units of competency and courses</w:t>
            </w:r>
          </w:p>
        </w:tc>
        <w:tc>
          <w:tcPr>
            <w:tcW w:w="284" w:type="dxa"/>
            <w:tcBorders>
              <w:top w:val="nil"/>
              <w:left w:val="single" w:sz="4" w:space="0" w:color="3366FF"/>
              <w:bottom w:val="thinThickThinSmallGap" w:sz="48" w:space="0" w:color="0000FF"/>
              <w:right w:val="single" w:sz="4" w:space="0" w:color="0000FF"/>
            </w:tcBorders>
          </w:tcPr>
          <w:p w14:paraId="68D108B9"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3648A036"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1B370CE3" w14:textId="77777777" w:rsidR="00E96FCA" w:rsidRPr="00984B47" w:rsidRDefault="00E96FCA"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9F62F11" w14:textId="77777777" w:rsidR="00E96FCA" w:rsidRPr="00984B47" w:rsidRDefault="00E96FCA"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4786768" w14:textId="77777777" w:rsidR="00E96FCA" w:rsidRPr="00984B47" w:rsidRDefault="00E96FCA"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A23DE83" w14:textId="77777777" w:rsidR="00E96FCA" w:rsidRPr="00984B47" w:rsidRDefault="00E96FCA"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D1C50B5" w14:textId="77777777" w:rsidR="00E96FCA" w:rsidRPr="00984B47" w:rsidRDefault="00E96FCA"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251192D" w14:textId="77777777" w:rsidR="00E96FCA" w:rsidRPr="00984B47" w:rsidRDefault="00E96FCA"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0C3FC2FF" w14:textId="77777777" w:rsidR="00E96FCA" w:rsidRPr="00984B47" w:rsidRDefault="00E96FCA" w:rsidP="00212261">
            <w:pPr>
              <w:spacing w:before="0" w:after="0"/>
              <w:ind w:left="-11"/>
              <w:rPr>
                <w:sz w:val="16"/>
                <w:szCs w:val="16"/>
              </w:rPr>
            </w:pPr>
          </w:p>
        </w:tc>
      </w:tr>
      <w:tr w:rsidR="00E96FCA" w:rsidRPr="00152E18" w14:paraId="2A8092E6" w14:textId="77777777" w:rsidTr="003412F4">
        <w:tc>
          <w:tcPr>
            <w:tcW w:w="6238" w:type="dxa"/>
            <w:vMerge/>
            <w:tcBorders>
              <w:left w:val="nil"/>
              <w:bottom w:val="nil"/>
              <w:right w:val="single" w:sz="4" w:space="0" w:color="3366FF"/>
            </w:tcBorders>
          </w:tcPr>
          <w:p w14:paraId="624CD044" w14:textId="77777777" w:rsidR="00E96FCA" w:rsidRDefault="00E96FCA" w:rsidP="003402DB">
            <w:pPr>
              <w:pStyle w:val="ListParagraph"/>
              <w:numPr>
                <w:ilvl w:val="0"/>
                <w:numId w:val="28"/>
              </w:numPr>
              <w:ind w:left="131" w:hanging="142"/>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37DEAC3A" w14:textId="77777777" w:rsidR="00E96FCA" w:rsidRPr="00984B47" w:rsidRDefault="00E96FCA"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7481F9A5" w14:textId="77777777" w:rsidR="00E96FCA" w:rsidRPr="00984B47" w:rsidRDefault="00E96FCA"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39532135" w14:textId="77777777" w:rsidR="00E96FCA" w:rsidRPr="00984B47" w:rsidRDefault="00E96FCA"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52DC83E" w14:textId="77777777" w:rsidR="00E96FCA" w:rsidRPr="00984B47" w:rsidRDefault="00E96FCA"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867D223" w14:textId="77777777" w:rsidR="00E96FCA" w:rsidRPr="00984B47" w:rsidRDefault="00E96FCA"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1F53381" w14:textId="77777777" w:rsidR="00E96FCA" w:rsidRPr="00984B47" w:rsidRDefault="00E96FCA"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06C5847A" w14:textId="77777777" w:rsidR="00E96FCA" w:rsidRPr="00984B47" w:rsidRDefault="00E96FCA"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2780107" w14:textId="77777777" w:rsidR="00E96FCA" w:rsidRPr="00984B47" w:rsidRDefault="00E96FCA"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0CC590A" w14:textId="77777777" w:rsidR="00E96FCA" w:rsidRPr="00984B47" w:rsidRDefault="00E96FCA" w:rsidP="00212261">
            <w:pPr>
              <w:spacing w:before="0" w:after="0"/>
              <w:ind w:left="-11"/>
              <w:rPr>
                <w:sz w:val="16"/>
                <w:szCs w:val="16"/>
              </w:rPr>
            </w:pPr>
          </w:p>
        </w:tc>
      </w:tr>
      <w:tr w:rsidR="00E96FCA" w:rsidRPr="00152E18" w14:paraId="018E0121" w14:textId="77777777" w:rsidTr="003412F4">
        <w:tc>
          <w:tcPr>
            <w:tcW w:w="6238" w:type="dxa"/>
            <w:tcBorders>
              <w:top w:val="nil"/>
              <w:left w:val="nil"/>
              <w:bottom w:val="nil"/>
              <w:right w:val="single" w:sz="4" w:space="0" w:color="3366FF"/>
            </w:tcBorders>
          </w:tcPr>
          <w:p w14:paraId="1293976B" w14:textId="77777777" w:rsidR="00E96FCA" w:rsidRPr="00205F22" w:rsidRDefault="00E96FCA" w:rsidP="003402DB">
            <w:pPr>
              <w:ind w:left="459" w:hanging="459"/>
              <w:jc w:val="left"/>
              <w:rPr>
                <w:b/>
              </w:rPr>
            </w:pPr>
            <w:r>
              <w:rPr>
                <w:b/>
              </w:rPr>
              <w:t>1.3</w:t>
            </w:r>
            <w:r>
              <w:rPr>
                <w:b/>
              </w:rPr>
              <w:tab/>
              <w:t>Capacity building – training providers</w:t>
            </w:r>
          </w:p>
        </w:tc>
        <w:tc>
          <w:tcPr>
            <w:tcW w:w="284" w:type="dxa"/>
            <w:tcBorders>
              <w:top w:val="nil"/>
              <w:left w:val="single" w:sz="4" w:space="0" w:color="3366FF"/>
              <w:bottom w:val="nil"/>
              <w:right w:val="single" w:sz="4" w:space="0" w:color="0000FF"/>
            </w:tcBorders>
          </w:tcPr>
          <w:p w14:paraId="4324B039"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71895811"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3D046A74"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6D74BBBB"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3252DBBD"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2FC49D3B" w14:textId="77777777" w:rsidR="00E96FCA" w:rsidRPr="00984B47" w:rsidRDefault="00E96FCA"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24D0A36C" w14:textId="77777777" w:rsidR="00E96FCA" w:rsidRPr="00984B47" w:rsidRDefault="00E96FCA"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731A288B" w14:textId="77777777" w:rsidR="00E96FCA" w:rsidRPr="00984B47" w:rsidRDefault="00E96FCA" w:rsidP="00212261">
            <w:pPr>
              <w:spacing w:before="0" w:after="0"/>
              <w:ind w:left="-11"/>
              <w:rPr>
                <w:sz w:val="16"/>
                <w:szCs w:val="16"/>
              </w:rPr>
            </w:pPr>
          </w:p>
        </w:tc>
        <w:tc>
          <w:tcPr>
            <w:tcW w:w="285" w:type="dxa"/>
            <w:tcBorders>
              <w:top w:val="nil"/>
              <w:left w:val="single" w:sz="4" w:space="0" w:color="0000FF"/>
              <w:bottom w:val="nil"/>
              <w:right w:val="single" w:sz="4" w:space="0" w:color="0000FF"/>
            </w:tcBorders>
          </w:tcPr>
          <w:p w14:paraId="4D92532F" w14:textId="77777777" w:rsidR="00E96FCA" w:rsidRPr="00984B47" w:rsidRDefault="00E96FCA" w:rsidP="00212261">
            <w:pPr>
              <w:spacing w:before="0" w:after="0"/>
              <w:ind w:left="-11"/>
              <w:rPr>
                <w:sz w:val="16"/>
                <w:szCs w:val="16"/>
              </w:rPr>
            </w:pPr>
          </w:p>
        </w:tc>
      </w:tr>
      <w:tr w:rsidR="003402DB" w:rsidRPr="00152E18" w14:paraId="0311164B" w14:textId="77777777" w:rsidTr="003412F4">
        <w:tc>
          <w:tcPr>
            <w:tcW w:w="6238" w:type="dxa"/>
            <w:vMerge w:val="restart"/>
            <w:tcBorders>
              <w:top w:val="nil"/>
              <w:left w:val="nil"/>
              <w:right w:val="single" w:sz="4" w:space="0" w:color="3366FF"/>
            </w:tcBorders>
          </w:tcPr>
          <w:p w14:paraId="747F3899" w14:textId="20854A3A" w:rsidR="003402DB" w:rsidRPr="00152E18" w:rsidRDefault="003402DB" w:rsidP="002D63E1">
            <w:pPr>
              <w:pStyle w:val="ListParagraph"/>
              <w:numPr>
                <w:ilvl w:val="0"/>
                <w:numId w:val="28"/>
              </w:numPr>
              <w:ind w:left="743" w:hanging="284"/>
              <w:contextualSpacing w:val="0"/>
              <w:jc w:val="left"/>
            </w:pPr>
            <w:r>
              <w:t>Stocktake of trainer capacity in priority skill areas determined by labour market analysis and undertake final TAA course (20 participants) for trainers in priority skill areas</w:t>
            </w:r>
          </w:p>
        </w:tc>
        <w:tc>
          <w:tcPr>
            <w:tcW w:w="284" w:type="dxa"/>
            <w:vMerge w:val="restart"/>
            <w:tcBorders>
              <w:top w:val="nil"/>
              <w:left w:val="single" w:sz="4" w:space="0" w:color="3366FF"/>
              <w:right w:val="single" w:sz="4" w:space="0" w:color="0000FF"/>
            </w:tcBorders>
          </w:tcPr>
          <w:p w14:paraId="4FAB30A7" w14:textId="77777777" w:rsidR="003402DB" w:rsidRPr="00984B47" w:rsidRDefault="003402D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576663C" w14:textId="77777777" w:rsidR="003402DB" w:rsidRPr="00984B47" w:rsidRDefault="003402D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A3CF765" w14:textId="77777777" w:rsidR="003402DB" w:rsidRPr="00984B47" w:rsidRDefault="003402D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FEBB13C" w14:textId="77777777" w:rsidR="003402DB" w:rsidRPr="00984B47" w:rsidRDefault="003402D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FFB38F1" w14:textId="77777777" w:rsidR="003402DB" w:rsidRPr="00984B47" w:rsidRDefault="003402D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3C44FFE" w14:textId="77777777" w:rsidR="003402DB" w:rsidRPr="00984B47" w:rsidRDefault="003402DB"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3D3D7FF7" w14:textId="77777777" w:rsidR="003402DB" w:rsidRPr="00984B47" w:rsidRDefault="003402D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B630583" w14:textId="77777777" w:rsidR="003402DB" w:rsidRPr="00984B47" w:rsidRDefault="003402DB"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20D76A2D" w14:textId="77777777" w:rsidR="003402DB" w:rsidRPr="00984B47" w:rsidRDefault="003402DB" w:rsidP="00212261">
            <w:pPr>
              <w:spacing w:before="0" w:after="0"/>
              <w:ind w:left="-11"/>
              <w:rPr>
                <w:sz w:val="16"/>
                <w:szCs w:val="16"/>
              </w:rPr>
            </w:pPr>
          </w:p>
        </w:tc>
      </w:tr>
      <w:tr w:rsidR="003402DB" w:rsidRPr="00152E18" w14:paraId="44430F40" w14:textId="77777777" w:rsidTr="003412F4">
        <w:trPr>
          <w:trHeight w:val="498"/>
        </w:trPr>
        <w:tc>
          <w:tcPr>
            <w:tcW w:w="6238" w:type="dxa"/>
            <w:vMerge/>
            <w:tcBorders>
              <w:left w:val="nil"/>
              <w:right w:val="single" w:sz="4" w:space="0" w:color="3366FF"/>
            </w:tcBorders>
          </w:tcPr>
          <w:p w14:paraId="1ED42822" w14:textId="77777777" w:rsidR="003402DB" w:rsidRDefault="003402DB" w:rsidP="002D63E1">
            <w:pPr>
              <w:pStyle w:val="ListParagraph"/>
              <w:numPr>
                <w:ilvl w:val="0"/>
                <w:numId w:val="28"/>
              </w:numPr>
              <w:ind w:left="743" w:hanging="284"/>
              <w:contextualSpacing w:val="0"/>
              <w:jc w:val="left"/>
            </w:pPr>
          </w:p>
        </w:tc>
        <w:tc>
          <w:tcPr>
            <w:tcW w:w="284" w:type="dxa"/>
            <w:vMerge/>
            <w:tcBorders>
              <w:left w:val="single" w:sz="4" w:space="0" w:color="3366FF"/>
              <w:right w:val="single" w:sz="4" w:space="0" w:color="0000FF"/>
            </w:tcBorders>
          </w:tcPr>
          <w:p w14:paraId="4C145ADF" w14:textId="77777777" w:rsidR="003402DB" w:rsidRPr="00984B47" w:rsidRDefault="003402DB" w:rsidP="00212261">
            <w:pPr>
              <w:spacing w:before="0" w:after="0"/>
              <w:ind w:left="-11"/>
              <w:rPr>
                <w:sz w:val="16"/>
                <w:szCs w:val="16"/>
              </w:rPr>
            </w:pPr>
          </w:p>
        </w:tc>
        <w:tc>
          <w:tcPr>
            <w:tcW w:w="283" w:type="dxa"/>
            <w:vMerge/>
            <w:tcBorders>
              <w:left w:val="single" w:sz="4" w:space="0" w:color="0000FF"/>
              <w:right w:val="single" w:sz="4" w:space="0" w:color="0000FF"/>
            </w:tcBorders>
          </w:tcPr>
          <w:p w14:paraId="43EEF188" w14:textId="77777777" w:rsidR="003402DB" w:rsidRPr="00984B47" w:rsidRDefault="003402DB" w:rsidP="00212261">
            <w:pPr>
              <w:spacing w:before="0" w:after="0"/>
              <w:ind w:left="-11"/>
              <w:rPr>
                <w:sz w:val="16"/>
                <w:szCs w:val="16"/>
              </w:rPr>
            </w:pPr>
          </w:p>
        </w:tc>
        <w:tc>
          <w:tcPr>
            <w:tcW w:w="284" w:type="dxa"/>
            <w:vMerge/>
            <w:tcBorders>
              <w:left w:val="single" w:sz="4" w:space="0" w:color="0000FF"/>
              <w:right w:val="single" w:sz="4" w:space="0" w:color="0000FF"/>
            </w:tcBorders>
          </w:tcPr>
          <w:p w14:paraId="40B4C40D" w14:textId="77777777" w:rsidR="003402DB" w:rsidRPr="00984B47" w:rsidRDefault="003402DB" w:rsidP="00212261">
            <w:pPr>
              <w:spacing w:before="0" w:after="0"/>
              <w:ind w:left="-11"/>
              <w:rPr>
                <w:sz w:val="16"/>
                <w:szCs w:val="16"/>
              </w:rPr>
            </w:pPr>
          </w:p>
        </w:tc>
        <w:tc>
          <w:tcPr>
            <w:tcW w:w="283" w:type="dxa"/>
            <w:vMerge/>
            <w:tcBorders>
              <w:left w:val="single" w:sz="4" w:space="0" w:color="0000FF"/>
              <w:right w:val="single" w:sz="4" w:space="0" w:color="0000FF"/>
            </w:tcBorders>
          </w:tcPr>
          <w:p w14:paraId="71D1F1CC" w14:textId="77777777" w:rsidR="003402DB" w:rsidRPr="00984B47" w:rsidRDefault="003402DB" w:rsidP="00212261">
            <w:pPr>
              <w:spacing w:before="0" w:after="0"/>
              <w:ind w:left="-11"/>
              <w:rPr>
                <w:sz w:val="16"/>
                <w:szCs w:val="16"/>
              </w:rPr>
            </w:pPr>
          </w:p>
        </w:tc>
        <w:tc>
          <w:tcPr>
            <w:tcW w:w="283" w:type="dxa"/>
            <w:vMerge/>
            <w:tcBorders>
              <w:left w:val="single" w:sz="4" w:space="0" w:color="0000FF"/>
              <w:right w:val="single" w:sz="4" w:space="0" w:color="0000FF"/>
            </w:tcBorders>
          </w:tcPr>
          <w:p w14:paraId="1E361F77" w14:textId="77777777" w:rsidR="003402DB" w:rsidRPr="00984B47" w:rsidRDefault="003402DB" w:rsidP="00212261">
            <w:pPr>
              <w:spacing w:before="0" w:after="0"/>
              <w:ind w:left="-11"/>
              <w:rPr>
                <w:sz w:val="16"/>
                <w:szCs w:val="16"/>
              </w:rPr>
            </w:pPr>
          </w:p>
        </w:tc>
        <w:tc>
          <w:tcPr>
            <w:tcW w:w="284" w:type="dxa"/>
            <w:vMerge/>
            <w:tcBorders>
              <w:left w:val="single" w:sz="4" w:space="0" w:color="0000FF"/>
              <w:right w:val="single" w:sz="4" w:space="0" w:color="0000FF"/>
            </w:tcBorders>
          </w:tcPr>
          <w:p w14:paraId="1D61D18E" w14:textId="77777777" w:rsidR="003402DB" w:rsidRPr="00984B47" w:rsidRDefault="003402DB" w:rsidP="00212261">
            <w:pPr>
              <w:spacing w:before="0" w:after="0"/>
              <w:ind w:left="-11"/>
              <w:rPr>
                <w:sz w:val="16"/>
                <w:szCs w:val="16"/>
              </w:rPr>
            </w:pPr>
          </w:p>
        </w:tc>
        <w:tc>
          <w:tcPr>
            <w:tcW w:w="284" w:type="dxa"/>
            <w:vMerge w:val="restart"/>
            <w:tcBorders>
              <w:top w:val="thinThickThinSmallGap" w:sz="48" w:space="0" w:color="0000FF"/>
              <w:left w:val="single" w:sz="4" w:space="0" w:color="0000FF"/>
              <w:right w:val="single" w:sz="4" w:space="0" w:color="0000FF"/>
            </w:tcBorders>
          </w:tcPr>
          <w:p w14:paraId="4CB0E656" w14:textId="77777777" w:rsidR="003402DB" w:rsidRPr="00984B47" w:rsidRDefault="003402DB"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39816276" w14:textId="77777777" w:rsidR="003402DB" w:rsidRPr="00984B47" w:rsidRDefault="003402DB" w:rsidP="00212261">
            <w:pPr>
              <w:spacing w:before="0" w:after="0"/>
              <w:ind w:left="-11"/>
              <w:rPr>
                <w:sz w:val="16"/>
                <w:szCs w:val="16"/>
              </w:rPr>
            </w:pPr>
          </w:p>
        </w:tc>
        <w:tc>
          <w:tcPr>
            <w:tcW w:w="285" w:type="dxa"/>
            <w:vMerge/>
            <w:tcBorders>
              <w:left w:val="single" w:sz="4" w:space="0" w:color="0000FF"/>
              <w:bottom w:val="thinThickThinSmallGap" w:sz="48" w:space="0" w:color="0000FF"/>
              <w:right w:val="single" w:sz="4" w:space="0" w:color="0000FF"/>
            </w:tcBorders>
          </w:tcPr>
          <w:p w14:paraId="33AB0DF4" w14:textId="77777777" w:rsidR="003402DB" w:rsidRPr="00984B47" w:rsidRDefault="003402DB" w:rsidP="00212261">
            <w:pPr>
              <w:spacing w:before="0" w:after="0"/>
              <w:ind w:left="-11"/>
              <w:rPr>
                <w:sz w:val="16"/>
                <w:szCs w:val="16"/>
              </w:rPr>
            </w:pPr>
          </w:p>
        </w:tc>
      </w:tr>
      <w:tr w:rsidR="003402DB" w:rsidRPr="00152E18" w14:paraId="0C1AD52D" w14:textId="77777777" w:rsidTr="003412F4">
        <w:trPr>
          <w:trHeight w:val="23"/>
        </w:trPr>
        <w:tc>
          <w:tcPr>
            <w:tcW w:w="6238" w:type="dxa"/>
            <w:vMerge/>
            <w:tcBorders>
              <w:left w:val="nil"/>
              <w:bottom w:val="nil"/>
              <w:right w:val="single" w:sz="4" w:space="0" w:color="3366FF"/>
            </w:tcBorders>
          </w:tcPr>
          <w:p w14:paraId="2D88497D" w14:textId="77777777" w:rsidR="003402DB" w:rsidRDefault="003402DB"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6077FE60" w14:textId="77777777" w:rsidR="003402DB" w:rsidRPr="00984B47" w:rsidRDefault="003402D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6668B07" w14:textId="77777777" w:rsidR="003402DB" w:rsidRPr="00984B47" w:rsidRDefault="003402D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56F089CC" w14:textId="77777777" w:rsidR="003402DB" w:rsidRPr="00984B47" w:rsidRDefault="003402D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4E3337E" w14:textId="77777777" w:rsidR="003402DB" w:rsidRPr="00984B47" w:rsidRDefault="003402D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B3B678C" w14:textId="77777777" w:rsidR="003402DB" w:rsidRPr="00984B47" w:rsidRDefault="003402D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10072F3" w14:textId="77777777" w:rsidR="003402DB" w:rsidRPr="00984B47" w:rsidRDefault="003402D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946AF50" w14:textId="77777777" w:rsidR="003402DB" w:rsidRPr="00984B47" w:rsidRDefault="003402DB"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27C08481" w14:textId="77777777" w:rsidR="003402DB" w:rsidRPr="00984B47" w:rsidRDefault="003402DB" w:rsidP="00212261">
            <w:pPr>
              <w:spacing w:before="0" w:after="0"/>
              <w:ind w:left="-11"/>
              <w:rPr>
                <w:sz w:val="16"/>
                <w:szCs w:val="16"/>
              </w:rPr>
            </w:pPr>
          </w:p>
        </w:tc>
        <w:tc>
          <w:tcPr>
            <w:tcW w:w="285" w:type="dxa"/>
            <w:tcBorders>
              <w:top w:val="thinThickThinSmallGap" w:sz="48" w:space="0" w:color="0000FF"/>
              <w:left w:val="single" w:sz="4" w:space="0" w:color="0000FF"/>
              <w:bottom w:val="nil"/>
              <w:right w:val="single" w:sz="4" w:space="0" w:color="0000FF"/>
            </w:tcBorders>
          </w:tcPr>
          <w:p w14:paraId="1FA806D5" w14:textId="77777777" w:rsidR="003402DB" w:rsidRPr="00984B47" w:rsidRDefault="003402DB" w:rsidP="00212261">
            <w:pPr>
              <w:spacing w:before="0" w:after="0"/>
              <w:ind w:left="-11"/>
              <w:rPr>
                <w:sz w:val="16"/>
                <w:szCs w:val="16"/>
              </w:rPr>
            </w:pPr>
          </w:p>
        </w:tc>
      </w:tr>
      <w:tr w:rsidR="00212261" w:rsidRPr="00152E18" w14:paraId="72FE82EF" w14:textId="77777777" w:rsidTr="003412F4">
        <w:tc>
          <w:tcPr>
            <w:tcW w:w="6238" w:type="dxa"/>
            <w:vMerge w:val="restart"/>
            <w:tcBorders>
              <w:top w:val="nil"/>
              <w:left w:val="nil"/>
              <w:right w:val="single" w:sz="4" w:space="0" w:color="3366FF"/>
            </w:tcBorders>
          </w:tcPr>
          <w:p w14:paraId="1A2CA8CE" w14:textId="41EE1E6D" w:rsidR="00212261" w:rsidRPr="00152E18" w:rsidRDefault="00AA71F1" w:rsidP="002D63E1">
            <w:pPr>
              <w:pStyle w:val="ListParagraph"/>
              <w:numPr>
                <w:ilvl w:val="0"/>
                <w:numId w:val="28"/>
              </w:numPr>
              <w:ind w:left="743" w:hanging="284"/>
              <w:contextualSpacing w:val="0"/>
              <w:jc w:val="left"/>
            </w:pPr>
            <w:r>
              <w:t>Conduct one c</w:t>
            </w:r>
            <w:r w:rsidR="00212261">
              <w:t>apacity building workshop on good practice use and maintenance of workshop equipment</w:t>
            </w:r>
          </w:p>
        </w:tc>
        <w:tc>
          <w:tcPr>
            <w:tcW w:w="284" w:type="dxa"/>
            <w:vMerge w:val="restart"/>
            <w:tcBorders>
              <w:top w:val="nil"/>
              <w:left w:val="single" w:sz="4" w:space="0" w:color="3366FF"/>
              <w:right w:val="single" w:sz="4" w:space="0" w:color="0000FF"/>
            </w:tcBorders>
          </w:tcPr>
          <w:p w14:paraId="3E549E49"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4F4919E1"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272B1E4"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51F59E9"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EC91091"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28D6B1B"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652E23E"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4BE52E5" w14:textId="77777777" w:rsidR="00212261" w:rsidRPr="00984B47" w:rsidRDefault="00212261"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647EE405" w14:textId="77777777" w:rsidR="00212261" w:rsidRPr="00984B47" w:rsidRDefault="00212261" w:rsidP="00212261">
            <w:pPr>
              <w:spacing w:before="0" w:after="0"/>
              <w:ind w:left="-11"/>
              <w:rPr>
                <w:sz w:val="16"/>
                <w:szCs w:val="16"/>
              </w:rPr>
            </w:pPr>
          </w:p>
        </w:tc>
      </w:tr>
      <w:tr w:rsidR="00212261" w:rsidRPr="00152E18" w14:paraId="2B76F55F" w14:textId="77777777" w:rsidTr="003412F4">
        <w:tc>
          <w:tcPr>
            <w:tcW w:w="6238" w:type="dxa"/>
            <w:vMerge/>
            <w:tcBorders>
              <w:left w:val="nil"/>
              <w:bottom w:val="nil"/>
              <w:right w:val="single" w:sz="4" w:space="0" w:color="3366FF"/>
            </w:tcBorders>
          </w:tcPr>
          <w:p w14:paraId="72CEADA2" w14:textId="77777777" w:rsidR="00212261" w:rsidRDefault="00212261"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7DE803E1"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48E9BB76"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9C966EC"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E7E4965"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DD2837A"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00ACCB7"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95C69CF"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954289B" w14:textId="77777777" w:rsidR="00212261" w:rsidRPr="00984B47" w:rsidRDefault="00212261"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4CA68631" w14:textId="77777777" w:rsidR="00212261" w:rsidRPr="00984B47" w:rsidRDefault="00212261" w:rsidP="00212261">
            <w:pPr>
              <w:spacing w:before="0" w:after="0"/>
              <w:ind w:left="-11"/>
              <w:rPr>
                <w:sz w:val="16"/>
                <w:szCs w:val="16"/>
              </w:rPr>
            </w:pPr>
          </w:p>
        </w:tc>
      </w:tr>
      <w:tr w:rsidR="00212261" w:rsidRPr="00152E18" w14:paraId="0D6EB92F" w14:textId="77777777" w:rsidTr="003412F4">
        <w:tc>
          <w:tcPr>
            <w:tcW w:w="6238" w:type="dxa"/>
            <w:vMerge w:val="restart"/>
            <w:tcBorders>
              <w:top w:val="nil"/>
              <w:left w:val="nil"/>
              <w:right w:val="single" w:sz="4" w:space="0" w:color="3366FF"/>
            </w:tcBorders>
          </w:tcPr>
          <w:p w14:paraId="7C932445" w14:textId="77777777" w:rsidR="00212261" w:rsidRDefault="00212261" w:rsidP="002D63E1">
            <w:pPr>
              <w:pStyle w:val="ListParagraph"/>
              <w:numPr>
                <w:ilvl w:val="0"/>
                <w:numId w:val="28"/>
              </w:numPr>
              <w:ind w:left="743" w:hanging="284"/>
              <w:contextualSpacing w:val="0"/>
              <w:jc w:val="left"/>
            </w:pPr>
            <w:r>
              <w:t>Conduct annual review of equipment grant allocations and prepare annual report including financial acquittal</w:t>
            </w:r>
          </w:p>
          <w:p w14:paraId="41E9A85F" w14:textId="052E906E" w:rsidR="00C71592" w:rsidRDefault="00C71592" w:rsidP="00C71592">
            <w:pPr>
              <w:pStyle w:val="ListParagraph"/>
              <w:ind w:left="743"/>
              <w:contextualSpacing w:val="0"/>
              <w:jc w:val="left"/>
            </w:pPr>
          </w:p>
        </w:tc>
        <w:tc>
          <w:tcPr>
            <w:tcW w:w="284" w:type="dxa"/>
            <w:vMerge w:val="restart"/>
            <w:tcBorders>
              <w:top w:val="nil"/>
              <w:left w:val="single" w:sz="4" w:space="0" w:color="3366FF"/>
              <w:right w:val="single" w:sz="4" w:space="0" w:color="0000FF"/>
            </w:tcBorders>
          </w:tcPr>
          <w:p w14:paraId="3BED1D27"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2843671"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5293549"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8EE201D"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7252D645" w14:textId="77777777" w:rsidR="00212261" w:rsidRPr="00984B47" w:rsidRDefault="00212261"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6EF2F7D2"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A1A1CB6"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6CC61D6" w14:textId="77777777" w:rsidR="00212261" w:rsidRPr="00984B47" w:rsidRDefault="00212261"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79D221FC" w14:textId="77777777" w:rsidR="00212261" w:rsidRPr="00984B47" w:rsidRDefault="00212261" w:rsidP="00212261">
            <w:pPr>
              <w:spacing w:before="0" w:after="0"/>
              <w:ind w:left="-11"/>
              <w:rPr>
                <w:sz w:val="16"/>
                <w:szCs w:val="16"/>
              </w:rPr>
            </w:pPr>
          </w:p>
        </w:tc>
      </w:tr>
      <w:tr w:rsidR="00212261" w:rsidRPr="00152E18" w14:paraId="151BB2A8" w14:textId="77777777" w:rsidTr="003412F4">
        <w:tc>
          <w:tcPr>
            <w:tcW w:w="6238" w:type="dxa"/>
            <w:vMerge/>
            <w:tcBorders>
              <w:left w:val="nil"/>
              <w:bottom w:val="nil"/>
              <w:right w:val="single" w:sz="4" w:space="0" w:color="3366FF"/>
            </w:tcBorders>
          </w:tcPr>
          <w:p w14:paraId="12FC5152" w14:textId="77777777" w:rsidR="00212261" w:rsidRDefault="00212261" w:rsidP="003402DB">
            <w:pPr>
              <w:pStyle w:val="ListParagraph"/>
              <w:numPr>
                <w:ilvl w:val="0"/>
                <w:numId w:val="28"/>
              </w:numPr>
              <w:ind w:left="131" w:hanging="142"/>
              <w:contextualSpacing w:val="0"/>
              <w:jc w:val="left"/>
            </w:pPr>
          </w:p>
        </w:tc>
        <w:tc>
          <w:tcPr>
            <w:tcW w:w="284" w:type="dxa"/>
            <w:vMerge/>
            <w:tcBorders>
              <w:left w:val="single" w:sz="4" w:space="0" w:color="3366FF"/>
              <w:bottom w:val="nil"/>
              <w:right w:val="single" w:sz="4" w:space="0" w:color="0000FF"/>
            </w:tcBorders>
          </w:tcPr>
          <w:p w14:paraId="74C870B5"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898B941"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607C2DD"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2CB605F"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1F3CC5F3" w14:textId="77777777" w:rsidR="00212261" w:rsidRPr="00984B47" w:rsidRDefault="00212261"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7982BFE9"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809362C"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46FF873" w14:textId="77777777" w:rsidR="00212261" w:rsidRPr="00984B47" w:rsidRDefault="00212261"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569B0BAC" w14:textId="77777777" w:rsidR="00212261" w:rsidRPr="00984B47" w:rsidRDefault="00212261" w:rsidP="00212261">
            <w:pPr>
              <w:spacing w:before="0" w:after="0"/>
              <w:ind w:left="-11"/>
              <w:rPr>
                <w:sz w:val="16"/>
                <w:szCs w:val="16"/>
              </w:rPr>
            </w:pPr>
          </w:p>
        </w:tc>
      </w:tr>
      <w:tr w:rsidR="00214632" w:rsidRPr="00152E18" w14:paraId="1E0FF9DA" w14:textId="77777777" w:rsidTr="003412F4">
        <w:tc>
          <w:tcPr>
            <w:tcW w:w="6238" w:type="dxa"/>
            <w:tcBorders>
              <w:top w:val="nil"/>
              <w:left w:val="nil"/>
              <w:bottom w:val="nil"/>
              <w:right w:val="single" w:sz="4" w:space="0" w:color="3366FF"/>
            </w:tcBorders>
          </w:tcPr>
          <w:p w14:paraId="423ABC6C" w14:textId="55B5442E" w:rsidR="00214632" w:rsidRPr="00214632" w:rsidRDefault="00214632" w:rsidP="003402DB">
            <w:pPr>
              <w:ind w:left="459" w:hanging="459"/>
              <w:jc w:val="left"/>
              <w:rPr>
                <w:b/>
              </w:rPr>
            </w:pPr>
            <w:r>
              <w:rPr>
                <w:b/>
              </w:rPr>
              <w:lastRenderedPageBreak/>
              <w:t>1.4</w:t>
            </w:r>
            <w:r>
              <w:rPr>
                <w:b/>
              </w:rPr>
              <w:tab/>
              <w:t>Alternative Pathways</w:t>
            </w:r>
          </w:p>
        </w:tc>
        <w:tc>
          <w:tcPr>
            <w:tcW w:w="284" w:type="dxa"/>
            <w:tcBorders>
              <w:top w:val="nil"/>
              <w:left w:val="single" w:sz="4" w:space="0" w:color="3366FF"/>
              <w:bottom w:val="nil"/>
              <w:right w:val="single" w:sz="4" w:space="0" w:color="0000FF"/>
            </w:tcBorders>
          </w:tcPr>
          <w:p w14:paraId="625B5AEB" w14:textId="77777777" w:rsidR="00214632" w:rsidRPr="00984B47" w:rsidRDefault="00214632"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65BBC17C" w14:textId="77777777" w:rsidR="00214632" w:rsidRPr="00984B47" w:rsidRDefault="00214632"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6EFAA343" w14:textId="77777777" w:rsidR="00214632" w:rsidRPr="00984B47" w:rsidRDefault="00214632"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0562CCA" w14:textId="77777777" w:rsidR="00214632" w:rsidRPr="00984B47" w:rsidRDefault="00214632"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5010725" w14:textId="77777777" w:rsidR="00214632" w:rsidRPr="00984B47" w:rsidRDefault="00214632"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337BCE0A" w14:textId="77777777" w:rsidR="00214632" w:rsidRPr="00984B47" w:rsidRDefault="00214632"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2F9C26EE" w14:textId="77777777" w:rsidR="00214632" w:rsidRPr="00984B47" w:rsidRDefault="00214632"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148E5560" w14:textId="77777777" w:rsidR="00214632" w:rsidRPr="00984B47" w:rsidRDefault="00214632" w:rsidP="00212261">
            <w:pPr>
              <w:spacing w:before="0" w:after="0"/>
              <w:ind w:left="-11"/>
              <w:rPr>
                <w:sz w:val="16"/>
                <w:szCs w:val="16"/>
              </w:rPr>
            </w:pPr>
          </w:p>
        </w:tc>
        <w:tc>
          <w:tcPr>
            <w:tcW w:w="285" w:type="dxa"/>
            <w:tcBorders>
              <w:top w:val="nil"/>
              <w:left w:val="single" w:sz="4" w:space="0" w:color="0000FF"/>
              <w:bottom w:val="nil"/>
              <w:right w:val="single" w:sz="4" w:space="0" w:color="0000FF"/>
            </w:tcBorders>
          </w:tcPr>
          <w:p w14:paraId="336E0058" w14:textId="77777777" w:rsidR="00214632" w:rsidRPr="00984B47" w:rsidRDefault="00214632" w:rsidP="00212261">
            <w:pPr>
              <w:spacing w:before="0" w:after="0"/>
              <w:ind w:left="-11"/>
              <w:rPr>
                <w:sz w:val="16"/>
                <w:szCs w:val="16"/>
              </w:rPr>
            </w:pPr>
          </w:p>
        </w:tc>
      </w:tr>
      <w:tr w:rsidR="00212261" w:rsidRPr="00152E18" w14:paraId="486E3006" w14:textId="77777777" w:rsidTr="003412F4">
        <w:tc>
          <w:tcPr>
            <w:tcW w:w="6238" w:type="dxa"/>
            <w:vMerge w:val="restart"/>
            <w:tcBorders>
              <w:top w:val="nil"/>
              <w:left w:val="nil"/>
              <w:right w:val="single" w:sz="4" w:space="0" w:color="3366FF"/>
            </w:tcBorders>
          </w:tcPr>
          <w:p w14:paraId="4D40234A" w14:textId="286636FE" w:rsidR="00212261" w:rsidRPr="003402DB" w:rsidRDefault="00212261" w:rsidP="002D63E1">
            <w:pPr>
              <w:pStyle w:val="ListParagraph"/>
              <w:numPr>
                <w:ilvl w:val="0"/>
                <w:numId w:val="28"/>
              </w:numPr>
              <w:ind w:left="743" w:hanging="284"/>
              <w:contextualSpacing w:val="0"/>
              <w:jc w:val="left"/>
            </w:pPr>
            <w:r w:rsidRPr="003402DB">
              <w:t>Continue</w:t>
            </w:r>
            <w:r>
              <w:t xml:space="preserve"> to provide technical assistance through local APW adviser</w:t>
            </w:r>
          </w:p>
        </w:tc>
        <w:tc>
          <w:tcPr>
            <w:tcW w:w="284" w:type="dxa"/>
            <w:tcBorders>
              <w:top w:val="nil"/>
              <w:left w:val="single" w:sz="4" w:space="0" w:color="3366FF"/>
              <w:bottom w:val="thinThickThinSmallGap" w:sz="48" w:space="0" w:color="0000FF"/>
              <w:right w:val="single" w:sz="4" w:space="0" w:color="0000FF"/>
            </w:tcBorders>
          </w:tcPr>
          <w:p w14:paraId="3096B86F"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212E390B" w14:textId="77777777" w:rsidR="00212261" w:rsidRPr="00984B47" w:rsidRDefault="00212261"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054F0FC0"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451BE76E"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5A8A4705"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5D35F6A" w14:textId="77777777" w:rsidR="00212261" w:rsidRPr="00984B47" w:rsidRDefault="00212261"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19001BC2" w14:textId="77777777" w:rsidR="00212261" w:rsidRPr="00984B47" w:rsidRDefault="00212261"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435A86F" w14:textId="77777777" w:rsidR="00212261" w:rsidRPr="00984B47" w:rsidRDefault="00212261"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098B84B1" w14:textId="77777777" w:rsidR="00212261" w:rsidRPr="00984B47" w:rsidRDefault="00212261" w:rsidP="00212261">
            <w:pPr>
              <w:spacing w:before="0" w:after="0"/>
              <w:ind w:left="-11"/>
              <w:rPr>
                <w:sz w:val="16"/>
                <w:szCs w:val="16"/>
              </w:rPr>
            </w:pPr>
          </w:p>
        </w:tc>
      </w:tr>
      <w:tr w:rsidR="00212261" w:rsidRPr="00152E18" w14:paraId="5A295858" w14:textId="77777777" w:rsidTr="003412F4">
        <w:tc>
          <w:tcPr>
            <w:tcW w:w="6238" w:type="dxa"/>
            <w:vMerge/>
            <w:tcBorders>
              <w:left w:val="nil"/>
              <w:bottom w:val="nil"/>
              <w:right w:val="single" w:sz="4" w:space="0" w:color="3366FF"/>
            </w:tcBorders>
          </w:tcPr>
          <w:p w14:paraId="2DD86B65" w14:textId="77777777" w:rsidR="00212261" w:rsidRPr="003402DB" w:rsidRDefault="00212261" w:rsidP="002D63E1">
            <w:pPr>
              <w:pStyle w:val="ListParagraph"/>
              <w:numPr>
                <w:ilvl w:val="0"/>
                <w:numId w:val="28"/>
              </w:numPr>
              <w:ind w:left="743" w:hanging="284"/>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629CCB7E"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34379DC1" w14:textId="77777777" w:rsidR="00212261" w:rsidRPr="00984B47" w:rsidRDefault="00212261"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54ABCE0D"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5E0CB9DD"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294337C4"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2BF23F0" w14:textId="77777777" w:rsidR="00212261" w:rsidRPr="00984B47" w:rsidRDefault="00212261"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9D25779" w14:textId="77777777" w:rsidR="00212261" w:rsidRPr="00984B47" w:rsidRDefault="00212261"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5729A05" w14:textId="77777777" w:rsidR="00212261" w:rsidRPr="00984B47" w:rsidRDefault="00212261"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88B7C39" w14:textId="77777777" w:rsidR="00212261" w:rsidRPr="00984B47" w:rsidRDefault="00212261" w:rsidP="00212261">
            <w:pPr>
              <w:spacing w:before="0" w:after="0"/>
              <w:ind w:left="-11"/>
              <w:rPr>
                <w:sz w:val="16"/>
                <w:szCs w:val="16"/>
              </w:rPr>
            </w:pPr>
          </w:p>
        </w:tc>
      </w:tr>
      <w:tr w:rsidR="00212261" w:rsidRPr="00152E18" w14:paraId="5771A84F" w14:textId="77777777" w:rsidTr="003412F4">
        <w:tc>
          <w:tcPr>
            <w:tcW w:w="6238" w:type="dxa"/>
            <w:vMerge w:val="restart"/>
            <w:tcBorders>
              <w:top w:val="nil"/>
              <w:left w:val="nil"/>
              <w:right w:val="single" w:sz="4" w:space="0" w:color="3366FF"/>
            </w:tcBorders>
          </w:tcPr>
          <w:p w14:paraId="5DEEF9E4" w14:textId="39509EEE" w:rsidR="00212261" w:rsidRPr="00212261" w:rsidRDefault="00212261" w:rsidP="002D63E1">
            <w:pPr>
              <w:pStyle w:val="ListParagraph"/>
              <w:numPr>
                <w:ilvl w:val="0"/>
                <w:numId w:val="28"/>
              </w:numPr>
              <w:ind w:left="743" w:hanging="284"/>
              <w:contextualSpacing w:val="0"/>
              <w:jc w:val="left"/>
            </w:pPr>
            <w:r w:rsidRPr="00212261">
              <w:t xml:space="preserve">Continue </w:t>
            </w:r>
            <w:r>
              <w:t>to support APW pilot through PTM</w:t>
            </w:r>
          </w:p>
        </w:tc>
        <w:tc>
          <w:tcPr>
            <w:tcW w:w="284" w:type="dxa"/>
            <w:tcBorders>
              <w:top w:val="nil"/>
              <w:left w:val="single" w:sz="4" w:space="0" w:color="3366FF"/>
              <w:bottom w:val="thinThickThinSmallGap" w:sz="48" w:space="0" w:color="0000FF"/>
              <w:right w:val="single" w:sz="4" w:space="0" w:color="0000FF"/>
            </w:tcBorders>
          </w:tcPr>
          <w:p w14:paraId="33F58595"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6D12723A" w14:textId="77777777" w:rsidR="00212261" w:rsidRPr="00984B47" w:rsidRDefault="00212261"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77B517BF"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795D042D"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0076340E" w14:textId="77777777" w:rsidR="00212261" w:rsidRPr="00984B47" w:rsidRDefault="00212261"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51B79A62" w14:textId="77777777" w:rsidR="00212261" w:rsidRPr="00984B47" w:rsidRDefault="00212261" w:rsidP="00212261">
            <w:pPr>
              <w:spacing w:before="0" w:after="0"/>
              <w:ind w:left="-11"/>
              <w:rPr>
                <w:sz w:val="16"/>
                <w:szCs w:val="16"/>
              </w:rPr>
            </w:pPr>
          </w:p>
        </w:tc>
        <w:tc>
          <w:tcPr>
            <w:tcW w:w="284" w:type="dxa"/>
            <w:tcBorders>
              <w:top w:val="nil"/>
              <w:left w:val="single" w:sz="4" w:space="0" w:color="0000FF"/>
              <w:bottom w:val="thinThickThinSmallGap" w:sz="48" w:space="0" w:color="0000FF"/>
              <w:right w:val="single" w:sz="4" w:space="0" w:color="0000FF"/>
            </w:tcBorders>
          </w:tcPr>
          <w:p w14:paraId="0BAA7C45" w14:textId="77777777" w:rsidR="00212261" w:rsidRPr="00984B47" w:rsidRDefault="00212261"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266E19C4" w14:textId="77777777" w:rsidR="00212261" w:rsidRPr="00984B47" w:rsidRDefault="00212261" w:rsidP="00212261">
            <w:pPr>
              <w:spacing w:before="0" w:after="0"/>
              <w:ind w:left="-11"/>
              <w:rPr>
                <w:sz w:val="16"/>
                <w:szCs w:val="16"/>
              </w:rPr>
            </w:pPr>
          </w:p>
        </w:tc>
        <w:tc>
          <w:tcPr>
            <w:tcW w:w="285" w:type="dxa"/>
            <w:tcBorders>
              <w:top w:val="nil"/>
              <w:left w:val="single" w:sz="4" w:space="0" w:color="0000FF"/>
              <w:bottom w:val="thinThickThinSmallGap" w:sz="48" w:space="0" w:color="0000FF"/>
              <w:right w:val="single" w:sz="4" w:space="0" w:color="0000FF"/>
            </w:tcBorders>
          </w:tcPr>
          <w:p w14:paraId="68DF3E9B" w14:textId="77777777" w:rsidR="00212261" w:rsidRPr="00984B47" w:rsidRDefault="00212261" w:rsidP="00212261">
            <w:pPr>
              <w:spacing w:before="0" w:after="0"/>
              <w:ind w:left="-11"/>
              <w:rPr>
                <w:sz w:val="16"/>
                <w:szCs w:val="16"/>
              </w:rPr>
            </w:pPr>
          </w:p>
        </w:tc>
      </w:tr>
      <w:tr w:rsidR="00212261" w:rsidRPr="00152E18" w14:paraId="34EFFCE2" w14:textId="77777777" w:rsidTr="003412F4">
        <w:tc>
          <w:tcPr>
            <w:tcW w:w="6238" w:type="dxa"/>
            <w:vMerge/>
            <w:tcBorders>
              <w:left w:val="nil"/>
              <w:bottom w:val="nil"/>
              <w:right w:val="single" w:sz="4" w:space="0" w:color="3366FF"/>
            </w:tcBorders>
          </w:tcPr>
          <w:p w14:paraId="4DA1B02C" w14:textId="77777777" w:rsidR="00212261" w:rsidRPr="00212261" w:rsidRDefault="00212261" w:rsidP="002D63E1">
            <w:pPr>
              <w:pStyle w:val="ListParagraph"/>
              <w:numPr>
                <w:ilvl w:val="0"/>
                <w:numId w:val="28"/>
              </w:numPr>
              <w:ind w:left="743" w:hanging="284"/>
              <w:contextualSpacing w:val="0"/>
              <w:jc w:val="left"/>
            </w:pPr>
          </w:p>
        </w:tc>
        <w:tc>
          <w:tcPr>
            <w:tcW w:w="284" w:type="dxa"/>
            <w:tcBorders>
              <w:top w:val="thinThickThinSmallGap" w:sz="48" w:space="0" w:color="0000FF"/>
              <w:left w:val="single" w:sz="4" w:space="0" w:color="3366FF"/>
              <w:bottom w:val="nil"/>
              <w:right w:val="single" w:sz="4" w:space="0" w:color="0000FF"/>
            </w:tcBorders>
          </w:tcPr>
          <w:p w14:paraId="4EF06C17"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786F7B9A" w14:textId="77777777" w:rsidR="00212261" w:rsidRPr="00984B47" w:rsidRDefault="00212261"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67E5CD90"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760BE8A6"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41E91241" w14:textId="77777777" w:rsidR="00212261" w:rsidRPr="00984B47" w:rsidRDefault="00212261"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256E1B76" w14:textId="77777777" w:rsidR="00212261" w:rsidRPr="00984B47" w:rsidRDefault="00212261"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0C203B29" w14:textId="77777777" w:rsidR="00212261" w:rsidRPr="00984B47" w:rsidRDefault="00212261"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4B8A5DB3" w14:textId="77777777" w:rsidR="00212261" w:rsidRPr="00984B47" w:rsidRDefault="00212261" w:rsidP="00212261">
            <w:pPr>
              <w:spacing w:before="0" w:after="0"/>
              <w:ind w:left="-11"/>
              <w:rPr>
                <w:sz w:val="16"/>
                <w:szCs w:val="16"/>
              </w:rPr>
            </w:pPr>
          </w:p>
        </w:tc>
        <w:tc>
          <w:tcPr>
            <w:tcW w:w="285" w:type="dxa"/>
            <w:tcBorders>
              <w:top w:val="thinThickThinSmallGap" w:sz="48" w:space="0" w:color="0000FF"/>
              <w:left w:val="single" w:sz="4" w:space="0" w:color="0000FF"/>
              <w:bottom w:val="nil"/>
              <w:right w:val="single" w:sz="4" w:space="0" w:color="0000FF"/>
            </w:tcBorders>
          </w:tcPr>
          <w:p w14:paraId="163972A6" w14:textId="77777777" w:rsidR="00212261" w:rsidRPr="00984B47" w:rsidRDefault="00212261" w:rsidP="00212261">
            <w:pPr>
              <w:spacing w:before="0" w:after="0"/>
              <w:ind w:left="-11"/>
              <w:rPr>
                <w:sz w:val="16"/>
                <w:szCs w:val="16"/>
              </w:rPr>
            </w:pPr>
          </w:p>
        </w:tc>
      </w:tr>
      <w:tr w:rsidR="00C56E9E" w:rsidRPr="00152E18" w14:paraId="316C723D" w14:textId="77777777" w:rsidTr="003412F4">
        <w:tc>
          <w:tcPr>
            <w:tcW w:w="6238" w:type="dxa"/>
            <w:vMerge w:val="restart"/>
            <w:tcBorders>
              <w:top w:val="nil"/>
              <w:left w:val="nil"/>
              <w:right w:val="single" w:sz="4" w:space="0" w:color="3366FF"/>
            </w:tcBorders>
          </w:tcPr>
          <w:p w14:paraId="71EA105F" w14:textId="5CA557D9" w:rsidR="00C56E9E" w:rsidRDefault="00C56E9E" w:rsidP="002D63E1">
            <w:pPr>
              <w:pStyle w:val="ListParagraph"/>
              <w:numPr>
                <w:ilvl w:val="0"/>
                <w:numId w:val="28"/>
              </w:numPr>
              <w:ind w:left="743" w:hanging="284"/>
              <w:contextualSpacing w:val="0"/>
              <w:jc w:val="left"/>
            </w:pPr>
            <w:r>
              <w:t xml:space="preserve">Finalise baseline data </w:t>
            </w:r>
          </w:p>
          <w:p w14:paraId="71D54A8F" w14:textId="4BC84253" w:rsidR="002D63E1" w:rsidRPr="00212261" w:rsidRDefault="002D63E1" w:rsidP="002D63E1">
            <w:pPr>
              <w:pStyle w:val="ListParagraph"/>
              <w:numPr>
                <w:ilvl w:val="0"/>
                <w:numId w:val="28"/>
              </w:numPr>
              <w:ind w:left="743" w:hanging="284"/>
              <w:contextualSpacing w:val="0"/>
              <w:jc w:val="left"/>
            </w:pPr>
            <w:r>
              <w:t>Continue to monitor APW pilot in line with M&amp;E framework</w:t>
            </w:r>
          </w:p>
        </w:tc>
        <w:tc>
          <w:tcPr>
            <w:tcW w:w="284" w:type="dxa"/>
            <w:tcBorders>
              <w:top w:val="nil"/>
              <w:left w:val="single" w:sz="4" w:space="0" w:color="3366FF"/>
              <w:bottom w:val="thinThickThinSmallGap" w:sz="48" w:space="0" w:color="0000FF"/>
              <w:right w:val="single" w:sz="4" w:space="0" w:color="0000FF"/>
            </w:tcBorders>
          </w:tcPr>
          <w:p w14:paraId="1E9A3C86" w14:textId="77777777" w:rsidR="00C56E9E" w:rsidRPr="00984B47" w:rsidRDefault="00C56E9E" w:rsidP="00212261">
            <w:pPr>
              <w:spacing w:before="0" w:after="0"/>
              <w:ind w:left="-11"/>
              <w:rPr>
                <w:sz w:val="16"/>
                <w:szCs w:val="16"/>
              </w:rPr>
            </w:pPr>
          </w:p>
        </w:tc>
        <w:tc>
          <w:tcPr>
            <w:tcW w:w="283" w:type="dxa"/>
            <w:tcBorders>
              <w:top w:val="nil"/>
              <w:left w:val="single" w:sz="4" w:space="0" w:color="0000FF"/>
              <w:bottom w:val="thinThickThinSmallGap" w:sz="48" w:space="0" w:color="0000FF"/>
              <w:right w:val="single" w:sz="4" w:space="0" w:color="0000FF"/>
            </w:tcBorders>
          </w:tcPr>
          <w:p w14:paraId="1E109BCD" w14:textId="77777777" w:rsidR="00C56E9E" w:rsidRPr="00984B47" w:rsidRDefault="00C56E9E"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E35C702" w14:textId="77777777" w:rsidR="00C56E9E" w:rsidRPr="00984B47" w:rsidRDefault="00C56E9E"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0209920" w14:textId="77777777" w:rsidR="00C56E9E" w:rsidRPr="00984B47" w:rsidRDefault="00C56E9E"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D9F5524" w14:textId="77777777" w:rsidR="00C56E9E" w:rsidRPr="00984B47" w:rsidRDefault="00C56E9E"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4920AF0" w14:textId="77777777" w:rsidR="00C56E9E" w:rsidRPr="00984B47" w:rsidRDefault="00C56E9E"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1BA7042" w14:textId="77777777" w:rsidR="00C56E9E" w:rsidRPr="00984B47" w:rsidRDefault="00C56E9E"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87149FF" w14:textId="77777777" w:rsidR="00C56E9E" w:rsidRPr="00984B47" w:rsidRDefault="00C56E9E"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5D30BA6B" w14:textId="77777777" w:rsidR="00C56E9E" w:rsidRPr="00984B47" w:rsidRDefault="00C56E9E" w:rsidP="00212261">
            <w:pPr>
              <w:spacing w:before="0" w:after="0"/>
              <w:ind w:left="-11"/>
              <w:rPr>
                <w:sz w:val="16"/>
                <w:szCs w:val="16"/>
              </w:rPr>
            </w:pPr>
          </w:p>
        </w:tc>
      </w:tr>
      <w:tr w:rsidR="00C56E9E" w:rsidRPr="00152E18" w14:paraId="0C84A2E6" w14:textId="77777777" w:rsidTr="003412F4">
        <w:trPr>
          <w:trHeight w:val="498"/>
        </w:trPr>
        <w:tc>
          <w:tcPr>
            <w:tcW w:w="6238" w:type="dxa"/>
            <w:vMerge/>
            <w:tcBorders>
              <w:left w:val="nil"/>
              <w:right w:val="single" w:sz="4" w:space="0" w:color="3366FF"/>
            </w:tcBorders>
          </w:tcPr>
          <w:p w14:paraId="37AD2CE0" w14:textId="77777777" w:rsidR="00C56E9E" w:rsidRDefault="00C56E9E" w:rsidP="00212261">
            <w:pPr>
              <w:pStyle w:val="ListParagraph"/>
              <w:numPr>
                <w:ilvl w:val="0"/>
                <w:numId w:val="28"/>
              </w:numPr>
              <w:ind w:left="131" w:hanging="142"/>
              <w:contextualSpacing w:val="0"/>
              <w:jc w:val="left"/>
            </w:pPr>
          </w:p>
        </w:tc>
        <w:tc>
          <w:tcPr>
            <w:tcW w:w="284" w:type="dxa"/>
            <w:vMerge w:val="restart"/>
            <w:tcBorders>
              <w:top w:val="thinThickThinSmallGap" w:sz="48" w:space="0" w:color="0000FF"/>
              <w:left w:val="single" w:sz="4" w:space="0" w:color="3366FF"/>
              <w:right w:val="single" w:sz="4" w:space="0" w:color="0000FF"/>
            </w:tcBorders>
          </w:tcPr>
          <w:p w14:paraId="099F57DC" w14:textId="77777777" w:rsidR="00C56E9E" w:rsidRPr="00984B47" w:rsidRDefault="00C56E9E" w:rsidP="00212261">
            <w:pPr>
              <w:spacing w:before="0" w:after="0"/>
              <w:ind w:left="-11"/>
              <w:rPr>
                <w:sz w:val="16"/>
                <w:szCs w:val="16"/>
              </w:rPr>
            </w:pPr>
          </w:p>
        </w:tc>
        <w:tc>
          <w:tcPr>
            <w:tcW w:w="283" w:type="dxa"/>
            <w:vMerge w:val="restart"/>
            <w:tcBorders>
              <w:top w:val="thinThickThinSmallGap" w:sz="48" w:space="0" w:color="0000FF"/>
              <w:left w:val="single" w:sz="4" w:space="0" w:color="0000FF"/>
              <w:right w:val="single" w:sz="4" w:space="0" w:color="0000FF"/>
            </w:tcBorders>
          </w:tcPr>
          <w:p w14:paraId="40FA4C2B" w14:textId="77777777" w:rsidR="00C56E9E" w:rsidRPr="00984B47" w:rsidRDefault="00C56E9E" w:rsidP="00212261">
            <w:pPr>
              <w:spacing w:before="0" w:after="0"/>
              <w:ind w:left="-11"/>
              <w:rPr>
                <w:sz w:val="16"/>
                <w:szCs w:val="16"/>
              </w:rPr>
            </w:pPr>
          </w:p>
        </w:tc>
        <w:tc>
          <w:tcPr>
            <w:tcW w:w="284" w:type="dxa"/>
            <w:vMerge/>
            <w:tcBorders>
              <w:left w:val="single" w:sz="4" w:space="0" w:color="0000FF"/>
              <w:bottom w:val="thinThickThinSmallGap" w:sz="48" w:space="0" w:color="0000FF"/>
              <w:right w:val="single" w:sz="4" w:space="0" w:color="0000FF"/>
            </w:tcBorders>
          </w:tcPr>
          <w:p w14:paraId="5D48DEC4" w14:textId="77777777" w:rsidR="00C56E9E" w:rsidRPr="00984B47" w:rsidRDefault="00C56E9E"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4F96FA8A" w14:textId="77777777" w:rsidR="00C56E9E" w:rsidRPr="00984B47" w:rsidRDefault="00C56E9E"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6E166B34" w14:textId="77777777" w:rsidR="00C56E9E" w:rsidRPr="00984B47" w:rsidRDefault="00C56E9E" w:rsidP="00212261">
            <w:pPr>
              <w:spacing w:before="0" w:after="0"/>
              <w:ind w:left="-11"/>
              <w:rPr>
                <w:sz w:val="16"/>
                <w:szCs w:val="16"/>
              </w:rPr>
            </w:pPr>
          </w:p>
        </w:tc>
        <w:tc>
          <w:tcPr>
            <w:tcW w:w="284" w:type="dxa"/>
            <w:vMerge/>
            <w:tcBorders>
              <w:left w:val="single" w:sz="4" w:space="0" w:color="0000FF"/>
              <w:bottom w:val="thinThickThinSmallGap" w:sz="48" w:space="0" w:color="0000FF"/>
              <w:right w:val="single" w:sz="4" w:space="0" w:color="0000FF"/>
            </w:tcBorders>
          </w:tcPr>
          <w:p w14:paraId="6D1B9962" w14:textId="77777777" w:rsidR="00C56E9E" w:rsidRPr="00984B47" w:rsidRDefault="00C56E9E" w:rsidP="00212261">
            <w:pPr>
              <w:spacing w:before="0" w:after="0"/>
              <w:ind w:left="-11"/>
              <w:rPr>
                <w:sz w:val="16"/>
                <w:szCs w:val="16"/>
              </w:rPr>
            </w:pPr>
          </w:p>
        </w:tc>
        <w:tc>
          <w:tcPr>
            <w:tcW w:w="284" w:type="dxa"/>
            <w:vMerge/>
            <w:tcBorders>
              <w:left w:val="single" w:sz="4" w:space="0" w:color="0000FF"/>
              <w:bottom w:val="thinThickThinSmallGap" w:sz="48" w:space="0" w:color="0000FF"/>
              <w:right w:val="single" w:sz="4" w:space="0" w:color="0000FF"/>
            </w:tcBorders>
          </w:tcPr>
          <w:p w14:paraId="56D8293B" w14:textId="77777777" w:rsidR="00C56E9E" w:rsidRPr="00984B47" w:rsidRDefault="00C56E9E" w:rsidP="00212261">
            <w:pPr>
              <w:spacing w:before="0" w:after="0"/>
              <w:ind w:left="-11"/>
              <w:rPr>
                <w:sz w:val="16"/>
                <w:szCs w:val="16"/>
              </w:rPr>
            </w:pPr>
          </w:p>
        </w:tc>
        <w:tc>
          <w:tcPr>
            <w:tcW w:w="283" w:type="dxa"/>
            <w:vMerge/>
            <w:tcBorders>
              <w:left w:val="single" w:sz="4" w:space="0" w:color="0000FF"/>
              <w:bottom w:val="thinThickThinSmallGap" w:sz="48" w:space="0" w:color="0000FF"/>
              <w:right w:val="single" w:sz="4" w:space="0" w:color="0000FF"/>
            </w:tcBorders>
          </w:tcPr>
          <w:p w14:paraId="3DB2942D" w14:textId="77777777" w:rsidR="00C56E9E" w:rsidRPr="00984B47" w:rsidRDefault="00C56E9E" w:rsidP="00212261">
            <w:pPr>
              <w:spacing w:before="0" w:after="0"/>
              <w:ind w:left="-11"/>
              <w:rPr>
                <w:sz w:val="16"/>
                <w:szCs w:val="16"/>
              </w:rPr>
            </w:pPr>
          </w:p>
        </w:tc>
        <w:tc>
          <w:tcPr>
            <w:tcW w:w="285" w:type="dxa"/>
            <w:vMerge/>
            <w:tcBorders>
              <w:left w:val="single" w:sz="4" w:space="0" w:color="0000FF"/>
              <w:bottom w:val="thinThickThinSmallGap" w:sz="48" w:space="0" w:color="0000FF"/>
              <w:right w:val="single" w:sz="4" w:space="0" w:color="0000FF"/>
            </w:tcBorders>
          </w:tcPr>
          <w:p w14:paraId="06EB50BA" w14:textId="77777777" w:rsidR="00C56E9E" w:rsidRPr="00984B47" w:rsidRDefault="00C56E9E" w:rsidP="00212261">
            <w:pPr>
              <w:spacing w:before="0" w:after="0"/>
              <w:ind w:left="-11"/>
              <w:rPr>
                <w:sz w:val="16"/>
                <w:szCs w:val="16"/>
              </w:rPr>
            </w:pPr>
          </w:p>
        </w:tc>
      </w:tr>
      <w:tr w:rsidR="00C56E9E" w:rsidRPr="00152E18" w14:paraId="477A0EEA" w14:textId="77777777" w:rsidTr="003412F4">
        <w:trPr>
          <w:trHeight w:val="20"/>
        </w:trPr>
        <w:tc>
          <w:tcPr>
            <w:tcW w:w="6238" w:type="dxa"/>
            <w:vMerge/>
            <w:tcBorders>
              <w:left w:val="nil"/>
              <w:bottom w:val="nil"/>
              <w:right w:val="single" w:sz="4" w:space="0" w:color="3366FF"/>
            </w:tcBorders>
          </w:tcPr>
          <w:p w14:paraId="7D5A7079" w14:textId="77777777" w:rsidR="00C56E9E" w:rsidRDefault="00C56E9E" w:rsidP="00212261">
            <w:pPr>
              <w:pStyle w:val="ListParagraph"/>
              <w:numPr>
                <w:ilvl w:val="0"/>
                <w:numId w:val="28"/>
              </w:numPr>
              <w:ind w:left="131" w:hanging="142"/>
              <w:contextualSpacing w:val="0"/>
              <w:jc w:val="left"/>
            </w:pPr>
          </w:p>
        </w:tc>
        <w:tc>
          <w:tcPr>
            <w:tcW w:w="284" w:type="dxa"/>
            <w:vMerge/>
            <w:tcBorders>
              <w:left w:val="single" w:sz="4" w:space="0" w:color="3366FF"/>
              <w:bottom w:val="nil"/>
              <w:right w:val="single" w:sz="4" w:space="0" w:color="0000FF"/>
            </w:tcBorders>
          </w:tcPr>
          <w:p w14:paraId="1199C01B" w14:textId="77777777" w:rsidR="00C56E9E" w:rsidRPr="00984B47" w:rsidRDefault="00C56E9E"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26B7FE2" w14:textId="77777777" w:rsidR="00C56E9E" w:rsidRPr="00984B47" w:rsidRDefault="00C56E9E"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0115E429" w14:textId="77777777" w:rsidR="00C56E9E" w:rsidRPr="00984B47" w:rsidRDefault="00C56E9E"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3FDEB151" w14:textId="77777777" w:rsidR="00C56E9E" w:rsidRPr="00984B47" w:rsidRDefault="00C56E9E"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5D4541A6" w14:textId="77777777" w:rsidR="00C56E9E" w:rsidRPr="00984B47" w:rsidRDefault="00C56E9E"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44F45EB6" w14:textId="77777777" w:rsidR="00C56E9E" w:rsidRPr="00984B47" w:rsidRDefault="00C56E9E" w:rsidP="00212261">
            <w:pPr>
              <w:spacing w:before="0" w:after="0"/>
              <w:ind w:left="-11"/>
              <w:rPr>
                <w:sz w:val="16"/>
                <w:szCs w:val="16"/>
              </w:rPr>
            </w:pPr>
          </w:p>
        </w:tc>
        <w:tc>
          <w:tcPr>
            <w:tcW w:w="284" w:type="dxa"/>
            <w:tcBorders>
              <w:top w:val="thinThickThinSmallGap" w:sz="48" w:space="0" w:color="0000FF"/>
              <w:left w:val="single" w:sz="4" w:space="0" w:color="0000FF"/>
              <w:bottom w:val="nil"/>
              <w:right w:val="single" w:sz="4" w:space="0" w:color="0000FF"/>
            </w:tcBorders>
          </w:tcPr>
          <w:p w14:paraId="6DE24B0D" w14:textId="77777777" w:rsidR="00C56E9E" w:rsidRPr="00984B47" w:rsidRDefault="00C56E9E" w:rsidP="00212261">
            <w:pPr>
              <w:spacing w:before="0" w:after="0"/>
              <w:ind w:left="-11"/>
              <w:rPr>
                <w:sz w:val="16"/>
                <w:szCs w:val="16"/>
              </w:rPr>
            </w:pPr>
          </w:p>
        </w:tc>
        <w:tc>
          <w:tcPr>
            <w:tcW w:w="283" w:type="dxa"/>
            <w:tcBorders>
              <w:top w:val="thinThickThinSmallGap" w:sz="48" w:space="0" w:color="0000FF"/>
              <w:left w:val="single" w:sz="4" w:space="0" w:color="0000FF"/>
              <w:bottom w:val="nil"/>
              <w:right w:val="single" w:sz="4" w:space="0" w:color="0000FF"/>
            </w:tcBorders>
          </w:tcPr>
          <w:p w14:paraId="1D6610E2" w14:textId="77777777" w:rsidR="00C56E9E" w:rsidRPr="00984B47" w:rsidRDefault="00C56E9E" w:rsidP="00212261">
            <w:pPr>
              <w:spacing w:before="0" w:after="0"/>
              <w:ind w:left="-11"/>
              <w:rPr>
                <w:sz w:val="16"/>
                <w:szCs w:val="16"/>
              </w:rPr>
            </w:pPr>
          </w:p>
        </w:tc>
        <w:tc>
          <w:tcPr>
            <w:tcW w:w="285" w:type="dxa"/>
            <w:tcBorders>
              <w:top w:val="thinThickThinSmallGap" w:sz="48" w:space="0" w:color="0000FF"/>
              <w:left w:val="single" w:sz="4" w:space="0" w:color="0000FF"/>
              <w:bottom w:val="nil"/>
              <w:right w:val="single" w:sz="4" w:space="0" w:color="0000FF"/>
            </w:tcBorders>
          </w:tcPr>
          <w:p w14:paraId="6FA27BF3" w14:textId="77777777" w:rsidR="00C56E9E" w:rsidRPr="00984B47" w:rsidRDefault="00C56E9E" w:rsidP="00212261">
            <w:pPr>
              <w:spacing w:before="0" w:after="0"/>
              <w:ind w:left="-11"/>
              <w:rPr>
                <w:sz w:val="16"/>
                <w:szCs w:val="16"/>
              </w:rPr>
            </w:pPr>
          </w:p>
        </w:tc>
      </w:tr>
      <w:tr w:rsidR="00013A30" w:rsidRPr="00152E18" w14:paraId="145C3CD4" w14:textId="77777777" w:rsidTr="003412F4">
        <w:trPr>
          <w:trHeight w:val="309"/>
        </w:trPr>
        <w:tc>
          <w:tcPr>
            <w:tcW w:w="6238" w:type="dxa"/>
            <w:vMerge w:val="restart"/>
            <w:tcBorders>
              <w:top w:val="nil"/>
              <w:left w:val="nil"/>
              <w:right w:val="single" w:sz="4" w:space="0" w:color="3366FF"/>
            </w:tcBorders>
          </w:tcPr>
          <w:p w14:paraId="6C8508D4" w14:textId="1EDF054C" w:rsidR="00013A30" w:rsidRPr="00212261" w:rsidRDefault="00013A30" w:rsidP="002D63E1">
            <w:pPr>
              <w:pStyle w:val="ListParagraph"/>
              <w:numPr>
                <w:ilvl w:val="0"/>
                <w:numId w:val="28"/>
              </w:numPr>
              <w:ind w:left="743" w:hanging="284"/>
              <w:contextualSpacing w:val="0"/>
              <w:jc w:val="left"/>
            </w:pPr>
            <w:r>
              <w:t>Ensure workshops and equipment are being used effectively</w:t>
            </w:r>
          </w:p>
        </w:tc>
        <w:tc>
          <w:tcPr>
            <w:tcW w:w="284" w:type="dxa"/>
            <w:vMerge w:val="restart"/>
            <w:tcBorders>
              <w:top w:val="nil"/>
              <w:left w:val="single" w:sz="4" w:space="0" w:color="3366FF"/>
              <w:right w:val="single" w:sz="4" w:space="0" w:color="0000FF"/>
            </w:tcBorders>
          </w:tcPr>
          <w:p w14:paraId="46B08FC5" w14:textId="77777777" w:rsidR="00013A30" w:rsidRPr="00984B47" w:rsidRDefault="00013A3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E8861FD"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5124168D"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708211EF"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48F7018C" w14:textId="77777777" w:rsidR="00013A30" w:rsidRPr="00984B47" w:rsidRDefault="00013A3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7033E49" w14:textId="77777777" w:rsidR="00013A30" w:rsidRPr="00984B47" w:rsidRDefault="00013A3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2795BF8" w14:textId="77777777" w:rsidR="00013A30" w:rsidRPr="00984B47" w:rsidRDefault="00013A3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4CA370C" w14:textId="77777777" w:rsidR="00013A30" w:rsidRPr="00984B47" w:rsidRDefault="00013A30"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3CAEAE29" w14:textId="77777777" w:rsidR="00013A30" w:rsidRPr="00984B47" w:rsidRDefault="00013A30" w:rsidP="00212261">
            <w:pPr>
              <w:spacing w:before="0" w:after="0"/>
              <w:ind w:left="-11"/>
              <w:rPr>
                <w:sz w:val="16"/>
                <w:szCs w:val="16"/>
              </w:rPr>
            </w:pPr>
          </w:p>
        </w:tc>
      </w:tr>
      <w:tr w:rsidR="00013A30" w:rsidRPr="00152E18" w14:paraId="72FB8839" w14:textId="77777777" w:rsidTr="003412F4">
        <w:trPr>
          <w:trHeight w:val="41"/>
        </w:trPr>
        <w:tc>
          <w:tcPr>
            <w:tcW w:w="6238" w:type="dxa"/>
            <w:vMerge/>
            <w:tcBorders>
              <w:left w:val="nil"/>
              <w:bottom w:val="nil"/>
              <w:right w:val="single" w:sz="4" w:space="0" w:color="3366FF"/>
            </w:tcBorders>
          </w:tcPr>
          <w:p w14:paraId="62D37996" w14:textId="77777777" w:rsidR="00013A30" w:rsidRDefault="00013A30"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65EC5C8C" w14:textId="77777777" w:rsidR="00013A30" w:rsidRPr="00984B47" w:rsidRDefault="00013A3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7A76258" w14:textId="77777777" w:rsidR="00013A30" w:rsidRPr="00984B47" w:rsidRDefault="00013A3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B748AA2" w14:textId="77777777" w:rsidR="00013A30" w:rsidRPr="00984B47" w:rsidRDefault="00013A3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30F73953" w14:textId="77777777" w:rsidR="00013A30" w:rsidRPr="00984B47" w:rsidRDefault="00013A3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175F0224" w14:textId="77777777" w:rsidR="00013A30" w:rsidRPr="00984B47" w:rsidRDefault="00013A3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2E1E284" w14:textId="77777777" w:rsidR="00013A30" w:rsidRPr="00984B47" w:rsidRDefault="00013A3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EBBA7B7" w14:textId="77777777" w:rsidR="00013A30" w:rsidRPr="00984B47" w:rsidRDefault="00013A3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01DCF14" w14:textId="77777777" w:rsidR="00013A30" w:rsidRPr="00984B47" w:rsidRDefault="00013A30"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29E0390" w14:textId="77777777" w:rsidR="00013A30" w:rsidRPr="00984B47" w:rsidRDefault="00013A30" w:rsidP="00212261">
            <w:pPr>
              <w:spacing w:before="0" w:after="0"/>
              <w:ind w:left="-11"/>
              <w:rPr>
                <w:sz w:val="16"/>
                <w:szCs w:val="16"/>
              </w:rPr>
            </w:pPr>
          </w:p>
        </w:tc>
      </w:tr>
      <w:tr w:rsidR="00013A30" w:rsidRPr="00152E18" w14:paraId="2858666E" w14:textId="77777777" w:rsidTr="003412F4">
        <w:trPr>
          <w:trHeight w:val="256"/>
        </w:trPr>
        <w:tc>
          <w:tcPr>
            <w:tcW w:w="6238" w:type="dxa"/>
            <w:vMerge w:val="restart"/>
            <w:tcBorders>
              <w:top w:val="nil"/>
              <w:left w:val="nil"/>
              <w:right w:val="single" w:sz="4" w:space="0" w:color="3366FF"/>
            </w:tcBorders>
          </w:tcPr>
          <w:p w14:paraId="40B594D0" w14:textId="0E57D002" w:rsidR="00013A30" w:rsidRPr="00212261" w:rsidRDefault="00013A30" w:rsidP="00013A30">
            <w:pPr>
              <w:pStyle w:val="ListParagraph"/>
              <w:numPr>
                <w:ilvl w:val="0"/>
                <w:numId w:val="28"/>
              </w:numPr>
              <w:ind w:left="743" w:hanging="284"/>
              <w:contextualSpacing w:val="0"/>
              <w:jc w:val="left"/>
            </w:pPr>
            <w:r>
              <w:t>Conduct research and develop a list of suitable teaching and learning materials from sources such as the Commonwealth of Learning, International Labour Organisation or other bilateral programs in the Pacific</w:t>
            </w:r>
          </w:p>
        </w:tc>
        <w:tc>
          <w:tcPr>
            <w:tcW w:w="284" w:type="dxa"/>
            <w:vMerge w:val="restart"/>
            <w:tcBorders>
              <w:top w:val="nil"/>
              <w:left w:val="single" w:sz="4" w:space="0" w:color="3366FF"/>
              <w:right w:val="single" w:sz="4" w:space="0" w:color="0000FF"/>
            </w:tcBorders>
          </w:tcPr>
          <w:p w14:paraId="111ACB0E"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4BEC833F"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4B73D357" w14:textId="77777777" w:rsidR="00013A30" w:rsidRPr="00984B47" w:rsidRDefault="00013A3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57F8713" w14:textId="77777777" w:rsidR="00013A30" w:rsidRPr="00984B47" w:rsidRDefault="00013A3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86DAEE7" w14:textId="77777777" w:rsidR="00013A30" w:rsidRPr="00984B47" w:rsidRDefault="00013A3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2DBCD4E" w14:textId="77777777" w:rsidR="00013A30" w:rsidRPr="00984B47" w:rsidRDefault="00013A3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55FE6B3" w14:textId="77777777" w:rsidR="00013A30" w:rsidRPr="00984B47" w:rsidRDefault="00013A3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B22582A" w14:textId="77777777" w:rsidR="00013A30" w:rsidRPr="00984B47" w:rsidRDefault="00013A30"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5F9D15C1" w14:textId="77777777" w:rsidR="00013A30" w:rsidRPr="00984B47" w:rsidRDefault="00013A30" w:rsidP="00212261">
            <w:pPr>
              <w:spacing w:before="0" w:after="0"/>
              <w:ind w:left="-11"/>
              <w:rPr>
                <w:sz w:val="16"/>
                <w:szCs w:val="16"/>
              </w:rPr>
            </w:pPr>
          </w:p>
        </w:tc>
      </w:tr>
      <w:tr w:rsidR="00013A30" w:rsidRPr="00152E18" w14:paraId="60734F6F" w14:textId="77777777" w:rsidTr="003412F4">
        <w:trPr>
          <w:trHeight w:val="564"/>
        </w:trPr>
        <w:tc>
          <w:tcPr>
            <w:tcW w:w="6238" w:type="dxa"/>
            <w:vMerge/>
            <w:tcBorders>
              <w:left w:val="nil"/>
              <w:bottom w:val="nil"/>
              <w:right w:val="single" w:sz="4" w:space="0" w:color="3366FF"/>
            </w:tcBorders>
          </w:tcPr>
          <w:p w14:paraId="466A96E2" w14:textId="77777777" w:rsidR="00013A30" w:rsidRDefault="00013A30" w:rsidP="00013A30">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022B362B" w14:textId="77777777" w:rsidR="00013A30" w:rsidRPr="00984B47" w:rsidRDefault="00013A3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EC9CFD6" w14:textId="77777777" w:rsidR="00013A30" w:rsidRPr="00984B47" w:rsidRDefault="00013A3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F3711C6" w14:textId="77777777" w:rsidR="00013A30" w:rsidRPr="00984B47" w:rsidRDefault="00013A3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EB198EA" w14:textId="77777777" w:rsidR="00013A30" w:rsidRPr="00984B47" w:rsidRDefault="00013A3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E444DDB" w14:textId="77777777" w:rsidR="00013A30" w:rsidRPr="00984B47" w:rsidRDefault="00013A3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0D6BA659" w14:textId="77777777" w:rsidR="00013A30" w:rsidRPr="00984B47" w:rsidRDefault="00013A3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5D96B5C" w14:textId="77777777" w:rsidR="00013A30" w:rsidRPr="00984B47" w:rsidRDefault="00013A3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0F8B01E" w14:textId="77777777" w:rsidR="00013A30" w:rsidRPr="00984B47" w:rsidRDefault="00013A30"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4F8946F0" w14:textId="77777777" w:rsidR="00013A30" w:rsidRPr="00984B47" w:rsidRDefault="00013A30" w:rsidP="00212261">
            <w:pPr>
              <w:spacing w:before="0" w:after="0"/>
              <w:ind w:left="-11"/>
              <w:rPr>
                <w:sz w:val="16"/>
                <w:szCs w:val="16"/>
              </w:rPr>
            </w:pPr>
          </w:p>
        </w:tc>
      </w:tr>
      <w:tr w:rsidR="00B21AF0" w:rsidRPr="00152E18" w14:paraId="62D30281" w14:textId="77777777" w:rsidTr="003412F4">
        <w:trPr>
          <w:trHeight w:val="242"/>
        </w:trPr>
        <w:tc>
          <w:tcPr>
            <w:tcW w:w="6238" w:type="dxa"/>
            <w:vMerge w:val="restart"/>
            <w:tcBorders>
              <w:top w:val="nil"/>
              <w:left w:val="nil"/>
              <w:right w:val="single" w:sz="4" w:space="0" w:color="3366FF"/>
            </w:tcBorders>
          </w:tcPr>
          <w:p w14:paraId="12A2517E" w14:textId="68D89697" w:rsidR="00B21AF0" w:rsidRPr="00212261" w:rsidRDefault="00AA71F1" w:rsidP="00AA71F1">
            <w:pPr>
              <w:pStyle w:val="ListParagraph"/>
              <w:numPr>
                <w:ilvl w:val="0"/>
                <w:numId w:val="28"/>
              </w:numPr>
              <w:ind w:left="743" w:hanging="284"/>
              <w:contextualSpacing w:val="0"/>
              <w:jc w:val="left"/>
            </w:pPr>
            <w:r>
              <w:t>In alignment with MET’s current review of secondary school curriculum, work with relevant MET staff to r</w:t>
            </w:r>
            <w:r w:rsidR="00B21AF0">
              <w:t>eview and adapt CDU core competency materials</w:t>
            </w:r>
            <w:r>
              <w:t xml:space="preserve"> for APW </w:t>
            </w:r>
            <w:r w:rsidR="00113D84">
              <w:t>trialling</w:t>
            </w:r>
          </w:p>
        </w:tc>
        <w:tc>
          <w:tcPr>
            <w:tcW w:w="284" w:type="dxa"/>
            <w:vMerge w:val="restart"/>
            <w:tcBorders>
              <w:top w:val="nil"/>
              <w:left w:val="single" w:sz="4" w:space="0" w:color="3366FF"/>
              <w:right w:val="single" w:sz="4" w:space="0" w:color="0000FF"/>
            </w:tcBorders>
          </w:tcPr>
          <w:p w14:paraId="781D07DE"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CC3B93A"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BA59700"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A9EA5EE" w14:textId="77777777" w:rsidR="00B21AF0" w:rsidRPr="00984B47" w:rsidRDefault="00B21AF0"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23506784" w14:textId="77777777" w:rsidR="00B21AF0" w:rsidRPr="00984B47" w:rsidRDefault="00B21AF0"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5E9FF470"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9716373"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E0108CB" w14:textId="77777777" w:rsidR="00B21AF0" w:rsidRPr="00984B47" w:rsidRDefault="00B21AF0"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18BB41AB" w14:textId="77777777" w:rsidR="00B21AF0" w:rsidRPr="00984B47" w:rsidRDefault="00B21AF0" w:rsidP="00212261">
            <w:pPr>
              <w:spacing w:before="0" w:after="0"/>
              <w:ind w:left="-11"/>
              <w:rPr>
                <w:sz w:val="16"/>
                <w:szCs w:val="16"/>
              </w:rPr>
            </w:pPr>
          </w:p>
        </w:tc>
      </w:tr>
      <w:tr w:rsidR="00B21AF0" w:rsidRPr="00152E18" w14:paraId="6DB82C43" w14:textId="77777777" w:rsidTr="003412F4">
        <w:trPr>
          <w:trHeight w:val="20"/>
        </w:trPr>
        <w:tc>
          <w:tcPr>
            <w:tcW w:w="6238" w:type="dxa"/>
            <w:vMerge/>
            <w:tcBorders>
              <w:left w:val="nil"/>
              <w:bottom w:val="nil"/>
              <w:right w:val="single" w:sz="4" w:space="0" w:color="3366FF"/>
            </w:tcBorders>
          </w:tcPr>
          <w:p w14:paraId="70BB2482" w14:textId="77777777" w:rsidR="00B21AF0" w:rsidRDefault="00B21AF0"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5674708F"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C0EF5FD"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4FFD528"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5A14F1A" w14:textId="77777777" w:rsidR="00B21AF0" w:rsidRPr="00984B47" w:rsidRDefault="00B21AF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68645DC0" w14:textId="77777777" w:rsidR="00B21AF0" w:rsidRPr="00984B47" w:rsidRDefault="00B21AF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6D6D8FA0"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F2BD727"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FE9A78A" w14:textId="77777777" w:rsidR="00B21AF0" w:rsidRPr="00984B47" w:rsidRDefault="00B21AF0"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71CD580F" w14:textId="77777777" w:rsidR="00B21AF0" w:rsidRPr="00984B47" w:rsidRDefault="00B21AF0" w:rsidP="00212261">
            <w:pPr>
              <w:spacing w:before="0" w:after="0"/>
              <w:ind w:left="-11"/>
              <w:rPr>
                <w:sz w:val="16"/>
                <w:szCs w:val="16"/>
              </w:rPr>
            </w:pPr>
          </w:p>
        </w:tc>
      </w:tr>
      <w:tr w:rsidR="00B21AF0" w:rsidRPr="00152E18" w14:paraId="7C142C04" w14:textId="77777777" w:rsidTr="003412F4">
        <w:trPr>
          <w:trHeight w:val="94"/>
        </w:trPr>
        <w:tc>
          <w:tcPr>
            <w:tcW w:w="6238" w:type="dxa"/>
            <w:vMerge w:val="restart"/>
            <w:tcBorders>
              <w:top w:val="nil"/>
              <w:left w:val="nil"/>
              <w:right w:val="single" w:sz="4" w:space="0" w:color="3366FF"/>
            </w:tcBorders>
          </w:tcPr>
          <w:p w14:paraId="6C3B9010" w14:textId="63D58BA6" w:rsidR="00B21AF0" w:rsidRDefault="00B21AF0" w:rsidP="002D63E1">
            <w:pPr>
              <w:pStyle w:val="ListParagraph"/>
              <w:numPr>
                <w:ilvl w:val="0"/>
                <w:numId w:val="28"/>
              </w:numPr>
              <w:ind w:left="743" w:hanging="284"/>
              <w:contextualSpacing w:val="0"/>
              <w:jc w:val="left"/>
            </w:pPr>
            <w:r>
              <w:t>Trial core competency materials in APW pilot school</w:t>
            </w:r>
          </w:p>
        </w:tc>
        <w:tc>
          <w:tcPr>
            <w:tcW w:w="284" w:type="dxa"/>
            <w:vMerge w:val="restart"/>
            <w:tcBorders>
              <w:top w:val="nil"/>
              <w:left w:val="single" w:sz="4" w:space="0" w:color="3366FF"/>
              <w:right w:val="single" w:sz="4" w:space="0" w:color="0000FF"/>
            </w:tcBorders>
          </w:tcPr>
          <w:p w14:paraId="44129678"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8235FB9"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01C05CA"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E16D818"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D6CF605"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8270DD5" w14:textId="77777777" w:rsidR="00B21AF0" w:rsidRPr="00984B47" w:rsidRDefault="00B21AF0"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6D4A937F" w14:textId="77777777" w:rsidR="00B21AF0" w:rsidRPr="00984B47" w:rsidRDefault="00B21AF0"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61095749" w14:textId="77777777" w:rsidR="00B21AF0" w:rsidRPr="00984B47" w:rsidRDefault="00B21AF0" w:rsidP="00212261">
            <w:pPr>
              <w:spacing w:before="0" w:after="0"/>
              <w:ind w:left="-11"/>
              <w:rPr>
                <w:sz w:val="16"/>
                <w:szCs w:val="16"/>
              </w:rPr>
            </w:pPr>
          </w:p>
        </w:tc>
        <w:tc>
          <w:tcPr>
            <w:tcW w:w="285" w:type="dxa"/>
            <w:tcBorders>
              <w:top w:val="nil"/>
              <w:left w:val="single" w:sz="4" w:space="0" w:color="0000FF"/>
              <w:bottom w:val="thinThickThinSmallGap" w:sz="48" w:space="0" w:color="3366FF"/>
              <w:right w:val="single" w:sz="4" w:space="0" w:color="0000FF"/>
            </w:tcBorders>
          </w:tcPr>
          <w:p w14:paraId="3E6677F1" w14:textId="77777777" w:rsidR="00B21AF0" w:rsidRPr="00984B47" w:rsidRDefault="00B21AF0" w:rsidP="00212261">
            <w:pPr>
              <w:spacing w:before="0" w:after="0"/>
              <w:ind w:left="-11"/>
              <w:rPr>
                <w:sz w:val="16"/>
                <w:szCs w:val="16"/>
              </w:rPr>
            </w:pPr>
          </w:p>
        </w:tc>
      </w:tr>
      <w:tr w:rsidR="00B21AF0" w:rsidRPr="00152E18" w14:paraId="01EB7420" w14:textId="77777777" w:rsidTr="003412F4">
        <w:trPr>
          <w:trHeight w:val="20"/>
        </w:trPr>
        <w:tc>
          <w:tcPr>
            <w:tcW w:w="6238" w:type="dxa"/>
            <w:vMerge/>
            <w:tcBorders>
              <w:left w:val="nil"/>
              <w:bottom w:val="nil"/>
              <w:right w:val="single" w:sz="4" w:space="0" w:color="3366FF"/>
            </w:tcBorders>
          </w:tcPr>
          <w:p w14:paraId="29B868A7" w14:textId="77777777" w:rsidR="00B21AF0" w:rsidRDefault="00B21AF0"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22939960"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36FAF06"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E9A4708"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FA3CD2E"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A033E4C"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979A242" w14:textId="77777777" w:rsidR="00B21AF0" w:rsidRPr="00984B47" w:rsidRDefault="00B21AF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0A527DBF" w14:textId="77777777" w:rsidR="00B21AF0" w:rsidRPr="00984B47" w:rsidRDefault="00B21AF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19AEAB9B" w14:textId="77777777" w:rsidR="00B21AF0" w:rsidRPr="00984B47" w:rsidRDefault="00B21AF0"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5CFA1B05" w14:textId="77777777" w:rsidR="00B21AF0" w:rsidRPr="00984B47" w:rsidRDefault="00B21AF0" w:rsidP="00212261">
            <w:pPr>
              <w:spacing w:before="0" w:after="0"/>
              <w:ind w:left="-11"/>
              <w:rPr>
                <w:sz w:val="16"/>
                <w:szCs w:val="16"/>
              </w:rPr>
            </w:pPr>
          </w:p>
        </w:tc>
      </w:tr>
      <w:tr w:rsidR="00013A30" w:rsidRPr="00152E18" w14:paraId="50FBB4DB" w14:textId="77777777" w:rsidTr="003412F4">
        <w:tc>
          <w:tcPr>
            <w:tcW w:w="6238" w:type="dxa"/>
            <w:tcBorders>
              <w:top w:val="nil"/>
              <w:left w:val="nil"/>
              <w:bottom w:val="nil"/>
              <w:right w:val="single" w:sz="4" w:space="0" w:color="3366FF"/>
            </w:tcBorders>
            <w:shd w:val="clear" w:color="auto" w:fill="C6D9F1" w:themeFill="text2" w:themeFillTint="33"/>
          </w:tcPr>
          <w:p w14:paraId="5ACFD44F" w14:textId="6789A18E" w:rsidR="00013A30" w:rsidRDefault="00B21AF0" w:rsidP="00B21AF0">
            <w:pPr>
              <w:spacing w:before="0" w:after="0"/>
              <w:ind w:left="459" w:hanging="459"/>
              <w:jc w:val="left"/>
            </w:pPr>
            <w:r w:rsidRPr="00392C1A">
              <w:rPr>
                <w:b/>
              </w:rPr>
              <w:t xml:space="preserve">Component </w:t>
            </w:r>
            <w:r>
              <w:rPr>
                <w:b/>
              </w:rPr>
              <w:t>2</w:t>
            </w:r>
          </w:p>
        </w:tc>
        <w:tc>
          <w:tcPr>
            <w:tcW w:w="284" w:type="dxa"/>
            <w:tcBorders>
              <w:top w:val="nil"/>
              <w:left w:val="single" w:sz="4" w:space="0" w:color="3366FF"/>
              <w:bottom w:val="nil"/>
              <w:right w:val="single" w:sz="4" w:space="0" w:color="0000FF"/>
            </w:tcBorders>
            <w:shd w:val="clear" w:color="auto" w:fill="C6D9F1" w:themeFill="text2" w:themeFillTint="33"/>
          </w:tcPr>
          <w:p w14:paraId="7210D01C"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0A0CB437"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246A6724"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21039CA8"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229DA4F0"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14CD3EBE"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20ECB14D"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335AAC3E" w14:textId="77777777" w:rsidR="00013A30" w:rsidRPr="00984B47" w:rsidRDefault="00013A30" w:rsidP="00212261">
            <w:pPr>
              <w:spacing w:before="0" w:after="0"/>
              <w:ind w:left="-11"/>
              <w:rPr>
                <w:sz w:val="16"/>
                <w:szCs w:val="16"/>
              </w:rPr>
            </w:pPr>
          </w:p>
        </w:tc>
        <w:tc>
          <w:tcPr>
            <w:tcW w:w="285" w:type="dxa"/>
            <w:tcBorders>
              <w:top w:val="nil"/>
              <w:left w:val="single" w:sz="4" w:space="0" w:color="0000FF"/>
              <w:bottom w:val="nil"/>
              <w:right w:val="single" w:sz="4" w:space="0" w:color="0000FF"/>
            </w:tcBorders>
            <w:shd w:val="clear" w:color="auto" w:fill="C6D9F1" w:themeFill="text2" w:themeFillTint="33"/>
          </w:tcPr>
          <w:p w14:paraId="388E9520" w14:textId="77777777" w:rsidR="00013A30" w:rsidRPr="00984B47" w:rsidRDefault="00013A30" w:rsidP="00212261">
            <w:pPr>
              <w:spacing w:before="0" w:after="0"/>
              <w:ind w:left="-11"/>
              <w:rPr>
                <w:sz w:val="16"/>
                <w:szCs w:val="16"/>
              </w:rPr>
            </w:pPr>
          </w:p>
        </w:tc>
      </w:tr>
      <w:tr w:rsidR="00013A30" w:rsidRPr="00152E18" w14:paraId="2547EA50" w14:textId="77777777" w:rsidTr="003412F4">
        <w:tc>
          <w:tcPr>
            <w:tcW w:w="6238" w:type="dxa"/>
            <w:tcBorders>
              <w:top w:val="nil"/>
              <w:left w:val="nil"/>
              <w:bottom w:val="nil"/>
              <w:right w:val="single" w:sz="4" w:space="0" w:color="3366FF"/>
            </w:tcBorders>
          </w:tcPr>
          <w:p w14:paraId="1B9B2EFE" w14:textId="10A5871F" w:rsidR="00013A30" w:rsidRDefault="00B21AF0" w:rsidP="00B21AF0">
            <w:pPr>
              <w:ind w:left="459" w:hanging="459"/>
              <w:jc w:val="left"/>
            </w:pPr>
            <w:r>
              <w:rPr>
                <w:b/>
              </w:rPr>
              <w:t>2.1</w:t>
            </w:r>
            <w:r>
              <w:rPr>
                <w:b/>
              </w:rPr>
              <w:tab/>
            </w:r>
            <w:r w:rsidRPr="00B21AF0">
              <w:rPr>
                <w:b/>
              </w:rPr>
              <w:t>Promote demand driven training</w:t>
            </w:r>
          </w:p>
        </w:tc>
        <w:tc>
          <w:tcPr>
            <w:tcW w:w="284" w:type="dxa"/>
            <w:tcBorders>
              <w:top w:val="nil"/>
              <w:left w:val="single" w:sz="4" w:space="0" w:color="3366FF"/>
              <w:bottom w:val="nil"/>
              <w:right w:val="single" w:sz="4" w:space="0" w:color="0000FF"/>
            </w:tcBorders>
          </w:tcPr>
          <w:p w14:paraId="2B668956"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17AF7186"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40A2EDE2"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458CC687"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44A8F133"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203A084C" w14:textId="77777777" w:rsidR="00013A30" w:rsidRPr="00984B47" w:rsidRDefault="00013A30"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6D5D0C1F" w14:textId="77777777" w:rsidR="00013A30" w:rsidRPr="00984B47" w:rsidRDefault="00013A30"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5A6EA2A" w14:textId="77777777" w:rsidR="00013A30" w:rsidRPr="00984B47" w:rsidRDefault="00013A30" w:rsidP="00212261">
            <w:pPr>
              <w:spacing w:before="0" w:after="0"/>
              <w:ind w:left="-11"/>
              <w:rPr>
                <w:sz w:val="16"/>
                <w:szCs w:val="16"/>
              </w:rPr>
            </w:pPr>
          </w:p>
        </w:tc>
        <w:tc>
          <w:tcPr>
            <w:tcW w:w="285" w:type="dxa"/>
            <w:tcBorders>
              <w:top w:val="nil"/>
              <w:left w:val="single" w:sz="4" w:space="0" w:color="0000FF"/>
              <w:bottom w:val="nil"/>
              <w:right w:val="single" w:sz="4" w:space="0" w:color="0000FF"/>
            </w:tcBorders>
          </w:tcPr>
          <w:p w14:paraId="0F720C20" w14:textId="77777777" w:rsidR="00013A30" w:rsidRPr="00984B47" w:rsidRDefault="00013A30" w:rsidP="00212261">
            <w:pPr>
              <w:spacing w:before="0" w:after="0"/>
              <w:ind w:left="-11"/>
              <w:rPr>
                <w:sz w:val="16"/>
                <w:szCs w:val="16"/>
              </w:rPr>
            </w:pPr>
          </w:p>
        </w:tc>
      </w:tr>
      <w:tr w:rsidR="00B21AF0" w:rsidRPr="00152E18" w14:paraId="389A6405" w14:textId="77777777" w:rsidTr="003412F4">
        <w:trPr>
          <w:trHeight w:val="104"/>
        </w:trPr>
        <w:tc>
          <w:tcPr>
            <w:tcW w:w="6238" w:type="dxa"/>
            <w:vMerge w:val="restart"/>
            <w:tcBorders>
              <w:top w:val="nil"/>
              <w:left w:val="nil"/>
              <w:right w:val="single" w:sz="4" w:space="0" w:color="3366FF"/>
            </w:tcBorders>
          </w:tcPr>
          <w:p w14:paraId="2FDFCC3B" w14:textId="4AA13876" w:rsidR="00B21AF0" w:rsidRDefault="00B21AF0" w:rsidP="002D63E1">
            <w:pPr>
              <w:pStyle w:val="ListParagraph"/>
              <w:numPr>
                <w:ilvl w:val="0"/>
                <w:numId w:val="28"/>
              </w:numPr>
              <w:ind w:left="743" w:hanging="284"/>
              <w:contextualSpacing w:val="0"/>
              <w:jc w:val="left"/>
            </w:pPr>
            <w:r>
              <w:t>Complete ETF funded Certificate III Hospitality Program</w:t>
            </w:r>
          </w:p>
        </w:tc>
        <w:tc>
          <w:tcPr>
            <w:tcW w:w="284" w:type="dxa"/>
            <w:tcBorders>
              <w:top w:val="nil"/>
              <w:left w:val="single" w:sz="4" w:space="0" w:color="3366FF"/>
              <w:bottom w:val="thinThickThinSmallGap" w:sz="48" w:space="0" w:color="3366FF"/>
              <w:right w:val="single" w:sz="4" w:space="0" w:color="0000FF"/>
            </w:tcBorders>
          </w:tcPr>
          <w:p w14:paraId="37AABD8A" w14:textId="77777777" w:rsidR="00B21AF0" w:rsidRPr="00984B47" w:rsidRDefault="00B21AF0"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2C362343"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3F389CC"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0FA2363"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72C635C"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CEC8475" w14:textId="77777777" w:rsidR="00B21AF0" w:rsidRPr="00984B47" w:rsidRDefault="00B21AF0"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8A253A5" w14:textId="77777777" w:rsidR="00B21AF0" w:rsidRPr="00984B47" w:rsidRDefault="00B21AF0"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66FC44B" w14:textId="77777777" w:rsidR="00B21AF0" w:rsidRPr="00984B47" w:rsidRDefault="00B21AF0"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68CA6BE7" w14:textId="77777777" w:rsidR="00B21AF0" w:rsidRPr="00984B47" w:rsidRDefault="00B21AF0" w:rsidP="00212261">
            <w:pPr>
              <w:spacing w:before="0" w:after="0"/>
              <w:ind w:left="-11"/>
              <w:rPr>
                <w:sz w:val="16"/>
                <w:szCs w:val="16"/>
              </w:rPr>
            </w:pPr>
          </w:p>
        </w:tc>
      </w:tr>
      <w:tr w:rsidR="00B21AF0" w:rsidRPr="00152E18" w14:paraId="7257C816" w14:textId="77777777" w:rsidTr="003412F4">
        <w:trPr>
          <w:trHeight w:val="20"/>
        </w:trPr>
        <w:tc>
          <w:tcPr>
            <w:tcW w:w="6238" w:type="dxa"/>
            <w:vMerge/>
            <w:tcBorders>
              <w:left w:val="nil"/>
              <w:bottom w:val="nil"/>
              <w:right w:val="single" w:sz="4" w:space="0" w:color="3366FF"/>
            </w:tcBorders>
          </w:tcPr>
          <w:p w14:paraId="64AFEEB2" w14:textId="77777777" w:rsidR="00B21AF0" w:rsidRDefault="00B21AF0" w:rsidP="002D63E1">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4C650A70" w14:textId="77777777" w:rsidR="00B21AF0" w:rsidRPr="00984B47" w:rsidRDefault="00B21AF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5B4E5A7B"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7F1FAD2"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93037D6"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9DAD5A5"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B431107" w14:textId="77777777" w:rsidR="00B21AF0" w:rsidRPr="00984B47" w:rsidRDefault="00B21AF0"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6F11D93" w14:textId="77777777" w:rsidR="00B21AF0" w:rsidRPr="00984B47" w:rsidRDefault="00B21AF0"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B0856B0" w14:textId="77777777" w:rsidR="00B21AF0" w:rsidRPr="00984B47" w:rsidRDefault="00B21AF0"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49F25FF3" w14:textId="77777777" w:rsidR="00B21AF0" w:rsidRPr="00984B47" w:rsidRDefault="00B21AF0" w:rsidP="00212261">
            <w:pPr>
              <w:spacing w:before="0" w:after="0"/>
              <w:ind w:left="-11"/>
              <w:rPr>
                <w:sz w:val="16"/>
                <w:szCs w:val="16"/>
              </w:rPr>
            </w:pPr>
          </w:p>
        </w:tc>
      </w:tr>
      <w:tr w:rsidR="00433AA4" w:rsidRPr="00152E18" w14:paraId="01530ADB" w14:textId="77777777" w:rsidTr="003412F4">
        <w:trPr>
          <w:trHeight w:val="125"/>
        </w:trPr>
        <w:tc>
          <w:tcPr>
            <w:tcW w:w="6238" w:type="dxa"/>
            <w:vMerge w:val="restart"/>
            <w:tcBorders>
              <w:top w:val="nil"/>
              <w:left w:val="nil"/>
              <w:right w:val="single" w:sz="4" w:space="0" w:color="3366FF"/>
            </w:tcBorders>
          </w:tcPr>
          <w:p w14:paraId="0A39335D" w14:textId="25FFEEA5" w:rsidR="00433AA4" w:rsidRDefault="00433AA4" w:rsidP="002D63E1">
            <w:pPr>
              <w:pStyle w:val="ListParagraph"/>
              <w:numPr>
                <w:ilvl w:val="0"/>
                <w:numId w:val="28"/>
              </w:numPr>
              <w:ind w:left="743" w:hanging="284"/>
              <w:contextualSpacing w:val="0"/>
              <w:jc w:val="left"/>
            </w:pPr>
            <w:r>
              <w:t>Evaluate development, delivery and outcomes for ETF Hospitality Course and incorporate findings in TSP1 M&amp;E reports</w:t>
            </w:r>
          </w:p>
        </w:tc>
        <w:tc>
          <w:tcPr>
            <w:tcW w:w="284" w:type="dxa"/>
            <w:vMerge w:val="restart"/>
            <w:tcBorders>
              <w:top w:val="nil"/>
              <w:left w:val="single" w:sz="4" w:space="0" w:color="3366FF"/>
              <w:right w:val="single" w:sz="4" w:space="0" w:color="0000FF"/>
            </w:tcBorders>
          </w:tcPr>
          <w:p w14:paraId="4F74307B" w14:textId="77777777" w:rsidR="00433AA4" w:rsidRPr="00984B47" w:rsidRDefault="00433AA4"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774B347" w14:textId="77777777" w:rsidR="00433AA4" w:rsidRPr="00984B47" w:rsidRDefault="00433AA4"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130E8768" w14:textId="77777777" w:rsidR="00433AA4" w:rsidRPr="00984B47" w:rsidRDefault="00433AA4"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F6D67BD" w14:textId="77777777" w:rsidR="00433AA4" w:rsidRPr="00984B47" w:rsidRDefault="00433AA4"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3319807" w14:textId="77777777" w:rsidR="00433AA4" w:rsidRPr="00984B47" w:rsidRDefault="00433AA4"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0A1FA44" w14:textId="77777777" w:rsidR="00433AA4" w:rsidRPr="00984B47" w:rsidRDefault="00433AA4"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110AE59D" w14:textId="77777777" w:rsidR="00433AA4" w:rsidRPr="00984B47" w:rsidRDefault="00433AA4"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A176284" w14:textId="77777777" w:rsidR="00433AA4" w:rsidRPr="00984B47" w:rsidRDefault="00433AA4"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1E2B61C8" w14:textId="77777777" w:rsidR="00433AA4" w:rsidRPr="00984B47" w:rsidRDefault="00433AA4" w:rsidP="00212261">
            <w:pPr>
              <w:spacing w:before="0" w:after="0"/>
              <w:ind w:left="-11"/>
              <w:rPr>
                <w:sz w:val="16"/>
                <w:szCs w:val="16"/>
              </w:rPr>
            </w:pPr>
          </w:p>
        </w:tc>
      </w:tr>
      <w:tr w:rsidR="00433AA4" w:rsidRPr="00152E18" w14:paraId="428171D8" w14:textId="77777777" w:rsidTr="003412F4">
        <w:trPr>
          <w:trHeight w:val="219"/>
        </w:trPr>
        <w:tc>
          <w:tcPr>
            <w:tcW w:w="6238" w:type="dxa"/>
            <w:vMerge/>
            <w:tcBorders>
              <w:left w:val="nil"/>
              <w:bottom w:val="nil"/>
              <w:right w:val="single" w:sz="4" w:space="0" w:color="3366FF"/>
            </w:tcBorders>
          </w:tcPr>
          <w:p w14:paraId="2CF1CAE1" w14:textId="77777777" w:rsidR="00433AA4" w:rsidRDefault="00433AA4"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5300E198" w14:textId="77777777" w:rsidR="00433AA4" w:rsidRPr="00984B47" w:rsidRDefault="00433AA4"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3DB6579" w14:textId="77777777" w:rsidR="00433AA4" w:rsidRPr="00984B47" w:rsidRDefault="00433AA4"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72D0CA51" w14:textId="77777777" w:rsidR="00433AA4" w:rsidRPr="00984B47" w:rsidRDefault="00433AA4"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EEE6CD4" w14:textId="77777777" w:rsidR="00433AA4" w:rsidRPr="00984B47" w:rsidRDefault="00433AA4"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BD1CDF8" w14:textId="77777777" w:rsidR="00433AA4" w:rsidRPr="00984B47" w:rsidRDefault="00433AA4"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AD76B7A" w14:textId="77777777" w:rsidR="00433AA4" w:rsidRPr="00984B47" w:rsidRDefault="00433AA4"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542ECA2" w14:textId="77777777" w:rsidR="00433AA4" w:rsidRPr="00984B47" w:rsidRDefault="00433AA4"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37CB701" w14:textId="77777777" w:rsidR="00433AA4" w:rsidRPr="00984B47" w:rsidRDefault="00433AA4"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2856506" w14:textId="77777777" w:rsidR="00433AA4" w:rsidRPr="00984B47" w:rsidRDefault="00433AA4" w:rsidP="00212261">
            <w:pPr>
              <w:spacing w:before="0" w:after="0"/>
              <w:ind w:left="-11"/>
              <w:rPr>
                <w:sz w:val="16"/>
                <w:szCs w:val="16"/>
              </w:rPr>
            </w:pPr>
          </w:p>
        </w:tc>
      </w:tr>
      <w:tr w:rsidR="00036D6B" w:rsidRPr="00152E18" w14:paraId="66E7BFA3" w14:textId="77777777" w:rsidTr="003412F4">
        <w:trPr>
          <w:trHeight w:val="212"/>
        </w:trPr>
        <w:tc>
          <w:tcPr>
            <w:tcW w:w="6238" w:type="dxa"/>
            <w:vMerge w:val="restart"/>
            <w:tcBorders>
              <w:top w:val="nil"/>
              <w:left w:val="nil"/>
              <w:right w:val="single" w:sz="4" w:space="0" w:color="3366FF"/>
            </w:tcBorders>
          </w:tcPr>
          <w:p w14:paraId="786466C1" w14:textId="6672F95E" w:rsidR="00036D6B" w:rsidRDefault="00036D6B" w:rsidP="002D63E1">
            <w:pPr>
              <w:pStyle w:val="ListParagraph"/>
              <w:numPr>
                <w:ilvl w:val="0"/>
                <w:numId w:val="28"/>
              </w:numPr>
              <w:ind w:left="743" w:hanging="284"/>
              <w:contextualSpacing w:val="0"/>
              <w:jc w:val="left"/>
            </w:pPr>
            <w:r>
              <w:t>Examine closely the Tonga Business Enterprise Centre (TBEC) model for determining training needs and facilitating a training response</w:t>
            </w:r>
          </w:p>
        </w:tc>
        <w:tc>
          <w:tcPr>
            <w:tcW w:w="284" w:type="dxa"/>
            <w:vMerge w:val="restart"/>
            <w:tcBorders>
              <w:top w:val="nil"/>
              <w:left w:val="single" w:sz="4" w:space="0" w:color="3366FF"/>
              <w:right w:val="single" w:sz="4" w:space="0" w:color="0000FF"/>
            </w:tcBorders>
          </w:tcPr>
          <w:p w14:paraId="3EC6E197" w14:textId="77777777" w:rsidR="00036D6B" w:rsidRPr="00984B47" w:rsidRDefault="00036D6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EC931D9" w14:textId="77777777" w:rsidR="00036D6B" w:rsidRPr="00984B47" w:rsidRDefault="00036D6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78A436D" w14:textId="77777777" w:rsidR="00036D6B" w:rsidRPr="00984B47" w:rsidRDefault="00036D6B"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4E496E29" w14:textId="77777777" w:rsidR="00036D6B" w:rsidRPr="00984B47" w:rsidRDefault="00036D6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213F242" w14:textId="77777777" w:rsidR="00036D6B" w:rsidRPr="00984B47" w:rsidRDefault="00036D6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241C63E" w14:textId="77777777" w:rsidR="00036D6B" w:rsidRPr="00984B47" w:rsidRDefault="00036D6B"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05EDA2B" w14:textId="77777777" w:rsidR="00036D6B" w:rsidRPr="00984B47" w:rsidRDefault="00036D6B"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1E46C74" w14:textId="77777777" w:rsidR="00036D6B" w:rsidRPr="00984B47" w:rsidRDefault="00036D6B"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73217DE5" w14:textId="77777777" w:rsidR="00036D6B" w:rsidRPr="00984B47" w:rsidRDefault="00036D6B" w:rsidP="00212261">
            <w:pPr>
              <w:spacing w:before="0" w:after="0"/>
              <w:ind w:left="-11"/>
              <w:rPr>
                <w:sz w:val="16"/>
                <w:szCs w:val="16"/>
              </w:rPr>
            </w:pPr>
          </w:p>
        </w:tc>
      </w:tr>
      <w:tr w:rsidR="00036D6B" w:rsidRPr="00152E18" w14:paraId="02360EFA" w14:textId="77777777" w:rsidTr="003412F4">
        <w:trPr>
          <w:trHeight w:val="119"/>
        </w:trPr>
        <w:tc>
          <w:tcPr>
            <w:tcW w:w="6238" w:type="dxa"/>
            <w:vMerge/>
            <w:tcBorders>
              <w:left w:val="nil"/>
              <w:bottom w:val="nil"/>
              <w:right w:val="single" w:sz="4" w:space="0" w:color="3366FF"/>
            </w:tcBorders>
          </w:tcPr>
          <w:p w14:paraId="074EEE4C" w14:textId="77777777" w:rsidR="00036D6B" w:rsidRDefault="00036D6B"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7A189300" w14:textId="77777777" w:rsidR="00036D6B" w:rsidRPr="00984B47" w:rsidRDefault="00036D6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BCC6C73" w14:textId="77777777" w:rsidR="00036D6B" w:rsidRPr="00984B47" w:rsidRDefault="00036D6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0C693E97" w14:textId="77777777" w:rsidR="00036D6B" w:rsidRPr="00984B47" w:rsidRDefault="00036D6B"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3C92CCEB" w14:textId="77777777" w:rsidR="00036D6B" w:rsidRPr="00984B47" w:rsidRDefault="00036D6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6CC37B3" w14:textId="77777777" w:rsidR="00036D6B" w:rsidRPr="00984B47" w:rsidRDefault="00036D6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381B02F" w14:textId="77777777" w:rsidR="00036D6B" w:rsidRPr="00984B47" w:rsidRDefault="00036D6B"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150D2F7" w14:textId="77777777" w:rsidR="00036D6B" w:rsidRPr="00984B47" w:rsidRDefault="00036D6B"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4BA2A0A" w14:textId="77777777" w:rsidR="00036D6B" w:rsidRPr="00984B47" w:rsidRDefault="00036D6B"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24EBB972" w14:textId="77777777" w:rsidR="00036D6B" w:rsidRPr="00984B47" w:rsidRDefault="00036D6B" w:rsidP="00212261">
            <w:pPr>
              <w:spacing w:before="0" w:after="0"/>
              <w:ind w:left="-11"/>
              <w:rPr>
                <w:sz w:val="16"/>
                <w:szCs w:val="16"/>
              </w:rPr>
            </w:pPr>
          </w:p>
        </w:tc>
      </w:tr>
      <w:tr w:rsidR="000419AF" w:rsidRPr="00152E18" w14:paraId="664EDFBD" w14:textId="77777777" w:rsidTr="003412F4">
        <w:trPr>
          <w:trHeight w:val="145"/>
        </w:trPr>
        <w:tc>
          <w:tcPr>
            <w:tcW w:w="6238" w:type="dxa"/>
            <w:vMerge w:val="restart"/>
            <w:tcBorders>
              <w:top w:val="nil"/>
              <w:left w:val="nil"/>
              <w:right w:val="single" w:sz="4" w:space="0" w:color="3366FF"/>
            </w:tcBorders>
          </w:tcPr>
          <w:p w14:paraId="7A2B0829" w14:textId="7DD37773" w:rsidR="000419AF" w:rsidRDefault="00113D84" w:rsidP="002D63E1">
            <w:pPr>
              <w:pStyle w:val="ListParagraph"/>
              <w:numPr>
                <w:ilvl w:val="0"/>
                <w:numId w:val="28"/>
              </w:numPr>
              <w:ind w:left="743" w:hanging="284"/>
              <w:contextualSpacing w:val="0"/>
              <w:jc w:val="left"/>
            </w:pPr>
            <w:r>
              <w:t>Select highest priority skill-</w:t>
            </w:r>
            <w:r w:rsidR="000419AF">
              <w:t>set need derived from labour market analysis and identify best available training solution for short course delivery – e.g. local registered provider with accredited program or franchise arrangement with local provider or through competitive tender for external supplier such as APTC or other NZ or Australian providers</w:t>
            </w:r>
          </w:p>
        </w:tc>
        <w:tc>
          <w:tcPr>
            <w:tcW w:w="284" w:type="dxa"/>
            <w:vMerge w:val="restart"/>
            <w:tcBorders>
              <w:top w:val="nil"/>
              <w:left w:val="single" w:sz="4" w:space="0" w:color="3366FF"/>
              <w:right w:val="single" w:sz="4" w:space="0" w:color="0000FF"/>
            </w:tcBorders>
          </w:tcPr>
          <w:p w14:paraId="5FE5053A" w14:textId="77777777" w:rsidR="000419AF" w:rsidRPr="00984B47" w:rsidRDefault="000419A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006777B" w14:textId="77777777" w:rsidR="000419AF" w:rsidRPr="00984B47" w:rsidRDefault="000419A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3229BB9" w14:textId="77777777" w:rsidR="000419AF" w:rsidRPr="00984B47" w:rsidRDefault="000419A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1BCF3BB" w14:textId="77777777" w:rsidR="000419AF" w:rsidRPr="00984B47" w:rsidRDefault="000419A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68DF1982" w14:textId="77777777" w:rsidR="000419AF" w:rsidRPr="00984B47" w:rsidRDefault="000419AF"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51E2827E" w14:textId="77777777" w:rsidR="000419AF" w:rsidRPr="00984B47" w:rsidRDefault="000419A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9B4F5AF" w14:textId="77777777" w:rsidR="000419AF" w:rsidRPr="00984B47" w:rsidRDefault="000419A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E423994" w14:textId="77777777" w:rsidR="000419AF" w:rsidRPr="00984B47" w:rsidRDefault="000419AF"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3DA7B81C" w14:textId="77777777" w:rsidR="000419AF" w:rsidRPr="00984B47" w:rsidRDefault="000419AF" w:rsidP="00212261">
            <w:pPr>
              <w:spacing w:before="0" w:after="0"/>
              <w:ind w:left="-11"/>
              <w:rPr>
                <w:sz w:val="16"/>
                <w:szCs w:val="16"/>
              </w:rPr>
            </w:pPr>
          </w:p>
        </w:tc>
      </w:tr>
      <w:tr w:rsidR="000419AF" w:rsidRPr="00152E18" w14:paraId="48F3AF7B" w14:textId="77777777" w:rsidTr="003412F4">
        <w:trPr>
          <w:trHeight w:val="1327"/>
        </w:trPr>
        <w:tc>
          <w:tcPr>
            <w:tcW w:w="6238" w:type="dxa"/>
            <w:vMerge/>
            <w:tcBorders>
              <w:left w:val="nil"/>
              <w:bottom w:val="nil"/>
              <w:right w:val="single" w:sz="4" w:space="0" w:color="3366FF"/>
            </w:tcBorders>
          </w:tcPr>
          <w:p w14:paraId="4CEAA29A" w14:textId="77777777" w:rsidR="000419AF" w:rsidRDefault="000419AF"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606CB93F" w14:textId="77777777" w:rsidR="000419AF" w:rsidRPr="00984B47" w:rsidRDefault="000419A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60B94C8" w14:textId="77777777" w:rsidR="000419AF" w:rsidRPr="00984B47" w:rsidRDefault="000419A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5578FE7" w14:textId="77777777" w:rsidR="000419AF" w:rsidRPr="00984B47" w:rsidRDefault="000419A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B386330" w14:textId="77777777" w:rsidR="000419AF" w:rsidRPr="00984B47" w:rsidRDefault="000419A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D421336" w14:textId="77777777" w:rsidR="000419AF" w:rsidRPr="00984B47" w:rsidRDefault="000419AF"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7AE7D23C" w14:textId="77777777" w:rsidR="000419AF" w:rsidRPr="00984B47" w:rsidRDefault="000419A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A793CE9" w14:textId="77777777" w:rsidR="000419AF" w:rsidRPr="00984B47" w:rsidRDefault="000419A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8228CE4" w14:textId="77777777" w:rsidR="000419AF" w:rsidRPr="00984B47" w:rsidRDefault="000419AF"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083BCED" w14:textId="77777777" w:rsidR="000419AF" w:rsidRPr="00984B47" w:rsidRDefault="000419AF" w:rsidP="00212261">
            <w:pPr>
              <w:spacing w:before="0" w:after="0"/>
              <w:ind w:left="-11"/>
              <w:rPr>
                <w:sz w:val="16"/>
                <w:szCs w:val="16"/>
              </w:rPr>
            </w:pPr>
          </w:p>
        </w:tc>
      </w:tr>
      <w:tr w:rsidR="00DF55F3" w:rsidRPr="00152E18" w14:paraId="5B0DB352" w14:textId="77777777" w:rsidTr="003412F4">
        <w:trPr>
          <w:trHeight w:val="211"/>
        </w:trPr>
        <w:tc>
          <w:tcPr>
            <w:tcW w:w="6238" w:type="dxa"/>
            <w:vMerge w:val="restart"/>
            <w:tcBorders>
              <w:top w:val="nil"/>
              <w:left w:val="nil"/>
              <w:right w:val="single" w:sz="4" w:space="0" w:color="3366FF"/>
            </w:tcBorders>
          </w:tcPr>
          <w:p w14:paraId="444E75B3" w14:textId="5FF820DF" w:rsidR="00DF55F3" w:rsidRDefault="00DF55F3" w:rsidP="00113D84">
            <w:pPr>
              <w:pStyle w:val="ListParagraph"/>
              <w:numPr>
                <w:ilvl w:val="0"/>
                <w:numId w:val="28"/>
              </w:numPr>
              <w:ind w:left="743" w:hanging="284"/>
              <w:contextualSpacing w:val="0"/>
              <w:jc w:val="left"/>
            </w:pPr>
            <w:r>
              <w:t>Contract successful training provider</w:t>
            </w:r>
          </w:p>
        </w:tc>
        <w:tc>
          <w:tcPr>
            <w:tcW w:w="284" w:type="dxa"/>
            <w:vMerge w:val="restart"/>
            <w:tcBorders>
              <w:top w:val="nil"/>
              <w:left w:val="single" w:sz="4" w:space="0" w:color="3366FF"/>
              <w:right w:val="single" w:sz="4" w:space="0" w:color="0000FF"/>
            </w:tcBorders>
          </w:tcPr>
          <w:p w14:paraId="1106354A" w14:textId="77777777" w:rsidR="00DF55F3" w:rsidRPr="00984B47" w:rsidRDefault="00DF55F3"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6371985" w14:textId="77777777" w:rsidR="00DF55F3" w:rsidRPr="00984B47" w:rsidRDefault="00DF55F3"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ADAE1A6" w14:textId="77777777" w:rsidR="00DF55F3" w:rsidRPr="00984B47" w:rsidRDefault="00DF55F3"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A0F9172" w14:textId="77777777" w:rsidR="00DF55F3" w:rsidRPr="00984B47" w:rsidRDefault="00DF55F3"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24B8AE0" w14:textId="77777777" w:rsidR="00DF55F3" w:rsidRPr="00984B47" w:rsidRDefault="00DF55F3"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71B594A" w14:textId="77777777" w:rsidR="00DF55F3" w:rsidRPr="00984B47" w:rsidRDefault="00DF55F3"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5F3D4247" w14:textId="77777777" w:rsidR="00DF55F3" w:rsidRPr="00984B47" w:rsidRDefault="00DF55F3"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C2478D5" w14:textId="77777777" w:rsidR="00DF55F3" w:rsidRPr="00984B47" w:rsidRDefault="00DF55F3"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2E3C5175" w14:textId="77777777" w:rsidR="00DF55F3" w:rsidRPr="00984B47" w:rsidRDefault="00DF55F3" w:rsidP="00212261">
            <w:pPr>
              <w:spacing w:before="0" w:after="0"/>
              <w:ind w:left="-11"/>
              <w:rPr>
                <w:sz w:val="16"/>
                <w:szCs w:val="16"/>
              </w:rPr>
            </w:pPr>
          </w:p>
        </w:tc>
      </w:tr>
      <w:tr w:rsidR="00DF55F3" w:rsidRPr="00152E18" w14:paraId="6969B020" w14:textId="77777777" w:rsidTr="003412F4">
        <w:trPr>
          <w:trHeight w:val="155"/>
        </w:trPr>
        <w:tc>
          <w:tcPr>
            <w:tcW w:w="6238" w:type="dxa"/>
            <w:vMerge/>
            <w:tcBorders>
              <w:left w:val="nil"/>
              <w:right w:val="single" w:sz="4" w:space="0" w:color="3366FF"/>
            </w:tcBorders>
          </w:tcPr>
          <w:p w14:paraId="1AB1CE5B" w14:textId="77777777" w:rsidR="00DF55F3" w:rsidRDefault="00DF55F3" w:rsidP="00113D84">
            <w:pPr>
              <w:pStyle w:val="ListParagraph"/>
              <w:numPr>
                <w:ilvl w:val="0"/>
                <w:numId w:val="28"/>
              </w:numPr>
              <w:ind w:left="743" w:hanging="284"/>
              <w:contextualSpacing w:val="0"/>
              <w:jc w:val="left"/>
            </w:pPr>
          </w:p>
        </w:tc>
        <w:tc>
          <w:tcPr>
            <w:tcW w:w="284" w:type="dxa"/>
            <w:vMerge/>
            <w:tcBorders>
              <w:left w:val="single" w:sz="4" w:space="0" w:color="3366FF"/>
              <w:right w:val="single" w:sz="4" w:space="0" w:color="0000FF"/>
            </w:tcBorders>
          </w:tcPr>
          <w:p w14:paraId="3246402B" w14:textId="77777777" w:rsidR="00DF55F3" w:rsidRPr="00984B47" w:rsidRDefault="00DF55F3" w:rsidP="00212261">
            <w:pPr>
              <w:spacing w:before="0" w:after="0"/>
              <w:ind w:left="-11"/>
              <w:rPr>
                <w:sz w:val="16"/>
                <w:szCs w:val="16"/>
              </w:rPr>
            </w:pPr>
          </w:p>
        </w:tc>
        <w:tc>
          <w:tcPr>
            <w:tcW w:w="283" w:type="dxa"/>
            <w:vMerge/>
            <w:tcBorders>
              <w:left w:val="single" w:sz="4" w:space="0" w:color="0000FF"/>
              <w:right w:val="single" w:sz="4" w:space="0" w:color="0000FF"/>
            </w:tcBorders>
          </w:tcPr>
          <w:p w14:paraId="4C18738F" w14:textId="77777777" w:rsidR="00DF55F3" w:rsidRPr="00984B47" w:rsidRDefault="00DF55F3" w:rsidP="00212261">
            <w:pPr>
              <w:spacing w:before="0" w:after="0"/>
              <w:ind w:left="-11"/>
              <w:rPr>
                <w:sz w:val="16"/>
                <w:szCs w:val="16"/>
              </w:rPr>
            </w:pPr>
          </w:p>
        </w:tc>
        <w:tc>
          <w:tcPr>
            <w:tcW w:w="284" w:type="dxa"/>
            <w:vMerge/>
            <w:tcBorders>
              <w:left w:val="single" w:sz="4" w:space="0" w:color="0000FF"/>
              <w:right w:val="single" w:sz="4" w:space="0" w:color="0000FF"/>
            </w:tcBorders>
          </w:tcPr>
          <w:p w14:paraId="611608CB" w14:textId="77777777" w:rsidR="00DF55F3" w:rsidRPr="00984B47" w:rsidRDefault="00DF55F3" w:rsidP="00212261">
            <w:pPr>
              <w:spacing w:before="0" w:after="0"/>
              <w:ind w:left="-11"/>
              <w:rPr>
                <w:sz w:val="16"/>
                <w:szCs w:val="16"/>
              </w:rPr>
            </w:pPr>
          </w:p>
        </w:tc>
        <w:tc>
          <w:tcPr>
            <w:tcW w:w="283" w:type="dxa"/>
            <w:vMerge/>
            <w:tcBorders>
              <w:left w:val="single" w:sz="4" w:space="0" w:color="0000FF"/>
              <w:right w:val="single" w:sz="4" w:space="0" w:color="0000FF"/>
            </w:tcBorders>
          </w:tcPr>
          <w:p w14:paraId="255C3767" w14:textId="77777777" w:rsidR="00DF55F3" w:rsidRPr="00984B47" w:rsidRDefault="00DF55F3" w:rsidP="00212261">
            <w:pPr>
              <w:spacing w:before="0" w:after="0"/>
              <w:ind w:left="-11"/>
              <w:rPr>
                <w:sz w:val="16"/>
                <w:szCs w:val="16"/>
              </w:rPr>
            </w:pPr>
          </w:p>
        </w:tc>
        <w:tc>
          <w:tcPr>
            <w:tcW w:w="283" w:type="dxa"/>
            <w:vMerge/>
            <w:tcBorders>
              <w:left w:val="single" w:sz="4" w:space="0" w:color="0000FF"/>
              <w:right w:val="single" w:sz="4" w:space="0" w:color="0000FF"/>
            </w:tcBorders>
          </w:tcPr>
          <w:p w14:paraId="5DC63439" w14:textId="77777777" w:rsidR="00DF55F3" w:rsidRPr="00984B47" w:rsidRDefault="00DF55F3" w:rsidP="00212261">
            <w:pPr>
              <w:spacing w:before="0" w:after="0"/>
              <w:ind w:left="-11"/>
              <w:rPr>
                <w:sz w:val="16"/>
                <w:szCs w:val="16"/>
              </w:rPr>
            </w:pPr>
          </w:p>
        </w:tc>
        <w:tc>
          <w:tcPr>
            <w:tcW w:w="284" w:type="dxa"/>
            <w:vMerge/>
            <w:tcBorders>
              <w:left w:val="single" w:sz="4" w:space="0" w:color="0000FF"/>
              <w:right w:val="single" w:sz="4" w:space="0" w:color="0000FF"/>
            </w:tcBorders>
          </w:tcPr>
          <w:p w14:paraId="17CE4554" w14:textId="77777777" w:rsidR="00DF55F3" w:rsidRPr="00984B47" w:rsidRDefault="00DF55F3" w:rsidP="00212261">
            <w:pPr>
              <w:spacing w:before="0" w:after="0"/>
              <w:ind w:left="-11"/>
              <w:rPr>
                <w:sz w:val="16"/>
                <w:szCs w:val="16"/>
              </w:rPr>
            </w:pPr>
          </w:p>
        </w:tc>
        <w:tc>
          <w:tcPr>
            <w:tcW w:w="284" w:type="dxa"/>
            <w:tcBorders>
              <w:top w:val="thinThickThinSmallGap" w:sz="48" w:space="0" w:color="3366FF"/>
              <w:left w:val="single" w:sz="4" w:space="0" w:color="0000FF"/>
              <w:right w:val="single" w:sz="4" w:space="0" w:color="0000FF"/>
            </w:tcBorders>
          </w:tcPr>
          <w:p w14:paraId="5F465A17" w14:textId="77777777" w:rsidR="00DF55F3" w:rsidRPr="00984B47" w:rsidRDefault="00DF55F3" w:rsidP="00212261">
            <w:pPr>
              <w:spacing w:before="0" w:after="0"/>
              <w:ind w:left="-11"/>
              <w:rPr>
                <w:sz w:val="16"/>
                <w:szCs w:val="16"/>
              </w:rPr>
            </w:pPr>
          </w:p>
        </w:tc>
        <w:tc>
          <w:tcPr>
            <w:tcW w:w="283" w:type="dxa"/>
            <w:vMerge/>
            <w:tcBorders>
              <w:left w:val="single" w:sz="4" w:space="0" w:color="0000FF"/>
              <w:right w:val="single" w:sz="4" w:space="0" w:color="0000FF"/>
            </w:tcBorders>
          </w:tcPr>
          <w:p w14:paraId="28FB1580" w14:textId="77777777" w:rsidR="00DF55F3" w:rsidRPr="00984B47" w:rsidRDefault="00DF55F3" w:rsidP="00212261">
            <w:pPr>
              <w:spacing w:before="0" w:after="0"/>
              <w:ind w:left="-11"/>
              <w:rPr>
                <w:sz w:val="16"/>
                <w:szCs w:val="16"/>
              </w:rPr>
            </w:pPr>
          </w:p>
        </w:tc>
        <w:tc>
          <w:tcPr>
            <w:tcW w:w="285" w:type="dxa"/>
            <w:vMerge/>
            <w:tcBorders>
              <w:left w:val="single" w:sz="4" w:space="0" w:color="0000FF"/>
              <w:right w:val="single" w:sz="4" w:space="0" w:color="0000FF"/>
            </w:tcBorders>
          </w:tcPr>
          <w:p w14:paraId="43748D9E" w14:textId="77777777" w:rsidR="00DF55F3" w:rsidRPr="00984B47" w:rsidRDefault="00DF55F3" w:rsidP="00212261">
            <w:pPr>
              <w:spacing w:before="0" w:after="0"/>
              <w:ind w:left="-11"/>
              <w:rPr>
                <w:sz w:val="16"/>
                <w:szCs w:val="16"/>
              </w:rPr>
            </w:pPr>
          </w:p>
        </w:tc>
      </w:tr>
      <w:tr w:rsidR="00BB760F" w:rsidRPr="00152E18" w14:paraId="7E4EBFF9" w14:textId="77777777" w:rsidTr="003412F4">
        <w:trPr>
          <w:trHeight w:val="297"/>
        </w:trPr>
        <w:tc>
          <w:tcPr>
            <w:tcW w:w="6238" w:type="dxa"/>
            <w:vMerge w:val="restart"/>
            <w:tcBorders>
              <w:top w:val="nil"/>
              <w:left w:val="nil"/>
              <w:right w:val="single" w:sz="4" w:space="0" w:color="3366FF"/>
            </w:tcBorders>
          </w:tcPr>
          <w:p w14:paraId="6165867C" w14:textId="32911EAC" w:rsidR="00036D6B" w:rsidRDefault="00BB760F" w:rsidP="00330E57">
            <w:pPr>
              <w:pStyle w:val="ListParagraph"/>
              <w:numPr>
                <w:ilvl w:val="0"/>
                <w:numId w:val="28"/>
              </w:numPr>
              <w:ind w:left="743" w:hanging="284"/>
              <w:contextualSpacing w:val="0"/>
              <w:jc w:val="left"/>
            </w:pPr>
            <w:r>
              <w:lastRenderedPageBreak/>
              <w:t>Monitor delivery and measure outcomes of the training for incorporation in TSP1 M&amp;E</w:t>
            </w:r>
          </w:p>
        </w:tc>
        <w:tc>
          <w:tcPr>
            <w:tcW w:w="284" w:type="dxa"/>
            <w:vMerge w:val="restart"/>
            <w:tcBorders>
              <w:top w:val="nil"/>
              <w:left w:val="single" w:sz="4" w:space="0" w:color="3366FF"/>
              <w:right w:val="single" w:sz="4" w:space="0" w:color="0000FF"/>
            </w:tcBorders>
          </w:tcPr>
          <w:p w14:paraId="0EE52CB3" w14:textId="77777777" w:rsidR="00BB760F" w:rsidRPr="00984B47" w:rsidRDefault="00BB760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8F086DA" w14:textId="77777777" w:rsidR="00BB760F" w:rsidRPr="00984B47" w:rsidRDefault="00BB760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E72190A" w14:textId="77777777" w:rsidR="00BB760F" w:rsidRPr="00984B47" w:rsidRDefault="00BB760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A373ED1" w14:textId="77777777" w:rsidR="00BB760F" w:rsidRPr="00984B47" w:rsidRDefault="00BB760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471BBE1" w14:textId="77777777" w:rsidR="00BB760F" w:rsidRPr="00984B47" w:rsidRDefault="00BB760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A418C6A" w14:textId="77777777" w:rsidR="00BB760F" w:rsidRPr="00984B47" w:rsidRDefault="00BB760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1FB4AB02" w14:textId="77777777" w:rsidR="00BB760F" w:rsidRPr="00984B47" w:rsidRDefault="00BB760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71111FCD" w14:textId="77777777" w:rsidR="00BB760F" w:rsidRPr="00984B47" w:rsidRDefault="00BB760F" w:rsidP="00212261">
            <w:pPr>
              <w:spacing w:before="0" w:after="0"/>
              <w:ind w:left="-11"/>
              <w:rPr>
                <w:sz w:val="16"/>
                <w:szCs w:val="16"/>
              </w:rPr>
            </w:pPr>
          </w:p>
        </w:tc>
        <w:tc>
          <w:tcPr>
            <w:tcW w:w="285" w:type="dxa"/>
            <w:tcBorders>
              <w:top w:val="nil"/>
              <w:left w:val="single" w:sz="4" w:space="0" w:color="0000FF"/>
              <w:bottom w:val="thinThickThinSmallGap" w:sz="48" w:space="0" w:color="3366FF"/>
              <w:right w:val="single" w:sz="4" w:space="0" w:color="0000FF"/>
            </w:tcBorders>
          </w:tcPr>
          <w:p w14:paraId="38FDDE87" w14:textId="77777777" w:rsidR="00BB760F" w:rsidRPr="00984B47" w:rsidRDefault="00BB760F" w:rsidP="00212261">
            <w:pPr>
              <w:spacing w:before="0" w:after="0"/>
              <w:ind w:left="-11"/>
              <w:rPr>
                <w:sz w:val="16"/>
                <w:szCs w:val="16"/>
              </w:rPr>
            </w:pPr>
          </w:p>
        </w:tc>
      </w:tr>
      <w:tr w:rsidR="00BB760F" w:rsidRPr="00152E18" w14:paraId="4E252FC1" w14:textId="77777777" w:rsidTr="003412F4">
        <w:trPr>
          <w:trHeight w:val="484"/>
        </w:trPr>
        <w:tc>
          <w:tcPr>
            <w:tcW w:w="6238" w:type="dxa"/>
            <w:vMerge/>
            <w:tcBorders>
              <w:left w:val="nil"/>
              <w:bottom w:val="nil"/>
              <w:right w:val="single" w:sz="4" w:space="0" w:color="3366FF"/>
            </w:tcBorders>
          </w:tcPr>
          <w:p w14:paraId="5D927A6A" w14:textId="77777777" w:rsidR="00BB760F" w:rsidRDefault="00BB760F"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576F0DF9" w14:textId="77777777" w:rsidR="00BB760F" w:rsidRPr="00984B47" w:rsidRDefault="00BB760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A77DEA6" w14:textId="77777777" w:rsidR="00BB760F" w:rsidRPr="00984B47" w:rsidRDefault="00BB760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3A5744D" w14:textId="77777777" w:rsidR="00BB760F" w:rsidRPr="00984B47" w:rsidRDefault="00BB760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D6B7A53" w14:textId="77777777" w:rsidR="00BB760F" w:rsidRPr="00984B47" w:rsidRDefault="00BB760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F409F83" w14:textId="77777777" w:rsidR="00BB760F" w:rsidRPr="00984B47" w:rsidRDefault="00BB760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D344ADE" w14:textId="77777777" w:rsidR="00BB760F" w:rsidRPr="00984B47" w:rsidRDefault="00BB760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A28FE2A" w14:textId="77777777" w:rsidR="00BB760F" w:rsidRPr="00984B47" w:rsidRDefault="00BB760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1AB7117" w14:textId="77777777" w:rsidR="00BB760F" w:rsidRPr="00984B47" w:rsidRDefault="00BB760F"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691E6568" w14:textId="77777777" w:rsidR="00BB760F" w:rsidRPr="00984B47" w:rsidRDefault="00BB760F" w:rsidP="00212261">
            <w:pPr>
              <w:spacing w:before="0" w:after="0"/>
              <w:ind w:left="-11"/>
              <w:rPr>
                <w:sz w:val="16"/>
                <w:szCs w:val="16"/>
              </w:rPr>
            </w:pPr>
          </w:p>
        </w:tc>
      </w:tr>
      <w:tr w:rsidR="00036D6B" w:rsidRPr="00152E18" w14:paraId="145DF51E" w14:textId="77777777" w:rsidTr="003412F4">
        <w:tc>
          <w:tcPr>
            <w:tcW w:w="6238" w:type="dxa"/>
            <w:tcBorders>
              <w:top w:val="nil"/>
              <w:left w:val="nil"/>
              <w:bottom w:val="nil"/>
              <w:right w:val="single" w:sz="4" w:space="0" w:color="3366FF"/>
            </w:tcBorders>
            <w:shd w:val="clear" w:color="auto" w:fill="C6D9F1" w:themeFill="text2" w:themeFillTint="33"/>
          </w:tcPr>
          <w:p w14:paraId="3DFD2332" w14:textId="65F06E5C" w:rsidR="00036D6B" w:rsidRDefault="00036D6B" w:rsidP="00036D6B">
            <w:pPr>
              <w:spacing w:before="0" w:after="0"/>
              <w:ind w:left="459" w:hanging="459"/>
              <w:jc w:val="left"/>
            </w:pPr>
            <w:r w:rsidRPr="00392C1A">
              <w:rPr>
                <w:b/>
              </w:rPr>
              <w:t xml:space="preserve">Component </w:t>
            </w:r>
            <w:r>
              <w:rPr>
                <w:b/>
              </w:rPr>
              <w:t>3</w:t>
            </w:r>
          </w:p>
        </w:tc>
        <w:tc>
          <w:tcPr>
            <w:tcW w:w="284" w:type="dxa"/>
            <w:tcBorders>
              <w:top w:val="nil"/>
              <w:left w:val="single" w:sz="4" w:space="0" w:color="3366FF"/>
              <w:bottom w:val="nil"/>
              <w:right w:val="single" w:sz="4" w:space="0" w:color="0000FF"/>
            </w:tcBorders>
            <w:shd w:val="clear" w:color="auto" w:fill="C6D9F1" w:themeFill="text2" w:themeFillTint="33"/>
          </w:tcPr>
          <w:p w14:paraId="333BFCDF"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1F60CA56" w14:textId="77777777" w:rsidR="00036D6B" w:rsidRPr="00984B47" w:rsidRDefault="00036D6B" w:rsidP="00036D6B">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5F3EF81E"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0DC17D8E"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52FA5E37" w14:textId="77777777" w:rsidR="00036D6B" w:rsidRPr="00984B47" w:rsidRDefault="00036D6B" w:rsidP="00036D6B">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69FD5592" w14:textId="77777777" w:rsidR="00036D6B" w:rsidRPr="00984B47" w:rsidRDefault="00036D6B" w:rsidP="00036D6B">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36C8A9F7"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4B2D4019" w14:textId="77777777" w:rsidR="00036D6B" w:rsidRPr="00984B47" w:rsidRDefault="00036D6B" w:rsidP="00036D6B">
            <w:pPr>
              <w:spacing w:before="0" w:after="0"/>
              <w:ind w:left="-11"/>
              <w:rPr>
                <w:sz w:val="16"/>
                <w:szCs w:val="16"/>
              </w:rPr>
            </w:pPr>
          </w:p>
        </w:tc>
        <w:tc>
          <w:tcPr>
            <w:tcW w:w="285" w:type="dxa"/>
            <w:tcBorders>
              <w:top w:val="nil"/>
              <w:left w:val="single" w:sz="4" w:space="0" w:color="0000FF"/>
              <w:bottom w:val="nil"/>
              <w:right w:val="single" w:sz="4" w:space="0" w:color="0000FF"/>
            </w:tcBorders>
            <w:shd w:val="clear" w:color="auto" w:fill="C6D9F1" w:themeFill="text2" w:themeFillTint="33"/>
          </w:tcPr>
          <w:p w14:paraId="2200D0FB" w14:textId="77777777" w:rsidR="00036D6B" w:rsidRPr="00984B47" w:rsidRDefault="00036D6B" w:rsidP="00036D6B">
            <w:pPr>
              <w:spacing w:before="0" w:after="0"/>
              <w:ind w:left="-11"/>
              <w:rPr>
                <w:sz w:val="16"/>
                <w:szCs w:val="16"/>
              </w:rPr>
            </w:pPr>
          </w:p>
        </w:tc>
      </w:tr>
      <w:tr w:rsidR="00036D6B" w:rsidRPr="00152E18" w14:paraId="2BBEDDC5" w14:textId="77777777" w:rsidTr="003412F4">
        <w:tc>
          <w:tcPr>
            <w:tcW w:w="6238" w:type="dxa"/>
            <w:tcBorders>
              <w:top w:val="nil"/>
              <w:left w:val="nil"/>
              <w:bottom w:val="nil"/>
              <w:right w:val="single" w:sz="4" w:space="0" w:color="3366FF"/>
            </w:tcBorders>
          </w:tcPr>
          <w:p w14:paraId="739141C2" w14:textId="7511C6A5" w:rsidR="00036D6B" w:rsidRDefault="00036D6B" w:rsidP="00036D6B">
            <w:pPr>
              <w:ind w:left="459" w:hanging="459"/>
              <w:jc w:val="left"/>
            </w:pPr>
            <w:r>
              <w:rPr>
                <w:b/>
              </w:rPr>
              <w:t>3.1</w:t>
            </w:r>
            <w:r>
              <w:rPr>
                <w:b/>
              </w:rPr>
              <w:tab/>
              <w:t>Program Management</w:t>
            </w:r>
          </w:p>
        </w:tc>
        <w:tc>
          <w:tcPr>
            <w:tcW w:w="284" w:type="dxa"/>
            <w:tcBorders>
              <w:top w:val="nil"/>
              <w:left w:val="single" w:sz="4" w:space="0" w:color="3366FF"/>
              <w:bottom w:val="nil"/>
              <w:right w:val="single" w:sz="4" w:space="0" w:color="0000FF"/>
            </w:tcBorders>
          </w:tcPr>
          <w:p w14:paraId="2694A2B8"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tcPr>
          <w:p w14:paraId="2F332E68" w14:textId="77777777" w:rsidR="00036D6B" w:rsidRPr="00984B47" w:rsidRDefault="00036D6B" w:rsidP="00036D6B">
            <w:pPr>
              <w:spacing w:before="0" w:after="0"/>
              <w:ind w:left="-11"/>
              <w:rPr>
                <w:sz w:val="16"/>
                <w:szCs w:val="16"/>
              </w:rPr>
            </w:pPr>
          </w:p>
        </w:tc>
        <w:tc>
          <w:tcPr>
            <w:tcW w:w="284" w:type="dxa"/>
            <w:tcBorders>
              <w:top w:val="nil"/>
              <w:left w:val="single" w:sz="4" w:space="0" w:color="0000FF"/>
              <w:bottom w:val="nil"/>
              <w:right w:val="single" w:sz="4" w:space="0" w:color="0000FF"/>
            </w:tcBorders>
          </w:tcPr>
          <w:p w14:paraId="59882325"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tcPr>
          <w:p w14:paraId="56B93AB3"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tcPr>
          <w:p w14:paraId="1B0DD353" w14:textId="77777777" w:rsidR="00036D6B" w:rsidRPr="00984B47" w:rsidRDefault="00036D6B" w:rsidP="00036D6B">
            <w:pPr>
              <w:spacing w:before="0" w:after="0"/>
              <w:ind w:left="-11"/>
              <w:rPr>
                <w:sz w:val="16"/>
                <w:szCs w:val="16"/>
              </w:rPr>
            </w:pPr>
          </w:p>
        </w:tc>
        <w:tc>
          <w:tcPr>
            <w:tcW w:w="284" w:type="dxa"/>
            <w:tcBorders>
              <w:top w:val="nil"/>
              <w:left w:val="single" w:sz="4" w:space="0" w:color="0000FF"/>
              <w:bottom w:val="nil"/>
              <w:right w:val="single" w:sz="4" w:space="0" w:color="0000FF"/>
            </w:tcBorders>
          </w:tcPr>
          <w:p w14:paraId="7C70D903" w14:textId="77777777" w:rsidR="00036D6B" w:rsidRPr="00984B47" w:rsidRDefault="00036D6B" w:rsidP="00036D6B">
            <w:pPr>
              <w:spacing w:before="0" w:after="0"/>
              <w:ind w:left="-11"/>
              <w:rPr>
                <w:sz w:val="16"/>
                <w:szCs w:val="16"/>
              </w:rPr>
            </w:pPr>
          </w:p>
        </w:tc>
        <w:tc>
          <w:tcPr>
            <w:tcW w:w="284" w:type="dxa"/>
            <w:tcBorders>
              <w:top w:val="nil"/>
              <w:left w:val="single" w:sz="4" w:space="0" w:color="0000FF"/>
              <w:bottom w:val="nil"/>
              <w:right w:val="single" w:sz="4" w:space="0" w:color="0000FF"/>
            </w:tcBorders>
          </w:tcPr>
          <w:p w14:paraId="10423B55" w14:textId="77777777" w:rsidR="00036D6B" w:rsidRPr="00984B47" w:rsidRDefault="00036D6B" w:rsidP="00036D6B">
            <w:pPr>
              <w:spacing w:before="0" w:after="0"/>
              <w:ind w:left="-11"/>
              <w:rPr>
                <w:sz w:val="16"/>
                <w:szCs w:val="16"/>
              </w:rPr>
            </w:pPr>
          </w:p>
        </w:tc>
        <w:tc>
          <w:tcPr>
            <w:tcW w:w="283" w:type="dxa"/>
            <w:tcBorders>
              <w:top w:val="nil"/>
              <w:left w:val="single" w:sz="4" w:space="0" w:color="0000FF"/>
              <w:bottom w:val="nil"/>
              <w:right w:val="single" w:sz="4" w:space="0" w:color="0000FF"/>
            </w:tcBorders>
          </w:tcPr>
          <w:p w14:paraId="57EAED71" w14:textId="77777777" w:rsidR="00036D6B" w:rsidRPr="00984B47" w:rsidRDefault="00036D6B" w:rsidP="00036D6B">
            <w:pPr>
              <w:spacing w:before="0" w:after="0"/>
              <w:ind w:left="-11"/>
              <w:rPr>
                <w:sz w:val="16"/>
                <w:szCs w:val="16"/>
              </w:rPr>
            </w:pPr>
          </w:p>
        </w:tc>
        <w:tc>
          <w:tcPr>
            <w:tcW w:w="285" w:type="dxa"/>
            <w:tcBorders>
              <w:top w:val="nil"/>
              <w:left w:val="single" w:sz="4" w:space="0" w:color="0000FF"/>
              <w:bottom w:val="nil"/>
              <w:right w:val="single" w:sz="4" w:space="0" w:color="0000FF"/>
            </w:tcBorders>
          </w:tcPr>
          <w:p w14:paraId="6AA3DF6A" w14:textId="77777777" w:rsidR="00036D6B" w:rsidRPr="00984B47" w:rsidRDefault="00036D6B" w:rsidP="00036D6B">
            <w:pPr>
              <w:spacing w:before="0" w:after="0"/>
              <w:ind w:left="-11"/>
              <w:rPr>
                <w:sz w:val="16"/>
                <w:szCs w:val="16"/>
              </w:rPr>
            </w:pPr>
          </w:p>
        </w:tc>
      </w:tr>
      <w:tr w:rsidR="001B71FE" w:rsidRPr="00152E18" w14:paraId="5CC3D6DE" w14:textId="77777777" w:rsidTr="003412F4">
        <w:trPr>
          <w:trHeight w:val="269"/>
        </w:trPr>
        <w:tc>
          <w:tcPr>
            <w:tcW w:w="6238" w:type="dxa"/>
            <w:vMerge w:val="restart"/>
            <w:tcBorders>
              <w:top w:val="nil"/>
              <w:left w:val="nil"/>
              <w:right w:val="single" w:sz="4" w:space="0" w:color="3366FF"/>
            </w:tcBorders>
          </w:tcPr>
          <w:p w14:paraId="0D656100" w14:textId="3F4ED1D5" w:rsidR="001B71FE" w:rsidRDefault="001B71FE" w:rsidP="002D63E1">
            <w:pPr>
              <w:pStyle w:val="ListParagraph"/>
              <w:numPr>
                <w:ilvl w:val="0"/>
                <w:numId w:val="28"/>
              </w:numPr>
              <w:ind w:left="743" w:hanging="284"/>
              <w:contextualSpacing w:val="0"/>
              <w:jc w:val="left"/>
            </w:pPr>
            <w:r>
              <w:t>Office Setup – undertake minor renovations of allocated offices up to a budget ceiling of AUD50</w:t>
            </w:r>
            <w:proofErr w:type="gramStart"/>
            <w:r>
              <w:t>,000</w:t>
            </w:r>
            <w:proofErr w:type="gramEnd"/>
          </w:p>
        </w:tc>
        <w:tc>
          <w:tcPr>
            <w:tcW w:w="284" w:type="dxa"/>
            <w:tcBorders>
              <w:top w:val="nil"/>
              <w:left w:val="single" w:sz="4" w:space="0" w:color="3366FF"/>
              <w:bottom w:val="thinThickThinSmallGap" w:sz="48" w:space="0" w:color="3366FF"/>
              <w:right w:val="single" w:sz="4" w:space="0" w:color="0000FF"/>
            </w:tcBorders>
          </w:tcPr>
          <w:p w14:paraId="0547016A" w14:textId="77777777" w:rsidR="001B71FE" w:rsidRPr="00984B47" w:rsidRDefault="001B71FE"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100DECC5" w14:textId="77777777" w:rsidR="001B71FE" w:rsidRPr="00984B47" w:rsidRDefault="001B71FE"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0140E9F5" w14:textId="77777777" w:rsidR="001B71FE" w:rsidRPr="00984B47" w:rsidRDefault="001B71FE"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25C0BCF" w14:textId="77777777" w:rsidR="001B71FE" w:rsidRPr="00984B47" w:rsidRDefault="001B71FE"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03DD9B2" w14:textId="77777777" w:rsidR="001B71FE" w:rsidRPr="00984B47" w:rsidRDefault="001B71FE"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FD54A4F" w14:textId="77777777" w:rsidR="001B71FE" w:rsidRPr="00984B47" w:rsidRDefault="001B71FE"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4908338" w14:textId="77777777" w:rsidR="001B71FE" w:rsidRPr="00984B47" w:rsidRDefault="001B71FE"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706B440" w14:textId="77777777" w:rsidR="001B71FE" w:rsidRPr="00984B47" w:rsidRDefault="001B71FE"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373DE696" w14:textId="77777777" w:rsidR="001B71FE" w:rsidRPr="00984B47" w:rsidRDefault="001B71FE" w:rsidP="00212261">
            <w:pPr>
              <w:spacing w:before="0" w:after="0"/>
              <w:ind w:left="-11"/>
              <w:rPr>
                <w:sz w:val="16"/>
                <w:szCs w:val="16"/>
              </w:rPr>
            </w:pPr>
          </w:p>
        </w:tc>
      </w:tr>
      <w:tr w:rsidR="001B71FE" w:rsidRPr="00152E18" w14:paraId="241BFE29" w14:textId="77777777" w:rsidTr="003412F4">
        <w:trPr>
          <w:trHeight w:val="20"/>
        </w:trPr>
        <w:tc>
          <w:tcPr>
            <w:tcW w:w="6238" w:type="dxa"/>
            <w:vMerge/>
            <w:tcBorders>
              <w:left w:val="nil"/>
              <w:bottom w:val="nil"/>
              <w:right w:val="single" w:sz="4" w:space="0" w:color="3366FF"/>
            </w:tcBorders>
          </w:tcPr>
          <w:p w14:paraId="38E895FF" w14:textId="77777777" w:rsidR="001B71FE" w:rsidRDefault="001B71FE" w:rsidP="002D63E1">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4DCF3320" w14:textId="77777777" w:rsidR="001B71FE" w:rsidRPr="00984B47" w:rsidRDefault="001B71FE"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20E92426" w14:textId="77777777" w:rsidR="001B71FE" w:rsidRPr="00984B47" w:rsidRDefault="001B71FE"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B1C9142" w14:textId="77777777" w:rsidR="001B71FE" w:rsidRPr="00984B47" w:rsidRDefault="001B71FE"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1FD6773" w14:textId="77777777" w:rsidR="001B71FE" w:rsidRPr="00984B47" w:rsidRDefault="001B71FE"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1764B6A" w14:textId="77777777" w:rsidR="001B71FE" w:rsidRPr="00984B47" w:rsidRDefault="001B71FE"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2381AE4" w14:textId="77777777" w:rsidR="001B71FE" w:rsidRPr="00984B47" w:rsidRDefault="001B71FE"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D6C97A3" w14:textId="77777777" w:rsidR="001B71FE" w:rsidRPr="00984B47" w:rsidRDefault="001B71FE"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A0216E3" w14:textId="77777777" w:rsidR="001B71FE" w:rsidRPr="00984B47" w:rsidRDefault="001B71FE"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6D34F806" w14:textId="77777777" w:rsidR="001B71FE" w:rsidRPr="00984B47" w:rsidRDefault="001B71FE" w:rsidP="00212261">
            <w:pPr>
              <w:spacing w:before="0" w:after="0"/>
              <w:ind w:left="-11"/>
              <w:rPr>
                <w:sz w:val="16"/>
                <w:szCs w:val="16"/>
              </w:rPr>
            </w:pPr>
          </w:p>
        </w:tc>
      </w:tr>
      <w:tr w:rsidR="00330E57" w:rsidRPr="00152E18" w14:paraId="7A9C6CAA" w14:textId="77777777" w:rsidTr="003412F4">
        <w:trPr>
          <w:trHeight w:val="229"/>
        </w:trPr>
        <w:tc>
          <w:tcPr>
            <w:tcW w:w="6238" w:type="dxa"/>
            <w:vMerge w:val="restart"/>
            <w:tcBorders>
              <w:top w:val="nil"/>
              <w:left w:val="nil"/>
              <w:right w:val="single" w:sz="4" w:space="0" w:color="3366FF"/>
            </w:tcBorders>
          </w:tcPr>
          <w:p w14:paraId="70228EF6" w14:textId="61CD5923" w:rsidR="00330E57" w:rsidRDefault="00330E57" w:rsidP="001B71FE">
            <w:pPr>
              <w:pStyle w:val="ListParagraph"/>
              <w:numPr>
                <w:ilvl w:val="0"/>
                <w:numId w:val="28"/>
              </w:numPr>
              <w:ind w:left="743" w:hanging="284"/>
              <w:contextualSpacing w:val="0"/>
              <w:jc w:val="left"/>
            </w:pPr>
            <w:r>
              <w:t>Develop TOR for STA Labour Market Information and Strategic Skills Planning (STA LMI) ensuring provision is made for capacity building of TSP1 and relevant MET staff as well as relevant ITACs</w:t>
            </w:r>
          </w:p>
        </w:tc>
        <w:tc>
          <w:tcPr>
            <w:tcW w:w="284" w:type="dxa"/>
            <w:tcBorders>
              <w:top w:val="nil"/>
              <w:left w:val="single" w:sz="4" w:space="0" w:color="3366FF"/>
              <w:bottom w:val="thinThickThinSmallGap" w:sz="48" w:space="0" w:color="3366FF"/>
              <w:right w:val="single" w:sz="4" w:space="0" w:color="0000FF"/>
            </w:tcBorders>
          </w:tcPr>
          <w:p w14:paraId="78D36FAC" w14:textId="77777777" w:rsidR="00330E57" w:rsidRPr="00984B47" w:rsidRDefault="00330E57"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2700082" w14:textId="77777777" w:rsidR="00330E57" w:rsidRPr="00984B47" w:rsidRDefault="00330E57"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DD07222" w14:textId="77777777" w:rsidR="00330E57" w:rsidRPr="00984B47" w:rsidRDefault="00330E57"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0B78CAB" w14:textId="77777777" w:rsidR="00330E57" w:rsidRPr="00984B47" w:rsidRDefault="00330E57"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C9C61F2" w14:textId="77777777" w:rsidR="00330E57" w:rsidRPr="00984B47" w:rsidRDefault="00330E57"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6667B58" w14:textId="77777777" w:rsidR="00330E57" w:rsidRPr="00984B47" w:rsidRDefault="00330E57"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496D787" w14:textId="77777777" w:rsidR="00330E57" w:rsidRPr="00984B47" w:rsidRDefault="00330E57"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9D739EC" w14:textId="77777777" w:rsidR="00330E57" w:rsidRPr="00984B47" w:rsidRDefault="00330E57"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10D5F172" w14:textId="77777777" w:rsidR="00330E57" w:rsidRPr="00984B47" w:rsidRDefault="00330E57" w:rsidP="00212261">
            <w:pPr>
              <w:spacing w:before="0" w:after="0"/>
              <w:ind w:left="-11"/>
              <w:rPr>
                <w:sz w:val="16"/>
                <w:szCs w:val="16"/>
              </w:rPr>
            </w:pPr>
          </w:p>
        </w:tc>
      </w:tr>
      <w:tr w:rsidR="00330E57" w:rsidRPr="00152E18" w14:paraId="1E441778" w14:textId="77777777" w:rsidTr="003412F4">
        <w:trPr>
          <w:trHeight w:val="490"/>
        </w:trPr>
        <w:tc>
          <w:tcPr>
            <w:tcW w:w="6238" w:type="dxa"/>
            <w:vMerge/>
            <w:tcBorders>
              <w:left w:val="nil"/>
              <w:bottom w:val="nil"/>
              <w:right w:val="single" w:sz="4" w:space="0" w:color="3366FF"/>
            </w:tcBorders>
          </w:tcPr>
          <w:p w14:paraId="5C33EBAA" w14:textId="77777777" w:rsidR="00330E57" w:rsidRDefault="00330E57" w:rsidP="001B71FE">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4EE4B06C" w14:textId="77777777" w:rsidR="00330E57" w:rsidRPr="00984B47" w:rsidRDefault="00330E57"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6510D01" w14:textId="77777777" w:rsidR="00330E57" w:rsidRPr="00984B47" w:rsidRDefault="00330E57"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5E6CBD2C" w14:textId="77777777" w:rsidR="00330E57" w:rsidRPr="00984B47" w:rsidRDefault="00330E57"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CA22AB6" w14:textId="77777777" w:rsidR="00330E57" w:rsidRPr="00984B47" w:rsidRDefault="00330E57"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44D46E8" w14:textId="77777777" w:rsidR="00330E57" w:rsidRPr="00984B47" w:rsidRDefault="00330E57"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3A6145C" w14:textId="77777777" w:rsidR="00330E57" w:rsidRPr="00984B47" w:rsidRDefault="00330E57"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56804B4" w14:textId="77777777" w:rsidR="00330E57" w:rsidRPr="00984B47" w:rsidRDefault="00330E57"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2897430" w14:textId="77777777" w:rsidR="00330E57" w:rsidRPr="00984B47" w:rsidRDefault="00330E57"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5E3B2695" w14:textId="77777777" w:rsidR="00330E57" w:rsidRPr="00984B47" w:rsidRDefault="00330E57" w:rsidP="00212261">
            <w:pPr>
              <w:spacing w:before="0" w:after="0"/>
              <w:ind w:left="-11"/>
              <w:rPr>
                <w:sz w:val="16"/>
                <w:szCs w:val="16"/>
              </w:rPr>
            </w:pPr>
          </w:p>
        </w:tc>
      </w:tr>
      <w:tr w:rsidR="00AD0F53" w:rsidRPr="00152E18" w14:paraId="7410D4AD" w14:textId="77777777" w:rsidTr="003412F4">
        <w:trPr>
          <w:trHeight w:val="74"/>
        </w:trPr>
        <w:tc>
          <w:tcPr>
            <w:tcW w:w="6238" w:type="dxa"/>
            <w:vMerge w:val="restart"/>
            <w:tcBorders>
              <w:top w:val="nil"/>
              <w:left w:val="nil"/>
              <w:right w:val="single" w:sz="4" w:space="0" w:color="3366FF"/>
            </w:tcBorders>
          </w:tcPr>
          <w:p w14:paraId="489965CD" w14:textId="768A3E80" w:rsidR="00AD0F53" w:rsidRDefault="009E3038" w:rsidP="002D63E1">
            <w:pPr>
              <w:pStyle w:val="ListParagraph"/>
              <w:numPr>
                <w:ilvl w:val="0"/>
                <w:numId w:val="28"/>
              </w:numPr>
              <w:ind w:left="743" w:hanging="284"/>
              <w:contextualSpacing w:val="0"/>
              <w:jc w:val="left"/>
            </w:pPr>
            <w:r>
              <w:t>Work closely with MFNP to expedite r</w:t>
            </w:r>
            <w:r w:rsidR="00AD0F53">
              <w:t>ecruit</w:t>
            </w:r>
            <w:r>
              <w:t>ment</w:t>
            </w:r>
            <w:r w:rsidR="00AD0F53">
              <w:t xml:space="preserve"> and field STA LMI</w:t>
            </w:r>
            <w:r>
              <w:t xml:space="preserve"> as early as possible</w:t>
            </w:r>
            <w:r>
              <w:rPr>
                <w:rStyle w:val="FootnoteReference"/>
              </w:rPr>
              <w:footnoteReference w:id="40"/>
            </w:r>
          </w:p>
          <w:p w14:paraId="6B4AC8BC" w14:textId="77777777" w:rsidR="00AD0F53" w:rsidRDefault="00AD0F53" w:rsidP="00AD0F53">
            <w:pPr>
              <w:pStyle w:val="ListParagraph"/>
              <w:numPr>
                <w:ilvl w:val="0"/>
                <w:numId w:val="28"/>
              </w:numPr>
              <w:ind w:left="743" w:hanging="284"/>
              <w:contextualSpacing w:val="0"/>
              <w:jc w:val="left"/>
            </w:pPr>
            <w:r>
              <w:t>Ensure all appropriate TSP1 and relevant MET staff, as well as relevant ITACs are actively engaged in the labour market and skills planning studies</w:t>
            </w:r>
          </w:p>
          <w:p w14:paraId="2F03D77F" w14:textId="77777777" w:rsidR="00AD0F53" w:rsidRDefault="00AD0F53" w:rsidP="002D63E1">
            <w:pPr>
              <w:pStyle w:val="ListParagraph"/>
              <w:numPr>
                <w:ilvl w:val="0"/>
                <w:numId w:val="28"/>
              </w:numPr>
              <w:ind w:left="743" w:hanging="284"/>
              <w:contextualSpacing w:val="0"/>
              <w:jc w:val="left"/>
            </w:pPr>
            <w:r>
              <w:t xml:space="preserve">Develop TOR for STA National TVET Policy (STA NTP) ensuring provision is made for capacity building of TSP1 and relevant MET staff </w:t>
            </w:r>
          </w:p>
          <w:p w14:paraId="416EFF13" w14:textId="009523F2" w:rsidR="00AD0F53" w:rsidRDefault="009E3038" w:rsidP="002D63E1">
            <w:pPr>
              <w:pStyle w:val="ListParagraph"/>
              <w:numPr>
                <w:ilvl w:val="0"/>
                <w:numId w:val="28"/>
              </w:numPr>
              <w:ind w:left="743" w:hanging="284"/>
              <w:contextualSpacing w:val="0"/>
              <w:jc w:val="left"/>
            </w:pPr>
            <w:r>
              <w:t>Work closely with MFNP to expedite recruitment</w:t>
            </w:r>
            <w:r w:rsidR="00AD0F53">
              <w:t xml:space="preserve"> and </w:t>
            </w:r>
            <w:r w:rsidR="0059196D">
              <w:t>f</w:t>
            </w:r>
            <w:r w:rsidR="00AD0F53">
              <w:t>ield STA NTP</w:t>
            </w:r>
            <w:r>
              <w:t xml:space="preserve"> as early as possible</w:t>
            </w:r>
            <w:r w:rsidR="0059196D">
              <w:rPr>
                <w:rStyle w:val="FootnoteReference"/>
              </w:rPr>
              <w:footnoteReference w:id="41"/>
            </w:r>
          </w:p>
          <w:p w14:paraId="539530DC" w14:textId="0FC2A11D" w:rsidR="00AD0F53" w:rsidRDefault="00AD0F53" w:rsidP="00AD0F53">
            <w:pPr>
              <w:pStyle w:val="ListParagraph"/>
              <w:numPr>
                <w:ilvl w:val="0"/>
                <w:numId w:val="28"/>
              </w:numPr>
              <w:ind w:left="743" w:hanging="284"/>
              <w:contextualSpacing w:val="0"/>
              <w:jc w:val="left"/>
            </w:pPr>
            <w:r>
              <w:t>Ensure all appropriate TSP1 and relevant MET staff are actively engaged in the processes to develop the National TVET Policy</w:t>
            </w:r>
          </w:p>
        </w:tc>
        <w:tc>
          <w:tcPr>
            <w:tcW w:w="284" w:type="dxa"/>
            <w:vMerge w:val="restart"/>
            <w:tcBorders>
              <w:top w:val="nil"/>
              <w:left w:val="single" w:sz="4" w:space="0" w:color="3366FF"/>
              <w:right w:val="single" w:sz="4" w:space="0" w:color="0000FF"/>
            </w:tcBorders>
          </w:tcPr>
          <w:p w14:paraId="1D804D14" w14:textId="77777777" w:rsidR="00AD0F53" w:rsidRPr="00984B47" w:rsidRDefault="00AD0F53"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5E19B3FB" w14:textId="77777777" w:rsidR="00AD0F53" w:rsidRPr="00984B47" w:rsidRDefault="00AD0F53"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1B1A9B79" w14:textId="77777777" w:rsidR="00AD0F53" w:rsidRPr="00984B47" w:rsidRDefault="00AD0F53"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66CB2B06" w14:textId="77777777" w:rsidR="00AD0F53" w:rsidRPr="00984B47" w:rsidRDefault="00AD0F53"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1B3E7C9E" w14:textId="77777777" w:rsidR="00AD0F53" w:rsidRPr="00984B47" w:rsidRDefault="00AD0F53"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73F8168" w14:textId="77777777" w:rsidR="00AD0F53" w:rsidRPr="00984B47" w:rsidRDefault="00AD0F53"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A543B9C" w14:textId="77777777" w:rsidR="00AD0F53" w:rsidRPr="00984B47" w:rsidRDefault="00AD0F53"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C7FBECB" w14:textId="77777777" w:rsidR="00AD0F53" w:rsidRPr="00984B47" w:rsidRDefault="00AD0F53"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0BC73389" w14:textId="77777777" w:rsidR="00AD0F53" w:rsidRPr="00984B47" w:rsidRDefault="00AD0F53" w:rsidP="00212261">
            <w:pPr>
              <w:spacing w:before="0" w:after="0"/>
              <w:ind w:left="-11"/>
              <w:rPr>
                <w:sz w:val="16"/>
                <w:szCs w:val="16"/>
              </w:rPr>
            </w:pPr>
          </w:p>
        </w:tc>
      </w:tr>
      <w:tr w:rsidR="00AD0F53" w:rsidRPr="00152E18" w14:paraId="5C8969C1" w14:textId="77777777" w:rsidTr="003412F4">
        <w:trPr>
          <w:trHeight w:val="468"/>
        </w:trPr>
        <w:tc>
          <w:tcPr>
            <w:tcW w:w="6238" w:type="dxa"/>
            <w:vMerge/>
            <w:tcBorders>
              <w:left w:val="nil"/>
              <w:right w:val="single" w:sz="4" w:space="0" w:color="3366FF"/>
            </w:tcBorders>
          </w:tcPr>
          <w:p w14:paraId="42135841" w14:textId="209F8265" w:rsidR="00AD0F53" w:rsidRDefault="00AD0F53" w:rsidP="002D63E1">
            <w:pPr>
              <w:pStyle w:val="ListParagraph"/>
              <w:numPr>
                <w:ilvl w:val="0"/>
                <w:numId w:val="28"/>
              </w:numPr>
              <w:ind w:left="743" w:hanging="284"/>
              <w:jc w:val="left"/>
            </w:pPr>
          </w:p>
        </w:tc>
        <w:tc>
          <w:tcPr>
            <w:tcW w:w="284" w:type="dxa"/>
            <w:vMerge/>
            <w:tcBorders>
              <w:left w:val="single" w:sz="4" w:space="0" w:color="3366FF"/>
              <w:right w:val="single" w:sz="4" w:space="0" w:color="0000FF"/>
            </w:tcBorders>
          </w:tcPr>
          <w:p w14:paraId="7B2D9FEF" w14:textId="77777777" w:rsidR="00AD0F53" w:rsidRPr="00984B47" w:rsidRDefault="00AD0F53" w:rsidP="00212261">
            <w:pPr>
              <w:spacing w:before="0" w:after="0"/>
              <w:ind w:left="-11"/>
              <w:rPr>
                <w:sz w:val="16"/>
                <w:szCs w:val="16"/>
              </w:rPr>
            </w:pPr>
          </w:p>
        </w:tc>
        <w:tc>
          <w:tcPr>
            <w:tcW w:w="283" w:type="dxa"/>
            <w:vMerge w:val="restart"/>
            <w:tcBorders>
              <w:top w:val="thinThickThinSmallGap" w:sz="48" w:space="0" w:color="3366FF"/>
              <w:left w:val="single" w:sz="4" w:space="0" w:color="0000FF"/>
              <w:right w:val="single" w:sz="4" w:space="0" w:color="0000FF"/>
            </w:tcBorders>
          </w:tcPr>
          <w:p w14:paraId="205D8A5D" w14:textId="77777777" w:rsidR="00AD0F53" w:rsidRPr="00984B47" w:rsidRDefault="00AD0F53" w:rsidP="00212261">
            <w:pPr>
              <w:spacing w:before="0" w:after="0"/>
              <w:ind w:left="-11"/>
              <w:rPr>
                <w:sz w:val="16"/>
                <w:szCs w:val="16"/>
              </w:rPr>
            </w:pPr>
          </w:p>
        </w:tc>
        <w:tc>
          <w:tcPr>
            <w:tcW w:w="284" w:type="dxa"/>
            <w:tcBorders>
              <w:top w:val="thinThickThinSmallGap" w:sz="48" w:space="0" w:color="3366FF"/>
              <w:left w:val="single" w:sz="4" w:space="0" w:color="0000FF"/>
              <w:bottom w:val="thinThickThinSmallGap" w:sz="48" w:space="0" w:color="3366FF"/>
              <w:right w:val="single" w:sz="4" w:space="0" w:color="0000FF"/>
            </w:tcBorders>
          </w:tcPr>
          <w:p w14:paraId="3F91D30C" w14:textId="77777777" w:rsidR="00AD0F53" w:rsidRPr="00984B47" w:rsidRDefault="00AD0F53" w:rsidP="00212261">
            <w:pPr>
              <w:spacing w:before="0" w:after="0"/>
              <w:ind w:left="-11"/>
              <w:rPr>
                <w:sz w:val="16"/>
                <w:szCs w:val="16"/>
              </w:rPr>
            </w:pPr>
          </w:p>
        </w:tc>
        <w:tc>
          <w:tcPr>
            <w:tcW w:w="283" w:type="dxa"/>
            <w:tcBorders>
              <w:top w:val="thinThickThinSmallGap" w:sz="48" w:space="0" w:color="3366FF"/>
              <w:left w:val="single" w:sz="4" w:space="0" w:color="0000FF"/>
              <w:bottom w:val="thinThickThinSmallGap" w:sz="48" w:space="0" w:color="3366FF"/>
              <w:right w:val="single" w:sz="4" w:space="0" w:color="0000FF"/>
            </w:tcBorders>
          </w:tcPr>
          <w:p w14:paraId="585A5537" w14:textId="77777777" w:rsidR="00AD0F53" w:rsidRPr="00984B47" w:rsidRDefault="00AD0F53" w:rsidP="00212261">
            <w:pPr>
              <w:spacing w:before="0" w:after="0"/>
              <w:ind w:left="-11"/>
              <w:rPr>
                <w:sz w:val="16"/>
                <w:szCs w:val="16"/>
              </w:rPr>
            </w:pPr>
          </w:p>
        </w:tc>
        <w:tc>
          <w:tcPr>
            <w:tcW w:w="283" w:type="dxa"/>
            <w:tcBorders>
              <w:top w:val="thinThickThinSmallGap" w:sz="48" w:space="0" w:color="3366FF"/>
              <w:left w:val="single" w:sz="4" w:space="0" w:color="0000FF"/>
              <w:bottom w:val="thinThickThinSmallGap" w:sz="48" w:space="0" w:color="3366FF"/>
              <w:right w:val="single" w:sz="4" w:space="0" w:color="0000FF"/>
            </w:tcBorders>
          </w:tcPr>
          <w:p w14:paraId="1C84015D"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0F351339"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022F1B4C" w14:textId="77777777" w:rsidR="00AD0F53" w:rsidRPr="00984B47" w:rsidRDefault="00AD0F53" w:rsidP="00212261">
            <w:pPr>
              <w:spacing w:before="0" w:after="0"/>
              <w:ind w:left="-11"/>
              <w:rPr>
                <w:sz w:val="16"/>
                <w:szCs w:val="16"/>
              </w:rPr>
            </w:pPr>
          </w:p>
        </w:tc>
        <w:tc>
          <w:tcPr>
            <w:tcW w:w="283" w:type="dxa"/>
            <w:vMerge/>
            <w:tcBorders>
              <w:left w:val="single" w:sz="4" w:space="0" w:color="0000FF"/>
              <w:right w:val="single" w:sz="4" w:space="0" w:color="0000FF"/>
            </w:tcBorders>
          </w:tcPr>
          <w:p w14:paraId="6436DED1" w14:textId="77777777" w:rsidR="00AD0F53" w:rsidRPr="00984B47" w:rsidRDefault="00AD0F53" w:rsidP="00212261">
            <w:pPr>
              <w:spacing w:before="0" w:after="0"/>
              <w:ind w:left="-11"/>
              <w:rPr>
                <w:sz w:val="16"/>
                <w:szCs w:val="16"/>
              </w:rPr>
            </w:pPr>
          </w:p>
        </w:tc>
        <w:tc>
          <w:tcPr>
            <w:tcW w:w="285" w:type="dxa"/>
            <w:vMerge/>
            <w:tcBorders>
              <w:left w:val="single" w:sz="4" w:space="0" w:color="0000FF"/>
              <w:right w:val="single" w:sz="4" w:space="0" w:color="0000FF"/>
            </w:tcBorders>
          </w:tcPr>
          <w:p w14:paraId="280ED836" w14:textId="77777777" w:rsidR="00AD0F53" w:rsidRPr="00984B47" w:rsidRDefault="00AD0F53" w:rsidP="00212261">
            <w:pPr>
              <w:spacing w:before="0" w:after="0"/>
              <w:ind w:left="-11"/>
              <w:rPr>
                <w:sz w:val="16"/>
                <w:szCs w:val="16"/>
              </w:rPr>
            </w:pPr>
          </w:p>
        </w:tc>
      </w:tr>
      <w:tr w:rsidR="00AD0F53" w:rsidRPr="00152E18" w14:paraId="35D3756A" w14:textId="77777777" w:rsidTr="003412F4">
        <w:trPr>
          <w:trHeight w:val="726"/>
        </w:trPr>
        <w:tc>
          <w:tcPr>
            <w:tcW w:w="6238" w:type="dxa"/>
            <w:vMerge/>
            <w:tcBorders>
              <w:left w:val="nil"/>
              <w:right w:val="single" w:sz="4" w:space="0" w:color="3366FF"/>
            </w:tcBorders>
          </w:tcPr>
          <w:p w14:paraId="0E6EFCBC" w14:textId="4CEBC6DC" w:rsidR="00AD0F53" w:rsidRDefault="00AD0F53" w:rsidP="002D63E1">
            <w:pPr>
              <w:pStyle w:val="ListParagraph"/>
              <w:numPr>
                <w:ilvl w:val="0"/>
                <w:numId w:val="28"/>
              </w:numPr>
              <w:ind w:left="743" w:hanging="284"/>
              <w:jc w:val="left"/>
            </w:pPr>
          </w:p>
        </w:tc>
        <w:tc>
          <w:tcPr>
            <w:tcW w:w="284" w:type="dxa"/>
            <w:vMerge/>
            <w:tcBorders>
              <w:left w:val="single" w:sz="4" w:space="0" w:color="3366FF"/>
              <w:bottom w:val="thinThickThinSmallGap" w:sz="48" w:space="0" w:color="3366FF"/>
              <w:right w:val="single" w:sz="4" w:space="0" w:color="0000FF"/>
            </w:tcBorders>
          </w:tcPr>
          <w:p w14:paraId="52E27B0F" w14:textId="77777777" w:rsidR="00AD0F53" w:rsidRPr="00984B47" w:rsidRDefault="00AD0F53" w:rsidP="00212261">
            <w:pPr>
              <w:spacing w:before="0" w:after="0"/>
              <w:ind w:left="-11"/>
              <w:rPr>
                <w:sz w:val="16"/>
                <w:szCs w:val="16"/>
              </w:rPr>
            </w:pPr>
          </w:p>
        </w:tc>
        <w:tc>
          <w:tcPr>
            <w:tcW w:w="283" w:type="dxa"/>
            <w:vMerge/>
            <w:tcBorders>
              <w:left w:val="single" w:sz="4" w:space="0" w:color="0000FF"/>
              <w:right w:val="single" w:sz="4" w:space="0" w:color="0000FF"/>
            </w:tcBorders>
          </w:tcPr>
          <w:p w14:paraId="5597C238" w14:textId="77777777" w:rsidR="00AD0F53" w:rsidRPr="00984B47" w:rsidRDefault="00AD0F53" w:rsidP="00212261">
            <w:pPr>
              <w:spacing w:before="0" w:after="0"/>
              <w:ind w:left="-11"/>
              <w:rPr>
                <w:sz w:val="16"/>
                <w:szCs w:val="16"/>
              </w:rPr>
            </w:pPr>
          </w:p>
        </w:tc>
        <w:tc>
          <w:tcPr>
            <w:tcW w:w="284" w:type="dxa"/>
            <w:vMerge w:val="restart"/>
            <w:tcBorders>
              <w:top w:val="thinThickThinSmallGap" w:sz="48" w:space="0" w:color="3366FF"/>
              <w:left w:val="single" w:sz="4" w:space="0" w:color="0000FF"/>
              <w:right w:val="single" w:sz="4" w:space="0" w:color="0000FF"/>
            </w:tcBorders>
          </w:tcPr>
          <w:p w14:paraId="3A02BB08" w14:textId="77777777" w:rsidR="00AD0F53" w:rsidRPr="00984B47" w:rsidRDefault="00AD0F53" w:rsidP="00212261">
            <w:pPr>
              <w:spacing w:before="0" w:after="0"/>
              <w:ind w:left="-11"/>
              <w:rPr>
                <w:sz w:val="16"/>
                <w:szCs w:val="16"/>
              </w:rPr>
            </w:pPr>
          </w:p>
        </w:tc>
        <w:tc>
          <w:tcPr>
            <w:tcW w:w="283" w:type="dxa"/>
            <w:vMerge w:val="restart"/>
            <w:tcBorders>
              <w:top w:val="thinThickThinSmallGap" w:sz="48" w:space="0" w:color="3366FF"/>
              <w:left w:val="single" w:sz="4" w:space="0" w:color="0000FF"/>
              <w:right w:val="single" w:sz="4" w:space="0" w:color="0000FF"/>
            </w:tcBorders>
          </w:tcPr>
          <w:p w14:paraId="15CDEFD6" w14:textId="77777777" w:rsidR="00AD0F53" w:rsidRPr="00984B47" w:rsidRDefault="00AD0F53" w:rsidP="00212261">
            <w:pPr>
              <w:spacing w:before="0" w:after="0"/>
              <w:ind w:left="-11"/>
              <w:rPr>
                <w:sz w:val="16"/>
                <w:szCs w:val="16"/>
              </w:rPr>
            </w:pPr>
          </w:p>
        </w:tc>
        <w:tc>
          <w:tcPr>
            <w:tcW w:w="283" w:type="dxa"/>
            <w:vMerge w:val="restart"/>
            <w:tcBorders>
              <w:top w:val="thinThickThinSmallGap" w:sz="48" w:space="0" w:color="3366FF"/>
              <w:left w:val="single" w:sz="4" w:space="0" w:color="0000FF"/>
              <w:right w:val="single" w:sz="4" w:space="0" w:color="0000FF"/>
            </w:tcBorders>
          </w:tcPr>
          <w:p w14:paraId="187694A0"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1830743A"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15E78E18" w14:textId="77777777" w:rsidR="00AD0F53" w:rsidRPr="00984B47" w:rsidRDefault="00AD0F53" w:rsidP="00212261">
            <w:pPr>
              <w:spacing w:before="0" w:after="0"/>
              <w:ind w:left="-11"/>
              <w:rPr>
                <w:sz w:val="16"/>
                <w:szCs w:val="16"/>
              </w:rPr>
            </w:pPr>
          </w:p>
        </w:tc>
        <w:tc>
          <w:tcPr>
            <w:tcW w:w="283" w:type="dxa"/>
            <w:vMerge/>
            <w:tcBorders>
              <w:left w:val="single" w:sz="4" w:space="0" w:color="0000FF"/>
              <w:right w:val="single" w:sz="4" w:space="0" w:color="0000FF"/>
            </w:tcBorders>
          </w:tcPr>
          <w:p w14:paraId="6F42EAF5" w14:textId="77777777" w:rsidR="00AD0F53" w:rsidRPr="00984B47" w:rsidRDefault="00AD0F53" w:rsidP="00212261">
            <w:pPr>
              <w:spacing w:before="0" w:after="0"/>
              <w:ind w:left="-11"/>
              <w:rPr>
                <w:sz w:val="16"/>
                <w:szCs w:val="16"/>
              </w:rPr>
            </w:pPr>
          </w:p>
        </w:tc>
        <w:tc>
          <w:tcPr>
            <w:tcW w:w="285" w:type="dxa"/>
            <w:vMerge/>
            <w:tcBorders>
              <w:left w:val="single" w:sz="4" w:space="0" w:color="0000FF"/>
              <w:right w:val="single" w:sz="4" w:space="0" w:color="0000FF"/>
            </w:tcBorders>
          </w:tcPr>
          <w:p w14:paraId="753CBAB4" w14:textId="77777777" w:rsidR="00AD0F53" w:rsidRPr="00984B47" w:rsidRDefault="00AD0F53" w:rsidP="00212261">
            <w:pPr>
              <w:spacing w:before="0" w:after="0"/>
              <w:ind w:left="-11"/>
              <w:rPr>
                <w:sz w:val="16"/>
                <w:szCs w:val="16"/>
              </w:rPr>
            </w:pPr>
          </w:p>
        </w:tc>
      </w:tr>
      <w:tr w:rsidR="00AD0F53" w:rsidRPr="00152E18" w14:paraId="54786C6E" w14:textId="77777777" w:rsidTr="003412F4">
        <w:trPr>
          <w:trHeight w:val="760"/>
        </w:trPr>
        <w:tc>
          <w:tcPr>
            <w:tcW w:w="6238" w:type="dxa"/>
            <w:vMerge/>
            <w:tcBorders>
              <w:left w:val="nil"/>
              <w:right w:val="single" w:sz="4" w:space="0" w:color="3366FF"/>
            </w:tcBorders>
          </w:tcPr>
          <w:p w14:paraId="1F8EC88E" w14:textId="77777777" w:rsidR="00AD0F53" w:rsidRDefault="00AD0F53" w:rsidP="002D63E1">
            <w:pPr>
              <w:pStyle w:val="ListParagraph"/>
              <w:numPr>
                <w:ilvl w:val="0"/>
                <w:numId w:val="28"/>
              </w:numPr>
              <w:ind w:left="743" w:hanging="284"/>
              <w:jc w:val="left"/>
            </w:pPr>
          </w:p>
        </w:tc>
        <w:tc>
          <w:tcPr>
            <w:tcW w:w="284" w:type="dxa"/>
            <w:vMerge w:val="restart"/>
            <w:tcBorders>
              <w:top w:val="thinThickThinSmallGap" w:sz="48" w:space="0" w:color="3366FF"/>
              <w:left w:val="single" w:sz="4" w:space="0" w:color="3366FF"/>
              <w:right w:val="single" w:sz="4" w:space="0" w:color="0000FF"/>
            </w:tcBorders>
          </w:tcPr>
          <w:p w14:paraId="43B0C53B" w14:textId="77777777" w:rsidR="00AD0F53" w:rsidRPr="00984B47" w:rsidRDefault="00AD0F53" w:rsidP="00212261">
            <w:pPr>
              <w:spacing w:before="0" w:after="0"/>
              <w:ind w:left="-11"/>
              <w:rPr>
                <w:sz w:val="16"/>
                <w:szCs w:val="16"/>
              </w:rPr>
            </w:pPr>
          </w:p>
        </w:tc>
        <w:tc>
          <w:tcPr>
            <w:tcW w:w="283" w:type="dxa"/>
            <w:vMerge/>
            <w:tcBorders>
              <w:left w:val="single" w:sz="4" w:space="0" w:color="0000FF"/>
              <w:bottom w:val="thinThickThinSmallGap" w:sz="48" w:space="0" w:color="3366FF"/>
              <w:right w:val="single" w:sz="4" w:space="0" w:color="0000FF"/>
            </w:tcBorders>
          </w:tcPr>
          <w:p w14:paraId="6F8B3382" w14:textId="77777777" w:rsidR="00AD0F53" w:rsidRPr="00984B47" w:rsidRDefault="00AD0F53" w:rsidP="00212261">
            <w:pPr>
              <w:spacing w:before="0" w:after="0"/>
              <w:ind w:left="-11"/>
              <w:rPr>
                <w:sz w:val="16"/>
                <w:szCs w:val="16"/>
              </w:rPr>
            </w:pPr>
          </w:p>
        </w:tc>
        <w:tc>
          <w:tcPr>
            <w:tcW w:w="284" w:type="dxa"/>
            <w:vMerge/>
            <w:tcBorders>
              <w:left w:val="single" w:sz="4" w:space="0" w:color="0000FF"/>
              <w:bottom w:val="thinThickThinSmallGap" w:sz="48" w:space="0" w:color="3366FF"/>
              <w:right w:val="single" w:sz="4" w:space="0" w:color="0000FF"/>
            </w:tcBorders>
          </w:tcPr>
          <w:p w14:paraId="4A440294" w14:textId="77777777" w:rsidR="00AD0F53" w:rsidRPr="00984B47" w:rsidRDefault="00AD0F53" w:rsidP="00212261">
            <w:pPr>
              <w:spacing w:before="0" w:after="0"/>
              <w:ind w:left="-11"/>
              <w:rPr>
                <w:sz w:val="16"/>
                <w:szCs w:val="16"/>
              </w:rPr>
            </w:pPr>
          </w:p>
        </w:tc>
        <w:tc>
          <w:tcPr>
            <w:tcW w:w="283" w:type="dxa"/>
            <w:vMerge/>
            <w:tcBorders>
              <w:left w:val="single" w:sz="4" w:space="0" w:color="0000FF"/>
              <w:bottom w:val="thinThickThinSmallGap" w:sz="48" w:space="0" w:color="3366FF"/>
              <w:right w:val="single" w:sz="4" w:space="0" w:color="0000FF"/>
            </w:tcBorders>
          </w:tcPr>
          <w:p w14:paraId="2E23C773" w14:textId="77777777" w:rsidR="00AD0F53" w:rsidRPr="00984B47" w:rsidRDefault="00AD0F53" w:rsidP="00212261">
            <w:pPr>
              <w:spacing w:before="0" w:after="0"/>
              <w:ind w:left="-11"/>
              <w:rPr>
                <w:sz w:val="16"/>
                <w:szCs w:val="16"/>
              </w:rPr>
            </w:pPr>
          </w:p>
        </w:tc>
        <w:tc>
          <w:tcPr>
            <w:tcW w:w="283" w:type="dxa"/>
            <w:vMerge/>
            <w:tcBorders>
              <w:left w:val="single" w:sz="4" w:space="0" w:color="0000FF"/>
              <w:bottom w:val="thinThickThinSmallGap" w:sz="48" w:space="0" w:color="3366FF"/>
              <w:right w:val="single" w:sz="4" w:space="0" w:color="0000FF"/>
            </w:tcBorders>
          </w:tcPr>
          <w:p w14:paraId="2DA75EE5"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08F0420C"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04228B72" w14:textId="77777777" w:rsidR="00AD0F53" w:rsidRPr="00984B47" w:rsidRDefault="00AD0F53" w:rsidP="00212261">
            <w:pPr>
              <w:spacing w:before="0" w:after="0"/>
              <w:ind w:left="-11"/>
              <w:rPr>
                <w:sz w:val="16"/>
                <w:szCs w:val="16"/>
              </w:rPr>
            </w:pPr>
          </w:p>
        </w:tc>
        <w:tc>
          <w:tcPr>
            <w:tcW w:w="283" w:type="dxa"/>
            <w:vMerge/>
            <w:tcBorders>
              <w:left w:val="single" w:sz="4" w:space="0" w:color="0000FF"/>
              <w:right w:val="single" w:sz="4" w:space="0" w:color="0000FF"/>
            </w:tcBorders>
          </w:tcPr>
          <w:p w14:paraId="3C4C5A06" w14:textId="77777777" w:rsidR="00AD0F53" w:rsidRPr="00984B47" w:rsidRDefault="00AD0F53" w:rsidP="00212261">
            <w:pPr>
              <w:spacing w:before="0" w:after="0"/>
              <w:ind w:left="-11"/>
              <w:rPr>
                <w:sz w:val="16"/>
                <w:szCs w:val="16"/>
              </w:rPr>
            </w:pPr>
          </w:p>
        </w:tc>
        <w:tc>
          <w:tcPr>
            <w:tcW w:w="285" w:type="dxa"/>
            <w:vMerge/>
            <w:tcBorders>
              <w:left w:val="single" w:sz="4" w:space="0" w:color="0000FF"/>
              <w:right w:val="single" w:sz="4" w:space="0" w:color="0000FF"/>
            </w:tcBorders>
          </w:tcPr>
          <w:p w14:paraId="58266834" w14:textId="77777777" w:rsidR="00AD0F53" w:rsidRPr="00984B47" w:rsidRDefault="00AD0F53" w:rsidP="00212261">
            <w:pPr>
              <w:spacing w:before="0" w:after="0"/>
              <w:ind w:left="-11"/>
              <w:rPr>
                <w:sz w:val="16"/>
                <w:szCs w:val="16"/>
              </w:rPr>
            </w:pPr>
          </w:p>
        </w:tc>
      </w:tr>
      <w:tr w:rsidR="00AD0F53" w:rsidRPr="00152E18" w14:paraId="72DA3678" w14:textId="77777777" w:rsidTr="003412F4">
        <w:trPr>
          <w:trHeight w:val="519"/>
        </w:trPr>
        <w:tc>
          <w:tcPr>
            <w:tcW w:w="6238" w:type="dxa"/>
            <w:vMerge/>
            <w:tcBorders>
              <w:left w:val="nil"/>
              <w:right w:val="single" w:sz="4" w:space="0" w:color="3366FF"/>
            </w:tcBorders>
          </w:tcPr>
          <w:p w14:paraId="2C38A314" w14:textId="77777777" w:rsidR="00AD0F53" w:rsidRDefault="00AD0F53" w:rsidP="002D63E1">
            <w:pPr>
              <w:pStyle w:val="ListParagraph"/>
              <w:numPr>
                <w:ilvl w:val="0"/>
                <w:numId w:val="28"/>
              </w:numPr>
              <w:ind w:left="743" w:hanging="284"/>
              <w:jc w:val="left"/>
            </w:pPr>
          </w:p>
        </w:tc>
        <w:tc>
          <w:tcPr>
            <w:tcW w:w="284" w:type="dxa"/>
            <w:vMerge/>
            <w:tcBorders>
              <w:left w:val="single" w:sz="4" w:space="0" w:color="3366FF"/>
              <w:right w:val="single" w:sz="4" w:space="0" w:color="0000FF"/>
            </w:tcBorders>
          </w:tcPr>
          <w:p w14:paraId="13D4F655" w14:textId="77777777" w:rsidR="00AD0F53" w:rsidRPr="00984B47" w:rsidRDefault="00AD0F53" w:rsidP="00212261">
            <w:pPr>
              <w:spacing w:before="0" w:after="0"/>
              <w:ind w:left="-11"/>
              <w:rPr>
                <w:sz w:val="16"/>
                <w:szCs w:val="16"/>
              </w:rPr>
            </w:pPr>
          </w:p>
        </w:tc>
        <w:tc>
          <w:tcPr>
            <w:tcW w:w="283" w:type="dxa"/>
            <w:vMerge w:val="restart"/>
            <w:tcBorders>
              <w:top w:val="thinThickThinSmallGap" w:sz="48" w:space="0" w:color="3366FF"/>
              <w:left w:val="single" w:sz="4" w:space="0" w:color="0000FF"/>
              <w:right w:val="single" w:sz="4" w:space="0" w:color="0000FF"/>
            </w:tcBorders>
          </w:tcPr>
          <w:p w14:paraId="6BFAD9F7" w14:textId="77777777" w:rsidR="00AD0F53" w:rsidRPr="00984B47" w:rsidRDefault="00AD0F53" w:rsidP="00212261">
            <w:pPr>
              <w:spacing w:before="0" w:after="0"/>
              <w:ind w:left="-11"/>
              <w:rPr>
                <w:sz w:val="16"/>
                <w:szCs w:val="16"/>
              </w:rPr>
            </w:pPr>
          </w:p>
        </w:tc>
        <w:tc>
          <w:tcPr>
            <w:tcW w:w="284" w:type="dxa"/>
            <w:tcBorders>
              <w:top w:val="thinThickThinSmallGap" w:sz="48" w:space="0" w:color="3366FF"/>
              <w:left w:val="single" w:sz="4" w:space="0" w:color="0000FF"/>
              <w:bottom w:val="thinThickThinSmallGap" w:sz="48" w:space="0" w:color="3366FF"/>
              <w:right w:val="single" w:sz="4" w:space="0" w:color="0000FF"/>
            </w:tcBorders>
          </w:tcPr>
          <w:p w14:paraId="1188D6B0" w14:textId="77777777" w:rsidR="00AD0F53" w:rsidRPr="00984B47" w:rsidRDefault="00AD0F53" w:rsidP="00212261">
            <w:pPr>
              <w:spacing w:before="0" w:after="0"/>
              <w:ind w:left="-11"/>
              <w:rPr>
                <w:sz w:val="16"/>
                <w:szCs w:val="16"/>
              </w:rPr>
            </w:pPr>
          </w:p>
        </w:tc>
        <w:tc>
          <w:tcPr>
            <w:tcW w:w="283" w:type="dxa"/>
            <w:tcBorders>
              <w:top w:val="thinThickThinSmallGap" w:sz="48" w:space="0" w:color="3366FF"/>
              <w:left w:val="single" w:sz="4" w:space="0" w:color="0000FF"/>
              <w:bottom w:val="thinThickThinSmallGap" w:sz="48" w:space="0" w:color="3366FF"/>
              <w:right w:val="single" w:sz="4" w:space="0" w:color="0000FF"/>
            </w:tcBorders>
          </w:tcPr>
          <w:p w14:paraId="49A0DE73" w14:textId="77777777" w:rsidR="00AD0F53" w:rsidRPr="00984B47" w:rsidRDefault="00AD0F53" w:rsidP="00212261">
            <w:pPr>
              <w:spacing w:before="0" w:after="0"/>
              <w:ind w:left="-11"/>
              <w:rPr>
                <w:sz w:val="16"/>
                <w:szCs w:val="16"/>
              </w:rPr>
            </w:pPr>
          </w:p>
        </w:tc>
        <w:tc>
          <w:tcPr>
            <w:tcW w:w="283" w:type="dxa"/>
            <w:tcBorders>
              <w:top w:val="thinThickThinSmallGap" w:sz="48" w:space="0" w:color="3366FF"/>
              <w:left w:val="single" w:sz="4" w:space="0" w:color="0000FF"/>
              <w:bottom w:val="thinThickThinSmallGap" w:sz="48" w:space="0" w:color="3366FF"/>
              <w:right w:val="single" w:sz="4" w:space="0" w:color="0000FF"/>
            </w:tcBorders>
          </w:tcPr>
          <w:p w14:paraId="3B82CAAD"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23A63414" w14:textId="77777777" w:rsidR="00AD0F53" w:rsidRPr="00984B47" w:rsidRDefault="00AD0F53" w:rsidP="00212261">
            <w:pPr>
              <w:spacing w:before="0" w:after="0"/>
              <w:ind w:left="-11"/>
              <w:rPr>
                <w:sz w:val="16"/>
                <w:szCs w:val="16"/>
              </w:rPr>
            </w:pPr>
          </w:p>
        </w:tc>
        <w:tc>
          <w:tcPr>
            <w:tcW w:w="284" w:type="dxa"/>
            <w:vMerge/>
            <w:tcBorders>
              <w:left w:val="single" w:sz="4" w:space="0" w:color="0000FF"/>
              <w:right w:val="single" w:sz="4" w:space="0" w:color="0000FF"/>
            </w:tcBorders>
          </w:tcPr>
          <w:p w14:paraId="3A28A5F4" w14:textId="77777777" w:rsidR="00AD0F53" w:rsidRPr="00984B47" w:rsidRDefault="00AD0F53" w:rsidP="00212261">
            <w:pPr>
              <w:spacing w:before="0" w:after="0"/>
              <w:ind w:left="-11"/>
              <w:rPr>
                <w:sz w:val="16"/>
                <w:szCs w:val="16"/>
              </w:rPr>
            </w:pPr>
          </w:p>
        </w:tc>
        <w:tc>
          <w:tcPr>
            <w:tcW w:w="283" w:type="dxa"/>
            <w:vMerge/>
            <w:tcBorders>
              <w:left w:val="single" w:sz="4" w:space="0" w:color="0000FF"/>
              <w:right w:val="single" w:sz="4" w:space="0" w:color="0000FF"/>
            </w:tcBorders>
          </w:tcPr>
          <w:p w14:paraId="44734E71" w14:textId="77777777" w:rsidR="00AD0F53" w:rsidRPr="00984B47" w:rsidRDefault="00AD0F53" w:rsidP="00212261">
            <w:pPr>
              <w:spacing w:before="0" w:after="0"/>
              <w:ind w:left="-11"/>
              <w:rPr>
                <w:sz w:val="16"/>
                <w:szCs w:val="16"/>
              </w:rPr>
            </w:pPr>
          </w:p>
        </w:tc>
        <w:tc>
          <w:tcPr>
            <w:tcW w:w="285" w:type="dxa"/>
            <w:vMerge/>
            <w:tcBorders>
              <w:left w:val="single" w:sz="4" w:space="0" w:color="0000FF"/>
              <w:right w:val="single" w:sz="4" w:space="0" w:color="0000FF"/>
            </w:tcBorders>
          </w:tcPr>
          <w:p w14:paraId="169525DC" w14:textId="77777777" w:rsidR="00AD0F53" w:rsidRPr="00984B47" w:rsidRDefault="00AD0F53" w:rsidP="00212261">
            <w:pPr>
              <w:spacing w:before="0" w:after="0"/>
              <w:ind w:left="-11"/>
              <w:rPr>
                <w:sz w:val="16"/>
                <w:szCs w:val="16"/>
              </w:rPr>
            </w:pPr>
          </w:p>
        </w:tc>
      </w:tr>
      <w:tr w:rsidR="00AD0F53" w:rsidRPr="00152E18" w14:paraId="45CE9F44" w14:textId="77777777" w:rsidTr="003412F4">
        <w:trPr>
          <w:trHeight w:val="235"/>
        </w:trPr>
        <w:tc>
          <w:tcPr>
            <w:tcW w:w="6238" w:type="dxa"/>
            <w:vMerge/>
            <w:tcBorders>
              <w:left w:val="nil"/>
              <w:bottom w:val="nil"/>
              <w:right w:val="single" w:sz="4" w:space="0" w:color="3366FF"/>
            </w:tcBorders>
          </w:tcPr>
          <w:p w14:paraId="37DDDB3E" w14:textId="77777777" w:rsidR="00AD0F53" w:rsidRDefault="00AD0F53" w:rsidP="002D63E1">
            <w:pPr>
              <w:pStyle w:val="ListParagraph"/>
              <w:numPr>
                <w:ilvl w:val="0"/>
                <w:numId w:val="28"/>
              </w:numPr>
              <w:ind w:left="743" w:hanging="284"/>
              <w:jc w:val="left"/>
            </w:pPr>
          </w:p>
        </w:tc>
        <w:tc>
          <w:tcPr>
            <w:tcW w:w="284" w:type="dxa"/>
            <w:vMerge/>
            <w:tcBorders>
              <w:left w:val="single" w:sz="4" w:space="0" w:color="3366FF"/>
              <w:bottom w:val="nil"/>
              <w:right w:val="single" w:sz="4" w:space="0" w:color="0000FF"/>
            </w:tcBorders>
          </w:tcPr>
          <w:p w14:paraId="5530A20E" w14:textId="77777777" w:rsidR="00AD0F53" w:rsidRPr="00984B47" w:rsidRDefault="00AD0F53"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5C5C655" w14:textId="77777777" w:rsidR="00AD0F53" w:rsidRPr="00984B47" w:rsidRDefault="00AD0F53"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4F567D26" w14:textId="77777777" w:rsidR="00AD0F53" w:rsidRPr="00984B47" w:rsidRDefault="00AD0F53"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40C0594" w14:textId="77777777" w:rsidR="00AD0F53" w:rsidRPr="00984B47" w:rsidRDefault="00AD0F53"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1C3ED263" w14:textId="77777777" w:rsidR="00AD0F53" w:rsidRPr="00984B47" w:rsidRDefault="00AD0F53"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119EEB7" w14:textId="77777777" w:rsidR="00AD0F53" w:rsidRPr="00984B47" w:rsidRDefault="00AD0F53"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AE7B8A6" w14:textId="77777777" w:rsidR="00AD0F53" w:rsidRPr="00984B47" w:rsidRDefault="00AD0F53"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6A38DCC" w14:textId="77777777" w:rsidR="00AD0F53" w:rsidRPr="00984B47" w:rsidRDefault="00AD0F53"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B83AE9D" w14:textId="77777777" w:rsidR="00AD0F53" w:rsidRPr="00984B47" w:rsidRDefault="00AD0F53" w:rsidP="00212261">
            <w:pPr>
              <w:spacing w:before="0" w:after="0"/>
              <w:ind w:left="-11"/>
              <w:rPr>
                <w:sz w:val="16"/>
                <w:szCs w:val="16"/>
              </w:rPr>
            </w:pPr>
          </w:p>
        </w:tc>
      </w:tr>
      <w:tr w:rsidR="008637CD" w:rsidRPr="00152E18" w14:paraId="005E2F28" w14:textId="77777777" w:rsidTr="003412F4">
        <w:trPr>
          <w:trHeight w:val="189"/>
        </w:trPr>
        <w:tc>
          <w:tcPr>
            <w:tcW w:w="6238" w:type="dxa"/>
            <w:vMerge w:val="restart"/>
            <w:tcBorders>
              <w:top w:val="nil"/>
              <w:left w:val="nil"/>
              <w:right w:val="single" w:sz="4" w:space="0" w:color="3366FF"/>
            </w:tcBorders>
          </w:tcPr>
          <w:p w14:paraId="4B62FDD5" w14:textId="5E60F4BA" w:rsidR="008637CD" w:rsidRDefault="008637CD" w:rsidP="002D63E1">
            <w:pPr>
              <w:pStyle w:val="ListParagraph"/>
              <w:numPr>
                <w:ilvl w:val="0"/>
                <w:numId w:val="28"/>
              </w:numPr>
              <w:ind w:left="743" w:hanging="284"/>
              <w:contextualSpacing w:val="0"/>
              <w:jc w:val="left"/>
            </w:pPr>
            <w:r>
              <w:t xml:space="preserve">Seek </w:t>
            </w:r>
            <w:r w:rsidR="00C71592">
              <w:t>Ministerial/</w:t>
            </w:r>
            <w:r>
              <w:t>Government approval for National TVET Policy</w:t>
            </w:r>
          </w:p>
        </w:tc>
        <w:tc>
          <w:tcPr>
            <w:tcW w:w="284" w:type="dxa"/>
            <w:vMerge w:val="restart"/>
            <w:tcBorders>
              <w:top w:val="nil"/>
              <w:left w:val="single" w:sz="4" w:space="0" w:color="3366FF"/>
              <w:right w:val="single" w:sz="4" w:space="0" w:color="0000FF"/>
            </w:tcBorders>
          </w:tcPr>
          <w:p w14:paraId="2FB0A634"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6E4D9DB" w14:textId="77777777" w:rsidR="008637CD" w:rsidRPr="00984B47" w:rsidRDefault="008637C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4866C8B"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23FEDD00"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3710DF0" w14:textId="77777777" w:rsidR="008637CD" w:rsidRPr="00984B47" w:rsidRDefault="008637C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33067DC" w14:textId="77777777" w:rsidR="008637CD" w:rsidRPr="00984B47" w:rsidRDefault="008637CD"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130D3B31"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DA47939" w14:textId="77777777" w:rsidR="008637CD" w:rsidRPr="00984B47" w:rsidRDefault="008637CD"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29CB8947" w14:textId="77777777" w:rsidR="008637CD" w:rsidRPr="00984B47" w:rsidRDefault="008637CD" w:rsidP="00212261">
            <w:pPr>
              <w:spacing w:before="0" w:after="0"/>
              <w:ind w:left="-11"/>
              <w:rPr>
                <w:sz w:val="16"/>
                <w:szCs w:val="16"/>
              </w:rPr>
            </w:pPr>
          </w:p>
        </w:tc>
      </w:tr>
      <w:tr w:rsidR="008637CD" w:rsidRPr="00152E18" w14:paraId="37E07BD5" w14:textId="77777777" w:rsidTr="003412F4">
        <w:trPr>
          <w:trHeight w:val="175"/>
        </w:trPr>
        <w:tc>
          <w:tcPr>
            <w:tcW w:w="6238" w:type="dxa"/>
            <w:vMerge/>
            <w:tcBorders>
              <w:left w:val="nil"/>
              <w:bottom w:val="nil"/>
              <w:right w:val="single" w:sz="4" w:space="0" w:color="3366FF"/>
            </w:tcBorders>
          </w:tcPr>
          <w:p w14:paraId="183D57EE" w14:textId="77777777" w:rsidR="008637CD" w:rsidRDefault="008637CD"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0462F2F2"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30EEB34" w14:textId="77777777" w:rsidR="008637CD" w:rsidRPr="00984B47" w:rsidRDefault="008637C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E621A0F"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48E8811"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0B06CD1F" w14:textId="77777777" w:rsidR="008637CD" w:rsidRPr="00984B47" w:rsidRDefault="008637C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EF7C2AE" w14:textId="77777777" w:rsidR="008637CD" w:rsidRPr="00984B47" w:rsidRDefault="008637CD"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1F44B54"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3FA9F3F" w14:textId="77777777" w:rsidR="008637CD" w:rsidRPr="00984B47" w:rsidRDefault="008637CD"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30BC0389" w14:textId="77777777" w:rsidR="008637CD" w:rsidRPr="00984B47" w:rsidRDefault="008637CD" w:rsidP="00212261">
            <w:pPr>
              <w:spacing w:before="0" w:after="0"/>
              <w:ind w:left="-11"/>
              <w:rPr>
                <w:sz w:val="16"/>
                <w:szCs w:val="16"/>
              </w:rPr>
            </w:pPr>
          </w:p>
        </w:tc>
      </w:tr>
      <w:tr w:rsidR="008637CD" w:rsidRPr="00152E18" w14:paraId="215A611D" w14:textId="77777777" w:rsidTr="003412F4">
        <w:trPr>
          <w:trHeight w:val="198"/>
        </w:trPr>
        <w:tc>
          <w:tcPr>
            <w:tcW w:w="6238" w:type="dxa"/>
            <w:vMerge w:val="restart"/>
            <w:tcBorders>
              <w:top w:val="nil"/>
              <w:left w:val="nil"/>
              <w:right w:val="single" w:sz="4" w:space="0" w:color="3366FF"/>
            </w:tcBorders>
          </w:tcPr>
          <w:p w14:paraId="02D6AD92" w14:textId="02C219E7" w:rsidR="008637CD" w:rsidRDefault="008637CD" w:rsidP="002D63E1">
            <w:pPr>
              <w:pStyle w:val="ListParagraph"/>
              <w:numPr>
                <w:ilvl w:val="0"/>
                <w:numId w:val="28"/>
              </w:numPr>
              <w:ind w:left="743" w:hanging="284"/>
              <w:contextualSpacing w:val="0"/>
              <w:jc w:val="left"/>
            </w:pPr>
            <w:r>
              <w:t>Work closely with MET and develop National TVET Policy Implementation Plan including national advocacy campaign</w:t>
            </w:r>
          </w:p>
        </w:tc>
        <w:tc>
          <w:tcPr>
            <w:tcW w:w="284" w:type="dxa"/>
            <w:vMerge w:val="restart"/>
            <w:tcBorders>
              <w:top w:val="nil"/>
              <w:left w:val="single" w:sz="4" w:space="0" w:color="3366FF"/>
              <w:right w:val="single" w:sz="4" w:space="0" w:color="0000FF"/>
            </w:tcBorders>
          </w:tcPr>
          <w:p w14:paraId="00CD74C9"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5060615" w14:textId="77777777" w:rsidR="008637CD" w:rsidRPr="00984B47" w:rsidRDefault="008637C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32433E8"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EE821AD" w14:textId="77777777" w:rsidR="008637CD" w:rsidRPr="00984B47" w:rsidRDefault="008637C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A60ADE1" w14:textId="77777777" w:rsidR="008637CD" w:rsidRPr="00984B47" w:rsidRDefault="008637C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9FB8E3E" w14:textId="77777777" w:rsidR="008637CD" w:rsidRPr="00984B47" w:rsidRDefault="008637C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28CC3F3" w14:textId="77777777" w:rsidR="008637CD" w:rsidRPr="00984B47" w:rsidRDefault="008637CD"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1D4642E8" w14:textId="77777777" w:rsidR="008637CD" w:rsidRPr="00984B47" w:rsidRDefault="008637CD" w:rsidP="00212261">
            <w:pPr>
              <w:spacing w:before="0" w:after="0"/>
              <w:ind w:left="-11"/>
              <w:rPr>
                <w:sz w:val="16"/>
                <w:szCs w:val="16"/>
              </w:rPr>
            </w:pPr>
          </w:p>
        </w:tc>
        <w:tc>
          <w:tcPr>
            <w:tcW w:w="285" w:type="dxa"/>
            <w:tcBorders>
              <w:top w:val="nil"/>
              <w:left w:val="single" w:sz="4" w:space="0" w:color="0000FF"/>
              <w:right w:val="single" w:sz="4" w:space="0" w:color="0000FF"/>
            </w:tcBorders>
          </w:tcPr>
          <w:p w14:paraId="2B817B0D" w14:textId="77777777" w:rsidR="008637CD" w:rsidRPr="00984B47" w:rsidRDefault="008637CD" w:rsidP="00212261">
            <w:pPr>
              <w:spacing w:before="0" w:after="0"/>
              <w:ind w:left="-11"/>
              <w:rPr>
                <w:sz w:val="16"/>
                <w:szCs w:val="16"/>
              </w:rPr>
            </w:pPr>
          </w:p>
        </w:tc>
      </w:tr>
      <w:tr w:rsidR="008637CD" w:rsidRPr="00152E18" w14:paraId="780FDAD7" w14:textId="77777777" w:rsidTr="003412F4">
        <w:trPr>
          <w:trHeight w:val="511"/>
        </w:trPr>
        <w:tc>
          <w:tcPr>
            <w:tcW w:w="6238" w:type="dxa"/>
            <w:vMerge/>
            <w:tcBorders>
              <w:left w:val="nil"/>
              <w:bottom w:val="nil"/>
              <w:right w:val="single" w:sz="4" w:space="0" w:color="3366FF"/>
            </w:tcBorders>
          </w:tcPr>
          <w:p w14:paraId="752CCABD" w14:textId="77777777" w:rsidR="008637CD" w:rsidRDefault="008637CD"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526AB469"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29814CE" w14:textId="77777777" w:rsidR="008637CD" w:rsidRPr="00984B47" w:rsidRDefault="008637C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F631BEB"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832F498" w14:textId="77777777" w:rsidR="008637CD" w:rsidRPr="00984B47" w:rsidRDefault="008637C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5DE262F" w14:textId="77777777" w:rsidR="008637CD" w:rsidRPr="00984B47" w:rsidRDefault="008637C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66BD767" w14:textId="77777777" w:rsidR="008637CD" w:rsidRPr="00984B47" w:rsidRDefault="008637C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52336DD9" w14:textId="77777777" w:rsidR="008637CD" w:rsidRPr="00984B47" w:rsidRDefault="008637CD"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1A09F919" w14:textId="77777777" w:rsidR="008637CD" w:rsidRPr="00984B47" w:rsidRDefault="008637CD"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0BA5F0B4" w14:textId="77777777" w:rsidR="008637CD" w:rsidRPr="00984B47" w:rsidRDefault="008637CD" w:rsidP="00212261">
            <w:pPr>
              <w:spacing w:before="0" w:after="0"/>
              <w:ind w:left="-11"/>
              <w:rPr>
                <w:sz w:val="16"/>
                <w:szCs w:val="16"/>
              </w:rPr>
            </w:pPr>
          </w:p>
        </w:tc>
      </w:tr>
      <w:tr w:rsidR="00115EBF" w:rsidRPr="00152E18" w14:paraId="0C6D5AAC" w14:textId="77777777" w:rsidTr="003412F4">
        <w:trPr>
          <w:trHeight w:val="189"/>
        </w:trPr>
        <w:tc>
          <w:tcPr>
            <w:tcW w:w="6238" w:type="dxa"/>
            <w:tcBorders>
              <w:top w:val="nil"/>
              <w:left w:val="nil"/>
              <w:bottom w:val="nil"/>
              <w:right w:val="single" w:sz="4" w:space="0" w:color="3366FF"/>
            </w:tcBorders>
          </w:tcPr>
          <w:p w14:paraId="7205DF66" w14:textId="14350358" w:rsidR="00115EBF" w:rsidRDefault="00115EBF" w:rsidP="00115EBF">
            <w:pPr>
              <w:jc w:val="left"/>
            </w:pPr>
            <w:r>
              <w:rPr>
                <w:b/>
              </w:rPr>
              <w:t>3.2   Institutional Strengthening - MET</w:t>
            </w:r>
          </w:p>
        </w:tc>
        <w:tc>
          <w:tcPr>
            <w:tcW w:w="284" w:type="dxa"/>
            <w:tcBorders>
              <w:top w:val="nil"/>
              <w:left w:val="single" w:sz="4" w:space="0" w:color="3366FF"/>
              <w:bottom w:val="nil"/>
              <w:right w:val="single" w:sz="4" w:space="0" w:color="3366FF"/>
            </w:tcBorders>
          </w:tcPr>
          <w:p w14:paraId="66584DD4" w14:textId="77777777" w:rsidR="00115EBF" w:rsidRPr="00984B47" w:rsidRDefault="00115EBF" w:rsidP="00212261">
            <w:pPr>
              <w:spacing w:before="0" w:after="0"/>
              <w:ind w:left="-11"/>
              <w:rPr>
                <w:sz w:val="16"/>
                <w:szCs w:val="16"/>
              </w:rPr>
            </w:pPr>
          </w:p>
        </w:tc>
        <w:tc>
          <w:tcPr>
            <w:tcW w:w="283" w:type="dxa"/>
            <w:tcBorders>
              <w:top w:val="nil"/>
              <w:left w:val="single" w:sz="4" w:space="0" w:color="3366FF"/>
              <w:bottom w:val="nil"/>
              <w:right w:val="single" w:sz="4" w:space="0" w:color="3366FF"/>
            </w:tcBorders>
          </w:tcPr>
          <w:p w14:paraId="64AEAEEE" w14:textId="77777777" w:rsidR="00115EBF" w:rsidRPr="00984B47" w:rsidRDefault="00115EBF" w:rsidP="00212261">
            <w:pPr>
              <w:spacing w:before="0" w:after="0"/>
              <w:ind w:left="-11"/>
              <w:rPr>
                <w:sz w:val="16"/>
                <w:szCs w:val="16"/>
              </w:rPr>
            </w:pPr>
          </w:p>
        </w:tc>
        <w:tc>
          <w:tcPr>
            <w:tcW w:w="284" w:type="dxa"/>
            <w:tcBorders>
              <w:top w:val="nil"/>
              <w:left w:val="single" w:sz="4" w:space="0" w:color="3366FF"/>
              <w:bottom w:val="nil"/>
              <w:right w:val="single" w:sz="4" w:space="0" w:color="3366FF"/>
            </w:tcBorders>
          </w:tcPr>
          <w:p w14:paraId="1C79D667" w14:textId="77777777" w:rsidR="00115EBF" w:rsidRPr="00984B47" w:rsidRDefault="00115EBF" w:rsidP="00212261">
            <w:pPr>
              <w:spacing w:before="0" w:after="0"/>
              <w:ind w:left="-11"/>
              <w:rPr>
                <w:sz w:val="16"/>
                <w:szCs w:val="16"/>
              </w:rPr>
            </w:pPr>
          </w:p>
        </w:tc>
        <w:tc>
          <w:tcPr>
            <w:tcW w:w="283" w:type="dxa"/>
            <w:tcBorders>
              <w:top w:val="nil"/>
              <w:left w:val="single" w:sz="4" w:space="0" w:color="3366FF"/>
              <w:bottom w:val="nil"/>
              <w:right w:val="single" w:sz="4" w:space="0" w:color="3366FF"/>
            </w:tcBorders>
          </w:tcPr>
          <w:p w14:paraId="0922DD27" w14:textId="77777777" w:rsidR="00115EBF" w:rsidRPr="00984B47" w:rsidRDefault="00115EBF" w:rsidP="00212261">
            <w:pPr>
              <w:spacing w:before="0" w:after="0"/>
              <w:ind w:left="-11"/>
              <w:rPr>
                <w:sz w:val="16"/>
                <w:szCs w:val="16"/>
              </w:rPr>
            </w:pPr>
          </w:p>
        </w:tc>
        <w:tc>
          <w:tcPr>
            <w:tcW w:w="283" w:type="dxa"/>
            <w:tcBorders>
              <w:top w:val="nil"/>
              <w:left w:val="single" w:sz="4" w:space="0" w:color="3366FF"/>
              <w:bottom w:val="nil"/>
              <w:right w:val="single" w:sz="4" w:space="0" w:color="3366FF"/>
            </w:tcBorders>
          </w:tcPr>
          <w:p w14:paraId="198AC955" w14:textId="77777777" w:rsidR="00115EBF" w:rsidRPr="00984B47" w:rsidRDefault="00115EBF" w:rsidP="00212261">
            <w:pPr>
              <w:spacing w:before="0" w:after="0"/>
              <w:ind w:left="-11"/>
              <w:rPr>
                <w:sz w:val="16"/>
                <w:szCs w:val="16"/>
              </w:rPr>
            </w:pPr>
          </w:p>
        </w:tc>
        <w:tc>
          <w:tcPr>
            <w:tcW w:w="284" w:type="dxa"/>
            <w:tcBorders>
              <w:top w:val="nil"/>
              <w:left w:val="single" w:sz="4" w:space="0" w:color="3366FF"/>
              <w:bottom w:val="nil"/>
              <w:right w:val="single" w:sz="4" w:space="0" w:color="3366FF"/>
            </w:tcBorders>
          </w:tcPr>
          <w:p w14:paraId="7C5A8323" w14:textId="77777777" w:rsidR="00115EBF" w:rsidRPr="00984B47" w:rsidRDefault="00115EBF" w:rsidP="00212261">
            <w:pPr>
              <w:spacing w:before="0" w:after="0"/>
              <w:ind w:left="-11"/>
              <w:rPr>
                <w:sz w:val="16"/>
                <w:szCs w:val="16"/>
              </w:rPr>
            </w:pPr>
          </w:p>
        </w:tc>
        <w:tc>
          <w:tcPr>
            <w:tcW w:w="284" w:type="dxa"/>
            <w:tcBorders>
              <w:top w:val="nil"/>
              <w:left w:val="single" w:sz="4" w:space="0" w:color="3366FF"/>
              <w:bottom w:val="nil"/>
              <w:right w:val="single" w:sz="4" w:space="0" w:color="3366FF"/>
            </w:tcBorders>
          </w:tcPr>
          <w:p w14:paraId="3765DDEF" w14:textId="77777777" w:rsidR="00115EBF" w:rsidRPr="00984B47" w:rsidRDefault="00115EBF" w:rsidP="00212261">
            <w:pPr>
              <w:spacing w:before="0" w:after="0"/>
              <w:ind w:left="-11"/>
              <w:rPr>
                <w:sz w:val="16"/>
                <w:szCs w:val="16"/>
              </w:rPr>
            </w:pPr>
          </w:p>
        </w:tc>
        <w:tc>
          <w:tcPr>
            <w:tcW w:w="283" w:type="dxa"/>
            <w:tcBorders>
              <w:top w:val="nil"/>
              <w:left w:val="single" w:sz="4" w:space="0" w:color="3366FF"/>
              <w:bottom w:val="nil"/>
              <w:right w:val="single" w:sz="4" w:space="0" w:color="3366FF"/>
            </w:tcBorders>
          </w:tcPr>
          <w:p w14:paraId="59FFFC5B" w14:textId="77777777" w:rsidR="00115EBF" w:rsidRPr="00984B47" w:rsidRDefault="00115EBF" w:rsidP="00212261">
            <w:pPr>
              <w:spacing w:before="0" w:after="0"/>
              <w:ind w:left="-11"/>
              <w:rPr>
                <w:sz w:val="16"/>
                <w:szCs w:val="16"/>
              </w:rPr>
            </w:pPr>
          </w:p>
        </w:tc>
        <w:tc>
          <w:tcPr>
            <w:tcW w:w="285" w:type="dxa"/>
            <w:tcBorders>
              <w:top w:val="nil"/>
              <w:left w:val="single" w:sz="4" w:space="0" w:color="3366FF"/>
              <w:bottom w:val="nil"/>
              <w:right w:val="single" w:sz="4" w:space="0" w:color="3366FF"/>
            </w:tcBorders>
          </w:tcPr>
          <w:p w14:paraId="4C81036D" w14:textId="77777777" w:rsidR="00115EBF" w:rsidRPr="00984B47" w:rsidRDefault="00115EBF" w:rsidP="00212261">
            <w:pPr>
              <w:spacing w:before="0" w:after="0"/>
              <w:ind w:left="-11"/>
              <w:rPr>
                <w:sz w:val="16"/>
                <w:szCs w:val="16"/>
              </w:rPr>
            </w:pPr>
          </w:p>
        </w:tc>
      </w:tr>
      <w:tr w:rsidR="00F61AD6" w:rsidRPr="00152E18" w14:paraId="47AE0C75" w14:textId="77777777" w:rsidTr="003412F4">
        <w:trPr>
          <w:trHeight w:val="189"/>
        </w:trPr>
        <w:tc>
          <w:tcPr>
            <w:tcW w:w="6238" w:type="dxa"/>
            <w:vMerge w:val="restart"/>
            <w:tcBorders>
              <w:top w:val="nil"/>
              <w:left w:val="nil"/>
              <w:right w:val="single" w:sz="4" w:space="0" w:color="3366FF"/>
            </w:tcBorders>
          </w:tcPr>
          <w:p w14:paraId="07EF2546" w14:textId="77777777" w:rsidR="00F61AD6" w:rsidRDefault="00F61AD6" w:rsidP="002D63E1">
            <w:pPr>
              <w:pStyle w:val="ListParagraph"/>
              <w:numPr>
                <w:ilvl w:val="0"/>
                <w:numId w:val="28"/>
              </w:numPr>
              <w:ind w:left="743" w:hanging="284"/>
              <w:contextualSpacing w:val="0"/>
              <w:jc w:val="left"/>
            </w:pPr>
            <w:r>
              <w:t>Maintain TSP1 Governance mechanisms including revisions to Operations and Finance Manuals to reflect MET processes</w:t>
            </w:r>
          </w:p>
          <w:p w14:paraId="42E7CB40" w14:textId="0E26F233" w:rsidR="0059196D" w:rsidRDefault="0059196D" w:rsidP="0059196D">
            <w:pPr>
              <w:pStyle w:val="ListParagraph"/>
              <w:ind w:left="743"/>
              <w:contextualSpacing w:val="0"/>
              <w:jc w:val="left"/>
            </w:pPr>
          </w:p>
        </w:tc>
        <w:tc>
          <w:tcPr>
            <w:tcW w:w="284" w:type="dxa"/>
            <w:tcBorders>
              <w:top w:val="nil"/>
              <w:left w:val="single" w:sz="4" w:space="0" w:color="3366FF"/>
              <w:bottom w:val="thinThickThinSmallGap" w:sz="48" w:space="0" w:color="3366FF"/>
              <w:right w:val="single" w:sz="4" w:space="0" w:color="0000FF"/>
            </w:tcBorders>
          </w:tcPr>
          <w:p w14:paraId="516D4046"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67479817" w14:textId="77777777" w:rsidR="00F61AD6" w:rsidRPr="00984B47" w:rsidRDefault="00F61AD6"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40A2A251"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3A39CFD9"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56E78A2D" w14:textId="77777777" w:rsidR="00F61AD6" w:rsidRPr="00984B47" w:rsidRDefault="00F61AD6"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0BACD218" w14:textId="77777777" w:rsidR="00F61AD6" w:rsidRPr="00984B47" w:rsidRDefault="00F61AD6"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00048BDC"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49761FAF" w14:textId="77777777" w:rsidR="00F61AD6" w:rsidRPr="00984B47" w:rsidRDefault="00F61AD6" w:rsidP="00212261">
            <w:pPr>
              <w:spacing w:before="0" w:after="0"/>
              <w:ind w:left="-11"/>
              <w:rPr>
                <w:sz w:val="16"/>
                <w:szCs w:val="16"/>
              </w:rPr>
            </w:pPr>
          </w:p>
        </w:tc>
        <w:tc>
          <w:tcPr>
            <w:tcW w:w="285" w:type="dxa"/>
            <w:tcBorders>
              <w:top w:val="nil"/>
              <w:left w:val="single" w:sz="4" w:space="0" w:color="0000FF"/>
              <w:bottom w:val="thinThickThinSmallGap" w:sz="48" w:space="0" w:color="3366FF"/>
              <w:right w:val="single" w:sz="4" w:space="0" w:color="0000FF"/>
            </w:tcBorders>
          </w:tcPr>
          <w:p w14:paraId="53AA4F38" w14:textId="77777777" w:rsidR="00F61AD6" w:rsidRPr="00984B47" w:rsidRDefault="00F61AD6" w:rsidP="00212261">
            <w:pPr>
              <w:spacing w:before="0" w:after="0"/>
              <w:ind w:left="-11"/>
              <w:rPr>
                <w:sz w:val="16"/>
                <w:szCs w:val="16"/>
              </w:rPr>
            </w:pPr>
          </w:p>
        </w:tc>
      </w:tr>
      <w:tr w:rsidR="00F61AD6" w:rsidRPr="00152E18" w14:paraId="00B12F90" w14:textId="77777777" w:rsidTr="003412F4">
        <w:trPr>
          <w:trHeight w:val="77"/>
        </w:trPr>
        <w:tc>
          <w:tcPr>
            <w:tcW w:w="6238" w:type="dxa"/>
            <w:vMerge/>
            <w:tcBorders>
              <w:left w:val="nil"/>
              <w:bottom w:val="nil"/>
              <w:right w:val="single" w:sz="4" w:space="0" w:color="3366FF"/>
            </w:tcBorders>
          </w:tcPr>
          <w:p w14:paraId="2FBEE10F" w14:textId="77777777" w:rsidR="00F61AD6" w:rsidRDefault="00F61AD6" w:rsidP="002D63E1">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48CCD517" w14:textId="77777777" w:rsidR="00F61AD6" w:rsidRPr="00984B47" w:rsidRDefault="00F61AD6"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7517A89F" w14:textId="77777777" w:rsidR="00F61AD6" w:rsidRPr="00984B47" w:rsidRDefault="00F61AD6"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7ACD0BA" w14:textId="77777777" w:rsidR="00F61AD6" w:rsidRPr="00984B47" w:rsidRDefault="00F61AD6"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2BD037E1" w14:textId="77777777" w:rsidR="00F61AD6" w:rsidRPr="00984B47" w:rsidRDefault="00F61AD6"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6DFC7113" w14:textId="77777777" w:rsidR="00F61AD6" w:rsidRPr="00984B47" w:rsidRDefault="00F61AD6"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088AEAE7" w14:textId="77777777" w:rsidR="00F61AD6" w:rsidRPr="00984B47" w:rsidRDefault="00F61AD6"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54626347" w14:textId="77777777" w:rsidR="00F61AD6" w:rsidRPr="00984B47" w:rsidRDefault="00F61AD6"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5D877FF2" w14:textId="77777777" w:rsidR="00F61AD6" w:rsidRPr="00984B47" w:rsidRDefault="00F61AD6"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324448FF" w14:textId="77777777" w:rsidR="00F61AD6" w:rsidRPr="00984B47" w:rsidRDefault="00F61AD6" w:rsidP="00212261">
            <w:pPr>
              <w:spacing w:before="0" w:after="0"/>
              <w:ind w:left="-11"/>
              <w:rPr>
                <w:sz w:val="16"/>
                <w:szCs w:val="16"/>
              </w:rPr>
            </w:pPr>
          </w:p>
        </w:tc>
      </w:tr>
      <w:tr w:rsidR="00F61AD6" w:rsidRPr="00152E18" w14:paraId="1BB17D57" w14:textId="77777777" w:rsidTr="003412F4">
        <w:trPr>
          <w:trHeight w:val="127"/>
        </w:trPr>
        <w:tc>
          <w:tcPr>
            <w:tcW w:w="6238" w:type="dxa"/>
            <w:vMerge w:val="restart"/>
            <w:tcBorders>
              <w:top w:val="nil"/>
              <w:left w:val="nil"/>
              <w:right w:val="single" w:sz="4" w:space="0" w:color="3366FF"/>
            </w:tcBorders>
          </w:tcPr>
          <w:p w14:paraId="7587C16D" w14:textId="7D41BF9D" w:rsidR="00F61AD6" w:rsidRDefault="00C71592" w:rsidP="002D63E1">
            <w:pPr>
              <w:pStyle w:val="ListParagraph"/>
              <w:numPr>
                <w:ilvl w:val="0"/>
                <w:numId w:val="28"/>
              </w:numPr>
              <w:ind w:left="743" w:hanging="284"/>
              <w:contextualSpacing w:val="0"/>
              <w:jc w:val="left"/>
            </w:pPr>
            <w:r>
              <w:lastRenderedPageBreak/>
              <w:t>Maintain TSP1 procurement and financial management systems in accordance with MET procedures</w:t>
            </w:r>
          </w:p>
        </w:tc>
        <w:tc>
          <w:tcPr>
            <w:tcW w:w="284" w:type="dxa"/>
            <w:tcBorders>
              <w:top w:val="nil"/>
              <w:left w:val="single" w:sz="4" w:space="0" w:color="3366FF"/>
              <w:bottom w:val="thinThickThinSmallGap" w:sz="48" w:space="0" w:color="3366FF"/>
              <w:right w:val="single" w:sz="4" w:space="0" w:color="0000FF"/>
            </w:tcBorders>
          </w:tcPr>
          <w:p w14:paraId="741459FF"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4BCD7EF3" w14:textId="77777777" w:rsidR="00F61AD6" w:rsidRPr="00984B47" w:rsidRDefault="00F61AD6"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258C1F19"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0B91CE5D"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73A675D0" w14:textId="77777777" w:rsidR="00F61AD6" w:rsidRPr="00984B47" w:rsidRDefault="00F61AD6"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540296F6" w14:textId="77777777" w:rsidR="00F61AD6" w:rsidRPr="00984B47" w:rsidRDefault="00F61AD6"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02663283" w14:textId="77777777" w:rsidR="00F61AD6" w:rsidRPr="00984B47" w:rsidRDefault="00F61AD6"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25AC8895" w14:textId="77777777" w:rsidR="00F61AD6" w:rsidRPr="00984B47" w:rsidRDefault="00F61AD6" w:rsidP="00212261">
            <w:pPr>
              <w:spacing w:before="0" w:after="0"/>
              <w:ind w:left="-11"/>
              <w:rPr>
                <w:sz w:val="16"/>
                <w:szCs w:val="16"/>
              </w:rPr>
            </w:pPr>
          </w:p>
        </w:tc>
        <w:tc>
          <w:tcPr>
            <w:tcW w:w="285" w:type="dxa"/>
            <w:tcBorders>
              <w:top w:val="nil"/>
              <w:left w:val="single" w:sz="4" w:space="0" w:color="0000FF"/>
              <w:bottom w:val="thinThickThinSmallGap" w:sz="48" w:space="0" w:color="3366FF"/>
              <w:right w:val="single" w:sz="4" w:space="0" w:color="0000FF"/>
            </w:tcBorders>
          </w:tcPr>
          <w:p w14:paraId="6700906C" w14:textId="77777777" w:rsidR="00F61AD6" w:rsidRPr="00984B47" w:rsidRDefault="00F61AD6" w:rsidP="00212261">
            <w:pPr>
              <w:spacing w:before="0" w:after="0"/>
              <w:ind w:left="-11"/>
              <w:rPr>
                <w:sz w:val="16"/>
                <w:szCs w:val="16"/>
              </w:rPr>
            </w:pPr>
          </w:p>
        </w:tc>
      </w:tr>
      <w:tr w:rsidR="00A45F60" w:rsidRPr="00152E18" w14:paraId="084FD469" w14:textId="77777777" w:rsidTr="003412F4">
        <w:trPr>
          <w:trHeight w:val="96"/>
        </w:trPr>
        <w:tc>
          <w:tcPr>
            <w:tcW w:w="6238" w:type="dxa"/>
            <w:vMerge/>
            <w:tcBorders>
              <w:left w:val="nil"/>
              <w:bottom w:val="nil"/>
              <w:right w:val="single" w:sz="4" w:space="0" w:color="3366FF"/>
            </w:tcBorders>
          </w:tcPr>
          <w:p w14:paraId="627AFC9B" w14:textId="77777777" w:rsidR="00A45F60" w:rsidRDefault="00A45F60" w:rsidP="002D63E1">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2339BF2C" w14:textId="77777777" w:rsidR="00A45F60" w:rsidRPr="00984B47" w:rsidRDefault="00A45F6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7967ADEF" w14:textId="77777777" w:rsidR="00A45F60" w:rsidRPr="00984B47" w:rsidRDefault="00A45F6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19889772" w14:textId="77777777" w:rsidR="00A45F60" w:rsidRPr="00984B47" w:rsidRDefault="00A45F6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2826C05D" w14:textId="77777777" w:rsidR="00A45F60" w:rsidRPr="00984B47" w:rsidRDefault="00A45F6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71AE825A" w14:textId="77777777" w:rsidR="00A45F60" w:rsidRPr="00984B47" w:rsidRDefault="00A45F6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4ECBBD57" w14:textId="77777777" w:rsidR="00A45F60" w:rsidRPr="00984B47" w:rsidRDefault="00A45F60"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792B9C2D" w14:textId="77777777" w:rsidR="00A45F60" w:rsidRPr="00984B47" w:rsidRDefault="00A45F60"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191367EE" w14:textId="77777777" w:rsidR="00A45F60" w:rsidRPr="00984B47" w:rsidRDefault="00A45F60"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1886D96C" w14:textId="77777777" w:rsidR="00A45F60" w:rsidRPr="00984B47" w:rsidRDefault="00A45F60" w:rsidP="00212261">
            <w:pPr>
              <w:spacing w:before="0" w:after="0"/>
              <w:ind w:left="-11"/>
              <w:rPr>
                <w:sz w:val="16"/>
                <w:szCs w:val="16"/>
              </w:rPr>
            </w:pPr>
          </w:p>
        </w:tc>
      </w:tr>
      <w:tr w:rsidR="00C71592" w:rsidRPr="00152E18" w14:paraId="1543C8C2" w14:textId="77777777" w:rsidTr="003412F4">
        <w:trPr>
          <w:trHeight w:val="116"/>
        </w:trPr>
        <w:tc>
          <w:tcPr>
            <w:tcW w:w="6238" w:type="dxa"/>
            <w:vMerge w:val="restart"/>
            <w:tcBorders>
              <w:top w:val="nil"/>
              <w:left w:val="nil"/>
              <w:bottom w:val="nil"/>
              <w:right w:val="single" w:sz="4" w:space="0" w:color="3366FF"/>
            </w:tcBorders>
          </w:tcPr>
          <w:p w14:paraId="7E0EAF03" w14:textId="1D7F1239" w:rsidR="00C71592" w:rsidRDefault="00C71592" w:rsidP="002D63E1">
            <w:pPr>
              <w:pStyle w:val="ListParagraph"/>
              <w:numPr>
                <w:ilvl w:val="0"/>
                <w:numId w:val="28"/>
              </w:numPr>
              <w:ind w:left="743" w:hanging="284"/>
              <w:contextualSpacing w:val="0"/>
              <w:jc w:val="left"/>
            </w:pPr>
            <w:r>
              <w:t>Prepare Six Month Report for July/December 2012</w:t>
            </w:r>
          </w:p>
        </w:tc>
        <w:tc>
          <w:tcPr>
            <w:tcW w:w="284" w:type="dxa"/>
            <w:vMerge w:val="restart"/>
            <w:tcBorders>
              <w:top w:val="nil"/>
              <w:left w:val="single" w:sz="4" w:space="0" w:color="3366FF"/>
              <w:bottom w:val="nil"/>
              <w:right w:val="single" w:sz="4" w:space="0" w:color="3366FF"/>
            </w:tcBorders>
          </w:tcPr>
          <w:p w14:paraId="145D035F" w14:textId="77777777" w:rsidR="00C71592" w:rsidRPr="00984B47" w:rsidRDefault="00C71592" w:rsidP="00212261">
            <w:pPr>
              <w:spacing w:before="0" w:after="0"/>
              <w:ind w:left="-11"/>
              <w:rPr>
                <w:sz w:val="16"/>
                <w:szCs w:val="16"/>
              </w:rPr>
            </w:pPr>
          </w:p>
        </w:tc>
        <w:tc>
          <w:tcPr>
            <w:tcW w:w="283" w:type="dxa"/>
            <w:vMerge w:val="restart"/>
            <w:tcBorders>
              <w:top w:val="nil"/>
              <w:left w:val="single" w:sz="4" w:space="0" w:color="3366FF"/>
              <w:bottom w:val="nil"/>
              <w:right w:val="single" w:sz="4" w:space="0" w:color="3366FF"/>
            </w:tcBorders>
          </w:tcPr>
          <w:p w14:paraId="4F5721F6" w14:textId="77777777" w:rsidR="00C71592" w:rsidRPr="00984B47" w:rsidRDefault="00C71592" w:rsidP="00212261">
            <w:pPr>
              <w:spacing w:before="0" w:after="0"/>
              <w:ind w:left="-11"/>
              <w:rPr>
                <w:sz w:val="16"/>
                <w:szCs w:val="16"/>
              </w:rPr>
            </w:pPr>
          </w:p>
        </w:tc>
        <w:tc>
          <w:tcPr>
            <w:tcW w:w="284" w:type="dxa"/>
            <w:vMerge w:val="restart"/>
            <w:tcBorders>
              <w:top w:val="nil"/>
              <w:left w:val="single" w:sz="4" w:space="0" w:color="3366FF"/>
              <w:bottom w:val="nil"/>
              <w:right w:val="single" w:sz="4" w:space="0" w:color="3366FF"/>
            </w:tcBorders>
          </w:tcPr>
          <w:p w14:paraId="5CBEBB06" w14:textId="77777777" w:rsidR="00C71592" w:rsidRPr="00984B47" w:rsidRDefault="00C71592" w:rsidP="00212261">
            <w:pPr>
              <w:spacing w:before="0" w:after="0"/>
              <w:ind w:left="-11"/>
              <w:rPr>
                <w:sz w:val="16"/>
                <w:szCs w:val="16"/>
              </w:rPr>
            </w:pPr>
          </w:p>
        </w:tc>
        <w:tc>
          <w:tcPr>
            <w:tcW w:w="283" w:type="dxa"/>
            <w:vMerge w:val="restart"/>
            <w:tcBorders>
              <w:top w:val="nil"/>
              <w:left w:val="single" w:sz="4" w:space="0" w:color="3366FF"/>
              <w:bottom w:val="nil"/>
              <w:right w:val="single" w:sz="4" w:space="0" w:color="3366FF"/>
            </w:tcBorders>
          </w:tcPr>
          <w:p w14:paraId="1C19BB29" w14:textId="77777777" w:rsidR="00C71592" w:rsidRPr="00984B47" w:rsidRDefault="00C71592" w:rsidP="00212261">
            <w:pPr>
              <w:spacing w:before="0" w:after="0"/>
              <w:ind w:left="-11"/>
              <w:rPr>
                <w:sz w:val="16"/>
                <w:szCs w:val="16"/>
              </w:rPr>
            </w:pPr>
          </w:p>
        </w:tc>
        <w:tc>
          <w:tcPr>
            <w:tcW w:w="283" w:type="dxa"/>
            <w:vMerge w:val="restart"/>
            <w:tcBorders>
              <w:top w:val="nil"/>
              <w:left w:val="single" w:sz="4" w:space="0" w:color="3366FF"/>
              <w:bottom w:val="nil"/>
              <w:right w:val="single" w:sz="4" w:space="0" w:color="3366FF"/>
            </w:tcBorders>
          </w:tcPr>
          <w:p w14:paraId="222DCF8A" w14:textId="77777777" w:rsidR="00C71592" w:rsidRPr="00984B47" w:rsidRDefault="00C71592" w:rsidP="00212261">
            <w:pPr>
              <w:spacing w:before="0" w:after="0"/>
              <w:ind w:left="-11"/>
              <w:rPr>
                <w:sz w:val="16"/>
                <w:szCs w:val="16"/>
              </w:rPr>
            </w:pPr>
          </w:p>
        </w:tc>
        <w:tc>
          <w:tcPr>
            <w:tcW w:w="284" w:type="dxa"/>
            <w:vMerge w:val="restart"/>
            <w:tcBorders>
              <w:top w:val="nil"/>
              <w:left w:val="single" w:sz="4" w:space="0" w:color="3366FF"/>
              <w:bottom w:val="nil"/>
              <w:right w:val="single" w:sz="4" w:space="0" w:color="3366FF"/>
            </w:tcBorders>
          </w:tcPr>
          <w:p w14:paraId="527FAB16" w14:textId="77777777" w:rsidR="00C71592" w:rsidRPr="00984B47" w:rsidRDefault="00C71592" w:rsidP="00212261">
            <w:pPr>
              <w:spacing w:before="0" w:after="0"/>
              <w:ind w:left="-11"/>
              <w:rPr>
                <w:sz w:val="16"/>
                <w:szCs w:val="16"/>
              </w:rPr>
            </w:pPr>
          </w:p>
        </w:tc>
        <w:tc>
          <w:tcPr>
            <w:tcW w:w="284" w:type="dxa"/>
            <w:tcBorders>
              <w:top w:val="nil"/>
              <w:left w:val="single" w:sz="4" w:space="0" w:color="3366FF"/>
              <w:bottom w:val="thinThickThinSmallGap" w:sz="48" w:space="0" w:color="3366FF"/>
              <w:right w:val="single" w:sz="4" w:space="0" w:color="3366FF"/>
            </w:tcBorders>
          </w:tcPr>
          <w:p w14:paraId="06D34F8D" w14:textId="77777777" w:rsidR="00C71592" w:rsidRPr="00984B47" w:rsidRDefault="00C71592" w:rsidP="00212261">
            <w:pPr>
              <w:spacing w:before="0" w:after="0"/>
              <w:ind w:left="-11"/>
              <w:rPr>
                <w:sz w:val="16"/>
                <w:szCs w:val="16"/>
              </w:rPr>
            </w:pPr>
          </w:p>
        </w:tc>
        <w:tc>
          <w:tcPr>
            <w:tcW w:w="283" w:type="dxa"/>
            <w:vMerge w:val="restart"/>
            <w:tcBorders>
              <w:top w:val="nil"/>
              <w:left w:val="single" w:sz="4" w:space="0" w:color="3366FF"/>
              <w:bottom w:val="nil"/>
              <w:right w:val="single" w:sz="4" w:space="0" w:color="3366FF"/>
            </w:tcBorders>
          </w:tcPr>
          <w:p w14:paraId="739F7E8E" w14:textId="77777777" w:rsidR="00C71592" w:rsidRPr="00984B47" w:rsidRDefault="00C71592" w:rsidP="00212261">
            <w:pPr>
              <w:spacing w:before="0" w:after="0"/>
              <w:ind w:left="-11"/>
              <w:rPr>
                <w:sz w:val="16"/>
                <w:szCs w:val="16"/>
              </w:rPr>
            </w:pPr>
          </w:p>
        </w:tc>
        <w:tc>
          <w:tcPr>
            <w:tcW w:w="285" w:type="dxa"/>
            <w:vMerge w:val="restart"/>
            <w:tcBorders>
              <w:top w:val="nil"/>
              <w:left w:val="single" w:sz="4" w:space="0" w:color="3366FF"/>
              <w:bottom w:val="nil"/>
              <w:right w:val="single" w:sz="4" w:space="0" w:color="3366FF"/>
            </w:tcBorders>
          </w:tcPr>
          <w:p w14:paraId="48C6FF7A" w14:textId="77777777" w:rsidR="00C71592" w:rsidRPr="00984B47" w:rsidRDefault="00C71592" w:rsidP="00212261">
            <w:pPr>
              <w:spacing w:before="0" w:after="0"/>
              <w:ind w:left="-11"/>
              <w:rPr>
                <w:sz w:val="16"/>
                <w:szCs w:val="16"/>
              </w:rPr>
            </w:pPr>
          </w:p>
        </w:tc>
      </w:tr>
      <w:tr w:rsidR="00C71592" w:rsidRPr="00152E18" w14:paraId="311A51D6" w14:textId="77777777" w:rsidTr="003412F4">
        <w:trPr>
          <w:trHeight w:val="20"/>
        </w:trPr>
        <w:tc>
          <w:tcPr>
            <w:tcW w:w="6238" w:type="dxa"/>
            <w:vMerge/>
            <w:tcBorders>
              <w:top w:val="nil"/>
              <w:left w:val="nil"/>
              <w:bottom w:val="nil"/>
              <w:right w:val="single" w:sz="4" w:space="0" w:color="3366FF"/>
            </w:tcBorders>
          </w:tcPr>
          <w:p w14:paraId="7FA3E6A8" w14:textId="77777777" w:rsidR="00C71592" w:rsidRDefault="00C71592" w:rsidP="002D63E1">
            <w:pPr>
              <w:pStyle w:val="ListParagraph"/>
              <w:numPr>
                <w:ilvl w:val="0"/>
                <w:numId w:val="28"/>
              </w:numPr>
              <w:ind w:left="743" w:hanging="284"/>
              <w:contextualSpacing w:val="0"/>
              <w:jc w:val="left"/>
            </w:pPr>
          </w:p>
        </w:tc>
        <w:tc>
          <w:tcPr>
            <w:tcW w:w="284" w:type="dxa"/>
            <w:vMerge/>
            <w:tcBorders>
              <w:top w:val="nil"/>
              <w:left w:val="single" w:sz="4" w:space="0" w:color="3366FF"/>
              <w:bottom w:val="nil"/>
              <w:right w:val="single" w:sz="4" w:space="0" w:color="3366FF"/>
            </w:tcBorders>
          </w:tcPr>
          <w:p w14:paraId="4DD4B2D7" w14:textId="77777777" w:rsidR="00C71592" w:rsidRPr="00984B47" w:rsidRDefault="00C71592" w:rsidP="00212261">
            <w:pPr>
              <w:spacing w:before="0" w:after="0"/>
              <w:ind w:left="-11"/>
              <w:rPr>
                <w:sz w:val="16"/>
                <w:szCs w:val="16"/>
              </w:rPr>
            </w:pPr>
          </w:p>
        </w:tc>
        <w:tc>
          <w:tcPr>
            <w:tcW w:w="283" w:type="dxa"/>
            <w:vMerge/>
            <w:tcBorders>
              <w:top w:val="nil"/>
              <w:left w:val="single" w:sz="4" w:space="0" w:color="3366FF"/>
              <w:bottom w:val="nil"/>
              <w:right w:val="single" w:sz="4" w:space="0" w:color="3366FF"/>
            </w:tcBorders>
          </w:tcPr>
          <w:p w14:paraId="73DDCD06" w14:textId="77777777" w:rsidR="00C71592" w:rsidRPr="00984B47" w:rsidRDefault="00C71592" w:rsidP="00212261">
            <w:pPr>
              <w:spacing w:before="0" w:after="0"/>
              <w:ind w:left="-11"/>
              <w:rPr>
                <w:sz w:val="16"/>
                <w:szCs w:val="16"/>
              </w:rPr>
            </w:pPr>
          </w:p>
        </w:tc>
        <w:tc>
          <w:tcPr>
            <w:tcW w:w="284" w:type="dxa"/>
            <w:vMerge/>
            <w:tcBorders>
              <w:top w:val="nil"/>
              <w:left w:val="single" w:sz="4" w:space="0" w:color="3366FF"/>
              <w:bottom w:val="nil"/>
              <w:right w:val="single" w:sz="4" w:space="0" w:color="3366FF"/>
            </w:tcBorders>
          </w:tcPr>
          <w:p w14:paraId="1F0F671A" w14:textId="77777777" w:rsidR="00C71592" w:rsidRPr="00984B47" w:rsidRDefault="00C71592" w:rsidP="00212261">
            <w:pPr>
              <w:spacing w:before="0" w:after="0"/>
              <w:ind w:left="-11"/>
              <w:rPr>
                <w:sz w:val="16"/>
                <w:szCs w:val="16"/>
              </w:rPr>
            </w:pPr>
          </w:p>
        </w:tc>
        <w:tc>
          <w:tcPr>
            <w:tcW w:w="283" w:type="dxa"/>
            <w:vMerge/>
            <w:tcBorders>
              <w:top w:val="nil"/>
              <w:left w:val="single" w:sz="4" w:space="0" w:color="3366FF"/>
              <w:bottom w:val="nil"/>
              <w:right w:val="single" w:sz="4" w:space="0" w:color="3366FF"/>
            </w:tcBorders>
          </w:tcPr>
          <w:p w14:paraId="2CF3171B" w14:textId="77777777" w:rsidR="00C71592" w:rsidRPr="00984B47" w:rsidRDefault="00C71592" w:rsidP="00212261">
            <w:pPr>
              <w:spacing w:before="0" w:after="0"/>
              <w:ind w:left="-11"/>
              <w:rPr>
                <w:sz w:val="16"/>
                <w:szCs w:val="16"/>
              </w:rPr>
            </w:pPr>
          </w:p>
        </w:tc>
        <w:tc>
          <w:tcPr>
            <w:tcW w:w="283" w:type="dxa"/>
            <w:vMerge/>
            <w:tcBorders>
              <w:top w:val="nil"/>
              <w:left w:val="single" w:sz="4" w:space="0" w:color="3366FF"/>
              <w:bottom w:val="nil"/>
              <w:right w:val="single" w:sz="4" w:space="0" w:color="3366FF"/>
            </w:tcBorders>
          </w:tcPr>
          <w:p w14:paraId="04CA254D" w14:textId="77777777" w:rsidR="00C71592" w:rsidRPr="00984B47" w:rsidRDefault="00C71592" w:rsidP="00212261">
            <w:pPr>
              <w:spacing w:before="0" w:after="0"/>
              <w:ind w:left="-11"/>
              <w:rPr>
                <w:sz w:val="16"/>
                <w:szCs w:val="16"/>
              </w:rPr>
            </w:pPr>
          </w:p>
        </w:tc>
        <w:tc>
          <w:tcPr>
            <w:tcW w:w="284" w:type="dxa"/>
            <w:vMerge/>
            <w:tcBorders>
              <w:top w:val="nil"/>
              <w:left w:val="single" w:sz="4" w:space="0" w:color="3366FF"/>
              <w:bottom w:val="nil"/>
              <w:right w:val="single" w:sz="4" w:space="0" w:color="3366FF"/>
            </w:tcBorders>
          </w:tcPr>
          <w:p w14:paraId="5A05C12E" w14:textId="77777777" w:rsidR="00C71592" w:rsidRPr="00984B47" w:rsidRDefault="00C71592" w:rsidP="00212261">
            <w:pPr>
              <w:spacing w:before="0" w:after="0"/>
              <w:ind w:left="-11"/>
              <w:rPr>
                <w:sz w:val="16"/>
                <w:szCs w:val="16"/>
              </w:rPr>
            </w:pPr>
          </w:p>
        </w:tc>
        <w:tc>
          <w:tcPr>
            <w:tcW w:w="284" w:type="dxa"/>
            <w:tcBorders>
              <w:top w:val="thinThickThinSmallGap" w:sz="48" w:space="0" w:color="3366FF"/>
              <w:left w:val="single" w:sz="4" w:space="0" w:color="3366FF"/>
              <w:bottom w:val="nil"/>
              <w:right w:val="single" w:sz="4" w:space="0" w:color="3366FF"/>
            </w:tcBorders>
          </w:tcPr>
          <w:p w14:paraId="29D0E31F" w14:textId="77777777" w:rsidR="00C71592" w:rsidRPr="00984B47" w:rsidRDefault="00C71592" w:rsidP="00212261">
            <w:pPr>
              <w:spacing w:before="0" w:after="0"/>
              <w:ind w:left="-11"/>
              <w:rPr>
                <w:sz w:val="16"/>
                <w:szCs w:val="16"/>
              </w:rPr>
            </w:pPr>
          </w:p>
        </w:tc>
        <w:tc>
          <w:tcPr>
            <w:tcW w:w="283" w:type="dxa"/>
            <w:vMerge/>
            <w:tcBorders>
              <w:top w:val="nil"/>
              <w:left w:val="single" w:sz="4" w:space="0" w:color="3366FF"/>
              <w:bottom w:val="nil"/>
              <w:right w:val="single" w:sz="4" w:space="0" w:color="3366FF"/>
            </w:tcBorders>
          </w:tcPr>
          <w:p w14:paraId="4DA5D4D5" w14:textId="77777777" w:rsidR="00C71592" w:rsidRPr="00984B47" w:rsidRDefault="00C71592" w:rsidP="00212261">
            <w:pPr>
              <w:spacing w:before="0" w:after="0"/>
              <w:ind w:left="-11"/>
              <w:rPr>
                <w:sz w:val="16"/>
                <w:szCs w:val="16"/>
              </w:rPr>
            </w:pPr>
          </w:p>
        </w:tc>
        <w:tc>
          <w:tcPr>
            <w:tcW w:w="285" w:type="dxa"/>
            <w:vMerge/>
            <w:tcBorders>
              <w:top w:val="nil"/>
              <w:left w:val="single" w:sz="4" w:space="0" w:color="3366FF"/>
              <w:bottom w:val="nil"/>
              <w:right w:val="single" w:sz="4" w:space="0" w:color="3366FF"/>
            </w:tcBorders>
          </w:tcPr>
          <w:p w14:paraId="6DE2CE89" w14:textId="77777777" w:rsidR="00C71592" w:rsidRPr="00984B47" w:rsidRDefault="00C71592" w:rsidP="00212261">
            <w:pPr>
              <w:spacing w:before="0" w:after="0"/>
              <w:ind w:left="-11"/>
              <w:rPr>
                <w:sz w:val="16"/>
                <w:szCs w:val="16"/>
              </w:rPr>
            </w:pPr>
          </w:p>
        </w:tc>
      </w:tr>
      <w:tr w:rsidR="00984B7C" w:rsidRPr="00152E18" w14:paraId="6EA9483F" w14:textId="77777777" w:rsidTr="003412F4">
        <w:trPr>
          <w:trHeight w:val="188"/>
        </w:trPr>
        <w:tc>
          <w:tcPr>
            <w:tcW w:w="6238" w:type="dxa"/>
            <w:vMerge w:val="restart"/>
            <w:tcBorders>
              <w:top w:val="nil"/>
              <w:left w:val="nil"/>
              <w:right w:val="single" w:sz="4" w:space="0" w:color="3366FF"/>
            </w:tcBorders>
          </w:tcPr>
          <w:p w14:paraId="1AAF513B" w14:textId="6AFFB306" w:rsidR="000D54EF" w:rsidRPr="00A45F60" w:rsidRDefault="00984B7C" w:rsidP="0059196D">
            <w:pPr>
              <w:pStyle w:val="ListParagraph"/>
              <w:numPr>
                <w:ilvl w:val="0"/>
                <w:numId w:val="28"/>
              </w:numPr>
              <w:ind w:left="743" w:hanging="284"/>
              <w:contextualSpacing w:val="0"/>
              <w:jc w:val="left"/>
            </w:pPr>
            <w:r w:rsidRPr="00A45F60">
              <w:t>Provide input into MET Corporate Plan</w:t>
            </w:r>
          </w:p>
        </w:tc>
        <w:tc>
          <w:tcPr>
            <w:tcW w:w="284" w:type="dxa"/>
            <w:tcBorders>
              <w:top w:val="nil"/>
              <w:left w:val="single" w:sz="4" w:space="0" w:color="3366FF"/>
              <w:bottom w:val="thinThickThinSmallGap" w:sz="48" w:space="0" w:color="3366FF"/>
              <w:right w:val="single" w:sz="4" w:space="0" w:color="0000FF"/>
            </w:tcBorders>
          </w:tcPr>
          <w:p w14:paraId="52CC0638" w14:textId="77777777" w:rsidR="00984B7C" w:rsidRPr="00984B47" w:rsidRDefault="00984B7C"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8177E9D" w14:textId="77777777" w:rsidR="00984B7C" w:rsidRPr="00984B47" w:rsidRDefault="00984B7C"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86138EF" w14:textId="77777777" w:rsidR="00984B7C" w:rsidRPr="00984B47" w:rsidRDefault="00984B7C"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4D1F1E2" w14:textId="77777777" w:rsidR="00984B7C" w:rsidRPr="00984B47" w:rsidRDefault="00984B7C"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05392267" w14:textId="77777777" w:rsidR="00984B7C" w:rsidRPr="00984B47" w:rsidRDefault="00984B7C"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7BE97ED7" w14:textId="77777777" w:rsidR="00984B7C" w:rsidRPr="00984B47" w:rsidRDefault="00984B7C"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7B3EB80" w14:textId="77777777" w:rsidR="00984B7C" w:rsidRPr="00984B47" w:rsidRDefault="00984B7C"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C5E6ED5" w14:textId="77777777" w:rsidR="00984B7C" w:rsidRPr="00984B47" w:rsidRDefault="00984B7C"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2DCEB959" w14:textId="77777777" w:rsidR="00984B7C" w:rsidRPr="00984B47" w:rsidRDefault="00984B7C" w:rsidP="00212261">
            <w:pPr>
              <w:spacing w:before="0" w:after="0"/>
              <w:ind w:left="-11"/>
              <w:rPr>
                <w:sz w:val="16"/>
                <w:szCs w:val="16"/>
              </w:rPr>
            </w:pPr>
          </w:p>
        </w:tc>
      </w:tr>
      <w:tr w:rsidR="00984B7C" w:rsidRPr="00152E18" w14:paraId="7E1CE523" w14:textId="77777777" w:rsidTr="003412F4">
        <w:trPr>
          <w:trHeight w:val="20"/>
        </w:trPr>
        <w:tc>
          <w:tcPr>
            <w:tcW w:w="6238" w:type="dxa"/>
            <w:vMerge/>
            <w:tcBorders>
              <w:left w:val="nil"/>
              <w:bottom w:val="nil"/>
              <w:right w:val="single" w:sz="4" w:space="0" w:color="3366FF"/>
            </w:tcBorders>
          </w:tcPr>
          <w:p w14:paraId="5F145ECB" w14:textId="77777777" w:rsidR="00984B7C" w:rsidRPr="00A45F60" w:rsidRDefault="00984B7C" w:rsidP="00A45F60">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2B858776" w14:textId="77777777" w:rsidR="00984B7C" w:rsidRPr="00984B47" w:rsidRDefault="00984B7C"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CAA7B0E" w14:textId="77777777" w:rsidR="00984B7C" w:rsidRPr="00984B47" w:rsidRDefault="00984B7C"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33FA2F9" w14:textId="77777777" w:rsidR="00984B7C" w:rsidRPr="00984B47" w:rsidRDefault="00984B7C"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B5C10F5" w14:textId="77777777" w:rsidR="00984B7C" w:rsidRPr="00984B47" w:rsidRDefault="00984B7C"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603736D" w14:textId="77777777" w:rsidR="00984B7C" w:rsidRPr="00984B47" w:rsidRDefault="00984B7C"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0D6FF025" w14:textId="77777777" w:rsidR="00984B7C" w:rsidRPr="00984B47" w:rsidRDefault="00984B7C"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A5C833A" w14:textId="77777777" w:rsidR="00984B7C" w:rsidRPr="00984B47" w:rsidRDefault="00984B7C"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A22FBFE" w14:textId="77777777" w:rsidR="00984B7C" w:rsidRPr="00984B47" w:rsidRDefault="00984B7C"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5B2A3AC1" w14:textId="77777777" w:rsidR="00984B7C" w:rsidRPr="00984B47" w:rsidRDefault="00984B7C" w:rsidP="00212261">
            <w:pPr>
              <w:spacing w:before="0" w:after="0"/>
              <w:ind w:left="-11"/>
              <w:rPr>
                <w:sz w:val="16"/>
                <w:szCs w:val="16"/>
              </w:rPr>
            </w:pPr>
          </w:p>
        </w:tc>
      </w:tr>
      <w:tr w:rsidR="00B52188" w:rsidRPr="00152E18" w14:paraId="59AF450E" w14:textId="77777777" w:rsidTr="003412F4">
        <w:trPr>
          <w:trHeight w:val="216"/>
        </w:trPr>
        <w:tc>
          <w:tcPr>
            <w:tcW w:w="6238" w:type="dxa"/>
            <w:vMerge w:val="restart"/>
            <w:tcBorders>
              <w:top w:val="nil"/>
              <w:left w:val="nil"/>
              <w:right w:val="single" w:sz="4" w:space="0" w:color="3366FF"/>
            </w:tcBorders>
          </w:tcPr>
          <w:p w14:paraId="41887B77" w14:textId="7D52BF0E" w:rsidR="00B52188" w:rsidRDefault="00B52188" w:rsidP="00A45F60">
            <w:pPr>
              <w:pStyle w:val="ListParagraph"/>
              <w:numPr>
                <w:ilvl w:val="0"/>
                <w:numId w:val="28"/>
              </w:numPr>
              <w:ind w:left="743" w:hanging="284"/>
              <w:contextualSpacing w:val="0"/>
              <w:jc w:val="left"/>
              <w:rPr>
                <w:b/>
              </w:rPr>
            </w:pPr>
            <w:r w:rsidRPr="00A45F60">
              <w:t>Consult, develop and implement an agreed staff development plan for MET personnel engaged in TVET activities</w:t>
            </w:r>
          </w:p>
        </w:tc>
        <w:tc>
          <w:tcPr>
            <w:tcW w:w="284" w:type="dxa"/>
            <w:vMerge w:val="restart"/>
            <w:tcBorders>
              <w:top w:val="nil"/>
              <w:left w:val="single" w:sz="4" w:space="0" w:color="3366FF"/>
              <w:right w:val="single" w:sz="4" w:space="0" w:color="0000FF"/>
            </w:tcBorders>
          </w:tcPr>
          <w:p w14:paraId="2BF55F32" w14:textId="77777777" w:rsidR="00B52188" w:rsidRPr="00984B47" w:rsidRDefault="00B52188"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7F51C844" w14:textId="77777777" w:rsidR="00B52188" w:rsidRPr="00984B47" w:rsidRDefault="00B52188"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7F7CE75D" w14:textId="77777777" w:rsidR="00B52188" w:rsidRPr="00984B47" w:rsidRDefault="00B52188"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75C4D4FE" w14:textId="77777777" w:rsidR="00B52188" w:rsidRPr="00984B47" w:rsidRDefault="00B52188"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B2BF801" w14:textId="77777777" w:rsidR="00B52188" w:rsidRPr="00984B47" w:rsidRDefault="00B52188"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0D60F37" w14:textId="77777777" w:rsidR="00B52188" w:rsidRPr="00984B47" w:rsidRDefault="00B52188"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2F126415" w14:textId="77777777" w:rsidR="00B52188" w:rsidRPr="00984B47" w:rsidRDefault="00B52188"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F964ED2" w14:textId="77777777" w:rsidR="00B52188" w:rsidRPr="00984B47" w:rsidRDefault="00B52188"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745AC7C8" w14:textId="77777777" w:rsidR="00B52188" w:rsidRPr="00984B47" w:rsidRDefault="00B52188" w:rsidP="00212261">
            <w:pPr>
              <w:spacing w:before="0" w:after="0"/>
              <w:ind w:left="-11"/>
              <w:rPr>
                <w:sz w:val="16"/>
                <w:szCs w:val="16"/>
              </w:rPr>
            </w:pPr>
          </w:p>
        </w:tc>
      </w:tr>
      <w:tr w:rsidR="00B52188" w:rsidRPr="00152E18" w14:paraId="5A338390" w14:textId="77777777" w:rsidTr="003412F4">
        <w:trPr>
          <w:trHeight w:val="218"/>
        </w:trPr>
        <w:tc>
          <w:tcPr>
            <w:tcW w:w="6238" w:type="dxa"/>
            <w:vMerge/>
            <w:tcBorders>
              <w:left w:val="nil"/>
              <w:bottom w:val="nil"/>
              <w:right w:val="single" w:sz="4" w:space="0" w:color="3366FF"/>
            </w:tcBorders>
          </w:tcPr>
          <w:p w14:paraId="71A53CF1" w14:textId="77777777" w:rsidR="00B52188" w:rsidRPr="00A45F60" w:rsidRDefault="00B52188" w:rsidP="00A45F60">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6B1FEAE0" w14:textId="77777777" w:rsidR="00B52188" w:rsidRPr="00984B47" w:rsidRDefault="00B52188"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28280FF" w14:textId="77777777" w:rsidR="00B52188" w:rsidRPr="00984B47" w:rsidRDefault="00B52188"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39B8696" w14:textId="77777777" w:rsidR="00B52188" w:rsidRPr="00984B47" w:rsidRDefault="00B52188"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2086FB11" w14:textId="77777777" w:rsidR="00B52188" w:rsidRPr="00984B47" w:rsidRDefault="00B52188"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755A7518" w14:textId="77777777" w:rsidR="00B52188" w:rsidRPr="00984B47" w:rsidRDefault="00B52188"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2A4B0338" w14:textId="77777777" w:rsidR="00B52188" w:rsidRPr="00984B47" w:rsidRDefault="00B52188"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1AC74B98" w14:textId="77777777" w:rsidR="00B52188" w:rsidRPr="00984B47" w:rsidRDefault="00B52188"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AABCE4C" w14:textId="77777777" w:rsidR="00B52188" w:rsidRPr="00984B47" w:rsidRDefault="00B52188"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5C162FC5" w14:textId="77777777" w:rsidR="00B52188" w:rsidRPr="00984B47" w:rsidRDefault="00B52188" w:rsidP="00212261">
            <w:pPr>
              <w:spacing w:before="0" w:after="0"/>
              <w:ind w:left="-11"/>
              <w:rPr>
                <w:sz w:val="16"/>
                <w:szCs w:val="16"/>
              </w:rPr>
            </w:pPr>
          </w:p>
        </w:tc>
      </w:tr>
      <w:tr w:rsidR="008637CD" w:rsidRPr="00152E18" w14:paraId="10BA44BC" w14:textId="77777777" w:rsidTr="003412F4">
        <w:tc>
          <w:tcPr>
            <w:tcW w:w="6238" w:type="dxa"/>
            <w:tcBorders>
              <w:top w:val="nil"/>
              <w:left w:val="nil"/>
              <w:bottom w:val="nil"/>
              <w:right w:val="single" w:sz="4" w:space="0" w:color="3366FF"/>
            </w:tcBorders>
          </w:tcPr>
          <w:p w14:paraId="33A30C95" w14:textId="254DA079" w:rsidR="008637CD" w:rsidRDefault="00AD0F53" w:rsidP="00115EBF">
            <w:pPr>
              <w:jc w:val="left"/>
            </w:pPr>
            <w:r>
              <w:rPr>
                <w:b/>
              </w:rPr>
              <w:t>3.</w:t>
            </w:r>
            <w:r w:rsidR="00115EBF">
              <w:rPr>
                <w:b/>
              </w:rPr>
              <w:t>3</w:t>
            </w:r>
            <w:r w:rsidR="000D0ACB">
              <w:rPr>
                <w:b/>
              </w:rPr>
              <w:t xml:space="preserve">   Monitoring and Evaluation</w:t>
            </w:r>
          </w:p>
        </w:tc>
        <w:tc>
          <w:tcPr>
            <w:tcW w:w="284" w:type="dxa"/>
            <w:tcBorders>
              <w:top w:val="nil"/>
              <w:left w:val="single" w:sz="4" w:space="0" w:color="3366FF"/>
              <w:bottom w:val="nil"/>
              <w:right w:val="single" w:sz="4" w:space="0" w:color="0000FF"/>
            </w:tcBorders>
          </w:tcPr>
          <w:p w14:paraId="112678AA" w14:textId="77777777" w:rsidR="008637CD" w:rsidRPr="00984B47" w:rsidRDefault="008637CD"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0BEFBEA5" w14:textId="77777777" w:rsidR="008637CD" w:rsidRPr="00984B47" w:rsidRDefault="008637CD"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07716BDA" w14:textId="77777777" w:rsidR="008637CD" w:rsidRPr="00984B47" w:rsidRDefault="008637CD"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5434E9B" w14:textId="77777777" w:rsidR="008637CD" w:rsidRPr="00984B47" w:rsidRDefault="008637CD"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222B63EE" w14:textId="77777777" w:rsidR="008637CD" w:rsidRPr="00984B47" w:rsidRDefault="008637CD"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75A57035" w14:textId="77777777" w:rsidR="008637CD" w:rsidRPr="00984B47" w:rsidRDefault="008637CD" w:rsidP="00212261">
            <w:pPr>
              <w:spacing w:before="0" w:after="0"/>
              <w:ind w:left="-11"/>
              <w:rPr>
                <w:sz w:val="16"/>
                <w:szCs w:val="16"/>
              </w:rPr>
            </w:pPr>
          </w:p>
        </w:tc>
        <w:tc>
          <w:tcPr>
            <w:tcW w:w="284" w:type="dxa"/>
            <w:tcBorders>
              <w:top w:val="nil"/>
              <w:left w:val="single" w:sz="4" w:space="0" w:color="0000FF"/>
              <w:bottom w:val="nil"/>
              <w:right w:val="single" w:sz="4" w:space="0" w:color="0000FF"/>
            </w:tcBorders>
          </w:tcPr>
          <w:p w14:paraId="66CE9DC8" w14:textId="77777777" w:rsidR="008637CD" w:rsidRPr="00984B47" w:rsidRDefault="008637CD" w:rsidP="00212261">
            <w:pPr>
              <w:spacing w:before="0" w:after="0"/>
              <w:ind w:left="-11"/>
              <w:rPr>
                <w:sz w:val="16"/>
                <w:szCs w:val="16"/>
              </w:rPr>
            </w:pPr>
          </w:p>
        </w:tc>
        <w:tc>
          <w:tcPr>
            <w:tcW w:w="283" w:type="dxa"/>
            <w:tcBorders>
              <w:top w:val="nil"/>
              <w:left w:val="single" w:sz="4" w:space="0" w:color="0000FF"/>
              <w:bottom w:val="nil"/>
              <w:right w:val="single" w:sz="4" w:space="0" w:color="0000FF"/>
            </w:tcBorders>
          </w:tcPr>
          <w:p w14:paraId="1F87FDAA" w14:textId="77777777" w:rsidR="008637CD" w:rsidRPr="00984B47" w:rsidRDefault="008637CD" w:rsidP="00212261">
            <w:pPr>
              <w:spacing w:before="0" w:after="0"/>
              <w:ind w:left="-11"/>
              <w:rPr>
                <w:sz w:val="16"/>
                <w:szCs w:val="16"/>
              </w:rPr>
            </w:pPr>
          </w:p>
        </w:tc>
        <w:tc>
          <w:tcPr>
            <w:tcW w:w="285" w:type="dxa"/>
            <w:tcBorders>
              <w:top w:val="nil"/>
              <w:left w:val="single" w:sz="4" w:space="0" w:color="0000FF"/>
              <w:bottom w:val="nil"/>
              <w:right w:val="single" w:sz="4" w:space="0" w:color="0000FF"/>
            </w:tcBorders>
          </w:tcPr>
          <w:p w14:paraId="3F1B2DD6" w14:textId="77777777" w:rsidR="008637CD" w:rsidRPr="00984B47" w:rsidRDefault="008637CD" w:rsidP="00212261">
            <w:pPr>
              <w:spacing w:before="0" w:after="0"/>
              <w:ind w:left="-11"/>
              <w:rPr>
                <w:sz w:val="16"/>
                <w:szCs w:val="16"/>
              </w:rPr>
            </w:pPr>
          </w:p>
        </w:tc>
      </w:tr>
      <w:tr w:rsidR="006D4D9D" w:rsidRPr="00152E18" w14:paraId="462A30F4" w14:textId="77777777" w:rsidTr="003412F4">
        <w:trPr>
          <w:trHeight w:val="229"/>
        </w:trPr>
        <w:tc>
          <w:tcPr>
            <w:tcW w:w="6238" w:type="dxa"/>
            <w:vMerge w:val="restart"/>
            <w:tcBorders>
              <w:top w:val="nil"/>
              <w:left w:val="nil"/>
              <w:right w:val="single" w:sz="4" w:space="0" w:color="3366FF"/>
            </w:tcBorders>
          </w:tcPr>
          <w:p w14:paraId="51628B96" w14:textId="4E465D9C" w:rsidR="006D4D9D" w:rsidRDefault="0059196D" w:rsidP="0059196D">
            <w:pPr>
              <w:pStyle w:val="ListParagraph"/>
              <w:numPr>
                <w:ilvl w:val="0"/>
                <w:numId w:val="28"/>
              </w:numPr>
              <w:ind w:left="743" w:hanging="284"/>
              <w:contextualSpacing w:val="0"/>
              <w:jc w:val="left"/>
            </w:pPr>
            <w:r>
              <w:t>Using existing resources i</w:t>
            </w:r>
            <w:r w:rsidR="006D4D9D">
              <w:t xml:space="preserve">mplement simplified TMIS </w:t>
            </w:r>
            <w:r>
              <w:t xml:space="preserve">and provide </w:t>
            </w:r>
            <w:r w:rsidR="006D4D9D">
              <w:t>staff training</w:t>
            </w:r>
            <w:r w:rsidR="00AA71F1">
              <w:t xml:space="preserve"> </w:t>
            </w:r>
            <w:r>
              <w:t>as necessary</w:t>
            </w:r>
          </w:p>
        </w:tc>
        <w:tc>
          <w:tcPr>
            <w:tcW w:w="284" w:type="dxa"/>
            <w:tcBorders>
              <w:top w:val="nil"/>
              <w:left w:val="single" w:sz="4" w:space="0" w:color="3366FF"/>
              <w:bottom w:val="thinThickThinSmallGap" w:sz="48" w:space="0" w:color="3366FF"/>
              <w:right w:val="single" w:sz="4" w:space="0" w:color="3366FF"/>
            </w:tcBorders>
          </w:tcPr>
          <w:p w14:paraId="4C91D02F" w14:textId="77777777" w:rsidR="006D4D9D" w:rsidRPr="00984B47" w:rsidRDefault="006D4D9D" w:rsidP="00115EBF">
            <w:pPr>
              <w:spacing w:before="0" w:after="0"/>
              <w:ind w:left="-11"/>
              <w:rPr>
                <w:sz w:val="16"/>
                <w:szCs w:val="16"/>
              </w:rPr>
            </w:pPr>
          </w:p>
        </w:tc>
        <w:tc>
          <w:tcPr>
            <w:tcW w:w="283" w:type="dxa"/>
            <w:tcBorders>
              <w:top w:val="nil"/>
              <w:left w:val="single" w:sz="4" w:space="0" w:color="3366FF"/>
              <w:bottom w:val="thinThickThinSmallGap" w:sz="48" w:space="0" w:color="3366FF"/>
              <w:right w:val="single" w:sz="4" w:space="0" w:color="3366FF"/>
            </w:tcBorders>
          </w:tcPr>
          <w:p w14:paraId="10EC7AFC" w14:textId="77777777" w:rsidR="006D4D9D" w:rsidRPr="00984B47" w:rsidRDefault="006D4D9D" w:rsidP="00115EBF">
            <w:pPr>
              <w:spacing w:before="0" w:after="0"/>
              <w:ind w:left="-11"/>
              <w:rPr>
                <w:sz w:val="16"/>
                <w:szCs w:val="16"/>
              </w:rPr>
            </w:pPr>
          </w:p>
        </w:tc>
        <w:tc>
          <w:tcPr>
            <w:tcW w:w="284" w:type="dxa"/>
            <w:vMerge w:val="restart"/>
            <w:tcBorders>
              <w:top w:val="nil"/>
              <w:left w:val="single" w:sz="4" w:space="0" w:color="3366FF"/>
              <w:right w:val="single" w:sz="4" w:space="0" w:color="3366FF"/>
            </w:tcBorders>
          </w:tcPr>
          <w:p w14:paraId="5B36DC34" w14:textId="77777777" w:rsidR="006D4D9D" w:rsidRPr="00984B47" w:rsidRDefault="006D4D9D" w:rsidP="00115EBF">
            <w:pPr>
              <w:spacing w:before="0" w:after="0"/>
              <w:ind w:left="-11"/>
              <w:rPr>
                <w:sz w:val="16"/>
                <w:szCs w:val="16"/>
              </w:rPr>
            </w:pPr>
          </w:p>
        </w:tc>
        <w:tc>
          <w:tcPr>
            <w:tcW w:w="283" w:type="dxa"/>
            <w:vMerge w:val="restart"/>
            <w:tcBorders>
              <w:top w:val="nil"/>
              <w:left w:val="single" w:sz="4" w:space="0" w:color="3366FF"/>
              <w:right w:val="single" w:sz="4" w:space="0" w:color="3366FF"/>
            </w:tcBorders>
          </w:tcPr>
          <w:p w14:paraId="62AA9BBE" w14:textId="77777777" w:rsidR="006D4D9D" w:rsidRPr="00984B47" w:rsidRDefault="006D4D9D" w:rsidP="00115EBF">
            <w:pPr>
              <w:spacing w:before="0" w:after="0"/>
              <w:ind w:left="-11"/>
              <w:rPr>
                <w:sz w:val="16"/>
                <w:szCs w:val="16"/>
              </w:rPr>
            </w:pPr>
          </w:p>
        </w:tc>
        <w:tc>
          <w:tcPr>
            <w:tcW w:w="283" w:type="dxa"/>
            <w:vMerge w:val="restart"/>
            <w:tcBorders>
              <w:top w:val="nil"/>
              <w:left w:val="single" w:sz="4" w:space="0" w:color="3366FF"/>
              <w:right w:val="single" w:sz="4" w:space="0" w:color="3366FF"/>
            </w:tcBorders>
          </w:tcPr>
          <w:p w14:paraId="4625B498" w14:textId="77777777" w:rsidR="006D4D9D" w:rsidRPr="00984B47" w:rsidRDefault="006D4D9D" w:rsidP="00115EBF">
            <w:pPr>
              <w:spacing w:before="0" w:after="0"/>
              <w:ind w:left="-11"/>
              <w:rPr>
                <w:sz w:val="16"/>
                <w:szCs w:val="16"/>
              </w:rPr>
            </w:pPr>
          </w:p>
        </w:tc>
        <w:tc>
          <w:tcPr>
            <w:tcW w:w="284" w:type="dxa"/>
            <w:vMerge w:val="restart"/>
            <w:tcBorders>
              <w:top w:val="nil"/>
              <w:left w:val="single" w:sz="4" w:space="0" w:color="3366FF"/>
              <w:right w:val="single" w:sz="4" w:space="0" w:color="3366FF"/>
            </w:tcBorders>
          </w:tcPr>
          <w:p w14:paraId="2F8E0CA0" w14:textId="77777777" w:rsidR="006D4D9D" w:rsidRPr="00984B47" w:rsidRDefault="006D4D9D" w:rsidP="00115EBF">
            <w:pPr>
              <w:spacing w:before="0" w:after="0"/>
              <w:ind w:left="-11"/>
              <w:rPr>
                <w:sz w:val="16"/>
                <w:szCs w:val="16"/>
              </w:rPr>
            </w:pPr>
          </w:p>
        </w:tc>
        <w:tc>
          <w:tcPr>
            <w:tcW w:w="284" w:type="dxa"/>
            <w:vMerge w:val="restart"/>
            <w:tcBorders>
              <w:top w:val="nil"/>
              <w:left w:val="single" w:sz="4" w:space="0" w:color="3366FF"/>
              <w:right w:val="single" w:sz="4" w:space="0" w:color="3366FF"/>
            </w:tcBorders>
          </w:tcPr>
          <w:p w14:paraId="7787350E" w14:textId="77777777" w:rsidR="006D4D9D" w:rsidRPr="00984B47" w:rsidRDefault="006D4D9D" w:rsidP="00115EBF">
            <w:pPr>
              <w:spacing w:before="0" w:after="0"/>
              <w:ind w:left="-11"/>
              <w:rPr>
                <w:sz w:val="16"/>
                <w:szCs w:val="16"/>
              </w:rPr>
            </w:pPr>
          </w:p>
        </w:tc>
        <w:tc>
          <w:tcPr>
            <w:tcW w:w="283" w:type="dxa"/>
            <w:vMerge w:val="restart"/>
            <w:tcBorders>
              <w:top w:val="nil"/>
              <w:left w:val="single" w:sz="4" w:space="0" w:color="3366FF"/>
              <w:right w:val="single" w:sz="4" w:space="0" w:color="3366FF"/>
            </w:tcBorders>
          </w:tcPr>
          <w:p w14:paraId="190B5F9C" w14:textId="77777777" w:rsidR="006D4D9D" w:rsidRPr="00984B47" w:rsidRDefault="006D4D9D" w:rsidP="00115EBF">
            <w:pPr>
              <w:spacing w:before="0" w:after="0"/>
              <w:ind w:left="-11"/>
              <w:rPr>
                <w:sz w:val="16"/>
                <w:szCs w:val="16"/>
              </w:rPr>
            </w:pPr>
          </w:p>
        </w:tc>
        <w:tc>
          <w:tcPr>
            <w:tcW w:w="285" w:type="dxa"/>
            <w:vMerge w:val="restart"/>
            <w:tcBorders>
              <w:top w:val="nil"/>
              <w:left w:val="single" w:sz="4" w:space="0" w:color="3366FF"/>
              <w:right w:val="single" w:sz="4" w:space="0" w:color="3366FF"/>
            </w:tcBorders>
          </w:tcPr>
          <w:p w14:paraId="645FB185" w14:textId="77777777" w:rsidR="006D4D9D" w:rsidRPr="00984B47" w:rsidRDefault="006D4D9D" w:rsidP="00115EBF">
            <w:pPr>
              <w:spacing w:before="0" w:after="0"/>
              <w:ind w:left="-11"/>
              <w:rPr>
                <w:sz w:val="16"/>
                <w:szCs w:val="16"/>
              </w:rPr>
            </w:pPr>
          </w:p>
        </w:tc>
      </w:tr>
      <w:tr w:rsidR="006D4D9D" w:rsidRPr="00152E18" w14:paraId="085EBCD1" w14:textId="77777777" w:rsidTr="003412F4">
        <w:trPr>
          <w:trHeight w:val="378"/>
        </w:trPr>
        <w:tc>
          <w:tcPr>
            <w:tcW w:w="6238" w:type="dxa"/>
            <w:vMerge/>
            <w:tcBorders>
              <w:left w:val="nil"/>
              <w:bottom w:val="nil"/>
              <w:right w:val="single" w:sz="4" w:space="0" w:color="3366FF"/>
            </w:tcBorders>
          </w:tcPr>
          <w:p w14:paraId="3FD10822" w14:textId="77777777" w:rsidR="006D4D9D" w:rsidRDefault="006D4D9D" w:rsidP="00115EBF">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3366FF"/>
            </w:tcBorders>
          </w:tcPr>
          <w:p w14:paraId="5131E9A0" w14:textId="77777777" w:rsidR="006D4D9D" w:rsidRPr="00984B47" w:rsidRDefault="006D4D9D" w:rsidP="00115EBF">
            <w:pPr>
              <w:spacing w:before="0" w:after="0"/>
              <w:ind w:left="-11"/>
              <w:rPr>
                <w:sz w:val="16"/>
                <w:szCs w:val="16"/>
              </w:rPr>
            </w:pPr>
          </w:p>
        </w:tc>
        <w:tc>
          <w:tcPr>
            <w:tcW w:w="283" w:type="dxa"/>
            <w:tcBorders>
              <w:top w:val="thinThickThinSmallGap" w:sz="48" w:space="0" w:color="3366FF"/>
              <w:left w:val="single" w:sz="4" w:space="0" w:color="3366FF"/>
              <w:bottom w:val="nil"/>
              <w:right w:val="single" w:sz="4" w:space="0" w:color="3366FF"/>
            </w:tcBorders>
          </w:tcPr>
          <w:p w14:paraId="02DC80D6" w14:textId="77777777" w:rsidR="006D4D9D" w:rsidRPr="00984B47" w:rsidRDefault="006D4D9D" w:rsidP="00115EBF">
            <w:pPr>
              <w:spacing w:before="0" w:after="0"/>
              <w:ind w:left="-11"/>
              <w:rPr>
                <w:sz w:val="16"/>
                <w:szCs w:val="16"/>
              </w:rPr>
            </w:pPr>
          </w:p>
        </w:tc>
        <w:tc>
          <w:tcPr>
            <w:tcW w:w="284" w:type="dxa"/>
            <w:vMerge/>
            <w:tcBorders>
              <w:left w:val="single" w:sz="4" w:space="0" w:color="3366FF"/>
              <w:bottom w:val="nil"/>
              <w:right w:val="single" w:sz="4" w:space="0" w:color="3366FF"/>
            </w:tcBorders>
          </w:tcPr>
          <w:p w14:paraId="60473FD2" w14:textId="77777777" w:rsidR="006D4D9D" w:rsidRPr="00984B47" w:rsidRDefault="006D4D9D" w:rsidP="00115EBF">
            <w:pPr>
              <w:spacing w:before="0" w:after="0"/>
              <w:ind w:left="-11"/>
              <w:rPr>
                <w:sz w:val="16"/>
                <w:szCs w:val="16"/>
              </w:rPr>
            </w:pPr>
          </w:p>
        </w:tc>
        <w:tc>
          <w:tcPr>
            <w:tcW w:w="283" w:type="dxa"/>
            <w:vMerge/>
            <w:tcBorders>
              <w:left w:val="single" w:sz="4" w:space="0" w:color="3366FF"/>
              <w:bottom w:val="nil"/>
              <w:right w:val="single" w:sz="4" w:space="0" w:color="3366FF"/>
            </w:tcBorders>
          </w:tcPr>
          <w:p w14:paraId="28685055" w14:textId="77777777" w:rsidR="006D4D9D" w:rsidRPr="00984B47" w:rsidRDefault="006D4D9D" w:rsidP="00115EBF">
            <w:pPr>
              <w:spacing w:before="0" w:after="0"/>
              <w:ind w:left="-11"/>
              <w:rPr>
                <w:sz w:val="16"/>
                <w:szCs w:val="16"/>
              </w:rPr>
            </w:pPr>
          </w:p>
        </w:tc>
        <w:tc>
          <w:tcPr>
            <w:tcW w:w="283" w:type="dxa"/>
            <w:vMerge/>
            <w:tcBorders>
              <w:left w:val="single" w:sz="4" w:space="0" w:color="3366FF"/>
              <w:bottom w:val="nil"/>
              <w:right w:val="single" w:sz="4" w:space="0" w:color="3366FF"/>
            </w:tcBorders>
          </w:tcPr>
          <w:p w14:paraId="44DE8CB8" w14:textId="77777777" w:rsidR="006D4D9D" w:rsidRPr="00984B47" w:rsidRDefault="006D4D9D" w:rsidP="00115EBF">
            <w:pPr>
              <w:spacing w:before="0" w:after="0"/>
              <w:ind w:left="-11"/>
              <w:rPr>
                <w:sz w:val="16"/>
                <w:szCs w:val="16"/>
              </w:rPr>
            </w:pPr>
          </w:p>
        </w:tc>
        <w:tc>
          <w:tcPr>
            <w:tcW w:w="284" w:type="dxa"/>
            <w:vMerge/>
            <w:tcBorders>
              <w:left w:val="single" w:sz="4" w:space="0" w:color="3366FF"/>
              <w:bottom w:val="nil"/>
              <w:right w:val="single" w:sz="4" w:space="0" w:color="3366FF"/>
            </w:tcBorders>
          </w:tcPr>
          <w:p w14:paraId="28C93F65" w14:textId="77777777" w:rsidR="006D4D9D" w:rsidRPr="00984B47" w:rsidRDefault="006D4D9D" w:rsidP="00115EBF">
            <w:pPr>
              <w:spacing w:before="0" w:after="0"/>
              <w:ind w:left="-11"/>
              <w:rPr>
                <w:sz w:val="16"/>
                <w:szCs w:val="16"/>
              </w:rPr>
            </w:pPr>
          </w:p>
        </w:tc>
        <w:tc>
          <w:tcPr>
            <w:tcW w:w="284" w:type="dxa"/>
            <w:vMerge/>
            <w:tcBorders>
              <w:left w:val="single" w:sz="4" w:space="0" w:color="3366FF"/>
              <w:bottom w:val="nil"/>
              <w:right w:val="single" w:sz="4" w:space="0" w:color="3366FF"/>
            </w:tcBorders>
          </w:tcPr>
          <w:p w14:paraId="4B91C348" w14:textId="77777777" w:rsidR="006D4D9D" w:rsidRPr="00984B47" w:rsidRDefault="006D4D9D" w:rsidP="00115EBF">
            <w:pPr>
              <w:spacing w:before="0" w:after="0"/>
              <w:ind w:left="-11"/>
              <w:rPr>
                <w:sz w:val="16"/>
                <w:szCs w:val="16"/>
              </w:rPr>
            </w:pPr>
          </w:p>
        </w:tc>
        <w:tc>
          <w:tcPr>
            <w:tcW w:w="283" w:type="dxa"/>
            <w:vMerge/>
            <w:tcBorders>
              <w:left w:val="single" w:sz="4" w:space="0" w:color="3366FF"/>
              <w:bottom w:val="nil"/>
              <w:right w:val="single" w:sz="4" w:space="0" w:color="3366FF"/>
            </w:tcBorders>
          </w:tcPr>
          <w:p w14:paraId="31FD86D6" w14:textId="77777777" w:rsidR="006D4D9D" w:rsidRPr="00984B47" w:rsidRDefault="006D4D9D" w:rsidP="00115EBF">
            <w:pPr>
              <w:spacing w:before="0" w:after="0"/>
              <w:ind w:left="-11"/>
              <w:rPr>
                <w:sz w:val="16"/>
                <w:szCs w:val="16"/>
              </w:rPr>
            </w:pPr>
          </w:p>
        </w:tc>
        <w:tc>
          <w:tcPr>
            <w:tcW w:w="285" w:type="dxa"/>
            <w:vMerge/>
            <w:tcBorders>
              <w:left w:val="single" w:sz="4" w:space="0" w:color="3366FF"/>
              <w:bottom w:val="nil"/>
              <w:right w:val="single" w:sz="4" w:space="0" w:color="3366FF"/>
            </w:tcBorders>
          </w:tcPr>
          <w:p w14:paraId="662A85E0" w14:textId="77777777" w:rsidR="006D4D9D" w:rsidRPr="00984B47" w:rsidRDefault="006D4D9D" w:rsidP="00115EBF">
            <w:pPr>
              <w:spacing w:before="0" w:after="0"/>
              <w:ind w:left="-11"/>
              <w:rPr>
                <w:sz w:val="16"/>
                <w:szCs w:val="16"/>
              </w:rPr>
            </w:pPr>
          </w:p>
        </w:tc>
      </w:tr>
      <w:tr w:rsidR="00115EBF" w:rsidRPr="00152E18" w14:paraId="1EB4437A" w14:textId="77777777" w:rsidTr="003412F4">
        <w:trPr>
          <w:trHeight w:val="221"/>
        </w:trPr>
        <w:tc>
          <w:tcPr>
            <w:tcW w:w="6238" w:type="dxa"/>
            <w:vMerge w:val="restart"/>
            <w:tcBorders>
              <w:top w:val="nil"/>
              <w:left w:val="nil"/>
              <w:right w:val="single" w:sz="4" w:space="0" w:color="3366FF"/>
            </w:tcBorders>
          </w:tcPr>
          <w:p w14:paraId="112A5DF2" w14:textId="677983A1" w:rsidR="00115EBF" w:rsidRDefault="00115EBF" w:rsidP="006D4D9D">
            <w:pPr>
              <w:pStyle w:val="ListParagraph"/>
              <w:numPr>
                <w:ilvl w:val="0"/>
                <w:numId w:val="28"/>
              </w:numPr>
              <w:ind w:left="743" w:hanging="284"/>
              <w:contextualSpacing w:val="0"/>
              <w:jc w:val="left"/>
            </w:pPr>
            <w:r>
              <w:t>Prepare and consolidate baseline data collection and ensure entry in TMIS and M&amp;E Framework</w:t>
            </w:r>
          </w:p>
        </w:tc>
        <w:tc>
          <w:tcPr>
            <w:tcW w:w="284" w:type="dxa"/>
            <w:tcBorders>
              <w:top w:val="nil"/>
              <w:left w:val="single" w:sz="4" w:space="0" w:color="3366FF"/>
              <w:bottom w:val="thinThickThinSmallGap" w:sz="48" w:space="0" w:color="3366FF"/>
              <w:right w:val="single" w:sz="4" w:space="0" w:color="0000FF"/>
            </w:tcBorders>
          </w:tcPr>
          <w:p w14:paraId="2162BF6B"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64562FAE"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9700ECF"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AF50AEB"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65B0AC8A"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5D81BCD"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EAF5002"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69D099B" w14:textId="77777777" w:rsidR="00115EBF" w:rsidRPr="00984B47" w:rsidRDefault="00115EBF"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018677F3" w14:textId="77777777" w:rsidR="00115EBF" w:rsidRPr="00984B47" w:rsidRDefault="00115EBF" w:rsidP="00212261">
            <w:pPr>
              <w:spacing w:before="0" w:after="0"/>
              <w:ind w:left="-11"/>
              <w:rPr>
                <w:sz w:val="16"/>
                <w:szCs w:val="16"/>
              </w:rPr>
            </w:pPr>
          </w:p>
        </w:tc>
      </w:tr>
      <w:tr w:rsidR="00115EBF" w:rsidRPr="00152E18" w14:paraId="198075FD" w14:textId="77777777" w:rsidTr="003412F4">
        <w:trPr>
          <w:trHeight w:val="34"/>
        </w:trPr>
        <w:tc>
          <w:tcPr>
            <w:tcW w:w="6238" w:type="dxa"/>
            <w:vMerge/>
            <w:tcBorders>
              <w:left w:val="nil"/>
              <w:bottom w:val="nil"/>
              <w:right w:val="single" w:sz="4" w:space="0" w:color="3366FF"/>
            </w:tcBorders>
          </w:tcPr>
          <w:p w14:paraId="71171DD0" w14:textId="77777777" w:rsidR="00115EBF" w:rsidRDefault="00115EBF" w:rsidP="002D63E1">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1EDF99DE"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031EA34F"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96BB004"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34C6AA3"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5A3D03F"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5878E357"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0B6745F"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29B2C56" w14:textId="77777777" w:rsidR="00115EBF" w:rsidRPr="00984B47" w:rsidRDefault="00115EBF"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7600D88C" w14:textId="77777777" w:rsidR="00115EBF" w:rsidRPr="00984B47" w:rsidRDefault="00115EBF" w:rsidP="00212261">
            <w:pPr>
              <w:spacing w:before="0" w:after="0"/>
              <w:ind w:left="-11"/>
              <w:rPr>
                <w:sz w:val="16"/>
                <w:szCs w:val="16"/>
              </w:rPr>
            </w:pPr>
          </w:p>
        </w:tc>
      </w:tr>
      <w:tr w:rsidR="00C03B00" w:rsidRPr="00152E18" w14:paraId="728F5119" w14:textId="77777777" w:rsidTr="003412F4">
        <w:trPr>
          <w:trHeight w:val="94"/>
        </w:trPr>
        <w:tc>
          <w:tcPr>
            <w:tcW w:w="6238" w:type="dxa"/>
            <w:vMerge w:val="restart"/>
            <w:tcBorders>
              <w:top w:val="nil"/>
              <w:left w:val="nil"/>
              <w:right w:val="single" w:sz="4" w:space="0" w:color="3366FF"/>
            </w:tcBorders>
          </w:tcPr>
          <w:p w14:paraId="5A4CBAC1" w14:textId="2FE8DE16" w:rsidR="00C03B00" w:rsidRDefault="00C03B00" w:rsidP="0059196D">
            <w:pPr>
              <w:pStyle w:val="ListParagraph"/>
              <w:numPr>
                <w:ilvl w:val="0"/>
                <w:numId w:val="28"/>
              </w:numPr>
              <w:ind w:left="743" w:hanging="284"/>
              <w:contextualSpacing w:val="0"/>
              <w:jc w:val="left"/>
            </w:pPr>
            <w:r>
              <w:t xml:space="preserve">Establish and implement routine TVET data collection </w:t>
            </w:r>
            <w:r w:rsidR="0059196D">
              <w:t>processes</w:t>
            </w:r>
            <w:r>
              <w:t xml:space="preserve"> in relation to indicators identified in the M&amp;E Framework</w:t>
            </w:r>
          </w:p>
        </w:tc>
        <w:tc>
          <w:tcPr>
            <w:tcW w:w="284" w:type="dxa"/>
            <w:tcBorders>
              <w:top w:val="nil"/>
              <w:left w:val="single" w:sz="4" w:space="0" w:color="3366FF"/>
              <w:bottom w:val="thinThickThinSmallGap" w:sz="48" w:space="0" w:color="3366FF"/>
              <w:right w:val="single" w:sz="4" w:space="0" w:color="3366FF"/>
            </w:tcBorders>
          </w:tcPr>
          <w:p w14:paraId="4CA576BF" w14:textId="77777777" w:rsidR="00C03B00" w:rsidRPr="00984B47" w:rsidRDefault="00C03B00" w:rsidP="00212261">
            <w:pPr>
              <w:spacing w:before="0" w:after="0"/>
              <w:ind w:left="-11"/>
              <w:rPr>
                <w:sz w:val="16"/>
                <w:szCs w:val="16"/>
              </w:rPr>
            </w:pPr>
          </w:p>
        </w:tc>
        <w:tc>
          <w:tcPr>
            <w:tcW w:w="283" w:type="dxa"/>
            <w:tcBorders>
              <w:top w:val="nil"/>
              <w:left w:val="single" w:sz="4" w:space="0" w:color="3366FF"/>
              <w:bottom w:val="thinThickThinSmallGap" w:sz="48" w:space="0" w:color="3366FF"/>
              <w:right w:val="single" w:sz="4" w:space="0" w:color="3366FF"/>
            </w:tcBorders>
          </w:tcPr>
          <w:p w14:paraId="02C9682A" w14:textId="77777777" w:rsidR="00C03B00" w:rsidRPr="00984B47" w:rsidRDefault="00C03B00" w:rsidP="00212261">
            <w:pPr>
              <w:spacing w:before="0" w:after="0"/>
              <w:ind w:left="-11"/>
              <w:rPr>
                <w:sz w:val="16"/>
                <w:szCs w:val="16"/>
              </w:rPr>
            </w:pPr>
          </w:p>
        </w:tc>
        <w:tc>
          <w:tcPr>
            <w:tcW w:w="284" w:type="dxa"/>
            <w:tcBorders>
              <w:top w:val="nil"/>
              <w:left w:val="single" w:sz="4" w:space="0" w:color="3366FF"/>
              <w:bottom w:val="thinThickThinSmallGap" w:sz="48" w:space="0" w:color="3366FF"/>
              <w:right w:val="single" w:sz="4" w:space="0" w:color="3366FF"/>
            </w:tcBorders>
          </w:tcPr>
          <w:p w14:paraId="03ADC085" w14:textId="77777777" w:rsidR="00C03B00" w:rsidRPr="00984B47" w:rsidRDefault="00C03B00" w:rsidP="00212261">
            <w:pPr>
              <w:spacing w:before="0" w:after="0"/>
              <w:ind w:left="-11"/>
              <w:rPr>
                <w:sz w:val="16"/>
                <w:szCs w:val="16"/>
              </w:rPr>
            </w:pPr>
          </w:p>
        </w:tc>
        <w:tc>
          <w:tcPr>
            <w:tcW w:w="283" w:type="dxa"/>
            <w:tcBorders>
              <w:top w:val="nil"/>
              <w:left w:val="single" w:sz="4" w:space="0" w:color="3366FF"/>
              <w:bottom w:val="thinThickThinSmallGap" w:sz="48" w:space="0" w:color="3366FF"/>
              <w:right w:val="single" w:sz="4" w:space="0" w:color="3366FF"/>
            </w:tcBorders>
          </w:tcPr>
          <w:p w14:paraId="3BBF56B5" w14:textId="77777777" w:rsidR="00C03B00" w:rsidRPr="00984B47" w:rsidRDefault="00C03B00" w:rsidP="00212261">
            <w:pPr>
              <w:spacing w:before="0" w:after="0"/>
              <w:ind w:left="-11"/>
              <w:rPr>
                <w:sz w:val="16"/>
                <w:szCs w:val="16"/>
              </w:rPr>
            </w:pPr>
          </w:p>
        </w:tc>
        <w:tc>
          <w:tcPr>
            <w:tcW w:w="283" w:type="dxa"/>
            <w:tcBorders>
              <w:top w:val="nil"/>
              <w:left w:val="single" w:sz="4" w:space="0" w:color="3366FF"/>
              <w:bottom w:val="thinThickThinSmallGap" w:sz="48" w:space="0" w:color="3366FF"/>
              <w:right w:val="single" w:sz="4" w:space="0" w:color="3366FF"/>
            </w:tcBorders>
          </w:tcPr>
          <w:p w14:paraId="366E248D" w14:textId="77777777" w:rsidR="00C03B00" w:rsidRPr="00984B47" w:rsidRDefault="00C03B00" w:rsidP="00212261">
            <w:pPr>
              <w:spacing w:before="0" w:after="0"/>
              <w:ind w:left="-11"/>
              <w:rPr>
                <w:sz w:val="16"/>
                <w:szCs w:val="16"/>
              </w:rPr>
            </w:pPr>
          </w:p>
        </w:tc>
        <w:tc>
          <w:tcPr>
            <w:tcW w:w="284" w:type="dxa"/>
            <w:tcBorders>
              <w:top w:val="nil"/>
              <w:left w:val="single" w:sz="4" w:space="0" w:color="3366FF"/>
              <w:bottom w:val="thinThickThinSmallGap" w:sz="48" w:space="0" w:color="3366FF"/>
              <w:right w:val="single" w:sz="4" w:space="0" w:color="3366FF"/>
            </w:tcBorders>
          </w:tcPr>
          <w:p w14:paraId="3A7D18BA" w14:textId="77777777" w:rsidR="00C03B00" w:rsidRPr="00984B47" w:rsidRDefault="00C03B00" w:rsidP="00212261">
            <w:pPr>
              <w:spacing w:before="0" w:after="0"/>
              <w:ind w:left="-11"/>
              <w:rPr>
                <w:sz w:val="16"/>
                <w:szCs w:val="16"/>
              </w:rPr>
            </w:pPr>
          </w:p>
        </w:tc>
        <w:tc>
          <w:tcPr>
            <w:tcW w:w="284" w:type="dxa"/>
            <w:tcBorders>
              <w:top w:val="nil"/>
              <w:left w:val="single" w:sz="4" w:space="0" w:color="3366FF"/>
              <w:bottom w:val="thinThickThinSmallGap" w:sz="48" w:space="0" w:color="3366FF"/>
              <w:right w:val="single" w:sz="4" w:space="0" w:color="3366FF"/>
            </w:tcBorders>
          </w:tcPr>
          <w:p w14:paraId="6C2A79CD" w14:textId="77777777" w:rsidR="00C03B00" w:rsidRPr="00984B47" w:rsidRDefault="00C03B00" w:rsidP="00212261">
            <w:pPr>
              <w:spacing w:before="0" w:after="0"/>
              <w:ind w:left="-11"/>
              <w:rPr>
                <w:sz w:val="16"/>
                <w:szCs w:val="16"/>
              </w:rPr>
            </w:pPr>
          </w:p>
        </w:tc>
        <w:tc>
          <w:tcPr>
            <w:tcW w:w="283" w:type="dxa"/>
            <w:tcBorders>
              <w:top w:val="nil"/>
              <w:left w:val="single" w:sz="4" w:space="0" w:color="3366FF"/>
              <w:bottom w:val="thinThickThinSmallGap" w:sz="48" w:space="0" w:color="3366FF"/>
              <w:right w:val="single" w:sz="4" w:space="0" w:color="3366FF"/>
            </w:tcBorders>
          </w:tcPr>
          <w:p w14:paraId="348F8C55" w14:textId="77777777" w:rsidR="00C03B00" w:rsidRPr="00984B47" w:rsidRDefault="00C03B00" w:rsidP="00212261">
            <w:pPr>
              <w:spacing w:before="0" w:after="0"/>
              <w:ind w:left="-11"/>
              <w:rPr>
                <w:sz w:val="16"/>
                <w:szCs w:val="16"/>
              </w:rPr>
            </w:pPr>
          </w:p>
        </w:tc>
        <w:tc>
          <w:tcPr>
            <w:tcW w:w="285" w:type="dxa"/>
            <w:tcBorders>
              <w:top w:val="nil"/>
              <w:left w:val="single" w:sz="4" w:space="0" w:color="3366FF"/>
              <w:bottom w:val="thinThickThinSmallGap" w:sz="48" w:space="0" w:color="3366FF"/>
              <w:right w:val="single" w:sz="4" w:space="0" w:color="3366FF"/>
            </w:tcBorders>
          </w:tcPr>
          <w:p w14:paraId="02077139" w14:textId="77777777" w:rsidR="00C03B00" w:rsidRPr="00984B47" w:rsidRDefault="00C03B00" w:rsidP="00212261">
            <w:pPr>
              <w:spacing w:before="0" w:after="0"/>
              <w:ind w:left="-11"/>
              <w:rPr>
                <w:sz w:val="16"/>
                <w:szCs w:val="16"/>
              </w:rPr>
            </w:pPr>
          </w:p>
        </w:tc>
      </w:tr>
      <w:tr w:rsidR="00C03B00" w:rsidRPr="00152E18" w14:paraId="10D372CE" w14:textId="77777777" w:rsidTr="003412F4">
        <w:trPr>
          <w:trHeight w:val="565"/>
        </w:trPr>
        <w:tc>
          <w:tcPr>
            <w:tcW w:w="6238" w:type="dxa"/>
            <w:vMerge/>
            <w:tcBorders>
              <w:left w:val="nil"/>
              <w:bottom w:val="nil"/>
              <w:right w:val="single" w:sz="4" w:space="0" w:color="3366FF"/>
            </w:tcBorders>
          </w:tcPr>
          <w:p w14:paraId="4D18E9D5" w14:textId="77777777" w:rsidR="00C03B00" w:rsidRDefault="00C03B00" w:rsidP="006D4D9D">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3366FF"/>
            </w:tcBorders>
          </w:tcPr>
          <w:p w14:paraId="4FCF62A6" w14:textId="77777777" w:rsidR="00C03B00" w:rsidRPr="00984B47" w:rsidRDefault="00C03B00" w:rsidP="00212261">
            <w:pPr>
              <w:spacing w:before="0" w:after="0"/>
              <w:ind w:left="-11"/>
              <w:rPr>
                <w:sz w:val="16"/>
                <w:szCs w:val="16"/>
              </w:rPr>
            </w:pPr>
          </w:p>
        </w:tc>
        <w:tc>
          <w:tcPr>
            <w:tcW w:w="283" w:type="dxa"/>
            <w:tcBorders>
              <w:top w:val="thinThickThinSmallGap" w:sz="48" w:space="0" w:color="3366FF"/>
              <w:left w:val="single" w:sz="4" w:space="0" w:color="3366FF"/>
              <w:bottom w:val="nil"/>
              <w:right w:val="single" w:sz="4" w:space="0" w:color="3366FF"/>
            </w:tcBorders>
          </w:tcPr>
          <w:p w14:paraId="62086513" w14:textId="77777777" w:rsidR="00C03B00" w:rsidRPr="00984B47" w:rsidRDefault="00C03B00" w:rsidP="00212261">
            <w:pPr>
              <w:spacing w:before="0" w:after="0"/>
              <w:ind w:left="-11"/>
              <w:rPr>
                <w:sz w:val="16"/>
                <w:szCs w:val="16"/>
              </w:rPr>
            </w:pPr>
          </w:p>
        </w:tc>
        <w:tc>
          <w:tcPr>
            <w:tcW w:w="284" w:type="dxa"/>
            <w:tcBorders>
              <w:top w:val="thinThickThinSmallGap" w:sz="48" w:space="0" w:color="3366FF"/>
              <w:left w:val="single" w:sz="4" w:space="0" w:color="3366FF"/>
              <w:bottom w:val="nil"/>
              <w:right w:val="single" w:sz="4" w:space="0" w:color="3366FF"/>
            </w:tcBorders>
          </w:tcPr>
          <w:p w14:paraId="771A83E2" w14:textId="77777777" w:rsidR="00C03B00" w:rsidRPr="00984B47" w:rsidRDefault="00C03B00" w:rsidP="00212261">
            <w:pPr>
              <w:spacing w:before="0" w:after="0"/>
              <w:ind w:left="-11"/>
              <w:rPr>
                <w:sz w:val="16"/>
                <w:szCs w:val="16"/>
              </w:rPr>
            </w:pPr>
          </w:p>
        </w:tc>
        <w:tc>
          <w:tcPr>
            <w:tcW w:w="283" w:type="dxa"/>
            <w:tcBorders>
              <w:top w:val="thinThickThinSmallGap" w:sz="48" w:space="0" w:color="3366FF"/>
              <w:left w:val="single" w:sz="4" w:space="0" w:color="3366FF"/>
              <w:bottom w:val="nil"/>
              <w:right w:val="single" w:sz="4" w:space="0" w:color="3366FF"/>
            </w:tcBorders>
          </w:tcPr>
          <w:p w14:paraId="4F426A37" w14:textId="77777777" w:rsidR="00C03B00" w:rsidRPr="00984B47" w:rsidRDefault="00C03B00" w:rsidP="00212261">
            <w:pPr>
              <w:spacing w:before="0" w:after="0"/>
              <w:ind w:left="-11"/>
              <w:rPr>
                <w:sz w:val="16"/>
                <w:szCs w:val="16"/>
              </w:rPr>
            </w:pPr>
          </w:p>
        </w:tc>
        <w:tc>
          <w:tcPr>
            <w:tcW w:w="283" w:type="dxa"/>
            <w:tcBorders>
              <w:top w:val="thinThickThinSmallGap" w:sz="48" w:space="0" w:color="3366FF"/>
              <w:left w:val="single" w:sz="4" w:space="0" w:color="3366FF"/>
              <w:bottom w:val="nil"/>
              <w:right w:val="single" w:sz="4" w:space="0" w:color="3366FF"/>
            </w:tcBorders>
          </w:tcPr>
          <w:p w14:paraId="41F19639" w14:textId="77777777" w:rsidR="00C03B00" w:rsidRPr="00984B47" w:rsidRDefault="00C03B00" w:rsidP="00212261">
            <w:pPr>
              <w:spacing w:before="0" w:after="0"/>
              <w:ind w:left="-11"/>
              <w:rPr>
                <w:sz w:val="16"/>
                <w:szCs w:val="16"/>
              </w:rPr>
            </w:pPr>
          </w:p>
        </w:tc>
        <w:tc>
          <w:tcPr>
            <w:tcW w:w="284" w:type="dxa"/>
            <w:tcBorders>
              <w:top w:val="thinThickThinSmallGap" w:sz="48" w:space="0" w:color="3366FF"/>
              <w:left w:val="single" w:sz="4" w:space="0" w:color="3366FF"/>
              <w:bottom w:val="nil"/>
              <w:right w:val="single" w:sz="4" w:space="0" w:color="3366FF"/>
            </w:tcBorders>
          </w:tcPr>
          <w:p w14:paraId="6C1CE52B" w14:textId="77777777" w:rsidR="00C03B00" w:rsidRPr="00984B47" w:rsidRDefault="00C03B00" w:rsidP="00212261">
            <w:pPr>
              <w:spacing w:before="0" w:after="0"/>
              <w:ind w:left="-11"/>
              <w:rPr>
                <w:sz w:val="16"/>
                <w:szCs w:val="16"/>
              </w:rPr>
            </w:pPr>
          </w:p>
        </w:tc>
        <w:tc>
          <w:tcPr>
            <w:tcW w:w="284" w:type="dxa"/>
            <w:tcBorders>
              <w:top w:val="thinThickThinSmallGap" w:sz="48" w:space="0" w:color="3366FF"/>
              <w:left w:val="single" w:sz="4" w:space="0" w:color="3366FF"/>
              <w:bottom w:val="nil"/>
              <w:right w:val="single" w:sz="4" w:space="0" w:color="3366FF"/>
            </w:tcBorders>
          </w:tcPr>
          <w:p w14:paraId="2B908202" w14:textId="77777777" w:rsidR="00C03B00" w:rsidRPr="00984B47" w:rsidRDefault="00C03B00" w:rsidP="00212261">
            <w:pPr>
              <w:spacing w:before="0" w:after="0"/>
              <w:ind w:left="-11"/>
              <w:rPr>
                <w:sz w:val="16"/>
                <w:szCs w:val="16"/>
              </w:rPr>
            </w:pPr>
          </w:p>
        </w:tc>
        <w:tc>
          <w:tcPr>
            <w:tcW w:w="283" w:type="dxa"/>
            <w:tcBorders>
              <w:top w:val="thinThickThinSmallGap" w:sz="48" w:space="0" w:color="3366FF"/>
              <w:left w:val="single" w:sz="4" w:space="0" w:color="3366FF"/>
              <w:bottom w:val="nil"/>
              <w:right w:val="single" w:sz="4" w:space="0" w:color="3366FF"/>
            </w:tcBorders>
          </w:tcPr>
          <w:p w14:paraId="61D8430B" w14:textId="77777777" w:rsidR="00C03B00" w:rsidRPr="00984B47" w:rsidRDefault="00C03B00" w:rsidP="00212261">
            <w:pPr>
              <w:spacing w:before="0" w:after="0"/>
              <w:ind w:left="-11"/>
              <w:rPr>
                <w:sz w:val="16"/>
                <w:szCs w:val="16"/>
              </w:rPr>
            </w:pPr>
          </w:p>
        </w:tc>
        <w:tc>
          <w:tcPr>
            <w:tcW w:w="285" w:type="dxa"/>
            <w:tcBorders>
              <w:top w:val="thinThickThinSmallGap" w:sz="48" w:space="0" w:color="3366FF"/>
              <w:left w:val="single" w:sz="4" w:space="0" w:color="3366FF"/>
              <w:bottom w:val="nil"/>
              <w:right w:val="single" w:sz="4" w:space="0" w:color="3366FF"/>
            </w:tcBorders>
          </w:tcPr>
          <w:p w14:paraId="4090DF4D" w14:textId="77777777" w:rsidR="00C03B00" w:rsidRPr="00984B47" w:rsidRDefault="00C03B00" w:rsidP="00212261">
            <w:pPr>
              <w:spacing w:before="0" w:after="0"/>
              <w:ind w:left="-11"/>
              <w:rPr>
                <w:sz w:val="16"/>
                <w:szCs w:val="16"/>
              </w:rPr>
            </w:pPr>
          </w:p>
        </w:tc>
      </w:tr>
      <w:tr w:rsidR="00115EBF" w:rsidRPr="00152E18" w14:paraId="2082D298" w14:textId="77777777" w:rsidTr="003412F4">
        <w:trPr>
          <w:trHeight w:val="164"/>
        </w:trPr>
        <w:tc>
          <w:tcPr>
            <w:tcW w:w="6238" w:type="dxa"/>
            <w:vMerge w:val="restart"/>
            <w:tcBorders>
              <w:top w:val="nil"/>
              <w:left w:val="nil"/>
              <w:right w:val="single" w:sz="4" w:space="0" w:color="3366FF"/>
            </w:tcBorders>
          </w:tcPr>
          <w:p w14:paraId="0AFFA766" w14:textId="1114DB56" w:rsidR="00115EBF" w:rsidRDefault="00115EBF" w:rsidP="003302D8">
            <w:pPr>
              <w:pStyle w:val="ListParagraph"/>
              <w:numPr>
                <w:ilvl w:val="0"/>
                <w:numId w:val="28"/>
              </w:numPr>
              <w:ind w:left="743" w:hanging="284"/>
              <w:contextualSpacing w:val="0"/>
              <w:jc w:val="left"/>
            </w:pPr>
            <w:r>
              <w:t>Establish and maintain TMIS data entry procedures</w:t>
            </w:r>
          </w:p>
        </w:tc>
        <w:tc>
          <w:tcPr>
            <w:tcW w:w="284" w:type="dxa"/>
            <w:tcBorders>
              <w:top w:val="nil"/>
              <w:left w:val="single" w:sz="4" w:space="0" w:color="3366FF"/>
              <w:bottom w:val="thinThickThinSmallGap" w:sz="48" w:space="0" w:color="3366FF"/>
              <w:right w:val="single" w:sz="4" w:space="0" w:color="0000FF"/>
            </w:tcBorders>
          </w:tcPr>
          <w:p w14:paraId="0CC597E0"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1360191C" w14:textId="77777777" w:rsidR="00115EBF" w:rsidRPr="00984B47" w:rsidRDefault="00115EBF"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68B00B81"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44B646E1"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1FC9F89C" w14:textId="77777777" w:rsidR="00115EBF" w:rsidRPr="00984B47" w:rsidRDefault="00115EBF"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22534E78" w14:textId="77777777" w:rsidR="00115EBF" w:rsidRPr="00984B47" w:rsidRDefault="00115EBF" w:rsidP="00212261">
            <w:pPr>
              <w:spacing w:before="0" w:after="0"/>
              <w:ind w:left="-11"/>
              <w:rPr>
                <w:sz w:val="16"/>
                <w:szCs w:val="16"/>
              </w:rPr>
            </w:pPr>
          </w:p>
        </w:tc>
        <w:tc>
          <w:tcPr>
            <w:tcW w:w="284" w:type="dxa"/>
            <w:tcBorders>
              <w:top w:val="nil"/>
              <w:left w:val="single" w:sz="4" w:space="0" w:color="0000FF"/>
              <w:bottom w:val="thinThickThinSmallGap" w:sz="48" w:space="0" w:color="3366FF"/>
              <w:right w:val="single" w:sz="4" w:space="0" w:color="0000FF"/>
            </w:tcBorders>
          </w:tcPr>
          <w:p w14:paraId="70F6043E"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290DB6A3" w14:textId="77777777" w:rsidR="00115EBF" w:rsidRPr="00984B47" w:rsidRDefault="00115EBF" w:rsidP="00212261">
            <w:pPr>
              <w:spacing w:before="0" w:after="0"/>
              <w:ind w:left="-11"/>
              <w:rPr>
                <w:sz w:val="16"/>
                <w:szCs w:val="16"/>
              </w:rPr>
            </w:pPr>
          </w:p>
        </w:tc>
        <w:tc>
          <w:tcPr>
            <w:tcW w:w="285" w:type="dxa"/>
            <w:tcBorders>
              <w:top w:val="nil"/>
              <w:left w:val="single" w:sz="4" w:space="0" w:color="0000FF"/>
              <w:bottom w:val="thinThickThinSmallGap" w:sz="48" w:space="0" w:color="3366FF"/>
              <w:right w:val="single" w:sz="4" w:space="0" w:color="0000FF"/>
            </w:tcBorders>
          </w:tcPr>
          <w:p w14:paraId="0E24454A" w14:textId="77777777" w:rsidR="00115EBF" w:rsidRPr="00984B47" w:rsidRDefault="00115EBF" w:rsidP="00212261">
            <w:pPr>
              <w:spacing w:before="0" w:after="0"/>
              <w:ind w:left="-11"/>
              <w:rPr>
                <w:sz w:val="16"/>
                <w:szCs w:val="16"/>
              </w:rPr>
            </w:pPr>
          </w:p>
        </w:tc>
      </w:tr>
      <w:tr w:rsidR="00115EBF" w:rsidRPr="00152E18" w14:paraId="7FA0AF19" w14:textId="77777777" w:rsidTr="003412F4">
        <w:trPr>
          <w:trHeight w:val="161"/>
        </w:trPr>
        <w:tc>
          <w:tcPr>
            <w:tcW w:w="6238" w:type="dxa"/>
            <w:vMerge/>
            <w:tcBorders>
              <w:left w:val="nil"/>
              <w:bottom w:val="nil"/>
              <w:right w:val="single" w:sz="4" w:space="0" w:color="3366FF"/>
            </w:tcBorders>
          </w:tcPr>
          <w:p w14:paraId="2ADD053E" w14:textId="77777777" w:rsidR="00115EBF" w:rsidRDefault="00115EBF" w:rsidP="003302D8">
            <w:pPr>
              <w:pStyle w:val="ListParagraph"/>
              <w:numPr>
                <w:ilvl w:val="0"/>
                <w:numId w:val="28"/>
              </w:numPr>
              <w:ind w:left="743" w:hanging="284"/>
              <w:contextualSpacing w:val="0"/>
              <w:jc w:val="left"/>
            </w:pPr>
          </w:p>
        </w:tc>
        <w:tc>
          <w:tcPr>
            <w:tcW w:w="284" w:type="dxa"/>
            <w:tcBorders>
              <w:top w:val="thinThickThinSmallGap" w:sz="48" w:space="0" w:color="3366FF"/>
              <w:left w:val="single" w:sz="4" w:space="0" w:color="3366FF"/>
              <w:bottom w:val="nil"/>
              <w:right w:val="single" w:sz="4" w:space="0" w:color="0000FF"/>
            </w:tcBorders>
          </w:tcPr>
          <w:p w14:paraId="7C1EF4AF"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A9DE39F" w14:textId="77777777" w:rsidR="00115EBF" w:rsidRPr="00984B47" w:rsidRDefault="00115EBF"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263222F4"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6C73BC76"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2F11E232" w14:textId="77777777" w:rsidR="00115EBF" w:rsidRPr="00984B47" w:rsidRDefault="00115EBF"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5C1F5E38" w14:textId="77777777" w:rsidR="00115EBF" w:rsidRPr="00984B47" w:rsidRDefault="00115EBF" w:rsidP="00212261">
            <w:pPr>
              <w:spacing w:before="0" w:after="0"/>
              <w:ind w:left="-11"/>
              <w:rPr>
                <w:sz w:val="16"/>
                <w:szCs w:val="16"/>
              </w:rPr>
            </w:pPr>
          </w:p>
        </w:tc>
        <w:tc>
          <w:tcPr>
            <w:tcW w:w="284" w:type="dxa"/>
            <w:tcBorders>
              <w:top w:val="thinThickThinSmallGap" w:sz="48" w:space="0" w:color="3366FF"/>
              <w:left w:val="single" w:sz="4" w:space="0" w:color="0000FF"/>
              <w:bottom w:val="nil"/>
              <w:right w:val="single" w:sz="4" w:space="0" w:color="0000FF"/>
            </w:tcBorders>
          </w:tcPr>
          <w:p w14:paraId="3A6E842E"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3CD19986" w14:textId="77777777" w:rsidR="00115EBF" w:rsidRPr="00984B47" w:rsidRDefault="00115EBF"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4FFB8817" w14:textId="77777777" w:rsidR="00115EBF" w:rsidRPr="00984B47" w:rsidRDefault="00115EBF" w:rsidP="00212261">
            <w:pPr>
              <w:spacing w:before="0" w:after="0"/>
              <w:ind w:left="-11"/>
              <w:rPr>
                <w:sz w:val="16"/>
                <w:szCs w:val="16"/>
              </w:rPr>
            </w:pPr>
          </w:p>
        </w:tc>
      </w:tr>
      <w:tr w:rsidR="00115EBF" w:rsidRPr="00152E18" w14:paraId="3D193F35" w14:textId="77777777" w:rsidTr="003412F4">
        <w:trPr>
          <w:trHeight w:val="172"/>
        </w:trPr>
        <w:tc>
          <w:tcPr>
            <w:tcW w:w="6238" w:type="dxa"/>
            <w:vMerge w:val="restart"/>
            <w:tcBorders>
              <w:top w:val="nil"/>
              <w:left w:val="nil"/>
              <w:right w:val="single" w:sz="4" w:space="0" w:color="3366FF"/>
            </w:tcBorders>
          </w:tcPr>
          <w:p w14:paraId="7B1DA9D2" w14:textId="45492789" w:rsidR="00115EBF" w:rsidRDefault="00115EBF" w:rsidP="003302D8">
            <w:pPr>
              <w:pStyle w:val="ListParagraph"/>
              <w:numPr>
                <w:ilvl w:val="0"/>
                <w:numId w:val="28"/>
              </w:numPr>
              <w:ind w:left="743" w:hanging="284"/>
              <w:contextualSpacing w:val="0"/>
              <w:jc w:val="left"/>
            </w:pPr>
            <w:r>
              <w:t>Field STA M&amp;E to complete contracted inputs as planned</w:t>
            </w:r>
          </w:p>
        </w:tc>
        <w:tc>
          <w:tcPr>
            <w:tcW w:w="284" w:type="dxa"/>
            <w:vMerge w:val="restart"/>
            <w:tcBorders>
              <w:top w:val="nil"/>
              <w:left w:val="single" w:sz="4" w:space="0" w:color="3366FF"/>
              <w:right w:val="single" w:sz="4" w:space="0" w:color="0000FF"/>
            </w:tcBorders>
          </w:tcPr>
          <w:p w14:paraId="3C08DC72"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3AFDC9DF"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35363C4A"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CB3B946"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15D79CD5"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0BA84829"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1E509E3"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AB91DC2" w14:textId="77777777" w:rsidR="00115EBF" w:rsidRPr="00984B47" w:rsidRDefault="00115EBF"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0AB78295" w14:textId="77777777" w:rsidR="00115EBF" w:rsidRPr="00984B47" w:rsidRDefault="00115EBF" w:rsidP="00212261">
            <w:pPr>
              <w:spacing w:before="0" w:after="0"/>
              <w:ind w:left="-11"/>
              <w:rPr>
                <w:sz w:val="16"/>
                <w:szCs w:val="16"/>
              </w:rPr>
            </w:pPr>
          </w:p>
        </w:tc>
      </w:tr>
      <w:tr w:rsidR="00115EBF" w:rsidRPr="00152E18" w14:paraId="6336AEBC" w14:textId="77777777" w:rsidTr="003412F4">
        <w:trPr>
          <w:trHeight w:val="390"/>
        </w:trPr>
        <w:tc>
          <w:tcPr>
            <w:tcW w:w="6238" w:type="dxa"/>
            <w:vMerge/>
            <w:tcBorders>
              <w:left w:val="nil"/>
              <w:bottom w:val="nil"/>
              <w:right w:val="single" w:sz="4" w:space="0" w:color="3366FF"/>
            </w:tcBorders>
          </w:tcPr>
          <w:p w14:paraId="526791E9" w14:textId="77777777" w:rsidR="00115EBF" w:rsidRDefault="00115EBF" w:rsidP="003302D8">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6A558793"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E3F118E"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049157CC"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56E1CD1A"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2F864DCA"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E631513"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A2C59CF"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227E4739" w14:textId="77777777" w:rsidR="00115EBF" w:rsidRPr="00984B47" w:rsidRDefault="00115EBF"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617F1432" w14:textId="77777777" w:rsidR="00115EBF" w:rsidRPr="00984B47" w:rsidRDefault="00115EBF" w:rsidP="00212261">
            <w:pPr>
              <w:spacing w:before="0" w:after="0"/>
              <w:ind w:left="-11"/>
              <w:rPr>
                <w:sz w:val="16"/>
                <w:szCs w:val="16"/>
              </w:rPr>
            </w:pPr>
          </w:p>
        </w:tc>
      </w:tr>
      <w:tr w:rsidR="00115EBF" w:rsidRPr="00152E18" w14:paraId="53AF0AE4" w14:textId="77777777" w:rsidTr="003412F4">
        <w:trPr>
          <w:trHeight w:val="74"/>
        </w:trPr>
        <w:tc>
          <w:tcPr>
            <w:tcW w:w="6238" w:type="dxa"/>
            <w:vMerge w:val="restart"/>
            <w:tcBorders>
              <w:top w:val="nil"/>
              <w:left w:val="nil"/>
              <w:right w:val="single" w:sz="4" w:space="0" w:color="3366FF"/>
            </w:tcBorders>
          </w:tcPr>
          <w:p w14:paraId="63F9F599" w14:textId="227E9B26" w:rsidR="00115EBF" w:rsidRDefault="00115EBF" w:rsidP="002D63E1">
            <w:pPr>
              <w:pStyle w:val="ListParagraph"/>
              <w:numPr>
                <w:ilvl w:val="0"/>
                <w:numId w:val="28"/>
              </w:numPr>
              <w:ind w:left="743" w:hanging="284"/>
              <w:contextualSpacing w:val="0"/>
              <w:jc w:val="left"/>
            </w:pPr>
            <w:r>
              <w:t>Conduct second Critical Reflection Group Meeting</w:t>
            </w:r>
          </w:p>
        </w:tc>
        <w:tc>
          <w:tcPr>
            <w:tcW w:w="284" w:type="dxa"/>
            <w:vMerge w:val="restart"/>
            <w:tcBorders>
              <w:top w:val="nil"/>
              <w:left w:val="single" w:sz="4" w:space="0" w:color="3366FF"/>
              <w:right w:val="single" w:sz="4" w:space="0" w:color="0000FF"/>
            </w:tcBorders>
          </w:tcPr>
          <w:p w14:paraId="074FE3B3"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EDEF9D5"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B2335DF"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0D68F84" w14:textId="77777777" w:rsidR="00115EBF" w:rsidRPr="00984B47" w:rsidRDefault="00115EBF" w:rsidP="00212261">
            <w:pPr>
              <w:spacing w:before="0" w:after="0"/>
              <w:ind w:left="-11"/>
              <w:rPr>
                <w:sz w:val="16"/>
                <w:szCs w:val="16"/>
              </w:rPr>
            </w:pPr>
          </w:p>
        </w:tc>
        <w:tc>
          <w:tcPr>
            <w:tcW w:w="283" w:type="dxa"/>
            <w:tcBorders>
              <w:top w:val="nil"/>
              <w:left w:val="single" w:sz="4" w:space="0" w:color="0000FF"/>
              <w:bottom w:val="thinThickThinSmallGap" w:sz="48" w:space="0" w:color="3366FF"/>
              <w:right w:val="single" w:sz="4" w:space="0" w:color="0000FF"/>
            </w:tcBorders>
          </w:tcPr>
          <w:p w14:paraId="024C9D30"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5036F2EF" w14:textId="77777777" w:rsidR="00115EBF" w:rsidRPr="00984B47" w:rsidRDefault="00115EBF"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67129304" w14:textId="77777777" w:rsidR="00115EBF" w:rsidRPr="00984B47" w:rsidRDefault="00115EBF"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4E9EE947" w14:textId="77777777" w:rsidR="00115EBF" w:rsidRPr="00984B47" w:rsidRDefault="00115EBF" w:rsidP="00212261">
            <w:pPr>
              <w:spacing w:before="0" w:after="0"/>
              <w:ind w:left="-11"/>
              <w:rPr>
                <w:sz w:val="16"/>
                <w:szCs w:val="16"/>
              </w:rPr>
            </w:pPr>
          </w:p>
        </w:tc>
        <w:tc>
          <w:tcPr>
            <w:tcW w:w="285" w:type="dxa"/>
            <w:vMerge w:val="restart"/>
            <w:tcBorders>
              <w:top w:val="nil"/>
              <w:left w:val="single" w:sz="4" w:space="0" w:color="0000FF"/>
              <w:right w:val="single" w:sz="4" w:space="0" w:color="0000FF"/>
            </w:tcBorders>
          </w:tcPr>
          <w:p w14:paraId="4168270E" w14:textId="77777777" w:rsidR="00115EBF" w:rsidRPr="00984B47" w:rsidRDefault="00115EBF" w:rsidP="00212261">
            <w:pPr>
              <w:spacing w:before="0" w:after="0"/>
              <w:ind w:left="-11"/>
              <w:rPr>
                <w:sz w:val="16"/>
                <w:szCs w:val="16"/>
              </w:rPr>
            </w:pPr>
          </w:p>
        </w:tc>
      </w:tr>
      <w:tr w:rsidR="00115EBF" w:rsidRPr="00152E18" w14:paraId="0238631C" w14:textId="77777777" w:rsidTr="003412F4">
        <w:trPr>
          <w:trHeight w:val="20"/>
        </w:trPr>
        <w:tc>
          <w:tcPr>
            <w:tcW w:w="6238" w:type="dxa"/>
            <w:vMerge/>
            <w:tcBorders>
              <w:left w:val="nil"/>
              <w:bottom w:val="nil"/>
              <w:right w:val="single" w:sz="4" w:space="0" w:color="3366FF"/>
            </w:tcBorders>
          </w:tcPr>
          <w:p w14:paraId="60C2E316" w14:textId="77777777" w:rsidR="00115EBF" w:rsidRDefault="00115EBF" w:rsidP="002D63E1">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2F8EB3E9"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098C139"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4F395770"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65DC3236" w14:textId="77777777" w:rsidR="00115EBF" w:rsidRPr="00984B47" w:rsidRDefault="00115EBF" w:rsidP="00212261">
            <w:pPr>
              <w:spacing w:before="0" w:after="0"/>
              <w:ind w:left="-11"/>
              <w:rPr>
                <w:sz w:val="16"/>
                <w:szCs w:val="16"/>
              </w:rPr>
            </w:pPr>
          </w:p>
        </w:tc>
        <w:tc>
          <w:tcPr>
            <w:tcW w:w="283" w:type="dxa"/>
            <w:tcBorders>
              <w:top w:val="thinThickThinSmallGap" w:sz="48" w:space="0" w:color="3366FF"/>
              <w:left w:val="single" w:sz="4" w:space="0" w:color="0000FF"/>
              <w:bottom w:val="nil"/>
              <w:right w:val="single" w:sz="4" w:space="0" w:color="0000FF"/>
            </w:tcBorders>
          </w:tcPr>
          <w:p w14:paraId="4B7F293E"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685E1161" w14:textId="77777777" w:rsidR="00115EBF" w:rsidRPr="00984B47" w:rsidRDefault="00115EBF"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7BCD989E" w14:textId="77777777" w:rsidR="00115EBF" w:rsidRPr="00984B47" w:rsidRDefault="00115EBF"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1964D232" w14:textId="77777777" w:rsidR="00115EBF" w:rsidRPr="00984B47" w:rsidRDefault="00115EBF" w:rsidP="00212261">
            <w:pPr>
              <w:spacing w:before="0" w:after="0"/>
              <w:ind w:left="-11"/>
              <w:rPr>
                <w:sz w:val="16"/>
                <w:szCs w:val="16"/>
              </w:rPr>
            </w:pPr>
          </w:p>
        </w:tc>
        <w:tc>
          <w:tcPr>
            <w:tcW w:w="285" w:type="dxa"/>
            <w:vMerge/>
            <w:tcBorders>
              <w:left w:val="single" w:sz="4" w:space="0" w:color="0000FF"/>
              <w:bottom w:val="nil"/>
              <w:right w:val="single" w:sz="4" w:space="0" w:color="0000FF"/>
            </w:tcBorders>
          </w:tcPr>
          <w:p w14:paraId="4BE0981D" w14:textId="77777777" w:rsidR="00115EBF" w:rsidRPr="00984B47" w:rsidRDefault="00115EBF" w:rsidP="00212261">
            <w:pPr>
              <w:spacing w:before="0" w:after="0"/>
              <w:ind w:left="-11"/>
              <w:rPr>
                <w:sz w:val="16"/>
                <w:szCs w:val="16"/>
              </w:rPr>
            </w:pPr>
          </w:p>
        </w:tc>
      </w:tr>
      <w:tr w:rsidR="005C6ABD" w:rsidRPr="00152E18" w14:paraId="5FDAF097" w14:textId="77777777" w:rsidTr="003412F4">
        <w:trPr>
          <w:trHeight w:val="246"/>
        </w:trPr>
        <w:tc>
          <w:tcPr>
            <w:tcW w:w="6238" w:type="dxa"/>
            <w:vMerge w:val="restart"/>
            <w:tcBorders>
              <w:top w:val="nil"/>
              <w:left w:val="nil"/>
              <w:right w:val="single" w:sz="4" w:space="0" w:color="3366FF"/>
            </w:tcBorders>
          </w:tcPr>
          <w:p w14:paraId="62F6746D" w14:textId="5EF4D4B6" w:rsidR="005C6ABD" w:rsidRDefault="005C6ABD" w:rsidP="00784935">
            <w:pPr>
              <w:pStyle w:val="ListParagraph"/>
              <w:numPr>
                <w:ilvl w:val="0"/>
                <w:numId w:val="28"/>
              </w:numPr>
              <w:ind w:left="743" w:hanging="284"/>
              <w:contextualSpacing w:val="0"/>
              <w:jc w:val="left"/>
            </w:pPr>
            <w:r>
              <w:t>Analyse progress in relation to indicators in the M&amp;E Framework and prepare an Evaluation Report for the 9 months (</w:t>
            </w:r>
            <w:r w:rsidR="00784935">
              <w:t>August</w:t>
            </w:r>
            <w:r>
              <w:t xml:space="preserve"> 2012 – </w:t>
            </w:r>
            <w:r w:rsidR="00784935">
              <w:t>April</w:t>
            </w:r>
            <w:r>
              <w:t xml:space="preserve"> 2013) </w:t>
            </w:r>
          </w:p>
        </w:tc>
        <w:tc>
          <w:tcPr>
            <w:tcW w:w="284" w:type="dxa"/>
            <w:vMerge w:val="restart"/>
            <w:tcBorders>
              <w:top w:val="nil"/>
              <w:left w:val="single" w:sz="4" w:space="0" w:color="3366FF"/>
              <w:right w:val="single" w:sz="4" w:space="0" w:color="0000FF"/>
            </w:tcBorders>
          </w:tcPr>
          <w:p w14:paraId="23DD5B4E" w14:textId="77777777" w:rsidR="005C6ABD" w:rsidRPr="00984B47" w:rsidRDefault="005C6AB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7E0493C7" w14:textId="77777777" w:rsidR="005C6ABD" w:rsidRPr="00984B47" w:rsidRDefault="005C6AB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10A62E56" w14:textId="77777777" w:rsidR="005C6ABD" w:rsidRPr="00984B47" w:rsidRDefault="005C6AB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24C423A" w14:textId="77777777" w:rsidR="005C6ABD" w:rsidRPr="00984B47" w:rsidRDefault="005C6AB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5295929F" w14:textId="77777777" w:rsidR="005C6ABD" w:rsidRPr="00984B47" w:rsidRDefault="005C6AB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4F26B8A6" w14:textId="77777777" w:rsidR="005C6ABD" w:rsidRPr="00984B47" w:rsidRDefault="005C6ABD" w:rsidP="00212261">
            <w:pPr>
              <w:spacing w:before="0" w:after="0"/>
              <w:ind w:left="-11"/>
              <w:rPr>
                <w:sz w:val="16"/>
                <w:szCs w:val="16"/>
              </w:rPr>
            </w:pPr>
          </w:p>
        </w:tc>
        <w:tc>
          <w:tcPr>
            <w:tcW w:w="284" w:type="dxa"/>
            <w:vMerge w:val="restart"/>
            <w:tcBorders>
              <w:top w:val="nil"/>
              <w:left w:val="single" w:sz="4" w:space="0" w:color="0000FF"/>
              <w:right w:val="single" w:sz="4" w:space="0" w:color="0000FF"/>
            </w:tcBorders>
          </w:tcPr>
          <w:p w14:paraId="1B869ECF" w14:textId="77777777" w:rsidR="005C6ABD" w:rsidRPr="00984B47" w:rsidRDefault="005C6ABD" w:rsidP="00212261">
            <w:pPr>
              <w:spacing w:before="0" w:after="0"/>
              <w:ind w:left="-11"/>
              <w:rPr>
                <w:sz w:val="16"/>
                <w:szCs w:val="16"/>
              </w:rPr>
            </w:pPr>
          </w:p>
        </w:tc>
        <w:tc>
          <w:tcPr>
            <w:tcW w:w="283" w:type="dxa"/>
            <w:vMerge w:val="restart"/>
            <w:tcBorders>
              <w:top w:val="nil"/>
              <w:left w:val="single" w:sz="4" w:space="0" w:color="0000FF"/>
              <w:right w:val="single" w:sz="4" w:space="0" w:color="0000FF"/>
            </w:tcBorders>
          </w:tcPr>
          <w:p w14:paraId="16873143" w14:textId="77777777" w:rsidR="005C6ABD" w:rsidRPr="00984B47" w:rsidRDefault="005C6ABD" w:rsidP="00212261">
            <w:pPr>
              <w:spacing w:before="0" w:after="0"/>
              <w:ind w:left="-11"/>
              <w:rPr>
                <w:sz w:val="16"/>
                <w:szCs w:val="16"/>
              </w:rPr>
            </w:pPr>
          </w:p>
        </w:tc>
        <w:tc>
          <w:tcPr>
            <w:tcW w:w="285" w:type="dxa"/>
            <w:tcBorders>
              <w:top w:val="nil"/>
              <w:left w:val="single" w:sz="4" w:space="0" w:color="0000FF"/>
              <w:bottom w:val="thinThickThinSmallGap" w:sz="48" w:space="0" w:color="3366FF"/>
              <w:right w:val="single" w:sz="4" w:space="0" w:color="0000FF"/>
            </w:tcBorders>
          </w:tcPr>
          <w:p w14:paraId="5B798472" w14:textId="77777777" w:rsidR="005C6ABD" w:rsidRPr="00984B47" w:rsidRDefault="005C6ABD" w:rsidP="00212261">
            <w:pPr>
              <w:spacing w:before="0" w:after="0"/>
              <w:ind w:left="-11"/>
              <w:rPr>
                <w:sz w:val="16"/>
                <w:szCs w:val="16"/>
              </w:rPr>
            </w:pPr>
          </w:p>
        </w:tc>
      </w:tr>
      <w:tr w:rsidR="005C6ABD" w:rsidRPr="00152E18" w14:paraId="03723DCF" w14:textId="77777777" w:rsidTr="003412F4">
        <w:trPr>
          <w:trHeight w:val="20"/>
        </w:trPr>
        <w:tc>
          <w:tcPr>
            <w:tcW w:w="6238" w:type="dxa"/>
            <w:vMerge/>
            <w:tcBorders>
              <w:left w:val="nil"/>
              <w:bottom w:val="nil"/>
              <w:right w:val="single" w:sz="4" w:space="0" w:color="3366FF"/>
            </w:tcBorders>
          </w:tcPr>
          <w:p w14:paraId="1B35069C" w14:textId="77777777" w:rsidR="005C6ABD" w:rsidRDefault="005C6ABD" w:rsidP="00C03B00">
            <w:pPr>
              <w:pStyle w:val="ListParagraph"/>
              <w:numPr>
                <w:ilvl w:val="0"/>
                <w:numId w:val="28"/>
              </w:numPr>
              <w:ind w:left="743" w:hanging="284"/>
              <w:contextualSpacing w:val="0"/>
              <w:jc w:val="left"/>
            </w:pPr>
          </w:p>
        </w:tc>
        <w:tc>
          <w:tcPr>
            <w:tcW w:w="284" w:type="dxa"/>
            <w:vMerge/>
            <w:tcBorders>
              <w:left w:val="single" w:sz="4" w:space="0" w:color="3366FF"/>
              <w:bottom w:val="nil"/>
              <w:right w:val="single" w:sz="4" w:space="0" w:color="0000FF"/>
            </w:tcBorders>
          </w:tcPr>
          <w:p w14:paraId="5C4B4B10" w14:textId="77777777" w:rsidR="005C6ABD" w:rsidRPr="00984B47" w:rsidRDefault="005C6AB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F8B8E16" w14:textId="77777777" w:rsidR="005C6ABD" w:rsidRPr="00984B47" w:rsidRDefault="005C6AB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7D6C3B3" w14:textId="77777777" w:rsidR="005C6ABD" w:rsidRPr="00984B47" w:rsidRDefault="005C6AB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451E7E79" w14:textId="77777777" w:rsidR="005C6ABD" w:rsidRPr="00984B47" w:rsidRDefault="005C6AB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DE6B6A2" w14:textId="77777777" w:rsidR="005C6ABD" w:rsidRPr="00984B47" w:rsidRDefault="005C6AB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56F9340D" w14:textId="77777777" w:rsidR="005C6ABD" w:rsidRPr="00984B47" w:rsidRDefault="005C6ABD" w:rsidP="00212261">
            <w:pPr>
              <w:spacing w:before="0" w:after="0"/>
              <w:ind w:left="-11"/>
              <w:rPr>
                <w:sz w:val="16"/>
                <w:szCs w:val="16"/>
              </w:rPr>
            </w:pPr>
          </w:p>
        </w:tc>
        <w:tc>
          <w:tcPr>
            <w:tcW w:w="284" w:type="dxa"/>
            <w:vMerge/>
            <w:tcBorders>
              <w:left w:val="single" w:sz="4" w:space="0" w:color="0000FF"/>
              <w:bottom w:val="nil"/>
              <w:right w:val="single" w:sz="4" w:space="0" w:color="0000FF"/>
            </w:tcBorders>
          </w:tcPr>
          <w:p w14:paraId="314EB057" w14:textId="77777777" w:rsidR="005C6ABD" w:rsidRPr="00984B47" w:rsidRDefault="005C6ABD" w:rsidP="00212261">
            <w:pPr>
              <w:spacing w:before="0" w:after="0"/>
              <w:ind w:left="-11"/>
              <w:rPr>
                <w:sz w:val="16"/>
                <w:szCs w:val="16"/>
              </w:rPr>
            </w:pPr>
          </w:p>
        </w:tc>
        <w:tc>
          <w:tcPr>
            <w:tcW w:w="283" w:type="dxa"/>
            <w:vMerge/>
            <w:tcBorders>
              <w:left w:val="single" w:sz="4" w:space="0" w:color="0000FF"/>
              <w:bottom w:val="nil"/>
              <w:right w:val="single" w:sz="4" w:space="0" w:color="0000FF"/>
            </w:tcBorders>
          </w:tcPr>
          <w:p w14:paraId="32CFB660" w14:textId="77777777" w:rsidR="005C6ABD" w:rsidRPr="00984B47" w:rsidRDefault="005C6ABD" w:rsidP="00212261">
            <w:pPr>
              <w:spacing w:before="0" w:after="0"/>
              <w:ind w:left="-11"/>
              <w:rPr>
                <w:sz w:val="16"/>
                <w:szCs w:val="16"/>
              </w:rPr>
            </w:pPr>
          </w:p>
        </w:tc>
        <w:tc>
          <w:tcPr>
            <w:tcW w:w="285" w:type="dxa"/>
            <w:tcBorders>
              <w:top w:val="thinThickThinSmallGap" w:sz="48" w:space="0" w:color="3366FF"/>
              <w:left w:val="single" w:sz="4" w:space="0" w:color="0000FF"/>
              <w:bottom w:val="nil"/>
              <w:right w:val="single" w:sz="4" w:space="0" w:color="0000FF"/>
            </w:tcBorders>
          </w:tcPr>
          <w:p w14:paraId="65944043" w14:textId="77777777" w:rsidR="005C6ABD" w:rsidRPr="00984B47" w:rsidRDefault="005C6ABD" w:rsidP="00212261">
            <w:pPr>
              <w:spacing w:before="0" w:after="0"/>
              <w:ind w:left="-11"/>
              <w:rPr>
                <w:sz w:val="16"/>
                <w:szCs w:val="16"/>
              </w:rPr>
            </w:pPr>
          </w:p>
        </w:tc>
      </w:tr>
      <w:tr w:rsidR="00F45E01" w:rsidRPr="00152E18" w14:paraId="06EAD8C3" w14:textId="77777777" w:rsidTr="003412F4">
        <w:tc>
          <w:tcPr>
            <w:tcW w:w="6238" w:type="dxa"/>
            <w:tcBorders>
              <w:top w:val="nil"/>
              <w:left w:val="nil"/>
              <w:bottom w:val="nil"/>
              <w:right w:val="single" w:sz="4" w:space="0" w:color="3366FF"/>
            </w:tcBorders>
            <w:shd w:val="clear" w:color="auto" w:fill="C6D9F1" w:themeFill="text2" w:themeFillTint="33"/>
          </w:tcPr>
          <w:p w14:paraId="625DDC5D" w14:textId="7A8A57B9" w:rsidR="00F45E01" w:rsidRDefault="00F45E01" w:rsidP="005C6ABD">
            <w:pPr>
              <w:spacing w:before="0" w:after="0"/>
              <w:ind w:left="459" w:hanging="459"/>
              <w:jc w:val="left"/>
            </w:pPr>
          </w:p>
        </w:tc>
        <w:tc>
          <w:tcPr>
            <w:tcW w:w="284" w:type="dxa"/>
            <w:tcBorders>
              <w:top w:val="nil"/>
              <w:left w:val="single" w:sz="4" w:space="0" w:color="3366FF"/>
              <w:bottom w:val="nil"/>
              <w:right w:val="single" w:sz="4" w:space="0" w:color="0000FF"/>
            </w:tcBorders>
            <w:shd w:val="clear" w:color="auto" w:fill="C6D9F1" w:themeFill="text2" w:themeFillTint="33"/>
          </w:tcPr>
          <w:p w14:paraId="45DBC330" w14:textId="77777777" w:rsidR="00F45E01" w:rsidRPr="00984B47" w:rsidRDefault="00F45E01" w:rsidP="005C6ABD">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1ADBD564" w14:textId="77777777" w:rsidR="00F45E01" w:rsidRPr="00984B47" w:rsidRDefault="00F45E01" w:rsidP="005C6ABD">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7E9625B5" w14:textId="77777777" w:rsidR="00F45E01" w:rsidRPr="00984B47" w:rsidRDefault="00F45E01" w:rsidP="005C6ABD">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61317C6D" w14:textId="77777777" w:rsidR="00F45E01" w:rsidRPr="00984B47" w:rsidRDefault="00F45E01" w:rsidP="005C6ABD">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427F3C30" w14:textId="77777777" w:rsidR="00F45E01" w:rsidRPr="00984B47" w:rsidRDefault="00F45E01" w:rsidP="005C6ABD">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2634C811" w14:textId="77777777" w:rsidR="00F45E01" w:rsidRPr="00984B47" w:rsidRDefault="00F45E01" w:rsidP="005C6ABD">
            <w:pPr>
              <w:spacing w:before="0" w:after="0"/>
              <w:ind w:left="-11"/>
              <w:rPr>
                <w:sz w:val="16"/>
                <w:szCs w:val="16"/>
              </w:rPr>
            </w:pPr>
          </w:p>
        </w:tc>
        <w:tc>
          <w:tcPr>
            <w:tcW w:w="284" w:type="dxa"/>
            <w:tcBorders>
              <w:top w:val="nil"/>
              <w:left w:val="single" w:sz="4" w:space="0" w:color="0000FF"/>
              <w:bottom w:val="nil"/>
              <w:right w:val="single" w:sz="4" w:space="0" w:color="0000FF"/>
            </w:tcBorders>
            <w:shd w:val="clear" w:color="auto" w:fill="C6D9F1" w:themeFill="text2" w:themeFillTint="33"/>
          </w:tcPr>
          <w:p w14:paraId="51EC0AB8" w14:textId="77777777" w:rsidR="00F45E01" w:rsidRPr="00984B47" w:rsidRDefault="00F45E01" w:rsidP="005C6ABD">
            <w:pPr>
              <w:spacing w:before="0" w:after="0"/>
              <w:ind w:left="-11"/>
              <w:rPr>
                <w:sz w:val="16"/>
                <w:szCs w:val="16"/>
              </w:rPr>
            </w:pPr>
          </w:p>
        </w:tc>
        <w:tc>
          <w:tcPr>
            <w:tcW w:w="283" w:type="dxa"/>
            <w:tcBorders>
              <w:top w:val="nil"/>
              <w:left w:val="single" w:sz="4" w:space="0" w:color="0000FF"/>
              <w:bottom w:val="nil"/>
              <w:right w:val="single" w:sz="4" w:space="0" w:color="0000FF"/>
            </w:tcBorders>
            <w:shd w:val="clear" w:color="auto" w:fill="C6D9F1" w:themeFill="text2" w:themeFillTint="33"/>
          </w:tcPr>
          <w:p w14:paraId="676406D0" w14:textId="77777777" w:rsidR="00F45E01" w:rsidRPr="00984B47" w:rsidRDefault="00F45E01" w:rsidP="005C6ABD">
            <w:pPr>
              <w:spacing w:before="0" w:after="0"/>
              <w:ind w:left="-11"/>
              <w:rPr>
                <w:sz w:val="16"/>
                <w:szCs w:val="16"/>
              </w:rPr>
            </w:pPr>
          </w:p>
        </w:tc>
        <w:tc>
          <w:tcPr>
            <w:tcW w:w="285" w:type="dxa"/>
            <w:tcBorders>
              <w:top w:val="nil"/>
              <w:left w:val="single" w:sz="4" w:space="0" w:color="0000FF"/>
              <w:bottom w:val="nil"/>
              <w:right w:val="single" w:sz="4" w:space="0" w:color="0000FF"/>
            </w:tcBorders>
            <w:shd w:val="clear" w:color="auto" w:fill="C6D9F1" w:themeFill="text2" w:themeFillTint="33"/>
          </w:tcPr>
          <w:p w14:paraId="03664ED4" w14:textId="77777777" w:rsidR="00F45E01" w:rsidRPr="00984B47" w:rsidRDefault="00F45E01" w:rsidP="005C6ABD">
            <w:pPr>
              <w:spacing w:before="0" w:after="0"/>
              <w:ind w:left="-11"/>
              <w:rPr>
                <w:sz w:val="16"/>
                <w:szCs w:val="16"/>
              </w:rPr>
            </w:pPr>
          </w:p>
        </w:tc>
      </w:tr>
    </w:tbl>
    <w:p w14:paraId="7DF8E371" w14:textId="77777777" w:rsidR="00886F6B" w:rsidRDefault="00886F6B" w:rsidP="003412F4"/>
    <w:p w14:paraId="503A71B7" w14:textId="77777777" w:rsidR="00886F6B" w:rsidRDefault="00886F6B" w:rsidP="00B2695E">
      <w:pPr>
        <w:pStyle w:val="ListParagraph"/>
        <w:ind w:left="1069"/>
      </w:pPr>
    </w:p>
    <w:p w14:paraId="69CD9D16" w14:textId="77777777" w:rsidR="00EA5D32" w:rsidRPr="009D72CD" w:rsidRDefault="00EA5D32" w:rsidP="003A1814">
      <w:pPr>
        <w:sectPr w:rsidR="00EA5D32" w:rsidRPr="009D72CD" w:rsidSect="00593009">
          <w:pgSz w:w="11906" w:h="16838" w:code="9"/>
          <w:pgMar w:top="1440" w:right="1440" w:bottom="1440" w:left="1701" w:header="709" w:footer="709" w:gutter="0"/>
          <w:cols w:space="708"/>
          <w:docGrid w:linePitch="360"/>
        </w:sectPr>
      </w:pPr>
    </w:p>
    <w:p w14:paraId="4826F3D1" w14:textId="6E02C367" w:rsidR="00633A1F" w:rsidRDefault="00633A1F" w:rsidP="00092A89">
      <w:pPr>
        <w:pStyle w:val="Heading1"/>
        <w:tabs>
          <w:tab w:val="left" w:pos="1276"/>
        </w:tabs>
      </w:pPr>
      <w:bookmarkStart w:id="28" w:name="_Toc203996797"/>
      <w:r>
        <w:lastRenderedPageBreak/>
        <w:t xml:space="preserve">Annex </w:t>
      </w:r>
      <w:r w:rsidR="00754707">
        <w:t>2</w:t>
      </w:r>
      <w:r>
        <w:t xml:space="preserve">: </w:t>
      </w:r>
      <w:r w:rsidR="005212A6">
        <w:tab/>
      </w:r>
      <w:r w:rsidR="007E47AB" w:rsidRPr="00092A89">
        <w:t>Quality at Implementation Assessment</w:t>
      </w:r>
      <w:bookmarkEnd w:id="28"/>
    </w:p>
    <w:p w14:paraId="19648041" w14:textId="3B1FEB18" w:rsidR="007E47AB" w:rsidRDefault="00F83EB3" w:rsidP="00F83EB3">
      <w:r w:rsidRPr="00C84ADF">
        <w:t>The following is a synthesis of observations from the IPR and Situational Analysis</w:t>
      </w:r>
      <w:r w:rsidR="00C84ADF" w:rsidRPr="00C84ADF">
        <w:t xml:space="preserve"> in relation to 7 of the 8 AusAID/DAC criteria for aid effectiveness.  No assessment of impact is possible at this stage of TSP1 implementation.</w:t>
      </w:r>
      <w:r w:rsidR="001379A0">
        <w:t xml:space="preserve"> Recommend</w:t>
      </w:r>
      <w:r w:rsidR="000F70CC">
        <w:t>ed</w:t>
      </w:r>
      <w:r w:rsidR="001379A0">
        <w:t xml:space="preserve"> remediation </w:t>
      </w:r>
      <w:r w:rsidR="003904B3">
        <w:t>is now a matter for discussion between the Governments of Tonga, Australia and New Zealand</w:t>
      </w:r>
      <w:r w:rsidR="001379A0">
        <w:t>.</w:t>
      </w:r>
    </w:p>
    <w:p w14:paraId="6F01DE06" w14:textId="2B1C582D" w:rsidR="000513B3" w:rsidRDefault="000513B3" w:rsidP="00F83EB3">
      <w:r>
        <w:t>Ratings have been provide in accordance with the following scale:</w:t>
      </w:r>
    </w:p>
    <w:tbl>
      <w:tblPr>
        <w:tblW w:w="8931" w:type="dxa"/>
        <w:tblInd w:w="108" w:type="dxa"/>
        <w:tblBorders>
          <w:top w:val="single" w:sz="4" w:space="0" w:color="333399"/>
          <w:left w:val="single" w:sz="4" w:space="0" w:color="333399"/>
          <w:bottom w:val="single" w:sz="4" w:space="0" w:color="333399"/>
          <w:right w:val="single" w:sz="4" w:space="0" w:color="333399"/>
          <w:insideH w:val="single" w:sz="4" w:space="0" w:color="999999"/>
          <w:insideV w:val="single" w:sz="4" w:space="0" w:color="999999"/>
        </w:tblBorders>
        <w:tblLayout w:type="fixed"/>
        <w:tblLook w:val="01E0" w:firstRow="1" w:lastRow="1" w:firstColumn="1" w:lastColumn="1" w:noHBand="0" w:noVBand="0"/>
      </w:tblPr>
      <w:tblGrid>
        <w:gridCol w:w="426"/>
        <w:gridCol w:w="3935"/>
        <w:gridCol w:w="459"/>
        <w:gridCol w:w="4111"/>
      </w:tblGrid>
      <w:tr w:rsidR="000513B3" w:rsidRPr="00345F77" w14:paraId="54476F4B" w14:textId="77777777" w:rsidTr="005C5419">
        <w:tc>
          <w:tcPr>
            <w:tcW w:w="4361" w:type="dxa"/>
            <w:gridSpan w:val="2"/>
            <w:tcBorders>
              <w:left w:val="single" w:sz="4" w:space="0" w:color="808080"/>
            </w:tcBorders>
            <w:shd w:val="clear" w:color="auto" w:fill="C6D9F1" w:themeFill="text2" w:themeFillTint="33"/>
          </w:tcPr>
          <w:p w14:paraId="3E9CF9E6" w14:textId="77777777" w:rsidR="000513B3" w:rsidRPr="00345F77" w:rsidRDefault="000513B3" w:rsidP="000513B3">
            <w:pPr>
              <w:pStyle w:val="TableHeader"/>
              <w:jc w:val="left"/>
              <w:rPr>
                <w:b w:val="0"/>
                <w:i/>
                <w:sz w:val="16"/>
                <w:szCs w:val="16"/>
              </w:rPr>
            </w:pPr>
            <w:r w:rsidRPr="00345F77">
              <w:rPr>
                <w:i/>
                <w:sz w:val="16"/>
                <w:szCs w:val="16"/>
              </w:rPr>
              <w:t>Satisfactory</w:t>
            </w:r>
            <w:r w:rsidRPr="00345F77">
              <w:rPr>
                <w:b w:val="0"/>
                <w:i/>
                <w:sz w:val="16"/>
                <w:szCs w:val="16"/>
              </w:rPr>
              <w:t xml:space="preserve"> (4, 5 and 6)</w:t>
            </w:r>
          </w:p>
        </w:tc>
        <w:tc>
          <w:tcPr>
            <w:tcW w:w="4570" w:type="dxa"/>
            <w:gridSpan w:val="2"/>
            <w:tcBorders>
              <w:right w:val="single" w:sz="4" w:space="0" w:color="808080"/>
            </w:tcBorders>
            <w:shd w:val="clear" w:color="auto" w:fill="C6D9F1" w:themeFill="text2" w:themeFillTint="33"/>
          </w:tcPr>
          <w:p w14:paraId="272BBEE7" w14:textId="77777777" w:rsidR="000513B3" w:rsidRPr="00345F77" w:rsidRDefault="000513B3" w:rsidP="000513B3">
            <w:pPr>
              <w:pStyle w:val="TableHeader"/>
              <w:jc w:val="left"/>
              <w:rPr>
                <w:b w:val="0"/>
                <w:i/>
                <w:sz w:val="16"/>
                <w:szCs w:val="16"/>
              </w:rPr>
            </w:pPr>
            <w:r w:rsidRPr="00345F77">
              <w:rPr>
                <w:i/>
                <w:sz w:val="16"/>
                <w:szCs w:val="16"/>
              </w:rPr>
              <w:t>Less than satisfactory</w:t>
            </w:r>
            <w:r w:rsidRPr="00345F77">
              <w:rPr>
                <w:b w:val="0"/>
                <w:i/>
                <w:sz w:val="16"/>
                <w:szCs w:val="16"/>
              </w:rPr>
              <w:t xml:space="preserve"> (1, 2 and 3)</w:t>
            </w:r>
          </w:p>
        </w:tc>
      </w:tr>
      <w:tr w:rsidR="000513B3" w:rsidRPr="004C675F" w14:paraId="0AA968AB" w14:textId="77777777" w:rsidTr="005C5419">
        <w:tc>
          <w:tcPr>
            <w:tcW w:w="426" w:type="dxa"/>
            <w:tcBorders>
              <w:left w:val="single" w:sz="4" w:space="0" w:color="808080"/>
            </w:tcBorders>
          </w:tcPr>
          <w:p w14:paraId="5385861C" w14:textId="77777777" w:rsidR="000513B3" w:rsidRPr="004C675F" w:rsidRDefault="000513B3" w:rsidP="000513B3">
            <w:pPr>
              <w:pStyle w:val="Table-normal-text"/>
              <w:keepNext/>
              <w:jc w:val="center"/>
              <w:rPr>
                <w:b/>
                <w:sz w:val="16"/>
                <w:szCs w:val="16"/>
                <w:lang w:eastAsia="en-AU"/>
              </w:rPr>
            </w:pPr>
            <w:r w:rsidRPr="004C675F">
              <w:rPr>
                <w:b/>
                <w:sz w:val="16"/>
                <w:szCs w:val="16"/>
                <w:lang w:eastAsia="en-AU"/>
              </w:rPr>
              <w:t>6</w:t>
            </w:r>
          </w:p>
        </w:tc>
        <w:tc>
          <w:tcPr>
            <w:tcW w:w="3935" w:type="dxa"/>
          </w:tcPr>
          <w:p w14:paraId="4476AF4C" w14:textId="77777777" w:rsidR="000513B3" w:rsidRPr="00345F77" w:rsidRDefault="000513B3" w:rsidP="000513B3">
            <w:pPr>
              <w:pStyle w:val="Table-normal-text"/>
              <w:keepNext/>
              <w:rPr>
                <w:spacing w:val="-2"/>
                <w:sz w:val="16"/>
                <w:szCs w:val="16"/>
                <w:lang w:eastAsia="en-AU"/>
              </w:rPr>
            </w:pPr>
            <w:r w:rsidRPr="00345F77">
              <w:rPr>
                <w:spacing w:val="-2"/>
                <w:sz w:val="16"/>
                <w:szCs w:val="16"/>
              </w:rPr>
              <w:t>Very high quality; needs</w:t>
            </w:r>
            <w:r w:rsidRPr="00345F77">
              <w:rPr>
                <w:bCs/>
                <w:spacing w:val="-2"/>
                <w:sz w:val="16"/>
                <w:szCs w:val="16"/>
              </w:rPr>
              <w:t xml:space="preserve"> ongoing</w:t>
            </w:r>
            <w:r w:rsidRPr="00345F77">
              <w:rPr>
                <w:spacing w:val="-2"/>
                <w:sz w:val="16"/>
                <w:szCs w:val="16"/>
              </w:rPr>
              <w:t xml:space="preserve"> management &amp; monitoring only</w:t>
            </w:r>
          </w:p>
        </w:tc>
        <w:tc>
          <w:tcPr>
            <w:tcW w:w="459" w:type="dxa"/>
          </w:tcPr>
          <w:p w14:paraId="182FC942" w14:textId="77777777" w:rsidR="000513B3" w:rsidRPr="004C675F" w:rsidRDefault="000513B3" w:rsidP="000513B3">
            <w:pPr>
              <w:pStyle w:val="Table-normal-text"/>
              <w:keepNext/>
              <w:jc w:val="center"/>
              <w:rPr>
                <w:b/>
                <w:sz w:val="16"/>
                <w:szCs w:val="16"/>
                <w:lang w:eastAsia="en-AU"/>
              </w:rPr>
            </w:pPr>
            <w:r w:rsidRPr="004C675F">
              <w:rPr>
                <w:b/>
                <w:sz w:val="16"/>
                <w:szCs w:val="16"/>
                <w:lang w:eastAsia="en-AU"/>
              </w:rPr>
              <w:t>3</w:t>
            </w:r>
          </w:p>
        </w:tc>
        <w:tc>
          <w:tcPr>
            <w:tcW w:w="4111" w:type="dxa"/>
            <w:tcBorders>
              <w:right w:val="single" w:sz="4" w:space="0" w:color="808080"/>
            </w:tcBorders>
          </w:tcPr>
          <w:p w14:paraId="7C48A9DC" w14:textId="77777777" w:rsidR="000513B3" w:rsidRPr="00C4776D" w:rsidRDefault="000513B3" w:rsidP="000513B3">
            <w:pPr>
              <w:pStyle w:val="Table-normal-text"/>
              <w:keepNext/>
              <w:rPr>
                <w:spacing w:val="-1"/>
                <w:sz w:val="16"/>
                <w:szCs w:val="16"/>
                <w:lang w:eastAsia="en-AU"/>
              </w:rPr>
            </w:pPr>
            <w:r w:rsidRPr="00C4776D">
              <w:rPr>
                <w:spacing w:val="-1"/>
                <w:sz w:val="16"/>
                <w:szCs w:val="16"/>
              </w:rPr>
              <w:t xml:space="preserve">Less than adequate quality; needs to be improved </w:t>
            </w:r>
            <w:r w:rsidRPr="00C4776D">
              <w:rPr>
                <w:bCs/>
                <w:spacing w:val="-1"/>
                <w:sz w:val="16"/>
                <w:szCs w:val="16"/>
              </w:rPr>
              <w:t>in core areas</w:t>
            </w:r>
          </w:p>
        </w:tc>
      </w:tr>
      <w:tr w:rsidR="000513B3" w:rsidRPr="004C675F" w14:paraId="1C6FC298" w14:textId="77777777" w:rsidTr="005C5419">
        <w:tc>
          <w:tcPr>
            <w:tcW w:w="426" w:type="dxa"/>
            <w:tcBorders>
              <w:left w:val="single" w:sz="4" w:space="0" w:color="808080"/>
            </w:tcBorders>
          </w:tcPr>
          <w:p w14:paraId="20211275" w14:textId="77777777" w:rsidR="000513B3" w:rsidRPr="004C675F" w:rsidRDefault="000513B3" w:rsidP="000513B3">
            <w:pPr>
              <w:pStyle w:val="Table-normal-text"/>
              <w:keepNext/>
              <w:jc w:val="center"/>
              <w:rPr>
                <w:b/>
                <w:sz w:val="16"/>
                <w:szCs w:val="16"/>
                <w:lang w:eastAsia="en-AU"/>
              </w:rPr>
            </w:pPr>
            <w:r w:rsidRPr="004C675F">
              <w:rPr>
                <w:b/>
                <w:sz w:val="16"/>
                <w:szCs w:val="16"/>
                <w:lang w:eastAsia="en-AU"/>
              </w:rPr>
              <w:t>5</w:t>
            </w:r>
          </w:p>
        </w:tc>
        <w:tc>
          <w:tcPr>
            <w:tcW w:w="3935" w:type="dxa"/>
          </w:tcPr>
          <w:p w14:paraId="2FCDDE08" w14:textId="77777777" w:rsidR="000513B3" w:rsidRPr="004C675F" w:rsidRDefault="000513B3" w:rsidP="000513B3">
            <w:pPr>
              <w:pStyle w:val="Table-normal-text"/>
              <w:keepNext/>
              <w:rPr>
                <w:sz w:val="16"/>
                <w:szCs w:val="16"/>
                <w:lang w:eastAsia="en-AU"/>
              </w:rPr>
            </w:pPr>
            <w:r w:rsidRPr="004C675F">
              <w:rPr>
                <w:sz w:val="16"/>
                <w:szCs w:val="16"/>
              </w:rPr>
              <w:t xml:space="preserve">Good quality; needs minor work to improve </w:t>
            </w:r>
            <w:r w:rsidRPr="004C675F">
              <w:rPr>
                <w:bCs/>
                <w:sz w:val="16"/>
                <w:szCs w:val="16"/>
              </w:rPr>
              <w:t>in some areas</w:t>
            </w:r>
          </w:p>
        </w:tc>
        <w:tc>
          <w:tcPr>
            <w:tcW w:w="459" w:type="dxa"/>
          </w:tcPr>
          <w:p w14:paraId="07CBB658" w14:textId="77777777" w:rsidR="000513B3" w:rsidRPr="004C675F" w:rsidRDefault="000513B3" w:rsidP="000513B3">
            <w:pPr>
              <w:pStyle w:val="Table-normal-text"/>
              <w:keepNext/>
              <w:jc w:val="center"/>
              <w:rPr>
                <w:b/>
                <w:sz w:val="16"/>
                <w:szCs w:val="16"/>
                <w:lang w:eastAsia="en-AU"/>
              </w:rPr>
            </w:pPr>
            <w:r w:rsidRPr="004C675F">
              <w:rPr>
                <w:b/>
                <w:sz w:val="16"/>
                <w:szCs w:val="16"/>
                <w:lang w:eastAsia="en-AU"/>
              </w:rPr>
              <w:t>2</w:t>
            </w:r>
          </w:p>
        </w:tc>
        <w:tc>
          <w:tcPr>
            <w:tcW w:w="4111" w:type="dxa"/>
            <w:tcBorders>
              <w:right w:val="single" w:sz="4" w:space="0" w:color="808080"/>
            </w:tcBorders>
          </w:tcPr>
          <w:p w14:paraId="2D1F14DA" w14:textId="77777777" w:rsidR="000513B3" w:rsidRPr="004C675F" w:rsidRDefault="000513B3" w:rsidP="000513B3">
            <w:pPr>
              <w:pStyle w:val="Table-normal-text"/>
              <w:keepNext/>
              <w:rPr>
                <w:sz w:val="16"/>
                <w:szCs w:val="16"/>
                <w:lang w:eastAsia="en-AU"/>
              </w:rPr>
            </w:pPr>
            <w:r w:rsidRPr="004C675F">
              <w:rPr>
                <w:sz w:val="16"/>
                <w:szCs w:val="16"/>
              </w:rPr>
              <w:t>Poor quality; needs major work to improve</w:t>
            </w:r>
          </w:p>
        </w:tc>
      </w:tr>
      <w:tr w:rsidR="000513B3" w:rsidRPr="004C675F" w14:paraId="633F3462" w14:textId="77777777" w:rsidTr="005C5419">
        <w:tc>
          <w:tcPr>
            <w:tcW w:w="426" w:type="dxa"/>
            <w:tcBorders>
              <w:left w:val="single" w:sz="4" w:space="0" w:color="808080"/>
              <w:bottom w:val="single" w:sz="4" w:space="0" w:color="808080"/>
            </w:tcBorders>
          </w:tcPr>
          <w:p w14:paraId="0688FB11" w14:textId="77777777" w:rsidR="000513B3" w:rsidRPr="004C675F" w:rsidRDefault="000513B3" w:rsidP="000513B3">
            <w:pPr>
              <w:pStyle w:val="Table-normal-text"/>
              <w:jc w:val="center"/>
              <w:rPr>
                <w:b/>
                <w:sz w:val="16"/>
                <w:szCs w:val="16"/>
                <w:lang w:eastAsia="en-AU"/>
              </w:rPr>
            </w:pPr>
            <w:r w:rsidRPr="004C675F">
              <w:rPr>
                <w:b/>
                <w:sz w:val="16"/>
                <w:szCs w:val="16"/>
                <w:lang w:eastAsia="en-AU"/>
              </w:rPr>
              <w:t>4</w:t>
            </w:r>
          </w:p>
        </w:tc>
        <w:tc>
          <w:tcPr>
            <w:tcW w:w="3935" w:type="dxa"/>
            <w:tcBorders>
              <w:bottom w:val="single" w:sz="4" w:space="0" w:color="808080"/>
            </w:tcBorders>
          </w:tcPr>
          <w:p w14:paraId="50147758" w14:textId="77777777" w:rsidR="000513B3" w:rsidRPr="004C675F" w:rsidRDefault="000513B3" w:rsidP="000513B3">
            <w:pPr>
              <w:pStyle w:val="Table-normal-text"/>
              <w:rPr>
                <w:sz w:val="16"/>
                <w:szCs w:val="16"/>
                <w:lang w:eastAsia="en-AU"/>
              </w:rPr>
            </w:pPr>
            <w:r w:rsidRPr="004C675F">
              <w:rPr>
                <w:sz w:val="16"/>
                <w:szCs w:val="16"/>
              </w:rPr>
              <w:t xml:space="preserve">Adequate quality; needs </w:t>
            </w:r>
            <w:r w:rsidRPr="004C675F">
              <w:rPr>
                <w:bCs/>
                <w:sz w:val="16"/>
                <w:szCs w:val="16"/>
              </w:rPr>
              <w:t>some</w:t>
            </w:r>
            <w:r w:rsidRPr="004C675F">
              <w:rPr>
                <w:sz w:val="16"/>
                <w:szCs w:val="16"/>
              </w:rPr>
              <w:t xml:space="preserve"> work to improve </w:t>
            </w:r>
          </w:p>
        </w:tc>
        <w:tc>
          <w:tcPr>
            <w:tcW w:w="459" w:type="dxa"/>
            <w:tcBorders>
              <w:bottom w:val="single" w:sz="4" w:space="0" w:color="808080"/>
            </w:tcBorders>
          </w:tcPr>
          <w:p w14:paraId="3C333F57" w14:textId="77777777" w:rsidR="000513B3" w:rsidRPr="004C675F" w:rsidRDefault="000513B3" w:rsidP="000513B3">
            <w:pPr>
              <w:pStyle w:val="Table-normal-text"/>
              <w:jc w:val="center"/>
              <w:rPr>
                <w:b/>
                <w:sz w:val="16"/>
                <w:szCs w:val="16"/>
                <w:lang w:eastAsia="en-AU"/>
              </w:rPr>
            </w:pPr>
            <w:r w:rsidRPr="004C675F">
              <w:rPr>
                <w:b/>
                <w:sz w:val="16"/>
                <w:szCs w:val="16"/>
                <w:lang w:eastAsia="en-AU"/>
              </w:rPr>
              <w:t>1</w:t>
            </w:r>
          </w:p>
        </w:tc>
        <w:tc>
          <w:tcPr>
            <w:tcW w:w="4111" w:type="dxa"/>
            <w:tcBorders>
              <w:bottom w:val="single" w:sz="4" w:space="0" w:color="808080"/>
              <w:right w:val="single" w:sz="4" w:space="0" w:color="808080"/>
            </w:tcBorders>
          </w:tcPr>
          <w:p w14:paraId="1511B451" w14:textId="77777777" w:rsidR="000513B3" w:rsidRPr="004C675F" w:rsidRDefault="000513B3" w:rsidP="000513B3">
            <w:pPr>
              <w:pStyle w:val="Table-normal-text"/>
              <w:rPr>
                <w:sz w:val="16"/>
                <w:szCs w:val="16"/>
                <w:lang w:eastAsia="en-AU"/>
              </w:rPr>
            </w:pPr>
            <w:r w:rsidRPr="004C675F">
              <w:rPr>
                <w:sz w:val="16"/>
                <w:szCs w:val="16"/>
              </w:rPr>
              <w:t>Very poor quality; needs major overhaul</w:t>
            </w:r>
          </w:p>
        </w:tc>
      </w:tr>
    </w:tbl>
    <w:p w14:paraId="20F1FD4B" w14:textId="77777777" w:rsidR="00C4724F" w:rsidRPr="00C4724F" w:rsidRDefault="00C4724F" w:rsidP="00C4724F">
      <w:pPr>
        <w:spacing w:before="0" w:after="0"/>
        <w:jc w:val="left"/>
        <w:rPr>
          <w:sz w:val="12"/>
          <w:szCs w:val="12"/>
        </w:rPr>
      </w:pPr>
    </w:p>
    <w:tbl>
      <w:tblPr>
        <w:tblW w:w="893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1E0" w:firstRow="1" w:lastRow="1" w:firstColumn="1" w:lastColumn="1" w:noHBand="0" w:noVBand="0"/>
      </w:tblPr>
      <w:tblGrid>
        <w:gridCol w:w="1824"/>
        <w:gridCol w:w="5860"/>
        <w:gridCol w:w="1247"/>
      </w:tblGrid>
      <w:tr w:rsidR="00F83EB3" w:rsidRPr="00CC31C5" w14:paraId="22851D93" w14:textId="77777777" w:rsidTr="005C5419">
        <w:trPr>
          <w:cantSplit/>
          <w:trHeight w:val="162"/>
          <w:tblHeader/>
        </w:trPr>
        <w:tc>
          <w:tcPr>
            <w:tcW w:w="1824" w:type="dxa"/>
            <w:shd w:val="clear" w:color="auto" w:fill="C6D9F1" w:themeFill="text2" w:themeFillTint="33"/>
          </w:tcPr>
          <w:p w14:paraId="16A228B0" w14:textId="77777777" w:rsidR="00F83EB3" w:rsidRPr="00C405F1" w:rsidRDefault="00F83EB3" w:rsidP="00C405F1">
            <w:pPr>
              <w:spacing w:after="0"/>
              <w:jc w:val="left"/>
              <w:rPr>
                <w:szCs w:val="20"/>
              </w:rPr>
            </w:pPr>
            <w:r w:rsidRPr="00C405F1">
              <w:rPr>
                <w:szCs w:val="20"/>
              </w:rPr>
              <w:t>Criteria</w:t>
            </w:r>
          </w:p>
        </w:tc>
        <w:tc>
          <w:tcPr>
            <w:tcW w:w="5860" w:type="dxa"/>
            <w:shd w:val="clear" w:color="auto" w:fill="C6D9F1" w:themeFill="text2" w:themeFillTint="33"/>
          </w:tcPr>
          <w:p w14:paraId="65FF98CA" w14:textId="77777777" w:rsidR="00F83EB3" w:rsidRPr="00CC31C5" w:rsidRDefault="00F83EB3" w:rsidP="00046CD7">
            <w:pPr>
              <w:jc w:val="left"/>
            </w:pPr>
            <w:r w:rsidRPr="00CC31C5">
              <w:t>Assessment</w:t>
            </w:r>
          </w:p>
        </w:tc>
        <w:tc>
          <w:tcPr>
            <w:tcW w:w="1247" w:type="dxa"/>
            <w:shd w:val="clear" w:color="auto" w:fill="C6D9F1" w:themeFill="text2" w:themeFillTint="33"/>
          </w:tcPr>
          <w:p w14:paraId="199567B5" w14:textId="77777777" w:rsidR="00F83EB3" w:rsidRPr="00CC31C5" w:rsidRDefault="00F83EB3" w:rsidP="000513B3">
            <w:pPr>
              <w:jc w:val="center"/>
            </w:pPr>
            <w:r w:rsidRPr="00CC31C5">
              <w:t xml:space="preserve">Rating </w:t>
            </w:r>
            <w:r w:rsidRPr="00CC31C5">
              <w:br/>
              <w:t>(1-6) *</w:t>
            </w:r>
          </w:p>
        </w:tc>
      </w:tr>
      <w:tr w:rsidR="00F83EB3" w:rsidRPr="00CC31C5" w14:paraId="4E08427C" w14:textId="77777777" w:rsidTr="005C5419">
        <w:trPr>
          <w:cantSplit/>
          <w:trHeight w:val="162"/>
        </w:trPr>
        <w:tc>
          <w:tcPr>
            <w:tcW w:w="1824" w:type="dxa"/>
            <w:tcBorders>
              <w:top w:val="single" w:sz="4" w:space="0" w:color="808080"/>
              <w:left w:val="single" w:sz="4" w:space="0" w:color="808080"/>
              <w:bottom w:val="single" w:sz="4" w:space="0" w:color="808080"/>
              <w:right w:val="single" w:sz="4" w:space="0" w:color="808080"/>
            </w:tcBorders>
            <w:shd w:val="clear" w:color="auto" w:fill="auto"/>
          </w:tcPr>
          <w:p w14:paraId="49C6488F" w14:textId="3DFEA698" w:rsidR="00F83EB3" w:rsidRPr="00C405F1" w:rsidRDefault="00F83EB3" w:rsidP="00C405F1">
            <w:pPr>
              <w:tabs>
                <w:tab w:val="left" w:pos="259"/>
              </w:tabs>
              <w:spacing w:after="0"/>
              <w:jc w:val="left"/>
              <w:rPr>
                <w:szCs w:val="20"/>
              </w:rPr>
            </w:pPr>
            <w:r w:rsidRPr="00C405F1">
              <w:rPr>
                <w:szCs w:val="20"/>
              </w:rPr>
              <w:t>1.</w:t>
            </w:r>
            <w:r w:rsidRPr="00C405F1">
              <w:rPr>
                <w:szCs w:val="20"/>
              </w:rPr>
              <w:tab/>
              <w:t xml:space="preserve">Relevance </w:t>
            </w:r>
          </w:p>
          <w:p w14:paraId="5E05FFBE" w14:textId="42D79DF6" w:rsidR="00F83EB3" w:rsidRPr="00C405F1" w:rsidRDefault="00F83EB3" w:rsidP="00C405F1">
            <w:pPr>
              <w:spacing w:before="60" w:after="0"/>
              <w:ind w:left="245"/>
              <w:jc w:val="left"/>
              <w:rPr>
                <w:szCs w:val="20"/>
              </w:rPr>
            </w:pPr>
            <w:r w:rsidRPr="00C405F1">
              <w:rPr>
                <w:rFonts w:cs="Arial"/>
                <w:szCs w:val="20"/>
              </w:rPr>
              <w:t>Why are we doing this?</w:t>
            </w:r>
          </w:p>
        </w:tc>
        <w:tc>
          <w:tcPr>
            <w:tcW w:w="5860" w:type="dxa"/>
            <w:tcBorders>
              <w:top w:val="single" w:sz="4" w:space="0" w:color="808080"/>
              <w:left w:val="single" w:sz="4" w:space="0" w:color="808080"/>
              <w:bottom w:val="single" w:sz="4" w:space="0" w:color="808080"/>
              <w:right w:val="single" w:sz="4" w:space="0" w:color="808080"/>
            </w:tcBorders>
            <w:shd w:val="clear" w:color="auto" w:fill="auto"/>
          </w:tcPr>
          <w:p w14:paraId="1BF09126" w14:textId="77777777" w:rsidR="00F83EB3" w:rsidRPr="00CC31C5" w:rsidRDefault="00F83EB3" w:rsidP="00046CD7">
            <w:pPr>
              <w:jc w:val="left"/>
            </w:pPr>
            <w:r w:rsidRPr="00CC31C5">
              <w:t>For the most part the TSP objective to improve the employability of Tongans in national and international labour markets through an improved TVET system remains relevant to the broad policy frameworks of the respective Governments of Tonga, Australia and New Zealand.</w:t>
            </w:r>
          </w:p>
          <w:p w14:paraId="76FD149A" w14:textId="16F3C1F2" w:rsidR="00F83EB3" w:rsidRPr="00CC31C5" w:rsidRDefault="00F83EB3" w:rsidP="00046CD7">
            <w:pPr>
              <w:jc w:val="left"/>
            </w:pPr>
            <w:r w:rsidRPr="00CC31C5">
              <w:t>The Tonga Strategic Development Framework 2011 – 2014 and the Education Policy Framework July 2012 (recently developed by the new Ministry of Education and Training) both specifically cite the need for ‘Appropriately skilled workforce to meet available opportunities in Tonga and overseas by delivery of improved TVET’</w:t>
            </w:r>
            <w:r w:rsidR="00415837">
              <w:t>.</w:t>
            </w:r>
          </w:p>
          <w:p w14:paraId="660C41D1" w14:textId="77777777" w:rsidR="00F83EB3" w:rsidRPr="00CC31C5" w:rsidRDefault="00F83EB3" w:rsidP="00046CD7">
            <w:pPr>
              <w:jc w:val="left"/>
            </w:pPr>
            <w:r w:rsidRPr="00CC31C5">
              <w:t xml:space="preserve">This is reflected in the partnership agreement between the Governments of Tonga and </w:t>
            </w:r>
            <w:proofErr w:type="gramStart"/>
            <w:r w:rsidRPr="00CC31C5">
              <w:t>Australia which</w:t>
            </w:r>
            <w:proofErr w:type="gramEnd"/>
            <w:r w:rsidRPr="00CC31C5">
              <w:t xml:space="preserve"> cites Improved Technical and Vocational Skills as one of four priority outcomes under the agreement. More broadly the TSP1 objective is nested within AusAID’s Pacific Education and Skills Development Agenda and the emerging Pacific Tertiary Education strategy. The Commitment Agreement between the Governments of Tonga and New Zealand specifically refers to New Zealand’s support for TVET in cooperation with AusAID.</w:t>
            </w:r>
          </w:p>
          <w:p w14:paraId="5F1D7583" w14:textId="36FF6D2A" w:rsidR="00F83EB3" w:rsidRPr="00CC31C5" w:rsidRDefault="00F83EB3" w:rsidP="00046CD7">
            <w:pPr>
              <w:jc w:val="left"/>
            </w:pPr>
            <w:r w:rsidRPr="00CC31C5">
              <w:t>The relevance of the TSP1 objective was further endorsed by the private sector and Government agencies engaged in labour and economic development activities.</w:t>
            </w:r>
          </w:p>
        </w:tc>
        <w:tc>
          <w:tcPr>
            <w:tcW w:w="1247" w:type="dxa"/>
            <w:tcBorders>
              <w:top w:val="single" w:sz="4" w:space="0" w:color="808080"/>
              <w:left w:val="single" w:sz="4" w:space="0" w:color="808080"/>
              <w:bottom w:val="single" w:sz="4" w:space="0" w:color="808080"/>
              <w:right w:val="single" w:sz="4" w:space="0" w:color="808080"/>
            </w:tcBorders>
            <w:shd w:val="clear" w:color="auto" w:fill="auto"/>
          </w:tcPr>
          <w:p w14:paraId="083210BD" w14:textId="4F5D2542" w:rsidR="00F83EB3" w:rsidRPr="00CC31C5" w:rsidRDefault="000513B3" w:rsidP="000513B3">
            <w:pPr>
              <w:jc w:val="center"/>
            </w:pPr>
            <w:r>
              <w:t>5</w:t>
            </w:r>
          </w:p>
        </w:tc>
      </w:tr>
      <w:tr w:rsidR="00F83EB3" w:rsidRPr="004034E1" w14:paraId="4975DCA9" w14:textId="77777777" w:rsidTr="005C5419">
        <w:tblPrEx>
          <w:tblCellMar>
            <w:top w:w="57" w:type="dxa"/>
            <w:left w:w="57" w:type="dxa"/>
            <w:bottom w:w="57" w:type="dxa"/>
            <w:right w:w="57" w:type="dxa"/>
          </w:tblCellMar>
        </w:tblPrEx>
        <w:tc>
          <w:tcPr>
            <w:tcW w:w="1824" w:type="dxa"/>
            <w:shd w:val="clear" w:color="auto" w:fill="auto"/>
            <w:tcMar>
              <w:right w:w="28" w:type="dxa"/>
            </w:tcMar>
          </w:tcPr>
          <w:p w14:paraId="6C69AFD1" w14:textId="77777777" w:rsidR="00F83EB3" w:rsidRPr="00C405F1" w:rsidRDefault="00F83EB3" w:rsidP="00C405F1">
            <w:pPr>
              <w:tabs>
                <w:tab w:val="left" w:pos="227"/>
              </w:tabs>
              <w:spacing w:after="0"/>
              <w:jc w:val="left"/>
              <w:rPr>
                <w:rFonts w:cs="Arial"/>
                <w:szCs w:val="20"/>
              </w:rPr>
            </w:pPr>
            <w:r w:rsidRPr="00C405F1">
              <w:rPr>
                <w:rFonts w:cs="Arial"/>
                <w:szCs w:val="20"/>
              </w:rPr>
              <w:t>2.  Effectiveness</w:t>
            </w:r>
          </w:p>
          <w:p w14:paraId="7B96D23E" w14:textId="5E3308FE" w:rsidR="00F83EB3" w:rsidRPr="00C405F1" w:rsidRDefault="00F83EB3" w:rsidP="00C405F1">
            <w:pPr>
              <w:spacing w:before="60" w:after="0"/>
              <w:ind w:left="245"/>
              <w:jc w:val="left"/>
              <w:rPr>
                <w:rFonts w:cs="Arial"/>
                <w:szCs w:val="20"/>
              </w:rPr>
            </w:pPr>
            <w:r w:rsidRPr="00C405F1">
              <w:rPr>
                <w:rFonts w:cs="Arial"/>
                <w:szCs w:val="20"/>
              </w:rPr>
              <w:t>How well is it working?</w:t>
            </w:r>
          </w:p>
          <w:p w14:paraId="2D8ACEBA" w14:textId="77777777" w:rsidR="00F83EB3" w:rsidRPr="00C405F1" w:rsidRDefault="00F83EB3" w:rsidP="00C405F1">
            <w:pPr>
              <w:tabs>
                <w:tab w:val="left" w:pos="227"/>
              </w:tabs>
              <w:spacing w:before="60" w:after="0"/>
              <w:ind w:left="-29"/>
              <w:jc w:val="left"/>
              <w:rPr>
                <w:rFonts w:cs="Arial"/>
                <w:szCs w:val="20"/>
              </w:rPr>
            </w:pPr>
          </w:p>
        </w:tc>
        <w:tc>
          <w:tcPr>
            <w:tcW w:w="5860" w:type="dxa"/>
            <w:shd w:val="clear" w:color="auto" w:fill="auto"/>
          </w:tcPr>
          <w:p w14:paraId="5DFE8E43" w14:textId="27FA608D" w:rsidR="00F83EB3" w:rsidRDefault="00F83EB3" w:rsidP="00046CD7">
            <w:pPr>
              <w:jc w:val="left"/>
            </w:pPr>
            <w:r>
              <w:t>A number of factors have limited the effectiveness of Program implementation including:</w:t>
            </w:r>
          </w:p>
          <w:p w14:paraId="3261EF7B" w14:textId="722D2303" w:rsidR="00F83EB3" w:rsidRPr="00ED5F40" w:rsidRDefault="00F83EB3" w:rsidP="00C21794">
            <w:pPr>
              <w:numPr>
                <w:ilvl w:val="0"/>
                <w:numId w:val="16"/>
              </w:numPr>
              <w:jc w:val="left"/>
              <w:rPr>
                <w:b/>
                <w:bCs/>
              </w:rPr>
            </w:pPr>
            <w:r w:rsidRPr="00ED5F40">
              <w:rPr>
                <w:b/>
                <w:bCs/>
              </w:rPr>
              <w:t>Program Management</w:t>
            </w:r>
          </w:p>
          <w:p w14:paraId="09A494C8" w14:textId="206427E0" w:rsidR="00F83EB3" w:rsidRDefault="00F83EB3" w:rsidP="00C21794">
            <w:pPr>
              <w:pStyle w:val="ListParagraph"/>
              <w:numPr>
                <w:ilvl w:val="0"/>
                <w:numId w:val="15"/>
              </w:numPr>
              <w:jc w:val="left"/>
            </w:pPr>
            <w:r>
              <w:t xml:space="preserve">A formula based Program </w:t>
            </w:r>
            <w:proofErr w:type="gramStart"/>
            <w:r>
              <w:t>design which</w:t>
            </w:r>
            <w:proofErr w:type="gramEnd"/>
            <w:r>
              <w:t xml:space="preserve"> did not adequately reflect the existing TVET context in Tonga</w:t>
            </w:r>
            <w:r w:rsidR="00415837">
              <w:t>.</w:t>
            </w:r>
          </w:p>
          <w:p w14:paraId="09EC7A7A" w14:textId="5195EEF6" w:rsidR="00F83EB3" w:rsidRDefault="00F83EB3" w:rsidP="00C21794">
            <w:pPr>
              <w:pStyle w:val="ListParagraph"/>
              <w:numPr>
                <w:ilvl w:val="0"/>
                <w:numId w:val="15"/>
              </w:numPr>
              <w:jc w:val="left"/>
            </w:pPr>
            <w:r>
              <w:lastRenderedPageBreak/>
              <w:t xml:space="preserve">A Program Management structure incorporated into the </w:t>
            </w:r>
            <w:proofErr w:type="gramStart"/>
            <w:r>
              <w:t>design which incorrectly assumed administrative capacity</w:t>
            </w:r>
            <w:proofErr w:type="gramEnd"/>
            <w:r>
              <w:t xml:space="preserve"> existed within MOTEYS and the donors to implement a large (by Tongan standards) </w:t>
            </w:r>
            <w:r w:rsidR="00415837">
              <w:t>development cooperation program.</w:t>
            </w:r>
          </w:p>
          <w:p w14:paraId="5023482D" w14:textId="7FFD3645" w:rsidR="00F83EB3" w:rsidRDefault="00F83EB3" w:rsidP="00C21794">
            <w:pPr>
              <w:pStyle w:val="ListParagraph"/>
              <w:numPr>
                <w:ilvl w:val="0"/>
                <w:numId w:val="15"/>
              </w:numPr>
              <w:jc w:val="left"/>
            </w:pPr>
            <w:r>
              <w:t>A poorly implemented Donor Funding Arrangement and complex governance structures between the Governments of Australia and New Zealand causing delays, uncertainty and confusion amongst MOTEYS and TSP Program management staff</w:t>
            </w:r>
            <w:r w:rsidR="00415837">
              <w:t>.</w:t>
            </w:r>
          </w:p>
          <w:p w14:paraId="7494C67A" w14:textId="3017EC47" w:rsidR="00F83EB3" w:rsidRDefault="00F83EB3" w:rsidP="00C21794">
            <w:pPr>
              <w:pStyle w:val="ListParagraph"/>
              <w:numPr>
                <w:ilvl w:val="0"/>
                <w:numId w:val="15"/>
              </w:numPr>
              <w:jc w:val="left"/>
            </w:pPr>
            <w:r>
              <w:t>Irregular and infrequent meetings of the Program Steering Committee to address and redress issues as they arose</w:t>
            </w:r>
            <w:r w:rsidR="00415837">
              <w:t>.</w:t>
            </w:r>
          </w:p>
          <w:p w14:paraId="0A8F3840" w14:textId="20D03956" w:rsidR="00F83EB3" w:rsidRDefault="00F83EB3" w:rsidP="00C21794">
            <w:pPr>
              <w:pStyle w:val="ListParagraph"/>
              <w:numPr>
                <w:ilvl w:val="0"/>
                <w:numId w:val="15"/>
              </w:numPr>
              <w:jc w:val="left"/>
            </w:pPr>
            <w:r>
              <w:t>Poor professional relationships between senior managers</w:t>
            </w:r>
            <w:r w:rsidR="00415837">
              <w:t>.</w:t>
            </w:r>
            <w:r>
              <w:t xml:space="preserve"> </w:t>
            </w:r>
          </w:p>
          <w:p w14:paraId="336DA187" w14:textId="6F344E0A" w:rsidR="00F83EB3" w:rsidRDefault="00F83EB3" w:rsidP="00C21794">
            <w:pPr>
              <w:pStyle w:val="ListParagraph"/>
              <w:numPr>
                <w:ilvl w:val="0"/>
                <w:numId w:val="15"/>
              </w:numPr>
              <w:jc w:val="left"/>
            </w:pPr>
            <w:r>
              <w:t>Under performance of internationally recruited technical assistance</w:t>
            </w:r>
            <w:r w:rsidR="00415837">
              <w:t>.</w:t>
            </w:r>
          </w:p>
          <w:p w14:paraId="0FDA8D51" w14:textId="44A2BF82" w:rsidR="00F83EB3" w:rsidRDefault="00F83EB3" w:rsidP="00C21794">
            <w:pPr>
              <w:pStyle w:val="ListParagraph"/>
              <w:numPr>
                <w:ilvl w:val="0"/>
                <w:numId w:val="15"/>
              </w:numPr>
              <w:jc w:val="left"/>
            </w:pPr>
            <w:r>
              <w:t xml:space="preserve">A propensity to unrealistically raise expectations about TSP1 delivery and a tendency to address unmet expectations with tactical responses such as </w:t>
            </w:r>
            <w:proofErr w:type="gramStart"/>
            <w:r>
              <w:t>a hurriedly</w:t>
            </w:r>
            <w:proofErr w:type="gramEnd"/>
            <w:r>
              <w:t xml:space="preserve"> conceived and implemented equipment grants scheme</w:t>
            </w:r>
            <w:r w:rsidR="00415837">
              <w:t>.</w:t>
            </w:r>
          </w:p>
          <w:p w14:paraId="4E6C04A9" w14:textId="3299AB07" w:rsidR="00F83EB3" w:rsidRPr="00513FB1" w:rsidRDefault="00F83EB3" w:rsidP="00C21794">
            <w:pPr>
              <w:pStyle w:val="ListParagraph"/>
              <w:numPr>
                <w:ilvl w:val="0"/>
                <w:numId w:val="15"/>
              </w:numPr>
              <w:jc w:val="left"/>
            </w:pPr>
            <w:r>
              <w:t>An overemphasis on school level alternative pathways distracting/diverting resources away from more strategic investments in the tertiary sector</w:t>
            </w:r>
            <w:r w:rsidR="00415837">
              <w:t>.</w:t>
            </w:r>
          </w:p>
          <w:p w14:paraId="20FBB5FE" w14:textId="77777777" w:rsidR="00F83EB3" w:rsidRPr="00513FB1" w:rsidRDefault="00F83EB3" w:rsidP="00C21794">
            <w:pPr>
              <w:numPr>
                <w:ilvl w:val="0"/>
                <w:numId w:val="16"/>
              </w:numPr>
              <w:jc w:val="left"/>
              <w:rPr>
                <w:b/>
                <w:bCs/>
              </w:rPr>
            </w:pPr>
            <w:r>
              <w:rPr>
                <w:b/>
                <w:bCs/>
              </w:rPr>
              <w:t>Response</w:t>
            </w:r>
            <w:r w:rsidRPr="00914FAA">
              <w:rPr>
                <w:b/>
                <w:bCs/>
              </w:rPr>
              <w:t xml:space="preserve"> to key TVET challenges in Tonga</w:t>
            </w:r>
          </w:p>
          <w:p w14:paraId="738188A5" w14:textId="4C430C5A" w:rsidR="00F83EB3" w:rsidRDefault="00F83EB3" w:rsidP="00C21794">
            <w:pPr>
              <w:pStyle w:val="ListParagraph"/>
              <w:numPr>
                <w:ilvl w:val="0"/>
                <w:numId w:val="15"/>
              </w:numPr>
              <w:jc w:val="left"/>
            </w:pPr>
            <w:r>
              <w:t>A lack of a common vision for TVET in Tonga and the absence of any process to build such a vision based on broad based understanding of TVET concepts and approaches</w:t>
            </w:r>
            <w:r w:rsidR="00415837">
              <w:t>.</w:t>
            </w:r>
          </w:p>
          <w:p w14:paraId="4B6404B2" w14:textId="433DA63F" w:rsidR="00F83EB3" w:rsidRDefault="00F83EB3" w:rsidP="00C21794">
            <w:pPr>
              <w:pStyle w:val="ListParagraph"/>
              <w:numPr>
                <w:ilvl w:val="0"/>
                <w:numId w:val="15"/>
              </w:numPr>
              <w:jc w:val="left"/>
            </w:pPr>
            <w:r>
              <w:t>The absence of a national TVET policy and missed opportunity to build understanding and ownership through a policy development process</w:t>
            </w:r>
            <w:r w:rsidR="00415837">
              <w:t>.</w:t>
            </w:r>
          </w:p>
          <w:p w14:paraId="57150A16" w14:textId="2F1F98A7" w:rsidR="00F83EB3" w:rsidRDefault="00F83EB3" w:rsidP="00C21794">
            <w:pPr>
              <w:pStyle w:val="ListParagraph"/>
              <w:numPr>
                <w:ilvl w:val="0"/>
                <w:numId w:val="15"/>
              </w:numPr>
              <w:jc w:val="left"/>
            </w:pPr>
            <w:r>
              <w:t>There has also been a lack of data, particularly labour market information and skills plans to inform policy development and TSP1 implementation strategies</w:t>
            </w:r>
            <w:r w:rsidR="00415837">
              <w:t>.</w:t>
            </w:r>
          </w:p>
          <w:p w14:paraId="5D30DDA2" w14:textId="6A30095F" w:rsidR="00F83EB3" w:rsidRDefault="00F83EB3" w:rsidP="00C21794">
            <w:pPr>
              <w:pStyle w:val="ListParagraph"/>
              <w:numPr>
                <w:ilvl w:val="0"/>
                <w:numId w:val="15"/>
              </w:numPr>
              <w:jc w:val="left"/>
            </w:pPr>
            <w:r>
              <w:t>No initiatives undertaken to build labour market information or skills plans as a first step to determining demand and identifying appropriate courses and units of competence</w:t>
            </w:r>
            <w:r w:rsidR="00415837">
              <w:t>.</w:t>
            </w:r>
          </w:p>
          <w:p w14:paraId="3E640FD1" w14:textId="4FE45F06" w:rsidR="00F83EB3" w:rsidRPr="00ED5F40" w:rsidRDefault="00F83EB3" w:rsidP="00C21794">
            <w:pPr>
              <w:pStyle w:val="ListParagraph"/>
              <w:numPr>
                <w:ilvl w:val="0"/>
                <w:numId w:val="15"/>
              </w:numPr>
              <w:jc w:val="left"/>
            </w:pPr>
            <w:r>
              <w:t xml:space="preserve">A poorly conceived Employment and Training </w:t>
            </w:r>
            <w:proofErr w:type="gramStart"/>
            <w:r>
              <w:t>Fund which</w:t>
            </w:r>
            <w:proofErr w:type="gramEnd"/>
            <w:r>
              <w:t xml:space="preserve"> is out of step with the current stage of TVET systems development in Tonga</w:t>
            </w:r>
            <w:r w:rsidR="00415837">
              <w:t>.</w:t>
            </w:r>
          </w:p>
        </w:tc>
        <w:tc>
          <w:tcPr>
            <w:tcW w:w="1247" w:type="dxa"/>
            <w:shd w:val="clear" w:color="auto" w:fill="auto"/>
          </w:tcPr>
          <w:p w14:paraId="1FBF97A6" w14:textId="630C4123" w:rsidR="00F83EB3" w:rsidRPr="000513B3" w:rsidRDefault="000513B3" w:rsidP="000513B3">
            <w:pPr>
              <w:jc w:val="center"/>
            </w:pPr>
            <w:r>
              <w:lastRenderedPageBreak/>
              <w:t>2</w:t>
            </w:r>
          </w:p>
        </w:tc>
      </w:tr>
      <w:tr w:rsidR="00F83EB3" w:rsidRPr="004034E1" w14:paraId="0869F232" w14:textId="77777777" w:rsidTr="005C5419">
        <w:tblPrEx>
          <w:tblCellMar>
            <w:top w:w="57" w:type="dxa"/>
            <w:left w:w="57" w:type="dxa"/>
            <w:bottom w:w="57" w:type="dxa"/>
            <w:right w:w="57" w:type="dxa"/>
          </w:tblCellMar>
        </w:tblPrEx>
        <w:tc>
          <w:tcPr>
            <w:tcW w:w="1824" w:type="dxa"/>
            <w:tcBorders>
              <w:top w:val="single" w:sz="4" w:space="0" w:color="808080"/>
              <w:left w:val="single" w:sz="4" w:space="0" w:color="808080"/>
              <w:bottom w:val="single" w:sz="4" w:space="0" w:color="808080"/>
              <w:right w:val="single" w:sz="4" w:space="0" w:color="808080"/>
            </w:tcBorders>
            <w:shd w:val="clear" w:color="auto" w:fill="auto"/>
            <w:tcMar>
              <w:right w:w="28" w:type="dxa"/>
            </w:tcMar>
          </w:tcPr>
          <w:p w14:paraId="32CABB8D" w14:textId="77777777" w:rsidR="00F83EB3" w:rsidRPr="00C405F1" w:rsidRDefault="00F83EB3" w:rsidP="00C405F1">
            <w:pPr>
              <w:tabs>
                <w:tab w:val="left" w:pos="227"/>
              </w:tabs>
              <w:spacing w:after="0"/>
              <w:jc w:val="left"/>
              <w:rPr>
                <w:rFonts w:cs="Arial"/>
                <w:szCs w:val="20"/>
              </w:rPr>
            </w:pPr>
            <w:r w:rsidRPr="00C405F1">
              <w:rPr>
                <w:rFonts w:cs="Arial"/>
                <w:szCs w:val="20"/>
              </w:rPr>
              <w:lastRenderedPageBreak/>
              <w:t xml:space="preserve">3.  Efficiency </w:t>
            </w:r>
          </w:p>
          <w:p w14:paraId="2689F18E" w14:textId="1910DD3F" w:rsidR="00F83EB3" w:rsidRPr="00C405F1" w:rsidRDefault="00F83EB3" w:rsidP="00C405F1">
            <w:pPr>
              <w:spacing w:before="60" w:after="0"/>
              <w:ind w:left="245"/>
              <w:jc w:val="left"/>
              <w:rPr>
                <w:rFonts w:cs="Arial"/>
                <w:i/>
                <w:szCs w:val="20"/>
              </w:rPr>
            </w:pPr>
            <w:r w:rsidRPr="00C405F1">
              <w:rPr>
                <w:rFonts w:cs="Arial"/>
                <w:szCs w:val="20"/>
              </w:rPr>
              <w:t xml:space="preserve">How well is it being </w:t>
            </w:r>
            <w:r w:rsidRPr="00C405F1">
              <w:rPr>
                <w:rFonts w:cs="Arial"/>
                <w:szCs w:val="20"/>
              </w:rPr>
              <w:lastRenderedPageBreak/>
              <w:t>achieved?</w:t>
            </w:r>
          </w:p>
        </w:tc>
        <w:tc>
          <w:tcPr>
            <w:tcW w:w="5860" w:type="dxa"/>
            <w:tcBorders>
              <w:top w:val="single" w:sz="4" w:space="0" w:color="808080"/>
              <w:left w:val="single" w:sz="4" w:space="0" w:color="808080"/>
              <w:bottom w:val="single" w:sz="4" w:space="0" w:color="808080"/>
              <w:right w:val="single" w:sz="4" w:space="0" w:color="808080"/>
            </w:tcBorders>
            <w:shd w:val="clear" w:color="auto" w:fill="auto"/>
          </w:tcPr>
          <w:p w14:paraId="37046CA7" w14:textId="071E3709" w:rsidR="00F83EB3" w:rsidRDefault="00F83EB3" w:rsidP="00C21794">
            <w:pPr>
              <w:pStyle w:val="ListParagraph"/>
              <w:numPr>
                <w:ilvl w:val="0"/>
                <w:numId w:val="15"/>
              </w:numPr>
              <w:jc w:val="left"/>
            </w:pPr>
            <w:r>
              <w:lastRenderedPageBreak/>
              <w:t>Very slow progress against design and planned activity</w:t>
            </w:r>
            <w:r w:rsidR="00415837">
              <w:t>.</w:t>
            </w:r>
          </w:p>
          <w:p w14:paraId="0EF883FB" w14:textId="77777777" w:rsidR="00F83EB3" w:rsidRDefault="00F83EB3" w:rsidP="00C21794">
            <w:pPr>
              <w:pStyle w:val="ListParagraph"/>
              <w:numPr>
                <w:ilvl w:val="0"/>
                <w:numId w:val="15"/>
              </w:numPr>
              <w:jc w:val="left"/>
            </w:pPr>
            <w:r>
              <w:t xml:space="preserve">Significant levels of under-expenditure in relation to budget. </w:t>
            </w:r>
          </w:p>
          <w:p w14:paraId="3FC90BB0" w14:textId="240937F3" w:rsidR="00F83EB3" w:rsidRDefault="00F83EB3" w:rsidP="00C21794">
            <w:pPr>
              <w:pStyle w:val="ListParagraph"/>
              <w:numPr>
                <w:ilvl w:val="0"/>
                <w:numId w:val="15"/>
              </w:numPr>
              <w:jc w:val="left"/>
            </w:pPr>
            <w:r>
              <w:lastRenderedPageBreak/>
              <w:t>Annual Plans have been overly optimistic in relation to expected outputs and future planning needs to be more realistic both in scope and budget.</w:t>
            </w:r>
          </w:p>
          <w:p w14:paraId="6F8F11C1" w14:textId="2D31FD2F" w:rsidR="00F83EB3" w:rsidRDefault="00F83EB3" w:rsidP="00C21794">
            <w:pPr>
              <w:pStyle w:val="ListParagraph"/>
              <w:numPr>
                <w:ilvl w:val="0"/>
                <w:numId w:val="15"/>
              </w:numPr>
              <w:jc w:val="left"/>
            </w:pPr>
            <w:r>
              <w:t>High levels of staff turnover resulting in a loss of any previous capacity building and the need for repeat training for replacement personnel</w:t>
            </w:r>
            <w:r w:rsidR="00415837">
              <w:t>.</w:t>
            </w:r>
          </w:p>
          <w:p w14:paraId="2CC4CFDA" w14:textId="71CAAE4A" w:rsidR="00F83EB3" w:rsidRDefault="00F83EB3" w:rsidP="00C21794">
            <w:pPr>
              <w:pStyle w:val="ListParagraph"/>
              <w:numPr>
                <w:ilvl w:val="0"/>
                <w:numId w:val="15"/>
              </w:numPr>
              <w:jc w:val="left"/>
            </w:pPr>
            <w:r>
              <w:t>Complicated recruitment processes</w:t>
            </w:r>
            <w:r w:rsidR="00415837">
              <w:t>.</w:t>
            </w:r>
          </w:p>
          <w:p w14:paraId="15548B99" w14:textId="078D5242" w:rsidR="00F83EB3" w:rsidRDefault="00F83EB3" w:rsidP="00C21794">
            <w:pPr>
              <w:pStyle w:val="ListParagraph"/>
              <w:numPr>
                <w:ilvl w:val="0"/>
                <w:numId w:val="15"/>
              </w:numPr>
              <w:jc w:val="left"/>
            </w:pPr>
            <w:r>
              <w:t>Vacant positions unfilled for extended periods particularly the key Program Technical Manager position</w:t>
            </w:r>
            <w:r w:rsidR="00415837">
              <w:t>.</w:t>
            </w:r>
          </w:p>
          <w:p w14:paraId="6E8B9A48" w14:textId="53996DBD" w:rsidR="00F83EB3" w:rsidRDefault="00F83EB3" w:rsidP="00C21794">
            <w:pPr>
              <w:pStyle w:val="ListParagraph"/>
              <w:numPr>
                <w:ilvl w:val="0"/>
                <w:numId w:val="15"/>
              </w:numPr>
              <w:jc w:val="left"/>
            </w:pPr>
            <w:r>
              <w:t>Unnecessary effort to develop competency standard and course ‘wish list’ without any real analysis of demand or consideration of the capacity of Tongan training providers to deliver</w:t>
            </w:r>
            <w:r w:rsidR="00415837">
              <w:t>.</w:t>
            </w:r>
          </w:p>
          <w:p w14:paraId="505362E0" w14:textId="4013DB9A" w:rsidR="00F83EB3" w:rsidRDefault="00F83EB3" w:rsidP="00C21794">
            <w:pPr>
              <w:pStyle w:val="ListParagraph"/>
              <w:numPr>
                <w:ilvl w:val="0"/>
                <w:numId w:val="15"/>
              </w:numPr>
              <w:jc w:val="left"/>
            </w:pPr>
            <w:r>
              <w:t>Significant delay in the accreditation of the Hospitality and Tourism courses and units of competence due to the deliberate exclusion by technical advisers of the TNQAB in competency standards development</w:t>
            </w:r>
            <w:r w:rsidR="00415837">
              <w:t>.</w:t>
            </w:r>
          </w:p>
          <w:p w14:paraId="0054B98F" w14:textId="54DC8B05" w:rsidR="00F83EB3" w:rsidRDefault="00F83EB3" w:rsidP="00C21794">
            <w:pPr>
              <w:pStyle w:val="ListParagraph"/>
              <w:numPr>
                <w:ilvl w:val="0"/>
                <w:numId w:val="15"/>
              </w:numPr>
              <w:jc w:val="left"/>
            </w:pPr>
            <w:r>
              <w:t>An Alternative Pathways Pilot Scheme has lacked a specific demand focus and decisions about trainer training and material support in the form of equipment grants has not been linked directly solid data related to demand</w:t>
            </w:r>
            <w:r w:rsidR="00415837">
              <w:t>.</w:t>
            </w:r>
          </w:p>
          <w:p w14:paraId="4D5F4351" w14:textId="2BCE241F" w:rsidR="00F83EB3" w:rsidRDefault="00F83EB3" w:rsidP="00C21794">
            <w:pPr>
              <w:pStyle w:val="ListParagraph"/>
              <w:numPr>
                <w:ilvl w:val="0"/>
                <w:numId w:val="15"/>
              </w:numPr>
              <w:jc w:val="left"/>
            </w:pPr>
            <w:r>
              <w:t>In most cases, trainers have been trained and equipment has been ordered and delivered in advance of course development</w:t>
            </w:r>
            <w:r w:rsidR="00415837">
              <w:t>.</w:t>
            </w:r>
          </w:p>
          <w:p w14:paraId="6E72ACEE" w14:textId="1E4C82EB" w:rsidR="00F83EB3" w:rsidRDefault="00F83EB3" w:rsidP="00C21794">
            <w:pPr>
              <w:pStyle w:val="ListParagraph"/>
              <w:numPr>
                <w:ilvl w:val="0"/>
                <w:numId w:val="15"/>
              </w:numPr>
              <w:jc w:val="left"/>
            </w:pPr>
            <w:r>
              <w:t xml:space="preserve">Inexperienced equipment procurement – leading to purchase in some cases of ‘handyman’ level </w:t>
            </w:r>
            <w:proofErr w:type="gramStart"/>
            <w:r>
              <w:t>equipment which</w:t>
            </w:r>
            <w:proofErr w:type="gramEnd"/>
            <w:r>
              <w:t xml:space="preserve"> is unlikely to be durable in a training workshop setting</w:t>
            </w:r>
            <w:r w:rsidR="00415837">
              <w:t>.</w:t>
            </w:r>
          </w:p>
          <w:p w14:paraId="3CAD75B9" w14:textId="78473A0C" w:rsidR="00F83EB3" w:rsidRPr="00914FAA" w:rsidRDefault="00F83EB3" w:rsidP="00C21794">
            <w:pPr>
              <w:pStyle w:val="ListParagraph"/>
              <w:numPr>
                <w:ilvl w:val="0"/>
                <w:numId w:val="15"/>
              </w:numPr>
              <w:jc w:val="left"/>
            </w:pPr>
            <w:r>
              <w:t xml:space="preserve">Overlay of three different government accountability structures exacerbating already </w:t>
            </w:r>
            <w:r w:rsidRPr="00D701E6">
              <w:t xml:space="preserve">complex </w:t>
            </w:r>
            <w:r>
              <w:t>procurement and financial management systems</w:t>
            </w:r>
            <w:r w:rsidR="00415837">
              <w:t>.</w:t>
            </w:r>
            <w:r>
              <w:t xml:space="preserve"> </w:t>
            </w:r>
          </w:p>
          <w:p w14:paraId="3DABAB80" w14:textId="5F8AE5E7" w:rsidR="00F83EB3" w:rsidRDefault="00F83EB3" w:rsidP="00C21794">
            <w:pPr>
              <w:pStyle w:val="ListParagraph"/>
              <w:numPr>
                <w:ilvl w:val="0"/>
                <w:numId w:val="15"/>
              </w:numPr>
              <w:jc w:val="left"/>
            </w:pPr>
            <w:r>
              <w:t>Overly complicated monitoring and evaluation system requiring additional inputs to simplify with little real progress in actual monitoring and evaluation to date</w:t>
            </w:r>
            <w:r w:rsidR="00415837">
              <w:t>.</w:t>
            </w:r>
            <w:r>
              <w:t xml:space="preserve"> </w:t>
            </w:r>
          </w:p>
          <w:p w14:paraId="15995E41" w14:textId="2223A2CA" w:rsidR="00F83EB3" w:rsidRPr="002B62B4" w:rsidRDefault="00F83EB3" w:rsidP="00C21794">
            <w:pPr>
              <w:pStyle w:val="ListParagraph"/>
              <w:numPr>
                <w:ilvl w:val="0"/>
                <w:numId w:val="15"/>
              </w:numPr>
              <w:jc w:val="left"/>
            </w:pPr>
            <w:r>
              <w:t>Slow development of what appears to be a cumbersome and inflexible system TVET Management Information System.</w:t>
            </w:r>
          </w:p>
        </w:tc>
        <w:tc>
          <w:tcPr>
            <w:tcW w:w="1247" w:type="dxa"/>
            <w:tcBorders>
              <w:top w:val="single" w:sz="4" w:space="0" w:color="808080"/>
              <w:left w:val="single" w:sz="4" w:space="0" w:color="808080"/>
              <w:bottom w:val="single" w:sz="4" w:space="0" w:color="808080"/>
              <w:right w:val="single" w:sz="4" w:space="0" w:color="808080"/>
            </w:tcBorders>
            <w:shd w:val="clear" w:color="auto" w:fill="auto"/>
          </w:tcPr>
          <w:p w14:paraId="37C1A267" w14:textId="2FF1B0DB" w:rsidR="00F83EB3" w:rsidRPr="000513B3" w:rsidRDefault="00C405F1" w:rsidP="000513B3">
            <w:pPr>
              <w:jc w:val="center"/>
            </w:pPr>
            <w:r>
              <w:lastRenderedPageBreak/>
              <w:t>2</w:t>
            </w:r>
          </w:p>
        </w:tc>
      </w:tr>
      <w:tr w:rsidR="00F83EB3" w:rsidRPr="004034E1" w14:paraId="5F095B66" w14:textId="77777777" w:rsidTr="005C5419">
        <w:tblPrEx>
          <w:tblCellMar>
            <w:top w:w="57" w:type="dxa"/>
            <w:left w:w="57" w:type="dxa"/>
            <w:bottom w:w="57" w:type="dxa"/>
            <w:right w:w="57" w:type="dxa"/>
          </w:tblCellMar>
        </w:tblPrEx>
        <w:tc>
          <w:tcPr>
            <w:tcW w:w="1824" w:type="dxa"/>
            <w:tcBorders>
              <w:top w:val="single" w:sz="4" w:space="0" w:color="808080"/>
              <w:left w:val="single" w:sz="4" w:space="0" w:color="808080"/>
              <w:bottom w:val="single" w:sz="4" w:space="0" w:color="808080"/>
              <w:right w:val="single" w:sz="4" w:space="0" w:color="808080"/>
            </w:tcBorders>
            <w:shd w:val="clear" w:color="auto" w:fill="auto"/>
            <w:tcMar>
              <w:right w:w="28" w:type="dxa"/>
            </w:tcMar>
          </w:tcPr>
          <w:p w14:paraId="090D22A4" w14:textId="230D1E01" w:rsidR="00F83EB3" w:rsidRPr="00C405F1" w:rsidRDefault="00F83EB3" w:rsidP="00C405F1">
            <w:pPr>
              <w:tabs>
                <w:tab w:val="left" w:pos="227"/>
              </w:tabs>
              <w:spacing w:before="60" w:after="0"/>
              <w:ind w:left="227" w:hanging="227"/>
              <w:jc w:val="left"/>
              <w:rPr>
                <w:rFonts w:cs="Arial"/>
                <w:szCs w:val="20"/>
              </w:rPr>
            </w:pPr>
            <w:r w:rsidRPr="00C405F1">
              <w:rPr>
                <w:rFonts w:cs="Arial"/>
                <w:szCs w:val="20"/>
              </w:rPr>
              <w:lastRenderedPageBreak/>
              <w:t>4.</w:t>
            </w:r>
            <w:r w:rsidRPr="00C405F1">
              <w:rPr>
                <w:rFonts w:cs="Arial"/>
                <w:szCs w:val="20"/>
              </w:rPr>
              <w:tab/>
              <w:t>Monitoring &amp; Evaluation</w:t>
            </w:r>
          </w:p>
          <w:p w14:paraId="06E3BC05" w14:textId="208FEC2E" w:rsidR="00F83EB3" w:rsidRPr="00C405F1" w:rsidRDefault="00F83EB3" w:rsidP="00C405F1">
            <w:pPr>
              <w:spacing w:before="60" w:after="0"/>
              <w:ind w:left="245"/>
              <w:jc w:val="left"/>
              <w:rPr>
                <w:rFonts w:cs="Arial"/>
                <w:i/>
                <w:szCs w:val="20"/>
              </w:rPr>
            </w:pPr>
            <w:r w:rsidRPr="00C405F1">
              <w:rPr>
                <w:rFonts w:cs="Arial"/>
                <w:szCs w:val="20"/>
              </w:rPr>
              <w:t>How will we know?</w:t>
            </w:r>
          </w:p>
        </w:tc>
        <w:tc>
          <w:tcPr>
            <w:tcW w:w="5860" w:type="dxa"/>
            <w:tcBorders>
              <w:top w:val="single" w:sz="4" w:space="0" w:color="808080"/>
              <w:left w:val="single" w:sz="4" w:space="0" w:color="808080"/>
              <w:bottom w:val="single" w:sz="4" w:space="0" w:color="808080"/>
              <w:right w:val="single" w:sz="4" w:space="0" w:color="808080"/>
            </w:tcBorders>
            <w:shd w:val="clear" w:color="auto" w:fill="auto"/>
          </w:tcPr>
          <w:p w14:paraId="091E8E39" w14:textId="0D04F0C4" w:rsidR="00F83EB3" w:rsidRDefault="00F83EB3" w:rsidP="00C21794">
            <w:pPr>
              <w:pStyle w:val="ListParagraph"/>
              <w:numPr>
                <w:ilvl w:val="0"/>
                <w:numId w:val="15"/>
              </w:numPr>
              <w:jc w:val="left"/>
            </w:pPr>
            <w:r>
              <w:t>The new M&amp;E adviser and the Program M&amp;E Officer are working closely to improve systems overall. The latter is responding very well to the coaching and mentoring being provided by both the M&amp;E Adviser and the PTM.</w:t>
            </w:r>
          </w:p>
          <w:p w14:paraId="11954B26" w14:textId="6EA2BF62" w:rsidR="00F83EB3" w:rsidRDefault="00F83EB3" w:rsidP="00C21794">
            <w:pPr>
              <w:pStyle w:val="ListParagraph"/>
              <w:numPr>
                <w:ilvl w:val="0"/>
                <w:numId w:val="15"/>
              </w:numPr>
              <w:jc w:val="left"/>
            </w:pPr>
            <w:r>
              <w:t>N</w:t>
            </w:r>
            <w:r w:rsidRPr="00914FAA">
              <w:t xml:space="preserve">eed </w:t>
            </w:r>
            <w:r>
              <w:t>for TSP1 M&amp;E to be</w:t>
            </w:r>
            <w:r w:rsidRPr="00914FAA">
              <w:t xml:space="preserve"> </w:t>
            </w:r>
            <w:r>
              <w:t xml:space="preserve">better </w:t>
            </w:r>
            <w:r w:rsidRPr="00914FAA">
              <w:t xml:space="preserve">aligned to Government and donor strategic frameworks </w:t>
            </w:r>
            <w:r>
              <w:t xml:space="preserve"> - TSDF has comprehensive list of outcomes and indicators which </w:t>
            </w:r>
            <w:r>
              <w:lastRenderedPageBreak/>
              <w:t>could be readily adopted by TSP1</w:t>
            </w:r>
            <w:r w:rsidR="00415837">
              <w:t>.</w:t>
            </w:r>
          </w:p>
          <w:p w14:paraId="23E6783C" w14:textId="74950517" w:rsidR="00F83EB3" w:rsidRDefault="00F83EB3" w:rsidP="00C21794">
            <w:pPr>
              <w:pStyle w:val="ListParagraph"/>
              <w:numPr>
                <w:ilvl w:val="0"/>
                <w:numId w:val="15"/>
              </w:numPr>
              <w:jc w:val="left"/>
            </w:pPr>
            <w:r>
              <w:t>Outcomes specified in TSP1 design are a confused mix of outcomes, outputs and inputs</w:t>
            </w:r>
            <w:r w:rsidR="00415837">
              <w:t>.</w:t>
            </w:r>
          </w:p>
          <w:p w14:paraId="1358E920" w14:textId="13F1322D" w:rsidR="00F83EB3" w:rsidRDefault="00F83EB3" w:rsidP="00C21794">
            <w:pPr>
              <w:pStyle w:val="ListParagraph"/>
              <w:numPr>
                <w:ilvl w:val="0"/>
                <w:numId w:val="15"/>
              </w:numPr>
              <w:jc w:val="left"/>
            </w:pPr>
            <w:r>
              <w:t>Relationship between outcomes and performance indicators not clear</w:t>
            </w:r>
            <w:r w:rsidR="00415837">
              <w:t>.</w:t>
            </w:r>
          </w:p>
          <w:p w14:paraId="5B9F5A81" w14:textId="77777777" w:rsidR="00F83EB3" w:rsidRDefault="00F83EB3" w:rsidP="00C21794">
            <w:pPr>
              <w:pStyle w:val="ListParagraph"/>
              <w:numPr>
                <w:ilvl w:val="0"/>
                <w:numId w:val="15"/>
              </w:numPr>
              <w:jc w:val="left"/>
            </w:pPr>
            <w:r>
              <w:t>Attempts by the Program to interpret the designer’s intentions have resulted in an overly complicated M&amp;E framework incorporating a heavy data collection load and difficult to measure indicators, e.g. ‘</w:t>
            </w:r>
            <w:r w:rsidRPr="00270890">
              <w:t>schools selected to participate are appropriately engaged</w:t>
            </w:r>
            <w:r>
              <w:t>’.</w:t>
            </w:r>
          </w:p>
          <w:p w14:paraId="37380331" w14:textId="77777777" w:rsidR="00F83EB3" w:rsidRDefault="00F83EB3" w:rsidP="00C21794">
            <w:pPr>
              <w:pStyle w:val="ListParagraph"/>
              <w:numPr>
                <w:ilvl w:val="0"/>
                <w:numId w:val="15"/>
              </w:numPr>
              <w:jc w:val="left"/>
            </w:pPr>
            <w:r>
              <w:t xml:space="preserve">No evidence of baseline data collected was provided to the team. </w:t>
            </w:r>
          </w:p>
          <w:p w14:paraId="69B0BD91" w14:textId="4BB2DCED" w:rsidR="00F83EB3" w:rsidRPr="00034D4C" w:rsidRDefault="00F83EB3" w:rsidP="00C21794">
            <w:pPr>
              <w:pStyle w:val="ListParagraph"/>
              <w:numPr>
                <w:ilvl w:val="0"/>
                <w:numId w:val="15"/>
              </w:numPr>
              <w:jc w:val="left"/>
            </w:pPr>
            <w:r>
              <w:t>Achievements have been cited but it is unclear against what base these achievements have been accomplished.</w:t>
            </w:r>
          </w:p>
        </w:tc>
        <w:tc>
          <w:tcPr>
            <w:tcW w:w="1247" w:type="dxa"/>
            <w:tcBorders>
              <w:top w:val="single" w:sz="4" w:space="0" w:color="808080"/>
              <w:left w:val="single" w:sz="4" w:space="0" w:color="808080"/>
              <w:bottom w:val="single" w:sz="4" w:space="0" w:color="808080"/>
              <w:right w:val="single" w:sz="4" w:space="0" w:color="808080"/>
            </w:tcBorders>
            <w:shd w:val="clear" w:color="auto" w:fill="auto"/>
          </w:tcPr>
          <w:p w14:paraId="3C6554E5" w14:textId="22B1ED4B" w:rsidR="00F83EB3" w:rsidRPr="0042222F" w:rsidRDefault="00C405F1" w:rsidP="000513B3">
            <w:pPr>
              <w:spacing w:before="240"/>
              <w:jc w:val="center"/>
              <w:rPr>
                <w:sz w:val="16"/>
                <w:szCs w:val="16"/>
              </w:rPr>
            </w:pPr>
            <w:r>
              <w:rPr>
                <w:sz w:val="16"/>
                <w:szCs w:val="16"/>
              </w:rPr>
              <w:lastRenderedPageBreak/>
              <w:t>2</w:t>
            </w:r>
          </w:p>
        </w:tc>
      </w:tr>
      <w:tr w:rsidR="00F83EB3" w:rsidRPr="004034E1" w14:paraId="63ECC84E" w14:textId="77777777" w:rsidTr="005C5419">
        <w:tblPrEx>
          <w:tblCellMar>
            <w:top w:w="57" w:type="dxa"/>
            <w:left w:w="57" w:type="dxa"/>
            <w:bottom w:w="57" w:type="dxa"/>
            <w:right w:w="57" w:type="dxa"/>
          </w:tblCellMar>
        </w:tblPrEx>
        <w:tc>
          <w:tcPr>
            <w:tcW w:w="1824" w:type="dxa"/>
            <w:tcBorders>
              <w:top w:val="single" w:sz="4" w:space="0" w:color="808080"/>
              <w:left w:val="single" w:sz="4" w:space="0" w:color="808080"/>
              <w:bottom w:val="single" w:sz="4" w:space="0" w:color="808080"/>
              <w:right w:val="single" w:sz="4" w:space="0" w:color="808080"/>
            </w:tcBorders>
            <w:shd w:val="clear" w:color="auto" w:fill="auto"/>
            <w:tcMar>
              <w:right w:w="28" w:type="dxa"/>
            </w:tcMar>
          </w:tcPr>
          <w:p w14:paraId="6ED6BD71" w14:textId="54F42320" w:rsidR="00F83EB3" w:rsidRPr="00C405F1" w:rsidRDefault="00F83EB3" w:rsidP="00C405F1">
            <w:pPr>
              <w:tabs>
                <w:tab w:val="left" w:pos="227"/>
              </w:tabs>
              <w:spacing w:before="60" w:after="0"/>
              <w:jc w:val="left"/>
              <w:rPr>
                <w:rFonts w:cs="Arial"/>
                <w:szCs w:val="20"/>
              </w:rPr>
            </w:pPr>
            <w:r w:rsidRPr="00C405F1">
              <w:rPr>
                <w:rFonts w:cs="Arial"/>
                <w:szCs w:val="20"/>
              </w:rPr>
              <w:lastRenderedPageBreak/>
              <w:t>5.  Sustainability</w:t>
            </w:r>
          </w:p>
          <w:p w14:paraId="6D54B53D" w14:textId="4C64577C" w:rsidR="00F83EB3" w:rsidRPr="00C405F1" w:rsidRDefault="00F83EB3" w:rsidP="00C405F1">
            <w:pPr>
              <w:spacing w:before="60" w:after="0"/>
              <w:ind w:left="245"/>
              <w:jc w:val="left"/>
              <w:rPr>
                <w:rFonts w:cs="Arial"/>
                <w:i/>
                <w:szCs w:val="20"/>
              </w:rPr>
            </w:pPr>
            <w:r w:rsidRPr="00C405F1">
              <w:rPr>
                <w:rFonts w:cs="Arial"/>
                <w:szCs w:val="20"/>
              </w:rPr>
              <w:t>Will benefits last?</w:t>
            </w:r>
          </w:p>
        </w:tc>
        <w:tc>
          <w:tcPr>
            <w:tcW w:w="5860" w:type="dxa"/>
            <w:tcBorders>
              <w:top w:val="single" w:sz="4" w:space="0" w:color="808080"/>
              <w:left w:val="single" w:sz="4" w:space="0" w:color="808080"/>
              <w:bottom w:val="single" w:sz="4" w:space="0" w:color="808080"/>
              <w:right w:val="single" w:sz="4" w:space="0" w:color="808080"/>
            </w:tcBorders>
            <w:shd w:val="clear" w:color="auto" w:fill="auto"/>
          </w:tcPr>
          <w:p w14:paraId="0F0EE9AB" w14:textId="3E052EC5" w:rsidR="00F83EB3" w:rsidRDefault="00F83EB3" w:rsidP="00046CD7">
            <w:pPr>
              <w:jc w:val="left"/>
            </w:pPr>
            <w:r>
              <w:t>At this point in time there are few indicators for sustainable change.</w:t>
            </w:r>
          </w:p>
          <w:p w14:paraId="3FC07FF4" w14:textId="573CA4EB" w:rsidR="00F83EB3" w:rsidRDefault="00C405F1" w:rsidP="00046CD7">
            <w:pPr>
              <w:jc w:val="left"/>
            </w:pPr>
            <w:r>
              <w:t xml:space="preserve">The </w:t>
            </w:r>
            <w:r w:rsidR="00F83EB3">
              <w:t>transfer of responsibility for TVET from MOTEYS to MET brings both risks and opportunities.</w:t>
            </w:r>
          </w:p>
          <w:p w14:paraId="2E286B5E" w14:textId="5FABBF1A" w:rsidR="00F83EB3" w:rsidRDefault="00F83EB3" w:rsidP="00046CD7">
            <w:pPr>
              <w:jc w:val="left"/>
            </w:pPr>
            <w:r>
              <w:t>The risks include:</w:t>
            </w:r>
          </w:p>
          <w:p w14:paraId="7D525EBF" w14:textId="54DEE05C" w:rsidR="00F83EB3" w:rsidRPr="0051622F" w:rsidRDefault="00F83EB3" w:rsidP="00C21794">
            <w:pPr>
              <w:pStyle w:val="ListParagraph"/>
              <w:numPr>
                <w:ilvl w:val="0"/>
                <w:numId w:val="15"/>
              </w:numPr>
              <w:jc w:val="left"/>
            </w:pPr>
            <w:r>
              <w:t>Loss of current TSP1 (MOTEYS) experience</w:t>
            </w:r>
            <w:r w:rsidR="00415837">
              <w:t>.</w:t>
            </w:r>
          </w:p>
          <w:p w14:paraId="2E159857" w14:textId="37BB42D9" w:rsidR="00F83EB3" w:rsidRDefault="00F83EB3" w:rsidP="00C21794">
            <w:pPr>
              <w:pStyle w:val="ListParagraph"/>
              <w:numPr>
                <w:ilvl w:val="0"/>
                <w:numId w:val="15"/>
              </w:numPr>
              <w:jc w:val="left"/>
            </w:pPr>
            <w:r>
              <w:t xml:space="preserve">The need to sustain external linkages for the delivery of </w:t>
            </w:r>
            <w:proofErr w:type="gramStart"/>
            <w:r>
              <w:t>higher level</w:t>
            </w:r>
            <w:proofErr w:type="gramEnd"/>
            <w:r>
              <w:t xml:space="preserve"> skill development may not be understood</w:t>
            </w:r>
            <w:r w:rsidR="00415837">
              <w:t>.</w:t>
            </w:r>
          </w:p>
          <w:p w14:paraId="7F9490AA" w14:textId="60071463" w:rsidR="00F83EB3" w:rsidRDefault="00F83EB3" w:rsidP="00C21794">
            <w:pPr>
              <w:pStyle w:val="ListParagraph"/>
              <w:numPr>
                <w:ilvl w:val="0"/>
                <w:numId w:val="15"/>
              </w:numPr>
              <w:jc w:val="left"/>
            </w:pPr>
            <w:r>
              <w:t>Competing demand for resources may mean that the cost of establishing and operating tertiary level TVET institutions may not be supported</w:t>
            </w:r>
            <w:r w:rsidR="00415837">
              <w:t>.</w:t>
            </w:r>
          </w:p>
          <w:p w14:paraId="1FCA8120" w14:textId="7AB40B0D" w:rsidR="00F83EB3" w:rsidRDefault="00F83EB3" w:rsidP="00046CD7">
            <w:pPr>
              <w:jc w:val="left"/>
            </w:pPr>
            <w:r>
              <w:t>On the other hand, a number of opportunities arise:</w:t>
            </w:r>
          </w:p>
          <w:p w14:paraId="0125E270" w14:textId="79288DFE" w:rsidR="00F83EB3" w:rsidRPr="0051622F" w:rsidRDefault="00F83EB3" w:rsidP="00C21794">
            <w:pPr>
              <w:pStyle w:val="ListParagraph"/>
              <w:numPr>
                <w:ilvl w:val="0"/>
                <w:numId w:val="15"/>
              </w:numPr>
              <w:jc w:val="left"/>
            </w:pPr>
            <w:r w:rsidRPr="0051622F">
              <w:t>TVET will be embedded in a coherent and holistic approach to education and training in Tonga</w:t>
            </w:r>
            <w:r w:rsidR="00415837">
              <w:t>.</w:t>
            </w:r>
          </w:p>
          <w:p w14:paraId="256C9A49" w14:textId="2A463B9F" w:rsidR="00F83EB3" w:rsidRPr="0051622F" w:rsidRDefault="00F83EB3" w:rsidP="00C21794">
            <w:pPr>
              <w:pStyle w:val="ListParagraph"/>
              <w:numPr>
                <w:ilvl w:val="0"/>
                <w:numId w:val="15"/>
              </w:numPr>
              <w:jc w:val="left"/>
            </w:pPr>
            <w:r w:rsidRPr="0051622F">
              <w:t xml:space="preserve">MET </w:t>
            </w:r>
            <w:r>
              <w:t xml:space="preserve">is committed </w:t>
            </w:r>
            <w:r w:rsidRPr="0051622F">
              <w:t>to the development of a National TVET Policy</w:t>
            </w:r>
            <w:r w:rsidR="00415837">
              <w:t>.</w:t>
            </w:r>
            <w:r w:rsidRPr="0051622F">
              <w:t xml:space="preserve"> </w:t>
            </w:r>
          </w:p>
          <w:p w14:paraId="5267B3D1" w14:textId="2D9CB0E0" w:rsidR="00F83EB3" w:rsidRPr="0051622F" w:rsidRDefault="00F83EB3" w:rsidP="00C21794">
            <w:pPr>
              <w:pStyle w:val="ListParagraph"/>
              <w:numPr>
                <w:ilvl w:val="0"/>
                <w:numId w:val="15"/>
              </w:numPr>
              <w:jc w:val="left"/>
            </w:pPr>
            <w:r>
              <w:t>T</w:t>
            </w:r>
            <w:r w:rsidRPr="0051622F">
              <w:t>he current amendment to the Education Act will incorporate TVET principles and practices based on an agreed National TVET Policy</w:t>
            </w:r>
            <w:r w:rsidR="00415837">
              <w:t>.</w:t>
            </w:r>
          </w:p>
          <w:p w14:paraId="6F6A4156" w14:textId="13F3E322" w:rsidR="00F83EB3" w:rsidRDefault="00F83EB3" w:rsidP="00C21794">
            <w:pPr>
              <w:pStyle w:val="ListParagraph"/>
              <w:numPr>
                <w:ilvl w:val="0"/>
                <w:numId w:val="15"/>
              </w:numPr>
              <w:jc w:val="left"/>
            </w:pPr>
            <w:r>
              <w:t>A collaborative policy development process will improve understanding of TVET principles and practices within MET and facilitate better understanding of TSP1 personnel of MET’s overall education and training agenda</w:t>
            </w:r>
            <w:r w:rsidR="00415837">
              <w:t>.</w:t>
            </w:r>
          </w:p>
          <w:p w14:paraId="65B9E55C" w14:textId="2D96DB2A" w:rsidR="00F83EB3" w:rsidRPr="00451CB1" w:rsidRDefault="00F83EB3" w:rsidP="00C21794">
            <w:pPr>
              <w:pStyle w:val="ListParagraph"/>
              <w:numPr>
                <w:ilvl w:val="0"/>
                <w:numId w:val="15"/>
              </w:numPr>
              <w:jc w:val="left"/>
            </w:pPr>
            <w:r>
              <w:t>TVET within</w:t>
            </w:r>
            <w:r w:rsidRPr="0051622F">
              <w:t xml:space="preserve"> a large, ‘senior’ Ministry </w:t>
            </w:r>
            <w:r>
              <w:t>could improve TVET status.</w:t>
            </w:r>
          </w:p>
        </w:tc>
        <w:tc>
          <w:tcPr>
            <w:tcW w:w="1247" w:type="dxa"/>
            <w:tcBorders>
              <w:top w:val="single" w:sz="4" w:space="0" w:color="808080"/>
              <w:left w:val="single" w:sz="4" w:space="0" w:color="808080"/>
              <w:bottom w:val="single" w:sz="4" w:space="0" w:color="808080"/>
              <w:right w:val="single" w:sz="4" w:space="0" w:color="808080"/>
            </w:tcBorders>
            <w:shd w:val="clear" w:color="auto" w:fill="auto"/>
          </w:tcPr>
          <w:p w14:paraId="27A0F289" w14:textId="1EE91E08" w:rsidR="00F83EB3" w:rsidRPr="0042222F" w:rsidRDefault="00C405F1" w:rsidP="000513B3">
            <w:pPr>
              <w:spacing w:before="240"/>
              <w:jc w:val="center"/>
              <w:rPr>
                <w:sz w:val="16"/>
                <w:szCs w:val="16"/>
              </w:rPr>
            </w:pPr>
            <w:r>
              <w:rPr>
                <w:sz w:val="16"/>
                <w:szCs w:val="16"/>
              </w:rPr>
              <w:t>2</w:t>
            </w:r>
          </w:p>
        </w:tc>
      </w:tr>
      <w:tr w:rsidR="00F83EB3" w:rsidRPr="004034E1" w14:paraId="72759E35" w14:textId="77777777" w:rsidTr="005C5419">
        <w:tblPrEx>
          <w:tblCellMar>
            <w:top w:w="57" w:type="dxa"/>
            <w:left w:w="57" w:type="dxa"/>
            <w:bottom w:w="57" w:type="dxa"/>
            <w:right w:w="57" w:type="dxa"/>
          </w:tblCellMar>
        </w:tblPrEx>
        <w:tc>
          <w:tcPr>
            <w:tcW w:w="1824" w:type="dxa"/>
            <w:tcBorders>
              <w:top w:val="single" w:sz="4" w:space="0" w:color="808080"/>
              <w:left w:val="single" w:sz="4" w:space="0" w:color="808080"/>
              <w:bottom w:val="single" w:sz="4" w:space="0" w:color="808080"/>
              <w:right w:val="single" w:sz="4" w:space="0" w:color="808080"/>
            </w:tcBorders>
            <w:shd w:val="clear" w:color="auto" w:fill="auto"/>
            <w:tcMar>
              <w:right w:w="28" w:type="dxa"/>
            </w:tcMar>
          </w:tcPr>
          <w:p w14:paraId="0DF100AE" w14:textId="5BFD0F1A" w:rsidR="00F83EB3" w:rsidRPr="00C405F1" w:rsidRDefault="00F83EB3" w:rsidP="00010AF2">
            <w:pPr>
              <w:spacing w:before="60" w:after="0"/>
              <w:ind w:left="265" w:hanging="252"/>
              <w:jc w:val="left"/>
              <w:rPr>
                <w:rFonts w:cs="Arial"/>
                <w:szCs w:val="20"/>
              </w:rPr>
            </w:pPr>
            <w:r w:rsidRPr="00C405F1">
              <w:rPr>
                <w:rFonts w:cs="Arial"/>
                <w:szCs w:val="20"/>
              </w:rPr>
              <w:t>6.  Gender Equality</w:t>
            </w:r>
          </w:p>
          <w:p w14:paraId="0CDF28D7" w14:textId="407D016B" w:rsidR="00F83EB3" w:rsidRPr="00C405F1" w:rsidRDefault="00F83EB3" w:rsidP="00C405F1">
            <w:pPr>
              <w:spacing w:before="60" w:after="0"/>
              <w:ind w:left="245"/>
              <w:jc w:val="left"/>
              <w:rPr>
                <w:rFonts w:cs="Arial"/>
                <w:i/>
                <w:szCs w:val="20"/>
              </w:rPr>
            </w:pPr>
            <w:r w:rsidRPr="00C405F1">
              <w:rPr>
                <w:rFonts w:cs="Arial"/>
                <w:szCs w:val="20"/>
              </w:rPr>
              <w:lastRenderedPageBreak/>
              <w:t>How will we achieve gender equality?</w:t>
            </w:r>
          </w:p>
        </w:tc>
        <w:tc>
          <w:tcPr>
            <w:tcW w:w="5860" w:type="dxa"/>
            <w:tcBorders>
              <w:top w:val="single" w:sz="4" w:space="0" w:color="808080"/>
              <w:left w:val="single" w:sz="4" w:space="0" w:color="808080"/>
              <w:bottom w:val="single" w:sz="4" w:space="0" w:color="808080"/>
              <w:right w:val="single" w:sz="4" w:space="0" w:color="808080"/>
            </w:tcBorders>
            <w:shd w:val="clear" w:color="auto" w:fill="auto"/>
          </w:tcPr>
          <w:p w14:paraId="0CB783A7" w14:textId="77777777" w:rsidR="00F83EB3" w:rsidRDefault="00F83EB3" w:rsidP="00C21794">
            <w:pPr>
              <w:pStyle w:val="ListParagraph"/>
              <w:numPr>
                <w:ilvl w:val="0"/>
                <w:numId w:val="15"/>
              </w:numPr>
              <w:jc w:val="left"/>
            </w:pPr>
            <w:r>
              <w:lastRenderedPageBreak/>
              <w:t>No specific strategies are in place to consider gender equality issues that would enable the Program to pro-</w:t>
            </w:r>
            <w:r>
              <w:lastRenderedPageBreak/>
              <w:t>actively take a lead in improving participation rates of women and girls in training and employment.</w:t>
            </w:r>
          </w:p>
          <w:p w14:paraId="0D30374B" w14:textId="77425CAE" w:rsidR="00F83EB3" w:rsidRDefault="00F83EB3" w:rsidP="00C21794">
            <w:pPr>
              <w:pStyle w:val="ListParagraph"/>
              <w:numPr>
                <w:ilvl w:val="0"/>
                <w:numId w:val="15"/>
              </w:numPr>
              <w:jc w:val="left"/>
            </w:pPr>
            <w:r>
              <w:t>There have been similar numbers of men and women participating in study tours and train the trainer programs but beyond this there is little evidence of any other direct approaches to establish a more inclusive TVET system.</w:t>
            </w:r>
          </w:p>
          <w:p w14:paraId="2F0EA1A0" w14:textId="0BFD7DCF" w:rsidR="00F83EB3" w:rsidRDefault="00F83EB3" w:rsidP="00C21794">
            <w:pPr>
              <w:pStyle w:val="ListParagraph"/>
              <w:numPr>
                <w:ilvl w:val="0"/>
                <w:numId w:val="15"/>
              </w:numPr>
              <w:jc w:val="left"/>
            </w:pPr>
            <w:r w:rsidRPr="00D701E6">
              <w:t xml:space="preserve">It </w:t>
            </w:r>
            <w:proofErr w:type="gramStart"/>
            <w:r w:rsidRPr="00D701E6">
              <w:t>is</w:t>
            </w:r>
            <w:proofErr w:type="gramEnd"/>
            <w:r w:rsidRPr="00D701E6">
              <w:t xml:space="preserve"> difficult to find evidence that TSP</w:t>
            </w:r>
            <w:r>
              <w:t>1 has</w:t>
            </w:r>
            <w:r w:rsidRPr="00D701E6">
              <w:t xml:space="preserve"> adequately identified, addressed, monitored and reported gender equality issues</w:t>
            </w:r>
            <w:r>
              <w:t xml:space="preserve"> </w:t>
            </w:r>
            <w:r w:rsidRPr="00D701E6">
              <w:t xml:space="preserve">nor improved female access to TVET training in Tonga. </w:t>
            </w:r>
          </w:p>
          <w:p w14:paraId="4923B0D6" w14:textId="260047D0" w:rsidR="00F83EB3" w:rsidRDefault="00F83EB3" w:rsidP="00C21794">
            <w:pPr>
              <w:pStyle w:val="ListParagraph"/>
              <w:numPr>
                <w:ilvl w:val="0"/>
                <w:numId w:val="15"/>
              </w:numPr>
              <w:jc w:val="left"/>
            </w:pPr>
            <w:r>
              <w:t xml:space="preserve">While there is reference to </w:t>
            </w:r>
            <w:r w:rsidRPr="00D701E6">
              <w:t xml:space="preserve">gender </w:t>
            </w:r>
            <w:r>
              <w:t>based criteria</w:t>
            </w:r>
            <w:r w:rsidRPr="00D701E6">
              <w:t xml:space="preserve"> in the </w:t>
            </w:r>
            <w:r>
              <w:t xml:space="preserve">ETF funding </w:t>
            </w:r>
            <w:r w:rsidRPr="00D701E6">
              <w:t xml:space="preserve">guidelines </w:t>
            </w:r>
            <w:r>
              <w:t>there have been no ETF activities to date</w:t>
            </w:r>
            <w:r w:rsidR="00415837">
              <w:t>.</w:t>
            </w:r>
          </w:p>
          <w:p w14:paraId="682E70E2" w14:textId="73CFCD40" w:rsidR="00F83EB3" w:rsidRPr="00CC31C5" w:rsidRDefault="00F83EB3" w:rsidP="00C21794">
            <w:pPr>
              <w:pStyle w:val="ListParagraph"/>
              <w:numPr>
                <w:ilvl w:val="0"/>
                <w:numId w:val="15"/>
              </w:numPr>
              <w:jc w:val="left"/>
            </w:pPr>
            <w:r>
              <w:t xml:space="preserve">The </w:t>
            </w:r>
            <w:r w:rsidRPr="00D701E6">
              <w:t xml:space="preserve">APW </w:t>
            </w:r>
            <w:r>
              <w:t>scheme has incorporated support for training in traditionally female roles but t</w:t>
            </w:r>
            <w:r w:rsidRPr="00D701E6">
              <w:t xml:space="preserve">here </w:t>
            </w:r>
            <w:r>
              <w:t>has been little attempt to broaden female interest in training related to non-traditional occupations</w:t>
            </w:r>
            <w:r w:rsidR="00415837">
              <w:t>.</w:t>
            </w:r>
            <w:r w:rsidRPr="00D701E6">
              <w:t xml:space="preserve"> </w:t>
            </w:r>
          </w:p>
        </w:tc>
        <w:tc>
          <w:tcPr>
            <w:tcW w:w="1247" w:type="dxa"/>
            <w:tcBorders>
              <w:top w:val="single" w:sz="4" w:space="0" w:color="808080"/>
              <w:left w:val="single" w:sz="4" w:space="0" w:color="808080"/>
              <w:bottom w:val="single" w:sz="4" w:space="0" w:color="808080"/>
              <w:right w:val="single" w:sz="4" w:space="0" w:color="808080"/>
            </w:tcBorders>
            <w:shd w:val="clear" w:color="auto" w:fill="auto"/>
          </w:tcPr>
          <w:p w14:paraId="58AD7175" w14:textId="7031CCD4" w:rsidR="00F83EB3" w:rsidRPr="0042222F" w:rsidRDefault="00C405F1" w:rsidP="000513B3">
            <w:pPr>
              <w:spacing w:before="240"/>
              <w:jc w:val="center"/>
              <w:rPr>
                <w:sz w:val="16"/>
                <w:szCs w:val="16"/>
              </w:rPr>
            </w:pPr>
            <w:r>
              <w:rPr>
                <w:sz w:val="16"/>
                <w:szCs w:val="16"/>
              </w:rPr>
              <w:lastRenderedPageBreak/>
              <w:t>2</w:t>
            </w:r>
          </w:p>
        </w:tc>
      </w:tr>
      <w:tr w:rsidR="00F83EB3" w:rsidRPr="004034E1" w14:paraId="6F98BA28" w14:textId="77777777" w:rsidTr="005C5419">
        <w:tblPrEx>
          <w:tblCellMar>
            <w:top w:w="57" w:type="dxa"/>
            <w:left w:w="57" w:type="dxa"/>
            <w:bottom w:w="57" w:type="dxa"/>
            <w:right w:w="57" w:type="dxa"/>
          </w:tblCellMar>
        </w:tblPrEx>
        <w:tc>
          <w:tcPr>
            <w:tcW w:w="1824" w:type="dxa"/>
            <w:tcBorders>
              <w:top w:val="single" w:sz="4" w:space="0" w:color="808080"/>
              <w:left w:val="single" w:sz="4" w:space="0" w:color="808080"/>
              <w:bottom w:val="single" w:sz="4" w:space="0" w:color="808080"/>
              <w:right w:val="single" w:sz="4" w:space="0" w:color="808080"/>
            </w:tcBorders>
            <w:shd w:val="clear" w:color="auto" w:fill="auto"/>
            <w:tcMar>
              <w:right w:w="28" w:type="dxa"/>
            </w:tcMar>
          </w:tcPr>
          <w:p w14:paraId="26DB862F" w14:textId="1DC15E20" w:rsidR="00F83EB3" w:rsidRPr="00C405F1" w:rsidRDefault="00F83EB3" w:rsidP="00C405F1">
            <w:pPr>
              <w:tabs>
                <w:tab w:val="left" w:pos="227"/>
              </w:tabs>
              <w:spacing w:before="60" w:after="0"/>
              <w:ind w:left="227" w:hanging="227"/>
              <w:jc w:val="left"/>
              <w:rPr>
                <w:rFonts w:cs="Arial"/>
                <w:szCs w:val="20"/>
              </w:rPr>
            </w:pPr>
            <w:r w:rsidRPr="00C405F1">
              <w:rPr>
                <w:rFonts w:cs="Arial"/>
                <w:szCs w:val="20"/>
              </w:rPr>
              <w:lastRenderedPageBreak/>
              <w:t>7.</w:t>
            </w:r>
            <w:r w:rsidRPr="00C405F1">
              <w:rPr>
                <w:rFonts w:cs="Arial"/>
                <w:szCs w:val="20"/>
              </w:rPr>
              <w:tab/>
              <w:t>Analysis and Learning</w:t>
            </w:r>
          </w:p>
          <w:p w14:paraId="7DD42C23" w14:textId="1F47188B" w:rsidR="00F83EB3" w:rsidRPr="00C405F1" w:rsidRDefault="00F83EB3" w:rsidP="00C405F1">
            <w:pPr>
              <w:spacing w:before="60" w:after="0"/>
              <w:ind w:left="245"/>
              <w:jc w:val="left"/>
              <w:rPr>
                <w:rFonts w:cs="Arial"/>
                <w:szCs w:val="20"/>
              </w:rPr>
            </w:pPr>
            <w:r w:rsidRPr="00C405F1">
              <w:rPr>
                <w:rFonts w:cs="Arial"/>
                <w:szCs w:val="20"/>
              </w:rPr>
              <w:t>H</w:t>
            </w:r>
            <w:r w:rsidR="00980195">
              <w:rPr>
                <w:rFonts w:cs="Arial"/>
                <w:szCs w:val="20"/>
              </w:rPr>
              <w:t>ow</w:t>
            </w:r>
            <w:r w:rsidRPr="00C405F1">
              <w:rPr>
                <w:rFonts w:cs="Arial"/>
                <w:szCs w:val="20"/>
              </w:rPr>
              <w:t xml:space="preserve"> well have we thought this through?</w:t>
            </w:r>
          </w:p>
          <w:p w14:paraId="74D02C9C" w14:textId="22801612" w:rsidR="00F83EB3" w:rsidRPr="00C405F1" w:rsidRDefault="00F83EB3" w:rsidP="00C405F1">
            <w:pPr>
              <w:tabs>
                <w:tab w:val="left" w:pos="227"/>
              </w:tabs>
              <w:spacing w:before="60" w:after="0"/>
              <w:jc w:val="left"/>
              <w:rPr>
                <w:rFonts w:cs="Arial"/>
                <w:szCs w:val="20"/>
              </w:rPr>
            </w:pPr>
          </w:p>
        </w:tc>
        <w:tc>
          <w:tcPr>
            <w:tcW w:w="5860" w:type="dxa"/>
            <w:tcBorders>
              <w:top w:val="single" w:sz="4" w:space="0" w:color="808080"/>
              <w:left w:val="single" w:sz="4" w:space="0" w:color="808080"/>
              <w:bottom w:val="single" w:sz="4" w:space="0" w:color="808080"/>
              <w:right w:val="single" w:sz="4" w:space="0" w:color="808080"/>
            </w:tcBorders>
            <w:shd w:val="clear" w:color="auto" w:fill="auto"/>
          </w:tcPr>
          <w:p w14:paraId="42948356" w14:textId="567F45C5" w:rsidR="00F83EB3" w:rsidRDefault="00F83EB3" w:rsidP="00C21794">
            <w:pPr>
              <w:pStyle w:val="ListParagraph"/>
              <w:numPr>
                <w:ilvl w:val="0"/>
                <w:numId w:val="15"/>
              </w:numPr>
              <w:spacing w:before="0" w:after="0"/>
              <w:ind w:left="357" w:hanging="357"/>
              <w:contextualSpacing w:val="0"/>
              <w:jc w:val="left"/>
            </w:pPr>
            <w:r>
              <w:t>Three principal areas of learning have been identified in TSP1 plans:</w:t>
            </w:r>
          </w:p>
          <w:p w14:paraId="2E91FEE5" w14:textId="06021686" w:rsidR="00F83EB3" w:rsidRPr="009E1E05" w:rsidRDefault="00F83EB3" w:rsidP="00C21794">
            <w:pPr>
              <w:numPr>
                <w:ilvl w:val="1"/>
                <w:numId w:val="15"/>
              </w:numPr>
              <w:spacing w:before="0" w:after="0"/>
              <w:ind w:left="703" w:hanging="329"/>
              <w:contextualSpacing/>
              <w:jc w:val="left"/>
            </w:pPr>
            <w:r w:rsidRPr="009E1E05">
              <w:t>Communications – building understanding and managing expectations</w:t>
            </w:r>
            <w:r w:rsidR="00415837">
              <w:t>.</w:t>
            </w:r>
          </w:p>
          <w:p w14:paraId="31EC6126" w14:textId="1BD38E4B" w:rsidR="00F83EB3" w:rsidRPr="009E1E05" w:rsidRDefault="00F83EB3" w:rsidP="00C21794">
            <w:pPr>
              <w:numPr>
                <w:ilvl w:val="1"/>
                <w:numId w:val="15"/>
              </w:numPr>
              <w:ind w:left="700" w:hanging="327"/>
              <w:contextualSpacing/>
              <w:jc w:val="left"/>
            </w:pPr>
            <w:r w:rsidRPr="009E1E05">
              <w:t>Program resourcing – recruitment and management of T</w:t>
            </w:r>
            <w:r w:rsidR="00415837">
              <w:t xml:space="preserve">echnical </w:t>
            </w:r>
            <w:r w:rsidRPr="009E1E05">
              <w:t>A</w:t>
            </w:r>
            <w:r w:rsidR="00415837">
              <w:t>ssistance.</w:t>
            </w:r>
          </w:p>
          <w:p w14:paraId="5457ACFF" w14:textId="1E068E4B" w:rsidR="00F83EB3" w:rsidRPr="009E1E05" w:rsidRDefault="00F83EB3" w:rsidP="00C21794">
            <w:pPr>
              <w:numPr>
                <w:ilvl w:val="1"/>
                <w:numId w:val="15"/>
              </w:numPr>
              <w:spacing w:before="0" w:after="0"/>
              <w:ind w:left="703" w:hanging="329"/>
              <w:contextualSpacing/>
              <w:jc w:val="left"/>
            </w:pPr>
            <w:r w:rsidRPr="009E1E05">
              <w:t>Program Management  - planning, M&amp;E and donor management protocols</w:t>
            </w:r>
            <w:r w:rsidR="00415837">
              <w:t>.</w:t>
            </w:r>
          </w:p>
          <w:p w14:paraId="56CAC87D" w14:textId="26AF7293" w:rsidR="00F83EB3" w:rsidRDefault="00F83EB3" w:rsidP="00C21794">
            <w:pPr>
              <w:pStyle w:val="ListParagraph"/>
              <w:numPr>
                <w:ilvl w:val="0"/>
                <w:numId w:val="15"/>
              </w:numPr>
              <w:spacing w:before="0" w:after="0"/>
              <w:ind w:left="357" w:hanging="357"/>
              <w:jc w:val="left"/>
            </w:pPr>
            <w:r>
              <w:t>But</w:t>
            </w:r>
            <w:r w:rsidRPr="00281492">
              <w:t xml:space="preserve"> it is not clear to what exten</w:t>
            </w:r>
            <w:r>
              <w:t>t</w:t>
            </w:r>
            <w:r w:rsidRPr="00281492">
              <w:t xml:space="preserve"> good practices, lessons learnt, and institutional knowledge from TVET </w:t>
            </w:r>
            <w:proofErr w:type="gramStart"/>
            <w:r w:rsidRPr="00281492">
              <w:t>have</w:t>
            </w:r>
            <w:proofErr w:type="gramEnd"/>
            <w:r w:rsidRPr="00281492">
              <w:t xml:space="preserve"> been </w:t>
            </w:r>
            <w:r>
              <w:t>applied in practice</w:t>
            </w:r>
            <w:r w:rsidRPr="00281492">
              <w:t xml:space="preserve">. </w:t>
            </w:r>
          </w:p>
          <w:p w14:paraId="71ADAB50" w14:textId="7C8DA2D1" w:rsidR="00F83EB3" w:rsidRPr="00281492" w:rsidRDefault="00F83EB3" w:rsidP="00C21794">
            <w:pPr>
              <w:pStyle w:val="ListParagraph"/>
              <w:numPr>
                <w:ilvl w:val="0"/>
                <w:numId w:val="15"/>
              </w:numPr>
              <w:jc w:val="left"/>
            </w:pPr>
            <w:r>
              <w:t>International s</w:t>
            </w:r>
            <w:r w:rsidRPr="00281492">
              <w:t xml:space="preserve">tudy </w:t>
            </w:r>
            <w:r>
              <w:t>tours</w:t>
            </w:r>
            <w:r w:rsidRPr="00281492">
              <w:t xml:space="preserve"> have been carried out</w:t>
            </w:r>
            <w:r>
              <w:t xml:space="preserve"> but due to mismatch in the level of TVET systems development between Tonga and the countries visited, unrealistic expectations may have been raised</w:t>
            </w:r>
            <w:r w:rsidR="00415837">
              <w:t>.</w:t>
            </w:r>
          </w:p>
          <w:p w14:paraId="330A402C" w14:textId="77777777" w:rsidR="00F83EB3" w:rsidRDefault="00F83EB3" w:rsidP="00C21794">
            <w:pPr>
              <w:pStyle w:val="ListParagraph"/>
              <w:numPr>
                <w:ilvl w:val="0"/>
                <w:numId w:val="15"/>
              </w:numPr>
              <w:jc w:val="left"/>
            </w:pPr>
            <w:r>
              <w:t>The lack of experience amongst Program Managers has fostered a conservative planning environment that has relied heavily on the original Program Design for guidance.</w:t>
            </w:r>
          </w:p>
          <w:p w14:paraId="2B4C9727" w14:textId="77777777" w:rsidR="00F83EB3" w:rsidRDefault="00F83EB3" w:rsidP="00C21794">
            <w:pPr>
              <w:pStyle w:val="ListParagraph"/>
              <w:numPr>
                <w:ilvl w:val="0"/>
                <w:numId w:val="15"/>
              </w:numPr>
              <w:jc w:val="left"/>
            </w:pPr>
            <w:r>
              <w:t>More experienced managers would have taken the opportunity to critically analyse the design, identify weaknesses and put in place strategies through the Annual Planning Process to address these weaknesses.</w:t>
            </w:r>
          </w:p>
          <w:p w14:paraId="714C52AE" w14:textId="460046B1" w:rsidR="00F83EB3" w:rsidRPr="00AA02F0" w:rsidRDefault="00F83EB3" w:rsidP="00C21794">
            <w:pPr>
              <w:pStyle w:val="ListParagraph"/>
              <w:numPr>
                <w:ilvl w:val="0"/>
                <w:numId w:val="15"/>
              </w:numPr>
              <w:jc w:val="left"/>
            </w:pPr>
            <w:r>
              <w:t>In this instance, the absence of an overarching policy framework and the absence of labour market data were two critical areas that should have been identified.</w:t>
            </w:r>
          </w:p>
        </w:tc>
        <w:tc>
          <w:tcPr>
            <w:tcW w:w="1247" w:type="dxa"/>
            <w:tcBorders>
              <w:top w:val="single" w:sz="4" w:space="0" w:color="808080"/>
              <w:left w:val="single" w:sz="4" w:space="0" w:color="808080"/>
              <w:bottom w:val="single" w:sz="4" w:space="0" w:color="808080"/>
              <w:right w:val="single" w:sz="4" w:space="0" w:color="808080"/>
            </w:tcBorders>
            <w:shd w:val="clear" w:color="auto" w:fill="auto"/>
          </w:tcPr>
          <w:p w14:paraId="180CE0B6" w14:textId="418BDC7F" w:rsidR="00F83EB3" w:rsidRPr="0042222F" w:rsidRDefault="00C405F1" w:rsidP="000513B3">
            <w:pPr>
              <w:spacing w:before="240"/>
              <w:jc w:val="center"/>
              <w:rPr>
                <w:sz w:val="16"/>
                <w:szCs w:val="16"/>
              </w:rPr>
            </w:pPr>
            <w:r>
              <w:rPr>
                <w:sz w:val="16"/>
                <w:szCs w:val="16"/>
              </w:rPr>
              <w:t>3</w:t>
            </w:r>
          </w:p>
        </w:tc>
      </w:tr>
    </w:tbl>
    <w:p w14:paraId="68FD1201" w14:textId="77777777" w:rsidR="003A77D9" w:rsidRDefault="003A77D9" w:rsidP="009D7E6F">
      <w:pPr>
        <w:rPr>
          <w:rFonts w:eastAsia="TimesNewRomanPSMT"/>
        </w:rPr>
        <w:sectPr w:rsidR="003A77D9" w:rsidSect="00593009">
          <w:headerReference w:type="even" r:id="rId30"/>
          <w:footerReference w:type="even" r:id="rId31"/>
          <w:headerReference w:type="first" r:id="rId32"/>
          <w:pgSz w:w="11906" w:h="16838" w:code="9"/>
          <w:pgMar w:top="1440" w:right="1440" w:bottom="1440" w:left="1701" w:header="709" w:footer="709" w:gutter="0"/>
          <w:cols w:space="708"/>
          <w:docGrid w:linePitch="360"/>
        </w:sectPr>
      </w:pPr>
    </w:p>
    <w:p w14:paraId="05934805" w14:textId="7B0F4977" w:rsidR="00324B3C" w:rsidRPr="00227782" w:rsidRDefault="00324B3C" w:rsidP="00092A89">
      <w:pPr>
        <w:pStyle w:val="Heading1"/>
        <w:tabs>
          <w:tab w:val="left" w:pos="1276"/>
        </w:tabs>
      </w:pPr>
      <w:bookmarkStart w:id="29" w:name="_Toc203996798"/>
      <w:r>
        <w:lastRenderedPageBreak/>
        <w:t xml:space="preserve">Annex </w:t>
      </w:r>
      <w:r w:rsidR="00754707">
        <w:t>3</w:t>
      </w:r>
      <w:r>
        <w:t xml:space="preserve">: </w:t>
      </w:r>
      <w:r w:rsidR="005212A6">
        <w:tab/>
      </w:r>
      <w:r>
        <w:t xml:space="preserve">Extract from MET Education </w:t>
      </w:r>
      <w:proofErr w:type="spellStart"/>
      <w:r>
        <w:t>Lakalaka</w:t>
      </w:r>
      <w:proofErr w:type="spellEnd"/>
      <w:r>
        <w:t xml:space="preserve"> Framework</w:t>
      </w:r>
      <w:bookmarkEnd w:id="29"/>
    </w:p>
    <w:p w14:paraId="2D705BFF" w14:textId="5BDE406C" w:rsidR="00FB63DF" w:rsidRDefault="00FB63DF" w:rsidP="009D7E6F">
      <w:r w:rsidRPr="00DC6ACD">
        <w:rPr>
          <w:noProof/>
          <w:lang w:val="en-US" w:eastAsia="en-US"/>
        </w:rPr>
        <w:drawing>
          <wp:anchor distT="0" distB="0" distL="114300" distR="114300" simplePos="0" relativeHeight="251664384" behindDoc="1" locked="0" layoutInCell="1" allowOverlap="1" wp14:anchorId="785A518A" wp14:editId="0CF5683A">
            <wp:simplePos x="0" y="0"/>
            <wp:positionH relativeFrom="column">
              <wp:posOffset>32336</wp:posOffset>
            </wp:positionH>
            <wp:positionV relativeFrom="paragraph">
              <wp:posOffset>48895</wp:posOffset>
            </wp:positionV>
            <wp:extent cx="5269230" cy="8105775"/>
            <wp:effectExtent l="177800" t="177800" r="369570" b="3778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69230" cy="8105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8C04E5C" w14:textId="77777777" w:rsidR="00FB63DF" w:rsidRDefault="00FB63DF" w:rsidP="009D7E6F"/>
    <w:p w14:paraId="648B04F3" w14:textId="77777777" w:rsidR="00FB63DF" w:rsidRDefault="00FB63DF" w:rsidP="009D7E6F"/>
    <w:p w14:paraId="4449BCD6" w14:textId="77777777" w:rsidR="00FB63DF" w:rsidRDefault="00FB63DF" w:rsidP="009D7E6F"/>
    <w:p w14:paraId="76474893" w14:textId="77777777" w:rsidR="00FB63DF" w:rsidRDefault="00FB63DF" w:rsidP="009D7E6F">
      <w:pPr>
        <w:sectPr w:rsidR="00FB63DF" w:rsidSect="00593009">
          <w:headerReference w:type="even" r:id="rId34"/>
          <w:footerReference w:type="even" r:id="rId35"/>
          <w:headerReference w:type="first" r:id="rId36"/>
          <w:pgSz w:w="11906" w:h="16838" w:code="9"/>
          <w:pgMar w:top="1440" w:right="1440" w:bottom="1440" w:left="1701" w:header="709" w:footer="709" w:gutter="0"/>
          <w:cols w:space="708"/>
          <w:docGrid w:linePitch="360"/>
        </w:sectPr>
      </w:pPr>
    </w:p>
    <w:p w14:paraId="509F125D" w14:textId="14824E99" w:rsidR="00303378" w:rsidRDefault="00303378" w:rsidP="00092A89">
      <w:pPr>
        <w:pStyle w:val="Heading1"/>
        <w:tabs>
          <w:tab w:val="left" w:pos="1276"/>
        </w:tabs>
      </w:pPr>
      <w:bookmarkStart w:id="30" w:name="_Toc203996799"/>
      <w:r>
        <w:lastRenderedPageBreak/>
        <w:t xml:space="preserve">Annex </w:t>
      </w:r>
      <w:r w:rsidR="00754707">
        <w:t>4</w:t>
      </w:r>
      <w:r>
        <w:t xml:space="preserve">: </w:t>
      </w:r>
      <w:r w:rsidR="005212A6">
        <w:tab/>
      </w:r>
      <w:r>
        <w:t>People Consulted</w:t>
      </w:r>
      <w:bookmarkEnd w:id="30"/>
    </w:p>
    <w:tbl>
      <w:tblPr>
        <w:tblStyle w:val="MediumList2-Accent1"/>
        <w:tblW w:w="889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0"/>
        <w:gridCol w:w="2625"/>
        <w:gridCol w:w="2582"/>
        <w:gridCol w:w="3230"/>
      </w:tblGrid>
      <w:tr w:rsidR="00303378" w:rsidRPr="00C15A80" w14:paraId="3C772C85" w14:textId="77777777" w:rsidTr="00303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0" w:type="dxa"/>
            <w:tcBorders>
              <w:top w:val="single" w:sz="4" w:space="0" w:color="auto"/>
              <w:left w:val="none" w:sz="0" w:space="0" w:color="auto"/>
              <w:bottom w:val="single" w:sz="4" w:space="0" w:color="auto"/>
              <w:right w:val="single" w:sz="4" w:space="0" w:color="auto"/>
            </w:tcBorders>
            <w:vAlign w:val="center"/>
          </w:tcPr>
          <w:p w14:paraId="0190550D" w14:textId="77777777" w:rsidR="00303378" w:rsidRPr="00C15A80" w:rsidRDefault="00303378" w:rsidP="00303378">
            <w:pPr>
              <w:spacing w:before="60" w:after="60"/>
              <w:jc w:val="center"/>
              <w:rPr>
                <w:lang w:val="en-US"/>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191B9058" w14:textId="77777777" w:rsidR="00303378" w:rsidRPr="00C15A80" w:rsidRDefault="00303378" w:rsidP="00303378">
            <w:pPr>
              <w:spacing w:before="60" w:after="60"/>
              <w:jc w:val="left"/>
              <w:cnfStyle w:val="100000000000" w:firstRow="1" w:lastRow="0" w:firstColumn="0" w:lastColumn="0" w:oddVBand="0" w:evenVBand="0" w:oddHBand="0" w:evenHBand="0" w:firstRowFirstColumn="0" w:firstRowLastColumn="0" w:lastRowFirstColumn="0" w:lastRowLastColumn="0"/>
              <w:rPr>
                <w:lang w:val="en-US"/>
              </w:rPr>
            </w:pPr>
            <w:r w:rsidRPr="00C15A80">
              <w:rPr>
                <w:lang w:val="en-US"/>
              </w:rPr>
              <w:t>Agency</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517D316C" w14:textId="77777777" w:rsidR="00303378" w:rsidRPr="00C15A80" w:rsidRDefault="00303378" w:rsidP="00303378">
            <w:pPr>
              <w:spacing w:before="60" w:after="60"/>
              <w:jc w:val="left"/>
              <w:cnfStyle w:val="100000000000" w:firstRow="1" w:lastRow="0" w:firstColumn="0" w:lastColumn="0" w:oddVBand="0" w:evenVBand="0" w:oddHBand="0" w:evenHBand="0" w:firstRowFirstColumn="0" w:firstRowLastColumn="0" w:lastRowFirstColumn="0" w:lastRowLastColumn="0"/>
              <w:rPr>
                <w:lang w:val="en-US"/>
              </w:rPr>
            </w:pPr>
            <w:r w:rsidRPr="00C15A80">
              <w:rPr>
                <w:lang w:val="en-US"/>
              </w:rPr>
              <w:t>Name</w:t>
            </w:r>
          </w:p>
        </w:tc>
        <w:tc>
          <w:tcPr>
            <w:tcW w:w="3230" w:type="dxa"/>
            <w:tcBorders>
              <w:top w:val="single" w:sz="4" w:space="0" w:color="auto"/>
              <w:left w:val="single" w:sz="4" w:space="0" w:color="auto"/>
              <w:bottom w:val="single" w:sz="4" w:space="0" w:color="auto"/>
              <w:right w:val="none" w:sz="0" w:space="0" w:color="auto"/>
            </w:tcBorders>
            <w:shd w:val="clear" w:color="auto" w:fill="auto"/>
            <w:vAlign w:val="center"/>
          </w:tcPr>
          <w:p w14:paraId="4ADDDD14" w14:textId="77777777" w:rsidR="00303378" w:rsidRPr="00C15A80" w:rsidRDefault="00303378" w:rsidP="00303378">
            <w:pPr>
              <w:spacing w:before="60" w:after="60"/>
              <w:jc w:val="left"/>
              <w:cnfStyle w:val="100000000000" w:firstRow="1" w:lastRow="0" w:firstColumn="0" w:lastColumn="0" w:oddVBand="0" w:evenVBand="0" w:oddHBand="0" w:evenHBand="0" w:firstRowFirstColumn="0" w:firstRowLastColumn="0" w:lastRowFirstColumn="0" w:lastRowLastColumn="0"/>
              <w:rPr>
                <w:lang w:val="en-US"/>
              </w:rPr>
            </w:pPr>
            <w:r w:rsidRPr="00C15A80">
              <w:rPr>
                <w:lang w:val="en-US"/>
              </w:rPr>
              <w:t>Title</w:t>
            </w:r>
          </w:p>
        </w:tc>
      </w:tr>
      <w:tr w:rsidR="00303378" w:rsidRPr="00C15A80" w14:paraId="2D92AFFF"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none" w:sz="0" w:space="0" w:color="auto"/>
              <w:bottom w:val="none" w:sz="0" w:space="0" w:color="auto"/>
              <w:right w:val="single" w:sz="4" w:space="0" w:color="auto"/>
            </w:tcBorders>
          </w:tcPr>
          <w:p w14:paraId="42F3C581" w14:textId="77777777" w:rsidR="00303378" w:rsidRPr="00C15A80" w:rsidRDefault="00303378" w:rsidP="00303378">
            <w:pPr>
              <w:spacing w:before="60" w:after="60"/>
              <w:rPr>
                <w:lang w:val="en-US"/>
              </w:rPr>
            </w:pPr>
            <w:r w:rsidRPr="00C15A80">
              <w:rPr>
                <w:lang w:val="en-US"/>
              </w:rPr>
              <w:t>1</w:t>
            </w:r>
          </w:p>
        </w:tc>
        <w:tc>
          <w:tcPr>
            <w:tcW w:w="2625" w:type="dxa"/>
            <w:tcBorders>
              <w:top w:val="single" w:sz="4" w:space="0" w:color="auto"/>
              <w:left w:val="single" w:sz="4" w:space="0" w:color="auto"/>
              <w:bottom w:val="none" w:sz="0" w:space="0" w:color="auto"/>
              <w:right w:val="single" w:sz="4" w:space="0" w:color="auto"/>
            </w:tcBorders>
            <w:shd w:val="clear" w:color="auto" w:fill="auto"/>
          </w:tcPr>
          <w:p w14:paraId="1CECC1E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MOTEYS</w:t>
            </w:r>
          </w:p>
        </w:tc>
        <w:tc>
          <w:tcPr>
            <w:tcW w:w="2582" w:type="dxa"/>
            <w:tcBorders>
              <w:top w:val="single" w:sz="4" w:space="0" w:color="auto"/>
              <w:left w:val="single" w:sz="4" w:space="0" w:color="auto"/>
              <w:bottom w:val="none" w:sz="0" w:space="0" w:color="auto"/>
              <w:right w:val="single" w:sz="4" w:space="0" w:color="auto"/>
            </w:tcBorders>
            <w:shd w:val="clear" w:color="auto" w:fill="auto"/>
          </w:tcPr>
          <w:p w14:paraId="41D68A50"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proofErr w:type="gramStart"/>
            <w:r w:rsidRPr="00C15A80">
              <w:rPr>
                <w:lang w:val="en-US"/>
              </w:rPr>
              <w:t>Mrs</w:t>
            </w:r>
            <w:proofErr w:type="spellEnd"/>
            <w:r w:rsidRPr="00C15A80">
              <w:rPr>
                <w:lang w:val="en-US"/>
              </w:rPr>
              <w:t xml:space="preserve">  </w:t>
            </w:r>
            <w:proofErr w:type="spellStart"/>
            <w:r w:rsidRPr="00C15A80">
              <w:rPr>
                <w:lang w:val="en-US"/>
              </w:rPr>
              <w:t>Meleoni</w:t>
            </w:r>
            <w:proofErr w:type="spellEnd"/>
            <w:proofErr w:type="gramEnd"/>
            <w:r w:rsidRPr="00C15A80">
              <w:rPr>
                <w:lang w:val="en-US"/>
              </w:rPr>
              <w:t xml:space="preserve"> </w:t>
            </w:r>
            <w:proofErr w:type="spellStart"/>
            <w:r w:rsidRPr="00C15A80">
              <w:rPr>
                <w:lang w:val="en-US"/>
              </w:rPr>
              <w:t>Uera</w:t>
            </w:r>
            <w:proofErr w:type="spellEnd"/>
          </w:p>
        </w:tc>
        <w:tc>
          <w:tcPr>
            <w:tcW w:w="3230" w:type="dxa"/>
            <w:tcBorders>
              <w:top w:val="single" w:sz="4" w:space="0" w:color="auto"/>
              <w:left w:val="single" w:sz="4" w:space="0" w:color="auto"/>
              <w:bottom w:val="none" w:sz="0" w:space="0" w:color="auto"/>
            </w:tcBorders>
            <w:shd w:val="clear" w:color="auto" w:fill="auto"/>
          </w:tcPr>
          <w:p w14:paraId="5E84F408"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Acting CEO/Acting Project Director</w:t>
            </w:r>
          </w:p>
        </w:tc>
      </w:tr>
      <w:tr w:rsidR="00303378" w:rsidRPr="00C15A80" w14:paraId="030FA6A9"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6F76A259" w14:textId="77777777" w:rsidR="00303378" w:rsidRPr="00C15A80" w:rsidRDefault="00303378" w:rsidP="00303378">
            <w:pPr>
              <w:spacing w:before="60" w:after="60"/>
              <w:rPr>
                <w:lang w:val="en-US"/>
              </w:rPr>
            </w:pPr>
            <w:r w:rsidRPr="00C15A80">
              <w:rPr>
                <w:lang w:val="en-US"/>
              </w:rPr>
              <w:t>2</w:t>
            </w:r>
          </w:p>
        </w:tc>
        <w:tc>
          <w:tcPr>
            <w:tcW w:w="2625" w:type="dxa"/>
            <w:tcBorders>
              <w:left w:val="single" w:sz="4" w:space="0" w:color="auto"/>
              <w:right w:val="single" w:sz="4" w:space="0" w:color="auto"/>
            </w:tcBorders>
            <w:shd w:val="clear" w:color="auto" w:fill="auto"/>
          </w:tcPr>
          <w:p w14:paraId="353F32EF"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MOTEYS - TSP 1</w:t>
            </w:r>
          </w:p>
        </w:tc>
        <w:tc>
          <w:tcPr>
            <w:tcW w:w="2582" w:type="dxa"/>
            <w:tcBorders>
              <w:left w:val="single" w:sz="4" w:space="0" w:color="auto"/>
              <w:right w:val="single" w:sz="4" w:space="0" w:color="auto"/>
            </w:tcBorders>
            <w:shd w:val="clear" w:color="auto" w:fill="auto"/>
          </w:tcPr>
          <w:p w14:paraId="5491C560"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proofErr w:type="gramStart"/>
            <w:r w:rsidRPr="00C15A80">
              <w:rPr>
                <w:lang w:val="en-US"/>
              </w:rPr>
              <w:t>Mr</w:t>
            </w:r>
            <w:proofErr w:type="spellEnd"/>
            <w:r w:rsidRPr="00C15A80">
              <w:rPr>
                <w:lang w:val="en-US"/>
              </w:rPr>
              <w:t xml:space="preserve">  Geoff</w:t>
            </w:r>
            <w:proofErr w:type="gramEnd"/>
            <w:r w:rsidRPr="00C15A80">
              <w:rPr>
                <w:lang w:val="en-US"/>
              </w:rPr>
              <w:t xml:space="preserve"> Penhall</w:t>
            </w:r>
          </w:p>
        </w:tc>
        <w:tc>
          <w:tcPr>
            <w:tcW w:w="3230" w:type="dxa"/>
            <w:tcBorders>
              <w:left w:val="single" w:sz="4" w:space="0" w:color="auto"/>
            </w:tcBorders>
            <w:shd w:val="clear" w:color="auto" w:fill="auto"/>
          </w:tcPr>
          <w:p w14:paraId="774DE9CF"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TSP 1 Program Technical Manager</w:t>
            </w:r>
          </w:p>
        </w:tc>
      </w:tr>
      <w:tr w:rsidR="00303378" w:rsidRPr="00C15A80" w14:paraId="40513BA7"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0A7949A2" w14:textId="77777777" w:rsidR="00303378" w:rsidRPr="00C15A80" w:rsidRDefault="00303378" w:rsidP="00303378">
            <w:pPr>
              <w:spacing w:before="60" w:after="60"/>
              <w:rPr>
                <w:lang w:val="en-US"/>
              </w:rPr>
            </w:pPr>
            <w:r w:rsidRPr="00C15A80">
              <w:rPr>
                <w:lang w:val="en-US"/>
              </w:rPr>
              <w:t>3</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6A0A941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MOTEYS – TSP 1 Project Team </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32DFDE5C"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Siaosi</w:t>
            </w:r>
            <w:proofErr w:type="spellEnd"/>
            <w:r w:rsidRPr="00C15A80">
              <w:rPr>
                <w:lang w:val="en-US"/>
              </w:rPr>
              <w:t xml:space="preserve"> </w:t>
            </w:r>
            <w:proofErr w:type="spellStart"/>
            <w:r w:rsidRPr="00C15A80">
              <w:rPr>
                <w:lang w:val="en-US"/>
              </w:rPr>
              <w:t>Enosi</w:t>
            </w:r>
            <w:proofErr w:type="spellEnd"/>
          </w:p>
        </w:tc>
        <w:tc>
          <w:tcPr>
            <w:tcW w:w="3230" w:type="dxa"/>
            <w:tcBorders>
              <w:top w:val="none" w:sz="0" w:space="0" w:color="auto"/>
              <w:left w:val="single" w:sz="4" w:space="0" w:color="auto"/>
              <w:bottom w:val="none" w:sz="0" w:space="0" w:color="auto"/>
            </w:tcBorders>
            <w:shd w:val="clear" w:color="auto" w:fill="auto"/>
          </w:tcPr>
          <w:p w14:paraId="516239D3"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TSP 1 PO </w:t>
            </w:r>
            <w:r w:rsidRPr="00C15A80">
              <w:rPr>
                <w:i/>
                <w:lang w:val="en-US"/>
              </w:rPr>
              <w:t>fo</w:t>
            </w:r>
            <w:r w:rsidRPr="00C15A80">
              <w:rPr>
                <w:lang w:val="en-US"/>
              </w:rPr>
              <w:t>r National Training</w:t>
            </w:r>
          </w:p>
        </w:tc>
      </w:tr>
      <w:tr w:rsidR="00303378" w:rsidRPr="00C15A80" w14:paraId="630EFFF8"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076A5402" w14:textId="77777777" w:rsidR="00303378" w:rsidRPr="00C15A80" w:rsidRDefault="00303378" w:rsidP="00303378">
            <w:pPr>
              <w:spacing w:before="60" w:after="60"/>
              <w:rPr>
                <w:lang w:val="en-US"/>
              </w:rPr>
            </w:pPr>
          </w:p>
        </w:tc>
        <w:tc>
          <w:tcPr>
            <w:tcW w:w="2625" w:type="dxa"/>
            <w:tcBorders>
              <w:left w:val="single" w:sz="4" w:space="0" w:color="auto"/>
              <w:right w:val="single" w:sz="4" w:space="0" w:color="auto"/>
            </w:tcBorders>
            <w:shd w:val="clear" w:color="auto" w:fill="auto"/>
          </w:tcPr>
          <w:p w14:paraId="15257824"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
        </w:tc>
        <w:tc>
          <w:tcPr>
            <w:tcW w:w="2582" w:type="dxa"/>
            <w:tcBorders>
              <w:left w:val="single" w:sz="4" w:space="0" w:color="auto"/>
              <w:right w:val="single" w:sz="4" w:space="0" w:color="auto"/>
            </w:tcBorders>
            <w:shd w:val="clear" w:color="auto" w:fill="auto"/>
          </w:tcPr>
          <w:p w14:paraId="597EC562"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Pauli </w:t>
            </w:r>
            <w:proofErr w:type="spellStart"/>
            <w:r w:rsidRPr="00C15A80">
              <w:rPr>
                <w:lang w:val="en-US"/>
              </w:rPr>
              <w:t>Kautoke</w:t>
            </w:r>
            <w:proofErr w:type="spellEnd"/>
          </w:p>
        </w:tc>
        <w:tc>
          <w:tcPr>
            <w:tcW w:w="3230" w:type="dxa"/>
            <w:tcBorders>
              <w:left w:val="single" w:sz="4" w:space="0" w:color="auto"/>
            </w:tcBorders>
            <w:shd w:val="clear" w:color="auto" w:fill="auto"/>
          </w:tcPr>
          <w:p w14:paraId="6F67254D"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 xml:space="preserve">TSP 1 PO </w:t>
            </w:r>
            <w:r w:rsidRPr="00C15A80">
              <w:rPr>
                <w:i/>
                <w:lang w:val="en-US"/>
              </w:rPr>
              <w:t>for</w:t>
            </w:r>
            <w:r w:rsidRPr="00C15A80">
              <w:rPr>
                <w:lang w:val="en-US"/>
              </w:rPr>
              <w:t xml:space="preserve"> IT &amp; Finance</w:t>
            </w:r>
          </w:p>
        </w:tc>
      </w:tr>
      <w:tr w:rsidR="00303378" w:rsidRPr="00C15A80" w14:paraId="58771B0B"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517EB6D1" w14:textId="77777777" w:rsidR="00303378" w:rsidRPr="00C15A80" w:rsidRDefault="00303378" w:rsidP="00303378">
            <w:pPr>
              <w:spacing w:before="60" w:after="60"/>
              <w:rPr>
                <w:lang w:val="en-US"/>
              </w:rPr>
            </w:pPr>
          </w:p>
        </w:tc>
        <w:tc>
          <w:tcPr>
            <w:tcW w:w="2625" w:type="dxa"/>
            <w:tcBorders>
              <w:top w:val="none" w:sz="0" w:space="0" w:color="auto"/>
              <w:left w:val="single" w:sz="4" w:space="0" w:color="auto"/>
              <w:bottom w:val="none" w:sz="0" w:space="0" w:color="auto"/>
              <w:right w:val="single" w:sz="4" w:space="0" w:color="auto"/>
            </w:tcBorders>
            <w:shd w:val="clear" w:color="auto" w:fill="auto"/>
          </w:tcPr>
          <w:p w14:paraId="0538551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
        </w:tc>
        <w:tc>
          <w:tcPr>
            <w:tcW w:w="2582" w:type="dxa"/>
            <w:tcBorders>
              <w:top w:val="none" w:sz="0" w:space="0" w:color="auto"/>
              <w:left w:val="single" w:sz="4" w:space="0" w:color="auto"/>
              <w:bottom w:val="none" w:sz="0" w:space="0" w:color="auto"/>
              <w:right w:val="single" w:sz="4" w:space="0" w:color="auto"/>
            </w:tcBorders>
            <w:shd w:val="clear" w:color="auto" w:fill="auto"/>
          </w:tcPr>
          <w:p w14:paraId="5D24C258"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Mrs</w:t>
            </w:r>
            <w:proofErr w:type="spellEnd"/>
            <w:r w:rsidRPr="00C15A80">
              <w:rPr>
                <w:lang w:val="en-US"/>
              </w:rPr>
              <w:t xml:space="preserve"> </w:t>
            </w:r>
            <w:proofErr w:type="spellStart"/>
            <w:r w:rsidRPr="00C15A80">
              <w:rPr>
                <w:lang w:val="en-US"/>
              </w:rPr>
              <w:t>Luseane</w:t>
            </w:r>
            <w:proofErr w:type="spellEnd"/>
            <w:r w:rsidRPr="00C15A80">
              <w:rPr>
                <w:lang w:val="en-US"/>
              </w:rPr>
              <w:t xml:space="preserve"> ‘</w:t>
            </w:r>
            <w:proofErr w:type="spellStart"/>
            <w:r w:rsidRPr="00C15A80">
              <w:rPr>
                <w:lang w:val="en-US"/>
              </w:rPr>
              <w:t>Aho</w:t>
            </w:r>
            <w:proofErr w:type="spellEnd"/>
          </w:p>
        </w:tc>
        <w:tc>
          <w:tcPr>
            <w:tcW w:w="3230" w:type="dxa"/>
            <w:tcBorders>
              <w:top w:val="none" w:sz="0" w:space="0" w:color="auto"/>
              <w:left w:val="single" w:sz="4" w:space="0" w:color="auto"/>
              <w:bottom w:val="none" w:sz="0" w:space="0" w:color="auto"/>
            </w:tcBorders>
            <w:shd w:val="clear" w:color="auto" w:fill="auto"/>
          </w:tcPr>
          <w:p w14:paraId="6640A14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TSP 1 PO </w:t>
            </w:r>
            <w:r w:rsidRPr="00C15A80">
              <w:rPr>
                <w:i/>
                <w:lang w:val="en-US"/>
              </w:rPr>
              <w:t>for</w:t>
            </w:r>
            <w:r w:rsidRPr="00C15A80">
              <w:rPr>
                <w:lang w:val="en-US"/>
              </w:rPr>
              <w:t xml:space="preserve"> Monitoring &amp; Evaluation</w:t>
            </w:r>
          </w:p>
        </w:tc>
      </w:tr>
      <w:tr w:rsidR="00303378" w:rsidRPr="00C15A80" w14:paraId="62E47E0D"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6C556C6E" w14:textId="77777777" w:rsidR="00303378" w:rsidRPr="00C15A80" w:rsidRDefault="00303378" w:rsidP="00303378">
            <w:pPr>
              <w:spacing w:before="60" w:after="60"/>
              <w:rPr>
                <w:lang w:val="en-US"/>
              </w:rPr>
            </w:pPr>
          </w:p>
        </w:tc>
        <w:tc>
          <w:tcPr>
            <w:tcW w:w="2625" w:type="dxa"/>
            <w:tcBorders>
              <w:left w:val="single" w:sz="4" w:space="0" w:color="auto"/>
              <w:right w:val="single" w:sz="4" w:space="0" w:color="auto"/>
            </w:tcBorders>
            <w:shd w:val="clear" w:color="auto" w:fill="auto"/>
          </w:tcPr>
          <w:p w14:paraId="242DA655"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
        </w:tc>
        <w:tc>
          <w:tcPr>
            <w:tcW w:w="2582" w:type="dxa"/>
            <w:tcBorders>
              <w:left w:val="single" w:sz="4" w:space="0" w:color="auto"/>
              <w:right w:val="single" w:sz="4" w:space="0" w:color="auto"/>
            </w:tcBorders>
            <w:shd w:val="clear" w:color="auto" w:fill="auto"/>
          </w:tcPr>
          <w:p w14:paraId="0652D3CA"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Mrs</w:t>
            </w:r>
            <w:proofErr w:type="spellEnd"/>
            <w:r w:rsidRPr="00C15A80">
              <w:rPr>
                <w:lang w:val="en-US"/>
              </w:rPr>
              <w:t xml:space="preserve"> </w:t>
            </w:r>
            <w:proofErr w:type="spellStart"/>
            <w:r w:rsidRPr="00C15A80">
              <w:rPr>
                <w:lang w:val="en-US"/>
              </w:rPr>
              <w:t>Kepreen</w:t>
            </w:r>
            <w:proofErr w:type="spellEnd"/>
            <w:r w:rsidRPr="00C15A80">
              <w:rPr>
                <w:lang w:val="en-US"/>
              </w:rPr>
              <w:t xml:space="preserve"> </w:t>
            </w:r>
            <w:proofErr w:type="spellStart"/>
            <w:r w:rsidRPr="00C15A80">
              <w:rPr>
                <w:lang w:val="en-US"/>
              </w:rPr>
              <w:t>Ve’etutu</w:t>
            </w:r>
            <w:proofErr w:type="spellEnd"/>
          </w:p>
        </w:tc>
        <w:tc>
          <w:tcPr>
            <w:tcW w:w="3230" w:type="dxa"/>
            <w:tcBorders>
              <w:left w:val="single" w:sz="4" w:space="0" w:color="auto"/>
            </w:tcBorders>
            <w:shd w:val="clear" w:color="auto" w:fill="auto"/>
          </w:tcPr>
          <w:p w14:paraId="329395BF"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 xml:space="preserve">TSP 1 PO </w:t>
            </w:r>
            <w:r w:rsidRPr="00C15A80">
              <w:rPr>
                <w:i/>
                <w:lang w:val="en-US"/>
              </w:rPr>
              <w:t xml:space="preserve">for </w:t>
            </w:r>
            <w:r w:rsidRPr="00C15A80">
              <w:rPr>
                <w:lang w:val="en-US"/>
              </w:rPr>
              <w:t>Demand Driven Program</w:t>
            </w:r>
          </w:p>
        </w:tc>
      </w:tr>
      <w:tr w:rsidR="00303378" w:rsidRPr="00C15A80" w14:paraId="71C459A3"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72C4A55E" w14:textId="77777777" w:rsidR="00303378" w:rsidRPr="00C15A80" w:rsidRDefault="00303378" w:rsidP="00303378">
            <w:pPr>
              <w:spacing w:before="60" w:after="60"/>
              <w:rPr>
                <w:lang w:val="en-US"/>
              </w:rPr>
            </w:pPr>
            <w:r w:rsidRPr="00C15A80">
              <w:rPr>
                <w:lang w:val="en-US"/>
              </w:rPr>
              <w:t>4</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7D08EF8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MOTEYS –TSP 1</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5AD9C29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Ms</w:t>
            </w:r>
            <w:proofErr w:type="spellEnd"/>
            <w:r w:rsidRPr="00C15A80">
              <w:rPr>
                <w:lang w:val="en-US"/>
              </w:rPr>
              <w:t xml:space="preserve"> </w:t>
            </w:r>
            <w:proofErr w:type="spellStart"/>
            <w:r w:rsidRPr="00C15A80">
              <w:rPr>
                <w:lang w:val="en-US"/>
              </w:rPr>
              <w:t>Ceri</w:t>
            </w:r>
            <w:proofErr w:type="spellEnd"/>
            <w:r w:rsidRPr="00C15A80">
              <w:rPr>
                <w:lang w:val="en-US"/>
              </w:rPr>
              <w:t xml:space="preserve"> Bryant</w:t>
            </w:r>
          </w:p>
        </w:tc>
        <w:tc>
          <w:tcPr>
            <w:tcW w:w="3230" w:type="dxa"/>
            <w:tcBorders>
              <w:top w:val="none" w:sz="0" w:space="0" w:color="auto"/>
              <w:left w:val="single" w:sz="4" w:space="0" w:color="auto"/>
              <w:bottom w:val="none" w:sz="0" w:space="0" w:color="auto"/>
            </w:tcBorders>
            <w:shd w:val="clear" w:color="auto" w:fill="auto"/>
          </w:tcPr>
          <w:p w14:paraId="6F0A1B40"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TSP 1 STA M&amp;E</w:t>
            </w:r>
          </w:p>
        </w:tc>
      </w:tr>
      <w:tr w:rsidR="00303378" w:rsidRPr="00C15A80" w14:paraId="29419D99"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14AFB7EE" w14:textId="77777777" w:rsidR="00303378" w:rsidRPr="00C15A80" w:rsidRDefault="00303378" w:rsidP="00303378">
            <w:pPr>
              <w:spacing w:before="60" w:after="60"/>
              <w:rPr>
                <w:lang w:val="en-US"/>
              </w:rPr>
            </w:pPr>
            <w:r w:rsidRPr="00C15A80">
              <w:rPr>
                <w:lang w:val="en-US"/>
              </w:rPr>
              <w:t>5</w:t>
            </w:r>
          </w:p>
        </w:tc>
        <w:tc>
          <w:tcPr>
            <w:tcW w:w="2625" w:type="dxa"/>
            <w:tcBorders>
              <w:left w:val="single" w:sz="4" w:space="0" w:color="auto"/>
              <w:right w:val="single" w:sz="4" w:space="0" w:color="auto"/>
            </w:tcBorders>
            <w:shd w:val="clear" w:color="auto" w:fill="auto"/>
          </w:tcPr>
          <w:p w14:paraId="342FE6B9"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MEWAC</w:t>
            </w:r>
          </w:p>
        </w:tc>
        <w:tc>
          <w:tcPr>
            <w:tcW w:w="2582" w:type="dxa"/>
            <w:tcBorders>
              <w:left w:val="single" w:sz="4" w:space="0" w:color="auto"/>
              <w:right w:val="single" w:sz="4" w:space="0" w:color="auto"/>
            </w:tcBorders>
            <w:shd w:val="clear" w:color="auto" w:fill="auto"/>
          </w:tcPr>
          <w:p w14:paraId="2CB32911"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Mrs</w:t>
            </w:r>
            <w:proofErr w:type="spellEnd"/>
            <w:r w:rsidRPr="00C15A80">
              <w:rPr>
                <w:lang w:val="en-US"/>
              </w:rPr>
              <w:t xml:space="preserve"> </w:t>
            </w:r>
            <w:proofErr w:type="spellStart"/>
            <w:r w:rsidRPr="00C15A80">
              <w:rPr>
                <w:lang w:val="en-US"/>
              </w:rPr>
              <w:t>Emeli</w:t>
            </w:r>
            <w:proofErr w:type="spellEnd"/>
            <w:r w:rsidRPr="00C15A80">
              <w:rPr>
                <w:lang w:val="en-US"/>
              </w:rPr>
              <w:t xml:space="preserve"> </w:t>
            </w:r>
            <w:proofErr w:type="spellStart"/>
            <w:r w:rsidRPr="00C15A80">
              <w:rPr>
                <w:lang w:val="en-US"/>
              </w:rPr>
              <w:t>Pouvalu</w:t>
            </w:r>
            <w:proofErr w:type="spellEnd"/>
          </w:p>
        </w:tc>
        <w:tc>
          <w:tcPr>
            <w:tcW w:w="3230" w:type="dxa"/>
            <w:tcBorders>
              <w:left w:val="single" w:sz="4" w:space="0" w:color="auto"/>
            </w:tcBorders>
            <w:shd w:val="clear" w:color="auto" w:fill="auto"/>
          </w:tcPr>
          <w:p w14:paraId="703B2D31"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CEO MEWAC</w:t>
            </w:r>
          </w:p>
        </w:tc>
      </w:tr>
      <w:tr w:rsidR="00303378" w:rsidRPr="00C15A80" w14:paraId="1D61DE2A"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5547C688" w14:textId="77777777" w:rsidR="00303378" w:rsidRPr="00C15A80" w:rsidRDefault="00303378" w:rsidP="00303378">
            <w:pPr>
              <w:spacing w:before="60" w:after="60"/>
              <w:rPr>
                <w:lang w:val="en-US"/>
              </w:rPr>
            </w:pPr>
            <w:r w:rsidRPr="00C15A80">
              <w:rPr>
                <w:lang w:val="en-US"/>
              </w:rPr>
              <w:t>6</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3D9821FA"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TNQAB</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105C541B"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Dr</w:t>
            </w:r>
            <w:proofErr w:type="spellEnd"/>
            <w:r w:rsidRPr="00C15A80">
              <w:rPr>
                <w:lang w:val="en-US"/>
              </w:rPr>
              <w:t xml:space="preserve"> </w:t>
            </w:r>
            <w:proofErr w:type="spellStart"/>
            <w:r w:rsidRPr="00C15A80">
              <w:rPr>
                <w:lang w:val="en-US"/>
              </w:rPr>
              <w:t>Uhila</w:t>
            </w:r>
            <w:proofErr w:type="spellEnd"/>
            <w:r w:rsidRPr="00C15A80">
              <w:rPr>
                <w:lang w:val="en-US"/>
              </w:rPr>
              <w:t xml:space="preserve"> </w:t>
            </w:r>
            <w:proofErr w:type="spellStart"/>
            <w:r w:rsidRPr="00C15A80">
              <w:rPr>
                <w:lang w:val="en-US"/>
              </w:rPr>
              <w:t>Fasi</w:t>
            </w:r>
            <w:proofErr w:type="spellEnd"/>
          </w:p>
        </w:tc>
        <w:tc>
          <w:tcPr>
            <w:tcW w:w="3230" w:type="dxa"/>
            <w:tcBorders>
              <w:top w:val="none" w:sz="0" w:space="0" w:color="auto"/>
              <w:left w:val="single" w:sz="4" w:space="0" w:color="auto"/>
              <w:bottom w:val="none" w:sz="0" w:space="0" w:color="auto"/>
            </w:tcBorders>
            <w:shd w:val="clear" w:color="auto" w:fill="auto"/>
          </w:tcPr>
          <w:p w14:paraId="411352F2"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CEO TNQAB</w:t>
            </w:r>
          </w:p>
        </w:tc>
      </w:tr>
      <w:tr w:rsidR="00303378" w:rsidRPr="00C15A80" w14:paraId="4A3DCAA8"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4E94B957" w14:textId="77777777" w:rsidR="00303378" w:rsidRPr="00C15A80" w:rsidRDefault="00303378" w:rsidP="00303378">
            <w:pPr>
              <w:spacing w:before="60" w:after="60"/>
              <w:rPr>
                <w:lang w:val="en-US"/>
              </w:rPr>
            </w:pPr>
            <w:r w:rsidRPr="00C15A80">
              <w:rPr>
                <w:lang w:val="en-US"/>
              </w:rPr>
              <w:t>7</w:t>
            </w:r>
          </w:p>
        </w:tc>
        <w:tc>
          <w:tcPr>
            <w:tcW w:w="2625" w:type="dxa"/>
            <w:tcBorders>
              <w:left w:val="single" w:sz="4" w:space="0" w:color="auto"/>
              <w:right w:val="single" w:sz="4" w:space="0" w:color="auto"/>
            </w:tcBorders>
            <w:shd w:val="clear" w:color="auto" w:fill="auto"/>
          </w:tcPr>
          <w:p w14:paraId="3A970E68"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Alternative Pathways (APW)</w:t>
            </w:r>
          </w:p>
        </w:tc>
        <w:tc>
          <w:tcPr>
            <w:tcW w:w="2582" w:type="dxa"/>
            <w:tcBorders>
              <w:left w:val="single" w:sz="4" w:space="0" w:color="auto"/>
              <w:right w:val="single" w:sz="4" w:space="0" w:color="auto"/>
            </w:tcBorders>
            <w:shd w:val="clear" w:color="auto" w:fill="auto"/>
          </w:tcPr>
          <w:p w14:paraId="5010706A"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Rev ‘</w:t>
            </w:r>
            <w:proofErr w:type="spellStart"/>
            <w:r w:rsidRPr="00C15A80">
              <w:rPr>
                <w:lang w:val="en-US"/>
              </w:rPr>
              <w:t>Alifeleti</w:t>
            </w:r>
            <w:proofErr w:type="spellEnd"/>
            <w:r w:rsidRPr="00C15A80">
              <w:rPr>
                <w:lang w:val="en-US"/>
              </w:rPr>
              <w:t xml:space="preserve"> ‘</w:t>
            </w:r>
            <w:proofErr w:type="spellStart"/>
            <w:r w:rsidRPr="00C15A80">
              <w:rPr>
                <w:lang w:val="en-US"/>
              </w:rPr>
              <w:t>Atiola</w:t>
            </w:r>
            <w:proofErr w:type="spellEnd"/>
          </w:p>
        </w:tc>
        <w:tc>
          <w:tcPr>
            <w:tcW w:w="3230" w:type="dxa"/>
            <w:tcBorders>
              <w:left w:val="single" w:sz="4" w:space="0" w:color="auto"/>
            </w:tcBorders>
            <w:shd w:val="clear" w:color="auto" w:fill="auto"/>
          </w:tcPr>
          <w:p w14:paraId="21B57B09"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Chair APW Taskforce</w:t>
            </w:r>
          </w:p>
        </w:tc>
      </w:tr>
      <w:tr w:rsidR="00303378" w:rsidRPr="00C15A80" w14:paraId="50B30B36"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3F946653" w14:textId="77777777" w:rsidR="00303378" w:rsidRPr="00C15A80" w:rsidRDefault="00303378" w:rsidP="00303378">
            <w:pPr>
              <w:spacing w:before="60" w:after="60"/>
              <w:rPr>
                <w:lang w:val="en-US"/>
              </w:rPr>
            </w:pPr>
            <w:r w:rsidRPr="00C15A80">
              <w:rPr>
                <w:lang w:val="en-US"/>
              </w:rPr>
              <w:t>8</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3B26491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MEWAC</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46CE76AE"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Dr</w:t>
            </w:r>
            <w:proofErr w:type="spellEnd"/>
            <w:r w:rsidRPr="00C15A80">
              <w:rPr>
                <w:lang w:val="en-US"/>
              </w:rPr>
              <w:t xml:space="preserve"> ‘Ana </w:t>
            </w:r>
            <w:proofErr w:type="spellStart"/>
            <w:r w:rsidRPr="00C15A80">
              <w:rPr>
                <w:lang w:val="en-US"/>
              </w:rPr>
              <w:t>Taufe’ulungaki</w:t>
            </w:r>
            <w:proofErr w:type="spellEnd"/>
          </w:p>
        </w:tc>
        <w:tc>
          <w:tcPr>
            <w:tcW w:w="3230" w:type="dxa"/>
            <w:tcBorders>
              <w:top w:val="none" w:sz="0" w:space="0" w:color="auto"/>
              <w:left w:val="single" w:sz="4" w:space="0" w:color="auto"/>
              <w:bottom w:val="none" w:sz="0" w:space="0" w:color="auto"/>
            </w:tcBorders>
            <w:shd w:val="clear" w:color="auto" w:fill="auto"/>
          </w:tcPr>
          <w:p w14:paraId="79ABD90F"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Minister of MEWAC</w:t>
            </w:r>
          </w:p>
        </w:tc>
      </w:tr>
      <w:tr w:rsidR="00303378" w:rsidRPr="00C15A80" w14:paraId="6B1EA0EA"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7FC1ECB5" w14:textId="77777777" w:rsidR="00303378" w:rsidRPr="00C15A80" w:rsidRDefault="00303378" w:rsidP="00303378">
            <w:pPr>
              <w:spacing w:before="60" w:after="60"/>
              <w:rPr>
                <w:lang w:val="en-US"/>
              </w:rPr>
            </w:pPr>
            <w:r w:rsidRPr="00C15A80">
              <w:rPr>
                <w:lang w:val="en-US"/>
              </w:rPr>
              <w:t>9</w:t>
            </w:r>
          </w:p>
        </w:tc>
        <w:tc>
          <w:tcPr>
            <w:tcW w:w="2625" w:type="dxa"/>
            <w:tcBorders>
              <w:left w:val="single" w:sz="4" w:space="0" w:color="auto"/>
              <w:right w:val="single" w:sz="4" w:space="0" w:color="auto"/>
            </w:tcBorders>
            <w:shd w:val="clear" w:color="auto" w:fill="auto"/>
          </w:tcPr>
          <w:p w14:paraId="4DA2D0A4"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Public Service Commission (PSC)</w:t>
            </w:r>
          </w:p>
        </w:tc>
        <w:tc>
          <w:tcPr>
            <w:tcW w:w="2582" w:type="dxa"/>
            <w:tcBorders>
              <w:left w:val="single" w:sz="4" w:space="0" w:color="auto"/>
              <w:right w:val="single" w:sz="4" w:space="0" w:color="auto"/>
            </w:tcBorders>
            <w:shd w:val="clear" w:color="auto" w:fill="auto"/>
          </w:tcPr>
          <w:p w14:paraId="7A2B0B33"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Ms</w:t>
            </w:r>
            <w:proofErr w:type="spellEnd"/>
            <w:r w:rsidRPr="00C15A80">
              <w:rPr>
                <w:lang w:val="en-US"/>
              </w:rPr>
              <w:t xml:space="preserve"> </w:t>
            </w:r>
            <w:proofErr w:type="spellStart"/>
            <w:r w:rsidRPr="00C15A80">
              <w:rPr>
                <w:lang w:val="en-US"/>
              </w:rPr>
              <w:t>Falemei</w:t>
            </w:r>
            <w:proofErr w:type="spellEnd"/>
            <w:r w:rsidRPr="00C15A80">
              <w:rPr>
                <w:lang w:val="en-US"/>
              </w:rPr>
              <w:t xml:space="preserve"> </w:t>
            </w:r>
            <w:proofErr w:type="spellStart"/>
            <w:r w:rsidRPr="00C15A80">
              <w:rPr>
                <w:lang w:val="en-US"/>
              </w:rPr>
              <w:t>Ma’ake</w:t>
            </w:r>
            <w:proofErr w:type="spellEnd"/>
          </w:p>
        </w:tc>
        <w:tc>
          <w:tcPr>
            <w:tcW w:w="3230" w:type="dxa"/>
            <w:tcBorders>
              <w:left w:val="single" w:sz="4" w:space="0" w:color="auto"/>
            </w:tcBorders>
            <w:shd w:val="clear" w:color="auto" w:fill="auto"/>
          </w:tcPr>
          <w:p w14:paraId="6059ABBF"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PSC Deputy CEO Policy &amp; Training</w:t>
            </w:r>
          </w:p>
        </w:tc>
      </w:tr>
      <w:tr w:rsidR="00303378" w:rsidRPr="00C15A80" w14:paraId="06D46C42"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11102BBE" w14:textId="77777777" w:rsidR="00303378" w:rsidRPr="00C15A80" w:rsidRDefault="00303378" w:rsidP="00303378">
            <w:pPr>
              <w:spacing w:before="60" w:after="60"/>
              <w:rPr>
                <w:lang w:val="en-US"/>
              </w:rPr>
            </w:pPr>
            <w:r w:rsidRPr="00C15A80">
              <w:rPr>
                <w:lang w:val="en-US"/>
              </w:rPr>
              <w:t>10</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346ADFE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AUSAID</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031B9C00"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Ms</w:t>
            </w:r>
            <w:proofErr w:type="spellEnd"/>
            <w:r w:rsidRPr="00C15A80">
              <w:rPr>
                <w:lang w:val="en-US"/>
              </w:rPr>
              <w:t xml:space="preserve"> Kaye Schofield</w:t>
            </w:r>
          </w:p>
        </w:tc>
        <w:tc>
          <w:tcPr>
            <w:tcW w:w="3230" w:type="dxa"/>
            <w:tcBorders>
              <w:top w:val="none" w:sz="0" w:space="0" w:color="auto"/>
              <w:left w:val="single" w:sz="4" w:space="0" w:color="auto"/>
              <w:bottom w:val="none" w:sz="0" w:space="0" w:color="auto"/>
            </w:tcBorders>
            <w:shd w:val="clear" w:color="auto" w:fill="auto"/>
          </w:tcPr>
          <w:p w14:paraId="553C56A2"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
        </w:tc>
      </w:tr>
      <w:tr w:rsidR="00303378" w:rsidRPr="00C15A80" w14:paraId="15FF2F38"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1E49DD92" w14:textId="77777777" w:rsidR="00303378" w:rsidRPr="00C15A80" w:rsidRDefault="00303378" w:rsidP="00303378">
            <w:pPr>
              <w:spacing w:before="60" w:after="60"/>
              <w:rPr>
                <w:lang w:val="en-US"/>
              </w:rPr>
            </w:pPr>
            <w:r w:rsidRPr="00C15A80">
              <w:rPr>
                <w:lang w:val="en-US"/>
              </w:rPr>
              <w:t>11</w:t>
            </w:r>
          </w:p>
        </w:tc>
        <w:tc>
          <w:tcPr>
            <w:tcW w:w="2625" w:type="dxa"/>
            <w:tcBorders>
              <w:left w:val="single" w:sz="4" w:space="0" w:color="auto"/>
              <w:right w:val="single" w:sz="4" w:space="0" w:color="auto"/>
            </w:tcBorders>
            <w:shd w:val="clear" w:color="auto" w:fill="auto"/>
          </w:tcPr>
          <w:p w14:paraId="12C5E95B"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Montfort Technical Institute</w:t>
            </w:r>
          </w:p>
        </w:tc>
        <w:tc>
          <w:tcPr>
            <w:tcW w:w="2582" w:type="dxa"/>
            <w:tcBorders>
              <w:left w:val="single" w:sz="4" w:space="0" w:color="auto"/>
              <w:right w:val="single" w:sz="4" w:space="0" w:color="auto"/>
            </w:tcBorders>
            <w:shd w:val="clear" w:color="auto" w:fill="auto"/>
          </w:tcPr>
          <w:p w14:paraId="4D960E31"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 xml:space="preserve">Br Joseph </w:t>
            </w:r>
            <w:proofErr w:type="spellStart"/>
            <w:r w:rsidRPr="00C15A80">
              <w:rPr>
                <w:lang w:val="en-US"/>
              </w:rPr>
              <w:t>Koottor</w:t>
            </w:r>
            <w:proofErr w:type="spellEnd"/>
          </w:p>
        </w:tc>
        <w:tc>
          <w:tcPr>
            <w:tcW w:w="3230" w:type="dxa"/>
            <w:tcBorders>
              <w:left w:val="single" w:sz="4" w:space="0" w:color="auto"/>
            </w:tcBorders>
            <w:shd w:val="clear" w:color="auto" w:fill="auto"/>
          </w:tcPr>
          <w:p w14:paraId="10AB483E"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 xml:space="preserve">Principal </w:t>
            </w:r>
          </w:p>
        </w:tc>
      </w:tr>
      <w:tr w:rsidR="00303378" w:rsidRPr="00C15A80" w14:paraId="379C4880"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79C32FC3" w14:textId="77777777" w:rsidR="00303378" w:rsidRPr="00C15A80" w:rsidRDefault="00303378" w:rsidP="00303378">
            <w:pPr>
              <w:spacing w:before="60" w:after="60"/>
              <w:rPr>
                <w:lang w:val="en-US"/>
              </w:rPr>
            </w:pPr>
            <w:r w:rsidRPr="00C15A80">
              <w:rPr>
                <w:lang w:val="en-US"/>
              </w:rPr>
              <w:t>12</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500C436D"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Tonga Institute of Science &amp; Technology (TIST)</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0183828B"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Nonga</w:t>
            </w:r>
            <w:proofErr w:type="spellEnd"/>
            <w:r w:rsidRPr="00C15A80">
              <w:rPr>
                <w:lang w:val="en-US"/>
              </w:rPr>
              <w:t xml:space="preserve"> </w:t>
            </w:r>
            <w:proofErr w:type="spellStart"/>
            <w:r w:rsidRPr="00C15A80">
              <w:rPr>
                <w:lang w:val="en-US"/>
              </w:rPr>
              <w:t>Soakai</w:t>
            </w:r>
            <w:proofErr w:type="spellEnd"/>
          </w:p>
        </w:tc>
        <w:tc>
          <w:tcPr>
            <w:tcW w:w="3230" w:type="dxa"/>
            <w:tcBorders>
              <w:top w:val="none" w:sz="0" w:space="0" w:color="auto"/>
              <w:left w:val="single" w:sz="4" w:space="0" w:color="auto"/>
              <w:bottom w:val="none" w:sz="0" w:space="0" w:color="auto"/>
            </w:tcBorders>
            <w:shd w:val="clear" w:color="auto" w:fill="auto"/>
          </w:tcPr>
          <w:p w14:paraId="2D33CF16"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Principal, TIST</w:t>
            </w:r>
          </w:p>
        </w:tc>
      </w:tr>
      <w:tr w:rsidR="00303378" w:rsidRPr="00C15A80" w14:paraId="32902B96" w14:textId="77777777" w:rsidTr="00303378">
        <w:trPr>
          <w:trHeight w:val="270"/>
        </w:trPr>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01961CC0" w14:textId="77777777" w:rsidR="00303378" w:rsidRPr="00C15A80" w:rsidRDefault="00303378" w:rsidP="00303378">
            <w:pPr>
              <w:spacing w:before="60" w:after="60"/>
              <w:rPr>
                <w:lang w:val="en-US"/>
              </w:rPr>
            </w:pPr>
          </w:p>
        </w:tc>
        <w:tc>
          <w:tcPr>
            <w:tcW w:w="2625" w:type="dxa"/>
            <w:tcBorders>
              <w:left w:val="single" w:sz="4" w:space="0" w:color="auto"/>
              <w:right w:val="single" w:sz="4" w:space="0" w:color="auto"/>
            </w:tcBorders>
            <w:shd w:val="clear" w:color="auto" w:fill="auto"/>
          </w:tcPr>
          <w:p w14:paraId="76D99D0E"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
        </w:tc>
        <w:tc>
          <w:tcPr>
            <w:tcW w:w="2582" w:type="dxa"/>
            <w:tcBorders>
              <w:left w:val="single" w:sz="4" w:space="0" w:color="auto"/>
              <w:right w:val="single" w:sz="4" w:space="0" w:color="auto"/>
            </w:tcBorders>
            <w:shd w:val="clear" w:color="auto" w:fill="auto"/>
          </w:tcPr>
          <w:p w14:paraId="156B21D8"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Fatuilangilangi</w:t>
            </w:r>
            <w:proofErr w:type="spellEnd"/>
          </w:p>
        </w:tc>
        <w:tc>
          <w:tcPr>
            <w:tcW w:w="3230" w:type="dxa"/>
            <w:tcBorders>
              <w:left w:val="single" w:sz="4" w:space="0" w:color="auto"/>
            </w:tcBorders>
            <w:shd w:val="clear" w:color="auto" w:fill="auto"/>
          </w:tcPr>
          <w:p w14:paraId="49FE0EF2"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Principal, NCVS</w:t>
            </w:r>
          </w:p>
        </w:tc>
      </w:tr>
      <w:tr w:rsidR="00303378" w:rsidRPr="00C15A80" w14:paraId="6D83FDBF" w14:textId="77777777" w:rsidTr="0030337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5FE4F2E1" w14:textId="77777777" w:rsidR="00303378" w:rsidRPr="00C15A80" w:rsidRDefault="00303378" w:rsidP="00303378">
            <w:pPr>
              <w:spacing w:before="60" w:after="60"/>
              <w:rPr>
                <w:lang w:val="en-US"/>
              </w:rPr>
            </w:pPr>
          </w:p>
        </w:tc>
        <w:tc>
          <w:tcPr>
            <w:tcW w:w="2625" w:type="dxa"/>
            <w:tcBorders>
              <w:top w:val="none" w:sz="0" w:space="0" w:color="auto"/>
              <w:left w:val="single" w:sz="4" w:space="0" w:color="auto"/>
              <w:bottom w:val="none" w:sz="0" w:space="0" w:color="auto"/>
              <w:right w:val="single" w:sz="4" w:space="0" w:color="auto"/>
            </w:tcBorders>
            <w:shd w:val="clear" w:color="auto" w:fill="auto"/>
          </w:tcPr>
          <w:p w14:paraId="6D469653"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
        </w:tc>
        <w:tc>
          <w:tcPr>
            <w:tcW w:w="2582" w:type="dxa"/>
            <w:tcBorders>
              <w:top w:val="none" w:sz="0" w:space="0" w:color="auto"/>
              <w:left w:val="single" w:sz="4" w:space="0" w:color="auto"/>
              <w:bottom w:val="none" w:sz="0" w:space="0" w:color="auto"/>
              <w:right w:val="single" w:sz="4" w:space="0" w:color="auto"/>
            </w:tcBorders>
            <w:shd w:val="clear" w:color="auto" w:fill="auto"/>
          </w:tcPr>
          <w:p w14:paraId="4801E04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Mrs</w:t>
            </w:r>
            <w:proofErr w:type="spellEnd"/>
            <w:r w:rsidRPr="00C15A80">
              <w:rPr>
                <w:lang w:val="en-US"/>
              </w:rPr>
              <w:t xml:space="preserve"> </w:t>
            </w:r>
            <w:proofErr w:type="spellStart"/>
            <w:r w:rsidRPr="00C15A80">
              <w:rPr>
                <w:lang w:val="en-US"/>
              </w:rPr>
              <w:t>Fina</w:t>
            </w:r>
            <w:proofErr w:type="spellEnd"/>
            <w:r w:rsidRPr="00C15A80">
              <w:rPr>
                <w:lang w:val="en-US"/>
              </w:rPr>
              <w:t xml:space="preserve"> </w:t>
            </w:r>
            <w:proofErr w:type="spellStart"/>
            <w:r w:rsidRPr="00C15A80">
              <w:rPr>
                <w:lang w:val="en-US"/>
              </w:rPr>
              <w:t>Fineanganofo</w:t>
            </w:r>
            <w:proofErr w:type="spellEnd"/>
          </w:p>
        </w:tc>
        <w:tc>
          <w:tcPr>
            <w:tcW w:w="3230" w:type="dxa"/>
            <w:tcBorders>
              <w:top w:val="none" w:sz="0" w:space="0" w:color="auto"/>
              <w:left w:val="single" w:sz="4" w:space="0" w:color="auto"/>
              <w:bottom w:val="none" w:sz="0" w:space="0" w:color="auto"/>
            </w:tcBorders>
            <w:shd w:val="clear" w:color="auto" w:fill="auto"/>
          </w:tcPr>
          <w:p w14:paraId="0B05831F"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Head </w:t>
            </w:r>
            <w:r w:rsidRPr="00C15A80">
              <w:rPr>
                <w:i/>
                <w:lang w:val="en-US"/>
              </w:rPr>
              <w:t>of</w:t>
            </w:r>
            <w:r w:rsidRPr="00C15A80">
              <w:rPr>
                <w:lang w:val="en-US"/>
              </w:rPr>
              <w:t xml:space="preserve"> Tourism &amp; Hospitality</w:t>
            </w:r>
          </w:p>
        </w:tc>
      </w:tr>
      <w:tr w:rsidR="00303378" w:rsidRPr="00C15A80" w14:paraId="684B4C93"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7BAA7F25" w14:textId="77777777" w:rsidR="00303378" w:rsidRPr="00C15A80" w:rsidRDefault="00303378" w:rsidP="00303378">
            <w:pPr>
              <w:spacing w:before="60" w:after="60"/>
              <w:rPr>
                <w:lang w:val="en-US"/>
              </w:rPr>
            </w:pPr>
          </w:p>
        </w:tc>
        <w:tc>
          <w:tcPr>
            <w:tcW w:w="2625" w:type="dxa"/>
            <w:tcBorders>
              <w:left w:val="single" w:sz="4" w:space="0" w:color="auto"/>
              <w:right w:val="single" w:sz="4" w:space="0" w:color="auto"/>
            </w:tcBorders>
            <w:shd w:val="clear" w:color="auto" w:fill="auto"/>
          </w:tcPr>
          <w:p w14:paraId="56DCAAE5"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
        </w:tc>
        <w:tc>
          <w:tcPr>
            <w:tcW w:w="2582" w:type="dxa"/>
            <w:tcBorders>
              <w:left w:val="single" w:sz="4" w:space="0" w:color="auto"/>
              <w:right w:val="single" w:sz="4" w:space="0" w:color="auto"/>
            </w:tcBorders>
            <w:shd w:val="clear" w:color="auto" w:fill="auto"/>
          </w:tcPr>
          <w:p w14:paraId="6A950827"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Capt</w:t>
            </w:r>
            <w:proofErr w:type="spellEnd"/>
            <w:r w:rsidRPr="00C15A80">
              <w:rPr>
                <w:lang w:val="en-US"/>
              </w:rPr>
              <w:t xml:space="preserve"> </w:t>
            </w:r>
            <w:proofErr w:type="spellStart"/>
            <w:r w:rsidRPr="00C15A80">
              <w:rPr>
                <w:lang w:val="en-US"/>
              </w:rPr>
              <w:t>Sateki</w:t>
            </w:r>
            <w:proofErr w:type="spellEnd"/>
            <w:r w:rsidRPr="00C15A80">
              <w:rPr>
                <w:lang w:val="en-US"/>
              </w:rPr>
              <w:t xml:space="preserve"> Manu</w:t>
            </w:r>
          </w:p>
        </w:tc>
        <w:tc>
          <w:tcPr>
            <w:tcW w:w="3230" w:type="dxa"/>
            <w:tcBorders>
              <w:left w:val="single" w:sz="4" w:space="0" w:color="auto"/>
            </w:tcBorders>
            <w:shd w:val="clear" w:color="auto" w:fill="auto"/>
          </w:tcPr>
          <w:p w14:paraId="7266AEC2"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Principal, TMPI</w:t>
            </w:r>
          </w:p>
        </w:tc>
      </w:tr>
      <w:tr w:rsidR="00303378" w:rsidRPr="00C15A80" w14:paraId="12CEB5D7"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2BC5863C" w14:textId="77777777" w:rsidR="00303378" w:rsidRPr="00C15A80" w:rsidRDefault="00303378" w:rsidP="00303378">
            <w:pPr>
              <w:spacing w:before="60" w:after="60"/>
              <w:rPr>
                <w:lang w:val="en-US"/>
              </w:rPr>
            </w:pPr>
            <w:r w:rsidRPr="00C15A80">
              <w:rPr>
                <w:lang w:val="en-US"/>
              </w:rPr>
              <w:t>13</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53BB75AD"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Tonga Chamber of Commerce &amp; Industries (TCCI)</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599E4B6F"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Paul </w:t>
            </w:r>
            <w:proofErr w:type="spellStart"/>
            <w:r w:rsidRPr="00C15A80">
              <w:rPr>
                <w:lang w:val="en-US"/>
              </w:rPr>
              <w:t>Taumoepeau</w:t>
            </w:r>
            <w:proofErr w:type="spellEnd"/>
          </w:p>
          <w:p w14:paraId="28C0B62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Ms</w:t>
            </w:r>
            <w:proofErr w:type="spellEnd"/>
            <w:r w:rsidRPr="00C15A80">
              <w:rPr>
                <w:lang w:val="en-US"/>
              </w:rPr>
              <w:t xml:space="preserve"> ‘</w:t>
            </w:r>
            <w:proofErr w:type="spellStart"/>
            <w:r w:rsidRPr="00C15A80">
              <w:rPr>
                <w:lang w:val="en-US"/>
              </w:rPr>
              <w:t>Aloma</w:t>
            </w:r>
            <w:proofErr w:type="spellEnd"/>
            <w:r w:rsidRPr="00C15A80">
              <w:rPr>
                <w:lang w:val="en-US"/>
              </w:rPr>
              <w:t xml:space="preserve"> Johansson </w:t>
            </w:r>
          </w:p>
        </w:tc>
        <w:tc>
          <w:tcPr>
            <w:tcW w:w="3230" w:type="dxa"/>
            <w:tcBorders>
              <w:top w:val="none" w:sz="0" w:space="0" w:color="auto"/>
              <w:left w:val="single" w:sz="4" w:space="0" w:color="auto"/>
              <w:bottom w:val="none" w:sz="0" w:space="0" w:color="auto"/>
            </w:tcBorders>
            <w:shd w:val="clear" w:color="auto" w:fill="auto"/>
          </w:tcPr>
          <w:p w14:paraId="04187499"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Former President</w:t>
            </w:r>
          </w:p>
          <w:p w14:paraId="393DCC2D"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President TCCI</w:t>
            </w:r>
          </w:p>
        </w:tc>
      </w:tr>
      <w:tr w:rsidR="00303378" w:rsidRPr="00C15A80" w14:paraId="7475C562"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1F22A444" w14:textId="77777777" w:rsidR="00303378" w:rsidRPr="00C15A80" w:rsidRDefault="00303378" w:rsidP="00303378">
            <w:pPr>
              <w:spacing w:before="60" w:after="60"/>
              <w:rPr>
                <w:lang w:val="en-US"/>
              </w:rPr>
            </w:pPr>
            <w:r w:rsidRPr="00C15A80">
              <w:rPr>
                <w:lang w:val="en-US"/>
              </w:rPr>
              <w:t>14</w:t>
            </w:r>
          </w:p>
        </w:tc>
        <w:tc>
          <w:tcPr>
            <w:tcW w:w="2625" w:type="dxa"/>
            <w:tcBorders>
              <w:left w:val="single" w:sz="4" w:space="0" w:color="auto"/>
              <w:right w:val="single" w:sz="4" w:space="0" w:color="auto"/>
            </w:tcBorders>
            <w:shd w:val="clear" w:color="auto" w:fill="auto"/>
          </w:tcPr>
          <w:p w14:paraId="0F049029"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Ministry of Works (MOW)</w:t>
            </w:r>
          </w:p>
        </w:tc>
        <w:tc>
          <w:tcPr>
            <w:tcW w:w="2582" w:type="dxa"/>
            <w:tcBorders>
              <w:left w:val="single" w:sz="4" w:space="0" w:color="auto"/>
              <w:right w:val="single" w:sz="4" w:space="0" w:color="auto"/>
            </w:tcBorders>
            <w:shd w:val="clear" w:color="auto" w:fill="auto"/>
          </w:tcPr>
          <w:p w14:paraId="3D1B2500"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Leveni</w:t>
            </w:r>
            <w:proofErr w:type="spellEnd"/>
            <w:r w:rsidRPr="00C15A80">
              <w:rPr>
                <w:lang w:val="en-US"/>
              </w:rPr>
              <w:t xml:space="preserve"> ‘</w:t>
            </w:r>
            <w:proofErr w:type="spellStart"/>
            <w:r w:rsidRPr="00C15A80">
              <w:rPr>
                <w:lang w:val="en-US"/>
              </w:rPr>
              <w:t>Aho</w:t>
            </w:r>
            <w:proofErr w:type="spellEnd"/>
          </w:p>
        </w:tc>
        <w:tc>
          <w:tcPr>
            <w:tcW w:w="3230" w:type="dxa"/>
            <w:tcBorders>
              <w:left w:val="single" w:sz="4" w:space="0" w:color="auto"/>
            </w:tcBorders>
            <w:shd w:val="clear" w:color="auto" w:fill="auto"/>
          </w:tcPr>
          <w:p w14:paraId="55673C01"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Acting CEO</w:t>
            </w:r>
          </w:p>
        </w:tc>
      </w:tr>
      <w:tr w:rsidR="00303378" w:rsidRPr="00C15A80" w14:paraId="76AAB8DC"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65222454" w14:textId="77777777" w:rsidR="00303378" w:rsidRPr="00C15A80" w:rsidRDefault="00303378" w:rsidP="00303378">
            <w:pPr>
              <w:spacing w:before="60" w:after="60"/>
              <w:rPr>
                <w:lang w:val="en-US"/>
              </w:rPr>
            </w:pPr>
            <w:r w:rsidRPr="00C15A80">
              <w:rPr>
                <w:lang w:val="en-US"/>
              </w:rPr>
              <w:t>15</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69D8A1B9"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Tonga Association for TVET</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36C13609"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Sr</w:t>
            </w:r>
            <w:proofErr w:type="spellEnd"/>
            <w:r w:rsidRPr="00C15A80">
              <w:rPr>
                <w:lang w:val="en-US"/>
              </w:rPr>
              <w:t xml:space="preserve"> </w:t>
            </w:r>
            <w:proofErr w:type="spellStart"/>
            <w:r w:rsidRPr="00C15A80">
              <w:rPr>
                <w:lang w:val="en-US"/>
              </w:rPr>
              <w:t>Kieoma</w:t>
            </w:r>
            <w:proofErr w:type="spellEnd"/>
            <w:r w:rsidRPr="00C15A80">
              <w:rPr>
                <w:lang w:val="en-US"/>
              </w:rPr>
              <w:t xml:space="preserve"> </w:t>
            </w:r>
            <w:proofErr w:type="spellStart"/>
            <w:r w:rsidRPr="00C15A80">
              <w:rPr>
                <w:lang w:val="en-US"/>
              </w:rPr>
              <w:t>Finau</w:t>
            </w:r>
            <w:proofErr w:type="spellEnd"/>
          </w:p>
        </w:tc>
        <w:tc>
          <w:tcPr>
            <w:tcW w:w="3230" w:type="dxa"/>
            <w:tcBorders>
              <w:top w:val="none" w:sz="0" w:space="0" w:color="auto"/>
              <w:left w:val="single" w:sz="4" w:space="0" w:color="auto"/>
              <w:bottom w:val="none" w:sz="0" w:space="0" w:color="auto"/>
            </w:tcBorders>
            <w:shd w:val="clear" w:color="auto" w:fill="auto"/>
          </w:tcPr>
          <w:p w14:paraId="2D42CC77"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President, TATVET</w:t>
            </w:r>
          </w:p>
        </w:tc>
      </w:tr>
      <w:tr w:rsidR="00303378" w:rsidRPr="00C15A80" w14:paraId="0911FA9C"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0E82C2A4" w14:textId="77777777" w:rsidR="00303378" w:rsidRPr="00C15A80" w:rsidRDefault="00303378" w:rsidP="00303378">
            <w:pPr>
              <w:spacing w:before="60" w:after="60"/>
              <w:rPr>
                <w:lang w:val="en-US"/>
              </w:rPr>
            </w:pPr>
            <w:r w:rsidRPr="00C15A80">
              <w:rPr>
                <w:lang w:val="en-US"/>
              </w:rPr>
              <w:t>16</w:t>
            </w:r>
          </w:p>
        </w:tc>
        <w:tc>
          <w:tcPr>
            <w:tcW w:w="2625" w:type="dxa"/>
            <w:tcBorders>
              <w:left w:val="single" w:sz="4" w:space="0" w:color="auto"/>
              <w:right w:val="single" w:sz="4" w:space="0" w:color="auto"/>
            </w:tcBorders>
            <w:shd w:val="clear" w:color="auto" w:fill="auto"/>
          </w:tcPr>
          <w:p w14:paraId="4971C4A6"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w:t>
            </w:r>
            <w:proofErr w:type="spellStart"/>
            <w:r w:rsidRPr="00C15A80">
              <w:rPr>
                <w:lang w:val="en-US"/>
              </w:rPr>
              <w:t>Ahopanilolo</w:t>
            </w:r>
            <w:proofErr w:type="spellEnd"/>
            <w:r w:rsidRPr="00C15A80">
              <w:rPr>
                <w:lang w:val="en-US"/>
              </w:rPr>
              <w:t xml:space="preserve"> Technical Institute</w:t>
            </w:r>
          </w:p>
        </w:tc>
        <w:tc>
          <w:tcPr>
            <w:tcW w:w="2582" w:type="dxa"/>
            <w:tcBorders>
              <w:left w:val="single" w:sz="4" w:space="0" w:color="auto"/>
              <w:right w:val="single" w:sz="4" w:space="0" w:color="auto"/>
            </w:tcBorders>
            <w:shd w:val="clear" w:color="auto" w:fill="auto"/>
          </w:tcPr>
          <w:p w14:paraId="2C92018D"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Sr</w:t>
            </w:r>
            <w:proofErr w:type="spellEnd"/>
            <w:r w:rsidRPr="00C15A80">
              <w:rPr>
                <w:lang w:val="en-US"/>
              </w:rPr>
              <w:t xml:space="preserve"> </w:t>
            </w:r>
            <w:proofErr w:type="spellStart"/>
            <w:r w:rsidRPr="00C15A80">
              <w:rPr>
                <w:lang w:val="en-US"/>
              </w:rPr>
              <w:t>Kieoma</w:t>
            </w:r>
            <w:proofErr w:type="spellEnd"/>
            <w:r w:rsidRPr="00C15A80">
              <w:rPr>
                <w:lang w:val="en-US"/>
              </w:rPr>
              <w:t xml:space="preserve"> </w:t>
            </w:r>
            <w:proofErr w:type="spellStart"/>
            <w:r w:rsidRPr="00C15A80">
              <w:rPr>
                <w:lang w:val="en-US"/>
              </w:rPr>
              <w:t>Finau</w:t>
            </w:r>
            <w:proofErr w:type="spellEnd"/>
          </w:p>
        </w:tc>
        <w:tc>
          <w:tcPr>
            <w:tcW w:w="3230" w:type="dxa"/>
            <w:tcBorders>
              <w:left w:val="single" w:sz="4" w:space="0" w:color="auto"/>
            </w:tcBorders>
            <w:shd w:val="clear" w:color="auto" w:fill="auto"/>
          </w:tcPr>
          <w:p w14:paraId="7852519D"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Principal</w:t>
            </w:r>
          </w:p>
        </w:tc>
      </w:tr>
      <w:tr w:rsidR="00303378" w:rsidRPr="00C15A80" w14:paraId="7AC21486" w14:textId="77777777" w:rsidTr="0030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11C7EED8" w14:textId="77777777" w:rsidR="00303378" w:rsidRPr="00C15A80" w:rsidRDefault="00303378" w:rsidP="00303378">
            <w:pPr>
              <w:spacing w:before="60" w:after="60"/>
              <w:rPr>
                <w:lang w:val="en-US"/>
              </w:rPr>
            </w:pPr>
            <w:r w:rsidRPr="00C15A80">
              <w:rPr>
                <w:lang w:val="en-US"/>
              </w:rPr>
              <w:t xml:space="preserve">17 </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3E22827A"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ITAC Tourism &amp; </w:t>
            </w:r>
            <w:r w:rsidRPr="00C15A80">
              <w:rPr>
                <w:lang w:val="en-US"/>
              </w:rPr>
              <w:lastRenderedPageBreak/>
              <w:t>Hospitality</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4CF44A07"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lastRenderedPageBreak/>
              <w:t>Mrs</w:t>
            </w:r>
            <w:proofErr w:type="spellEnd"/>
            <w:r w:rsidRPr="00C15A80">
              <w:rPr>
                <w:lang w:val="en-US"/>
              </w:rPr>
              <w:t xml:space="preserve"> Lee Miller</w:t>
            </w:r>
          </w:p>
        </w:tc>
        <w:tc>
          <w:tcPr>
            <w:tcW w:w="3230" w:type="dxa"/>
            <w:tcBorders>
              <w:top w:val="none" w:sz="0" w:space="0" w:color="auto"/>
              <w:left w:val="single" w:sz="4" w:space="0" w:color="auto"/>
              <w:bottom w:val="none" w:sz="0" w:space="0" w:color="auto"/>
            </w:tcBorders>
            <w:shd w:val="clear" w:color="auto" w:fill="auto"/>
          </w:tcPr>
          <w:p w14:paraId="52C8C1DD"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Chair, ITAC T&amp;H</w:t>
            </w:r>
          </w:p>
        </w:tc>
      </w:tr>
      <w:tr w:rsidR="00303378" w:rsidRPr="00C15A80" w14:paraId="4D28E4F3" w14:textId="77777777" w:rsidTr="00303378">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029A3F56" w14:textId="77777777" w:rsidR="00303378" w:rsidRPr="00C15A80" w:rsidRDefault="00303378" w:rsidP="00303378">
            <w:pPr>
              <w:spacing w:before="60" w:after="60"/>
              <w:rPr>
                <w:lang w:val="en-US"/>
              </w:rPr>
            </w:pPr>
            <w:r w:rsidRPr="00C15A80">
              <w:rPr>
                <w:lang w:val="en-US"/>
              </w:rPr>
              <w:lastRenderedPageBreak/>
              <w:t>18</w:t>
            </w:r>
          </w:p>
        </w:tc>
        <w:tc>
          <w:tcPr>
            <w:tcW w:w="2625" w:type="dxa"/>
            <w:tcBorders>
              <w:left w:val="single" w:sz="4" w:space="0" w:color="auto"/>
              <w:right w:val="single" w:sz="4" w:space="0" w:color="auto"/>
            </w:tcBorders>
            <w:shd w:val="clear" w:color="auto" w:fill="auto"/>
          </w:tcPr>
          <w:p w14:paraId="727C7405"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ITAC Construction</w:t>
            </w:r>
          </w:p>
        </w:tc>
        <w:tc>
          <w:tcPr>
            <w:tcW w:w="2582" w:type="dxa"/>
            <w:tcBorders>
              <w:left w:val="single" w:sz="4" w:space="0" w:color="auto"/>
              <w:right w:val="single" w:sz="4" w:space="0" w:color="auto"/>
            </w:tcBorders>
            <w:shd w:val="clear" w:color="auto" w:fill="auto"/>
          </w:tcPr>
          <w:p w14:paraId="2B7BE359"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Viliami</w:t>
            </w:r>
            <w:proofErr w:type="spellEnd"/>
            <w:r w:rsidRPr="00C15A80">
              <w:rPr>
                <w:lang w:val="en-US"/>
              </w:rPr>
              <w:t xml:space="preserve"> </w:t>
            </w:r>
            <w:proofErr w:type="spellStart"/>
            <w:r w:rsidRPr="00C15A80">
              <w:rPr>
                <w:lang w:val="en-US"/>
              </w:rPr>
              <w:t>Sisifa</w:t>
            </w:r>
            <w:proofErr w:type="spellEnd"/>
          </w:p>
        </w:tc>
        <w:tc>
          <w:tcPr>
            <w:tcW w:w="3230" w:type="dxa"/>
            <w:tcBorders>
              <w:left w:val="single" w:sz="4" w:space="0" w:color="auto"/>
            </w:tcBorders>
            <w:shd w:val="clear" w:color="auto" w:fill="auto"/>
          </w:tcPr>
          <w:p w14:paraId="4ACD9DBB"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Chair, ITAC Construction</w:t>
            </w:r>
          </w:p>
        </w:tc>
      </w:tr>
      <w:tr w:rsidR="00303378" w:rsidRPr="00C15A80" w14:paraId="67618814" w14:textId="77777777" w:rsidTr="0030337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34E42C33" w14:textId="77777777" w:rsidR="00303378" w:rsidRPr="00C15A80" w:rsidRDefault="00303378" w:rsidP="00303378">
            <w:pPr>
              <w:spacing w:before="60" w:after="60"/>
              <w:rPr>
                <w:lang w:val="en-US"/>
              </w:rPr>
            </w:pPr>
            <w:r w:rsidRPr="00C15A80">
              <w:rPr>
                <w:lang w:val="en-US"/>
              </w:rPr>
              <w:t>19</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308065EA"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Channel College - APW</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48D27D20"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Uto</w:t>
            </w:r>
            <w:proofErr w:type="spellEnd"/>
            <w:r w:rsidRPr="00C15A80">
              <w:rPr>
                <w:lang w:val="en-US"/>
              </w:rPr>
              <w:t xml:space="preserve"> </w:t>
            </w:r>
            <w:proofErr w:type="spellStart"/>
            <w:r w:rsidRPr="00C15A80">
              <w:rPr>
                <w:lang w:val="en-US"/>
              </w:rPr>
              <w:t>Kaufusi</w:t>
            </w:r>
            <w:proofErr w:type="spellEnd"/>
          </w:p>
        </w:tc>
        <w:tc>
          <w:tcPr>
            <w:tcW w:w="3230" w:type="dxa"/>
            <w:tcBorders>
              <w:top w:val="none" w:sz="0" w:space="0" w:color="auto"/>
              <w:left w:val="single" w:sz="4" w:space="0" w:color="auto"/>
              <w:bottom w:val="none" w:sz="0" w:space="0" w:color="auto"/>
            </w:tcBorders>
            <w:shd w:val="clear" w:color="auto" w:fill="auto"/>
          </w:tcPr>
          <w:p w14:paraId="4E171A87"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Principal</w:t>
            </w:r>
          </w:p>
        </w:tc>
      </w:tr>
      <w:tr w:rsidR="00303378" w:rsidRPr="00C15A80" w14:paraId="418ACAB7" w14:textId="77777777" w:rsidTr="00303378">
        <w:trPr>
          <w:trHeight w:val="180"/>
        </w:trPr>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23AE5BB5" w14:textId="77777777" w:rsidR="00303378" w:rsidRPr="00C15A80" w:rsidRDefault="00303378" w:rsidP="00303378">
            <w:pPr>
              <w:spacing w:before="60" w:after="60"/>
              <w:rPr>
                <w:lang w:val="en-US"/>
              </w:rPr>
            </w:pPr>
            <w:r w:rsidRPr="00C15A80">
              <w:rPr>
                <w:lang w:val="en-US"/>
              </w:rPr>
              <w:t xml:space="preserve">20 </w:t>
            </w:r>
          </w:p>
        </w:tc>
        <w:tc>
          <w:tcPr>
            <w:tcW w:w="2625" w:type="dxa"/>
            <w:tcBorders>
              <w:left w:val="single" w:sz="4" w:space="0" w:color="auto"/>
              <w:right w:val="single" w:sz="4" w:space="0" w:color="auto"/>
            </w:tcBorders>
            <w:shd w:val="clear" w:color="auto" w:fill="auto"/>
          </w:tcPr>
          <w:p w14:paraId="7300EC91"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Mailefihi</w:t>
            </w:r>
            <w:proofErr w:type="spellEnd"/>
            <w:r w:rsidRPr="00C15A80">
              <w:rPr>
                <w:lang w:val="en-US"/>
              </w:rPr>
              <w:t xml:space="preserve"> College- Franchise Programs</w:t>
            </w:r>
          </w:p>
        </w:tc>
        <w:tc>
          <w:tcPr>
            <w:tcW w:w="2582" w:type="dxa"/>
            <w:tcBorders>
              <w:left w:val="single" w:sz="4" w:space="0" w:color="auto"/>
              <w:right w:val="single" w:sz="4" w:space="0" w:color="auto"/>
            </w:tcBorders>
            <w:shd w:val="clear" w:color="auto" w:fill="auto"/>
          </w:tcPr>
          <w:p w14:paraId="05807143"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Ms</w:t>
            </w:r>
            <w:proofErr w:type="spellEnd"/>
            <w:r w:rsidRPr="00C15A80">
              <w:rPr>
                <w:lang w:val="en-US"/>
              </w:rPr>
              <w:t xml:space="preserve"> </w:t>
            </w:r>
            <w:proofErr w:type="spellStart"/>
            <w:r w:rsidRPr="00C15A80">
              <w:rPr>
                <w:lang w:val="en-US"/>
              </w:rPr>
              <w:t>Loloahi</w:t>
            </w:r>
            <w:proofErr w:type="spellEnd"/>
            <w:r w:rsidRPr="00C15A80">
              <w:rPr>
                <w:lang w:val="en-US"/>
              </w:rPr>
              <w:t xml:space="preserve"> </w:t>
            </w:r>
            <w:proofErr w:type="spellStart"/>
            <w:r w:rsidRPr="00C15A80">
              <w:rPr>
                <w:lang w:val="en-US"/>
              </w:rPr>
              <w:t>Moimoi</w:t>
            </w:r>
            <w:proofErr w:type="spellEnd"/>
            <w:r w:rsidRPr="00C15A80">
              <w:rPr>
                <w:lang w:val="en-US"/>
              </w:rPr>
              <w:t xml:space="preserve"> </w:t>
            </w:r>
          </w:p>
          <w:p w14:paraId="2B85D11C"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Alifeleti</w:t>
            </w:r>
            <w:proofErr w:type="spellEnd"/>
            <w:r w:rsidRPr="00C15A80">
              <w:rPr>
                <w:lang w:val="en-US"/>
              </w:rPr>
              <w:t xml:space="preserve"> ‘</w:t>
            </w:r>
            <w:proofErr w:type="spellStart"/>
            <w:r w:rsidRPr="00C15A80">
              <w:rPr>
                <w:lang w:val="en-US"/>
              </w:rPr>
              <w:t>Atiola</w:t>
            </w:r>
            <w:proofErr w:type="spellEnd"/>
          </w:p>
        </w:tc>
        <w:tc>
          <w:tcPr>
            <w:tcW w:w="3230" w:type="dxa"/>
            <w:tcBorders>
              <w:left w:val="single" w:sz="4" w:space="0" w:color="auto"/>
            </w:tcBorders>
            <w:shd w:val="clear" w:color="auto" w:fill="auto"/>
          </w:tcPr>
          <w:p w14:paraId="47B3FABC"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Principal</w:t>
            </w:r>
          </w:p>
          <w:p w14:paraId="5EA6D6C9"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President, FWC Education System</w:t>
            </w:r>
          </w:p>
        </w:tc>
      </w:tr>
      <w:tr w:rsidR="00303378" w:rsidRPr="00C15A80" w14:paraId="007410E3" w14:textId="77777777" w:rsidTr="0030337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048FA554" w14:textId="77777777" w:rsidR="00303378" w:rsidRPr="00C15A80" w:rsidRDefault="00303378" w:rsidP="00303378">
            <w:pPr>
              <w:spacing w:before="60" w:after="60"/>
              <w:rPr>
                <w:lang w:val="en-US"/>
              </w:rPr>
            </w:pPr>
            <w:r w:rsidRPr="00C15A80">
              <w:rPr>
                <w:lang w:val="en-US"/>
              </w:rPr>
              <w:t>21</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15C628A3"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Tailulu</w:t>
            </w:r>
            <w:proofErr w:type="spellEnd"/>
            <w:r w:rsidRPr="00C15A80">
              <w:rPr>
                <w:lang w:val="en-US"/>
              </w:rPr>
              <w:t xml:space="preserve"> college - APW</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6E11B3A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Mr. Paul </w:t>
            </w:r>
            <w:proofErr w:type="spellStart"/>
            <w:r w:rsidRPr="00C15A80">
              <w:rPr>
                <w:lang w:val="en-US"/>
              </w:rPr>
              <w:t>Fonua</w:t>
            </w:r>
            <w:proofErr w:type="spellEnd"/>
          </w:p>
        </w:tc>
        <w:tc>
          <w:tcPr>
            <w:tcW w:w="3230" w:type="dxa"/>
            <w:tcBorders>
              <w:top w:val="none" w:sz="0" w:space="0" w:color="auto"/>
              <w:left w:val="single" w:sz="4" w:space="0" w:color="auto"/>
              <w:bottom w:val="none" w:sz="0" w:space="0" w:color="auto"/>
            </w:tcBorders>
            <w:shd w:val="clear" w:color="auto" w:fill="auto"/>
          </w:tcPr>
          <w:p w14:paraId="38250D18"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Principal</w:t>
            </w:r>
          </w:p>
        </w:tc>
      </w:tr>
      <w:tr w:rsidR="00303378" w:rsidRPr="00C15A80" w14:paraId="19845EC1" w14:textId="77777777" w:rsidTr="00303378">
        <w:trPr>
          <w:trHeight w:val="135"/>
        </w:trPr>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7FB88CA8" w14:textId="77777777" w:rsidR="00303378" w:rsidRPr="00C15A80" w:rsidRDefault="00303378" w:rsidP="00303378">
            <w:pPr>
              <w:spacing w:before="60" w:after="60"/>
              <w:rPr>
                <w:lang w:val="en-US"/>
              </w:rPr>
            </w:pPr>
            <w:r w:rsidRPr="00C15A80">
              <w:rPr>
                <w:lang w:val="en-US"/>
              </w:rPr>
              <w:t>22</w:t>
            </w:r>
          </w:p>
        </w:tc>
        <w:tc>
          <w:tcPr>
            <w:tcW w:w="2625" w:type="dxa"/>
            <w:tcBorders>
              <w:left w:val="single" w:sz="4" w:space="0" w:color="auto"/>
              <w:right w:val="single" w:sz="4" w:space="0" w:color="auto"/>
            </w:tcBorders>
            <w:shd w:val="clear" w:color="auto" w:fill="auto"/>
          </w:tcPr>
          <w:p w14:paraId="65F91213"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Tupou</w:t>
            </w:r>
            <w:proofErr w:type="spellEnd"/>
            <w:r w:rsidRPr="00C15A80">
              <w:rPr>
                <w:lang w:val="en-US"/>
              </w:rPr>
              <w:t xml:space="preserve"> Tertiary Institute</w:t>
            </w:r>
          </w:p>
        </w:tc>
        <w:tc>
          <w:tcPr>
            <w:tcW w:w="2582" w:type="dxa"/>
            <w:tcBorders>
              <w:left w:val="single" w:sz="4" w:space="0" w:color="auto"/>
              <w:right w:val="single" w:sz="4" w:space="0" w:color="auto"/>
            </w:tcBorders>
            <w:shd w:val="clear" w:color="auto" w:fill="auto"/>
          </w:tcPr>
          <w:p w14:paraId="1F3750D3"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Ms</w:t>
            </w:r>
            <w:proofErr w:type="spellEnd"/>
            <w:r w:rsidRPr="00C15A80">
              <w:rPr>
                <w:lang w:val="en-US"/>
              </w:rPr>
              <w:t xml:space="preserve"> </w:t>
            </w:r>
            <w:proofErr w:type="spellStart"/>
            <w:r w:rsidRPr="00C15A80">
              <w:rPr>
                <w:lang w:val="en-US"/>
              </w:rPr>
              <w:t>Mele’ana</w:t>
            </w:r>
            <w:proofErr w:type="spellEnd"/>
            <w:r w:rsidRPr="00C15A80">
              <w:rPr>
                <w:lang w:val="en-US"/>
              </w:rPr>
              <w:t xml:space="preserve"> </w:t>
            </w:r>
            <w:proofErr w:type="spellStart"/>
            <w:r w:rsidRPr="00C15A80">
              <w:rPr>
                <w:lang w:val="en-US"/>
              </w:rPr>
              <w:t>Puloka</w:t>
            </w:r>
            <w:proofErr w:type="spellEnd"/>
          </w:p>
        </w:tc>
        <w:tc>
          <w:tcPr>
            <w:tcW w:w="3230" w:type="dxa"/>
            <w:tcBorders>
              <w:left w:val="single" w:sz="4" w:space="0" w:color="auto"/>
            </w:tcBorders>
            <w:shd w:val="clear" w:color="auto" w:fill="auto"/>
          </w:tcPr>
          <w:p w14:paraId="2824740A"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Director</w:t>
            </w:r>
          </w:p>
        </w:tc>
      </w:tr>
      <w:tr w:rsidR="00303378" w:rsidRPr="00C15A80" w14:paraId="569FD262" w14:textId="77777777" w:rsidTr="0030337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0633D1A8" w14:textId="77777777" w:rsidR="00303378" w:rsidRPr="00C15A80" w:rsidRDefault="00303378" w:rsidP="00303378">
            <w:pPr>
              <w:spacing w:before="60" w:after="60"/>
              <w:rPr>
                <w:lang w:val="en-US"/>
              </w:rPr>
            </w:pPr>
            <w:r w:rsidRPr="00C15A80">
              <w:rPr>
                <w:lang w:val="en-US"/>
              </w:rPr>
              <w:t>23</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0CFECEB6"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Ministry of Labour, Commerce &amp; Industry</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264CC3D5"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Tatafu</w:t>
            </w:r>
            <w:proofErr w:type="spellEnd"/>
            <w:r w:rsidRPr="00C15A80">
              <w:rPr>
                <w:lang w:val="en-US"/>
              </w:rPr>
              <w:t xml:space="preserve"> </w:t>
            </w:r>
            <w:proofErr w:type="spellStart"/>
            <w:r w:rsidRPr="00C15A80">
              <w:rPr>
                <w:lang w:val="en-US"/>
              </w:rPr>
              <w:t>Moeaki</w:t>
            </w:r>
            <w:proofErr w:type="spellEnd"/>
          </w:p>
        </w:tc>
        <w:tc>
          <w:tcPr>
            <w:tcW w:w="3230" w:type="dxa"/>
            <w:tcBorders>
              <w:top w:val="none" w:sz="0" w:space="0" w:color="auto"/>
              <w:left w:val="single" w:sz="4" w:space="0" w:color="auto"/>
              <w:bottom w:val="none" w:sz="0" w:space="0" w:color="auto"/>
            </w:tcBorders>
            <w:shd w:val="clear" w:color="auto" w:fill="auto"/>
          </w:tcPr>
          <w:p w14:paraId="6A01803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CEO</w:t>
            </w:r>
          </w:p>
        </w:tc>
      </w:tr>
      <w:tr w:rsidR="00303378" w:rsidRPr="00C15A80" w14:paraId="4DB00FF2" w14:textId="77777777" w:rsidTr="00303378">
        <w:trPr>
          <w:trHeight w:val="150"/>
        </w:trPr>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4C56D9BC" w14:textId="77777777" w:rsidR="00303378" w:rsidRPr="00C15A80" w:rsidRDefault="00303378" w:rsidP="00303378">
            <w:pPr>
              <w:spacing w:before="60" w:after="60"/>
              <w:rPr>
                <w:lang w:val="en-US"/>
              </w:rPr>
            </w:pPr>
            <w:r w:rsidRPr="00C15A80">
              <w:rPr>
                <w:lang w:val="en-US"/>
              </w:rPr>
              <w:t xml:space="preserve">24 </w:t>
            </w:r>
          </w:p>
        </w:tc>
        <w:tc>
          <w:tcPr>
            <w:tcW w:w="2625" w:type="dxa"/>
            <w:tcBorders>
              <w:left w:val="single" w:sz="4" w:space="0" w:color="auto"/>
              <w:right w:val="single" w:sz="4" w:space="0" w:color="auto"/>
            </w:tcBorders>
            <w:shd w:val="clear" w:color="auto" w:fill="auto"/>
          </w:tcPr>
          <w:p w14:paraId="3AEBDCDC"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Tonga Business Enterprise Centre</w:t>
            </w:r>
          </w:p>
        </w:tc>
        <w:tc>
          <w:tcPr>
            <w:tcW w:w="2582" w:type="dxa"/>
            <w:tcBorders>
              <w:left w:val="single" w:sz="4" w:space="0" w:color="auto"/>
              <w:right w:val="single" w:sz="4" w:space="0" w:color="auto"/>
            </w:tcBorders>
            <w:shd w:val="clear" w:color="auto" w:fill="auto"/>
          </w:tcPr>
          <w:p w14:paraId="0584BC6B"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Cyril </w:t>
            </w:r>
            <w:proofErr w:type="spellStart"/>
            <w:r w:rsidRPr="00C15A80">
              <w:rPr>
                <w:lang w:val="en-US"/>
              </w:rPr>
              <w:t>Guiramand</w:t>
            </w:r>
            <w:proofErr w:type="spellEnd"/>
          </w:p>
        </w:tc>
        <w:tc>
          <w:tcPr>
            <w:tcW w:w="3230" w:type="dxa"/>
            <w:tcBorders>
              <w:left w:val="single" w:sz="4" w:space="0" w:color="auto"/>
            </w:tcBorders>
            <w:shd w:val="clear" w:color="auto" w:fill="auto"/>
          </w:tcPr>
          <w:p w14:paraId="503CF5D7"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Manager</w:t>
            </w:r>
          </w:p>
        </w:tc>
      </w:tr>
      <w:tr w:rsidR="00303378" w:rsidRPr="00C15A80" w14:paraId="08120C8D" w14:textId="77777777" w:rsidTr="0030337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single" w:sz="4" w:space="0" w:color="auto"/>
            </w:tcBorders>
          </w:tcPr>
          <w:p w14:paraId="7660A4C2" w14:textId="77777777" w:rsidR="00303378" w:rsidRPr="00C15A80" w:rsidRDefault="00303378" w:rsidP="00303378">
            <w:pPr>
              <w:spacing w:before="60" w:after="60"/>
              <w:rPr>
                <w:lang w:val="en-US"/>
              </w:rPr>
            </w:pPr>
            <w:r w:rsidRPr="00C15A80">
              <w:rPr>
                <w:lang w:val="en-US"/>
              </w:rPr>
              <w:t xml:space="preserve">25 </w:t>
            </w:r>
          </w:p>
        </w:tc>
        <w:tc>
          <w:tcPr>
            <w:tcW w:w="2625" w:type="dxa"/>
            <w:tcBorders>
              <w:top w:val="none" w:sz="0" w:space="0" w:color="auto"/>
              <w:left w:val="single" w:sz="4" w:space="0" w:color="auto"/>
              <w:bottom w:val="none" w:sz="0" w:space="0" w:color="auto"/>
              <w:right w:val="single" w:sz="4" w:space="0" w:color="auto"/>
            </w:tcBorders>
            <w:shd w:val="clear" w:color="auto" w:fill="auto"/>
          </w:tcPr>
          <w:p w14:paraId="749D8B41"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MOTEYS – TSP 1</w:t>
            </w:r>
          </w:p>
        </w:tc>
        <w:tc>
          <w:tcPr>
            <w:tcW w:w="2582" w:type="dxa"/>
            <w:tcBorders>
              <w:top w:val="none" w:sz="0" w:space="0" w:color="auto"/>
              <w:left w:val="single" w:sz="4" w:space="0" w:color="auto"/>
              <w:bottom w:val="none" w:sz="0" w:space="0" w:color="auto"/>
              <w:right w:val="single" w:sz="4" w:space="0" w:color="auto"/>
            </w:tcBorders>
            <w:shd w:val="clear" w:color="auto" w:fill="auto"/>
          </w:tcPr>
          <w:p w14:paraId="5AF4224A"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John Larson</w:t>
            </w:r>
          </w:p>
        </w:tc>
        <w:tc>
          <w:tcPr>
            <w:tcW w:w="3230" w:type="dxa"/>
            <w:tcBorders>
              <w:top w:val="none" w:sz="0" w:space="0" w:color="auto"/>
              <w:left w:val="single" w:sz="4" w:space="0" w:color="auto"/>
              <w:bottom w:val="none" w:sz="0" w:space="0" w:color="auto"/>
            </w:tcBorders>
            <w:shd w:val="clear" w:color="auto" w:fill="auto"/>
          </w:tcPr>
          <w:p w14:paraId="62D45D74"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STA Construction</w:t>
            </w:r>
          </w:p>
        </w:tc>
      </w:tr>
      <w:tr w:rsidR="00303378" w:rsidRPr="00C15A80" w14:paraId="3FA54AED" w14:textId="77777777" w:rsidTr="00303378">
        <w:trPr>
          <w:trHeight w:val="222"/>
        </w:trPr>
        <w:tc>
          <w:tcPr>
            <w:cnfStyle w:val="001000000000" w:firstRow="0" w:lastRow="0" w:firstColumn="1" w:lastColumn="0" w:oddVBand="0" w:evenVBand="0" w:oddHBand="0" w:evenHBand="0" w:firstRowFirstColumn="0" w:firstRowLastColumn="0" w:lastRowFirstColumn="0" w:lastRowLastColumn="0"/>
            <w:tcW w:w="460" w:type="dxa"/>
            <w:tcBorders>
              <w:left w:val="none" w:sz="0" w:space="0" w:color="auto"/>
              <w:bottom w:val="none" w:sz="0" w:space="0" w:color="auto"/>
              <w:right w:val="single" w:sz="4" w:space="0" w:color="auto"/>
            </w:tcBorders>
          </w:tcPr>
          <w:p w14:paraId="377835CB" w14:textId="77777777" w:rsidR="00303378" w:rsidRPr="00C15A80" w:rsidRDefault="00303378" w:rsidP="00303378">
            <w:pPr>
              <w:spacing w:before="60" w:after="60"/>
              <w:rPr>
                <w:lang w:val="en-US"/>
              </w:rPr>
            </w:pPr>
            <w:r w:rsidRPr="00C15A80">
              <w:rPr>
                <w:lang w:val="en-US"/>
              </w:rPr>
              <w:t>26</w:t>
            </w:r>
          </w:p>
        </w:tc>
        <w:tc>
          <w:tcPr>
            <w:tcW w:w="2625" w:type="dxa"/>
            <w:tcBorders>
              <w:left w:val="single" w:sz="4" w:space="0" w:color="auto"/>
              <w:right w:val="single" w:sz="4" w:space="0" w:color="auto"/>
            </w:tcBorders>
            <w:shd w:val="clear" w:color="auto" w:fill="auto"/>
          </w:tcPr>
          <w:p w14:paraId="19B48BE8"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 xml:space="preserve">Tonga Statistic </w:t>
            </w:r>
            <w:proofErr w:type="spellStart"/>
            <w:r w:rsidRPr="00C15A80">
              <w:rPr>
                <w:lang w:val="en-US"/>
              </w:rPr>
              <w:t>Dept</w:t>
            </w:r>
            <w:proofErr w:type="spellEnd"/>
          </w:p>
        </w:tc>
        <w:tc>
          <w:tcPr>
            <w:tcW w:w="2582" w:type="dxa"/>
            <w:tcBorders>
              <w:left w:val="single" w:sz="4" w:space="0" w:color="auto"/>
              <w:right w:val="single" w:sz="4" w:space="0" w:color="auto"/>
            </w:tcBorders>
            <w:shd w:val="clear" w:color="auto" w:fill="auto"/>
          </w:tcPr>
          <w:p w14:paraId="3E6810FB"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Ata’ata</w:t>
            </w:r>
            <w:proofErr w:type="spellEnd"/>
            <w:r w:rsidRPr="00C15A80">
              <w:rPr>
                <w:lang w:val="en-US"/>
              </w:rPr>
              <w:t xml:space="preserve"> </w:t>
            </w:r>
            <w:proofErr w:type="spellStart"/>
            <w:r w:rsidRPr="00C15A80">
              <w:rPr>
                <w:lang w:val="en-US"/>
              </w:rPr>
              <w:t>Finau</w:t>
            </w:r>
            <w:proofErr w:type="spellEnd"/>
          </w:p>
        </w:tc>
        <w:tc>
          <w:tcPr>
            <w:tcW w:w="3230" w:type="dxa"/>
            <w:tcBorders>
              <w:left w:val="single" w:sz="4" w:space="0" w:color="auto"/>
            </w:tcBorders>
            <w:shd w:val="clear" w:color="auto" w:fill="auto"/>
          </w:tcPr>
          <w:p w14:paraId="396054E3" w14:textId="77777777" w:rsidR="00303378" w:rsidRPr="00C15A80" w:rsidRDefault="00303378" w:rsidP="00303378">
            <w:pPr>
              <w:spacing w:before="60" w:after="60"/>
              <w:jc w:val="left"/>
              <w:cnfStyle w:val="000000000000" w:firstRow="0" w:lastRow="0" w:firstColumn="0" w:lastColumn="0" w:oddVBand="0" w:evenVBand="0" w:oddHBand="0" w:evenHBand="0" w:firstRowFirstColumn="0" w:firstRowLastColumn="0" w:lastRowFirstColumn="0" w:lastRowLastColumn="0"/>
              <w:rPr>
                <w:lang w:val="en-US"/>
              </w:rPr>
            </w:pPr>
            <w:r w:rsidRPr="00C15A80">
              <w:rPr>
                <w:lang w:val="en-US"/>
              </w:rPr>
              <w:t>CEO</w:t>
            </w:r>
          </w:p>
        </w:tc>
      </w:tr>
      <w:tr w:rsidR="00303378" w:rsidRPr="00C15A80" w14:paraId="3402F9B0" w14:textId="77777777" w:rsidTr="003033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single" w:sz="4" w:space="0" w:color="auto"/>
              <w:right w:val="single" w:sz="4" w:space="0" w:color="auto"/>
            </w:tcBorders>
          </w:tcPr>
          <w:p w14:paraId="4338445C" w14:textId="77777777" w:rsidR="00303378" w:rsidRPr="00C15A80" w:rsidRDefault="00303378" w:rsidP="00303378">
            <w:pPr>
              <w:spacing w:before="60" w:after="60"/>
              <w:rPr>
                <w:lang w:val="en-US"/>
              </w:rPr>
            </w:pPr>
            <w:r w:rsidRPr="00C15A80">
              <w:rPr>
                <w:lang w:val="en-US"/>
              </w:rPr>
              <w:t>27</w:t>
            </w:r>
          </w:p>
        </w:tc>
        <w:tc>
          <w:tcPr>
            <w:tcW w:w="2625" w:type="dxa"/>
            <w:tcBorders>
              <w:top w:val="none" w:sz="0" w:space="0" w:color="auto"/>
              <w:left w:val="single" w:sz="4" w:space="0" w:color="auto"/>
              <w:bottom w:val="single" w:sz="4" w:space="0" w:color="auto"/>
              <w:right w:val="single" w:sz="4" w:space="0" w:color="auto"/>
            </w:tcBorders>
            <w:shd w:val="clear" w:color="auto" w:fill="auto"/>
          </w:tcPr>
          <w:p w14:paraId="60A3443A"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MEWAC, Curriculum Development Unit</w:t>
            </w:r>
          </w:p>
        </w:tc>
        <w:tc>
          <w:tcPr>
            <w:tcW w:w="2582" w:type="dxa"/>
            <w:tcBorders>
              <w:top w:val="none" w:sz="0" w:space="0" w:color="auto"/>
              <w:left w:val="single" w:sz="4" w:space="0" w:color="auto"/>
              <w:bottom w:val="single" w:sz="4" w:space="0" w:color="auto"/>
              <w:right w:val="single" w:sz="4" w:space="0" w:color="auto"/>
            </w:tcBorders>
            <w:shd w:val="clear" w:color="auto" w:fill="auto"/>
          </w:tcPr>
          <w:p w14:paraId="727D57DC"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w:t>
            </w:r>
            <w:proofErr w:type="spellEnd"/>
            <w:r w:rsidRPr="00C15A80">
              <w:rPr>
                <w:lang w:val="en-US"/>
              </w:rPr>
              <w:t xml:space="preserve"> </w:t>
            </w:r>
            <w:proofErr w:type="spellStart"/>
            <w:r w:rsidRPr="00C15A80">
              <w:rPr>
                <w:lang w:val="en-US"/>
              </w:rPr>
              <w:t>Mostyn</w:t>
            </w:r>
            <w:proofErr w:type="spellEnd"/>
            <w:r w:rsidRPr="00C15A80">
              <w:rPr>
                <w:lang w:val="en-US"/>
              </w:rPr>
              <w:t xml:space="preserve"> Coleman</w:t>
            </w:r>
          </w:p>
          <w:p w14:paraId="4DA07740"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proofErr w:type="spellStart"/>
            <w:r w:rsidRPr="00C15A80">
              <w:rPr>
                <w:lang w:val="en-US"/>
              </w:rPr>
              <w:t>Mrs</w:t>
            </w:r>
            <w:proofErr w:type="spellEnd"/>
            <w:r w:rsidRPr="00C15A80">
              <w:rPr>
                <w:lang w:val="en-US"/>
              </w:rPr>
              <w:t xml:space="preserve"> </w:t>
            </w:r>
            <w:proofErr w:type="spellStart"/>
            <w:r w:rsidRPr="00C15A80">
              <w:rPr>
                <w:lang w:val="en-US"/>
              </w:rPr>
              <w:t>Seilose</w:t>
            </w:r>
            <w:proofErr w:type="spellEnd"/>
            <w:r w:rsidRPr="00C15A80">
              <w:rPr>
                <w:lang w:val="en-US"/>
              </w:rPr>
              <w:t xml:space="preserve"> </w:t>
            </w:r>
            <w:proofErr w:type="spellStart"/>
            <w:r w:rsidRPr="00C15A80">
              <w:rPr>
                <w:lang w:val="en-US"/>
              </w:rPr>
              <w:t>Fifita</w:t>
            </w:r>
            <w:proofErr w:type="spellEnd"/>
          </w:p>
        </w:tc>
        <w:tc>
          <w:tcPr>
            <w:tcW w:w="3230" w:type="dxa"/>
            <w:tcBorders>
              <w:top w:val="none" w:sz="0" w:space="0" w:color="auto"/>
              <w:left w:val="single" w:sz="4" w:space="0" w:color="auto"/>
              <w:bottom w:val="single" w:sz="4" w:space="0" w:color="auto"/>
            </w:tcBorders>
            <w:shd w:val="clear" w:color="auto" w:fill="auto"/>
          </w:tcPr>
          <w:p w14:paraId="200BB47C"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TESP - STA, CDU, MEWAC</w:t>
            </w:r>
          </w:p>
          <w:p w14:paraId="7C17B18A" w14:textId="77777777" w:rsidR="00303378" w:rsidRPr="00C15A80" w:rsidRDefault="00303378" w:rsidP="00303378">
            <w:pPr>
              <w:spacing w:before="60" w:after="60"/>
              <w:jc w:val="left"/>
              <w:cnfStyle w:val="000000100000" w:firstRow="0" w:lastRow="0" w:firstColumn="0" w:lastColumn="0" w:oddVBand="0" w:evenVBand="0" w:oddHBand="1" w:evenHBand="0" w:firstRowFirstColumn="0" w:firstRowLastColumn="0" w:lastRowFirstColumn="0" w:lastRowLastColumn="0"/>
              <w:rPr>
                <w:lang w:val="en-US"/>
              </w:rPr>
            </w:pPr>
            <w:r w:rsidRPr="00C15A80">
              <w:rPr>
                <w:lang w:val="en-US"/>
              </w:rPr>
              <w:t xml:space="preserve">Senior Education </w:t>
            </w:r>
            <w:proofErr w:type="gramStart"/>
            <w:r w:rsidRPr="00C15A80">
              <w:rPr>
                <w:lang w:val="en-US"/>
              </w:rPr>
              <w:t>Officer  CDU</w:t>
            </w:r>
            <w:proofErr w:type="gramEnd"/>
          </w:p>
        </w:tc>
      </w:tr>
    </w:tbl>
    <w:p w14:paraId="7131A6D5" w14:textId="77777777" w:rsidR="00303378" w:rsidRPr="008F19D7" w:rsidRDefault="00303378" w:rsidP="00303378"/>
    <w:p w14:paraId="18DA27AD" w14:textId="77777777" w:rsidR="00303378" w:rsidRDefault="00303378" w:rsidP="00303378"/>
    <w:p w14:paraId="0430D9B7" w14:textId="77777777" w:rsidR="00303378" w:rsidRDefault="00303378" w:rsidP="00303378">
      <w:pPr>
        <w:spacing w:line="480" w:lineRule="auto"/>
        <w:ind w:left="720"/>
        <w:sectPr w:rsidR="00303378" w:rsidSect="00593009">
          <w:headerReference w:type="even" r:id="rId37"/>
          <w:footerReference w:type="even" r:id="rId38"/>
          <w:headerReference w:type="first" r:id="rId39"/>
          <w:pgSz w:w="11906" w:h="16838" w:code="9"/>
          <w:pgMar w:top="1440" w:right="1440" w:bottom="1440" w:left="1701" w:header="709" w:footer="709" w:gutter="0"/>
          <w:cols w:space="708"/>
          <w:docGrid w:linePitch="360"/>
        </w:sectPr>
      </w:pPr>
    </w:p>
    <w:p w14:paraId="611CE7FE" w14:textId="660DFA81" w:rsidR="00303378" w:rsidRDefault="00303378" w:rsidP="00092A89">
      <w:pPr>
        <w:pStyle w:val="Heading1"/>
        <w:tabs>
          <w:tab w:val="left" w:pos="1276"/>
        </w:tabs>
      </w:pPr>
      <w:bookmarkStart w:id="31" w:name="_Toc203996800"/>
      <w:r>
        <w:lastRenderedPageBreak/>
        <w:t xml:space="preserve">Annex </w:t>
      </w:r>
      <w:r w:rsidR="00754707">
        <w:t>5</w:t>
      </w:r>
      <w:r>
        <w:t xml:space="preserve">: </w:t>
      </w:r>
      <w:r w:rsidR="005212A6">
        <w:tab/>
      </w:r>
      <w:r>
        <w:t>References</w:t>
      </w:r>
      <w:bookmarkEnd w:id="31"/>
    </w:p>
    <w:p w14:paraId="2CFCE30D"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2009 Labour Force Survey, Tonga Department of Statistics (2009) [unpublished]</w:t>
      </w:r>
    </w:p>
    <w:p w14:paraId="7C9F3326"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A guide, with accompanying matrix and template, to measure and benchmark effectiveness, efficiency and equity across secondary TVET schools, September, 2010 ERF</w:t>
      </w:r>
    </w:p>
    <w:p w14:paraId="027A3950" w14:textId="77777777" w:rsidR="00303378" w:rsidRPr="00353526" w:rsidRDefault="00303378" w:rsidP="00C21794">
      <w:pPr>
        <w:pStyle w:val="ListParagraph"/>
        <w:numPr>
          <w:ilvl w:val="0"/>
          <w:numId w:val="17"/>
        </w:numPr>
        <w:ind w:left="714" w:hanging="357"/>
        <w:contextualSpacing w:val="0"/>
        <w:rPr>
          <w:rFonts w:eastAsia="SimSun"/>
        </w:rPr>
      </w:pPr>
      <w:r w:rsidRPr="00353526">
        <w:rPr>
          <w:rFonts w:eastAsia="SimSun"/>
        </w:rPr>
        <w:t>Activity Development Aid Policy &amp; Management</w:t>
      </w:r>
    </w:p>
    <w:p w14:paraId="25F552F5" w14:textId="77777777" w:rsidR="00303378" w:rsidRPr="00353526" w:rsidRDefault="00303378" w:rsidP="00C21794">
      <w:pPr>
        <w:pStyle w:val="ListParagraph"/>
        <w:numPr>
          <w:ilvl w:val="0"/>
          <w:numId w:val="17"/>
        </w:numPr>
        <w:ind w:left="714" w:hanging="357"/>
        <w:contextualSpacing w:val="0"/>
        <w:rPr>
          <w:rStyle w:val="IntenseReference"/>
          <w:rFonts w:eastAsia="SimSun" w:cs="Arial"/>
          <w:b w:val="0"/>
          <w:smallCaps w:val="0"/>
        </w:rPr>
      </w:pPr>
      <w:r w:rsidRPr="00353526">
        <w:rPr>
          <w:rFonts w:eastAsia="SimSun" w:cs="Arial"/>
        </w:rPr>
        <w:t>Australia-Tonga Partnership for Development; Implementation Schedule – Outcome 3 – Improved technical and vocational skills</w:t>
      </w:r>
    </w:p>
    <w:p w14:paraId="4F7C50E1"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Draft Education Policy Framework</w:t>
      </w:r>
    </w:p>
    <w:p w14:paraId="6F37AA57" w14:textId="77777777" w:rsidR="00303378" w:rsidRPr="00353526" w:rsidRDefault="00303378" w:rsidP="00C21794">
      <w:pPr>
        <w:pStyle w:val="ListParagraph"/>
        <w:numPr>
          <w:ilvl w:val="0"/>
          <w:numId w:val="17"/>
        </w:numPr>
        <w:ind w:left="714" w:hanging="357"/>
        <w:contextualSpacing w:val="0"/>
        <w:rPr>
          <w:rFonts w:eastAsia="SimSun"/>
        </w:rPr>
      </w:pPr>
      <w:r w:rsidRPr="00353526">
        <w:rPr>
          <w:rFonts w:eastAsia="SimSun"/>
        </w:rPr>
        <w:t>Draft Education Policy Framework (EPF)</w:t>
      </w:r>
    </w:p>
    <w:p w14:paraId="458ECD4E"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cs="Arial"/>
        </w:rPr>
        <w:t>Government of Tonga Ministry of Training, Employment, Youth and Sport (</w:t>
      </w:r>
      <w:proofErr w:type="spellStart"/>
      <w:r w:rsidRPr="00353526">
        <w:rPr>
          <w:rFonts w:eastAsia="SimSun" w:cs="Arial"/>
        </w:rPr>
        <w:t>MoTEYS</w:t>
      </w:r>
      <w:proofErr w:type="spellEnd"/>
      <w:r w:rsidRPr="00353526">
        <w:rPr>
          <w:rFonts w:eastAsia="SimSun" w:cs="Arial"/>
        </w:rPr>
        <w:t xml:space="preserve">) </w:t>
      </w:r>
      <w:r w:rsidRPr="00353526">
        <w:rPr>
          <w:rFonts w:eastAsia="SimSun" w:cs="Arial"/>
          <w:bCs/>
        </w:rPr>
        <w:t xml:space="preserve">TVET Support Program (TSP) Six monthly progress report July – December 2011, </w:t>
      </w:r>
      <w:r w:rsidRPr="00353526">
        <w:rPr>
          <w:rFonts w:eastAsia="SimSun" w:cs="Arial"/>
        </w:rPr>
        <w:t>Nuku’alofa - January 2012</w:t>
      </w:r>
    </w:p>
    <w:p w14:paraId="1267135D" w14:textId="77777777" w:rsidR="00303378" w:rsidRPr="00353526" w:rsidRDefault="00303378" w:rsidP="00C21794">
      <w:pPr>
        <w:pStyle w:val="ListParagraph"/>
        <w:numPr>
          <w:ilvl w:val="0"/>
          <w:numId w:val="17"/>
        </w:numPr>
        <w:ind w:left="714" w:hanging="357"/>
        <w:contextualSpacing w:val="0"/>
        <w:rPr>
          <w:rFonts w:eastAsia="SimSun"/>
        </w:rPr>
      </w:pPr>
      <w:r w:rsidRPr="00353526">
        <w:rPr>
          <w:rFonts w:eastAsia="SimSun"/>
        </w:rPr>
        <w:t>Government of Tonga, Tonga Strategic Development Framework (TSDF) 2011 – 2014</w:t>
      </w:r>
    </w:p>
    <w:p w14:paraId="175E8B17"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 xml:space="preserve">Karl </w:t>
      </w:r>
      <w:proofErr w:type="spellStart"/>
      <w:r w:rsidRPr="00353526">
        <w:rPr>
          <w:rFonts w:eastAsia="SimSun"/>
        </w:rPr>
        <w:t>Taufaeteau</w:t>
      </w:r>
      <w:proofErr w:type="spellEnd"/>
      <w:r w:rsidRPr="00353526">
        <w:rPr>
          <w:rFonts w:eastAsia="SimSun"/>
        </w:rPr>
        <w:t xml:space="preserve"> &amp; Associates (October 2011) Audit Report, June 2011</w:t>
      </w:r>
    </w:p>
    <w:p w14:paraId="210A9C97" w14:textId="77777777" w:rsidR="00303378" w:rsidRPr="00353526" w:rsidRDefault="00303378" w:rsidP="00C21794">
      <w:pPr>
        <w:pStyle w:val="ListParagraph"/>
        <w:numPr>
          <w:ilvl w:val="0"/>
          <w:numId w:val="17"/>
        </w:numPr>
        <w:ind w:left="714" w:hanging="357"/>
        <w:contextualSpacing w:val="0"/>
        <w:rPr>
          <w:rFonts w:eastAsia="SimSun"/>
        </w:rPr>
      </w:pPr>
      <w:r w:rsidRPr="00353526">
        <w:rPr>
          <w:rFonts w:eastAsia="SimSun"/>
        </w:rPr>
        <w:t>Ministry of Education Women’s Affairs and Culture Corporate Plan 2011-2014 (March 2011)</w:t>
      </w:r>
    </w:p>
    <w:p w14:paraId="2F261F47"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 xml:space="preserve">Ministry of Training, Employment, Youth and Sports </w:t>
      </w:r>
      <w:r w:rsidRPr="00353526">
        <w:rPr>
          <w:rFonts w:eastAsia="SimSun" w:cs="Arial"/>
        </w:rPr>
        <w:t>Corporate plan</w:t>
      </w:r>
      <w:r w:rsidRPr="00353526">
        <w:rPr>
          <w:rFonts w:eastAsia="SimSun" w:cs="Arial"/>
          <w:smallCaps/>
        </w:rPr>
        <w:t xml:space="preserve"> </w:t>
      </w:r>
      <w:r w:rsidRPr="00353526">
        <w:rPr>
          <w:rFonts w:eastAsia="SimSun" w:cs="Arial"/>
        </w:rPr>
        <w:t>2007-2012</w:t>
      </w:r>
    </w:p>
    <w:p w14:paraId="648AB923"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MOTEYS Annual Management Plan, 2011-12</w:t>
      </w:r>
    </w:p>
    <w:p w14:paraId="38ED6575" w14:textId="77777777" w:rsidR="00303378" w:rsidRPr="00353526" w:rsidRDefault="00303378" w:rsidP="00C21794">
      <w:pPr>
        <w:pStyle w:val="ListParagraph"/>
        <w:numPr>
          <w:ilvl w:val="0"/>
          <w:numId w:val="17"/>
        </w:numPr>
        <w:ind w:left="714" w:hanging="357"/>
        <w:contextualSpacing w:val="0"/>
        <w:rPr>
          <w:rFonts w:eastAsia="SimSun" w:cs="Arial"/>
        </w:rPr>
      </w:pPr>
      <w:bookmarkStart w:id="32" w:name="OLE_LINK1"/>
      <w:bookmarkStart w:id="33" w:name="OLE_LINK2"/>
      <w:r w:rsidRPr="00353526">
        <w:rPr>
          <w:rFonts w:eastAsia="SimSun" w:cs="Arial"/>
        </w:rPr>
        <w:t>Pacific Education and Skills Development Agenda</w:t>
      </w:r>
      <w:bookmarkEnd w:id="32"/>
      <w:bookmarkEnd w:id="33"/>
      <w:r w:rsidRPr="00353526">
        <w:rPr>
          <w:rFonts w:eastAsia="SimSun" w:cs="Arial"/>
        </w:rPr>
        <w:t>, Guidance on Education and skills development across the Pacific, AusAID, June 2011</w:t>
      </w:r>
    </w:p>
    <w:p w14:paraId="065A0902"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Pacific Education Development Framework (PEDF) 2009-2015 (March 2009)</w:t>
      </w:r>
    </w:p>
    <w:p w14:paraId="47183A7D"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Promoting Opportunities for All: Education, November 2011</w:t>
      </w:r>
    </w:p>
    <w:p w14:paraId="0788A00F" w14:textId="77777777" w:rsidR="00303378" w:rsidRPr="00353526" w:rsidRDefault="00303378" w:rsidP="00C21794">
      <w:pPr>
        <w:pStyle w:val="ListParagraph"/>
        <w:numPr>
          <w:ilvl w:val="0"/>
          <w:numId w:val="17"/>
        </w:numPr>
        <w:ind w:left="714" w:hanging="357"/>
        <w:contextualSpacing w:val="0"/>
        <w:rPr>
          <w:rStyle w:val="IntenseReference"/>
          <w:rFonts w:eastAsia="SimSun"/>
          <w:b w:val="0"/>
          <w:smallCaps w:val="0"/>
        </w:rPr>
      </w:pPr>
      <w:r w:rsidRPr="00353526">
        <w:rPr>
          <w:rFonts w:eastAsia="SimSun"/>
        </w:rPr>
        <w:t xml:space="preserve">Report on Alternative Pathways Pilot Project prepared by the </w:t>
      </w:r>
      <w:proofErr w:type="gramStart"/>
      <w:r w:rsidRPr="00353526">
        <w:rPr>
          <w:rFonts w:eastAsia="SimSun"/>
        </w:rPr>
        <w:t>short term</w:t>
      </w:r>
      <w:proofErr w:type="gramEnd"/>
      <w:r w:rsidRPr="00353526">
        <w:rPr>
          <w:rFonts w:eastAsia="SimSun"/>
        </w:rPr>
        <w:t xml:space="preserve"> adviser.</w:t>
      </w:r>
    </w:p>
    <w:p w14:paraId="1F712057"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Review of Expenditure on Education Final Report, ‘</w:t>
      </w:r>
      <w:proofErr w:type="spellStart"/>
      <w:r w:rsidRPr="00353526">
        <w:rPr>
          <w:rFonts w:eastAsia="SimSun" w:cs="Arial"/>
        </w:rPr>
        <w:t>Alifeleti</w:t>
      </w:r>
      <w:proofErr w:type="spellEnd"/>
      <w:r w:rsidRPr="00353526">
        <w:rPr>
          <w:rFonts w:eastAsia="SimSun" w:cs="Arial"/>
        </w:rPr>
        <w:t xml:space="preserve"> ‘</w:t>
      </w:r>
      <w:proofErr w:type="spellStart"/>
      <w:r w:rsidRPr="00353526">
        <w:rPr>
          <w:rFonts w:eastAsia="SimSun" w:cs="Arial"/>
        </w:rPr>
        <w:t>Atiola</w:t>
      </w:r>
      <w:proofErr w:type="spellEnd"/>
      <w:r w:rsidRPr="00353526">
        <w:rPr>
          <w:rFonts w:eastAsia="SimSun" w:cs="Arial"/>
        </w:rPr>
        <w:t xml:space="preserve">, </w:t>
      </w:r>
      <w:proofErr w:type="spellStart"/>
      <w:r w:rsidRPr="00353526">
        <w:rPr>
          <w:rFonts w:eastAsia="SimSun" w:cs="Arial"/>
        </w:rPr>
        <w:t>Raelyn</w:t>
      </w:r>
      <w:proofErr w:type="spellEnd"/>
      <w:r w:rsidRPr="00353526">
        <w:rPr>
          <w:rFonts w:eastAsia="SimSun" w:cs="Arial"/>
        </w:rPr>
        <w:t xml:space="preserve"> ‘Esau, </w:t>
      </w:r>
      <w:proofErr w:type="spellStart"/>
      <w:r w:rsidRPr="00353526">
        <w:rPr>
          <w:rFonts w:eastAsia="SimSun" w:cs="Arial"/>
        </w:rPr>
        <w:t>Tevita</w:t>
      </w:r>
      <w:proofErr w:type="spellEnd"/>
      <w:r w:rsidRPr="00353526">
        <w:rPr>
          <w:rFonts w:eastAsia="SimSun" w:cs="Arial"/>
        </w:rPr>
        <w:t xml:space="preserve"> </w:t>
      </w:r>
      <w:proofErr w:type="spellStart"/>
      <w:r w:rsidRPr="00353526">
        <w:rPr>
          <w:rFonts w:eastAsia="SimSun" w:cs="Arial"/>
        </w:rPr>
        <w:t>Lavemaau</w:t>
      </w:r>
      <w:proofErr w:type="spellEnd"/>
      <w:r w:rsidRPr="00353526">
        <w:rPr>
          <w:rFonts w:eastAsia="SimSun" w:cs="Arial"/>
        </w:rPr>
        <w:t>, Mark Minford, June 2010</w:t>
      </w:r>
    </w:p>
    <w:p w14:paraId="51F2689F"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Strategic Choices:  Education- Key Issues and Priorities for AusAID Engagement to 2015</w:t>
      </w:r>
    </w:p>
    <w:p w14:paraId="5BA46C62" w14:textId="77777777" w:rsidR="00303378" w:rsidRPr="00353526" w:rsidRDefault="00303378" w:rsidP="00C21794">
      <w:pPr>
        <w:pStyle w:val="ListParagraph"/>
        <w:numPr>
          <w:ilvl w:val="0"/>
          <w:numId w:val="17"/>
        </w:numPr>
        <w:ind w:left="714" w:hanging="357"/>
        <w:contextualSpacing w:val="0"/>
        <w:rPr>
          <w:rStyle w:val="IntenseReference"/>
          <w:rFonts w:eastAsia="SimSun" w:cs="Arial"/>
          <w:b w:val="0"/>
          <w:smallCaps w:val="0"/>
        </w:rPr>
      </w:pPr>
      <w:r w:rsidRPr="00353526">
        <w:rPr>
          <w:rFonts w:eastAsia="SimSun" w:cs="Arial"/>
        </w:rPr>
        <w:t>Subsidiary Arrangement between the Government of Australia and the Government of Tonga for the Tonga Technical Vocational Education and Training (TVET) Support Program (May 2010).</w:t>
      </w:r>
    </w:p>
    <w:p w14:paraId="4DDED686"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proofErr w:type="spellStart"/>
      <w:r w:rsidRPr="00353526">
        <w:rPr>
          <w:rFonts w:eastAsia="SimSun" w:cs="Arial"/>
        </w:rPr>
        <w:t>Talave</w:t>
      </w:r>
      <w:proofErr w:type="spellEnd"/>
      <w:r w:rsidRPr="00353526">
        <w:rPr>
          <w:rFonts w:eastAsia="SimSun" w:cs="Arial"/>
        </w:rPr>
        <w:t xml:space="preserve"> Newsletter 2011</w:t>
      </w:r>
    </w:p>
    <w:p w14:paraId="78D8B43C"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Technical and Vocational Education and Training in schools: Literature Review, AusAID Education Resource Facility, 9 September 2010</w:t>
      </w:r>
    </w:p>
    <w:p w14:paraId="2C874EAB"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Technical and Vocational Education and Training Support Program (TSP1) Final Design Document (2009)</w:t>
      </w:r>
    </w:p>
    <w:p w14:paraId="5DE1CD1D"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 Education Policy Framework 2004-2019 Ministry of Education (2004)</w:t>
      </w:r>
    </w:p>
    <w:p w14:paraId="3A86A6F4"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 Household Income and Expenditure Survey (2009)</w:t>
      </w:r>
    </w:p>
    <w:p w14:paraId="5ABFBB2D"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 Labour Force survey (2003)</w:t>
      </w:r>
    </w:p>
    <w:p w14:paraId="087C93B4"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lastRenderedPageBreak/>
        <w:t>Tonga National Population and Housing Census 2011 – Preliminary Count (2011)</w:t>
      </w:r>
    </w:p>
    <w:p w14:paraId="2E3B1883"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 National Qualifications and Accreditation Board Registration Status as at 4 October 2011</w:t>
      </w:r>
    </w:p>
    <w:p w14:paraId="2C28354E" w14:textId="77777777" w:rsidR="00303378" w:rsidRPr="00353526" w:rsidRDefault="00303378" w:rsidP="00C21794">
      <w:pPr>
        <w:pStyle w:val="ListParagraph"/>
        <w:numPr>
          <w:ilvl w:val="0"/>
          <w:numId w:val="17"/>
        </w:numPr>
        <w:ind w:left="714" w:hanging="357"/>
        <w:contextualSpacing w:val="0"/>
        <w:rPr>
          <w:rFonts w:eastAsia="SimSun"/>
        </w:rPr>
      </w:pPr>
      <w:r w:rsidRPr="00353526">
        <w:rPr>
          <w:rFonts w:eastAsia="SimSun" w:cs="Arial"/>
        </w:rPr>
        <w:t>Tonga Tourism Training Needs Analysis Review and Recommendations, 20 October 2009, Tourism Resource Consultant, NZAID</w:t>
      </w:r>
    </w:p>
    <w:p w14:paraId="1D91B167"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 TVET Support Program Phase 1, Report on In-Country Mission 4-8 April 2011, Kaye Schofield, 15 April 2011</w:t>
      </w:r>
    </w:p>
    <w:p w14:paraId="794F7B81"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Tonga-Australia Partnership for Development - Partnership Report August 2009 to August 2011</w:t>
      </w:r>
    </w:p>
    <w:p w14:paraId="794201D1" w14:textId="77777777" w:rsidR="00303378" w:rsidRPr="00353526" w:rsidRDefault="00303378" w:rsidP="00C21794">
      <w:pPr>
        <w:pStyle w:val="ListParagraph"/>
        <w:numPr>
          <w:ilvl w:val="0"/>
          <w:numId w:val="17"/>
        </w:numPr>
        <w:ind w:left="714" w:hanging="357"/>
        <w:contextualSpacing w:val="0"/>
        <w:rPr>
          <w:rFonts w:eastAsia="SimSun" w:cs="Arial"/>
        </w:rPr>
      </w:pPr>
      <w:r w:rsidRPr="00353526">
        <w:rPr>
          <w:rFonts w:eastAsia="SimSun" w:cs="Arial"/>
        </w:rPr>
        <w:t>Tonga-Australia Partnership for Development Implementation Strategy - Priority Outcome 3: Improved Technical and Vocational Skills</w:t>
      </w:r>
    </w:p>
    <w:p w14:paraId="744C95CD" w14:textId="77777777" w:rsidR="00303378" w:rsidRPr="0041465F" w:rsidRDefault="00303378" w:rsidP="00C21794">
      <w:pPr>
        <w:pStyle w:val="ListParagraph"/>
        <w:numPr>
          <w:ilvl w:val="0"/>
          <w:numId w:val="17"/>
        </w:numPr>
        <w:ind w:left="714" w:hanging="357"/>
        <w:contextualSpacing w:val="0"/>
      </w:pPr>
      <w:r w:rsidRPr="00353526">
        <w:rPr>
          <w:rFonts w:eastAsia="SimSun"/>
        </w:rPr>
        <w:t>Tonga-New Zealand Joint Commitment for Development</w:t>
      </w:r>
    </w:p>
    <w:p w14:paraId="391BC273" w14:textId="77777777" w:rsidR="00303378" w:rsidRPr="00353526" w:rsidRDefault="00303378" w:rsidP="00C21794">
      <w:pPr>
        <w:pStyle w:val="ListParagraph"/>
        <w:numPr>
          <w:ilvl w:val="0"/>
          <w:numId w:val="17"/>
        </w:numPr>
        <w:ind w:left="714" w:hanging="357"/>
        <w:contextualSpacing w:val="0"/>
        <w:rPr>
          <w:rStyle w:val="IntenseReference"/>
          <w:rFonts w:eastAsia="SimSun" w:cs="Arial"/>
          <w:b w:val="0"/>
          <w:bCs/>
        </w:rPr>
      </w:pPr>
      <w:r w:rsidRPr="00353526">
        <w:rPr>
          <w:rFonts w:eastAsia="SimSun" w:cs="Arial"/>
          <w:bCs/>
          <w:smallCaps/>
        </w:rPr>
        <w:t xml:space="preserve">TSP1 Annual </w:t>
      </w:r>
      <w:proofErr w:type="spellStart"/>
      <w:r w:rsidRPr="00353526">
        <w:rPr>
          <w:rFonts w:eastAsia="SimSun" w:cs="Arial"/>
          <w:bCs/>
          <w:smallCaps/>
        </w:rPr>
        <w:t>Workplan</w:t>
      </w:r>
      <w:proofErr w:type="spellEnd"/>
      <w:r w:rsidRPr="00353526">
        <w:rPr>
          <w:rFonts w:eastAsia="SimSun" w:cs="Arial"/>
          <w:bCs/>
          <w:smallCaps/>
        </w:rPr>
        <w:t xml:space="preserve"> Matrix 2010-2011 (October 2010).</w:t>
      </w:r>
    </w:p>
    <w:p w14:paraId="78FF7BAF" w14:textId="77777777" w:rsidR="00303378" w:rsidRPr="00353526" w:rsidRDefault="00303378" w:rsidP="00C21794">
      <w:pPr>
        <w:pStyle w:val="ListParagraph"/>
        <w:numPr>
          <w:ilvl w:val="0"/>
          <w:numId w:val="17"/>
        </w:numPr>
        <w:ind w:left="714" w:hanging="357"/>
        <w:contextualSpacing w:val="0"/>
        <w:rPr>
          <w:rFonts w:eastAsia="SimSun" w:cs="Arial"/>
          <w:bCs/>
          <w:smallCaps/>
        </w:rPr>
      </w:pPr>
      <w:r w:rsidRPr="00353526">
        <w:rPr>
          <w:rFonts w:eastAsia="SimSun" w:cs="Arial"/>
          <w:bCs/>
          <w:smallCaps/>
        </w:rPr>
        <w:t>TSP1 Budget for F/Y 2010-2011-Version 3</w:t>
      </w:r>
    </w:p>
    <w:p w14:paraId="7C38D478"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cs="Arial"/>
        </w:rPr>
        <w:t>TSP1 Guidelines to support applications for Equipment Grants</w:t>
      </w:r>
    </w:p>
    <w:p w14:paraId="2B3BEF04" w14:textId="77777777" w:rsidR="00303378" w:rsidRPr="00353526" w:rsidRDefault="00303378" w:rsidP="00C21794">
      <w:pPr>
        <w:pStyle w:val="ListParagraph"/>
        <w:numPr>
          <w:ilvl w:val="0"/>
          <w:numId w:val="17"/>
        </w:numPr>
        <w:ind w:left="714" w:hanging="357"/>
        <w:contextualSpacing w:val="0"/>
        <w:rPr>
          <w:rStyle w:val="IntenseReference"/>
          <w:rFonts w:eastAsia="SimSun" w:cs="Arial"/>
          <w:b w:val="0"/>
          <w:bCs/>
        </w:rPr>
      </w:pPr>
      <w:r w:rsidRPr="00353526">
        <w:rPr>
          <w:rFonts w:eastAsia="SimSun" w:cs="Arial"/>
          <w:bCs/>
          <w:smallCaps/>
        </w:rPr>
        <w:t>TSP1 Monitoring and Evaluation Plan – POME Orientation Period (Sept – Dec 2011)</w:t>
      </w:r>
    </w:p>
    <w:p w14:paraId="354D23D3" w14:textId="77777777" w:rsidR="00303378" w:rsidRPr="00353526" w:rsidRDefault="00303378" w:rsidP="00C21794">
      <w:pPr>
        <w:pStyle w:val="ListParagraph"/>
        <w:numPr>
          <w:ilvl w:val="0"/>
          <w:numId w:val="17"/>
        </w:numPr>
        <w:ind w:left="714" w:hanging="357"/>
        <w:contextualSpacing w:val="0"/>
        <w:rPr>
          <w:rFonts w:eastAsia="SimSun" w:cs="Arial"/>
          <w:bCs/>
          <w:smallCaps/>
        </w:rPr>
      </w:pPr>
      <w:r w:rsidRPr="00353526">
        <w:rPr>
          <w:rFonts w:eastAsia="SimSun" w:cs="Arial"/>
          <w:bCs/>
          <w:smallCaps/>
        </w:rPr>
        <w:t xml:space="preserve">TSP1 Planning Matrix – 3 Year Plan </w:t>
      </w:r>
    </w:p>
    <w:p w14:paraId="6B643868" w14:textId="77777777" w:rsidR="00303378" w:rsidRPr="00353526" w:rsidRDefault="00303378" w:rsidP="00C21794">
      <w:pPr>
        <w:pStyle w:val="ListParagraph"/>
        <w:numPr>
          <w:ilvl w:val="0"/>
          <w:numId w:val="17"/>
        </w:numPr>
        <w:ind w:left="714" w:hanging="357"/>
        <w:contextualSpacing w:val="0"/>
        <w:rPr>
          <w:rStyle w:val="IntenseReference"/>
          <w:rFonts w:eastAsia="SimSun" w:cs="Arial"/>
          <w:b w:val="0"/>
          <w:bCs/>
        </w:rPr>
      </w:pPr>
      <w:r w:rsidRPr="00353526">
        <w:rPr>
          <w:rFonts w:eastAsia="SimSun" w:cs="Arial"/>
          <w:bCs/>
          <w:smallCaps/>
        </w:rPr>
        <w:t>TSP1 Progress Report, Jan-March 2011.</w:t>
      </w:r>
    </w:p>
    <w:p w14:paraId="7ED4D70D" w14:textId="77777777" w:rsidR="00303378" w:rsidRPr="00353526" w:rsidRDefault="00303378" w:rsidP="00C21794">
      <w:pPr>
        <w:pStyle w:val="ListParagraph"/>
        <w:numPr>
          <w:ilvl w:val="0"/>
          <w:numId w:val="17"/>
        </w:numPr>
        <w:ind w:left="714" w:hanging="357"/>
        <w:contextualSpacing w:val="0"/>
        <w:rPr>
          <w:rFonts w:eastAsia="SimSun" w:cs="Arial"/>
          <w:bCs/>
          <w:smallCaps/>
        </w:rPr>
      </w:pPr>
      <w:r w:rsidRPr="00353526">
        <w:rPr>
          <w:rFonts w:eastAsia="SimSun" w:cs="Arial"/>
          <w:bCs/>
          <w:smallCaps/>
        </w:rPr>
        <w:t>TSP1 Risk Management Matrix, November 2010.</w:t>
      </w:r>
    </w:p>
    <w:p w14:paraId="464B15DE"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TSP1 Six Monthly Progress Report July – December 2010, January 2011.</w:t>
      </w:r>
    </w:p>
    <w:p w14:paraId="4992C123"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TSP1 Study Tour of Australia 3 – 11 December 2010.</w:t>
      </w:r>
    </w:p>
    <w:p w14:paraId="1E082D3D" w14:textId="77777777" w:rsidR="00303378" w:rsidRPr="00353526" w:rsidRDefault="00303378" w:rsidP="00C21794">
      <w:pPr>
        <w:pStyle w:val="ListParagraph"/>
        <w:numPr>
          <w:ilvl w:val="0"/>
          <w:numId w:val="17"/>
        </w:numPr>
        <w:ind w:left="714" w:hanging="357"/>
        <w:contextualSpacing w:val="0"/>
        <w:rPr>
          <w:rFonts w:eastAsia="SimSun" w:cs="Arial"/>
          <w:bCs/>
          <w:smallCaps/>
        </w:rPr>
      </w:pPr>
      <w:r w:rsidRPr="00353526">
        <w:rPr>
          <w:rFonts w:eastAsia="SimSun" w:cs="Arial"/>
          <w:bCs/>
          <w:smallCaps/>
        </w:rPr>
        <w:t>TSP1 Summary Financial Management report (SMR2)</w:t>
      </w:r>
    </w:p>
    <w:p w14:paraId="3ABC489D" w14:textId="77777777" w:rsidR="00303378" w:rsidRPr="00353526" w:rsidRDefault="00303378" w:rsidP="00C21794">
      <w:pPr>
        <w:pStyle w:val="ListParagraph"/>
        <w:numPr>
          <w:ilvl w:val="0"/>
          <w:numId w:val="17"/>
        </w:numPr>
        <w:ind w:left="714" w:hanging="357"/>
        <w:contextualSpacing w:val="0"/>
        <w:rPr>
          <w:rFonts w:eastAsia="SimSun" w:cs="Arial"/>
          <w:bCs/>
          <w:smallCaps/>
        </w:rPr>
      </w:pPr>
      <w:r w:rsidRPr="00353526">
        <w:rPr>
          <w:rFonts w:eastAsia="SimSun" w:cs="Arial"/>
          <w:bCs/>
          <w:smallCaps/>
        </w:rPr>
        <w:t xml:space="preserve">TSP1 </w:t>
      </w:r>
      <w:proofErr w:type="spellStart"/>
      <w:r w:rsidRPr="00353526">
        <w:rPr>
          <w:rFonts w:eastAsia="SimSun" w:cs="Arial"/>
          <w:bCs/>
          <w:smallCaps/>
        </w:rPr>
        <w:t>Workplan</w:t>
      </w:r>
      <w:proofErr w:type="spellEnd"/>
      <w:r w:rsidRPr="00353526">
        <w:rPr>
          <w:rFonts w:eastAsia="SimSun" w:cs="Arial"/>
          <w:bCs/>
          <w:smallCaps/>
        </w:rPr>
        <w:t xml:space="preserve"> and Outputs, 2010-2011, November 2010.</w:t>
      </w:r>
    </w:p>
    <w:p w14:paraId="643A8580" w14:textId="77777777" w:rsidR="00303378" w:rsidRPr="00353526" w:rsidRDefault="00303378" w:rsidP="00C21794">
      <w:pPr>
        <w:pStyle w:val="ListParagraph"/>
        <w:numPr>
          <w:ilvl w:val="0"/>
          <w:numId w:val="17"/>
        </w:numPr>
        <w:ind w:left="714" w:hanging="357"/>
        <w:contextualSpacing w:val="0"/>
        <w:rPr>
          <w:rStyle w:val="IntenseReference"/>
          <w:rFonts w:eastAsia="SimSun"/>
          <w:b w:val="0"/>
          <w:bCs/>
        </w:rPr>
      </w:pPr>
      <w:r w:rsidRPr="00353526">
        <w:rPr>
          <w:rFonts w:eastAsia="SimSun"/>
        </w:rPr>
        <w:t>TSP1 Year 2 Annual Plan 2011/2012</w:t>
      </w:r>
    </w:p>
    <w:p w14:paraId="0068E72F" w14:textId="77777777" w:rsidR="00B26778" w:rsidRDefault="00B26778">
      <w:pPr>
        <w:spacing w:before="0" w:after="0"/>
        <w:jc w:val="left"/>
      </w:pPr>
    </w:p>
    <w:p w14:paraId="5379A08F" w14:textId="77777777" w:rsidR="00B26778" w:rsidRDefault="00B26778">
      <w:pPr>
        <w:spacing w:before="0" w:after="0"/>
        <w:jc w:val="left"/>
        <w:sectPr w:rsidR="00B26778" w:rsidSect="00593009">
          <w:headerReference w:type="even" r:id="rId40"/>
          <w:footerReference w:type="default" r:id="rId41"/>
          <w:headerReference w:type="first" r:id="rId42"/>
          <w:pgSz w:w="11906" w:h="16838" w:code="9"/>
          <w:pgMar w:top="1440" w:right="1440" w:bottom="1440" w:left="1701" w:header="709" w:footer="709" w:gutter="0"/>
          <w:cols w:space="708"/>
          <w:docGrid w:linePitch="360"/>
        </w:sectPr>
      </w:pPr>
    </w:p>
    <w:p w14:paraId="11013099" w14:textId="4150062C" w:rsidR="009D7E6F" w:rsidRDefault="0086466E" w:rsidP="00092A89">
      <w:pPr>
        <w:pStyle w:val="Heading1"/>
        <w:tabs>
          <w:tab w:val="left" w:pos="1276"/>
        </w:tabs>
      </w:pPr>
      <w:bookmarkStart w:id="34" w:name="_Toc203996801"/>
      <w:r>
        <w:lastRenderedPageBreak/>
        <w:t xml:space="preserve">Annex </w:t>
      </w:r>
      <w:r w:rsidR="00754707">
        <w:t>6</w:t>
      </w:r>
      <w:r w:rsidR="009D7E6F">
        <w:t xml:space="preserve">: </w:t>
      </w:r>
      <w:r w:rsidR="005212A6">
        <w:tab/>
      </w:r>
      <w:r w:rsidR="009D7E6F">
        <w:t>Terms of r</w:t>
      </w:r>
      <w:r w:rsidR="009D7E6F" w:rsidRPr="00227782">
        <w:t>eference</w:t>
      </w:r>
      <w:r w:rsidR="009D7E6F">
        <w:t xml:space="preserve"> for review</w:t>
      </w:r>
      <w:bookmarkEnd w:id="34"/>
    </w:p>
    <w:p w14:paraId="4D3236FF" w14:textId="77777777" w:rsidR="008B7ADA" w:rsidRPr="009A0A87" w:rsidRDefault="008B7ADA" w:rsidP="008B7ADA">
      <w:pPr>
        <w:pStyle w:val="Title"/>
        <w:rPr>
          <w:sz w:val="32"/>
          <w:szCs w:val="32"/>
        </w:rPr>
      </w:pPr>
      <w:r w:rsidRPr="009A0A87">
        <w:rPr>
          <w:sz w:val="32"/>
          <w:szCs w:val="32"/>
        </w:rPr>
        <w:t>Terms of Reference</w:t>
      </w:r>
    </w:p>
    <w:p w14:paraId="1A74BD64" w14:textId="77777777" w:rsidR="008B7ADA" w:rsidRPr="009A0A87" w:rsidRDefault="008B7ADA" w:rsidP="008B7ADA">
      <w:pPr>
        <w:pStyle w:val="Title"/>
        <w:rPr>
          <w:sz w:val="32"/>
          <w:szCs w:val="32"/>
        </w:rPr>
      </w:pPr>
    </w:p>
    <w:p w14:paraId="0B925643" w14:textId="77777777" w:rsidR="008B7ADA" w:rsidRPr="009A0A87" w:rsidRDefault="008B7ADA" w:rsidP="008B7ADA">
      <w:pPr>
        <w:pStyle w:val="Title"/>
        <w:rPr>
          <w:sz w:val="32"/>
          <w:szCs w:val="32"/>
        </w:rPr>
      </w:pPr>
      <w:r w:rsidRPr="009A0A87">
        <w:rPr>
          <w:sz w:val="32"/>
          <w:szCs w:val="32"/>
        </w:rPr>
        <w:t>TVET Tonga Support Program (TSP1)</w:t>
      </w:r>
    </w:p>
    <w:p w14:paraId="0803ECE9" w14:textId="77777777" w:rsidR="008B7ADA" w:rsidRPr="009A0A87" w:rsidRDefault="008B7ADA" w:rsidP="008B7ADA">
      <w:pPr>
        <w:pStyle w:val="Title"/>
        <w:rPr>
          <w:sz w:val="32"/>
          <w:szCs w:val="32"/>
        </w:rPr>
      </w:pPr>
      <w:r w:rsidRPr="009A0A87">
        <w:rPr>
          <w:sz w:val="32"/>
          <w:szCs w:val="32"/>
        </w:rPr>
        <w:t xml:space="preserve"> </w:t>
      </w:r>
    </w:p>
    <w:p w14:paraId="19A44C56" w14:textId="77777777" w:rsidR="008B7ADA" w:rsidRPr="009A0A87" w:rsidRDefault="008B7ADA" w:rsidP="008B7ADA">
      <w:pPr>
        <w:pStyle w:val="Title"/>
        <w:rPr>
          <w:sz w:val="32"/>
          <w:szCs w:val="32"/>
        </w:rPr>
      </w:pPr>
      <w:r w:rsidRPr="009A0A87">
        <w:rPr>
          <w:sz w:val="32"/>
          <w:szCs w:val="32"/>
        </w:rPr>
        <w:t>Independent Progress Review &amp; Re-Design 2012</w:t>
      </w:r>
    </w:p>
    <w:p w14:paraId="4F1140BB" w14:textId="77777777" w:rsidR="008B7ADA" w:rsidRPr="00B36AC5" w:rsidRDefault="003412F4" w:rsidP="008B7ADA">
      <w:r>
        <w:pict w14:anchorId="65CB8ECD">
          <v:rect id="_x0000_i1025" style="width:0;height:1.5pt" o:hralign="center" o:hrstd="t" o:hr="t" fillcolor="#a0a0a0" stroked="f"/>
        </w:pict>
      </w:r>
    </w:p>
    <w:p w14:paraId="63ED1654" w14:textId="77777777" w:rsidR="008B7ADA" w:rsidRDefault="008B7ADA" w:rsidP="008B7ADA">
      <w:pPr>
        <w:pStyle w:val="level1"/>
        <w:tabs>
          <w:tab w:val="clear" w:pos="643"/>
        </w:tabs>
      </w:pPr>
      <w:bookmarkStart w:id="35" w:name="_Toc203996802"/>
      <w:r>
        <w:t>Purpose</w:t>
      </w:r>
      <w:bookmarkEnd w:id="35"/>
    </w:p>
    <w:p w14:paraId="197E90E6" w14:textId="77777777" w:rsidR="008B7ADA" w:rsidRPr="0095144C" w:rsidRDefault="008B7ADA" w:rsidP="008B7ADA">
      <w:r w:rsidRPr="00076A1D">
        <w:t xml:space="preserve">The purpose of the Independent Progress Review &amp; Re-Design </w:t>
      </w:r>
      <w:r>
        <w:t xml:space="preserve">of </w:t>
      </w:r>
      <w:r w:rsidRPr="00076A1D">
        <w:t xml:space="preserve">the </w:t>
      </w:r>
      <w:r>
        <w:t xml:space="preserve">Tonga </w:t>
      </w:r>
      <w:r w:rsidRPr="00076A1D">
        <w:t>TVET Support Program</w:t>
      </w:r>
      <w:r w:rsidRPr="00B36AC5">
        <w:t xml:space="preserve"> (TSP1) is to assess the extent to which the goal and objectives of the program are being met, provide </w:t>
      </w:r>
      <w:r>
        <w:t xml:space="preserve">an updated </w:t>
      </w:r>
      <w:r w:rsidRPr="00B36AC5">
        <w:t>analysis of the country and sector context</w:t>
      </w:r>
      <w:r>
        <w:t xml:space="preserve"> using TSP1 design situational analysis as the baseline</w:t>
      </w:r>
      <w:r w:rsidRPr="00B36AC5">
        <w:t xml:space="preserve">, </w:t>
      </w:r>
      <w:r w:rsidRPr="0095144C">
        <w:t xml:space="preserve">potential scope of a program re-design and, </w:t>
      </w:r>
      <w:r>
        <w:t>subsequent</w:t>
      </w:r>
      <w:r w:rsidRPr="0095144C">
        <w:t xml:space="preserve"> re-design the program of external support to the TVET sub-sector in Tonga.</w:t>
      </w:r>
    </w:p>
    <w:p w14:paraId="27898F1D" w14:textId="77777777" w:rsidR="008B7ADA" w:rsidRPr="00116C1D" w:rsidRDefault="008B7ADA" w:rsidP="008B7ADA">
      <w:pPr>
        <w:pStyle w:val="level1"/>
        <w:tabs>
          <w:tab w:val="clear" w:pos="643"/>
        </w:tabs>
      </w:pPr>
      <w:bookmarkStart w:id="36" w:name="_Toc203996803"/>
      <w:r w:rsidRPr="00116C1D">
        <w:t>Background</w:t>
      </w:r>
      <w:bookmarkEnd w:id="36"/>
    </w:p>
    <w:p w14:paraId="634410EB" w14:textId="77777777" w:rsidR="008B7ADA" w:rsidRPr="00076A1D" w:rsidRDefault="008B7ADA" w:rsidP="008B7ADA">
      <w:r w:rsidRPr="00076A1D">
        <w:t xml:space="preserve">The </w:t>
      </w:r>
      <w:r>
        <w:t>TSP1</w:t>
      </w:r>
      <w:r w:rsidRPr="00076A1D">
        <w:t xml:space="preserve"> is a four-year program of external </w:t>
      </w:r>
      <w:proofErr w:type="gramStart"/>
      <w:r w:rsidRPr="00076A1D">
        <w:t>assistance which</w:t>
      </w:r>
      <w:proofErr w:type="gramEnd"/>
      <w:r w:rsidRPr="00076A1D">
        <w:t xml:space="preserve"> commenced in June 2010 and is due to conclude in December 2014.  It is supported by Australia and New Zealand.  </w:t>
      </w:r>
    </w:p>
    <w:p w14:paraId="4549E8DA" w14:textId="77777777" w:rsidR="008B7ADA" w:rsidRPr="00076A1D" w:rsidRDefault="008B7ADA" w:rsidP="008B7ADA">
      <w:r w:rsidRPr="00076A1D">
        <w:t xml:space="preserve">The objective of the TSP1 is to: </w:t>
      </w:r>
      <w:r w:rsidRPr="00B62CAB">
        <w:t>make Tongans more competitive in domestic, regional and international labour markets through improved demand based TVET and internationally recognised qualifications.</w:t>
      </w:r>
    </w:p>
    <w:p w14:paraId="3F76D919" w14:textId="77777777" w:rsidR="008B7ADA" w:rsidRPr="00076A1D" w:rsidRDefault="008B7ADA" w:rsidP="008B7ADA">
      <w:r w:rsidRPr="00076A1D">
        <w:t xml:space="preserve">Accordingly, the </w:t>
      </w:r>
      <w:r w:rsidRPr="00B62CAB">
        <w:t>TSP1 key performance indicators</w:t>
      </w:r>
      <w:r w:rsidRPr="00076A1D">
        <w:t xml:space="preserve"> are:</w:t>
      </w:r>
    </w:p>
    <w:p w14:paraId="4D736F1F" w14:textId="77777777" w:rsidR="008B7ADA" w:rsidRPr="00116C1D" w:rsidRDefault="008B7ADA" w:rsidP="008B7ADA">
      <w:pPr>
        <w:pStyle w:val="ListBullet"/>
      </w:pPr>
      <w:r w:rsidRPr="00116C1D">
        <w:t xml:space="preserve">80 </w:t>
      </w:r>
      <w:proofErr w:type="spellStart"/>
      <w:r w:rsidRPr="00116C1D">
        <w:t>percent</w:t>
      </w:r>
      <w:proofErr w:type="spellEnd"/>
      <w:r w:rsidRPr="00116C1D">
        <w:t xml:space="preserve"> of courses offered are competency based, by competency based qualified trainers</w:t>
      </w:r>
    </w:p>
    <w:p w14:paraId="607AC656" w14:textId="77777777" w:rsidR="008B7ADA" w:rsidRPr="00116C1D" w:rsidRDefault="008B7ADA" w:rsidP="008B7ADA">
      <w:pPr>
        <w:pStyle w:val="ListBullet"/>
      </w:pPr>
      <w:r w:rsidRPr="00116C1D">
        <w:t>There is a functioning accreditation process for TVET courses that includes overseas recognition of qualifications, and</w:t>
      </w:r>
    </w:p>
    <w:p w14:paraId="6117B56B" w14:textId="77777777" w:rsidR="008B7ADA" w:rsidRPr="00116C1D" w:rsidRDefault="008B7ADA" w:rsidP="008B7ADA">
      <w:pPr>
        <w:pStyle w:val="ListBullet"/>
      </w:pPr>
      <w:r w:rsidRPr="00116C1D">
        <w:t xml:space="preserve">80 </w:t>
      </w:r>
      <w:proofErr w:type="spellStart"/>
      <w:r w:rsidRPr="00116C1D">
        <w:t>percent</w:t>
      </w:r>
      <w:proofErr w:type="spellEnd"/>
      <w:r w:rsidRPr="00116C1D">
        <w:t xml:space="preserve"> of all institutions have been through the process</w:t>
      </w:r>
    </w:p>
    <w:p w14:paraId="6597C474" w14:textId="77777777" w:rsidR="008B7ADA" w:rsidRPr="00116C1D" w:rsidRDefault="008B7ADA" w:rsidP="008B7ADA">
      <w:r w:rsidRPr="00116C1D">
        <w:t>AusAID is designated on behalf of both development partners (New Zealand and Australia) to engage with the Government of Tonga implementing agency, the Ministry of Training</w:t>
      </w:r>
      <w:r>
        <w:t xml:space="preserve">, </w:t>
      </w:r>
      <w:r w:rsidRPr="00116C1D">
        <w:t>Employment, Youth and Sport (MOTEYS) on program management issues.</w:t>
      </w:r>
      <w:r>
        <w:t xml:space="preserve"> </w:t>
      </w:r>
      <w:r w:rsidRPr="00116C1D">
        <w:t xml:space="preserve"> Both development partners engage with MOT</w:t>
      </w:r>
      <w:r>
        <w:t>E</w:t>
      </w:r>
      <w:r w:rsidRPr="00116C1D">
        <w:t>YS on policy related issues.</w:t>
      </w:r>
      <w:r>
        <w:t xml:space="preserve"> </w:t>
      </w:r>
      <w:r w:rsidRPr="00116C1D">
        <w:t xml:space="preserve"> The total funding allocated to the Government of Tonga for the TSP1 is AUD7.4 million over four years.</w:t>
      </w:r>
    </w:p>
    <w:p w14:paraId="0A587647" w14:textId="77777777" w:rsidR="008B7ADA" w:rsidRPr="00116C1D" w:rsidRDefault="008B7ADA" w:rsidP="008B7ADA">
      <w:r w:rsidRPr="00116C1D">
        <w:t xml:space="preserve">The TSP1 design proposed long term support to TVET in Tonga.  Subject to satisfactory outcomes and impact, a second phase is anticipated which will provide a </w:t>
      </w:r>
      <w:r>
        <w:t xml:space="preserve">total </w:t>
      </w:r>
      <w:r w:rsidRPr="00116C1D">
        <w:t xml:space="preserve">program timeframe of eight or more years to strengthen Tonga’s skills development system.  The current arrangements for the TSP1 involve implementation of the program through Government of Tonga systems and the program is managed by the MOTEYS.  Program activities </w:t>
      </w:r>
      <w:proofErr w:type="gramStart"/>
      <w:r w:rsidRPr="00116C1D">
        <w:t>are intended to be integrated</w:t>
      </w:r>
      <w:proofErr w:type="gramEnd"/>
      <w:r w:rsidRPr="00116C1D">
        <w:t xml:space="preserve"> into the core work program of existing MOTEYS management and staff with </w:t>
      </w:r>
      <w:r>
        <w:t xml:space="preserve">national and international </w:t>
      </w:r>
      <w:r w:rsidRPr="00116C1D">
        <w:t xml:space="preserve">advisers providing mentoring, technical expertise, and filling gaps.  MOTEYS has established a Program Office to support </w:t>
      </w:r>
      <w:r w:rsidRPr="00116C1D">
        <w:lastRenderedPageBreak/>
        <w:t xml:space="preserve">implementation.  MOTEYS is responsible for ensuring that sequencing and pacing of TSP1 activities are incorporated in the annual planning process. </w:t>
      </w:r>
    </w:p>
    <w:p w14:paraId="7EBE36FD" w14:textId="77777777" w:rsidR="008B7ADA" w:rsidRPr="00B62CAB" w:rsidRDefault="008B7ADA" w:rsidP="008B7ADA">
      <w:r w:rsidRPr="00116C1D">
        <w:t xml:space="preserve">However, the </w:t>
      </w:r>
      <w:r>
        <w:t xml:space="preserve">2010 </w:t>
      </w:r>
      <w:r w:rsidRPr="00116C1D">
        <w:t xml:space="preserve">elected Government of Tonga </w:t>
      </w:r>
      <w:proofErr w:type="gramStart"/>
      <w:r>
        <w:t>has</w:t>
      </w:r>
      <w:proofErr w:type="gramEnd"/>
      <w:r>
        <w:t xml:space="preserve"> approved</w:t>
      </w:r>
      <w:r w:rsidRPr="00116C1D">
        <w:t xml:space="preserve"> a whole of Tongan civil service restructure that is expected to be under implementation by June 2012.</w:t>
      </w:r>
      <w:r>
        <w:t xml:space="preserve"> </w:t>
      </w:r>
      <w:r w:rsidRPr="00116C1D">
        <w:t xml:space="preserve">The restructure will reduce the number of government ministries from twenty-six to </w:t>
      </w:r>
      <w:r>
        <w:t>thirteen</w:t>
      </w:r>
      <w:r w:rsidRPr="00116C1D">
        <w:t xml:space="preserve">. </w:t>
      </w:r>
      <w:r>
        <w:t xml:space="preserve"> </w:t>
      </w:r>
      <w:r w:rsidRPr="00116C1D">
        <w:t xml:space="preserve">As a consequence, </w:t>
      </w:r>
      <w:r>
        <w:t xml:space="preserve">the role of </w:t>
      </w:r>
      <w:r w:rsidRPr="00116C1D">
        <w:t>MOT</w:t>
      </w:r>
      <w:r>
        <w:t>E</w:t>
      </w:r>
      <w:r w:rsidRPr="00116C1D">
        <w:t xml:space="preserve">YS will be </w:t>
      </w:r>
      <w:r>
        <w:t>changed</w:t>
      </w:r>
      <w:r w:rsidRPr="00116C1D">
        <w:t xml:space="preserve">, </w:t>
      </w:r>
      <w:r>
        <w:t xml:space="preserve">with parts of the current </w:t>
      </w:r>
      <w:r w:rsidRPr="00116C1D">
        <w:t xml:space="preserve">portfolio </w:t>
      </w:r>
      <w:r>
        <w:t xml:space="preserve">being </w:t>
      </w:r>
      <w:r w:rsidRPr="00116C1D">
        <w:t xml:space="preserve">allocated to other ministries. </w:t>
      </w:r>
      <w:r w:rsidRPr="00B62CAB">
        <w:t xml:space="preserve"> </w:t>
      </w:r>
      <w:r>
        <w:t xml:space="preserve">Accordingly, it is expected that the </w:t>
      </w:r>
      <w:r w:rsidRPr="00B62CAB">
        <w:t xml:space="preserve">‘training’ component will be moved to Ministry of Education. </w:t>
      </w:r>
    </w:p>
    <w:p w14:paraId="625086C3" w14:textId="77777777" w:rsidR="008B7ADA" w:rsidRDefault="008B7ADA" w:rsidP="008B7ADA">
      <w:r w:rsidRPr="00116C1D">
        <w:t xml:space="preserve">Given </w:t>
      </w:r>
      <w:r>
        <w:t xml:space="preserve">(a) </w:t>
      </w:r>
      <w:r w:rsidRPr="00116C1D">
        <w:t>the</w:t>
      </w:r>
      <w:r>
        <w:t>se and other</w:t>
      </w:r>
      <w:r w:rsidRPr="00116C1D">
        <w:t xml:space="preserve"> changes to the operating environment for the public sector in Tonga, </w:t>
      </w:r>
      <w:r>
        <w:t xml:space="preserve">(b) other economic and sectoral changes since the initial design of TSP1 in 2009, (c) the proposed re-structuring of MOTEYS as the implementing agency for TSP1, and (d) program implementation challenges and the development of AusAID’s Pacific Technical and Higher Education Strategy, there is an urgent need for a comprehensive review of the existing program.  This should entail a strategic assessment of future options for TVET and, and reach agreement with the Government of Tonga on a re-designed program of support for workforce development in Tonga.  </w:t>
      </w:r>
    </w:p>
    <w:p w14:paraId="464ED49C" w14:textId="77777777" w:rsidR="008B7ADA" w:rsidRDefault="008B7ADA" w:rsidP="008B7ADA">
      <w:r>
        <w:t xml:space="preserve">An </w:t>
      </w:r>
      <w:r w:rsidRPr="00116C1D">
        <w:t xml:space="preserve">Independent Progress Review and </w:t>
      </w:r>
      <w:r>
        <w:t>Re-</w:t>
      </w:r>
      <w:r w:rsidRPr="00116C1D">
        <w:t xml:space="preserve">Design </w:t>
      </w:r>
      <w:r>
        <w:t>mission</w:t>
      </w:r>
      <w:r w:rsidRPr="00116C1D">
        <w:t xml:space="preserve"> </w:t>
      </w:r>
      <w:r>
        <w:t>will</w:t>
      </w:r>
      <w:r w:rsidRPr="00116C1D">
        <w:t xml:space="preserve"> </w:t>
      </w:r>
      <w:r>
        <w:t>be tasked through AusAID, in partnership with the Government of Tonga and the New Zealand Ministry of Foreign Affairs and Trade  (MFAT), to undertake this work in two distinct phases.</w:t>
      </w:r>
    </w:p>
    <w:p w14:paraId="593F427B" w14:textId="77777777" w:rsidR="008B7ADA" w:rsidRDefault="008B7ADA" w:rsidP="008B7ADA">
      <w:r w:rsidRPr="00066AC8">
        <w:rPr>
          <w:rStyle w:val="Strong"/>
          <w:bCs/>
        </w:rPr>
        <w:t>Phase 1:</w:t>
      </w:r>
      <w:r>
        <w:t xml:space="preserve"> Independent Progress Review (IPR) of TSP1, Situational Analysis and Re-Design Options</w:t>
      </w:r>
    </w:p>
    <w:p w14:paraId="6AE65268" w14:textId="77777777" w:rsidR="008B7ADA" w:rsidRDefault="008B7ADA" w:rsidP="008B7ADA">
      <w:r w:rsidRPr="00066AC8">
        <w:rPr>
          <w:rStyle w:val="Strong"/>
          <w:bCs/>
        </w:rPr>
        <w:t>Phase 2</w:t>
      </w:r>
      <w:r>
        <w:t xml:space="preserve">: Re-design of a program of support to assist Tonga achieves its workforce development goal as set out in the </w:t>
      </w:r>
      <w:r w:rsidRPr="00DE3C4A">
        <w:t>Tonga Nation</w:t>
      </w:r>
      <w:r>
        <w:t>al Strategic Planning Framework.</w:t>
      </w:r>
    </w:p>
    <w:p w14:paraId="20F444F0" w14:textId="77777777" w:rsidR="008B7ADA" w:rsidRPr="00B62CAB" w:rsidRDefault="008B7ADA" w:rsidP="008B7ADA">
      <w:r>
        <w:t xml:space="preserve">These Terms of Reference have been discussed and agreed with </w:t>
      </w:r>
      <w:r w:rsidRPr="00116C1D">
        <w:t xml:space="preserve">relevant stakeholders including </w:t>
      </w:r>
      <w:proofErr w:type="spellStart"/>
      <w:r w:rsidRPr="00AD72E1">
        <w:t>MoTEYS</w:t>
      </w:r>
      <w:proofErr w:type="spellEnd"/>
      <w:r>
        <w:t xml:space="preserve">, the Minister for Education and senior officials in the </w:t>
      </w:r>
      <w:r w:rsidRPr="00116C1D">
        <w:t>Ministry of Education</w:t>
      </w:r>
      <w:r>
        <w:t xml:space="preserve"> and the</w:t>
      </w:r>
      <w:r w:rsidRPr="00116C1D">
        <w:t xml:space="preserve"> Ministry of Finance </w:t>
      </w:r>
      <w:r>
        <w:t>and National Planning</w:t>
      </w:r>
      <w:r w:rsidRPr="00116C1D">
        <w:t>.</w:t>
      </w:r>
    </w:p>
    <w:p w14:paraId="5605670E" w14:textId="77777777" w:rsidR="008B7ADA" w:rsidRPr="007B4359" w:rsidRDefault="008B7ADA" w:rsidP="008B7ADA">
      <w:pPr>
        <w:pStyle w:val="level1"/>
        <w:tabs>
          <w:tab w:val="clear" w:pos="643"/>
        </w:tabs>
      </w:pPr>
      <w:bookmarkStart w:id="37" w:name="_Toc203996804"/>
      <w:r w:rsidRPr="007B4359">
        <w:t>Objectives of the IPR and Re-</w:t>
      </w:r>
      <w:proofErr w:type="gramStart"/>
      <w:r w:rsidRPr="007B4359">
        <w:t>Design  mission</w:t>
      </w:r>
      <w:bookmarkEnd w:id="37"/>
      <w:proofErr w:type="gramEnd"/>
    </w:p>
    <w:p w14:paraId="284F62F2" w14:textId="77777777" w:rsidR="008B7ADA" w:rsidRPr="00066AC8" w:rsidRDefault="008B7ADA" w:rsidP="008B7ADA">
      <w:r w:rsidRPr="00066AC8">
        <w:t>The IPR and Re-Design mission has the following six objectives, to be achieved over two phases</w:t>
      </w:r>
      <w:proofErr w:type="gramStart"/>
      <w:r>
        <w:t>:-</w:t>
      </w:r>
      <w:proofErr w:type="gramEnd"/>
    </w:p>
    <w:p w14:paraId="0893B61C" w14:textId="77777777" w:rsidR="008B7ADA" w:rsidRPr="00236567" w:rsidRDefault="008B7ADA" w:rsidP="008B7ADA">
      <w:pPr>
        <w:outlineLvl w:val="2"/>
      </w:pPr>
      <w:r w:rsidRPr="00236567">
        <w:t>Phase 1:</w:t>
      </w:r>
    </w:p>
    <w:p w14:paraId="25BDFBA2" w14:textId="77777777" w:rsidR="008B7ADA" w:rsidRDefault="008B7ADA" w:rsidP="008B7ADA">
      <w:pPr>
        <w:pStyle w:val="level2"/>
      </w:pPr>
      <w:r w:rsidRPr="003B516A">
        <w:t xml:space="preserve">Provide an independent assessment of the progress against objectives of the </w:t>
      </w:r>
      <w:r>
        <w:t xml:space="preserve">Tonga </w:t>
      </w:r>
      <w:r w:rsidRPr="003B516A">
        <w:t>Technical</w:t>
      </w:r>
      <w:r>
        <w:t xml:space="preserve"> and Vocational Education (TVET) Support Program (TSP1) </w:t>
      </w:r>
      <w:r w:rsidRPr="003B516A">
        <w:t>referenc</w:t>
      </w:r>
      <w:r>
        <w:t>ing AusAID assessment criteria</w:t>
      </w:r>
      <w:r>
        <w:rPr>
          <w:rStyle w:val="FootnoteReference"/>
        </w:rPr>
        <w:footnoteReference w:id="42"/>
      </w:r>
      <w:r w:rsidRPr="003B516A">
        <w:t xml:space="preserve">. </w:t>
      </w:r>
      <w:r>
        <w:t xml:space="preserve"> </w:t>
      </w:r>
      <w:r w:rsidRPr="003B516A">
        <w:t xml:space="preserve">In particular, the evaluation will examine the </w:t>
      </w:r>
      <w:r>
        <w:t xml:space="preserve">activity’s scope and its </w:t>
      </w:r>
      <w:r w:rsidRPr="003B516A">
        <w:t xml:space="preserve">management model, strengths and comparative advantages and also provide lessons for future </w:t>
      </w:r>
      <w:r>
        <w:t>support to TVET in Tonga.</w:t>
      </w:r>
    </w:p>
    <w:p w14:paraId="046B36D1" w14:textId="77777777" w:rsidR="008B7ADA" w:rsidRPr="00824FE9" w:rsidRDefault="008B7ADA" w:rsidP="008B7ADA">
      <w:pPr>
        <w:pStyle w:val="level2"/>
      </w:pPr>
      <w:r w:rsidRPr="00824FE9">
        <w:t>Identify issues that need to be addressed to improve the implementation and management of TSP1 through to December 2012 and recommend a course of action to accomplish this.</w:t>
      </w:r>
    </w:p>
    <w:p w14:paraId="2022B5E9" w14:textId="77777777" w:rsidR="008B7ADA" w:rsidRDefault="008B7ADA" w:rsidP="008B7ADA">
      <w:pPr>
        <w:pStyle w:val="level2"/>
      </w:pPr>
      <w:r>
        <w:t xml:space="preserve">Update the situational analysis in the Program Design Document for TSP1 in light of significant changes in the country context, in the structure of the Tongan civil </w:t>
      </w:r>
      <w:r>
        <w:lastRenderedPageBreak/>
        <w:t xml:space="preserve">service and in the Tongan education sector, to inform scoping and design of future assistance to the subsector.  Provide carefully considered advice to the Government of Tonga, AusAID and NZ MFAT on:  </w:t>
      </w:r>
    </w:p>
    <w:p w14:paraId="6EA97825" w14:textId="77777777" w:rsidR="008B7ADA" w:rsidRDefault="008B7ADA" w:rsidP="008B7ADA">
      <w:pPr>
        <w:pStyle w:val="level2"/>
        <w:numPr>
          <w:ilvl w:val="0"/>
          <w:numId w:val="0"/>
        </w:numPr>
        <w:ind w:left="567"/>
      </w:pPr>
      <w:proofErr w:type="gramStart"/>
      <w:r>
        <w:t>a)</w:t>
      </w:r>
      <w:r w:rsidRPr="008C195A">
        <w:t xml:space="preserve"> </w:t>
      </w:r>
      <w:r>
        <w:t xml:space="preserve"> appropriateness</w:t>
      </w:r>
      <w:proofErr w:type="gramEnd"/>
      <w:r>
        <w:t xml:space="preserve"> of KRAs and KPIs and progress against objectives; </w:t>
      </w:r>
    </w:p>
    <w:p w14:paraId="76730EBC" w14:textId="77777777" w:rsidR="008B7ADA" w:rsidRDefault="008B7ADA" w:rsidP="008B7ADA">
      <w:pPr>
        <w:pStyle w:val="level2"/>
        <w:numPr>
          <w:ilvl w:val="0"/>
          <w:numId w:val="0"/>
        </w:numPr>
        <w:ind w:left="567"/>
      </w:pPr>
      <w:proofErr w:type="gramStart"/>
      <w:r>
        <w:t>b)  the</w:t>
      </w:r>
      <w:proofErr w:type="gramEnd"/>
      <w:r>
        <w:t xml:space="preserve"> extent to which TSP1 needs to be redesigned to take account of the changed implementation context advice on re-design options; </w:t>
      </w:r>
    </w:p>
    <w:p w14:paraId="370946B2" w14:textId="77777777" w:rsidR="008B7ADA" w:rsidRDefault="008B7ADA" w:rsidP="008B7ADA">
      <w:pPr>
        <w:pStyle w:val="level2"/>
        <w:numPr>
          <w:ilvl w:val="0"/>
          <w:numId w:val="0"/>
        </w:numPr>
        <w:ind w:left="567"/>
      </w:pPr>
      <w:proofErr w:type="gramStart"/>
      <w:r>
        <w:t>c)  on</w:t>
      </w:r>
      <w:proofErr w:type="gramEnd"/>
      <w:r>
        <w:t xml:space="preserve"> the broad directions and nature of the re-design required, if any; and </w:t>
      </w:r>
    </w:p>
    <w:p w14:paraId="79E9F300" w14:textId="77777777" w:rsidR="008B7ADA" w:rsidRDefault="008B7ADA" w:rsidP="008B7ADA">
      <w:pPr>
        <w:pStyle w:val="level2"/>
        <w:numPr>
          <w:ilvl w:val="0"/>
          <w:numId w:val="0"/>
        </w:numPr>
        <w:ind w:left="567"/>
      </w:pPr>
      <w:proofErr w:type="gramStart"/>
      <w:r>
        <w:t>d)  recommendations</w:t>
      </w:r>
      <w:proofErr w:type="gramEnd"/>
      <w:r>
        <w:t xml:space="preserve"> on the most effective re-design process.   </w:t>
      </w:r>
    </w:p>
    <w:p w14:paraId="1F1C4D20" w14:textId="77777777" w:rsidR="008B7ADA" w:rsidRPr="00236567" w:rsidRDefault="008B7ADA" w:rsidP="008B7ADA">
      <w:pPr>
        <w:outlineLvl w:val="2"/>
      </w:pPr>
      <w:r w:rsidRPr="00236567">
        <w:t>Phase 2</w:t>
      </w:r>
    </w:p>
    <w:p w14:paraId="1BC77D80" w14:textId="77777777" w:rsidR="008B7ADA" w:rsidRDefault="008B7ADA" w:rsidP="008B7ADA">
      <w:pPr>
        <w:pStyle w:val="level2"/>
      </w:pPr>
      <w:r>
        <w:t>Undertake a re-design process as agreed between the Government of Tonga, AusAID and NZ MFAT and produce an activity design document for the next phase of external assistance which meets AusAID design standards and supports the GOT’s Strategic Plan, defined needs and standards.</w:t>
      </w:r>
    </w:p>
    <w:p w14:paraId="4F2645CE" w14:textId="77777777" w:rsidR="008B7ADA" w:rsidRPr="00116C1D" w:rsidRDefault="008B7ADA" w:rsidP="008B7ADA">
      <w:pPr>
        <w:pStyle w:val="level2"/>
      </w:pPr>
      <w:r>
        <w:t xml:space="preserve">As part of the re-design process and documentation, prepare a detailed </w:t>
      </w:r>
      <w:r w:rsidRPr="00116C1D">
        <w:t xml:space="preserve">transition strategy and </w:t>
      </w:r>
      <w:r>
        <w:t xml:space="preserve">phased </w:t>
      </w:r>
      <w:r w:rsidRPr="00116C1D">
        <w:t xml:space="preserve">implementation roadmap </w:t>
      </w:r>
      <w:r>
        <w:t>that consolidates the gains made under TSP1 and helps ensure a smooth transition from TSP1 to the next phase of support to TVET in Tonga.</w:t>
      </w:r>
    </w:p>
    <w:p w14:paraId="0A50D36B" w14:textId="77777777" w:rsidR="008B7ADA" w:rsidRPr="007B4359" w:rsidRDefault="008B7ADA" w:rsidP="008B7ADA">
      <w:pPr>
        <w:pStyle w:val="level1"/>
        <w:tabs>
          <w:tab w:val="clear" w:pos="643"/>
        </w:tabs>
      </w:pPr>
      <w:bookmarkStart w:id="38" w:name="_Toc203996805"/>
      <w:r w:rsidRPr="007B4359">
        <w:t>Scope of the IPR and Re-Design Mission</w:t>
      </w:r>
      <w:bookmarkEnd w:id="38"/>
    </w:p>
    <w:p w14:paraId="59CB72B5" w14:textId="77777777" w:rsidR="008B7ADA" w:rsidRPr="00FA455E" w:rsidRDefault="008B7ADA" w:rsidP="008B7ADA">
      <w:pPr>
        <w:outlineLvl w:val="2"/>
      </w:pPr>
      <w:r w:rsidRPr="00FA455E">
        <w:t>Phase 1:</w:t>
      </w:r>
    </w:p>
    <w:p w14:paraId="6CFC647D" w14:textId="77777777" w:rsidR="008B7ADA" w:rsidRPr="00FA455E" w:rsidRDefault="008B7ADA" w:rsidP="008B7ADA">
      <w:pPr>
        <w:pStyle w:val="NormalIndent"/>
        <w:ind w:left="567"/>
        <w:rPr>
          <w:rStyle w:val="Strong"/>
          <w:bCs/>
        </w:rPr>
      </w:pPr>
      <w:r w:rsidRPr="00FA455E">
        <w:rPr>
          <w:rStyle w:val="Strong"/>
          <w:bCs/>
        </w:rPr>
        <w:t>(A) Independent Progress Review</w:t>
      </w:r>
    </w:p>
    <w:p w14:paraId="29A80E57" w14:textId="77777777" w:rsidR="008B7ADA" w:rsidRPr="00952D01" w:rsidRDefault="008B7ADA" w:rsidP="008B7ADA">
      <w:pPr>
        <w:pStyle w:val="level2"/>
      </w:pPr>
      <w:r w:rsidRPr="00952D01">
        <w:t>The IPR will assess and rate the TSP1 against the eight criteria defined in the AusAID guideline, ‘</w:t>
      </w:r>
      <w:r w:rsidRPr="00952D01">
        <w:rPr>
          <w:rStyle w:val="SubtleEmphasis"/>
          <w:rFonts w:eastAsiaTheme="majorEastAsia"/>
        </w:rPr>
        <w:t>Manage the Independent Evaluation of an Aid Activity’</w:t>
      </w:r>
      <w:r w:rsidRPr="00952D01">
        <w:t xml:space="preserve">, which includes the five OECD DAC criteria of relevance, effectiveness, efficiency, impact and sustainability; and the three additional AusAID criteria of monitoring and evaluation, gender equality, and analysis and learning (further detail is at Attachment </w:t>
      </w:r>
      <w:r>
        <w:t>A</w:t>
      </w:r>
      <w:r w:rsidRPr="00952D01">
        <w:t>).  The rating scale used is 1 – 6, with 6 indicating very high quality and 1 indicating very low quality.  A rating below 4 indicates that an activity has been rated as less than satisfactory against a criterion.</w:t>
      </w:r>
    </w:p>
    <w:p w14:paraId="2F3AEE0F" w14:textId="77777777" w:rsidR="008B7ADA" w:rsidRDefault="008B7ADA" w:rsidP="008B7ADA">
      <w:pPr>
        <w:pStyle w:val="level2"/>
      </w:pPr>
      <w:r>
        <w:t>In undertaking the IPR, the team w</w:t>
      </w:r>
      <w:r w:rsidRPr="00076A1D">
        <w:t>ill examine the following issues</w:t>
      </w:r>
      <w:r>
        <w:t>:</w:t>
      </w:r>
    </w:p>
    <w:p w14:paraId="02CB6FBF" w14:textId="77777777" w:rsidR="008B7ADA" w:rsidRPr="00087282" w:rsidRDefault="008B7ADA" w:rsidP="008B7ADA">
      <w:pPr>
        <w:pStyle w:val="ListNumber4"/>
        <w:numPr>
          <w:ilvl w:val="0"/>
          <w:numId w:val="33"/>
        </w:numPr>
      </w:pPr>
      <w:proofErr w:type="gramStart"/>
      <w:r w:rsidRPr="00087282">
        <w:rPr>
          <w:iCs/>
        </w:rPr>
        <w:t>assess</w:t>
      </w:r>
      <w:proofErr w:type="gramEnd"/>
      <w:r w:rsidRPr="00087282">
        <w:rPr>
          <w:iCs/>
        </w:rPr>
        <w:t xml:space="preserve"> the strengths, weaknesses, assumptions and appropriateness of the </w:t>
      </w:r>
      <w:r>
        <w:rPr>
          <w:iCs/>
        </w:rPr>
        <w:t xml:space="preserve">operational model for program management and </w:t>
      </w:r>
      <w:r w:rsidRPr="00087282">
        <w:rPr>
          <w:iCs/>
        </w:rPr>
        <w:t>implementation  for TSP1 (including its achievements, value for money, management</w:t>
      </w:r>
      <w:r>
        <w:rPr>
          <w:iCs/>
        </w:rPr>
        <w:t xml:space="preserve"> and review</w:t>
      </w:r>
      <w:r w:rsidRPr="00087282">
        <w:rPr>
          <w:iCs/>
        </w:rPr>
        <w:t xml:space="preserve"> processes and monitoring and evaluation systems.</w:t>
      </w:r>
    </w:p>
    <w:p w14:paraId="518AB200" w14:textId="77777777" w:rsidR="008B7ADA" w:rsidRPr="00952D01" w:rsidRDefault="008B7ADA" w:rsidP="008B7ADA">
      <w:pPr>
        <w:pStyle w:val="ListNumber4"/>
        <w:numPr>
          <w:ilvl w:val="0"/>
          <w:numId w:val="33"/>
        </w:numPr>
      </w:pPr>
      <w:proofErr w:type="gramStart"/>
      <w:r w:rsidRPr="00952D01">
        <w:t>identify</w:t>
      </w:r>
      <w:proofErr w:type="gramEnd"/>
      <w:r w:rsidRPr="00952D01">
        <w:t xml:space="preserve"> the achievements of TSP1 to date, assess the overall efficiency and effectiveness of the program and recommend a course of action to address identified constraints;</w:t>
      </w:r>
    </w:p>
    <w:p w14:paraId="50DB8C02" w14:textId="77777777" w:rsidR="008B7ADA" w:rsidRPr="00952D01" w:rsidRDefault="008B7ADA" w:rsidP="008B7ADA">
      <w:pPr>
        <w:pStyle w:val="ListNumber4"/>
        <w:numPr>
          <w:ilvl w:val="0"/>
          <w:numId w:val="33"/>
        </w:numPr>
      </w:pPr>
      <w:proofErr w:type="gramStart"/>
      <w:r w:rsidRPr="00952D01">
        <w:lastRenderedPageBreak/>
        <w:t>assess</w:t>
      </w:r>
      <w:proofErr w:type="gramEnd"/>
      <w:r w:rsidRPr="00952D01">
        <w:t xml:space="preserve"> the strengths, weaknesses, assumptions and appropriateness of the implementation model for TSP1 (including its achievements, value for money, management processes and monitoring and evaluation systems);</w:t>
      </w:r>
    </w:p>
    <w:p w14:paraId="119709B0" w14:textId="77777777" w:rsidR="008B7ADA" w:rsidRPr="00952D01" w:rsidRDefault="008B7ADA" w:rsidP="008B7ADA">
      <w:pPr>
        <w:pStyle w:val="ListNumber4"/>
        <w:numPr>
          <w:ilvl w:val="0"/>
          <w:numId w:val="33"/>
        </w:numPr>
      </w:pPr>
      <w:proofErr w:type="gramStart"/>
      <w:r w:rsidRPr="00952D01">
        <w:t>assess</w:t>
      </w:r>
      <w:proofErr w:type="gramEnd"/>
      <w:r w:rsidRPr="00952D01">
        <w:t xml:space="preserve"> the integration of cross cutting policies of AusAID and NZ</w:t>
      </w:r>
      <w:r>
        <w:t xml:space="preserve"> MFAT</w:t>
      </w:r>
      <w:r w:rsidRPr="00952D01">
        <w:t>, particularly gender, into TSP1 activities and lessons learned for future activities;</w:t>
      </w:r>
    </w:p>
    <w:p w14:paraId="6A5B5A0F" w14:textId="77777777" w:rsidR="008B7ADA" w:rsidRPr="00952D01" w:rsidRDefault="008B7ADA" w:rsidP="008B7ADA">
      <w:pPr>
        <w:pStyle w:val="ListNumber4"/>
        <w:numPr>
          <w:ilvl w:val="0"/>
          <w:numId w:val="33"/>
        </w:numPr>
      </w:pPr>
      <w:proofErr w:type="gramStart"/>
      <w:r w:rsidRPr="00952D01">
        <w:t>assess</w:t>
      </w:r>
      <w:proofErr w:type="gramEnd"/>
      <w:r w:rsidRPr="00952D01">
        <w:t xml:space="preserve"> the coherence and linkages with other donor supported initiatives in and beyond the education sector and with other relevant Government of Tonga activities;</w:t>
      </w:r>
    </w:p>
    <w:p w14:paraId="4D9AE955" w14:textId="77777777" w:rsidR="008B7ADA" w:rsidRPr="00952D01" w:rsidRDefault="008B7ADA" w:rsidP="008B7ADA">
      <w:pPr>
        <w:pStyle w:val="ListNumber4"/>
        <w:numPr>
          <w:ilvl w:val="0"/>
          <w:numId w:val="33"/>
        </w:numPr>
      </w:pPr>
      <w:r>
        <w:t xml:space="preserve"> </w:t>
      </w:r>
      <w:proofErr w:type="gramStart"/>
      <w:r w:rsidRPr="00952D01">
        <w:t>assess</w:t>
      </w:r>
      <w:proofErr w:type="gramEnd"/>
      <w:r w:rsidRPr="00952D01">
        <w:t xml:space="preserve"> the relevance of TSP1 against the broader objectives of the NZ </w:t>
      </w:r>
      <w:r>
        <w:t>A</w:t>
      </w:r>
      <w:r w:rsidRPr="00952D01">
        <w:t xml:space="preserve">id </w:t>
      </w:r>
      <w:r>
        <w:t>P</w:t>
      </w:r>
      <w:r w:rsidRPr="00952D01">
        <w:t>rogram</w:t>
      </w:r>
      <w:r>
        <w:t>me</w:t>
      </w:r>
      <w:r w:rsidRPr="00952D01">
        <w:t xml:space="preserve">  in Tonga and the Australian aid program in Tonga, including AusAID’s Pacific Education and Skills Development Agenda (PESDA) and AusAID’s proposed Pacific Technical and Higher Education Strategy ;</w:t>
      </w:r>
    </w:p>
    <w:p w14:paraId="4AF653B2" w14:textId="77777777" w:rsidR="008B7ADA" w:rsidRPr="00952D01" w:rsidRDefault="008B7ADA" w:rsidP="008B7ADA">
      <w:pPr>
        <w:pStyle w:val="ListNumber4"/>
        <w:numPr>
          <w:ilvl w:val="0"/>
          <w:numId w:val="33"/>
        </w:numPr>
      </w:pPr>
      <w:r w:rsidRPr="00952D01">
        <w:t>Identify the strategic and operational lessons learned from TSP1 implementation to date</w:t>
      </w:r>
    </w:p>
    <w:p w14:paraId="66F5AA21" w14:textId="77777777" w:rsidR="008B7ADA" w:rsidRPr="00FA455E" w:rsidRDefault="008B7ADA" w:rsidP="008B7ADA">
      <w:pPr>
        <w:pStyle w:val="NormalIndent"/>
        <w:ind w:left="567"/>
        <w:rPr>
          <w:rStyle w:val="Strong"/>
          <w:bCs/>
        </w:rPr>
      </w:pPr>
      <w:r w:rsidRPr="00FA455E">
        <w:rPr>
          <w:rStyle w:val="Strong"/>
          <w:bCs/>
        </w:rPr>
        <w:t>(B) Situational Analysis</w:t>
      </w:r>
    </w:p>
    <w:p w14:paraId="798CA55A" w14:textId="77777777" w:rsidR="008B7ADA" w:rsidRPr="00FA455E" w:rsidRDefault="008B7ADA" w:rsidP="008B7ADA">
      <w:pPr>
        <w:pStyle w:val="level2"/>
      </w:pPr>
      <w:r w:rsidRPr="00FA455E">
        <w:t>In parallel with the IPR, the team will gather and analyse available quantitative and qualitative data and information necessary to produce a comprehensive snapshot of the current status of the TVET sector in Tonga that can inform design decisions.  In doing so the team will:</w:t>
      </w:r>
    </w:p>
    <w:p w14:paraId="23B06715" w14:textId="77777777" w:rsidR="008B7ADA" w:rsidRPr="00FA455E" w:rsidRDefault="008B7ADA" w:rsidP="008B7ADA">
      <w:pPr>
        <w:pStyle w:val="ListNumber4"/>
        <w:numPr>
          <w:ilvl w:val="0"/>
          <w:numId w:val="34"/>
        </w:numPr>
      </w:pPr>
      <w:proofErr w:type="gramStart"/>
      <w:r w:rsidRPr="00FA455E">
        <w:t>review</w:t>
      </w:r>
      <w:proofErr w:type="gramEnd"/>
      <w:r w:rsidRPr="00FA455E">
        <w:t xml:space="preserve"> the situational analysis in the </w:t>
      </w:r>
      <w:r>
        <w:t>TSP1</w:t>
      </w:r>
      <w:r w:rsidRPr="00FA455E">
        <w:t xml:space="preserve"> Program Design Document and assess the extent to which the country and </w:t>
      </w:r>
      <w:proofErr w:type="spellStart"/>
      <w:r w:rsidRPr="00FA455E">
        <w:t>sectoral</w:t>
      </w:r>
      <w:proofErr w:type="spellEnd"/>
      <w:r w:rsidRPr="00FA455E">
        <w:t xml:space="preserve"> context has changed since it was prepared, and the scope and nature of those changes;</w:t>
      </w:r>
    </w:p>
    <w:p w14:paraId="416F4DFF" w14:textId="77777777" w:rsidR="008B7ADA" w:rsidRDefault="008B7ADA" w:rsidP="008B7ADA">
      <w:pPr>
        <w:pStyle w:val="ListNumber4"/>
        <w:numPr>
          <w:ilvl w:val="0"/>
          <w:numId w:val="33"/>
        </w:numPr>
      </w:pPr>
      <w:proofErr w:type="gramStart"/>
      <w:r>
        <w:t>consider</w:t>
      </w:r>
      <w:proofErr w:type="gramEnd"/>
      <w:r>
        <w:t xml:space="preserve"> progress towards and the level of national support for a whole-of-sector approach to external support for education and the perceived position of the TVET sub-sector within such an approach; </w:t>
      </w:r>
    </w:p>
    <w:p w14:paraId="66100068" w14:textId="77777777" w:rsidR="008B7ADA" w:rsidRPr="00B91B3E" w:rsidRDefault="008B7ADA" w:rsidP="008B7ADA">
      <w:pPr>
        <w:pStyle w:val="ListNumber4"/>
        <w:numPr>
          <w:ilvl w:val="0"/>
          <w:numId w:val="33"/>
        </w:numPr>
      </w:pPr>
      <w:proofErr w:type="gramStart"/>
      <w:r>
        <w:t>assess</w:t>
      </w:r>
      <w:proofErr w:type="gramEnd"/>
      <w:r w:rsidRPr="00116C1D">
        <w:t xml:space="preserve"> the political, legislative, regulatory, administrative, and operational (including service delivery) implications for ‘training’ and TVET </w:t>
      </w:r>
      <w:r>
        <w:t>arising from the re-structuring  of MOTEYS and the</w:t>
      </w:r>
      <w:r w:rsidRPr="00116C1D">
        <w:t xml:space="preserve"> transfer </w:t>
      </w:r>
      <w:r>
        <w:t xml:space="preserve">of all training function </w:t>
      </w:r>
      <w:r w:rsidRPr="00116C1D">
        <w:t>from MOT</w:t>
      </w:r>
      <w:r>
        <w:t>E</w:t>
      </w:r>
      <w:r w:rsidRPr="00116C1D">
        <w:t xml:space="preserve">YS to the </w:t>
      </w:r>
      <w:r>
        <w:t xml:space="preserve">proposed </w:t>
      </w:r>
      <w:r w:rsidRPr="00116C1D">
        <w:t>Ministry of Education</w:t>
      </w:r>
      <w:r>
        <w:t xml:space="preserve"> and Training;</w:t>
      </w:r>
      <w:r w:rsidRPr="00116C1D">
        <w:t xml:space="preserve">  </w:t>
      </w:r>
    </w:p>
    <w:p w14:paraId="0EEC8EA5" w14:textId="77777777" w:rsidR="008B7ADA" w:rsidRDefault="008B7ADA" w:rsidP="008B7ADA">
      <w:pPr>
        <w:pStyle w:val="ListNumber4"/>
        <w:numPr>
          <w:ilvl w:val="0"/>
          <w:numId w:val="33"/>
        </w:numPr>
      </w:pPr>
      <w:proofErr w:type="gramStart"/>
      <w:r>
        <w:t>assess</w:t>
      </w:r>
      <w:proofErr w:type="gramEnd"/>
      <w:r>
        <w:t xml:space="preserve"> </w:t>
      </w:r>
      <w:r w:rsidRPr="00533B0A">
        <w:t xml:space="preserve">the </w:t>
      </w:r>
      <w:r>
        <w:t xml:space="preserve">size and scope of validated </w:t>
      </w:r>
      <w:r w:rsidRPr="00533B0A">
        <w:t xml:space="preserve">demand for </w:t>
      </w:r>
      <w:r>
        <w:t>development of a skilled and qualified workforce with</w:t>
      </w:r>
      <w:r w:rsidRPr="00533B0A">
        <w:t>in Tonga</w:t>
      </w:r>
      <w:r>
        <w:t>, the sources of that demand;</w:t>
      </w:r>
      <w:r w:rsidRPr="0099247F">
        <w:t xml:space="preserve"> </w:t>
      </w:r>
      <w:r w:rsidRPr="00533B0A">
        <w:t xml:space="preserve">and how </w:t>
      </w:r>
      <w:r>
        <w:t xml:space="preserve">effectively </w:t>
      </w:r>
      <w:r w:rsidRPr="00533B0A">
        <w:t>is it currently being met</w:t>
      </w:r>
      <w:r>
        <w:t>;</w:t>
      </w:r>
    </w:p>
    <w:p w14:paraId="242902E5" w14:textId="77777777" w:rsidR="008B7ADA" w:rsidRPr="004D42C8" w:rsidRDefault="008B7ADA" w:rsidP="008B7ADA">
      <w:pPr>
        <w:pStyle w:val="ListNumber4"/>
        <w:numPr>
          <w:ilvl w:val="0"/>
          <w:numId w:val="33"/>
        </w:numPr>
      </w:pPr>
      <w:proofErr w:type="gramStart"/>
      <w:r>
        <w:t>consider</w:t>
      </w:r>
      <w:proofErr w:type="gramEnd"/>
      <w:r>
        <w:t xml:space="preserve"> the labour mobility and remittance patterns of skilled Tongans in the context of regional and international labour markets</w:t>
      </w:r>
      <w:r w:rsidRPr="00533B0A">
        <w:t>,</w:t>
      </w:r>
      <w:r>
        <w:t xml:space="preserve"> and their implications for technical and higher education provision in Tonga;</w:t>
      </w:r>
    </w:p>
    <w:p w14:paraId="5460D273" w14:textId="77777777" w:rsidR="008B7ADA" w:rsidRDefault="008B7ADA" w:rsidP="008B7ADA">
      <w:pPr>
        <w:pStyle w:val="ListNumber4"/>
        <w:numPr>
          <w:ilvl w:val="0"/>
          <w:numId w:val="33"/>
        </w:numPr>
      </w:pPr>
      <w:r>
        <w:t xml:space="preserve"> </w:t>
      </w:r>
      <w:proofErr w:type="gramStart"/>
      <w:r>
        <w:t>consider</w:t>
      </w:r>
      <w:proofErr w:type="gramEnd"/>
      <w:r>
        <w:t xml:space="preserve"> the implications of AusAID’s proposed Technical and Higher Education Strategy for future support to post-secondary education and training in Tonga;</w:t>
      </w:r>
    </w:p>
    <w:p w14:paraId="217655A7" w14:textId="77777777" w:rsidR="008B7ADA" w:rsidRDefault="008B7ADA" w:rsidP="008B7ADA">
      <w:pPr>
        <w:pStyle w:val="ListNumber4"/>
        <w:numPr>
          <w:ilvl w:val="0"/>
          <w:numId w:val="33"/>
        </w:numPr>
      </w:pPr>
      <w:proofErr w:type="gramStart"/>
      <w:r>
        <w:lastRenderedPageBreak/>
        <w:t>assess</w:t>
      </w:r>
      <w:proofErr w:type="gramEnd"/>
      <w:r>
        <w:t xml:space="preserve"> the current and potential future </w:t>
      </w:r>
      <w:r w:rsidRPr="004D42C8">
        <w:t>role</w:t>
      </w:r>
      <w:r>
        <w:t>s</w:t>
      </w:r>
      <w:r w:rsidRPr="004D42C8">
        <w:t xml:space="preserve"> for the public, private and non-government sector </w:t>
      </w:r>
      <w:r>
        <w:t xml:space="preserve">in </w:t>
      </w:r>
      <w:r w:rsidRPr="004D42C8">
        <w:t xml:space="preserve"> address</w:t>
      </w:r>
      <w:r>
        <w:t xml:space="preserve">ing workforce development </w:t>
      </w:r>
      <w:r w:rsidRPr="004D42C8">
        <w:t>needs in Tonga</w:t>
      </w:r>
      <w:r>
        <w:t>;</w:t>
      </w:r>
    </w:p>
    <w:p w14:paraId="53C0B345" w14:textId="77777777" w:rsidR="008B7ADA" w:rsidRPr="000E0B10" w:rsidRDefault="008B7ADA" w:rsidP="008B7ADA">
      <w:pPr>
        <w:pStyle w:val="ListNumber4"/>
        <w:numPr>
          <w:ilvl w:val="0"/>
          <w:numId w:val="33"/>
        </w:numPr>
      </w:pPr>
      <w:proofErr w:type="gramStart"/>
      <w:r w:rsidRPr="000E0B10">
        <w:t>assess</w:t>
      </w:r>
      <w:proofErr w:type="gramEnd"/>
      <w:r w:rsidRPr="000E0B10">
        <w:t xml:space="preserve"> the Government of Tonga’s strategy and vision for workforce development as currently</w:t>
      </w:r>
      <w:r>
        <w:t xml:space="preserve"> articulated in the Tonga</w:t>
      </w:r>
      <w:r w:rsidRPr="000E0B10">
        <w:t xml:space="preserve"> Strategic </w:t>
      </w:r>
      <w:r>
        <w:t xml:space="preserve">Development </w:t>
      </w:r>
      <w:r w:rsidRPr="000E0B10">
        <w:t>Framework</w:t>
      </w:r>
      <w:r>
        <w:t xml:space="preserve"> (TSDF) 2011-2014.</w:t>
      </w:r>
      <w:r w:rsidRPr="000E0B10">
        <w:t xml:space="preserve"> </w:t>
      </w:r>
    </w:p>
    <w:p w14:paraId="22AA4279" w14:textId="77777777" w:rsidR="008B7ADA" w:rsidRPr="00B62CAB" w:rsidRDefault="008B7ADA" w:rsidP="008B7ADA">
      <w:pPr>
        <w:pStyle w:val="NormalIndent"/>
        <w:ind w:left="567"/>
        <w:rPr>
          <w:rStyle w:val="Strong"/>
          <w:bCs/>
        </w:rPr>
      </w:pPr>
      <w:r w:rsidRPr="00B62CAB">
        <w:rPr>
          <w:rStyle w:val="Strong"/>
          <w:bCs/>
        </w:rPr>
        <w:t>(C) Advice and Recommendations on Re-Design Options</w:t>
      </w:r>
    </w:p>
    <w:p w14:paraId="78C4DEB7" w14:textId="77777777" w:rsidR="008B7ADA" w:rsidRDefault="008B7ADA" w:rsidP="008B7ADA">
      <w:pPr>
        <w:pStyle w:val="level2"/>
      </w:pPr>
      <w:r w:rsidRPr="000C3F92">
        <w:t>Having regard to the IPR findings and the Situational Analysis, the team will provide the Government of Tonga, AusAID and the NZ</w:t>
      </w:r>
      <w:r>
        <w:t xml:space="preserve"> MFAT</w:t>
      </w:r>
      <w:r w:rsidRPr="000C3F92">
        <w:t xml:space="preserve"> with advice and recommendations on the extent to which TSP1 needs to be redesigned to take account of the changed implementation context</w:t>
      </w:r>
      <w:r>
        <w:t>.</w:t>
      </w:r>
    </w:p>
    <w:p w14:paraId="33A10C9D" w14:textId="77777777" w:rsidR="008B7ADA" w:rsidRPr="00F659E5" w:rsidRDefault="008B7ADA" w:rsidP="008B7ADA">
      <w:pPr>
        <w:pStyle w:val="level2"/>
      </w:pPr>
      <w:r w:rsidRPr="00B210E0">
        <w:t xml:space="preserve">Such advice should include </w:t>
      </w:r>
      <w:r w:rsidRPr="00F87603">
        <w:t xml:space="preserve">recommendations on the broad directions envisaged for TVET in Tonga, the </w:t>
      </w:r>
      <w:r w:rsidRPr="00F659E5">
        <w:t>nature and timing of the re-design required and recommendations on the most effective re-design process.  In doing so the team will:</w:t>
      </w:r>
    </w:p>
    <w:p w14:paraId="446DBFDF" w14:textId="77777777" w:rsidR="008B7ADA" w:rsidRPr="008B2AF0" w:rsidRDefault="008B7ADA" w:rsidP="008B7ADA">
      <w:pPr>
        <w:pStyle w:val="ListNumber4"/>
        <w:numPr>
          <w:ilvl w:val="0"/>
          <w:numId w:val="35"/>
        </w:numPr>
      </w:pPr>
      <w:proofErr w:type="gramStart"/>
      <w:r w:rsidRPr="008B2AF0">
        <w:t>ensure</w:t>
      </w:r>
      <w:proofErr w:type="gramEnd"/>
      <w:r w:rsidRPr="008B2AF0">
        <w:t xml:space="preserve"> that the benefits from TSP1 to date are sustained in any re-design and in any transition from MOTEYS to the new Ministry of Education and Training;</w:t>
      </w:r>
    </w:p>
    <w:p w14:paraId="4166A9E0" w14:textId="77777777" w:rsidR="008B7ADA" w:rsidRPr="008B2AF0" w:rsidRDefault="008B7ADA" w:rsidP="008B7ADA">
      <w:pPr>
        <w:pStyle w:val="ListNumber4"/>
        <w:numPr>
          <w:ilvl w:val="0"/>
          <w:numId w:val="33"/>
        </w:numPr>
      </w:pPr>
      <w:proofErr w:type="gramStart"/>
      <w:r w:rsidRPr="008B2AF0">
        <w:t>consider</w:t>
      </w:r>
      <w:proofErr w:type="gramEnd"/>
      <w:r w:rsidRPr="008B2AF0">
        <w:t xml:space="preserve"> the Ministry of Education and Training’s strategy and vision for the TVET sub-sector and the implications of this for a re-design of </w:t>
      </w:r>
      <w:r>
        <w:t>TSP1;</w:t>
      </w:r>
    </w:p>
    <w:p w14:paraId="1A8FC461" w14:textId="77777777" w:rsidR="008B7ADA" w:rsidRPr="001C34F0" w:rsidRDefault="008B7ADA" w:rsidP="008B7ADA">
      <w:pPr>
        <w:pStyle w:val="ListNumber4"/>
        <w:numPr>
          <w:ilvl w:val="0"/>
          <w:numId w:val="33"/>
        </w:numPr>
      </w:pPr>
      <w:proofErr w:type="gramStart"/>
      <w:r w:rsidRPr="001C34F0">
        <w:t>assess</w:t>
      </w:r>
      <w:proofErr w:type="gramEnd"/>
      <w:r w:rsidRPr="001C34F0">
        <w:t xml:space="preserve"> the merits of moving more purposefully towards a whole-of-sector approach to education in Tonga and the associated policy and implementation challenges; </w:t>
      </w:r>
      <w:r>
        <w:t xml:space="preserve">and </w:t>
      </w:r>
      <w:r w:rsidRPr="001C34F0">
        <w:t xml:space="preserve">consider the commitment and capacity of the restructured Ministry of Education and Training to integrate the management and implementation of </w:t>
      </w:r>
      <w:r>
        <w:t>TSP1</w:t>
      </w:r>
      <w:r w:rsidRPr="001C34F0">
        <w:t xml:space="preserve"> within its operations</w:t>
      </w:r>
      <w:r>
        <w:t>.</w:t>
      </w:r>
    </w:p>
    <w:p w14:paraId="186D7417" w14:textId="77777777" w:rsidR="008B7ADA" w:rsidRDefault="008B7ADA" w:rsidP="008B7ADA">
      <w:pPr>
        <w:pStyle w:val="level2"/>
      </w:pPr>
      <w:r>
        <w:t>In undertaking the three discrete but inter-related tasks outlined above, the IPR and Re-Design team will:</w:t>
      </w:r>
    </w:p>
    <w:p w14:paraId="3A0B4855" w14:textId="77777777" w:rsidR="008B7ADA" w:rsidRPr="00C436FC" w:rsidRDefault="008B7ADA" w:rsidP="008B7ADA">
      <w:pPr>
        <w:pStyle w:val="ListNumber4"/>
        <w:numPr>
          <w:ilvl w:val="0"/>
          <w:numId w:val="36"/>
        </w:numPr>
      </w:pPr>
      <w:r w:rsidRPr="00C436FC">
        <w:t xml:space="preserve">Develop an </w:t>
      </w:r>
      <w:r>
        <w:t xml:space="preserve">IPR </w:t>
      </w:r>
      <w:r w:rsidRPr="00C436FC">
        <w:t>Evaluation Plan for AusAID approval.  The Plan will:</w:t>
      </w:r>
    </w:p>
    <w:p w14:paraId="5DE2C4A3" w14:textId="77777777" w:rsidR="008B7ADA" w:rsidRDefault="008B7ADA" w:rsidP="008B7ADA">
      <w:pPr>
        <w:pStyle w:val="ListNumber5"/>
      </w:pPr>
      <w:proofErr w:type="gramStart"/>
      <w:r w:rsidRPr="00662FEC">
        <w:t>be</w:t>
      </w:r>
      <w:proofErr w:type="gramEnd"/>
      <w:r w:rsidRPr="00662FEC">
        <w:t xml:space="preserve"> in accordance with the </w:t>
      </w:r>
      <w:proofErr w:type="spellStart"/>
      <w:r w:rsidRPr="00662FEC">
        <w:t>ToRs</w:t>
      </w:r>
      <w:proofErr w:type="spellEnd"/>
      <w:r w:rsidRPr="00662FEC">
        <w:t>;</w:t>
      </w:r>
    </w:p>
    <w:p w14:paraId="5F9E804C" w14:textId="77777777" w:rsidR="008B7ADA" w:rsidRDefault="008B7ADA" w:rsidP="008B7ADA">
      <w:pPr>
        <w:pStyle w:val="ListNumber5"/>
      </w:pPr>
      <w:proofErr w:type="gramStart"/>
      <w:r w:rsidRPr="00662FEC">
        <w:t>specify</w:t>
      </w:r>
      <w:proofErr w:type="gramEnd"/>
      <w:r w:rsidRPr="00662FEC">
        <w:t xml:space="preserve"> the evaluation and design approach;</w:t>
      </w:r>
    </w:p>
    <w:p w14:paraId="5EACD0B4" w14:textId="77777777" w:rsidR="008B7ADA" w:rsidRDefault="008B7ADA" w:rsidP="008B7ADA">
      <w:pPr>
        <w:pStyle w:val="ListNumber5"/>
      </w:pPr>
      <w:proofErr w:type="gramStart"/>
      <w:r w:rsidRPr="00662FEC">
        <w:t>detail</w:t>
      </w:r>
      <w:proofErr w:type="gramEnd"/>
      <w:r w:rsidRPr="00662FEC">
        <w:t xml:space="preserve"> the proposed evaluation and design questions and audience;</w:t>
      </w:r>
    </w:p>
    <w:p w14:paraId="26CF7537" w14:textId="77777777" w:rsidR="008B7ADA" w:rsidRDefault="008B7ADA" w:rsidP="008B7ADA">
      <w:pPr>
        <w:pStyle w:val="ListNumber5"/>
      </w:pPr>
      <w:proofErr w:type="gramStart"/>
      <w:r w:rsidRPr="00662FEC">
        <w:t>specify</w:t>
      </w:r>
      <w:proofErr w:type="gramEnd"/>
      <w:r w:rsidRPr="00662FEC">
        <w:t xml:space="preserve"> team member roles and responsibilities.</w:t>
      </w:r>
    </w:p>
    <w:p w14:paraId="7FD08110" w14:textId="77777777" w:rsidR="008B7ADA" w:rsidRPr="00896513" w:rsidRDefault="008B7ADA" w:rsidP="008B7ADA">
      <w:pPr>
        <w:pStyle w:val="ListNumber4"/>
        <w:numPr>
          <w:ilvl w:val="0"/>
          <w:numId w:val="33"/>
        </w:numPr>
      </w:pPr>
      <w:r w:rsidRPr="00896513">
        <w:t xml:space="preserve">Undertake a desk study of all </w:t>
      </w:r>
      <w:r>
        <w:t xml:space="preserve">the </w:t>
      </w:r>
      <w:r w:rsidRPr="00896513">
        <w:t xml:space="preserve">documents listed </w:t>
      </w:r>
      <w:r>
        <w:t>at</w:t>
      </w:r>
      <w:r w:rsidRPr="00896513">
        <w:t xml:space="preserve"> </w:t>
      </w:r>
      <w:r>
        <w:t>Attachment A o</w:t>
      </w:r>
      <w:r w:rsidRPr="00896513">
        <w:t xml:space="preserve">f these </w:t>
      </w:r>
      <w:proofErr w:type="spellStart"/>
      <w:r w:rsidRPr="00896513">
        <w:t>ToRs</w:t>
      </w:r>
      <w:proofErr w:type="spellEnd"/>
      <w:r>
        <w:t xml:space="preserve"> and other relevant documents identified by the team or stakeholders</w:t>
      </w:r>
      <w:r w:rsidRPr="00896513">
        <w:t>.</w:t>
      </w:r>
    </w:p>
    <w:p w14:paraId="7CF44AF4" w14:textId="77777777" w:rsidR="008B7ADA" w:rsidRPr="007B4359" w:rsidRDefault="008B7ADA" w:rsidP="008B7ADA">
      <w:pPr>
        <w:pStyle w:val="ListNumber4"/>
        <w:numPr>
          <w:ilvl w:val="0"/>
          <w:numId w:val="33"/>
        </w:numPr>
      </w:pPr>
      <w:r>
        <w:t xml:space="preserve">Conduct consultations with stakeholders as identified in Attachment B, and in the course of the mission facilitate workshops and briefing/debriefing sessions with key stakeholders, as appropriate. </w:t>
      </w:r>
    </w:p>
    <w:p w14:paraId="42EC747E" w14:textId="77777777" w:rsidR="008B7ADA" w:rsidRPr="00FA455E" w:rsidRDefault="008B7ADA" w:rsidP="008B7ADA">
      <w:pPr>
        <w:outlineLvl w:val="2"/>
      </w:pPr>
      <w:r w:rsidRPr="00FA455E">
        <w:t>Phase 2:</w:t>
      </w:r>
    </w:p>
    <w:p w14:paraId="043DD760" w14:textId="77777777" w:rsidR="008B7ADA" w:rsidRPr="00E26EE9" w:rsidRDefault="008B7ADA" w:rsidP="008B7ADA">
      <w:pPr>
        <w:pStyle w:val="level2"/>
      </w:pPr>
      <w:r>
        <w:lastRenderedPageBreak/>
        <w:t>When the Government of Tonga, AusAID and NZ MFAT have considered the outcomes of Phase 1 of the mission as outlined above, and if agreement is reached between them to proceed to a re-design of a program of support to workforce development in Tonga and on a re-design process, the team will undertake a second in-country mission to give effect to these agreements.</w:t>
      </w:r>
    </w:p>
    <w:p w14:paraId="537C29EF" w14:textId="77777777" w:rsidR="008B7ADA" w:rsidRPr="00B62CAB" w:rsidRDefault="008B7ADA" w:rsidP="008B7ADA">
      <w:pPr>
        <w:pStyle w:val="NormalIndent"/>
        <w:ind w:left="567"/>
        <w:rPr>
          <w:rStyle w:val="Strong"/>
          <w:bCs/>
        </w:rPr>
      </w:pPr>
      <w:r w:rsidRPr="00B62CAB">
        <w:rPr>
          <w:rStyle w:val="Strong"/>
          <w:bCs/>
        </w:rPr>
        <w:t>(D) Design Document</w:t>
      </w:r>
    </w:p>
    <w:p w14:paraId="5D61882B" w14:textId="77777777" w:rsidR="008B7ADA" w:rsidRDefault="008B7ADA" w:rsidP="008B7ADA">
      <w:pPr>
        <w:pStyle w:val="level2"/>
      </w:pPr>
      <w:r>
        <w:t xml:space="preserve">The team will produce a draft and then a final design document consistent with a supplementary Terms of Reference developed by </w:t>
      </w:r>
      <w:proofErr w:type="gramStart"/>
      <w:r>
        <w:t>AusAID which will reflect the agreements between</w:t>
      </w:r>
      <w:proofErr w:type="gramEnd"/>
      <w:r>
        <w:t xml:space="preserve"> and requirements of the development partners.  This design document will support the development priorities of the Governments of Tonga, Australia and New Zealand.  </w:t>
      </w:r>
    </w:p>
    <w:p w14:paraId="01B1CB5E" w14:textId="77777777" w:rsidR="008B7ADA" w:rsidRDefault="008B7ADA" w:rsidP="008B7ADA">
      <w:pPr>
        <w:pStyle w:val="level2"/>
      </w:pPr>
      <w:r>
        <w:t>The Design Document must meet AusAID quality requirements and conform to AusAID documentary standards.  AusAID’s ‘Design Team Kit’ should serve as guidance.</w:t>
      </w:r>
    </w:p>
    <w:p w14:paraId="1CD37E49" w14:textId="77777777" w:rsidR="008B7ADA" w:rsidRDefault="008B7ADA" w:rsidP="008B7ADA">
      <w:pPr>
        <w:pStyle w:val="level2"/>
      </w:pPr>
      <w:r>
        <w:t>In addition to the t</w:t>
      </w:r>
      <w:r w:rsidRPr="00C54210">
        <w:t>ypical structure and content of a Design Document</w:t>
      </w:r>
      <w:r>
        <w:t>, the Design Document will also include a detailed</w:t>
      </w:r>
      <w:r w:rsidRPr="00C54210">
        <w:t xml:space="preserve"> transition strategy and phased implementation roadmap that consolidates the gains made under TSP1 and helps ensure a smooth transition from TSP1 to the next phase of support to </w:t>
      </w:r>
      <w:r>
        <w:t xml:space="preserve">workforce development </w:t>
      </w:r>
      <w:r w:rsidRPr="00C54210">
        <w:t>in Tonga.</w:t>
      </w:r>
    </w:p>
    <w:p w14:paraId="78A085A5" w14:textId="77777777" w:rsidR="008B7ADA" w:rsidRPr="00824FE9" w:rsidRDefault="008B7ADA" w:rsidP="008B7ADA">
      <w:pPr>
        <w:pStyle w:val="level1"/>
        <w:tabs>
          <w:tab w:val="clear" w:pos="643"/>
        </w:tabs>
      </w:pPr>
      <w:bookmarkStart w:id="39" w:name="_Toc203996806"/>
      <w:proofErr w:type="gramStart"/>
      <w:r w:rsidRPr="00824FE9">
        <w:t>Composition  of</w:t>
      </w:r>
      <w:proofErr w:type="gramEnd"/>
      <w:r w:rsidRPr="00824FE9">
        <w:t xml:space="preserve"> the IPR and Re-Design Team</w:t>
      </w:r>
      <w:bookmarkEnd w:id="39"/>
    </w:p>
    <w:p w14:paraId="4133F497" w14:textId="77777777" w:rsidR="008B7ADA" w:rsidRPr="008B2AF0" w:rsidRDefault="008B7ADA" w:rsidP="008B7ADA">
      <w:pPr>
        <w:pStyle w:val="level2"/>
      </w:pPr>
      <w:r w:rsidRPr="008B2AF0">
        <w:t xml:space="preserve">The IPR and Re-Design Team will consist of four to five members </w:t>
      </w:r>
      <w:r w:rsidRPr="00E82622">
        <w:rPr>
          <w:rStyle w:val="Strong"/>
        </w:rPr>
        <w:t xml:space="preserve">independent of TSP1 implementation </w:t>
      </w:r>
      <w:r w:rsidRPr="008B2AF0">
        <w:t xml:space="preserve">comprising:  </w:t>
      </w:r>
    </w:p>
    <w:p w14:paraId="013B2332" w14:textId="77777777" w:rsidR="008B7ADA" w:rsidRPr="008B2AF0" w:rsidRDefault="008B7ADA" w:rsidP="008B7ADA">
      <w:pPr>
        <w:pStyle w:val="ListNumber4"/>
        <w:numPr>
          <w:ilvl w:val="0"/>
          <w:numId w:val="37"/>
        </w:numPr>
      </w:pPr>
      <w:r w:rsidRPr="008B2AF0">
        <w:t xml:space="preserve">Team Leader (with monitoring and evaluation and design expertise); </w:t>
      </w:r>
    </w:p>
    <w:p w14:paraId="54C1DC93" w14:textId="77777777" w:rsidR="008B7ADA" w:rsidRPr="008B2AF0" w:rsidRDefault="008B7ADA" w:rsidP="008B7ADA">
      <w:pPr>
        <w:pStyle w:val="ListNumber4"/>
        <w:numPr>
          <w:ilvl w:val="0"/>
          <w:numId w:val="33"/>
        </w:numPr>
      </w:pPr>
      <w:r w:rsidRPr="008B2AF0">
        <w:t xml:space="preserve">TVET specialist; </w:t>
      </w:r>
    </w:p>
    <w:p w14:paraId="2C37E213" w14:textId="77777777" w:rsidR="008B7ADA" w:rsidRDefault="008B7ADA" w:rsidP="008B7ADA">
      <w:pPr>
        <w:pStyle w:val="ListNumber4"/>
        <w:numPr>
          <w:ilvl w:val="0"/>
          <w:numId w:val="33"/>
        </w:numPr>
      </w:pPr>
      <w:r w:rsidRPr="008B2AF0">
        <w:t>Government of Tonga nominee</w:t>
      </w:r>
      <w:r>
        <w:t>;</w:t>
      </w:r>
    </w:p>
    <w:p w14:paraId="76E8BCB4" w14:textId="77777777" w:rsidR="008B7ADA" w:rsidRDefault="008B7ADA" w:rsidP="008B7ADA">
      <w:pPr>
        <w:pStyle w:val="ListNumber4"/>
        <w:numPr>
          <w:ilvl w:val="0"/>
          <w:numId w:val="33"/>
        </w:numPr>
      </w:pPr>
      <w:r>
        <w:t xml:space="preserve">A nominee of the Tongan Chamber of Commerce and Industry </w:t>
      </w:r>
    </w:p>
    <w:p w14:paraId="599C425F" w14:textId="77777777" w:rsidR="008B7ADA" w:rsidRPr="00653E3E" w:rsidRDefault="008B7ADA" w:rsidP="008B7ADA">
      <w:pPr>
        <w:pStyle w:val="level2"/>
      </w:pPr>
      <w:r>
        <w:t xml:space="preserve">A representative of AusAID Nuku’alofa and the New Zealand High Commission who will accompany the team for some of its consultations and contribute to team deliberations.  </w:t>
      </w:r>
    </w:p>
    <w:p w14:paraId="5AAB0F73" w14:textId="77777777" w:rsidR="008B7ADA" w:rsidRPr="008B2AF0" w:rsidRDefault="008B7ADA" w:rsidP="008B7ADA">
      <w:pPr>
        <w:pStyle w:val="level2"/>
      </w:pPr>
      <w:r w:rsidRPr="008B2AF0">
        <w:t xml:space="preserve">Skill set required </w:t>
      </w:r>
      <w:r>
        <w:t>within</w:t>
      </w:r>
      <w:r w:rsidRPr="008B2AF0">
        <w:t xml:space="preserve"> the team: </w:t>
      </w:r>
    </w:p>
    <w:p w14:paraId="6F7C9FEB" w14:textId="77777777" w:rsidR="008B7ADA" w:rsidRDefault="008B7ADA" w:rsidP="008B7ADA">
      <w:pPr>
        <w:pStyle w:val="ListNumber4"/>
        <w:numPr>
          <w:ilvl w:val="0"/>
          <w:numId w:val="38"/>
        </w:numPr>
      </w:pPr>
      <w:r w:rsidRPr="008B2AF0">
        <w:t xml:space="preserve">Good understanding of the </w:t>
      </w:r>
      <w:r>
        <w:t>labour market in Tonga;</w:t>
      </w:r>
    </w:p>
    <w:p w14:paraId="1B0FDEDA" w14:textId="77777777" w:rsidR="008B7ADA" w:rsidRPr="008B2AF0" w:rsidRDefault="008B7ADA" w:rsidP="008B7ADA">
      <w:pPr>
        <w:pStyle w:val="ListNumber4"/>
        <w:numPr>
          <w:ilvl w:val="0"/>
          <w:numId w:val="38"/>
        </w:numPr>
      </w:pPr>
      <w:r w:rsidRPr="008B2AF0">
        <w:t>Experience in program planning,</w:t>
      </w:r>
      <w:r>
        <w:t xml:space="preserve"> design and</w:t>
      </w:r>
      <w:r w:rsidRPr="008B2AF0">
        <w:t xml:space="preserve"> monitoring and evaluation; </w:t>
      </w:r>
    </w:p>
    <w:p w14:paraId="4AE51B00" w14:textId="77777777" w:rsidR="008B7ADA" w:rsidRPr="008B2AF0" w:rsidRDefault="008B7ADA" w:rsidP="008B7ADA">
      <w:pPr>
        <w:pStyle w:val="ListNumber4"/>
        <w:numPr>
          <w:ilvl w:val="0"/>
          <w:numId w:val="33"/>
        </w:numPr>
      </w:pPr>
      <w:r w:rsidRPr="008B2AF0">
        <w:t>Technical expertise in TVET</w:t>
      </w:r>
      <w:r>
        <w:t xml:space="preserve"> and</w:t>
      </w:r>
      <w:r w:rsidRPr="008B2AF0">
        <w:t xml:space="preserve"> labour market analysis</w:t>
      </w:r>
      <w:r>
        <w:t>;</w:t>
      </w:r>
    </w:p>
    <w:p w14:paraId="5249A59E" w14:textId="77777777" w:rsidR="008B7ADA" w:rsidRPr="008B2AF0" w:rsidRDefault="008B7ADA" w:rsidP="008B7ADA">
      <w:pPr>
        <w:pStyle w:val="ListNumber4"/>
        <w:numPr>
          <w:ilvl w:val="0"/>
          <w:numId w:val="33"/>
        </w:numPr>
      </w:pPr>
      <w:r w:rsidRPr="008B2AF0">
        <w:t xml:space="preserve">Knowledge of Government of Tonga policies and of the Tongan civil service; </w:t>
      </w:r>
    </w:p>
    <w:p w14:paraId="6E637756" w14:textId="77777777" w:rsidR="008B7ADA" w:rsidRPr="008B2AF0" w:rsidRDefault="008B7ADA" w:rsidP="008B7ADA">
      <w:pPr>
        <w:pStyle w:val="ListNumber4"/>
        <w:numPr>
          <w:ilvl w:val="0"/>
          <w:numId w:val="33"/>
        </w:numPr>
      </w:pPr>
      <w:r w:rsidRPr="008B2AF0">
        <w:lastRenderedPageBreak/>
        <w:t xml:space="preserve">Knowledge of the Australian </w:t>
      </w:r>
      <w:r>
        <w:t xml:space="preserve">and New Zealand </w:t>
      </w:r>
      <w:r w:rsidRPr="008B2AF0">
        <w:t>aid program</w:t>
      </w:r>
      <w:r>
        <w:t>s</w:t>
      </w:r>
      <w:r w:rsidRPr="008B2AF0">
        <w:t xml:space="preserve"> and experience in aid program development, planning, monitoring and evaluation; </w:t>
      </w:r>
    </w:p>
    <w:p w14:paraId="78E60F61" w14:textId="77777777" w:rsidR="008B7ADA" w:rsidRPr="008B2AF0" w:rsidRDefault="008B7ADA" w:rsidP="008B7ADA">
      <w:pPr>
        <w:pStyle w:val="ListNumber4"/>
        <w:numPr>
          <w:ilvl w:val="0"/>
          <w:numId w:val="33"/>
        </w:numPr>
      </w:pPr>
      <w:r>
        <w:t xml:space="preserve">Good understanding of the </w:t>
      </w:r>
      <w:r w:rsidRPr="008B2AF0">
        <w:t xml:space="preserve">role of the private </w:t>
      </w:r>
      <w:r>
        <w:t xml:space="preserve">and non-government </w:t>
      </w:r>
      <w:r w:rsidRPr="008B2AF0">
        <w:t xml:space="preserve">sector in workforce development; </w:t>
      </w:r>
    </w:p>
    <w:p w14:paraId="2CE9073B" w14:textId="77777777" w:rsidR="008B7ADA" w:rsidRPr="00F540AC" w:rsidRDefault="008B7ADA" w:rsidP="008B7ADA">
      <w:pPr>
        <w:pStyle w:val="ListNumber4"/>
        <w:numPr>
          <w:ilvl w:val="0"/>
          <w:numId w:val="33"/>
        </w:numPr>
      </w:pPr>
      <w:r w:rsidRPr="00F540AC">
        <w:t>Excellent interpersonal and communication skills, including a proven ability to liaise and communicate effectively with Tongans (</w:t>
      </w:r>
      <w:r>
        <w:t xml:space="preserve">including </w:t>
      </w:r>
      <w:proofErr w:type="spellStart"/>
      <w:r>
        <w:t>GoT</w:t>
      </w:r>
      <w:proofErr w:type="spellEnd"/>
      <w:r>
        <w:t xml:space="preserve"> officials)</w:t>
      </w:r>
      <w:r w:rsidRPr="00F540AC">
        <w:t xml:space="preserve">; </w:t>
      </w:r>
    </w:p>
    <w:p w14:paraId="02C73A2E" w14:textId="77777777" w:rsidR="008B7ADA" w:rsidRPr="008B2AF0" w:rsidRDefault="008B7ADA" w:rsidP="008B7ADA">
      <w:pPr>
        <w:pStyle w:val="ListNumber4"/>
        <w:numPr>
          <w:ilvl w:val="0"/>
          <w:numId w:val="33"/>
        </w:numPr>
      </w:pPr>
      <w:r w:rsidRPr="008B2AF0">
        <w:t>Demonstrated analytical skills.</w:t>
      </w:r>
    </w:p>
    <w:p w14:paraId="300F9EB9" w14:textId="77777777" w:rsidR="008B7ADA" w:rsidRPr="008B2AF0" w:rsidRDefault="008B7ADA" w:rsidP="008B7ADA">
      <w:pPr>
        <w:pStyle w:val="ListNumber4"/>
        <w:numPr>
          <w:ilvl w:val="0"/>
          <w:numId w:val="33"/>
        </w:numPr>
      </w:pPr>
      <w:r w:rsidRPr="008B2AF0">
        <w:t xml:space="preserve">Ability to provide timely delivery of high-quality written reports; </w:t>
      </w:r>
    </w:p>
    <w:p w14:paraId="6248F8E6" w14:textId="77777777" w:rsidR="008B7ADA" w:rsidRDefault="008B7ADA" w:rsidP="008B7ADA">
      <w:pPr>
        <w:pStyle w:val="level1"/>
        <w:tabs>
          <w:tab w:val="clear" w:pos="643"/>
        </w:tabs>
      </w:pPr>
      <w:bookmarkStart w:id="40" w:name="_Toc203996807"/>
      <w:r>
        <w:t>Roles and Responsibilities of the team</w:t>
      </w:r>
      <w:bookmarkEnd w:id="40"/>
      <w:r>
        <w:t xml:space="preserve"> </w:t>
      </w:r>
    </w:p>
    <w:p w14:paraId="24816A4B" w14:textId="77777777" w:rsidR="008B7ADA" w:rsidRDefault="008B7ADA" w:rsidP="008B7ADA">
      <w:pPr>
        <w:pStyle w:val="level2"/>
      </w:pPr>
      <w:r>
        <w:t xml:space="preserve">The Team Leader will: </w:t>
      </w:r>
    </w:p>
    <w:p w14:paraId="13D797D0" w14:textId="77777777" w:rsidR="008B7ADA" w:rsidRPr="00F540AC" w:rsidRDefault="008B7ADA" w:rsidP="008B7ADA">
      <w:pPr>
        <w:pStyle w:val="ListNumber4"/>
        <w:numPr>
          <w:ilvl w:val="0"/>
          <w:numId w:val="39"/>
        </w:numPr>
      </w:pPr>
      <w:proofErr w:type="gramStart"/>
      <w:r w:rsidRPr="00F540AC">
        <w:t>plan</w:t>
      </w:r>
      <w:proofErr w:type="gramEnd"/>
      <w:r w:rsidRPr="00F540AC">
        <w:t xml:space="preserve">, guide and develop the overall approach and methodology for the evaluation;  </w:t>
      </w:r>
    </w:p>
    <w:p w14:paraId="50E7D4DD" w14:textId="77777777" w:rsidR="008B7ADA" w:rsidRPr="00F540AC" w:rsidRDefault="008B7ADA" w:rsidP="008B7ADA">
      <w:pPr>
        <w:pStyle w:val="ListNumber4"/>
        <w:numPr>
          <w:ilvl w:val="0"/>
          <w:numId w:val="33"/>
        </w:numPr>
      </w:pPr>
      <w:proofErr w:type="gramStart"/>
      <w:r w:rsidRPr="00F540AC">
        <w:t>be</w:t>
      </w:r>
      <w:proofErr w:type="gramEnd"/>
      <w:r w:rsidRPr="00F540AC">
        <w:t xml:space="preserve"> responsible for managing and directing the evaluation’s activities, representing the evaluation team and leading consultations with government officials and other donor agencies; and </w:t>
      </w:r>
    </w:p>
    <w:p w14:paraId="68DDF501" w14:textId="77777777" w:rsidR="008B7ADA" w:rsidRPr="00C65F2F" w:rsidRDefault="008B7ADA" w:rsidP="008B7ADA">
      <w:pPr>
        <w:pStyle w:val="ListNumber4"/>
        <w:numPr>
          <w:ilvl w:val="0"/>
          <w:numId w:val="33"/>
        </w:numPr>
      </w:pPr>
      <w:proofErr w:type="gramStart"/>
      <w:r w:rsidRPr="00F540AC">
        <w:t>be</w:t>
      </w:r>
      <w:proofErr w:type="gramEnd"/>
      <w:r w:rsidRPr="00F540AC">
        <w:t xml:space="preserve"> primarily responsible for the reporting outputs including managing, compiling and editing inputs from other team members to ensure the quality of outputs. </w:t>
      </w:r>
    </w:p>
    <w:p w14:paraId="260D1596" w14:textId="77777777" w:rsidR="008B7ADA" w:rsidRPr="00C65F2F" w:rsidRDefault="008B7ADA" w:rsidP="008B7ADA">
      <w:pPr>
        <w:pStyle w:val="level2"/>
      </w:pPr>
      <w:r w:rsidRPr="00C65F2F">
        <w:t>The TVET specialist, under the direction of the Team Leader will:</w:t>
      </w:r>
    </w:p>
    <w:p w14:paraId="5F01D662" w14:textId="77777777" w:rsidR="008B7ADA" w:rsidRDefault="008B7ADA" w:rsidP="008B7ADA">
      <w:pPr>
        <w:pStyle w:val="ListNumber4"/>
        <w:numPr>
          <w:ilvl w:val="0"/>
          <w:numId w:val="40"/>
        </w:numPr>
      </w:pPr>
      <w:proofErr w:type="gramStart"/>
      <w:r>
        <w:t>provide</w:t>
      </w:r>
      <w:proofErr w:type="gramEnd"/>
      <w:r>
        <w:t xml:space="preserve"> specialist advice to the team on good practice workforce development in an international development context; and </w:t>
      </w:r>
    </w:p>
    <w:p w14:paraId="648A64F6" w14:textId="77777777" w:rsidR="008B7ADA" w:rsidRDefault="008B7ADA" w:rsidP="008B7ADA">
      <w:pPr>
        <w:pStyle w:val="ListNumber4"/>
        <w:numPr>
          <w:ilvl w:val="0"/>
          <w:numId w:val="40"/>
        </w:numPr>
      </w:pPr>
      <w:proofErr w:type="gramStart"/>
      <w:r>
        <w:t>provide</w:t>
      </w:r>
      <w:proofErr w:type="gramEnd"/>
      <w:r>
        <w:t xml:space="preserve"> specialist advice to the team on the Tongan labour market and the implications for national workforce development strategies, </w:t>
      </w:r>
    </w:p>
    <w:p w14:paraId="2C5018C5" w14:textId="77777777" w:rsidR="008B7ADA" w:rsidRPr="00EB0928" w:rsidRDefault="008B7ADA" w:rsidP="008B7ADA">
      <w:pPr>
        <w:pStyle w:val="level2"/>
      </w:pPr>
      <w:r w:rsidRPr="00EB0928">
        <w:t>Other team members will:</w:t>
      </w:r>
    </w:p>
    <w:p w14:paraId="17D30A85" w14:textId="77777777" w:rsidR="008B7ADA" w:rsidRDefault="008B7ADA" w:rsidP="008B7ADA">
      <w:pPr>
        <w:pStyle w:val="ListNumber4"/>
        <w:numPr>
          <w:ilvl w:val="0"/>
          <w:numId w:val="41"/>
        </w:numPr>
      </w:pPr>
      <w:proofErr w:type="gramStart"/>
      <w:r>
        <w:t>work</w:t>
      </w:r>
      <w:proofErr w:type="gramEnd"/>
      <w:r>
        <w:t xml:space="preserve"> under the overall direction of the Team Leader</w:t>
      </w:r>
    </w:p>
    <w:p w14:paraId="164758B3" w14:textId="77777777" w:rsidR="008B7ADA" w:rsidRPr="00EB0928" w:rsidRDefault="008B7ADA" w:rsidP="008B7ADA">
      <w:pPr>
        <w:pStyle w:val="ListNumber4"/>
        <w:numPr>
          <w:ilvl w:val="0"/>
          <w:numId w:val="33"/>
        </w:numPr>
      </w:pPr>
      <w:proofErr w:type="gramStart"/>
      <w:r w:rsidRPr="00EB0928">
        <w:t>provide</w:t>
      </w:r>
      <w:proofErr w:type="gramEnd"/>
      <w:r w:rsidRPr="00EB0928">
        <w:t xml:space="preserve"> advice, relevant documentation from the G</w:t>
      </w:r>
      <w:r>
        <w:t>overnment of Tonga</w:t>
      </w:r>
      <w:r w:rsidRPr="00EB0928">
        <w:t>, and an understanding of Government of Tonga</w:t>
      </w:r>
      <w:r>
        <w:t xml:space="preserve"> </w:t>
      </w:r>
      <w:r w:rsidRPr="00EB0928">
        <w:t xml:space="preserve">processes; and </w:t>
      </w:r>
    </w:p>
    <w:p w14:paraId="4A229056" w14:textId="77777777" w:rsidR="008B7ADA" w:rsidRPr="00EB0928" w:rsidRDefault="008B7ADA" w:rsidP="008B7ADA">
      <w:pPr>
        <w:pStyle w:val="ListNumber4"/>
        <w:numPr>
          <w:ilvl w:val="0"/>
          <w:numId w:val="33"/>
        </w:numPr>
      </w:pPr>
      <w:proofErr w:type="gramStart"/>
      <w:r w:rsidRPr="00EB0928">
        <w:t>contribute</w:t>
      </w:r>
      <w:proofErr w:type="gramEnd"/>
      <w:r w:rsidRPr="00EB0928">
        <w:t xml:space="preserve"> to the required dialogue</w:t>
      </w:r>
      <w:r>
        <w:t xml:space="preserve">, </w:t>
      </w:r>
      <w:r w:rsidRPr="00EB0928">
        <w:t>analysis</w:t>
      </w:r>
      <w:r>
        <w:t xml:space="preserve"> and written outputs as agreed with the Team Leader</w:t>
      </w:r>
      <w:r w:rsidRPr="00EB0928">
        <w:t xml:space="preserve">.  </w:t>
      </w:r>
    </w:p>
    <w:p w14:paraId="2B080DC2" w14:textId="77777777" w:rsidR="008B7ADA" w:rsidRDefault="008B7ADA" w:rsidP="008B7ADA">
      <w:pPr>
        <w:pStyle w:val="level1"/>
        <w:tabs>
          <w:tab w:val="clear" w:pos="643"/>
        </w:tabs>
      </w:pPr>
      <w:bookmarkStart w:id="41" w:name="_Toc203996808"/>
      <w:r>
        <w:t>Outputs and reporting requirements</w:t>
      </w:r>
      <w:bookmarkEnd w:id="41"/>
    </w:p>
    <w:p w14:paraId="6F048F22" w14:textId="77777777" w:rsidR="008B7ADA" w:rsidRDefault="008B7ADA" w:rsidP="008B7ADA">
      <w:pPr>
        <w:pStyle w:val="level2"/>
      </w:pPr>
      <w:r>
        <w:t xml:space="preserve">The following reports are to be provided: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1972"/>
        <w:gridCol w:w="2114"/>
        <w:gridCol w:w="1317"/>
        <w:gridCol w:w="1600"/>
      </w:tblGrid>
      <w:tr w:rsidR="008B7ADA" w:rsidRPr="00A11B80" w14:paraId="75F17E2C" w14:textId="77777777" w:rsidTr="008B7ADA">
        <w:trPr>
          <w:tblHeader/>
          <w:jc w:val="center"/>
        </w:trPr>
        <w:tc>
          <w:tcPr>
            <w:tcW w:w="0" w:type="auto"/>
          </w:tcPr>
          <w:p w14:paraId="1CF40C61" w14:textId="77777777" w:rsidR="008B7ADA" w:rsidRPr="00ED2E30" w:rsidRDefault="008B7ADA" w:rsidP="008B7ADA">
            <w:pPr>
              <w:pStyle w:val="Tabletext"/>
              <w:rPr>
                <w:rStyle w:val="Strong"/>
                <w:bCs/>
                <w:sz w:val="20"/>
                <w:szCs w:val="22"/>
              </w:rPr>
            </w:pPr>
            <w:r w:rsidRPr="00ED2E30">
              <w:rPr>
                <w:rStyle w:val="Strong"/>
                <w:bCs/>
                <w:sz w:val="20"/>
                <w:szCs w:val="22"/>
              </w:rPr>
              <w:t>Output</w:t>
            </w:r>
          </w:p>
        </w:tc>
        <w:tc>
          <w:tcPr>
            <w:tcW w:w="0" w:type="auto"/>
          </w:tcPr>
          <w:p w14:paraId="598BB6FC" w14:textId="77777777" w:rsidR="008B7ADA" w:rsidRPr="00ED2E30" w:rsidRDefault="008B7ADA" w:rsidP="008B7ADA">
            <w:pPr>
              <w:pStyle w:val="Tabletext"/>
              <w:rPr>
                <w:rStyle w:val="Strong"/>
                <w:bCs/>
                <w:sz w:val="20"/>
                <w:szCs w:val="22"/>
              </w:rPr>
            </w:pPr>
            <w:r w:rsidRPr="00ED2E30">
              <w:rPr>
                <w:rStyle w:val="Strong"/>
                <w:bCs/>
                <w:sz w:val="20"/>
                <w:szCs w:val="22"/>
              </w:rPr>
              <w:t>Report</w:t>
            </w:r>
          </w:p>
        </w:tc>
        <w:tc>
          <w:tcPr>
            <w:tcW w:w="0" w:type="auto"/>
          </w:tcPr>
          <w:p w14:paraId="5FF7C1E7" w14:textId="77777777" w:rsidR="008B7ADA" w:rsidRPr="00ED2E30" w:rsidRDefault="008B7ADA" w:rsidP="008B7ADA">
            <w:pPr>
              <w:pStyle w:val="Tabletext"/>
              <w:rPr>
                <w:rStyle w:val="Strong"/>
                <w:bCs/>
                <w:sz w:val="20"/>
                <w:szCs w:val="22"/>
              </w:rPr>
            </w:pPr>
            <w:r w:rsidRPr="00ED2E30">
              <w:rPr>
                <w:rStyle w:val="Strong"/>
                <w:bCs/>
                <w:sz w:val="20"/>
                <w:szCs w:val="22"/>
              </w:rPr>
              <w:t>Format</w:t>
            </w:r>
          </w:p>
        </w:tc>
        <w:tc>
          <w:tcPr>
            <w:tcW w:w="0" w:type="auto"/>
          </w:tcPr>
          <w:p w14:paraId="3ED6AB63" w14:textId="77777777" w:rsidR="008B7ADA" w:rsidRPr="00ED2E30" w:rsidRDefault="008B7ADA" w:rsidP="008B7ADA">
            <w:pPr>
              <w:pStyle w:val="Tabletext"/>
              <w:rPr>
                <w:rStyle w:val="Strong"/>
                <w:bCs/>
                <w:sz w:val="20"/>
                <w:szCs w:val="22"/>
              </w:rPr>
            </w:pPr>
            <w:r w:rsidRPr="00ED2E30">
              <w:rPr>
                <w:rStyle w:val="Strong"/>
                <w:bCs/>
                <w:sz w:val="20"/>
                <w:szCs w:val="22"/>
              </w:rPr>
              <w:t>Length</w:t>
            </w:r>
          </w:p>
        </w:tc>
        <w:tc>
          <w:tcPr>
            <w:tcW w:w="0" w:type="auto"/>
          </w:tcPr>
          <w:p w14:paraId="4C79C117" w14:textId="77777777" w:rsidR="008B7ADA" w:rsidRPr="00ED2E30" w:rsidRDefault="008B7ADA" w:rsidP="008B7ADA">
            <w:pPr>
              <w:pStyle w:val="Tabletext"/>
              <w:rPr>
                <w:rStyle w:val="Strong"/>
                <w:bCs/>
                <w:sz w:val="20"/>
                <w:szCs w:val="22"/>
              </w:rPr>
            </w:pPr>
            <w:r w:rsidRPr="00ED2E30">
              <w:rPr>
                <w:rStyle w:val="Strong"/>
                <w:bCs/>
                <w:sz w:val="20"/>
                <w:szCs w:val="22"/>
              </w:rPr>
              <w:t>Due</w:t>
            </w:r>
          </w:p>
        </w:tc>
      </w:tr>
      <w:tr w:rsidR="008B7ADA" w:rsidRPr="00F3260A" w14:paraId="00CCC81E" w14:textId="77777777" w:rsidTr="008B7ADA">
        <w:trPr>
          <w:jc w:val="center"/>
        </w:trPr>
        <w:tc>
          <w:tcPr>
            <w:tcW w:w="0" w:type="auto"/>
            <w:tcBorders>
              <w:right w:val="nil"/>
            </w:tcBorders>
            <w:shd w:val="clear" w:color="auto" w:fill="D9D9D9"/>
          </w:tcPr>
          <w:p w14:paraId="4C8250A0" w14:textId="77777777" w:rsidR="008B7ADA" w:rsidRPr="00ED2E30" w:rsidRDefault="008B7ADA" w:rsidP="008B7ADA">
            <w:pPr>
              <w:pStyle w:val="Tabletext"/>
              <w:rPr>
                <w:sz w:val="20"/>
                <w:szCs w:val="22"/>
              </w:rPr>
            </w:pPr>
            <w:r w:rsidRPr="00ED2E30">
              <w:rPr>
                <w:rStyle w:val="Strong"/>
                <w:bCs/>
                <w:sz w:val="20"/>
                <w:szCs w:val="22"/>
              </w:rPr>
              <w:lastRenderedPageBreak/>
              <w:t>PHASE 1</w:t>
            </w:r>
          </w:p>
        </w:tc>
        <w:tc>
          <w:tcPr>
            <w:tcW w:w="0" w:type="auto"/>
            <w:tcBorders>
              <w:left w:val="nil"/>
              <w:right w:val="nil"/>
            </w:tcBorders>
            <w:shd w:val="clear" w:color="auto" w:fill="D9D9D9"/>
          </w:tcPr>
          <w:p w14:paraId="3E5BE0AB" w14:textId="77777777" w:rsidR="008B7ADA" w:rsidRPr="00ED2E30" w:rsidRDefault="008B7ADA" w:rsidP="008B7ADA">
            <w:pPr>
              <w:pStyle w:val="Tabletext"/>
              <w:rPr>
                <w:rStyle w:val="Strong"/>
                <w:bCs/>
                <w:sz w:val="20"/>
                <w:szCs w:val="22"/>
              </w:rPr>
            </w:pPr>
          </w:p>
        </w:tc>
        <w:tc>
          <w:tcPr>
            <w:tcW w:w="0" w:type="auto"/>
            <w:tcBorders>
              <w:left w:val="nil"/>
              <w:right w:val="nil"/>
            </w:tcBorders>
            <w:shd w:val="clear" w:color="auto" w:fill="D9D9D9"/>
          </w:tcPr>
          <w:p w14:paraId="65C6D217" w14:textId="77777777" w:rsidR="008B7ADA" w:rsidRPr="00ED2E30" w:rsidRDefault="008B7ADA" w:rsidP="008B7ADA">
            <w:pPr>
              <w:pStyle w:val="Tabletext"/>
              <w:rPr>
                <w:sz w:val="20"/>
                <w:szCs w:val="22"/>
              </w:rPr>
            </w:pPr>
          </w:p>
        </w:tc>
        <w:tc>
          <w:tcPr>
            <w:tcW w:w="0" w:type="auto"/>
            <w:tcBorders>
              <w:left w:val="nil"/>
              <w:right w:val="nil"/>
            </w:tcBorders>
            <w:shd w:val="clear" w:color="auto" w:fill="D9D9D9"/>
          </w:tcPr>
          <w:p w14:paraId="1776B19F" w14:textId="77777777" w:rsidR="008B7ADA" w:rsidRPr="00ED2E30" w:rsidRDefault="008B7ADA" w:rsidP="008B7ADA">
            <w:pPr>
              <w:pStyle w:val="Tabletext"/>
              <w:rPr>
                <w:sz w:val="20"/>
                <w:szCs w:val="22"/>
              </w:rPr>
            </w:pPr>
          </w:p>
        </w:tc>
        <w:tc>
          <w:tcPr>
            <w:tcW w:w="0" w:type="auto"/>
            <w:tcBorders>
              <w:left w:val="nil"/>
            </w:tcBorders>
            <w:shd w:val="clear" w:color="auto" w:fill="D9D9D9"/>
          </w:tcPr>
          <w:p w14:paraId="3F88DE81" w14:textId="77777777" w:rsidR="008B7ADA" w:rsidRPr="00ED2E30" w:rsidRDefault="008B7ADA" w:rsidP="008B7ADA">
            <w:pPr>
              <w:pStyle w:val="Tabletext"/>
              <w:rPr>
                <w:sz w:val="20"/>
                <w:szCs w:val="22"/>
              </w:rPr>
            </w:pPr>
          </w:p>
        </w:tc>
      </w:tr>
      <w:tr w:rsidR="008B7ADA" w:rsidRPr="00F3260A" w14:paraId="5127E2E6" w14:textId="77777777" w:rsidTr="008B7ADA">
        <w:trPr>
          <w:jc w:val="center"/>
        </w:trPr>
        <w:tc>
          <w:tcPr>
            <w:tcW w:w="0" w:type="auto"/>
          </w:tcPr>
          <w:p w14:paraId="4B25E4CA" w14:textId="77777777" w:rsidR="008B7ADA" w:rsidRPr="00ED2E30" w:rsidRDefault="008B7ADA" w:rsidP="008B7ADA">
            <w:pPr>
              <w:pStyle w:val="Tabletext"/>
              <w:rPr>
                <w:sz w:val="20"/>
                <w:szCs w:val="22"/>
              </w:rPr>
            </w:pPr>
            <w:r w:rsidRPr="00ED2E30">
              <w:rPr>
                <w:sz w:val="20"/>
                <w:szCs w:val="22"/>
              </w:rPr>
              <w:t>(A) Independent Progress Review</w:t>
            </w:r>
          </w:p>
        </w:tc>
        <w:tc>
          <w:tcPr>
            <w:tcW w:w="0" w:type="auto"/>
          </w:tcPr>
          <w:p w14:paraId="07C6F493" w14:textId="77777777" w:rsidR="008B7ADA" w:rsidRPr="00ED2E30" w:rsidRDefault="008B7ADA" w:rsidP="008B7ADA">
            <w:pPr>
              <w:pStyle w:val="Tabletext"/>
              <w:rPr>
                <w:sz w:val="20"/>
                <w:szCs w:val="22"/>
              </w:rPr>
            </w:pPr>
            <w:r w:rsidRPr="00ED2E30">
              <w:rPr>
                <w:rStyle w:val="Strong"/>
                <w:bCs/>
                <w:sz w:val="20"/>
                <w:szCs w:val="22"/>
              </w:rPr>
              <w:t>IPR Evaluation Plan</w:t>
            </w:r>
            <w:r w:rsidRPr="00ED2E30">
              <w:rPr>
                <w:sz w:val="20"/>
                <w:szCs w:val="22"/>
              </w:rPr>
              <w:t xml:space="preserve"> - for agreement with AusAID before mission commencement.</w:t>
            </w:r>
          </w:p>
        </w:tc>
        <w:tc>
          <w:tcPr>
            <w:tcW w:w="0" w:type="auto"/>
          </w:tcPr>
          <w:p w14:paraId="76A16C83" w14:textId="77777777" w:rsidR="008B7ADA" w:rsidRPr="00ED2E30" w:rsidRDefault="008B7ADA" w:rsidP="008B7ADA">
            <w:pPr>
              <w:pStyle w:val="Tabletext"/>
              <w:rPr>
                <w:sz w:val="20"/>
                <w:szCs w:val="22"/>
              </w:rPr>
            </w:pPr>
            <w:r w:rsidRPr="00ED2E30">
              <w:rPr>
                <w:sz w:val="20"/>
                <w:szCs w:val="22"/>
              </w:rPr>
              <w:t>As advised by AusAID Nuku’alofa</w:t>
            </w:r>
          </w:p>
        </w:tc>
        <w:tc>
          <w:tcPr>
            <w:tcW w:w="0" w:type="auto"/>
          </w:tcPr>
          <w:p w14:paraId="29CCD7E0" w14:textId="77777777" w:rsidR="008B7ADA" w:rsidRPr="00ED2E30" w:rsidRDefault="008B7ADA" w:rsidP="008B7ADA">
            <w:pPr>
              <w:pStyle w:val="Tabletext"/>
              <w:rPr>
                <w:sz w:val="20"/>
                <w:szCs w:val="22"/>
              </w:rPr>
            </w:pPr>
            <w:r w:rsidRPr="00ED2E30">
              <w:rPr>
                <w:sz w:val="20"/>
                <w:szCs w:val="22"/>
              </w:rPr>
              <w:t>No more than 5 pages</w:t>
            </w:r>
          </w:p>
        </w:tc>
        <w:tc>
          <w:tcPr>
            <w:tcW w:w="0" w:type="auto"/>
          </w:tcPr>
          <w:p w14:paraId="328270A3" w14:textId="77777777" w:rsidR="008B7ADA" w:rsidRPr="00ED2E30" w:rsidRDefault="008B7ADA" w:rsidP="008B7ADA">
            <w:pPr>
              <w:pStyle w:val="Tabletext"/>
              <w:rPr>
                <w:sz w:val="20"/>
                <w:szCs w:val="22"/>
              </w:rPr>
            </w:pPr>
            <w:r w:rsidRPr="00ED2E30">
              <w:rPr>
                <w:sz w:val="20"/>
                <w:szCs w:val="22"/>
              </w:rPr>
              <w:t xml:space="preserve">At the completion of the desk review and prior to the </w:t>
            </w:r>
            <w:proofErr w:type="gramStart"/>
            <w:r w:rsidRPr="00ED2E30">
              <w:rPr>
                <w:sz w:val="20"/>
                <w:szCs w:val="22"/>
              </w:rPr>
              <w:t>first  mission</w:t>
            </w:r>
            <w:proofErr w:type="gramEnd"/>
          </w:p>
        </w:tc>
      </w:tr>
      <w:tr w:rsidR="008B7ADA" w:rsidRPr="00DE7A2F" w14:paraId="7D617B5D" w14:textId="77777777" w:rsidTr="008B7ADA">
        <w:trPr>
          <w:jc w:val="center"/>
        </w:trPr>
        <w:tc>
          <w:tcPr>
            <w:tcW w:w="0" w:type="auto"/>
          </w:tcPr>
          <w:p w14:paraId="0238688D" w14:textId="77777777" w:rsidR="008B7ADA" w:rsidRPr="00ED2E30" w:rsidRDefault="008B7ADA" w:rsidP="008B7ADA">
            <w:pPr>
              <w:pStyle w:val="Tabletext"/>
              <w:rPr>
                <w:sz w:val="20"/>
                <w:szCs w:val="22"/>
              </w:rPr>
            </w:pPr>
          </w:p>
        </w:tc>
        <w:tc>
          <w:tcPr>
            <w:tcW w:w="0" w:type="auto"/>
          </w:tcPr>
          <w:p w14:paraId="490F9847" w14:textId="77777777" w:rsidR="008B7ADA" w:rsidRPr="00ED2E30" w:rsidRDefault="008B7ADA" w:rsidP="008B7ADA">
            <w:pPr>
              <w:pStyle w:val="Tabletext"/>
              <w:rPr>
                <w:sz w:val="20"/>
                <w:szCs w:val="22"/>
              </w:rPr>
            </w:pPr>
            <w:r w:rsidRPr="00ED2E30">
              <w:rPr>
                <w:rStyle w:val="Strong"/>
                <w:bCs/>
                <w:sz w:val="20"/>
                <w:szCs w:val="22"/>
              </w:rPr>
              <w:t>IPR Aide Memoire</w:t>
            </w:r>
            <w:r w:rsidRPr="00ED2E30">
              <w:rPr>
                <w:sz w:val="20"/>
                <w:szCs w:val="22"/>
              </w:rPr>
              <w:t xml:space="preserve"> - to be presented to Government of Tonga, AusAID, MFAT and other stakeholders </w:t>
            </w:r>
          </w:p>
        </w:tc>
        <w:tc>
          <w:tcPr>
            <w:tcW w:w="0" w:type="auto"/>
          </w:tcPr>
          <w:p w14:paraId="7651B854" w14:textId="77777777" w:rsidR="008B7ADA" w:rsidRPr="00ED2E30" w:rsidRDefault="008B7ADA" w:rsidP="008B7ADA">
            <w:pPr>
              <w:pStyle w:val="Tabletext"/>
              <w:rPr>
                <w:sz w:val="20"/>
                <w:szCs w:val="22"/>
              </w:rPr>
            </w:pPr>
            <w:r w:rsidRPr="00ED2E30">
              <w:rPr>
                <w:sz w:val="20"/>
                <w:szCs w:val="22"/>
              </w:rPr>
              <w:t>In accordance with AusAID Aide Memoire template</w:t>
            </w:r>
          </w:p>
        </w:tc>
        <w:tc>
          <w:tcPr>
            <w:tcW w:w="0" w:type="auto"/>
          </w:tcPr>
          <w:p w14:paraId="38196BDF" w14:textId="77777777" w:rsidR="008B7ADA" w:rsidRPr="00ED2E30" w:rsidRDefault="008B7ADA" w:rsidP="008B7ADA">
            <w:pPr>
              <w:pStyle w:val="Tabletext"/>
              <w:rPr>
                <w:sz w:val="20"/>
                <w:szCs w:val="22"/>
              </w:rPr>
            </w:pPr>
            <w:r w:rsidRPr="00ED2E30">
              <w:rPr>
                <w:sz w:val="20"/>
                <w:szCs w:val="22"/>
              </w:rPr>
              <w:t>No more than 5 pages</w:t>
            </w:r>
          </w:p>
        </w:tc>
        <w:tc>
          <w:tcPr>
            <w:tcW w:w="0" w:type="auto"/>
          </w:tcPr>
          <w:p w14:paraId="424C1F81" w14:textId="77777777" w:rsidR="008B7ADA" w:rsidRPr="00ED2E30" w:rsidRDefault="008B7ADA" w:rsidP="008B7ADA">
            <w:pPr>
              <w:pStyle w:val="Tabletext"/>
              <w:rPr>
                <w:sz w:val="20"/>
                <w:szCs w:val="22"/>
              </w:rPr>
            </w:pPr>
            <w:r w:rsidRPr="00ED2E30">
              <w:rPr>
                <w:sz w:val="20"/>
                <w:szCs w:val="22"/>
              </w:rPr>
              <w:t>At the end of the first in-country mission</w:t>
            </w:r>
          </w:p>
        </w:tc>
      </w:tr>
      <w:tr w:rsidR="008B7ADA" w:rsidRPr="00DE7A2F" w14:paraId="25530E1F" w14:textId="77777777" w:rsidTr="008B7ADA">
        <w:trPr>
          <w:jc w:val="center"/>
        </w:trPr>
        <w:tc>
          <w:tcPr>
            <w:tcW w:w="0" w:type="auto"/>
          </w:tcPr>
          <w:p w14:paraId="1FC6A762" w14:textId="77777777" w:rsidR="008B7ADA" w:rsidRPr="00ED2E30" w:rsidRDefault="008B7ADA" w:rsidP="008B7ADA">
            <w:pPr>
              <w:pStyle w:val="Tabletext"/>
              <w:rPr>
                <w:sz w:val="20"/>
                <w:szCs w:val="22"/>
              </w:rPr>
            </w:pPr>
          </w:p>
        </w:tc>
        <w:tc>
          <w:tcPr>
            <w:tcW w:w="0" w:type="auto"/>
          </w:tcPr>
          <w:p w14:paraId="2310132D" w14:textId="77777777" w:rsidR="008B7ADA" w:rsidRPr="00ED2E30" w:rsidRDefault="008B7ADA" w:rsidP="008B7ADA">
            <w:pPr>
              <w:pStyle w:val="Tabletext"/>
              <w:rPr>
                <w:sz w:val="20"/>
                <w:szCs w:val="22"/>
              </w:rPr>
            </w:pPr>
            <w:r w:rsidRPr="00ED2E30">
              <w:rPr>
                <w:rStyle w:val="Strong"/>
                <w:bCs/>
                <w:sz w:val="20"/>
                <w:szCs w:val="22"/>
              </w:rPr>
              <w:t xml:space="preserve">Draft </w:t>
            </w:r>
            <w:proofErr w:type="gramStart"/>
            <w:r w:rsidRPr="00ED2E30">
              <w:rPr>
                <w:rStyle w:val="Strong"/>
                <w:bCs/>
                <w:sz w:val="20"/>
                <w:szCs w:val="22"/>
              </w:rPr>
              <w:t>IPR  Report</w:t>
            </w:r>
            <w:proofErr w:type="gramEnd"/>
            <w:r w:rsidRPr="00ED2E30">
              <w:rPr>
                <w:sz w:val="20"/>
                <w:szCs w:val="22"/>
              </w:rPr>
              <w:t xml:space="preserve"> – submitted to AusAID Nuku’alofa </w:t>
            </w:r>
          </w:p>
        </w:tc>
        <w:tc>
          <w:tcPr>
            <w:tcW w:w="0" w:type="auto"/>
          </w:tcPr>
          <w:p w14:paraId="3ABC5E25" w14:textId="77777777" w:rsidR="008B7ADA" w:rsidRPr="00ED2E30" w:rsidRDefault="008B7ADA" w:rsidP="008B7ADA">
            <w:pPr>
              <w:pStyle w:val="Tabletext"/>
              <w:rPr>
                <w:sz w:val="20"/>
                <w:szCs w:val="22"/>
              </w:rPr>
            </w:pPr>
            <w:r w:rsidRPr="00ED2E30">
              <w:rPr>
                <w:sz w:val="20"/>
                <w:szCs w:val="22"/>
              </w:rPr>
              <w:t>In accordance with AusAID Independent Progress Report template</w:t>
            </w:r>
          </w:p>
        </w:tc>
        <w:tc>
          <w:tcPr>
            <w:tcW w:w="0" w:type="auto"/>
          </w:tcPr>
          <w:p w14:paraId="67747F24" w14:textId="77777777" w:rsidR="008B7ADA" w:rsidRPr="00ED2E30" w:rsidRDefault="008B7ADA" w:rsidP="008B7ADA">
            <w:pPr>
              <w:pStyle w:val="Tabletext"/>
              <w:rPr>
                <w:sz w:val="20"/>
                <w:szCs w:val="22"/>
              </w:rPr>
            </w:pPr>
            <w:r w:rsidRPr="00ED2E30">
              <w:rPr>
                <w:sz w:val="20"/>
                <w:szCs w:val="22"/>
              </w:rPr>
              <w:t>No more than 25 pages plus appendices</w:t>
            </w:r>
          </w:p>
        </w:tc>
        <w:tc>
          <w:tcPr>
            <w:tcW w:w="0" w:type="auto"/>
          </w:tcPr>
          <w:p w14:paraId="7B3E6FC7" w14:textId="77777777" w:rsidR="008B7ADA" w:rsidRPr="00ED2E30" w:rsidRDefault="008B7ADA" w:rsidP="008B7ADA">
            <w:pPr>
              <w:pStyle w:val="Tabletext"/>
              <w:rPr>
                <w:sz w:val="20"/>
                <w:szCs w:val="22"/>
              </w:rPr>
            </w:pPr>
            <w:r w:rsidRPr="00ED2E30">
              <w:rPr>
                <w:sz w:val="20"/>
                <w:szCs w:val="22"/>
              </w:rPr>
              <w:t>Within 15 working days of completion of the first mission.  Feedback from AusAID will be provided within three weeks of receiving the draft report</w:t>
            </w:r>
          </w:p>
        </w:tc>
      </w:tr>
      <w:tr w:rsidR="008B7ADA" w:rsidRPr="00DE7A2F" w14:paraId="5C1894C5" w14:textId="77777777" w:rsidTr="008B7ADA">
        <w:trPr>
          <w:jc w:val="center"/>
        </w:trPr>
        <w:tc>
          <w:tcPr>
            <w:tcW w:w="0" w:type="auto"/>
          </w:tcPr>
          <w:p w14:paraId="7E51733B" w14:textId="77777777" w:rsidR="008B7ADA" w:rsidRPr="00ED2E30" w:rsidRDefault="008B7ADA" w:rsidP="008B7ADA">
            <w:pPr>
              <w:pStyle w:val="Tabletext"/>
              <w:rPr>
                <w:sz w:val="20"/>
                <w:szCs w:val="22"/>
              </w:rPr>
            </w:pPr>
          </w:p>
        </w:tc>
        <w:tc>
          <w:tcPr>
            <w:tcW w:w="0" w:type="auto"/>
          </w:tcPr>
          <w:p w14:paraId="15BE9293" w14:textId="77777777" w:rsidR="008B7ADA" w:rsidRPr="00ED2E30" w:rsidRDefault="008B7ADA" w:rsidP="008B7ADA">
            <w:pPr>
              <w:pStyle w:val="Tabletext"/>
              <w:rPr>
                <w:sz w:val="20"/>
                <w:szCs w:val="22"/>
              </w:rPr>
            </w:pPr>
            <w:r w:rsidRPr="00ED2E30">
              <w:rPr>
                <w:rStyle w:val="Strong"/>
                <w:bCs/>
                <w:sz w:val="20"/>
                <w:szCs w:val="22"/>
              </w:rPr>
              <w:t>Final IPR Report</w:t>
            </w:r>
            <w:r w:rsidRPr="00ED2E30">
              <w:rPr>
                <w:sz w:val="20"/>
                <w:szCs w:val="22"/>
              </w:rPr>
              <w:t xml:space="preserve"> - final document incorporating advice from evaluation peer review.  </w:t>
            </w:r>
          </w:p>
        </w:tc>
        <w:tc>
          <w:tcPr>
            <w:tcW w:w="0" w:type="auto"/>
          </w:tcPr>
          <w:p w14:paraId="4B09D9DC" w14:textId="77777777" w:rsidR="008B7ADA" w:rsidRPr="00ED2E30" w:rsidRDefault="008B7ADA" w:rsidP="008B7ADA">
            <w:pPr>
              <w:pStyle w:val="Tabletext"/>
              <w:rPr>
                <w:sz w:val="20"/>
                <w:szCs w:val="22"/>
              </w:rPr>
            </w:pPr>
            <w:r w:rsidRPr="00ED2E30">
              <w:rPr>
                <w:sz w:val="20"/>
                <w:szCs w:val="22"/>
              </w:rPr>
              <w:t>In accordance with AusAID Independent Progress Report template.  Lessons and recommendations should be clearly documented in the report.</w:t>
            </w:r>
          </w:p>
        </w:tc>
        <w:tc>
          <w:tcPr>
            <w:tcW w:w="0" w:type="auto"/>
          </w:tcPr>
          <w:p w14:paraId="53F79933" w14:textId="77777777" w:rsidR="008B7ADA" w:rsidRPr="00ED2E30" w:rsidRDefault="008B7ADA" w:rsidP="008B7ADA">
            <w:pPr>
              <w:pStyle w:val="Tabletext"/>
              <w:rPr>
                <w:sz w:val="20"/>
                <w:szCs w:val="22"/>
              </w:rPr>
            </w:pPr>
            <w:r w:rsidRPr="00ED2E30">
              <w:rPr>
                <w:sz w:val="20"/>
                <w:szCs w:val="22"/>
              </w:rPr>
              <w:t>No more than 25 pages plus appendices</w:t>
            </w:r>
          </w:p>
        </w:tc>
        <w:tc>
          <w:tcPr>
            <w:tcW w:w="0" w:type="auto"/>
          </w:tcPr>
          <w:p w14:paraId="5CBD0FEB" w14:textId="77777777" w:rsidR="008B7ADA" w:rsidRPr="00ED2E30" w:rsidRDefault="008B7ADA" w:rsidP="008B7ADA">
            <w:pPr>
              <w:pStyle w:val="Tabletext"/>
              <w:rPr>
                <w:sz w:val="20"/>
                <w:szCs w:val="22"/>
              </w:rPr>
            </w:pPr>
            <w:r w:rsidRPr="00ED2E30">
              <w:rPr>
                <w:sz w:val="20"/>
                <w:szCs w:val="22"/>
              </w:rPr>
              <w:t>Within 5 working days of receiving peer review feedback from AusAID</w:t>
            </w:r>
          </w:p>
        </w:tc>
      </w:tr>
      <w:tr w:rsidR="008B7ADA" w:rsidRPr="00DE7A2F" w14:paraId="0E9BB3A8" w14:textId="77777777" w:rsidTr="008B7ADA">
        <w:trPr>
          <w:jc w:val="center"/>
        </w:trPr>
        <w:tc>
          <w:tcPr>
            <w:tcW w:w="0" w:type="auto"/>
          </w:tcPr>
          <w:p w14:paraId="361020B5" w14:textId="77777777" w:rsidR="008B7ADA" w:rsidRPr="00ED2E30" w:rsidRDefault="008B7ADA" w:rsidP="008B7ADA">
            <w:pPr>
              <w:pStyle w:val="Tabletext"/>
              <w:rPr>
                <w:sz w:val="20"/>
                <w:szCs w:val="22"/>
              </w:rPr>
            </w:pPr>
            <w:r w:rsidRPr="00ED2E30">
              <w:rPr>
                <w:sz w:val="20"/>
                <w:szCs w:val="22"/>
              </w:rPr>
              <w:t>(B) Situational Analysis</w:t>
            </w:r>
          </w:p>
        </w:tc>
        <w:tc>
          <w:tcPr>
            <w:tcW w:w="0" w:type="auto"/>
          </w:tcPr>
          <w:p w14:paraId="23C3A31C" w14:textId="77777777" w:rsidR="008B7ADA" w:rsidRPr="00ED2E30" w:rsidRDefault="008B7ADA" w:rsidP="008B7ADA">
            <w:pPr>
              <w:pStyle w:val="Tabletext"/>
              <w:rPr>
                <w:sz w:val="20"/>
                <w:szCs w:val="22"/>
              </w:rPr>
            </w:pPr>
            <w:r w:rsidRPr="00ED2E30">
              <w:rPr>
                <w:rStyle w:val="Strong"/>
                <w:bCs/>
                <w:sz w:val="20"/>
                <w:szCs w:val="22"/>
              </w:rPr>
              <w:t>Draft Situational Analysis</w:t>
            </w:r>
            <w:r w:rsidRPr="00ED2E30">
              <w:rPr>
                <w:sz w:val="20"/>
                <w:szCs w:val="22"/>
              </w:rPr>
              <w:t xml:space="preserve"> – submitted to AusAID Nuku’alofa within 15 working days of completion of the first field study to Tonga </w:t>
            </w:r>
          </w:p>
        </w:tc>
        <w:tc>
          <w:tcPr>
            <w:tcW w:w="0" w:type="auto"/>
          </w:tcPr>
          <w:p w14:paraId="23553D78" w14:textId="77777777" w:rsidR="008B7ADA" w:rsidRPr="00ED2E30" w:rsidRDefault="008B7ADA" w:rsidP="008B7ADA">
            <w:pPr>
              <w:pStyle w:val="Tabletext"/>
              <w:rPr>
                <w:sz w:val="20"/>
                <w:szCs w:val="22"/>
              </w:rPr>
            </w:pPr>
            <w:r w:rsidRPr="00ED2E30">
              <w:rPr>
                <w:sz w:val="20"/>
                <w:szCs w:val="22"/>
              </w:rPr>
              <w:t>As agreed with AusAID Nuku’alofa</w:t>
            </w:r>
          </w:p>
        </w:tc>
        <w:tc>
          <w:tcPr>
            <w:tcW w:w="0" w:type="auto"/>
          </w:tcPr>
          <w:p w14:paraId="1823E556" w14:textId="77777777" w:rsidR="008B7ADA" w:rsidRPr="00ED2E30" w:rsidRDefault="008B7ADA" w:rsidP="008B7ADA">
            <w:pPr>
              <w:pStyle w:val="Tabletext"/>
              <w:rPr>
                <w:sz w:val="20"/>
                <w:szCs w:val="22"/>
              </w:rPr>
            </w:pPr>
            <w:r w:rsidRPr="00ED2E30">
              <w:rPr>
                <w:sz w:val="20"/>
                <w:szCs w:val="22"/>
              </w:rPr>
              <w:t>No more than 10 pages excluding annexes</w:t>
            </w:r>
          </w:p>
        </w:tc>
        <w:tc>
          <w:tcPr>
            <w:tcW w:w="0" w:type="auto"/>
          </w:tcPr>
          <w:p w14:paraId="3421C552" w14:textId="77777777" w:rsidR="008B7ADA" w:rsidRPr="00ED2E30" w:rsidRDefault="008B7ADA" w:rsidP="008B7ADA">
            <w:pPr>
              <w:pStyle w:val="Tabletext"/>
              <w:rPr>
                <w:sz w:val="20"/>
                <w:szCs w:val="22"/>
              </w:rPr>
            </w:pPr>
            <w:r w:rsidRPr="00ED2E30">
              <w:rPr>
                <w:sz w:val="20"/>
                <w:szCs w:val="22"/>
              </w:rPr>
              <w:t>Within 15 working days of completion of the first mission.  Feedback from AusAID will be provided within three weeks of receiving the draft report</w:t>
            </w:r>
          </w:p>
        </w:tc>
      </w:tr>
      <w:tr w:rsidR="008B7ADA" w:rsidRPr="00DE7A2F" w14:paraId="7F61B9F5" w14:textId="77777777" w:rsidTr="008B7ADA">
        <w:trPr>
          <w:jc w:val="center"/>
        </w:trPr>
        <w:tc>
          <w:tcPr>
            <w:tcW w:w="0" w:type="auto"/>
          </w:tcPr>
          <w:p w14:paraId="0647F7D8" w14:textId="77777777" w:rsidR="008B7ADA" w:rsidRPr="00ED2E30" w:rsidRDefault="008B7ADA" w:rsidP="008B7ADA">
            <w:pPr>
              <w:pStyle w:val="Tabletext"/>
              <w:rPr>
                <w:sz w:val="20"/>
                <w:szCs w:val="22"/>
              </w:rPr>
            </w:pPr>
          </w:p>
        </w:tc>
        <w:tc>
          <w:tcPr>
            <w:tcW w:w="0" w:type="auto"/>
          </w:tcPr>
          <w:p w14:paraId="11FBDBB5" w14:textId="77777777" w:rsidR="008B7ADA" w:rsidRPr="00ED2E30" w:rsidRDefault="008B7ADA" w:rsidP="008B7ADA">
            <w:pPr>
              <w:pStyle w:val="Tabletext"/>
              <w:rPr>
                <w:sz w:val="20"/>
                <w:szCs w:val="22"/>
              </w:rPr>
            </w:pPr>
            <w:r w:rsidRPr="00ED2E30">
              <w:rPr>
                <w:rStyle w:val="Strong"/>
                <w:bCs/>
                <w:sz w:val="20"/>
                <w:szCs w:val="22"/>
              </w:rPr>
              <w:t xml:space="preserve">Final Situational Analysis </w:t>
            </w:r>
            <w:r w:rsidRPr="00ED2E30">
              <w:rPr>
                <w:sz w:val="20"/>
                <w:szCs w:val="22"/>
              </w:rPr>
              <w:t xml:space="preserve">- final </w:t>
            </w:r>
            <w:r w:rsidRPr="00ED2E30">
              <w:rPr>
                <w:sz w:val="20"/>
                <w:szCs w:val="22"/>
              </w:rPr>
              <w:lastRenderedPageBreak/>
              <w:t xml:space="preserve">document incorporating advice from AusAID.  </w:t>
            </w:r>
          </w:p>
        </w:tc>
        <w:tc>
          <w:tcPr>
            <w:tcW w:w="0" w:type="auto"/>
          </w:tcPr>
          <w:p w14:paraId="0628781D" w14:textId="77777777" w:rsidR="008B7ADA" w:rsidRPr="00ED2E30" w:rsidRDefault="008B7ADA" w:rsidP="008B7ADA">
            <w:pPr>
              <w:pStyle w:val="Tabletext"/>
              <w:rPr>
                <w:sz w:val="20"/>
                <w:szCs w:val="22"/>
              </w:rPr>
            </w:pPr>
            <w:r w:rsidRPr="00ED2E30">
              <w:rPr>
                <w:sz w:val="20"/>
                <w:szCs w:val="22"/>
              </w:rPr>
              <w:lastRenderedPageBreak/>
              <w:t xml:space="preserve">As agreed with </w:t>
            </w:r>
            <w:r w:rsidRPr="00ED2E30">
              <w:rPr>
                <w:sz w:val="20"/>
                <w:szCs w:val="22"/>
              </w:rPr>
              <w:lastRenderedPageBreak/>
              <w:t>AusAID Nuku’alofa</w:t>
            </w:r>
          </w:p>
        </w:tc>
        <w:tc>
          <w:tcPr>
            <w:tcW w:w="0" w:type="auto"/>
          </w:tcPr>
          <w:p w14:paraId="59949D57" w14:textId="77777777" w:rsidR="008B7ADA" w:rsidRPr="00ED2E30" w:rsidRDefault="008B7ADA" w:rsidP="008B7ADA">
            <w:pPr>
              <w:pStyle w:val="Tabletext"/>
              <w:rPr>
                <w:sz w:val="20"/>
                <w:szCs w:val="22"/>
              </w:rPr>
            </w:pPr>
            <w:r w:rsidRPr="00ED2E30">
              <w:rPr>
                <w:sz w:val="20"/>
                <w:szCs w:val="22"/>
              </w:rPr>
              <w:lastRenderedPageBreak/>
              <w:t xml:space="preserve">No more than 10 </w:t>
            </w:r>
            <w:r w:rsidRPr="00ED2E30">
              <w:rPr>
                <w:sz w:val="20"/>
                <w:szCs w:val="22"/>
              </w:rPr>
              <w:lastRenderedPageBreak/>
              <w:t>pages excluding annexes</w:t>
            </w:r>
          </w:p>
        </w:tc>
        <w:tc>
          <w:tcPr>
            <w:tcW w:w="0" w:type="auto"/>
          </w:tcPr>
          <w:p w14:paraId="35650446" w14:textId="77777777" w:rsidR="008B7ADA" w:rsidRPr="00ED2E30" w:rsidRDefault="008B7ADA" w:rsidP="008B7ADA">
            <w:pPr>
              <w:pStyle w:val="Tabletext"/>
              <w:rPr>
                <w:sz w:val="20"/>
                <w:szCs w:val="22"/>
              </w:rPr>
            </w:pPr>
            <w:r w:rsidRPr="00ED2E30">
              <w:rPr>
                <w:sz w:val="20"/>
                <w:szCs w:val="22"/>
              </w:rPr>
              <w:lastRenderedPageBreak/>
              <w:t xml:space="preserve">Within 5 working days </w:t>
            </w:r>
            <w:r w:rsidRPr="00ED2E30">
              <w:rPr>
                <w:sz w:val="20"/>
                <w:szCs w:val="22"/>
              </w:rPr>
              <w:lastRenderedPageBreak/>
              <w:t>of receiving feedback from AusAID</w:t>
            </w:r>
          </w:p>
        </w:tc>
      </w:tr>
      <w:tr w:rsidR="008B7ADA" w:rsidRPr="00F3260A" w14:paraId="1F4865AD" w14:textId="77777777" w:rsidTr="008B7ADA">
        <w:trPr>
          <w:jc w:val="center"/>
        </w:trPr>
        <w:tc>
          <w:tcPr>
            <w:tcW w:w="0" w:type="auto"/>
          </w:tcPr>
          <w:p w14:paraId="6327E59C" w14:textId="77777777" w:rsidR="008B7ADA" w:rsidRPr="00ED2E30" w:rsidRDefault="008B7ADA" w:rsidP="008B7ADA">
            <w:pPr>
              <w:pStyle w:val="Tabletext"/>
              <w:rPr>
                <w:sz w:val="20"/>
                <w:szCs w:val="22"/>
              </w:rPr>
            </w:pPr>
            <w:r w:rsidRPr="00ED2E30">
              <w:rPr>
                <w:sz w:val="20"/>
                <w:szCs w:val="22"/>
              </w:rPr>
              <w:lastRenderedPageBreak/>
              <w:t>(C) Advice and Recommendations on Re-Design Options</w:t>
            </w:r>
          </w:p>
        </w:tc>
        <w:tc>
          <w:tcPr>
            <w:tcW w:w="0" w:type="auto"/>
          </w:tcPr>
          <w:p w14:paraId="0CA08A63" w14:textId="77777777" w:rsidR="008B7ADA" w:rsidRPr="00ED2E30" w:rsidRDefault="008B7ADA" w:rsidP="008B7ADA">
            <w:pPr>
              <w:pStyle w:val="Tabletext"/>
              <w:rPr>
                <w:sz w:val="20"/>
                <w:szCs w:val="22"/>
              </w:rPr>
            </w:pPr>
            <w:r w:rsidRPr="00ED2E30">
              <w:rPr>
                <w:rStyle w:val="Strong"/>
                <w:bCs/>
                <w:sz w:val="20"/>
                <w:szCs w:val="22"/>
              </w:rPr>
              <w:t>Draft Report on Re-Design Options</w:t>
            </w:r>
            <w:r w:rsidRPr="00ED2E30">
              <w:rPr>
                <w:sz w:val="20"/>
                <w:szCs w:val="22"/>
              </w:rPr>
              <w:t xml:space="preserve"> – submitted to AusAID Nuku’alofa </w:t>
            </w:r>
          </w:p>
        </w:tc>
        <w:tc>
          <w:tcPr>
            <w:tcW w:w="0" w:type="auto"/>
          </w:tcPr>
          <w:p w14:paraId="05E99CFC" w14:textId="77777777" w:rsidR="008B7ADA" w:rsidRPr="00ED2E30" w:rsidRDefault="008B7ADA" w:rsidP="008B7ADA">
            <w:pPr>
              <w:pStyle w:val="Tabletext"/>
              <w:rPr>
                <w:sz w:val="20"/>
                <w:szCs w:val="22"/>
              </w:rPr>
            </w:pPr>
            <w:r w:rsidRPr="00ED2E30">
              <w:rPr>
                <w:sz w:val="20"/>
                <w:szCs w:val="22"/>
              </w:rPr>
              <w:t>As agreed with AusAID Nuku’alofa</w:t>
            </w:r>
          </w:p>
        </w:tc>
        <w:tc>
          <w:tcPr>
            <w:tcW w:w="0" w:type="auto"/>
          </w:tcPr>
          <w:p w14:paraId="6E3818AE" w14:textId="77777777" w:rsidR="008B7ADA" w:rsidRPr="00ED2E30" w:rsidRDefault="008B7ADA" w:rsidP="008B7ADA">
            <w:pPr>
              <w:pStyle w:val="Tabletext"/>
              <w:rPr>
                <w:sz w:val="20"/>
                <w:szCs w:val="22"/>
              </w:rPr>
            </w:pPr>
            <w:r w:rsidRPr="00ED2E30">
              <w:rPr>
                <w:sz w:val="20"/>
                <w:szCs w:val="22"/>
              </w:rPr>
              <w:t>No more than 10 pages</w:t>
            </w:r>
          </w:p>
        </w:tc>
        <w:tc>
          <w:tcPr>
            <w:tcW w:w="0" w:type="auto"/>
          </w:tcPr>
          <w:p w14:paraId="7917C0B2" w14:textId="77777777" w:rsidR="008B7ADA" w:rsidRPr="00ED2E30" w:rsidRDefault="008B7ADA" w:rsidP="008B7ADA">
            <w:pPr>
              <w:pStyle w:val="Tabletext"/>
              <w:rPr>
                <w:sz w:val="20"/>
                <w:szCs w:val="22"/>
              </w:rPr>
            </w:pPr>
            <w:r w:rsidRPr="00ED2E30">
              <w:rPr>
                <w:sz w:val="20"/>
                <w:szCs w:val="22"/>
              </w:rPr>
              <w:t>Within 15 working days of completion of the first mission.  Feedback from AusAID will be provided within three weeks of receiving the draft report</w:t>
            </w:r>
          </w:p>
        </w:tc>
      </w:tr>
      <w:tr w:rsidR="008B7ADA" w:rsidRPr="00F3260A" w14:paraId="2A4E3E01" w14:textId="77777777" w:rsidTr="008B7ADA">
        <w:trPr>
          <w:jc w:val="center"/>
        </w:trPr>
        <w:tc>
          <w:tcPr>
            <w:tcW w:w="0" w:type="auto"/>
          </w:tcPr>
          <w:p w14:paraId="37715ED0" w14:textId="77777777" w:rsidR="008B7ADA" w:rsidRPr="00ED2E30" w:rsidRDefault="008B7ADA" w:rsidP="008B7ADA">
            <w:pPr>
              <w:pStyle w:val="Tabletext"/>
              <w:rPr>
                <w:sz w:val="20"/>
                <w:szCs w:val="22"/>
              </w:rPr>
            </w:pPr>
          </w:p>
        </w:tc>
        <w:tc>
          <w:tcPr>
            <w:tcW w:w="0" w:type="auto"/>
          </w:tcPr>
          <w:p w14:paraId="134F178C" w14:textId="77777777" w:rsidR="008B7ADA" w:rsidRPr="00ED2E30" w:rsidRDefault="008B7ADA" w:rsidP="008B7ADA">
            <w:pPr>
              <w:pStyle w:val="Tabletext"/>
              <w:rPr>
                <w:sz w:val="20"/>
                <w:szCs w:val="22"/>
              </w:rPr>
            </w:pPr>
            <w:r w:rsidRPr="00ED2E30">
              <w:rPr>
                <w:rStyle w:val="Strong"/>
                <w:bCs/>
                <w:sz w:val="20"/>
                <w:szCs w:val="22"/>
              </w:rPr>
              <w:t>Final Report on Re-Design Options</w:t>
            </w:r>
            <w:r w:rsidRPr="00ED2E30">
              <w:rPr>
                <w:sz w:val="20"/>
                <w:szCs w:val="22"/>
              </w:rPr>
              <w:t xml:space="preserve"> - final document incorporating advice from AusAID.  </w:t>
            </w:r>
          </w:p>
        </w:tc>
        <w:tc>
          <w:tcPr>
            <w:tcW w:w="0" w:type="auto"/>
          </w:tcPr>
          <w:p w14:paraId="5C47225C" w14:textId="77777777" w:rsidR="008B7ADA" w:rsidRPr="00ED2E30" w:rsidRDefault="008B7ADA" w:rsidP="008B7ADA">
            <w:pPr>
              <w:pStyle w:val="Tabletext"/>
              <w:rPr>
                <w:sz w:val="20"/>
                <w:szCs w:val="22"/>
              </w:rPr>
            </w:pPr>
            <w:r w:rsidRPr="00ED2E30">
              <w:rPr>
                <w:sz w:val="20"/>
                <w:szCs w:val="22"/>
              </w:rPr>
              <w:t>As agreed with AusAID Nuku’alofa</w:t>
            </w:r>
          </w:p>
        </w:tc>
        <w:tc>
          <w:tcPr>
            <w:tcW w:w="0" w:type="auto"/>
          </w:tcPr>
          <w:p w14:paraId="2FFE0EB8" w14:textId="77777777" w:rsidR="008B7ADA" w:rsidRPr="00ED2E30" w:rsidRDefault="008B7ADA" w:rsidP="008B7ADA">
            <w:pPr>
              <w:pStyle w:val="Tabletext"/>
              <w:rPr>
                <w:sz w:val="20"/>
                <w:szCs w:val="22"/>
              </w:rPr>
            </w:pPr>
            <w:r w:rsidRPr="00ED2E30">
              <w:rPr>
                <w:sz w:val="20"/>
                <w:szCs w:val="22"/>
              </w:rPr>
              <w:t xml:space="preserve">No more than 10 pages </w:t>
            </w:r>
          </w:p>
        </w:tc>
        <w:tc>
          <w:tcPr>
            <w:tcW w:w="0" w:type="auto"/>
          </w:tcPr>
          <w:p w14:paraId="408786E1" w14:textId="77777777" w:rsidR="008B7ADA" w:rsidRPr="00ED2E30" w:rsidRDefault="008B7ADA" w:rsidP="008B7ADA">
            <w:pPr>
              <w:pStyle w:val="Tabletext"/>
              <w:rPr>
                <w:sz w:val="20"/>
                <w:szCs w:val="22"/>
              </w:rPr>
            </w:pPr>
            <w:r w:rsidRPr="00ED2E30">
              <w:rPr>
                <w:sz w:val="20"/>
                <w:szCs w:val="22"/>
              </w:rPr>
              <w:t>Within 5 working days of receiving feedback from AusAID</w:t>
            </w:r>
          </w:p>
        </w:tc>
      </w:tr>
      <w:tr w:rsidR="008B7ADA" w:rsidRPr="009151E6" w14:paraId="404FBA75" w14:textId="77777777" w:rsidTr="008B7ADA">
        <w:trPr>
          <w:jc w:val="center"/>
        </w:trPr>
        <w:tc>
          <w:tcPr>
            <w:tcW w:w="0" w:type="auto"/>
            <w:tcBorders>
              <w:right w:val="nil"/>
            </w:tcBorders>
            <w:shd w:val="clear" w:color="auto" w:fill="D9D9D9"/>
          </w:tcPr>
          <w:p w14:paraId="16AD8528" w14:textId="77777777" w:rsidR="008B7ADA" w:rsidRPr="00ED2E30" w:rsidRDefault="008B7ADA" w:rsidP="008B7ADA">
            <w:pPr>
              <w:pStyle w:val="Tabletext"/>
              <w:rPr>
                <w:rStyle w:val="Strong"/>
                <w:bCs/>
                <w:sz w:val="20"/>
                <w:szCs w:val="22"/>
              </w:rPr>
            </w:pPr>
            <w:proofErr w:type="gramStart"/>
            <w:r w:rsidRPr="00ED2E30">
              <w:rPr>
                <w:rStyle w:val="Strong"/>
                <w:bCs/>
                <w:sz w:val="20"/>
                <w:szCs w:val="22"/>
              </w:rPr>
              <w:t>PHASE  2</w:t>
            </w:r>
            <w:proofErr w:type="gramEnd"/>
          </w:p>
        </w:tc>
        <w:tc>
          <w:tcPr>
            <w:tcW w:w="0" w:type="auto"/>
            <w:tcBorders>
              <w:left w:val="nil"/>
              <w:right w:val="nil"/>
            </w:tcBorders>
            <w:shd w:val="clear" w:color="auto" w:fill="D9D9D9"/>
          </w:tcPr>
          <w:p w14:paraId="19DA0C60" w14:textId="77777777" w:rsidR="008B7ADA" w:rsidRPr="00ED2E30" w:rsidRDefault="008B7ADA" w:rsidP="008B7ADA">
            <w:pPr>
              <w:pStyle w:val="Tabletext"/>
              <w:rPr>
                <w:rStyle w:val="Strong"/>
                <w:bCs/>
                <w:sz w:val="20"/>
                <w:szCs w:val="22"/>
              </w:rPr>
            </w:pPr>
          </w:p>
        </w:tc>
        <w:tc>
          <w:tcPr>
            <w:tcW w:w="0" w:type="auto"/>
            <w:tcBorders>
              <w:left w:val="nil"/>
              <w:right w:val="nil"/>
            </w:tcBorders>
            <w:shd w:val="clear" w:color="auto" w:fill="D9D9D9"/>
          </w:tcPr>
          <w:p w14:paraId="5D19853B" w14:textId="77777777" w:rsidR="008B7ADA" w:rsidRPr="00ED2E30" w:rsidRDefault="008B7ADA" w:rsidP="008B7ADA">
            <w:pPr>
              <w:pStyle w:val="Tabletext"/>
              <w:rPr>
                <w:rStyle w:val="Strong"/>
                <w:bCs/>
                <w:sz w:val="20"/>
                <w:szCs w:val="22"/>
              </w:rPr>
            </w:pPr>
          </w:p>
        </w:tc>
        <w:tc>
          <w:tcPr>
            <w:tcW w:w="0" w:type="auto"/>
            <w:tcBorders>
              <w:left w:val="nil"/>
              <w:right w:val="nil"/>
            </w:tcBorders>
            <w:shd w:val="clear" w:color="auto" w:fill="D9D9D9"/>
          </w:tcPr>
          <w:p w14:paraId="371917C7" w14:textId="77777777" w:rsidR="008B7ADA" w:rsidRPr="00ED2E30" w:rsidRDefault="008B7ADA" w:rsidP="008B7ADA">
            <w:pPr>
              <w:pStyle w:val="Tabletext"/>
              <w:rPr>
                <w:rStyle w:val="Strong"/>
                <w:bCs/>
                <w:sz w:val="20"/>
                <w:szCs w:val="22"/>
              </w:rPr>
            </w:pPr>
          </w:p>
        </w:tc>
        <w:tc>
          <w:tcPr>
            <w:tcW w:w="0" w:type="auto"/>
            <w:tcBorders>
              <w:left w:val="nil"/>
            </w:tcBorders>
            <w:shd w:val="clear" w:color="auto" w:fill="D9D9D9"/>
          </w:tcPr>
          <w:p w14:paraId="58B203FC" w14:textId="77777777" w:rsidR="008B7ADA" w:rsidRPr="00ED2E30" w:rsidRDefault="008B7ADA" w:rsidP="008B7ADA">
            <w:pPr>
              <w:pStyle w:val="Tabletext"/>
              <w:rPr>
                <w:rStyle w:val="Strong"/>
                <w:bCs/>
                <w:sz w:val="20"/>
                <w:szCs w:val="22"/>
              </w:rPr>
            </w:pPr>
          </w:p>
        </w:tc>
      </w:tr>
      <w:tr w:rsidR="008B7ADA" w:rsidRPr="00F3260A" w14:paraId="432BE26D" w14:textId="77777777" w:rsidTr="008B7ADA">
        <w:trPr>
          <w:jc w:val="center"/>
        </w:trPr>
        <w:tc>
          <w:tcPr>
            <w:tcW w:w="0" w:type="auto"/>
          </w:tcPr>
          <w:p w14:paraId="4DB0E129" w14:textId="77777777" w:rsidR="008B7ADA" w:rsidRPr="00ED2E30" w:rsidRDefault="008B7ADA" w:rsidP="008B7ADA">
            <w:pPr>
              <w:pStyle w:val="Tabletext"/>
              <w:rPr>
                <w:sz w:val="20"/>
                <w:szCs w:val="22"/>
              </w:rPr>
            </w:pPr>
            <w:r w:rsidRPr="00ED2E30">
              <w:rPr>
                <w:sz w:val="20"/>
                <w:szCs w:val="22"/>
              </w:rPr>
              <w:t>(D) Design Document</w:t>
            </w:r>
          </w:p>
        </w:tc>
        <w:tc>
          <w:tcPr>
            <w:tcW w:w="0" w:type="auto"/>
          </w:tcPr>
          <w:p w14:paraId="15BAC6C0" w14:textId="77777777" w:rsidR="008B7ADA" w:rsidRPr="00ED2E30" w:rsidRDefault="008B7ADA" w:rsidP="008B7ADA">
            <w:pPr>
              <w:pStyle w:val="Tabletext"/>
              <w:rPr>
                <w:sz w:val="20"/>
                <w:szCs w:val="22"/>
              </w:rPr>
            </w:pPr>
            <w:r w:rsidRPr="00ED2E30">
              <w:rPr>
                <w:rStyle w:val="Strong"/>
                <w:bCs/>
                <w:sz w:val="20"/>
                <w:szCs w:val="22"/>
              </w:rPr>
              <w:t>Design Aide Memoire</w:t>
            </w:r>
            <w:r w:rsidRPr="00ED2E30">
              <w:rPr>
                <w:sz w:val="20"/>
                <w:szCs w:val="22"/>
              </w:rPr>
              <w:t xml:space="preserve"> - to be presented to Government of Tonga, AusAID, and other </w:t>
            </w:r>
            <w:proofErr w:type="gramStart"/>
            <w:r w:rsidRPr="00ED2E30">
              <w:rPr>
                <w:sz w:val="20"/>
                <w:szCs w:val="22"/>
              </w:rPr>
              <w:t xml:space="preserve">stakeholders    </w:t>
            </w:r>
            <w:proofErr w:type="gramEnd"/>
          </w:p>
        </w:tc>
        <w:tc>
          <w:tcPr>
            <w:tcW w:w="0" w:type="auto"/>
          </w:tcPr>
          <w:p w14:paraId="396779F5" w14:textId="77777777" w:rsidR="008B7ADA" w:rsidRPr="00ED2E30" w:rsidRDefault="008B7ADA" w:rsidP="008B7ADA">
            <w:pPr>
              <w:pStyle w:val="Tabletext"/>
              <w:rPr>
                <w:sz w:val="20"/>
                <w:szCs w:val="22"/>
              </w:rPr>
            </w:pPr>
            <w:r w:rsidRPr="00ED2E30">
              <w:rPr>
                <w:sz w:val="20"/>
                <w:szCs w:val="22"/>
              </w:rPr>
              <w:t>In accordance with AusAID Aide Memoire template</w:t>
            </w:r>
          </w:p>
        </w:tc>
        <w:tc>
          <w:tcPr>
            <w:tcW w:w="0" w:type="auto"/>
          </w:tcPr>
          <w:p w14:paraId="51BE8D69" w14:textId="77777777" w:rsidR="008B7ADA" w:rsidRPr="00ED2E30" w:rsidRDefault="008B7ADA" w:rsidP="008B7ADA">
            <w:pPr>
              <w:pStyle w:val="Tabletext"/>
              <w:rPr>
                <w:sz w:val="20"/>
                <w:szCs w:val="22"/>
              </w:rPr>
            </w:pPr>
            <w:r w:rsidRPr="00ED2E30">
              <w:rPr>
                <w:sz w:val="20"/>
                <w:szCs w:val="22"/>
              </w:rPr>
              <w:t>No more than 5 pages</w:t>
            </w:r>
          </w:p>
        </w:tc>
        <w:tc>
          <w:tcPr>
            <w:tcW w:w="0" w:type="auto"/>
          </w:tcPr>
          <w:p w14:paraId="1643D415" w14:textId="77777777" w:rsidR="008B7ADA" w:rsidRPr="00ED2E30" w:rsidRDefault="008B7ADA" w:rsidP="008B7ADA">
            <w:pPr>
              <w:pStyle w:val="Tabletext"/>
              <w:rPr>
                <w:sz w:val="20"/>
                <w:szCs w:val="22"/>
              </w:rPr>
            </w:pPr>
            <w:r w:rsidRPr="00ED2E30">
              <w:rPr>
                <w:sz w:val="20"/>
                <w:szCs w:val="22"/>
              </w:rPr>
              <w:t>At the end of the second in-country mission</w:t>
            </w:r>
          </w:p>
        </w:tc>
      </w:tr>
      <w:tr w:rsidR="008B7ADA" w:rsidRPr="00F3260A" w14:paraId="6489DAD9" w14:textId="77777777" w:rsidTr="008B7ADA">
        <w:trPr>
          <w:jc w:val="center"/>
        </w:trPr>
        <w:tc>
          <w:tcPr>
            <w:tcW w:w="0" w:type="auto"/>
          </w:tcPr>
          <w:p w14:paraId="059A3D4D" w14:textId="77777777" w:rsidR="008B7ADA" w:rsidRPr="00ED2E30" w:rsidRDefault="008B7ADA" w:rsidP="008B7ADA">
            <w:pPr>
              <w:pStyle w:val="Tabletext"/>
              <w:rPr>
                <w:sz w:val="20"/>
                <w:szCs w:val="22"/>
              </w:rPr>
            </w:pPr>
          </w:p>
        </w:tc>
        <w:tc>
          <w:tcPr>
            <w:tcW w:w="0" w:type="auto"/>
          </w:tcPr>
          <w:p w14:paraId="092E7450" w14:textId="77777777" w:rsidR="008B7ADA" w:rsidRPr="00ED2E30" w:rsidRDefault="008B7ADA" w:rsidP="008B7ADA">
            <w:pPr>
              <w:pStyle w:val="Tabletext"/>
              <w:rPr>
                <w:sz w:val="20"/>
                <w:szCs w:val="22"/>
              </w:rPr>
            </w:pPr>
            <w:r w:rsidRPr="00ED2E30">
              <w:rPr>
                <w:rStyle w:val="Strong"/>
                <w:bCs/>
                <w:sz w:val="20"/>
                <w:szCs w:val="22"/>
              </w:rPr>
              <w:t>Draft Design Document</w:t>
            </w:r>
            <w:r w:rsidRPr="00ED2E30">
              <w:rPr>
                <w:sz w:val="20"/>
                <w:szCs w:val="22"/>
              </w:rPr>
              <w:t xml:space="preserve"> - submitted to AusAID Nuku'alofa </w:t>
            </w:r>
          </w:p>
        </w:tc>
        <w:tc>
          <w:tcPr>
            <w:tcW w:w="0" w:type="auto"/>
          </w:tcPr>
          <w:p w14:paraId="5630E386" w14:textId="77777777" w:rsidR="008B7ADA" w:rsidRPr="00ED2E30" w:rsidRDefault="008B7ADA" w:rsidP="008B7ADA">
            <w:pPr>
              <w:pStyle w:val="Tabletext"/>
              <w:rPr>
                <w:sz w:val="20"/>
                <w:szCs w:val="22"/>
              </w:rPr>
            </w:pPr>
            <w:r w:rsidRPr="00ED2E30">
              <w:rPr>
                <w:sz w:val="20"/>
                <w:szCs w:val="22"/>
              </w:rPr>
              <w:t>In accordance with AusAID Design template</w:t>
            </w:r>
          </w:p>
        </w:tc>
        <w:tc>
          <w:tcPr>
            <w:tcW w:w="0" w:type="auto"/>
          </w:tcPr>
          <w:p w14:paraId="2C9569F1" w14:textId="77777777" w:rsidR="008B7ADA" w:rsidRPr="00ED2E30" w:rsidRDefault="008B7ADA" w:rsidP="008B7ADA">
            <w:pPr>
              <w:pStyle w:val="Tabletext"/>
              <w:rPr>
                <w:rStyle w:val="Strong"/>
                <w:bCs/>
                <w:sz w:val="20"/>
                <w:szCs w:val="22"/>
              </w:rPr>
            </w:pPr>
            <w:r w:rsidRPr="00ED2E30">
              <w:rPr>
                <w:sz w:val="20"/>
                <w:szCs w:val="22"/>
              </w:rPr>
              <w:t xml:space="preserve">Up to </w:t>
            </w:r>
            <w:proofErr w:type="gramStart"/>
            <w:r w:rsidRPr="00ED2E30">
              <w:rPr>
                <w:sz w:val="20"/>
                <w:szCs w:val="22"/>
              </w:rPr>
              <w:t>25  pages</w:t>
            </w:r>
            <w:proofErr w:type="gramEnd"/>
            <w:r w:rsidRPr="00ED2E30">
              <w:rPr>
                <w:sz w:val="20"/>
                <w:szCs w:val="22"/>
              </w:rPr>
              <w:t xml:space="preserve"> excluding annexes</w:t>
            </w:r>
          </w:p>
        </w:tc>
        <w:tc>
          <w:tcPr>
            <w:tcW w:w="0" w:type="auto"/>
          </w:tcPr>
          <w:p w14:paraId="7B0E095B" w14:textId="77777777" w:rsidR="008B7ADA" w:rsidRPr="00ED2E30" w:rsidRDefault="008B7ADA" w:rsidP="008B7ADA">
            <w:pPr>
              <w:pStyle w:val="Tabletext"/>
              <w:rPr>
                <w:rStyle w:val="Strong"/>
                <w:bCs/>
                <w:sz w:val="20"/>
                <w:szCs w:val="22"/>
              </w:rPr>
            </w:pPr>
            <w:r w:rsidRPr="00ED2E30">
              <w:rPr>
                <w:sz w:val="20"/>
                <w:szCs w:val="22"/>
              </w:rPr>
              <w:t>Within 10 working days of completion of the second field study to Tonga (Feedback from AusAID will be provided within three weeks of receiving the report, followed by a peer review</w:t>
            </w:r>
          </w:p>
        </w:tc>
      </w:tr>
      <w:tr w:rsidR="008B7ADA" w:rsidRPr="00F3260A" w14:paraId="094DCB25" w14:textId="77777777" w:rsidTr="008B7ADA">
        <w:trPr>
          <w:jc w:val="center"/>
        </w:trPr>
        <w:tc>
          <w:tcPr>
            <w:tcW w:w="0" w:type="auto"/>
          </w:tcPr>
          <w:p w14:paraId="179D9B2A" w14:textId="77777777" w:rsidR="008B7ADA" w:rsidRPr="00ED2E30" w:rsidRDefault="008B7ADA" w:rsidP="008B7ADA">
            <w:pPr>
              <w:pStyle w:val="Tabletext"/>
              <w:rPr>
                <w:sz w:val="20"/>
                <w:szCs w:val="22"/>
              </w:rPr>
            </w:pPr>
          </w:p>
        </w:tc>
        <w:tc>
          <w:tcPr>
            <w:tcW w:w="0" w:type="auto"/>
          </w:tcPr>
          <w:p w14:paraId="1456560E" w14:textId="77777777" w:rsidR="008B7ADA" w:rsidRPr="00ED2E30" w:rsidRDefault="008B7ADA" w:rsidP="008B7ADA">
            <w:pPr>
              <w:pStyle w:val="Tabletext"/>
              <w:rPr>
                <w:rStyle w:val="Strong"/>
                <w:bCs/>
                <w:sz w:val="20"/>
                <w:szCs w:val="22"/>
              </w:rPr>
            </w:pPr>
            <w:r w:rsidRPr="00ED2E30">
              <w:rPr>
                <w:rStyle w:val="Strong"/>
                <w:bCs/>
                <w:sz w:val="20"/>
                <w:szCs w:val="22"/>
              </w:rPr>
              <w:t xml:space="preserve">Final Design </w:t>
            </w:r>
            <w:r w:rsidRPr="00ED2E30">
              <w:rPr>
                <w:rStyle w:val="Strong"/>
                <w:bCs/>
                <w:sz w:val="20"/>
                <w:szCs w:val="22"/>
              </w:rPr>
              <w:lastRenderedPageBreak/>
              <w:t>Document</w:t>
            </w:r>
            <w:r w:rsidRPr="00ED2E30">
              <w:rPr>
                <w:sz w:val="20"/>
                <w:szCs w:val="22"/>
              </w:rPr>
              <w:t xml:space="preserve"> - final document incorporating advice from peer review.  </w:t>
            </w:r>
          </w:p>
        </w:tc>
        <w:tc>
          <w:tcPr>
            <w:tcW w:w="0" w:type="auto"/>
          </w:tcPr>
          <w:p w14:paraId="4F30089D" w14:textId="77777777" w:rsidR="008B7ADA" w:rsidRPr="00ED2E30" w:rsidRDefault="008B7ADA" w:rsidP="008B7ADA">
            <w:pPr>
              <w:pStyle w:val="Tabletext"/>
              <w:rPr>
                <w:sz w:val="20"/>
                <w:szCs w:val="22"/>
              </w:rPr>
            </w:pPr>
            <w:r w:rsidRPr="00ED2E30">
              <w:rPr>
                <w:sz w:val="20"/>
                <w:szCs w:val="22"/>
              </w:rPr>
              <w:lastRenderedPageBreak/>
              <w:t xml:space="preserve">In accordance with </w:t>
            </w:r>
            <w:r w:rsidRPr="00ED2E30">
              <w:rPr>
                <w:sz w:val="20"/>
                <w:szCs w:val="22"/>
              </w:rPr>
              <w:lastRenderedPageBreak/>
              <w:t>AusAID Design template</w:t>
            </w:r>
          </w:p>
        </w:tc>
        <w:tc>
          <w:tcPr>
            <w:tcW w:w="0" w:type="auto"/>
          </w:tcPr>
          <w:p w14:paraId="00C74B5A" w14:textId="77777777" w:rsidR="008B7ADA" w:rsidRPr="00ED2E30" w:rsidRDefault="008B7ADA" w:rsidP="008B7ADA">
            <w:pPr>
              <w:pStyle w:val="Tabletext"/>
              <w:rPr>
                <w:rStyle w:val="Strong"/>
                <w:bCs/>
                <w:sz w:val="20"/>
                <w:szCs w:val="22"/>
              </w:rPr>
            </w:pPr>
            <w:r w:rsidRPr="00ED2E30">
              <w:rPr>
                <w:sz w:val="20"/>
                <w:szCs w:val="22"/>
              </w:rPr>
              <w:lastRenderedPageBreak/>
              <w:t xml:space="preserve">Up to </w:t>
            </w:r>
            <w:proofErr w:type="gramStart"/>
            <w:r w:rsidRPr="00ED2E30">
              <w:rPr>
                <w:sz w:val="20"/>
                <w:szCs w:val="22"/>
              </w:rPr>
              <w:t xml:space="preserve">25  </w:t>
            </w:r>
            <w:r w:rsidRPr="00ED2E30">
              <w:rPr>
                <w:sz w:val="20"/>
                <w:szCs w:val="22"/>
              </w:rPr>
              <w:lastRenderedPageBreak/>
              <w:t>pages</w:t>
            </w:r>
            <w:proofErr w:type="gramEnd"/>
            <w:r w:rsidRPr="00ED2E30">
              <w:rPr>
                <w:sz w:val="20"/>
                <w:szCs w:val="22"/>
              </w:rPr>
              <w:t xml:space="preserve"> excluding annexes</w:t>
            </w:r>
          </w:p>
        </w:tc>
        <w:tc>
          <w:tcPr>
            <w:tcW w:w="0" w:type="auto"/>
          </w:tcPr>
          <w:p w14:paraId="78A266C7" w14:textId="77777777" w:rsidR="008B7ADA" w:rsidRPr="00ED2E30" w:rsidRDefault="008B7ADA" w:rsidP="008B7ADA">
            <w:pPr>
              <w:pStyle w:val="Tabletext"/>
              <w:rPr>
                <w:sz w:val="20"/>
                <w:szCs w:val="22"/>
              </w:rPr>
            </w:pPr>
            <w:r w:rsidRPr="00ED2E30">
              <w:rPr>
                <w:sz w:val="20"/>
                <w:szCs w:val="22"/>
              </w:rPr>
              <w:lastRenderedPageBreak/>
              <w:t xml:space="preserve">Within 5 </w:t>
            </w:r>
            <w:r w:rsidRPr="00ED2E30">
              <w:rPr>
                <w:sz w:val="20"/>
                <w:szCs w:val="22"/>
              </w:rPr>
              <w:lastRenderedPageBreak/>
              <w:t>working days of receiving feedback from AusAID</w:t>
            </w:r>
          </w:p>
        </w:tc>
      </w:tr>
    </w:tbl>
    <w:p w14:paraId="08770A36" w14:textId="77777777" w:rsidR="008B7ADA" w:rsidRPr="002B1B1B" w:rsidRDefault="008B7ADA" w:rsidP="008B7ADA"/>
    <w:p w14:paraId="59CF5CD5" w14:textId="77777777" w:rsidR="008B7ADA" w:rsidRPr="002B1B1B" w:rsidRDefault="008B7ADA" w:rsidP="008B7ADA">
      <w:pPr>
        <w:pStyle w:val="level2"/>
      </w:pPr>
      <w:r w:rsidRPr="002B1B1B">
        <w:t xml:space="preserve">All reports will be submitted in Word format </w:t>
      </w:r>
      <w:r>
        <w:t>and submitted by</w:t>
      </w:r>
      <w:r w:rsidRPr="002B1B1B">
        <w:t xml:space="preserve"> email to the </w:t>
      </w:r>
      <w:r>
        <w:t>mission m</w:t>
      </w:r>
      <w:r w:rsidRPr="002B1B1B">
        <w:t xml:space="preserve">anager </w:t>
      </w:r>
      <w:r>
        <w:t>at AusAID Nuku’alofa.</w:t>
      </w:r>
    </w:p>
    <w:p w14:paraId="03293F75" w14:textId="77777777" w:rsidR="008B7ADA" w:rsidRPr="00AF5479" w:rsidRDefault="008B7ADA" w:rsidP="008B7ADA">
      <w:pPr>
        <w:pStyle w:val="level1"/>
        <w:tabs>
          <w:tab w:val="clear" w:pos="643"/>
        </w:tabs>
      </w:pPr>
      <w:bookmarkStart w:id="42" w:name="_Toc203996809"/>
      <w:r w:rsidRPr="00AF5479">
        <w:t xml:space="preserve">Timing </w:t>
      </w:r>
      <w:r>
        <w:t>and Duration</w:t>
      </w:r>
      <w:r w:rsidRPr="00AF5479">
        <w:t xml:space="preserve"> the </w:t>
      </w:r>
      <w:r w:rsidRPr="00672FB8">
        <w:t>IPR</w:t>
      </w:r>
      <w:r>
        <w:t xml:space="preserve"> and Re-Design Mission</w:t>
      </w:r>
      <w:bookmarkEnd w:id="42"/>
    </w:p>
    <w:p w14:paraId="60742A71" w14:textId="77777777" w:rsidR="008B7ADA" w:rsidRDefault="008B7ADA" w:rsidP="008B7ADA">
      <w:pPr>
        <w:pStyle w:val="level2"/>
      </w:pPr>
      <w:r>
        <w:t>It is expected that the first mission (Phase 1) will be undertaken in the period April-June 2012 with a two-week in-country mission in early April 2012</w:t>
      </w:r>
    </w:p>
    <w:p w14:paraId="638D2112" w14:textId="77777777" w:rsidR="008B7ADA" w:rsidRPr="00116C1D" w:rsidRDefault="008B7ADA" w:rsidP="008B7ADA">
      <w:pPr>
        <w:pStyle w:val="level2"/>
      </w:pPr>
      <w:r>
        <w:t>The timing of the second mission (Phase 2) will be dependent upon discussions and agreements between the development partners but ideally a two-week design in-country mission would be undertaken in July 2012 at the latest.</w:t>
      </w:r>
    </w:p>
    <w:p w14:paraId="383A8F39" w14:textId="77777777" w:rsidR="008B7ADA" w:rsidRDefault="008B7ADA" w:rsidP="008B7ADA">
      <w:pPr>
        <w:pStyle w:val="level2"/>
      </w:pPr>
      <w:r>
        <w:t>Expected inputs and duration of the IPR and Re-Design Mission (Phases 1 and 2)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2835"/>
        <w:gridCol w:w="1842"/>
        <w:gridCol w:w="1276"/>
        <w:gridCol w:w="1474"/>
      </w:tblGrid>
      <w:tr w:rsidR="008B7ADA" w:rsidRPr="00061063" w14:paraId="64E3AEA2" w14:textId="77777777" w:rsidTr="008B7ADA">
        <w:trPr>
          <w:tblHeader/>
          <w:jc w:val="center"/>
        </w:trPr>
        <w:tc>
          <w:tcPr>
            <w:tcW w:w="1101" w:type="dxa"/>
          </w:tcPr>
          <w:p w14:paraId="399555D3" w14:textId="77777777" w:rsidR="008B7ADA" w:rsidRPr="00ED2E30" w:rsidRDefault="008B7ADA" w:rsidP="008B7ADA">
            <w:pPr>
              <w:pStyle w:val="Tabletext"/>
              <w:rPr>
                <w:rStyle w:val="Strong"/>
                <w:bCs/>
                <w:sz w:val="20"/>
                <w:szCs w:val="22"/>
              </w:rPr>
            </w:pPr>
            <w:r w:rsidRPr="00ED2E30">
              <w:rPr>
                <w:rStyle w:val="Strong"/>
                <w:bCs/>
                <w:sz w:val="20"/>
                <w:szCs w:val="22"/>
              </w:rPr>
              <w:t>Date</w:t>
            </w:r>
          </w:p>
        </w:tc>
        <w:tc>
          <w:tcPr>
            <w:tcW w:w="2835" w:type="dxa"/>
          </w:tcPr>
          <w:p w14:paraId="310A4A82" w14:textId="77777777" w:rsidR="008B7ADA" w:rsidRPr="00ED2E30" w:rsidRDefault="008B7ADA" w:rsidP="008B7ADA">
            <w:pPr>
              <w:pStyle w:val="Tabletext"/>
              <w:rPr>
                <w:rStyle w:val="Strong"/>
                <w:bCs/>
                <w:sz w:val="20"/>
                <w:szCs w:val="22"/>
              </w:rPr>
            </w:pPr>
            <w:r w:rsidRPr="00ED2E30">
              <w:rPr>
                <w:rStyle w:val="Strong"/>
                <w:bCs/>
                <w:sz w:val="20"/>
                <w:szCs w:val="22"/>
              </w:rPr>
              <w:t>Task</w:t>
            </w:r>
          </w:p>
        </w:tc>
        <w:tc>
          <w:tcPr>
            <w:tcW w:w="1842" w:type="dxa"/>
          </w:tcPr>
          <w:p w14:paraId="72D9224F" w14:textId="77777777" w:rsidR="008B7ADA" w:rsidRPr="00ED2E30" w:rsidRDefault="008B7ADA" w:rsidP="008B7ADA">
            <w:pPr>
              <w:pStyle w:val="Tabletext"/>
              <w:rPr>
                <w:rStyle w:val="Strong"/>
                <w:bCs/>
                <w:sz w:val="20"/>
                <w:szCs w:val="22"/>
              </w:rPr>
            </w:pPr>
            <w:r w:rsidRPr="00ED2E30">
              <w:rPr>
                <w:rStyle w:val="Strong"/>
                <w:bCs/>
                <w:sz w:val="20"/>
                <w:szCs w:val="22"/>
              </w:rPr>
              <w:t>Location</w:t>
            </w:r>
          </w:p>
        </w:tc>
        <w:tc>
          <w:tcPr>
            <w:tcW w:w="2750" w:type="dxa"/>
            <w:gridSpan w:val="2"/>
          </w:tcPr>
          <w:p w14:paraId="0F061CAD" w14:textId="77777777" w:rsidR="008B7ADA" w:rsidRPr="00ED2E30" w:rsidRDefault="008B7ADA" w:rsidP="008B7ADA">
            <w:pPr>
              <w:pStyle w:val="Tabletext"/>
              <w:jc w:val="center"/>
              <w:rPr>
                <w:rStyle w:val="Strong"/>
                <w:bCs/>
                <w:sz w:val="20"/>
                <w:szCs w:val="22"/>
              </w:rPr>
            </w:pPr>
            <w:r w:rsidRPr="00ED2E30">
              <w:rPr>
                <w:rStyle w:val="Strong"/>
                <w:bCs/>
                <w:sz w:val="20"/>
                <w:szCs w:val="22"/>
              </w:rPr>
              <w:t xml:space="preserve">Input (Days) </w:t>
            </w:r>
          </w:p>
          <w:p w14:paraId="7886C294" w14:textId="77777777" w:rsidR="008B7ADA" w:rsidRPr="00ED2E30" w:rsidRDefault="008B7ADA" w:rsidP="008B7ADA">
            <w:pPr>
              <w:pStyle w:val="Tabletext"/>
              <w:jc w:val="center"/>
              <w:rPr>
                <w:rStyle w:val="Strong"/>
                <w:bCs/>
                <w:sz w:val="20"/>
                <w:szCs w:val="22"/>
              </w:rPr>
            </w:pPr>
            <w:r w:rsidRPr="00ED2E30">
              <w:rPr>
                <w:rStyle w:val="Strong"/>
                <w:bCs/>
                <w:sz w:val="20"/>
                <w:szCs w:val="22"/>
              </w:rPr>
              <w:t>(Maximum input)</w:t>
            </w:r>
          </w:p>
        </w:tc>
      </w:tr>
      <w:tr w:rsidR="008B7ADA" w:rsidRPr="00061063" w14:paraId="2C96BD36" w14:textId="77777777" w:rsidTr="008B7ADA">
        <w:trPr>
          <w:jc w:val="center"/>
        </w:trPr>
        <w:tc>
          <w:tcPr>
            <w:tcW w:w="1101" w:type="dxa"/>
            <w:tcBorders>
              <w:right w:val="nil"/>
            </w:tcBorders>
            <w:shd w:val="clear" w:color="auto" w:fill="D9D9D9"/>
          </w:tcPr>
          <w:p w14:paraId="0DAF7B42" w14:textId="77777777" w:rsidR="008B7ADA" w:rsidRPr="00ED2E30" w:rsidRDefault="008B7ADA" w:rsidP="008B7ADA">
            <w:pPr>
              <w:pStyle w:val="Tabletext"/>
              <w:rPr>
                <w:rStyle w:val="Strong"/>
                <w:bCs/>
                <w:sz w:val="20"/>
                <w:szCs w:val="22"/>
              </w:rPr>
            </w:pPr>
            <w:r w:rsidRPr="00ED2E30">
              <w:rPr>
                <w:rStyle w:val="Strong"/>
                <w:bCs/>
                <w:sz w:val="20"/>
                <w:szCs w:val="22"/>
              </w:rPr>
              <w:t>PHASE 1</w:t>
            </w:r>
          </w:p>
        </w:tc>
        <w:tc>
          <w:tcPr>
            <w:tcW w:w="2835" w:type="dxa"/>
            <w:tcBorders>
              <w:left w:val="nil"/>
              <w:right w:val="nil"/>
            </w:tcBorders>
            <w:shd w:val="clear" w:color="auto" w:fill="D9D9D9"/>
          </w:tcPr>
          <w:p w14:paraId="201856DD" w14:textId="77777777" w:rsidR="008B7ADA" w:rsidRPr="00ED2E30" w:rsidRDefault="008B7ADA" w:rsidP="008B7ADA">
            <w:pPr>
              <w:pStyle w:val="Tabletext"/>
              <w:rPr>
                <w:rStyle w:val="Strong"/>
                <w:bCs/>
                <w:sz w:val="20"/>
                <w:szCs w:val="22"/>
              </w:rPr>
            </w:pPr>
          </w:p>
        </w:tc>
        <w:tc>
          <w:tcPr>
            <w:tcW w:w="1842" w:type="dxa"/>
            <w:tcBorders>
              <w:left w:val="nil"/>
              <w:right w:val="nil"/>
            </w:tcBorders>
            <w:shd w:val="clear" w:color="auto" w:fill="D9D9D9"/>
          </w:tcPr>
          <w:p w14:paraId="60C9257D" w14:textId="77777777" w:rsidR="008B7ADA" w:rsidRPr="00ED2E30" w:rsidRDefault="008B7ADA" w:rsidP="008B7ADA">
            <w:pPr>
              <w:pStyle w:val="Tabletext"/>
              <w:rPr>
                <w:rStyle w:val="Strong"/>
                <w:bCs/>
                <w:sz w:val="20"/>
                <w:szCs w:val="22"/>
              </w:rPr>
            </w:pPr>
          </w:p>
        </w:tc>
        <w:tc>
          <w:tcPr>
            <w:tcW w:w="1276" w:type="dxa"/>
            <w:tcBorders>
              <w:left w:val="nil"/>
              <w:right w:val="nil"/>
            </w:tcBorders>
            <w:shd w:val="clear" w:color="auto" w:fill="D9D9D9"/>
          </w:tcPr>
          <w:p w14:paraId="1FB01802" w14:textId="77777777" w:rsidR="008B7ADA" w:rsidRPr="00ED2E30" w:rsidRDefault="008B7ADA" w:rsidP="008B7ADA">
            <w:pPr>
              <w:pStyle w:val="Tabletext"/>
              <w:jc w:val="center"/>
              <w:rPr>
                <w:rStyle w:val="Strong"/>
                <w:bCs/>
                <w:sz w:val="20"/>
                <w:szCs w:val="22"/>
              </w:rPr>
            </w:pPr>
          </w:p>
        </w:tc>
        <w:tc>
          <w:tcPr>
            <w:tcW w:w="1474" w:type="dxa"/>
            <w:tcBorders>
              <w:left w:val="nil"/>
            </w:tcBorders>
            <w:shd w:val="clear" w:color="auto" w:fill="D9D9D9"/>
          </w:tcPr>
          <w:p w14:paraId="4195D846" w14:textId="77777777" w:rsidR="008B7ADA" w:rsidRPr="00ED2E30" w:rsidRDefault="008B7ADA" w:rsidP="008B7ADA">
            <w:pPr>
              <w:pStyle w:val="Tabletext"/>
              <w:jc w:val="center"/>
              <w:rPr>
                <w:rStyle w:val="Strong"/>
                <w:bCs/>
                <w:sz w:val="20"/>
                <w:szCs w:val="22"/>
              </w:rPr>
            </w:pPr>
          </w:p>
        </w:tc>
      </w:tr>
      <w:tr w:rsidR="008B7ADA" w14:paraId="6E93623F" w14:textId="77777777" w:rsidTr="008B7ADA">
        <w:trPr>
          <w:jc w:val="center"/>
        </w:trPr>
        <w:tc>
          <w:tcPr>
            <w:tcW w:w="1101" w:type="dxa"/>
          </w:tcPr>
          <w:p w14:paraId="2DE59AE8" w14:textId="77777777" w:rsidR="008B7ADA" w:rsidRPr="00ED2E30" w:rsidRDefault="008B7ADA" w:rsidP="008B7ADA">
            <w:pPr>
              <w:pStyle w:val="Tabletext"/>
              <w:rPr>
                <w:sz w:val="20"/>
                <w:szCs w:val="22"/>
              </w:rPr>
            </w:pPr>
          </w:p>
          <w:p w14:paraId="5C748B66" w14:textId="77777777" w:rsidR="008B7ADA" w:rsidRPr="00ED2E30" w:rsidRDefault="008B7ADA" w:rsidP="008B7ADA">
            <w:pPr>
              <w:pStyle w:val="Tabletext"/>
              <w:rPr>
                <w:b/>
                <w:sz w:val="20"/>
                <w:szCs w:val="22"/>
              </w:rPr>
            </w:pPr>
            <w:r w:rsidRPr="00ED2E30">
              <w:rPr>
                <w:b/>
                <w:sz w:val="20"/>
                <w:szCs w:val="22"/>
              </w:rPr>
              <w:t>2012</w:t>
            </w:r>
          </w:p>
        </w:tc>
        <w:tc>
          <w:tcPr>
            <w:tcW w:w="2835" w:type="dxa"/>
          </w:tcPr>
          <w:p w14:paraId="7E14AF14" w14:textId="77777777" w:rsidR="008B7ADA" w:rsidRPr="00ED2E30" w:rsidRDefault="008B7ADA" w:rsidP="008B7ADA">
            <w:pPr>
              <w:pStyle w:val="Tabletext"/>
              <w:rPr>
                <w:sz w:val="20"/>
                <w:szCs w:val="22"/>
              </w:rPr>
            </w:pPr>
          </w:p>
        </w:tc>
        <w:tc>
          <w:tcPr>
            <w:tcW w:w="1842" w:type="dxa"/>
          </w:tcPr>
          <w:p w14:paraId="7A8D8919" w14:textId="77777777" w:rsidR="008B7ADA" w:rsidRPr="00ED2E30" w:rsidRDefault="008B7ADA" w:rsidP="008B7ADA">
            <w:pPr>
              <w:pStyle w:val="Tabletext"/>
              <w:rPr>
                <w:sz w:val="20"/>
                <w:szCs w:val="22"/>
              </w:rPr>
            </w:pPr>
          </w:p>
        </w:tc>
        <w:tc>
          <w:tcPr>
            <w:tcW w:w="1276" w:type="dxa"/>
          </w:tcPr>
          <w:p w14:paraId="22D18795" w14:textId="77777777" w:rsidR="008B7ADA" w:rsidRPr="00ED2E30" w:rsidRDefault="008B7ADA" w:rsidP="008B7ADA">
            <w:pPr>
              <w:pStyle w:val="Tabletext"/>
              <w:jc w:val="center"/>
              <w:rPr>
                <w:rStyle w:val="Strong"/>
                <w:bCs/>
                <w:sz w:val="20"/>
                <w:szCs w:val="22"/>
              </w:rPr>
            </w:pPr>
            <w:r w:rsidRPr="00ED2E30">
              <w:rPr>
                <w:rStyle w:val="Strong"/>
                <w:bCs/>
                <w:sz w:val="20"/>
                <w:szCs w:val="22"/>
              </w:rPr>
              <w:t>Team Leader</w:t>
            </w:r>
          </w:p>
        </w:tc>
        <w:tc>
          <w:tcPr>
            <w:tcW w:w="1474" w:type="dxa"/>
          </w:tcPr>
          <w:p w14:paraId="5B4B3093" w14:textId="77777777" w:rsidR="008B7ADA" w:rsidRPr="00ED2E30" w:rsidRDefault="008B7ADA" w:rsidP="008B7ADA">
            <w:pPr>
              <w:pStyle w:val="Tabletext"/>
              <w:jc w:val="center"/>
              <w:rPr>
                <w:rStyle w:val="Strong"/>
                <w:bCs/>
                <w:sz w:val="20"/>
                <w:szCs w:val="22"/>
              </w:rPr>
            </w:pPr>
            <w:r w:rsidRPr="00ED2E30">
              <w:rPr>
                <w:rStyle w:val="Strong"/>
                <w:bCs/>
                <w:sz w:val="20"/>
                <w:szCs w:val="22"/>
              </w:rPr>
              <w:t>TVET Specialist</w:t>
            </w:r>
          </w:p>
        </w:tc>
      </w:tr>
      <w:tr w:rsidR="008B7ADA" w14:paraId="717591BA" w14:textId="77777777" w:rsidTr="008B7ADA">
        <w:trPr>
          <w:jc w:val="center"/>
        </w:trPr>
        <w:tc>
          <w:tcPr>
            <w:tcW w:w="1101" w:type="dxa"/>
          </w:tcPr>
          <w:p w14:paraId="272D0BD7" w14:textId="77777777" w:rsidR="008B7ADA" w:rsidRPr="00ED2E30" w:rsidRDefault="008B7ADA" w:rsidP="008B7ADA">
            <w:pPr>
              <w:pStyle w:val="Tabletext"/>
              <w:rPr>
                <w:sz w:val="20"/>
                <w:szCs w:val="22"/>
              </w:rPr>
            </w:pPr>
            <w:r>
              <w:rPr>
                <w:sz w:val="20"/>
                <w:szCs w:val="22"/>
              </w:rPr>
              <w:t>9</w:t>
            </w:r>
            <w:r w:rsidRPr="00ED2E30">
              <w:rPr>
                <w:sz w:val="20"/>
                <w:szCs w:val="22"/>
              </w:rPr>
              <w:t>-</w:t>
            </w:r>
            <w:r>
              <w:rPr>
                <w:sz w:val="20"/>
                <w:szCs w:val="22"/>
              </w:rPr>
              <w:t>11</w:t>
            </w:r>
            <w:r w:rsidRPr="00ED2E30">
              <w:rPr>
                <w:sz w:val="20"/>
                <w:szCs w:val="22"/>
              </w:rPr>
              <w:t xml:space="preserve"> </w:t>
            </w:r>
            <w:r>
              <w:rPr>
                <w:sz w:val="20"/>
                <w:szCs w:val="22"/>
              </w:rPr>
              <w:t>April</w:t>
            </w:r>
          </w:p>
        </w:tc>
        <w:tc>
          <w:tcPr>
            <w:tcW w:w="2835" w:type="dxa"/>
          </w:tcPr>
          <w:p w14:paraId="062C01D0" w14:textId="77777777" w:rsidR="008B7ADA" w:rsidRPr="00ED2E30" w:rsidRDefault="008B7ADA" w:rsidP="008B7ADA">
            <w:pPr>
              <w:pStyle w:val="Tabletext"/>
              <w:rPr>
                <w:sz w:val="20"/>
                <w:szCs w:val="22"/>
              </w:rPr>
            </w:pPr>
            <w:r w:rsidRPr="00ED2E30">
              <w:rPr>
                <w:sz w:val="20"/>
                <w:szCs w:val="22"/>
              </w:rPr>
              <w:t>Document review</w:t>
            </w:r>
          </w:p>
        </w:tc>
        <w:tc>
          <w:tcPr>
            <w:tcW w:w="1842" w:type="dxa"/>
          </w:tcPr>
          <w:p w14:paraId="614E3FB5" w14:textId="77777777" w:rsidR="008B7ADA" w:rsidRPr="00ED2E30" w:rsidRDefault="008B7ADA" w:rsidP="008B7ADA">
            <w:pPr>
              <w:pStyle w:val="Tabletext"/>
              <w:rPr>
                <w:sz w:val="20"/>
                <w:szCs w:val="22"/>
              </w:rPr>
            </w:pPr>
            <w:r w:rsidRPr="00ED2E30">
              <w:rPr>
                <w:sz w:val="20"/>
                <w:szCs w:val="22"/>
              </w:rPr>
              <w:t>Home office</w:t>
            </w:r>
          </w:p>
        </w:tc>
        <w:tc>
          <w:tcPr>
            <w:tcW w:w="1276" w:type="dxa"/>
          </w:tcPr>
          <w:p w14:paraId="11EEF6F9" w14:textId="77777777" w:rsidR="008B7ADA" w:rsidRPr="00ED2E30" w:rsidRDefault="008B7ADA" w:rsidP="008B7ADA">
            <w:pPr>
              <w:pStyle w:val="Tabletext"/>
              <w:jc w:val="center"/>
              <w:rPr>
                <w:sz w:val="20"/>
                <w:szCs w:val="22"/>
              </w:rPr>
            </w:pPr>
            <w:r w:rsidRPr="00ED2E30">
              <w:rPr>
                <w:sz w:val="20"/>
                <w:szCs w:val="22"/>
              </w:rPr>
              <w:t>3</w:t>
            </w:r>
          </w:p>
        </w:tc>
        <w:tc>
          <w:tcPr>
            <w:tcW w:w="1474" w:type="dxa"/>
          </w:tcPr>
          <w:p w14:paraId="1785575F" w14:textId="77777777" w:rsidR="008B7ADA" w:rsidRPr="00ED2E30" w:rsidRDefault="008B7ADA" w:rsidP="008B7ADA">
            <w:pPr>
              <w:pStyle w:val="Tabletext"/>
              <w:jc w:val="center"/>
              <w:rPr>
                <w:sz w:val="20"/>
                <w:szCs w:val="22"/>
              </w:rPr>
            </w:pPr>
            <w:r w:rsidRPr="00ED2E30">
              <w:rPr>
                <w:sz w:val="20"/>
                <w:szCs w:val="22"/>
              </w:rPr>
              <w:t>3</w:t>
            </w:r>
          </w:p>
        </w:tc>
      </w:tr>
      <w:tr w:rsidR="008B7ADA" w14:paraId="57FA98CC" w14:textId="77777777" w:rsidTr="008B7ADA">
        <w:trPr>
          <w:jc w:val="center"/>
        </w:trPr>
        <w:tc>
          <w:tcPr>
            <w:tcW w:w="1101" w:type="dxa"/>
          </w:tcPr>
          <w:p w14:paraId="466491F1" w14:textId="77777777" w:rsidR="008B7ADA" w:rsidRPr="00ED2E30" w:rsidRDefault="008B7ADA" w:rsidP="008B7ADA">
            <w:pPr>
              <w:pStyle w:val="Tabletext"/>
              <w:rPr>
                <w:sz w:val="20"/>
                <w:szCs w:val="22"/>
              </w:rPr>
            </w:pPr>
            <w:r>
              <w:rPr>
                <w:sz w:val="20"/>
                <w:szCs w:val="22"/>
              </w:rPr>
              <w:t>13</w:t>
            </w:r>
            <w:r w:rsidRPr="00ED2E30">
              <w:rPr>
                <w:sz w:val="20"/>
                <w:szCs w:val="22"/>
              </w:rPr>
              <w:t xml:space="preserve"> </w:t>
            </w:r>
            <w:r>
              <w:rPr>
                <w:sz w:val="20"/>
                <w:szCs w:val="22"/>
              </w:rPr>
              <w:t>April</w:t>
            </w:r>
          </w:p>
        </w:tc>
        <w:tc>
          <w:tcPr>
            <w:tcW w:w="2835" w:type="dxa"/>
          </w:tcPr>
          <w:p w14:paraId="1B3FB0AE" w14:textId="77777777" w:rsidR="008B7ADA" w:rsidRPr="00ED2E30" w:rsidRDefault="008B7ADA" w:rsidP="008B7ADA">
            <w:pPr>
              <w:pStyle w:val="Tabletext"/>
              <w:rPr>
                <w:sz w:val="20"/>
                <w:szCs w:val="22"/>
              </w:rPr>
            </w:pPr>
            <w:r w:rsidRPr="00ED2E30">
              <w:rPr>
                <w:sz w:val="20"/>
                <w:szCs w:val="22"/>
              </w:rPr>
              <w:t>IPR Evaluation Plan</w:t>
            </w:r>
          </w:p>
        </w:tc>
        <w:tc>
          <w:tcPr>
            <w:tcW w:w="1842" w:type="dxa"/>
          </w:tcPr>
          <w:p w14:paraId="7569CCCA" w14:textId="77777777" w:rsidR="008B7ADA" w:rsidRPr="00ED2E30" w:rsidRDefault="008B7ADA" w:rsidP="008B7ADA">
            <w:pPr>
              <w:pStyle w:val="Tabletext"/>
              <w:rPr>
                <w:sz w:val="20"/>
                <w:szCs w:val="22"/>
              </w:rPr>
            </w:pPr>
            <w:r w:rsidRPr="00ED2E30">
              <w:rPr>
                <w:sz w:val="20"/>
                <w:szCs w:val="22"/>
              </w:rPr>
              <w:t>Home office</w:t>
            </w:r>
          </w:p>
        </w:tc>
        <w:tc>
          <w:tcPr>
            <w:tcW w:w="1276" w:type="dxa"/>
          </w:tcPr>
          <w:p w14:paraId="76E24975" w14:textId="77777777" w:rsidR="008B7ADA" w:rsidRPr="00ED2E30" w:rsidRDefault="008B7ADA" w:rsidP="008B7ADA">
            <w:pPr>
              <w:pStyle w:val="Tabletext"/>
              <w:jc w:val="center"/>
              <w:rPr>
                <w:sz w:val="20"/>
                <w:szCs w:val="22"/>
              </w:rPr>
            </w:pPr>
            <w:r w:rsidRPr="00ED2E30">
              <w:rPr>
                <w:sz w:val="20"/>
                <w:szCs w:val="22"/>
              </w:rPr>
              <w:t>1</w:t>
            </w:r>
          </w:p>
        </w:tc>
        <w:tc>
          <w:tcPr>
            <w:tcW w:w="1474" w:type="dxa"/>
          </w:tcPr>
          <w:p w14:paraId="6228F2E1" w14:textId="77777777" w:rsidR="008B7ADA" w:rsidRPr="00ED2E30" w:rsidRDefault="008B7ADA" w:rsidP="008B7ADA">
            <w:pPr>
              <w:pStyle w:val="Tabletext"/>
              <w:jc w:val="center"/>
              <w:rPr>
                <w:sz w:val="20"/>
                <w:szCs w:val="22"/>
              </w:rPr>
            </w:pPr>
            <w:r w:rsidRPr="00ED2E30">
              <w:rPr>
                <w:sz w:val="20"/>
                <w:szCs w:val="22"/>
              </w:rPr>
              <w:t>-</w:t>
            </w:r>
          </w:p>
        </w:tc>
      </w:tr>
      <w:tr w:rsidR="008B7ADA" w14:paraId="49BEE9DE" w14:textId="77777777" w:rsidTr="008B7ADA">
        <w:trPr>
          <w:jc w:val="center"/>
        </w:trPr>
        <w:tc>
          <w:tcPr>
            <w:tcW w:w="1101" w:type="dxa"/>
          </w:tcPr>
          <w:p w14:paraId="43C4BC00" w14:textId="77777777" w:rsidR="008B7ADA" w:rsidRPr="00ED2E30" w:rsidRDefault="008B7ADA" w:rsidP="008B7ADA">
            <w:pPr>
              <w:pStyle w:val="Tabletext"/>
              <w:rPr>
                <w:sz w:val="20"/>
                <w:szCs w:val="22"/>
              </w:rPr>
            </w:pPr>
            <w:r>
              <w:rPr>
                <w:sz w:val="20"/>
                <w:szCs w:val="22"/>
              </w:rPr>
              <w:t>17</w:t>
            </w:r>
            <w:r w:rsidRPr="00ED2E30">
              <w:rPr>
                <w:sz w:val="20"/>
                <w:szCs w:val="22"/>
              </w:rPr>
              <w:t>-</w:t>
            </w:r>
            <w:r>
              <w:rPr>
                <w:sz w:val="20"/>
                <w:szCs w:val="22"/>
              </w:rPr>
              <w:t>18</w:t>
            </w:r>
            <w:r w:rsidRPr="00ED2E30">
              <w:rPr>
                <w:sz w:val="20"/>
                <w:szCs w:val="22"/>
              </w:rPr>
              <w:t xml:space="preserve"> </w:t>
            </w:r>
            <w:r>
              <w:rPr>
                <w:sz w:val="20"/>
                <w:szCs w:val="22"/>
              </w:rPr>
              <w:t>April</w:t>
            </w:r>
          </w:p>
        </w:tc>
        <w:tc>
          <w:tcPr>
            <w:tcW w:w="2835" w:type="dxa"/>
          </w:tcPr>
          <w:p w14:paraId="6D6D296F" w14:textId="77777777" w:rsidR="008B7ADA" w:rsidRPr="00ED2E30" w:rsidRDefault="008B7ADA" w:rsidP="008B7ADA">
            <w:pPr>
              <w:pStyle w:val="Tabletext"/>
              <w:rPr>
                <w:sz w:val="20"/>
                <w:szCs w:val="22"/>
              </w:rPr>
            </w:pPr>
            <w:r w:rsidRPr="00ED2E30">
              <w:rPr>
                <w:sz w:val="20"/>
                <w:szCs w:val="22"/>
              </w:rPr>
              <w:t>AusAID briefings &amp; presentation of methodology &amp; AusAID approval of Evaluation Plan</w:t>
            </w:r>
          </w:p>
        </w:tc>
        <w:tc>
          <w:tcPr>
            <w:tcW w:w="1842" w:type="dxa"/>
          </w:tcPr>
          <w:p w14:paraId="0FDB7493" w14:textId="77777777" w:rsidR="008B7ADA" w:rsidRPr="00ED2E30" w:rsidRDefault="008B7ADA" w:rsidP="008B7ADA">
            <w:pPr>
              <w:pStyle w:val="Tabletext"/>
              <w:rPr>
                <w:sz w:val="20"/>
                <w:szCs w:val="22"/>
              </w:rPr>
            </w:pPr>
            <w:r w:rsidRPr="00ED2E30">
              <w:rPr>
                <w:sz w:val="20"/>
                <w:szCs w:val="22"/>
              </w:rPr>
              <w:t>Canberra</w:t>
            </w:r>
          </w:p>
        </w:tc>
        <w:tc>
          <w:tcPr>
            <w:tcW w:w="1276" w:type="dxa"/>
          </w:tcPr>
          <w:p w14:paraId="7113D895" w14:textId="77777777" w:rsidR="008B7ADA" w:rsidRPr="00ED2E30" w:rsidRDefault="008B7ADA" w:rsidP="008B7ADA">
            <w:pPr>
              <w:pStyle w:val="Tabletext"/>
              <w:jc w:val="center"/>
              <w:rPr>
                <w:sz w:val="20"/>
                <w:szCs w:val="22"/>
              </w:rPr>
            </w:pPr>
            <w:r w:rsidRPr="00ED2E30">
              <w:rPr>
                <w:sz w:val="20"/>
                <w:szCs w:val="22"/>
              </w:rPr>
              <w:t>2</w:t>
            </w:r>
          </w:p>
        </w:tc>
        <w:tc>
          <w:tcPr>
            <w:tcW w:w="1474" w:type="dxa"/>
          </w:tcPr>
          <w:p w14:paraId="2168BA47" w14:textId="77777777" w:rsidR="008B7ADA" w:rsidRPr="00ED2E30" w:rsidRDefault="008B7ADA" w:rsidP="008B7ADA">
            <w:pPr>
              <w:pStyle w:val="Tabletext"/>
              <w:jc w:val="center"/>
              <w:rPr>
                <w:sz w:val="20"/>
                <w:szCs w:val="22"/>
              </w:rPr>
            </w:pPr>
            <w:r w:rsidRPr="00ED2E30">
              <w:rPr>
                <w:sz w:val="20"/>
                <w:szCs w:val="22"/>
              </w:rPr>
              <w:t>1</w:t>
            </w:r>
          </w:p>
        </w:tc>
      </w:tr>
      <w:tr w:rsidR="008B7ADA" w14:paraId="027EE139" w14:textId="77777777" w:rsidTr="008B7ADA">
        <w:trPr>
          <w:jc w:val="center"/>
        </w:trPr>
        <w:tc>
          <w:tcPr>
            <w:tcW w:w="1101" w:type="dxa"/>
          </w:tcPr>
          <w:p w14:paraId="3C1ECCB4" w14:textId="77777777" w:rsidR="008B7ADA" w:rsidRPr="00ED2E30" w:rsidRDefault="008B7ADA" w:rsidP="008B7ADA">
            <w:pPr>
              <w:pStyle w:val="Tabletext"/>
              <w:rPr>
                <w:sz w:val="20"/>
                <w:szCs w:val="22"/>
              </w:rPr>
            </w:pPr>
            <w:r>
              <w:rPr>
                <w:sz w:val="20"/>
                <w:szCs w:val="22"/>
              </w:rPr>
              <w:t xml:space="preserve">23 April </w:t>
            </w:r>
            <w:r w:rsidRPr="00ED2E30">
              <w:rPr>
                <w:sz w:val="20"/>
                <w:szCs w:val="22"/>
              </w:rPr>
              <w:t>-</w:t>
            </w:r>
            <w:r>
              <w:rPr>
                <w:sz w:val="20"/>
                <w:szCs w:val="22"/>
              </w:rPr>
              <w:t xml:space="preserve"> 6</w:t>
            </w:r>
            <w:r w:rsidRPr="00ED2E30">
              <w:rPr>
                <w:sz w:val="20"/>
                <w:szCs w:val="22"/>
              </w:rPr>
              <w:t xml:space="preserve"> </w:t>
            </w:r>
            <w:r>
              <w:rPr>
                <w:sz w:val="20"/>
                <w:szCs w:val="22"/>
              </w:rPr>
              <w:t>May</w:t>
            </w:r>
            <w:r w:rsidRPr="00ED2E30">
              <w:rPr>
                <w:sz w:val="20"/>
                <w:szCs w:val="22"/>
              </w:rPr>
              <w:t xml:space="preserve"> </w:t>
            </w:r>
          </w:p>
        </w:tc>
        <w:tc>
          <w:tcPr>
            <w:tcW w:w="2835" w:type="dxa"/>
          </w:tcPr>
          <w:p w14:paraId="049FF42E" w14:textId="77777777" w:rsidR="008B7ADA" w:rsidRPr="00ED2E30" w:rsidRDefault="008B7ADA" w:rsidP="008B7ADA">
            <w:pPr>
              <w:pStyle w:val="Tabletext"/>
              <w:rPr>
                <w:sz w:val="20"/>
                <w:szCs w:val="22"/>
              </w:rPr>
            </w:pPr>
            <w:r w:rsidRPr="00ED2E30">
              <w:rPr>
                <w:sz w:val="20"/>
                <w:szCs w:val="22"/>
              </w:rPr>
              <w:t>Mission 1 including preparation and presentation of Aide Memoire and outline of the draft IPR.</w:t>
            </w:r>
          </w:p>
        </w:tc>
        <w:tc>
          <w:tcPr>
            <w:tcW w:w="1842" w:type="dxa"/>
          </w:tcPr>
          <w:p w14:paraId="07673393" w14:textId="77777777" w:rsidR="008B7ADA" w:rsidRPr="00ED2E30" w:rsidRDefault="008B7ADA" w:rsidP="008B7ADA">
            <w:pPr>
              <w:pStyle w:val="Tabletext"/>
              <w:rPr>
                <w:sz w:val="20"/>
                <w:szCs w:val="22"/>
              </w:rPr>
            </w:pPr>
            <w:r w:rsidRPr="00ED2E30">
              <w:rPr>
                <w:sz w:val="20"/>
                <w:szCs w:val="22"/>
              </w:rPr>
              <w:t>Tonga</w:t>
            </w:r>
          </w:p>
        </w:tc>
        <w:tc>
          <w:tcPr>
            <w:tcW w:w="1276" w:type="dxa"/>
          </w:tcPr>
          <w:p w14:paraId="1D323DFC" w14:textId="77777777" w:rsidR="008B7ADA" w:rsidRPr="00ED2E30" w:rsidRDefault="008B7ADA" w:rsidP="008B7ADA">
            <w:pPr>
              <w:pStyle w:val="Tabletext"/>
              <w:jc w:val="center"/>
              <w:rPr>
                <w:sz w:val="20"/>
                <w:szCs w:val="22"/>
              </w:rPr>
            </w:pPr>
            <w:r w:rsidRPr="00ED2E30">
              <w:rPr>
                <w:sz w:val="20"/>
                <w:szCs w:val="22"/>
              </w:rPr>
              <w:t>14</w:t>
            </w:r>
          </w:p>
        </w:tc>
        <w:tc>
          <w:tcPr>
            <w:tcW w:w="1474" w:type="dxa"/>
          </w:tcPr>
          <w:p w14:paraId="2B80AD23" w14:textId="77777777" w:rsidR="008B7ADA" w:rsidRPr="00ED2E30" w:rsidRDefault="008B7ADA" w:rsidP="008B7ADA">
            <w:pPr>
              <w:pStyle w:val="Tabletext"/>
              <w:jc w:val="center"/>
              <w:rPr>
                <w:sz w:val="20"/>
                <w:szCs w:val="22"/>
              </w:rPr>
            </w:pPr>
            <w:r w:rsidRPr="00ED2E30">
              <w:rPr>
                <w:sz w:val="20"/>
                <w:szCs w:val="22"/>
              </w:rPr>
              <w:t>14</w:t>
            </w:r>
          </w:p>
        </w:tc>
      </w:tr>
      <w:tr w:rsidR="008B7ADA" w14:paraId="4925A150" w14:textId="77777777" w:rsidTr="008B7ADA">
        <w:trPr>
          <w:jc w:val="center"/>
        </w:trPr>
        <w:tc>
          <w:tcPr>
            <w:tcW w:w="1101" w:type="dxa"/>
          </w:tcPr>
          <w:p w14:paraId="58930273" w14:textId="77777777" w:rsidR="008B7ADA" w:rsidRPr="00ED2E30" w:rsidRDefault="008B7ADA" w:rsidP="008B7ADA">
            <w:pPr>
              <w:pStyle w:val="Tabletext"/>
              <w:rPr>
                <w:sz w:val="20"/>
                <w:szCs w:val="22"/>
              </w:rPr>
            </w:pPr>
            <w:r>
              <w:rPr>
                <w:sz w:val="20"/>
                <w:szCs w:val="22"/>
              </w:rPr>
              <w:t>11 - 20</w:t>
            </w:r>
          </w:p>
          <w:p w14:paraId="1AD1DF35" w14:textId="77777777" w:rsidR="008B7ADA" w:rsidRPr="00ED2E30" w:rsidRDefault="008B7ADA" w:rsidP="008B7ADA">
            <w:pPr>
              <w:pStyle w:val="Tabletext"/>
              <w:rPr>
                <w:sz w:val="20"/>
                <w:szCs w:val="22"/>
              </w:rPr>
            </w:pPr>
            <w:r w:rsidRPr="00ED2E30">
              <w:rPr>
                <w:sz w:val="20"/>
                <w:szCs w:val="22"/>
              </w:rPr>
              <w:t xml:space="preserve"> </w:t>
            </w:r>
            <w:r>
              <w:rPr>
                <w:sz w:val="20"/>
                <w:szCs w:val="22"/>
              </w:rPr>
              <w:t>May</w:t>
            </w:r>
          </w:p>
        </w:tc>
        <w:tc>
          <w:tcPr>
            <w:tcW w:w="2835" w:type="dxa"/>
          </w:tcPr>
          <w:p w14:paraId="006CAE2D" w14:textId="77777777" w:rsidR="008B7ADA" w:rsidRPr="00ED2E30" w:rsidRDefault="008B7ADA" w:rsidP="008B7ADA">
            <w:pPr>
              <w:pStyle w:val="Tabletext"/>
              <w:rPr>
                <w:sz w:val="20"/>
                <w:szCs w:val="22"/>
              </w:rPr>
            </w:pPr>
            <w:r w:rsidRPr="00ED2E30">
              <w:rPr>
                <w:sz w:val="20"/>
                <w:szCs w:val="22"/>
              </w:rPr>
              <w:t>Draft IPR Report, Situational Analysis and Report on Re-Design Options</w:t>
            </w:r>
          </w:p>
        </w:tc>
        <w:tc>
          <w:tcPr>
            <w:tcW w:w="1842" w:type="dxa"/>
          </w:tcPr>
          <w:p w14:paraId="6462B77B" w14:textId="77777777" w:rsidR="008B7ADA" w:rsidRPr="00ED2E30" w:rsidRDefault="008B7ADA" w:rsidP="008B7ADA">
            <w:pPr>
              <w:pStyle w:val="Tabletext"/>
              <w:rPr>
                <w:sz w:val="20"/>
                <w:szCs w:val="22"/>
              </w:rPr>
            </w:pPr>
            <w:r w:rsidRPr="00ED2E30">
              <w:rPr>
                <w:sz w:val="20"/>
                <w:szCs w:val="22"/>
              </w:rPr>
              <w:t>Home Office</w:t>
            </w:r>
          </w:p>
        </w:tc>
        <w:tc>
          <w:tcPr>
            <w:tcW w:w="1276" w:type="dxa"/>
          </w:tcPr>
          <w:p w14:paraId="3A25E04C" w14:textId="77777777" w:rsidR="008B7ADA" w:rsidRPr="00ED2E30" w:rsidRDefault="008B7ADA" w:rsidP="008B7ADA">
            <w:pPr>
              <w:pStyle w:val="Tabletext"/>
              <w:jc w:val="center"/>
              <w:rPr>
                <w:sz w:val="20"/>
                <w:szCs w:val="22"/>
              </w:rPr>
            </w:pPr>
            <w:r w:rsidRPr="00ED2E30">
              <w:rPr>
                <w:sz w:val="20"/>
                <w:szCs w:val="22"/>
              </w:rPr>
              <w:t>10</w:t>
            </w:r>
          </w:p>
        </w:tc>
        <w:tc>
          <w:tcPr>
            <w:tcW w:w="1474" w:type="dxa"/>
          </w:tcPr>
          <w:p w14:paraId="5A1A9727" w14:textId="77777777" w:rsidR="008B7ADA" w:rsidRPr="00ED2E30" w:rsidRDefault="008B7ADA" w:rsidP="008B7ADA">
            <w:pPr>
              <w:pStyle w:val="Tabletext"/>
              <w:jc w:val="center"/>
              <w:rPr>
                <w:sz w:val="20"/>
                <w:szCs w:val="22"/>
              </w:rPr>
            </w:pPr>
            <w:r w:rsidRPr="00ED2E30">
              <w:rPr>
                <w:sz w:val="20"/>
                <w:szCs w:val="22"/>
              </w:rPr>
              <w:t>6</w:t>
            </w:r>
          </w:p>
        </w:tc>
      </w:tr>
      <w:tr w:rsidR="008B7ADA" w14:paraId="3C6CBAEF" w14:textId="77777777" w:rsidTr="008B7ADA">
        <w:trPr>
          <w:jc w:val="center"/>
        </w:trPr>
        <w:tc>
          <w:tcPr>
            <w:tcW w:w="1101" w:type="dxa"/>
          </w:tcPr>
          <w:p w14:paraId="43AA545A" w14:textId="77777777" w:rsidR="008B7ADA" w:rsidRPr="00ED2E30" w:rsidRDefault="008B7ADA" w:rsidP="008B7ADA">
            <w:pPr>
              <w:pStyle w:val="Tabletext"/>
              <w:rPr>
                <w:sz w:val="20"/>
                <w:szCs w:val="22"/>
              </w:rPr>
            </w:pPr>
            <w:r>
              <w:rPr>
                <w:sz w:val="20"/>
                <w:szCs w:val="22"/>
              </w:rPr>
              <w:t>4</w:t>
            </w:r>
          </w:p>
          <w:p w14:paraId="7872D5D0" w14:textId="77777777" w:rsidR="008B7ADA" w:rsidRPr="00ED2E30" w:rsidRDefault="008B7ADA" w:rsidP="008B7ADA">
            <w:pPr>
              <w:pStyle w:val="Tabletext"/>
              <w:rPr>
                <w:sz w:val="20"/>
                <w:szCs w:val="22"/>
              </w:rPr>
            </w:pPr>
            <w:r>
              <w:rPr>
                <w:sz w:val="20"/>
                <w:szCs w:val="22"/>
              </w:rPr>
              <w:t>June</w:t>
            </w:r>
          </w:p>
        </w:tc>
        <w:tc>
          <w:tcPr>
            <w:tcW w:w="2835" w:type="dxa"/>
          </w:tcPr>
          <w:p w14:paraId="68817396" w14:textId="77777777" w:rsidR="008B7ADA" w:rsidRPr="00ED2E30" w:rsidRDefault="008B7ADA" w:rsidP="008B7ADA">
            <w:pPr>
              <w:pStyle w:val="Tabletext"/>
              <w:rPr>
                <w:sz w:val="20"/>
                <w:szCs w:val="22"/>
              </w:rPr>
            </w:pPr>
            <w:r w:rsidRPr="00ED2E30">
              <w:rPr>
                <w:sz w:val="20"/>
                <w:szCs w:val="22"/>
              </w:rPr>
              <w:t>Peer review of IPR Report</w:t>
            </w:r>
          </w:p>
        </w:tc>
        <w:tc>
          <w:tcPr>
            <w:tcW w:w="1842" w:type="dxa"/>
          </w:tcPr>
          <w:p w14:paraId="493C3867" w14:textId="77777777" w:rsidR="008B7ADA" w:rsidRPr="00ED2E30" w:rsidRDefault="008B7ADA" w:rsidP="008B7ADA">
            <w:pPr>
              <w:pStyle w:val="Tabletext"/>
              <w:rPr>
                <w:sz w:val="20"/>
                <w:szCs w:val="22"/>
              </w:rPr>
            </w:pPr>
          </w:p>
        </w:tc>
        <w:tc>
          <w:tcPr>
            <w:tcW w:w="1276" w:type="dxa"/>
          </w:tcPr>
          <w:p w14:paraId="264CAB60" w14:textId="77777777" w:rsidR="008B7ADA" w:rsidRPr="00ED2E30" w:rsidRDefault="008B7ADA" w:rsidP="008B7ADA">
            <w:pPr>
              <w:pStyle w:val="Tabletext"/>
              <w:jc w:val="center"/>
              <w:rPr>
                <w:sz w:val="20"/>
                <w:szCs w:val="22"/>
              </w:rPr>
            </w:pPr>
            <w:r w:rsidRPr="00ED2E30">
              <w:rPr>
                <w:sz w:val="20"/>
                <w:szCs w:val="22"/>
              </w:rPr>
              <w:t>1</w:t>
            </w:r>
          </w:p>
        </w:tc>
        <w:tc>
          <w:tcPr>
            <w:tcW w:w="1474" w:type="dxa"/>
          </w:tcPr>
          <w:p w14:paraId="66574130" w14:textId="77777777" w:rsidR="008B7ADA" w:rsidRPr="00ED2E30" w:rsidRDefault="008B7ADA" w:rsidP="008B7ADA">
            <w:pPr>
              <w:pStyle w:val="Tabletext"/>
              <w:jc w:val="center"/>
              <w:rPr>
                <w:sz w:val="20"/>
                <w:szCs w:val="22"/>
              </w:rPr>
            </w:pPr>
            <w:r w:rsidRPr="00ED2E30">
              <w:rPr>
                <w:sz w:val="20"/>
                <w:szCs w:val="22"/>
              </w:rPr>
              <w:t>1</w:t>
            </w:r>
          </w:p>
        </w:tc>
      </w:tr>
      <w:tr w:rsidR="008B7ADA" w14:paraId="133B0DB8" w14:textId="77777777" w:rsidTr="008B7ADA">
        <w:trPr>
          <w:jc w:val="center"/>
        </w:trPr>
        <w:tc>
          <w:tcPr>
            <w:tcW w:w="1101" w:type="dxa"/>
          </w:tcPr>
          <w:p w14:paraId="324C3D44" w14:textId="77777777" w:rsidR="008B7ADA" w:rsidRPr="00ED2E30" w:rsidRDefault="008B7ADA" w:rsidP="008B7ADA">
            <w:pPr>
              <w:pStyle w:val="Tabletext"/>
              <w:rPr>
                <w:sz w:val="20"/>
                <w:szCs w:val="22"/>
              </w:rPr>
            </w:pPr>
            <w:r>
              <w:rPr>
                <w:sz w:val="20"/>
                <w:szCs w:val="22"/>
              </w:rPr>
              <w:t>13 - 15</w:t>
            </w:r>
            <w:r w:rsidRPr="00ED2E30">
              <w:rPr>
                <w:sz w:val="20"/>
                <w:szCs w:val="22"/>
              </w:rPr>
              <w:t xml:space="preserve"> </w:t>
            </w:r>
            <w:r>
              <w:rPr>
                <w:sz w:val="20"/>
                <w:szCs w:val="22"/>
              </w:rPr>
              <w:lastRenderedPageBreak/>
              <w:t>June</w:t>
            </w:r>
          </w:p>
        </w:tc>
        <w:tc>
          <w:tcPr>
            <w:tcW w:w="2835" w:type="dxa"/>
          </w:tcPr>
          <w:p w14:paraId="31D71665" w14:textId="77777777" w:rsidR="008B7ADA" w:rsidRPr="00ED2E30" w:rsidRDefault="008B7ADA" w:rsidP="008B7ADA">
            <w:pPr>
              <w:pStyle w:val="Tabletext"/>
              <w:rPr>
                <w:sz w:val="20"/>
                <w:szCs w:val="22"/>
              </w:rPr>
            </w:pPr>
            <w:r w:rsidRPr="00ED2E30">
              <w:rPr>
                <w:sz w:val="20"/>
                <w:szCs w:val="22"/>
              </w:rPr>
              <w:lastRenderedPageBreak/>
              <w:t xml:space="preserve">Final IPR Report, Situational </w:t>
            </w:r>
            <w:r w:rsidRPr="00ED2E30">
              <w:rPr>
                <w:sz w:val="20"/>
                <w:szCs w:val="22"/>
              </w:rPr>
              <w:lastRenderedPageBreak/>
              <w:t xml:space="preserve">Analysis &amp; Re-Design </w:t>
            </w:r>
            <w:proofErr w:type="gramStart"/>
            <w:r w:rsidRPr="00ED2E30">
              <w:rPr>
                <w:sz w:val="20"/>
                <w:szCs w:val="22"/>
              </w:rPr>
              <w:t>Options  after</w:t>
            </w:r>
            <w:proofErr w:type="gramEnd"/>
            <w:r w:rsidRPr="00ED2E30">
              <w:rPr>
                <w:sz w:val="20"/>
                <w:szCs w:val="22"/>
              </w:rPr>
              <w:t xml:space="preserve"> feedback from AusAID and other stakeholders</w:t>
            </w:r>
          </w:p>
        </w:tc>
        <w:tc>
          <w:tcPr>
            <w:tcW w:w="1842" w:type="dxa"/>
          </w:tcPr>
          <w:p w14:paraId="2382FF7A" w14:textId="77777777" w:rsidR="008B7ADA" w:rsidRPr="00ED2E30" w:rsidRDefault="008B7ADA" w:rsidP="008B7ADA">
            <w:pPr>
              <w:pStyle w:val="Tabletext"/>
              <w:rPr>
                <w:sz w:val="20"/>
                <w:szCs w:val="22"/>
              </w:rPr>
            </w:pPr>
            <w:r w:rsidRPr="00ED2E30">
              <w:rPr>
                <w:sz w:val="20"/>
                <w:szCs w:val="22"/>
              </w:rPr>
              <w:lastRenderedPageBreak/>
              <w:t>Home Office</w:t>
            </w:r>
          </w:p>
        </w:tc>
        <w:tc>
          <w:tcPr>
            <w:tcW w:w="1276" w:type="dxa"/>
          </w:tcPr>
          <w:p w14:paraId="738FBC8A" w14:textId="77777777" w:rsidR="008B7ADA" w:rsidRPr="00ED2E30" w:rsidRDefault="008B7ADA" w:rsidP="008B7ADA">
            <w:pPr>
              <w:pStyle w:val="Tabletext"/>
              <w:jc w:val="center"/>
              <w:rPr>
                <w:sz w:val="20"/>
                <w:szCs w:val="22"/>
              </w:rPr>
            </w:pPr>
            <w:r w:rsidRPr="00ED2E30">
              <w:rPr>
                <w:sz w:val="20"/>
                <w:szCs w:val="22"/>
              </w:rPr>
              <w:t>3</w:t>
            </w:r>
          </w:p>
        </w:tc>
        <w:tc>
          <w:tcPr>
            <w:tcW w:w="1474" w:type="dxa"/>
          </w:tcPr>
          <w:p w14:paraId="6C40F670" w14:textId="77777777" w:rsidR="008B7ADA" w:rsidRPr="00ED2E30" w:rsidRDefault="008B7ADA" w:rsidP="008B7ADA">
            <w:pPr>
              <w:pStyle w:val="Tabletext"/>
              <w:jc w:val="center"/>
              <w:rPr>
                <w:sz w:val="20"/>
                <w:szCs w:val="22"/>
              </w:rPr>
            </w:pPr>
            <w:r w:rsidRPr="00ED2E30">
              <w:rPr>
                <w:sz w:val="20"/>
                <w:szCs w:val="22"/>
              </w:rPr>
              <w:t>2</w:t>
            </w:r>
          </w:p>
        </w:tc>
      </w:tr>
      <w:tr w:rsidR="008B7ADA" w:rsidRPr="00061063" w14:paraId="3DD12385" w14:textId="77777777" w:rsidTr="008B7ADA">
        <w:trPr>
          <w:jc w:val="center"/>
        </w:trPr>
        <w:tc>
          <w:tcPr>
            <w:tcW w:w="1101" w:type="dxa"/>
            <w:tcBorders>
              <w:right w:val="nil"/>
            </w:tcBorders>
            <w:shd w:val="clear" w:color="auto" w:fill="D9D9D9"/>
          </w:tcPr>
          <w:p w14:paraId="5B89F607" w14:textId="77777777" w:rsidR="008B7ADA" w:rsidRPr="00ED2E30" w:rsidRDefault="008B7ADA" w:rsidP="008B7ADA">
            <w:pPr>
              <w:pStyle w:val="Tabletext"/>
              <w:rPr>
                <w:rStyle w:val="Strong"/>
                <w:bCs/>
                <w:sz w:val="20"/>
                <w:szCs w:val="22"/>
              </w:rPr>
            </w:pPr>
            <w:r w:rsidRPr="00ED2E30">
              <w:rPr>
                <w:rStyle w:val="Strong"/>
                <w:bCs/>
                <w:sz w:val="20"/>
                <w:szCs w:val="22"/>
              </w:rPr>
              <w:lastRenderedPageBreak/>
              <w:t>PHASE 2</w:t>
            </w:r>
          </w:p>
        </w:tc>
        <w:tc>
          <w:tcPr>
            <w:tcW w:w="2835" w:type="dxa"/>
            <w:tcBorders>
              <w:left w:val="nil"/>
              <w:right w:val="nil"/>
            </w:tcBorders>
            <w:shd w:val="clear" w:color="auto" w:fill="D9D9D9"/>
          </w:tcPr>
          <w:p w14:paraId="56B04E7F" w14:textId="77777777" w:rsidR="008B7ADA" w:rsidRPr="00ED2E30" w:rsidRDefault="008B7ADA" w:rsidP="008B7ADA">
            <w:pPr>
              <w:pStyle w:val="Tabletext"/>
              <w:rPr>
                <w:rStyle w:val="Strong"/>
                <w:bCs/>
                <w:sz w:val="20"/>
                <w:szCs w:val="22"/>
              </w:rPr>
            </w:pPr>
          </w:p>
        </w:tc>
        <w:tc>
          <w:tcPr>
            <w:tcW w:w="1842" w:type="dxa"/>
            <w:tcBorders>
              <w:left w:val="nil"/>
              <w:right w:val="nil"/>
            </w:tcBorders>
            <w:shd w:val="clear" w:color="auto" w:fill="D9D9D9"/>
          </w:tcPr>
          <w:p w14:paraId="44C043D0" w14:textId="77777777" w:rsidR="008B7ADA" w:rsidRPr="00ED2E30" w:rsidRDefault="008B7ADA" w:rsidP="008B7ADA">
            <w:pPr>
              <w:pStyle w:val="Tabletext"/>
              <w:rPr>
                <w:rStyle w:val="Strong"/>
                <w:bCs/>
                <w:sz w:val="20"/>
                <w:szCs w:val="22"/>
              </w:rPr>
            </w:pPr>
          </w:p>
        </w:tc>
        <w:tc>
          <w:tcPr>
            <w:tcW w:w="1276" w:type="dxa"/>
            <w:tcBorders>
              <w:left w:val="nil"/>
              <w:right w:val="nil"/>
            </w:tcBorders>
            <w:shd w:val="clear" w:color="auto" w:fill="D9D9D9"/>
          </w:tcPr>
          <w:p w14:paraId="1EF66F10" w14:textId="77777777" w:rsidR="008B7ADA" w:rsidRPr="00ED2E30" w:rsidRDefault="008B7ADA" w:rsidP="008B7ADA">
            <w:pPr>
              <w:pStyle w:val="Tabletext"/>
              <w:jc w:val="center"/>
              <w:rPr>
                <w:rStyle w:val="Strong"/>
                <w:bCs/>
                <w:sz w:val="20"/>
                <w:szCs w:val="22"/>
              </w:rPr>
            </w:pPr>
          </w:p>
        </w:tc>
        <w:tc>
          <w:tcPr>
            <w:tcW w:w="1474" w:type="dxa"/>
            <w:tcBorders>
              <w:left w:val="nil"/>
            </w:tcBorders>
            <w:shd w:val="clear" w:color="auto" w:fill="D9D9D9"/>
          </w:tcPr>
          <w:p w14:paraId="6F0F6CE3" w14:textId="77777777" w:rsidR="008B7ADA" w:rsidRPr="00ED2E30" w:rsidRDefault="008B7ADA" w:rsidP="008B7ADA">
            <w:pPr>
              <w:pStyle w:val="Tabletext"/>
              <w:jc w:val="center"/>
              <w:rPr>
                <w:rStyle w:val="Strong"/>
                <w:bCs/>
                <w:sz w:val="20"/>
                <w:szCs w:val="22"/>
              </w:rPr>
            </w:pPr>
          </w:p>
        </w:tc>
      </w:tr>
      <w:tr w:rsidR="008B7ADA" w14:paraId="20E8D2AD" w14:textId="77777777" w:rsidTr="008B7ADA">
        <w:trPr>
          <w:jc w:val="center"/>
        </w:trPr>
        <w:tc>
          <w:tcPr>
            <w:tcW w:w="1101" w:type="dxa"/>
          </w:tcPr>
          <w:p w14:paraId="1B4C8441" w14:textId="77777777" w:rsidR="008B7ADA" w:rsidRPr="00ED2E30" w:rsidRDefault="008B7ADA" w:rsidP="008B7ADA">
            <w:pPr>
              <w:pStyle w:val="Tabletext"/>
              <w:rPr>
                <w:sz w:val="20"/>
                <w:szCs w:val="22"/>
              </w:rPr>
            </w:pPr>
            <w:r w:rsidRPr="00ED2E30">
              <w:rPr>
                <w:sz w:val="20"/>
                <w:szCs w:val="22"/>
              </w:rPr>
              <w:t>4 Ju</w:t>
            </w:r>
            <w:r>
              <w:rPr>
                <w:sz w:val="20"/>
                <w:szCs w:val="22"/>
              </w:rPr>
              <w:t>ly</w:t>
            </w:r>
          </w:p>
        </w:tc>
        <w:tc>
          <w:tcPr>
            <w:tcW w:w="2835" w:type="dxa"/>
          </w:tcPr>
          <w:p w14:paraId="617A6A68" w14:textId="77777777" w:rsidR="008B7ADA" w:rsidRPr="00ED2E30" w:rsidRDefault="008B7ADA" w:rsidP="008B7ADA">
            <w:pPr>
              <w:pStyle w:val="Tabletext"/>
              <w:rPr>
                <w:sz w:val="20"/>
                <w:szCs w:val="22"/>
              </w:rPr>
            </w:pPr>
            <w:r w:rsidRPr="00ED2E30">
              <w:rPr>
                <w:sz w:val="20"/>
                <w:szCs w:val="22"/>
              </w:rPr>
              <w:t>Design mission planning</w:t>
            </w:r>
          </w:p>
        </w:tc>
        <w:tc>
          <w:tcPr>
            <w:tcW w:w="1842" w:type="dxa"/>
          </w:tcPr>
          <w:p w14:paraId="30510BD9" w14:textId="77777777" w:rsidR="008B7ADA" w:rsidRPr="00ED2E30" w:rsidRDefault="008B7ADA" w:rsidP="008B7ADA">
            <w:pPr>
              <w:pStyle w:val="Tabletext"/>
              <w:rPr>
                <w:sz w:val="20"/>
                <w:szCs w:val="22"/>
              </w:rPr>
            </w:pPr>
            <w:r w:rsidRPr="00ED2E30">
              <w:rPr>
                <w:sz w:val="20"/>
                <w:szCs w:val="22"/>
              </w:rPr>
              <w:t>Home office</w:t>
            </w:r>
          </w:p>
        </w:tc>
        <w:tc>
          <w:tcPr>
            <w:tcW w:w="1276" w:type="dxa"/>
          </w:tcPr>
          <w:p w14:paraId="3040452C" w14:textId="77777777" w:rsidR="008B7ADA" w:rsidRPr="00ED2E30" w:rsidRDefault="008B7ADA" w:rsidP="008B7ADA">
            <w:pPr>
              <w:pStyle w:val="Tabletext"/>
              <w:jc w:val="center"/>
              <w:rPr>
                <w:sz w:val="20"/>
                <w:szCs w:val="22"/>
              </w:rPr>
            </w:pPr>
            <w:r w:rsidRPr="00ED2E30">
              <w:rPr>
                <w:sz w:val="20"/>
                <w:szCs w:val="22"/>
              </w:rPr>
              <w:t>1</w:t>
            </w:r>
          </w:p>
        </w:tc>
        <w:tc>
          <w:tcPr>
            <w:tcW w:w="1474" w:type="dxa"/>
          </w:tcPr>
          <w:p w14:paraId="2CAA6B73" w14:textId="77777777" w:rsidR="008B7ADA" w:rsidRPr="00ED2E30" w:rsidRDefault="008B7ADA" w:rsidP="008B7ADA">
            <w:pPr>
              <w:pStyle w:val="Tabletext"/>
              <w:jc w:val="center"/>
              <w:rPr>
                <w:sz w:val="20"/>
                <w:szCs w:val="22"/>
              </w:rPr>
            </w:pPr>
            <w:r w:rsidRPr="00ED2E30">
              <w:rPr>
                <w:sz w:val="20"/>
                <w:szCs w:val="22"/>
              </w:rPr>
              <w:t>-</w:t>
            </w:r>
          </w:p>
        </w:tc>
      </w:tr>
      <w:tr w:rsidR="008B7ADA" w14:paraId="5BB145B4" w14:textId="77777777" w:rsidTr="008B7ADA">
        <w:trPr>
          <w:jc w:val="center"/>
        </w:trPr>
        <w:tc>
          <w:tcPr>
            <w:tcW w:w="1101" w:type="dxa"/>
          </w:tcPr>
          <w:p w14:paraId="1EE6FDA8" w14:textId="77777777" w:rsidR="008B7ADA" w:rsidRPr="00ED2E30" w:rsidRDefault="008B7ADA" w:rsidP="008B7ADA">
            <w:pPr>
              <w:pStyle w:val="Tabletext"/>
              <w:rPr>
                <w:sz w:val="20"/>
                <w:szCs w:val="22"/>
              </w:rPr>
            </w:pPr>
            <w:r w:rsidRPr="00ED2E30">
              <w:rPr>
                <w:sz w:val="20"/>
                <w:szCs w:val="22"/>
              </w:rPr>
              <w:t>11-22 Ju</w:t>
            </w:r>
            <w:r>
              <w:rPr>
                <w:sz w:val="20"/>
                <w:szCs w:val="22"/>
              </w:rPr>
              <w:t>ly</w:t>
            </w:r>
          </w:p>
        </w:tc>
        <w:tc>
          <w:tcPr>
            <w:tcW w:w="2835" w:type="dxa"/>
          </w:tcPr>
          <w:p w14:paraId="1E9DE276" w14:textId="77777777" w:rsidR="008B7ADA" w:rsidRPr="00ED2E30" w:rsidRDefault="008B7ADA" w:rsidP="008B7ADA">
            <w:pPr>
              <w:pStyle w:val="Tabletext"/>
              <w:rPr>
                <w:sz w:val="20"/>
                <w:szCs w:val="22"/>
              </w:rPr>
            </w:pPr>
            <w:r w:rsidRPr="00ED2E30">
              <w:rPr>
                <w:sz w:val="20"/>
                <w:szCs w:val="22"/>
              </w:rPr>
              <w:t>Mission 2 including preparation and presentation of Aide Memoire</w:t>
            </w:r>
          </w:p>
        </w:tc>
        <w:tc>
          <w:tcPr>
            <w:tcW w:w="1842" w:type="dxa"/>
          </w:tcPr>
          <w:p w14:paraId="2A0586D6" w14:textId="77777777" w:rsidR="008B7ADA" w:rsidRPr="00ED2E30" w:rsidRDefault="008B7ADA" w:rsidP="008B7ADA">
            <w:pPr>
              <w:pStyle w:val="Tabletext"/>
              <w:rPr>
                <w:sz w:val="20"/>
                <w:szCs w:val="22"/>
              </w:rPr>
            </w:pPr>
            <w:r w:rsidRPr="00ED2E30">
              <w:rPr>
                <w:sz w:val="20"/>
                <w:szCs w:val="22"/>
              </w:rPr>
              <w:t>Tonga</w:t>
            </w:r>
          </w:p>
        </w:tc>
        <w:tc>
          <w:tcPr>
            <w:tcW w:w="1276" w:type="dxa"/>
          </w:tcPr>
          <w:p w14:paraId="31127B89" w14:textId="77777777" w:rsidR="008B7ADA" w:rsidRPr="00ED2E30" w:rsidRDefault="008B7ADA" w:rsidP="008B7ADA">
            <w:pPr>
              <w:pStyle w:val="Tabletext"/>
              <w:jc w:val="center"/>
              <w:rPr>
                <w:sz w:val="20"/>
                <w:szCs w:val="22"/>
              </w:rPr>
            </w:pPr>
            <w:r w:rsidRPr="00ED2E30">
              <w:rPr>
                <w:sz w:val="20"/>
                <w:szCs w:val="22"/>
              </w:rPr>
              <w:t>12</w:t>
            </w:r>
          </w:p>
        </w:tc>
        <w:tc>
          <w:tcPr>
            <w:tcW w:w="1474" w:type="dxa"/>
          </w:tcPr>
          <w:p w14:paraId="2D1A0EA9" w14:textId="77777777" w:rsidR="008B7ADA" w:rsidRPr="00ED2E30" w:rsidRDefault="008B7ADA" w:rsidP="008B7ADA">
            <w:pPr>
              <w:pStyle w:val="Tabletext"/>
              <w:jc w:val="center"/>
              <w:rPr>
                <w:sz w:val="20"/>
                <w:szCs w:val="22"/>
              </w:rPr>
            </w:pPr>
            <w:r w:rsidRPr="00ED2E30">
              <w:rPr>
                <w:sz w:val="20"/>
                <w:szCs w:val="22"/>
              </w:rPr>
              <w:t>12</w:t>
            </w:r>
          </w:p>
        </w:tc>
      </w:tr>
      <w:tr w:rsidR="008B7ADA" w:rsidRPr="006A0A24" w14:paraId="429C1E34" w14:textId="77777777" w:rsidTr="008B7ADA">
        <w:trPr>
          <w:jc w:val="center"/>
        </w:trPr>
        <w:tc>
          <w:tcPr>
            <w:tcW w:w="1101" w:type="dxa"/>
          </w:tcPr>
          <w:p w14:paraId="3ACC0234" w14:textId="77777777" w:rsidR="008B7ADA" w:rsidRPr="00ED2E30" w:rsidRDefault="008B7ADA" w:rsidP="008B7ADA">
            <w:pPr>
              <w:pStyle w:val="Tabletext"/>
              <w:rPr>
                <w:sz w:val="20"/>
                <w:szCs w:val="22"/>
              </w:rPr>
            </w:pPr>
            <w:r w:rsidRPr="00ED2E30">
              <w:rPr>
                <w:sz w:val="20"/>
                <w:szCs w:val="22"/>
              </w:rPr>
              <w:t xml:space="preserve">2-9 </w:t>
            </w:r>
            <w:r>
              <w:rPr>
                <w:sz w:val="20"/>
                <w:szCs w:val="22"/>
              </w:rPr>
              <w:t>August</w:t>
            </w:r>
          </w:p>
        </w:tc>
        <w:tc>
          <w:tcPr>
            <w:tcW w:w="2835" w:type="dxa"/>
          </w:tcPr>
          <w:p w14:paraId="3F7D4960" w14:textId="77777777" w:rsidR="008B7ADA" w:rsidRPr="00ED2E30" w:rsidRDefault="008B7ADA" w:rsidP="008B7ADA">
            <w:pPr>
              <w:pStyle w:val="Tabletext"/>
              <w:rPr>
                <w:sz w:val="20"/>
                <w:szCs w:val="22"/>
              </w:rPr>
            </w:pPr>
            <w:r w:rsidRPr="00ED2E30">
              <w:rPr>
                <w:sz w:val="20"/>
                <w:szCs w:val="22"/>
              </w:rPr>
              <w:t xml:space="preserve">Draft Design Document </w:t>
            </w:r>
          </w:p>
        </w:tc>
        <w:tc>
          <w:tcPr>
            <w:tcW w:w="1842" w:type="dxa"/>
          </w:tcPr>
          <w:p w14:paraId="4474C277" w14:textId="77777777" w:rsidR="008B7ADA" w:rsidRPr="00ED2E30" w:rsidRDefault="008B7ADA" w:rsidP="008B7ADA">
            <w:pPr>
              <w:pStyle w:val="Tabletext"/>
              <w:rPr>
                <w:sz w:val="20"/>
                <w:szCs w:val="22"/>
              </w:rPr>
            </w:pPr>
            <w:r w:rsidRPr="00ED2E30">
              <w:rPr>
                <w:sz w:val="20"/>
                <w:szCs w:val="22"/>
              </w:rPr>
              <w:t>Home office</w:t>
            </w:r>
          </w:p>
        </w:tc>
        <w:tc>
          <w:tcPr>
            <w:tcW w:w="1276" w:type="dxa"/>
          </w:tcPr>
          <w:p w14:paraId="4E5519DC" w14:textId="77777777" w:rsidR="008B7ADA" w:rsidRPr="00ED2E30" w:rsidRDefault="008B7ADA" w:rsidP="008B7ADA">
            <w:pPr>
              <w:pStyle w:val="Tabletext"/>
              <w:jc w:val="center"/>
              <w:rPr>
                <w:sz w:val="20"/>
                <w:szCs w:val="22"/>
              </w:rPr>
            </w:pPr>
            <w:r w:rsidRPr="00ED2E30">
              <w:rPr>
                <w:sz w:val="20"/>
                <w:szCs w:val="22"/>
              </w:rPr>
              <w:t>8</w:t>
            </w:r>
          </w:p>
        </w:tc>
        <w:tc>
          <w:tcPr>
            <w:tcW w:w="1474" w:type="dxa"/>
          </w:tcPr>
          <w:p w14:paraId="31CDE377" w14:textId="77777777" w:rsidR="008B7ADA" w:rsidRPr="00ED2E30" w:rsidRDefault="008B7ADA" w:rsidP="008B7ADA">
            <w:pPr>
              <w:pStyle w:val="Tabletext"/>
              <w:jc w:val="center"/>
              <w:rPr>
                <w:sz w:val="20"/>
                <w:szCs w:val="22"/>
              </w:rPr>
            </w:pPr>
            <w:r w:rsidRPr="00ED2E30">
              <w:rPr>
                <w:sz w:val="20"/>
                <w:szCs w:val="22"/>
              </w:rPr>
              <w:t>6</w:t>
            </w:r>
          </w:p>
        </w:tc>
      </w:tr>
      <w:tr w:rsidR="008B7ADA" w14:paraId="1E21D98D" w14:textId="77777777" w:rsidTr="008B7ADA">
        <w:trPr>
          <w:jc w:val="center"/>
        </w:trPr>
        <w:tc>
          <w:tcPr>
            <w:tcW w:w="1101" w:type="dxa"/>
          </w:tcPr>
          <w:p w14:paraId="7A3F7FC9" w14:textId="77777777" w:rsidR="008B7ADA" w:rsidRPr="00ED2E30" w:rsidRDefault="008B7ADA" w:rsidP="008B7ADA">
            <w:pPr>
              <w:pStyle w:val="Tabletext"/>
              <w:rPr>
                <w:sz w:val="20"/>
                <w:szCs w:val="22"/>
              </w:rPr>
            </w:pPr>
            <w:r w:rsidRPr="00ED2E30">
              <w:rPr>
                <w:sz w:val="20"/>
                <w:szCs w:val="22"/>
              </w:rPr>
              <w:t>2</w:t>
            </w:r>
            <w:r>
              <w:rPr>
                <w:sz w:val="20"/>
                <w:szCs w:val="22"/>
              </w:rPr>
              <w:t>4</w:t>
            </w:r>
            <w:r w:rsidRPr="00ED2E30">
              <w:rPr>
                <w:sz w:val="20"/>
                <w:szCs w:val="22"/>
              </w:rPr>
              <w:t xml:space="preserve"> </w:t>
            </w:r>
            <w:r>
              <w:rPr>
                <w:sz w:val="20"/>
                <w:szCs w:val="22"/>
              </w:rPr>
              <w:t>August</w:t>
            </w:r>
          </w:p>
        </w:tc>
        <w:tc>
          <w:tcPr>
            <w:tcW w:w="2835" w:type="dxa"/>
          </w:tcPr>
          <w:p w14:paraId="71164C7C" w14:textId="77777777" w:rsidR="008B7ADA" w:rsidRPr="00ED2E30" w:rsidRDefault="008B7ADA" w:rsidP="008B7ADA">
            <w:pPr>
              <w:pStyle w:val="Tabletext"/>
              <w:rPr>
                <w:sz w:val="20"/>
                <w:szCs w:val="22"/>
              </w:rPr>
            </w:pPr>
            <w:r w:rsidRPr="00ED2E30">
              <w:rPr>
                <w:sz w:val="20"/>
                <w:szCs w:val="22"/>
              </w:rPr>
              <w:t>Peer review of Draft Design Document</w:t>
            </w:r>
          </w:p>
        </w:tc>
        <w:tc>
          <w:tcPr>
            <w:tcW w:w="1842" w:type="dxa"/>
          </w:tcPr>
          <w:p w14:paraId="7F8124A8" w14:textId="77777777" w:rsidR="008B7ADA" w:rsidRPr="00ED2E30" w:rsidRDefault="008B7ADA" w:rsidP="008B7ADA">
            <w:pPr>
              <w:pStyle w:val="Tabletext"/>
              <w:rPr>
                <w:sz w:val="20"/>
                <w:szCs w:val="22"/>
              </w:rPr>
            </w:pPr>
          </w:p>
        </w:tc>
        <w:tc>
          <w:tcPr>
            <w:tcW w:w="1276" w:type="dxa"/>
          </w:tcPr>
          <w:p w14:paraId="18684BBA" w14:textId="77777777" w:rsidR="008B7ADA" w:rsidRPr="00ED2E30" w:rsidRDefault="008B7ADA" w:rsidP="008B7ADA">
            <w:pPr>
              <w:pStyle w:val="Tabletext"/>
              <w:jc w:val="center"/>
              <w:rPr>
                <w:sz w:val="20"/>
                <w:szCs w:val="22"/>
              </w:rPr>
            </w:pPr>
            <w:r w:rsidRPr="00ED2E30">
              <w:rPr>
                <w:sz w:val="20"/>
                <w:szCs w:val="22"/>
              </w:rPr>
              <w:t>1</w:t>
            </w:r>
          </w:p>
        </w:tc>
        <w:tc>
          <w:tcPr>
            <w:tcW w:w="1474" w:type="dxa"/>
          </w:tcPr>
          <w:p w14:paraId="742DDA6F" w14:textId="77777777" w:rsidR="008B7ADA" w:rsidRPr="00ED2E30" w:rsidRDefault="008B7ADA" w:rsidP="008B7ADA">
            <w:pPr>
              <w:pStyle w:val="Tabletext"/>
              <w:jc w:val="center"/>
              <w:rPr>
                <w:sz w:val="20"/>
                <w:szCs w:val="22"/>
              </w:rPr>
            </w:pPr>
            <w:r w:rsidRPr="00ED2E30">
              <w:rPr>
                <w:sz w:val="20"/>
                <w:szCs w:val="22"/>
              </w:rPr>
              <w:t>1</w:t>
            </w:r>
          </w:p>
        </w:tc>
      </w:tr>
      <w:tr w:rsidR="008B7ADA" w14:paraId="5F2C4997" w14:textId="77777777" w:rsidTr="008B7ADA">
        <w:trPr>
          <w:jc w:val="center"/>
        </w:trPr>
        <w:tc>
          <w:tcPr>
            <w:tcW w:w="1101" w:type="dxa"/>
          </w:tcPr>
          <w:p w14:paraId="13A3A834" w14:textId="77777777" w:rsidR="008B7ADA" w:rsidRPr="00ED2E30" w:rsidRDefault="008B7ADA" w:rsidP="008B7ADA">
            <w:pPr>
              <w:pStyle w:val="Tabletext"/>
              <w:rPr>
                <w:sz w:val="20"/>
                <w:szCs w:val="22"/>
              </w:rPr>
            </w:pPr>
            <w:r w:rsidRPr="00ED2E30">
              <w:rPr>
                <w:sz w:val="20"/>
                <w:szCs w:val="22"/>
              </w:rPr>
              <w:t xml:space="preserve">17 </w:t>
            </w:r>
            <w:r>
              <w:rPr>
                <w:sz w:val="20"/>
                <w:szCs w:val="22"/>
              </w:rPr>
              <w:t>– 20 September</w:t>
            </w:r>
          </w:p>
        </w:tc>
        <w:tc>
          <w:tcPr>
            <w:tcW w:w="2835" w:type="dxa"/>
          </w:tcPr>
          <w:p w14:paraId="08788C4A" w14:textId="77777777" w:rsidR="008B7ADA" w:rsidRPr="00ED2E30" w:rsidRDefault="008B7ADA" w:rsidP="008B7ADA">
            <w:pPr>
              <w:pStyle w:val="Tabletext"/>
              <w:rPr>
                <w:sz w:val="20"/>
                <w:szCs w:val="22"/>
              </w:rPr>
            </w:pPr>
            <w:r w:rsidRPr="00ED2E30">
              <w:rPr>
                <w:sz w:val="20"/>
                <w:szCs w:val="22"/>
              </w:rPr>
              <w:t xml:space="preserve">Final Design Document - incorporating advice from peer review.  </w:t>
            </w:r>
          </w:p>
        </w:tc>
        <w:tc>
          <w:tcPr>
            <w:tcW w:w="1842" w:type="dxa"/>
          </w:tcPr>
          <w:p w14:paraId="13AAAB9B" w14:textId="77777777" w:rsidR="008B7ADA" w:rsidRPr="00ED2E30" w:rsidRDefault="008B7ADA" w:rsidP="008B7ADA">
            <w:pPr>
              <w:pStyle w:val="Tabletext"/>
              <w:rPr>
                <w:sz w:val="20"/>
                <w:szCs w:val="22"/>
              </w:rPr>
            </w:pPr>
            <w:r w:rsidRPr="00ED2E30">
              <w:rPr>
                <w:sz w:val="20"/>
                <w:szCs w:val="22"/>
              </w:rPr>
              <w:t>Home office</w:t>
            </w:r>
          </w:p>
        </w:tc>
        <w:tc>
          <w:tcPr>
            <w:tcW w:w="1276" w:type="dxa"/>
          </w:tcPr>
          <w:p w14:paraId="1586200B" w14:textId="77777777" w:rsidR="008B7ADA" w:rsidRPr="00ED2E30" w:rsidRDefault="008B7ADA" w:rsidP="008B7ADA">
            <w:pPr>
              <w:pStyle w:val="Tabletext"/>
              <w:jc w:val="center"/>
              <w:rPr>
                <w:sz w:val="20"/>
                <w:szCs w:val="22"/>
              </w:rPr>
            </w:pPr>
            <w:r w:rsidRPr="00ED2E30">
              <w:rPr>
                <w:sz w:val="20"/>
                <w:szCs w:val="22"/>
              </w:rPr>
              <w:t>4</w:t>
            </w:r>
          </w:p>
        </w:tc>
        <w:tc>
          <w:tcPr>
            <w:tcW w:w="1474" w:type="dxa"/>
          </w:tcPr>
          <w:p w14:paraId="55880B74" w14:textId="77777777" w:rsidR="008B7ADA" w:rsidRPr="00ED2E30" w:rsidRDefault="008B7ADA" w:rsidP="008B7ADA">
            <w:pPr>
              <w:pStyle w:val="Tabletext"/>
              <w:jc w:val="center"/>
              <w:rPr>
                <w:sz w:val="20"/>
                <w:szCs w:val="22"/>
              </w:rPr>
            </w:pPr>
            <w:r w:rsidRPr="00ED2E30">
              <w:rPr>
                <w:sz w:val="20"/>
                <w:szCs w:val="22"/>
              </w:rPr>
              <w:t>3</w:t>
            </w:r>
          </w:p>
        </w:tc>
      </w:tr>
      <w:tr w:rsidR="008B7ADA" w14:paraId="504618E0" w14:textId="77777777" w:rsidTr="008B7ADA">
        <w:trPr>
          <w:jc w:val="center"/>
        </w:trPr>
        <w:tc>
          <w:tcPr>
            <w:tcW w:w="1101" w:type="dxa"/>
          </w:tcPr>
          <w:p w14:paraId="411007A3" w14:textId="77777777" w:rsidR="008B7ADA" w:rsidRPr="00ED2E30" w:rsidRDefault="008B7ADA" w:rsidP="008B7ADA">
            <w:pPr>
              <w:pStyle w:val="Tabletext"/>
              <w:rPr>
                <w:sz w:val="20"/>
                <w:szCs w:val="22"/>
              </w:rPr>
            </w:pPr>
            <w:r w:rsidRPr="00ED2E30">
              <w:rPr>
                <w:sz w:val="20"/>
                <w:szCs w:val="22"/>
              </w:rPr>
              <w:t>Travel: Phase 1</w:t>
            </w:r>
          </w:p>
        </w:tc>
        <w:tc>
          <w:tcPr>
            <w:tcW w:w="2835" w:type="dxa"/>
          </w:tcPr>
          <w:p w14:paraId="1F01D3A1" w14:textId="77777777" w:rsidR="008B7ADA" w:rsidRPr="00ED2E30" w:rsidRDefault="008B7ADA" w:rsidP="008B7ADA">
            <w:pPr>
              <w:pStyle w:val="Tabletext"/>
              <w:rPr>
                <w:sz w:val="20"/>
                <w:szCs w:val="22"/>
              </w:rPr>
            </w:pPr>
          </w:p>
        </w:tc>
        <w:tc>
          <w:tcPr>
            <w:tcW w:w="1842" w:type="dxa"/>
          </w:tcPr>
          <w:p w14:paraId="2420920B" w14:textId="77777777" w:rsidR="008B7ADA" w:rsidRPr="00ED2E30" w:rsidRDefault="008B7ADA" w:rsidP="008B7ADA">
            <w:pPr>
              <w:pStyle w:val="Tabletext"/>
              <w:rPr>
                <w:sz w:val="20"/>
                <w:szCs w:val="22"/>
              </w:rPr>
            </w:pPr>
          </w:p>
        </w:tc>
        <w:tc>
          <w:tcPr>
            <w:tcW w:w="1276" w:type="dxa"/>
          </w:tcPr>
          <w:p w14:paraId="108F7F93" w14:textId="77777777" w:rsidR="008B7ADA" w:rsidRPr="00ED2E30" w:rsidRDefault="008B7ADA" w:rsidP="008B7ADA">
            <w:pPr>
              <w:pStyle w:val="Tabletext"/>
              <w:jc w:val="center"/>
              <w:rPr>
                <w:sz w:val="20"/>
                <w:szCs w:val="22"/>
              </w:rPr>
            </w:pPr>
            <w:r w:rsidRPr="00ED2E30">
              <w:rPr>
                <w:sz w:val="20"/>
                <w:szCs w:val="22"/>
              </w:rPr>
              <w:t>1</w:t>
            </w:r>
          </w:p>
        </w:tc>
        <w:tc>
          <w:tcPr>
            <w:tcW w:w="1474" w:type="dxa"/>
          </w:tcPr>
          <w:p w14:paraId="6C1DDA21" w14:textId="77777777" w:rsidR="008B7ADA" w:rsidRPr="00ED2E30" w:rsidRDefault="008B7ADA" w:rsidP="008B7ADA">
            <w:pPr>
              <w:pStyle w:val="Tabletext"/>
              <w:jc w:val="center"/>
              <w:rPr>
                <w:sz w:val="20"/>
                <w:szCs w:val="22"/>
              </w:rPr>
            </w:pPr>
            <w:r w:rsidRPr="00ED2E30">
              <w:rPr>
                <w:sz w:val="20"/>
                <w:szCs w:val="22"/>
              </w:rPr>
              <w:t>1</w:t>
            </w:r>
          </w:p>
        </w:tc>
      </w:tr>
      <w:tr w:rsidR="008B7ADA" w14:paraId="404C09B5" w14:textId="77777777" w:rsidTr="008B7ADA">
        <w:trPr>
          <w:jc w:val="center"/>
        </w:trPr>
        <w:tc>
          <w:tcPr>
            <w:tcW w:w="1101" w:type="dxa"/>
          </w:tcPr>
          <w:p w14:paraId="2C353101" w14:textId="77777777" w:rsidR="008B7ADA" w:rsidRPr="00ED2E30" w:rsidRDefault="008B7ADA" w:rsidP="008B7ADA">
            <w:pPr>
              <w:pStyle w:val="Tabletext"/>
              <w:rPr>
                <w:sz w:val="20"/>
                <w:szCs w:val="22"/>
              </w:rPr>
            </w:pPr>
            <w:r w:rsidRPr="00ED2E30">
              <w:rPr>
                <w:sz w:val="20"/>
                <w:szCs w:val="22"/>
              </w:rPr>
              <w:t>Travel: Phase 2</w:t>
            </w:r>
          </w:p>
        </w:tc>
        <w:tc>
          <w:tcPr>
            <w:tcW w:w="2835" w:type="dxa"/>
          </w:tcPr>
          <w:p w14:paraId="0FA5AEDC" w14:textId="77777777" w:rsidR="008B7ADA" w:rsidRPr="00ED2E30" w:rsidRDefault="008B7ADA" w:rsidP="008B7ADA">
            <w:pPr>
              <w:pStyle w:val="Tabletext"/>
              <w:rPr>
                <w:sz w:val="20"/>
                <w:szCs w:val="22"/>
              </w:rPr>
            </w:pPr>
          </w:p>
        </w:tc>
        <w:tc>
          <w:tcPr>
            <w:tcW w:w="1842" w:type="dxa"/>
          </w:tcPr>
          <w:p w14:paraId="6231E9F0" w14:textId="77777777" w:rsidR="008B7ADA" w:rsidRPr="00ED2E30" w:rsidRDefault="008B7ADA" w:rsidP="008B7ADA">
            <w:pPr>
              <w:pStyle w:val="Tabletext"/>
              <w:rPr>
                <w:sz w:val="20"/>
                <w:szCs w:val="22"/>
              </w:rPr>
            </w:pPr>
          </w:p>
        </w:tc>
        <w:tc>
          <w:tcPr>
            <w:tcW w:w="1276" w:type="dxa"/>
          </w:tcPr>
          <w:p w14:paraId="2FE888FC" w14:textId="77777777" w:rsidR="008B7ADA" w:rsidRPr="00ED2E30" w:rsidRDefault="008B7ADA" w:rsidP="008B7ADA">
            <w:pPr>
              <w:pStyle w:val="Tabletext"/>
              <w:jc w:val="center"/>
              <w:rPr>
                <w:sz w:val="20"/>
                <w:szCs w:val="22"/>
              </w:rPr>
            </w:pPr>
            <w:r w:rsidRPr="00ED2E30">
              <w:rPr>
                <w:sz w:val="20"/>
                <w:szCs w:val="22"/>
              </w:rPr>
              <w:t>1</w:t>
            </w:r>
          </w:p>
        </w:tc>
        <w:tc>
          <w:tcPr>
            <w:tcW w:w="1474" w:type="dxa"/>
          </w:tcPr>
          <w:p w14:paraId="06DBFB80" w14:textId="77777777" w:rsidR="008B7ADA" w:rsidRPr="00ED2E30" w:rsidRDefault="008B7ADA" w:rsidP="008B7ADA">
            <w:pPr>
              <w:pStyle w:val="Tabletext"/>
              <w:jc w:val="center"/>
              <w:rPr>
                <w:sz w:val="20"/>
                <w:szCs w:val="22"/>
              </w:rPr>
            </w:pPr>
            <w:r w:rsidRPr="00ED2E30">
              <w:rPr>
                <w:sz w:val="20"/>
                <w:szCs w:val="22"/>
              </w:rPr>
              <w:t>1</w:t>
            </w:r>
          </w:p>
        </w:tc>
      </w:tr>
      <w:tr w:rsidR="008B7ADA" w14:paraId="2816C16C" w14:textId="77777777" w:rsidTr="008B7ADA">
        <w:trPr>
          <w:jc w:val="center"/>
        </w:trPr>
        <w:tc>
          <w:tcPr>
            <w:tcW w:w="1101" w:type="dxa"/>
          </w:tcPr>
          <w:p w14:paraId="401D4509" w14:textId="77777777" w:rsidR="008B7ADA" w:rsidRPr="00ED2E30" w:rsidRDefault="008B7ADA" w:rsidP="008B7ADA">
            <w:pPr>
              <w:pStyle w:val="Tabletext"/>
              <w:rPr>
                <w:sz w:val="20"/>
                <w:szCs w:val="22"/>
              </w:rPr>
            </w:pPr>
          </w:p>
        </w:tc>
        <w:tc>
          <w:tcPr>
            <w:tcW w:w="2835" w:type="dxa"/>
          </w:tcPr>
          <w:p w14:paraId="3DEE53C5" w14:textId="77777777" w:rsidR="008B7ADA" w:rsidRPr="00ED2E30" w:rsidRDefault="008B7ADA" w:rsidP="008B7ADA">
            <w:pPr>
              <w:pStyle w:val="Tabletext"/>
              <w:rPr>
                <w:sz w:val="20"/>
                <w:szCs w:val="22"/>
              </w:rPr>
            </w:pPr>
            <w:r w:rsidRPr="00ED2E30">
              <w:rPr>
                <w:sz w:val="20"/>
                <w:szCs w:val="22"/>
              </w:rPr>
              <w:t>TOTAL DAYS</w:t>
            </w:r>
          </w:p>
        </w:tc>
        <w:tc>
          <w:tcPr>
            <w:tcW w:w="1842" w:type="dxa"/>
          </w:tcPr>
          <w:p w14:paraId="7B107CD0" w14:textId="77777777" w:rsidR="008B7ADA" w:rsidRPr="00ED2E30" w:rsidRDefault="008B7ADA" w:rsidP="008B7ADA">
            <w:pPr>
              <w:pStyle w:val="Tabletext"/>
              <w:rPr>
                <w:sz w:val="20"/>
                <w:szCs w:val="22"/>
              </w:rPr>
            </w:pPr>
          </w:p>
        </w:tc>
        <w:tc>
          <w:tcPr>
            <w:tcW w:w="1276" w:type="dxa"/>
          </w:tcPr>
          <w:p w14:paraId="42912602" w14:textId="77777777" w:rsidR="008B7ADA" w:rsidRPr="00ED2E30" w:rsidRDefault="008B7ADA" w:rsidP="008B7ADA">
            <w:pPr>
              <w:pStyle w:val="Tabletext"/>
              <w:jc w:val="center"/>
              <w:rPr>
                <w:sz w:val="20"/>
                <w:szCs w:val="22"/>
              </w:rPr>
            </w:pPr>
            <w:r w:rsidRPr="00ED2E30">
              <w:rPr>
                <w:sz w:val="20"/>
                <w:szCs w:val="22"/>
              </w:rPr>
              <w:t>62</w:t>
            </w:r>
          </w:p>
        </w:tc>
        <w:tc>
          <w:tcPr>
            <w:tcW w:w="1474" w:type="dxa"/>
          </w:tcPr>
          <w:p w14:paraId="556BEAAD" w14:textId="77777777" w:rsidR="008B7ADA" w:rsidRPr="00ED2E30" w:rsidRDefault="008B7ADA" w:rsidP="008B7ADA">
            <w:pPr>
              <w:pStyle w:val="Tabletext"/>
              <w:jc w:val="center"/>
              <w:rPr>
                <w:sz w:val="20"/>
                <w:szCs w:val="22"/>
              </w:rPr>
            </w:pPr>
            <w:r w:rsidRPr="00ED2E30">
              <w:rPr>
                <w:sz w:val="20"/>
                <w:szCs w:val="22"/>
              </w:rPr>
              <w:t>51</w:t>
            </w:r>
          </w:p>
        </w:tc>
      </w:tr>
    </w:tbl>
    <w:p w14:paraId="0C070628" w14:textId="77777777" w:rsidR="008B7ADA" w:rsidRPr="00CD323A" w:rsidRDefault="008B7ADA" w:rsidP="008B7ADA"/>
    <w:p w14:paraId="0483EFAC" w14:textId="77777777" w:rsidR="008B7ADA" w:rsidRDefault="008B7ADA" w:rsidP="008B7ADA">
      <w:pPr>
        <w:pStyle w:val="Heading1"/>
      </w:pPr>
      <w:r>
        <w:br w:type="page"/>
      </w:r>
      <w:bookmarkStart w:id="43" w:name="_Toc203996810"/>
      <w:r w:rsidRPr="00AF5479">
        <w:lastRenderedPageBreak/>
        <w:t>Attachment A</w:t>
      </w:r>
      <w:r>
        <w:t>: Key Documents</w:t>
      </w:r>
      <w:bookmarkEnd w:id="43"/>
    </w:p>
    <w:p w14:paraId="548E435E" w14:textId="77777777" w:rsidR="008B7ADA" w:rsidRDefault="008B7ADA" w:rsidP="008B7ADA">
      <w:pPr>
        <w:pStyle w:val="Bibliography"/>
        <w:rPr>
          <w:rStyle w:val="IntenseEmphasis"/>
          <w:bCs/>
          <w:iCs/>
        </w:rPr>
      </w:pPr>
    </w:p>
    <w:p w14:paraId="70BB5B97" w14:textId="77777777" w:rsidR="008B7ADA" w:rsidRPr="00AE0EC6" w:rsidRDefault="008B7ADA" w:rsidP="008B7ADA">
      <w:pPr>
        <w:pStyle w:val="Bibliography"/>
        <w:rPr>
          <w:rStyle w:val="IntenseEmphasis"/>
          <w:bCs/>
          <w:iCs/>
        </w:rPr>
      </w:pPr>
      <w:r w:rsidRPr="00AE0EC6">
        <w:rPr>
          <w:rStyle w:val="IntenseEmphasis"/>
          <w:bCs/>
          <w:iCs/>
        </w:rPr>
        <w:t>Government of Tonga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B7ADA" w14:paraId="79AED286" w14:textId="77777777" w:rsidTr="008B7ADA">
        <w:trPr>
          <w:jc w:val="center"/>
        </w:trPr>
        <w:tc>
          <w:tcPr>
            <w:tcW w:w="8528" w:type="dxa"/>
          </w:tcPr>
          <w:p w14:paraId="5EB5A604" w14:textId="77777777" w:rsidR="008B7ADA" w:rsidRPr="008D4E8D" w:rsidRDefault="008B7ADA" w:rsidP="008B7ADA">
            <w:pPr>
              <w:spacing w:after="0"/>
              <w:ind w:left="360" w:hanging="360"/>
              <w:rPr>
                <w:rFonts w:eastAsia="SimSun"/>
              </w:rPr>
            </w:pPr>
            <w:r w:rsidRPr="008D4E8D">
              <w:rPr>
                <w:rFonts w:eastAsia="SimSun"/>
              </w:rPr>
              <w:t>1    Activity Development Aid Policy &amp; Management</w:t>
            </w:r>
          </w:p>
        </w:tc>
      </w:tr>
      <w:tr w:rsidR="008B7ADA" w14:paraId="25F6D29D" w14:textId="77777777" w:rsidTr="008B7ADA">
        <w:trPr>
          <w:jc w:val="center"/>
        </w:trPr>
        <w:tc>
          <w:tcPr>
            <w:tcW w:w="8528" w:type="dxa"/>
          </w:tcPr>
          <w:p w14:paraId="42CF4E2C" w14:textId="77777777" w:rsidR="008B7ADA" w:rsidRPr="008D4E8D" w:rsidRDefault="008B7ADA" w:rsidP="008B7ADA">
            <w:pPr>
              <w:spacing w:after="0"/>
              <w:ind w:left="360" w:hanging="360"/>
              <w:rPr>
                <w:rFonts w:eastAsia="SimSun"/>
              </w:rPr>
            </w:pPr>
            <w:r w:rsidRPr="008D4E8D">
              <w:rPr>
                <w:rFonts w:eastAsia="SimSun"/>
              </w:rPr>
              <w:t>2.  Draft Education Policy Framework (EPF)</w:t>
            </w:r>
          </w:p>
        </w:tc>
      </w:tr>
      <w:tr w:rsidR="008B7ADA" w14:paraId="1326C8CD" w14:textId="77777777" w:rsidTr="008B7ADA">
        <w:trPr>
          <w:jc w:val="center"/>
        </w:trPr>
        <w:tc>
          <w:tcPr>
            <w:tcW w:w="8528" w:type="dxa"/>
          </w:tcPr>
          <w:p w14:paraId="08FAA8B4" w14:textId="77777777" w:rsidR="008B7ADA" w:rsidRPr="008D4E8D" w:rsidRDefault="008B7ADA" w:rsidP="008B7ADA">
            <w:pPr>
              <w:spacing w:after="0"/>
              <w:ind w:left="360" w:hanging="360"/>
              <w:rPr>
                <w:rFonts w:eastAsia="SimSun"/>
              </w:rPr>
            </w:pPr>
            <w:r w:rsidRPr="008D4E8D">
              <w:rPr>
                <w:rFonts w:eastAsia="SimSun"/>
              </w:rPr>
              <w:t>3.  Government of Tonga, Tonga Strategic Development Framework (TSDF) 2011 – 2014</w:t>
            </w:r>
          </w:p>
        </w:tc>
      </w:tr>
      <w:tr w:rsidR="008B7ADA" w14:paraId="4F8C7C18" w14:textId="77777777" w:rsidTr="008B7ADA">
        <w:trPr>
          <w:jc w:val="center"/>
        </w:trPr>
        <w:tc>
          <w:tcPr>
            <w:tcW w:w="8528" w:type="dxa"/>
          </w:tcPr>
          <w:p w14:paraId="51F217EB" w14:textId="77777777" w:rsidR="008B7ADA" w:rsidRPr="008D4E8D" w:rsidRDefault="008B7ADA" w:rsidP="008B7ADA">
            <w:pPr>
              <w:pStyle w:val="Bibliography"/>
              <w:spacing w:after="0"/>
              <w:ind w:left="357" w:hanging="357"/>
              <w:rPr>
                <w:rFonts w:eastAsia="SimSun"/>
              </w:rPr>
            </w:pPr>
            <w:r w:rsidRPr="008D4E8D">
              <w:rPr>
                <w:rFonts w:eastAsia="SimSun"/>
              </w:rPr>
              <w:t>4.  Ministry of Education Women’s Affairs and Culture Corporate Plan 2011-2014 (March 2011)</w:t>
            </w:r>
          </w:p>
        </w:tc>
      </w:tr>
      <w:tr w:rsidR="008B7ADA" w14:paraId="13931219" w14:textId="77777777" w:rsidTr="008B7ADA">
        <w:trPr>
          <w:jc w:val="center"/>
        </w:trPr>
        <w:tc>
          <w:tcPr>
            <w:tcW w:w="8528" w:type="dxa"/>
          </w:tcPr>
          <w:p w14:paraId="5B8189DF" w14:textId="77777777" w:rsidR="008B7ADA" w:rsidRPr="008D4E8D" w:rsidRDefault="008B7ADA" w:rsidP="008B7ADA">
            <w:pPr>
              <w:pStyle w:val="Bibliography"/>
              <w:spacing w:after="0"/>
              <w:ind w:left="357" w:hanging="357"/>
              <w:rPr>
                <w:rFonts w:eastAsia="SimSun"/>
              </w:rPr>
            </w:pPr>
            <w:r w:rsidRPr="008D4E8D">
              <w:rPr>
                <w:rFonts w:eastAsia="SimSun" w:cs="Arial"/>
              </w:rPr>
              <w:t>5.</w:t>
            </w:r>
            <w:r w:rsidRPr="008D4E8D">
              <w:rPr>
                <w:rFonts w:eastAsia="SimSun"/>
              </w:rPr>
              <w:t xml:space="preserve">  </w:t>
            </w:r>
            <w:r w:rsidRPr="008D4E8D">
              <w:rPr>
                <w:rFonts w:eastAsia="SimSun" w:cs="Arial"/>
              </w:rPr>
              <w:t>Tonga Tourism Training Needs Analysis Review and Recommendations, 20 October 2009, Tourism Resource Consultant, NZAID</w:t>
            </w:r>
          </w:p>
        </w:tc>
      </w:tr>
      <w:tr w:rsidR="008B7ADA" w14:paraId="4074BB03" w14:textId="77777777" w:rsidTr="008B7ADA">
        <w:trPr>
          <w:jc w:val="center"/>
        </w:trPr>
        <w:tc>
          <w:tcPr>
            <w:tcW w:w="8528" w:type="dxa"/>
          </w:tcPr>
          <w:p w14:paraId="0C29F3A5" w14:textId="77777777" w:rsidR="008B7ADA" w:rsidRPr="008D4E8D" w:rsidRDefault="008B7ADA" w:rsidP="008B7ADA">
            <w:pPr>
              <w:pStyle w:val="Bibliography"/>
              <w:spacing w:after="0"/>
              <w:ind w:left="357" w:hanging="357"/>
              <w:rPr>
                <w:rFonts w:eastAsia="SimSun" w:cs="Arial"/>
              </w:rPr>
            </w:pPr>
            <w:r w:rsidRPr="008D4E8D">
              <w:rPr>
                <w:rFonts w:eastAsia="SimSun" w:cs="Arial"/>
              </w:rPr>
              <w:t>6.  Draft Education Policy Framework</w:t>
            </w:r>
          </w:p>
        </w:tc>
      </w:tr>
    </w:tbl>
    <w:p w14:paraId="59373329" w14:textId="77777777" w:rsidR="008B7ADA" w:rsidRDefault="008B7ADA" w:rsidP="008B7ADA">
      <w:pPr>
        <w:pStyle w:val="Bibliography"/>
      </w:pPr>
    </w:p>
    <w:p w14:paraId="35B29A44" w14:textId="77777777" w:rsidR="008B7ADA" w:rsidRDefault="008B7ADA" w:rsidP="008B7ADA">
      <w:pPr>
        <w:pStyle w:val="Bibliography"/>
        <w:rPr>
          <w:rStyle w:val="IntenseEmphasis"/>
          <w:bCs/>
          <w:iCs/>
        </w:rPr>
      </w:pPr>
      <w:r>
        <w:rPr>
          <w:rStyle w:val="IntenseEmphasis"/>
          <w:bCs/>
          <w:iCs/>
        </w:rPr>
        <w:t>AusAID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B7ADA" w14:paraId="465CAF86" w14:textId="77777777" w:rsidTr="008B7ADA">
        <w:trPr>
          <w:jc w:val="center"/>
        </w:trPr>
        <w:tc>
          <w:tcPr>
            <w:tcW w:w="8528" w:type="dxa"/>
          </w:tcPr>
          <w:p w14:paraId="1FD4EB89" w14:textId="77777777" w:rsidR="008B7ADA" w:rsidRPr="008D4E8D" w:rsidRDefault="008B7ADA" w:rsidP="008B7ADA">
            <w:pPr>
              <w:spacing w:after="0"/>
              <w:ind w:left="240" w:hanging="240"/>
              <w:rPr>
                <w:rFonts w:eastAsia="SimSun"/>
              </w:rPr>
            </w:pPr>
            <w:r w:rsidRPr="008D4E8D">
              <w:rPr>
                <w:rFonts w:eastAsia="SimSun"/>
              </w:rPr>
              <w:t xml:space="preserve">1.  </w:t>
            </w:r>
            <w:r w:rsidRPr="008D4E8D">
              <w:rPr>
                <w:rFonts w:eastAsia="SimSun" w:cs="Arial"/>
              </w:rPr>
              <w:t xml:space="preserve">A guide, with accompanying matrix and template, to measure and </w:t>
            </w:r>
            <w:proofErr w:type="gramStart"/>
            <w:r w:rsidRPr="008D4E8D">
              <w:rPr>
                <w:rFonts w:eastAsia="SimSun" w:cs="Arial"/>
              </w:rPr>
              <w:t>bench mark</w:t>
            </w:r>
            <w:proofErr w:type="gramEnd"/>
            <w:r w:rsidRPr="008D4E8D">
              <w:rPr>
                <w:rFonts w:eastAsia="SimSun" w:cs="Arial"/>
              </w:rPr>
              <w:t xml:space="preserve"> effectiveness, efficiency and equity across secondary TVET schools, September, 2010. ERF.</w:t>
            </w:r>
          </w:p>
        </w:tc>
      </w:tr>
      <w:tr w:rsidR="008B7ADA" w14:paraId="1888A44A" w14:textId="77777777" w:rsidTr="008B7ADA">
        <w:trPr>
          <w:jc w:val="center"/>
        </w:trPr>
        <w:tc>
          <w:tcPr>
            <w:tcW w:w="8528" w:type="dxa"/>
          </w:tcPr>
          <w:p w14:paraId="6CC68FD4" w14:textId="77777777" w:rsidR="008B7ADA" w:rsidRPr="008D4E8D" w:rsidRDefault="008B7ADA" w:rsidP="008B7ADA">
            <w:pPr>
              <w:spacing w:after="0"/>
              <w:ind w:left="240" w:hanging="240"/>
              <w:rPr>
                <w:rFonts w:eastAsia="SimSun"/>
              </w:rPr>
            </w:pPr>
            <w:r w:rsidRPr="008D4E8D">
              <w:rPr>
                <w:rFonts w:eastAsia="SimSun"/>
              </w:rPr>
              <w:t>2.  Pacific Education and Skills Development Agenda, Guidance on Education and skills development across the Pacific, AusAID, June 2011.</w:t>
            </w:r>
          </w:p>
        </w:tc>
      </w:tr>
      <w:tr w:rsidR="008B7ADA" w14:paraId="7DCF61CB" w14:textId="77777777" w:rsidTr="008B7ADA">
        <w:trPr>
          <w:jc w:val="center"/>
        </w:trPr>
        <w:tc>
          <w:tcPr>
            <w:tcW w:w="8528" w:type="dxa"/>
          </w:tcPr>
          <w:p w14:paraId="4D13707E" w14:textId="77777777" w:rsidR="008B7ADA" w:rsidRPr="008D4E8D" w:rsidRDefault="008B7ADA" w:rsidP="008B7ADA">
            <w:pPr>
              <w:spacing w:after="0"/>
              <w:ind w:left="240" w:hanging="240"/>
              <w:rPr>
                <w:rFonts w:eastAsia="SimSun"/>
              </w:rPr>
            </w:pPr>
            <w:r w:rsidRPr="008D4E8D">
              <w:rPr>
                <w:rFonts w:eastAsia="SimSun"/>
              </w:rPr>
              <w:t>3.  Promoting Opportunities for All: Education, November 2011</w:t>
            </w:r>
          </w:p>
        </w:tc>
      </w:tr>
      <w:tr w:rsidR="008B7ADA" w14:paraId="2D3DC48B" w14:textId="77777777" w:rsidTr="008B7ADA">
        <w:trPr>
          <w:jc w:val="center"/>
        </w:trPr>
        <w:tc>
          <w:tcPr>
            <w:tcW w:w="8528" w:type="dxa"/>
          </w:tcPr>
          <w:p w14:paraId="17E7A8A7" w14:textId="77777777" w:rsidR="008B7ADA" w:rsidRPr="008D4E8D" w:rsidRDefault="008B7ADA" w:rsidP="008B7ADA">
            <w:pPr>
              <w:spacing w:after="0"/>
              <w:ind w:left="240" w:hanging="240"/>
              <w:rPr>
                <w:rFonts w:eastAsia="SimSun"/>
              </w:rPr>
            </w:pPr>
            <w:r w:rsidRPr="008D4E8D">
              <w:rPr>
                <w:rFonts w:eastAsia="SimSun"/>
              </w:rPr>
              <w:t>4.  Review of Expenditure on Education Final Report, ‘</w:t>
            </w:r>
            <w:proofErr w:type="spellStart"/>
            <w:r w:rsidRPr="008D4E8D">
              <w:rPr>
                <w:rFonts w:eastAsia="SimSun"/>
              </w:rPr>
              <w:t>Alifeleti</w:t>
            </w:r>
            <w:proofErr w:type="spellEnd"/>
            <w:r w:rsidRPr="008D4E8D">
              <w:rPr>
                <w:rFonts w:eastAsia="SimSun"/>
              </w:rPr>
              <w:t xml:space="preserve"> ‘</w:t>
            </w:r>
            <w:proofErr w:type="spellStart"/>
            <w:r w:rsidRPr="008D4E8D">
              <w:rPr>
                <w:rFonts w:eastAsia="SimSun"/>
              </w:rPr>
              <w:t>Atiola</w:t>
            </w:r>
            <w:proofErr w:type="spellEnd"/>
            <w:r w:rsidRPr="008D4E8D">
              <w:rPr>
                <w:rFonts w:eastAsia="SimSun"/>
              </w:rPr>
              <w:t xml:space="preserve">, </w:t>
            </w:r>
            <w:proofErr w:type="spellStart"/>
            <w:r w:rsidRPr="008D4E8D">
              <w:rPr>
                <w:rFonts w:eastAsia="SimSun"/>
              </w:rPr>
              <w:t>Raelyn</w:t>
            </w:r>
            <w:proofErr w:type="spellEnd"/>
            <w:r w:rsidRPr="008D4E8D">
              <w:rPr>
                <w:rFonts w:eastAsia="SimSun"/>
              </w:rPr>
              <w:t xml:space="preserve"> ‘Esau, </w:t>
            </w:r>
            <w:proofErr w:type="spellStart"/>
            <w:r w:rsidRPr="008D4E8D">
              <w:rPr>
                <w:rFonts w:eastAsia="SimSun"/>
              </w:rPr>
              <w:t>Tevita</w:t>
            </w:r>
            <w:proofErr w:type="spellEnd"/>
            <w:r w:rsidRPr="008D4E8D">
              <w:rPr>
                <w:rFonts w:eastAsia="SimSun"/>
              </w:rPr>
              <w:t xml:space="preserve"> </w:t>
            </w:r>
            <w:proofErr w:type="spellStart"/>
            <w:r w:rsidRPr="008D4E8D">
              <w:rPr>
                <w:rFonts w:eastAsia="SimSun"/>
              </w:rPr>
              <w:t>Lavemaau</w:t>
            </w:r>
            <w:proofErr w:type="spellEnd"/>
            <w:r w:rsidRPr="008D4E8D">
              <w:rPr>
                <w:rFonts w:eastAsia="SimSun"/>
              </w:rPr>
              <w:t>, Mark Minford, June 2010</w:t>
            </w:r>
          </w:p>
        </w:tc>
      </w:tr>
      <w:tr w:rsidR="008B7ADA" w14:paraId="4F0F896D" w14:textId="77777777" w:rsidTr="008B7ADA">
        <w:trPr>
          <w:jc w:val="center"/>
        </w:trPr>
        <w:tc>
          <w:tcPr>
            <w:tcW w:w="8528" w:type="dxa"/>
          </w:tcPr>
          <w:p w14:paraId="35A9D2FA" w14:textId="77777777" w:rsidR="008B7ADA" w:rsidRPr="008D4E8D" w:rsidRDefault="008B7ADA" w:rsidP="008B7ADA">
            <w:pPr>
              <w:spacing w:after="0"/>
              <w:ind w:left="240" w:hanging="240"/>
              <w:rPr>
                <w:rFonts w:eastAsia="SimSun"/>
              </w:rPr>
            </w:pPr>
            <w:r w:rsidRPr="008D4E8D">
              <w:rPr>
                <w:rFonts w:eastAsia="SimSun"/>
              </w:rPr>
              <w:t>5.  Strategic Choices:  Education- Key Issues and Priorities for AusAID Engagement to 2015</w:t>
            </w:r>
          </w:p>
        </w:tc>
      </w:tr>
      <w:tr w:rsidR="008B7ADA" w14:paraId="0C179DB7" w14:textId="77777777" w:rsidTr="008B7ADA">
        <w:trPr>
          <w:jc w:val="center"/>
        </w:trPr>
        <w:tc>
          <w:tcPr>
            <w:tcW w:w="8528" w:type="dxa"/>
          </w:tcPr>
          <w:p w14:paraId="2217F4D0" w14:textId="77777777" w:rsidR="008B7ADA" w:rsidRPr="008D4E8D" w:rsidRDefault="008B7ADA" w:rsidP="008B7ADA">
            <w:pPr>
              <w:spacing w:after="0"/>
              <w:ind w:left="240" w:hanging="240"/>
              <w:rPr>
                <w:rFonts w:eastAsia="SimSun"/>
              </w:rPr>
            </w:pPr>
            <w:r w:rsidRPr="008D4E8D">
              <w:rPr>
                <w:rFonts w:eastAsia="SimSun"/>
              </w:rPr>
              <w:t xml:space="preserve">6.  Technical and Vocational Education and Training in schools: Literature Review, </w:t>
            </w:r>
            <w:r w:rsidRPr="008D4E8D">
              <w:rPr>
                <w:rFonts w:eastAsia="SimSun" w:cs="Arial"/>
              </w:rPr>
              <w:t>AusAID Education Resource Facility</w:t>
            </w:r>
            <w:r w:rsidRPr="008D4E8D">
              <w:rPr>
                <w:rFonts w:eastAsia="SimSun"/>
              </w:rPr>
              <w:t xml:space="preserve">, </w:t>
            </w:r>
            <w:proofErr w:type="gramStart"/>
            <w:r w:rsidRPr="008D4E8D">
              <w:rPr>
                <w:rFonts w:eastAsia="SimSun"/>
              </w:rPr>
              <w:t>9</w:t>
            </w:r>
            <w:proofErr w:type="gramEnd"/>
            <w:r w:rsidRPr="008D4E8D">
              <w:rPr>
                <w:rFonts w:eastAsia="SimSun"/>
              </w:rPr>
              <w:t xml:space="preserve"> September 2010.</w:t>
            </w:r>
          </w:p>
        </w:tc>
      </w:tr>
      <w:tr w:rsidR="008B7ADA" w14:paraId="006A12CE" w14:textId="77777777" w:rsidTr="008B7ADA">
        <w:trPr>
          <w:jc w:val="center"/>
        </w:trPr>
        <w:tc>
          <w:tcPr>
            <w:tcW w:w="8528" w:type="dxa"/>
          </w:tcPr>
          <w:p w14:paraId="010A3A45" w14:textId="77777777" w:rsidR="008B7ADA" w:rsidRPr="008D4E8D" w:rsidRDefault="008B7ADA" w:rsidP="008B7ADA">
            <w:pPr>
              <w:spacing w:after="0"/>
              <w:ind w:left="240" w:hanging="240"/>
              <w:rPr>
                <w:rFonts w:eastAsia="SimSun"/>
              </w:rPr>
            </w:pPr>
            <w:r w:rsidRPr="008D4E8D">
              <w:rPr>
                <w:rFonts w:eastAsia="SimSun"/>
              </w:rPr>
              <w:t>7.  Tonga TVET Support Program Phase 1, Report on In-Country Mission 4-8 April 2011, Kaye Schofield, 15 April 2011.</w:t>
            </w:r>
          </w:p>
        </w:tc>
      </w:tr>
    </w:tbl>
    <w:p w14:paraId="006022FC" w14:textId="77777777" w:rsidR="008B7ADA" w:rsidRDefault="008B7ADA" w:rsidP="008B7ADA"/>
    <w:p w14:paraId="032ADABA" w14:textId="77777777" w:rsidR="008B7ADA" w:rsidRDefault="008B7ADA" w:rsidP="008B7ADA">
      <w:pPr>
        <w:rPr>
          <w:rStyle w:val="IntenseReference"/>
          <w:bCs/>
          <w:i/>
        </w:rPr>
      </w:pPr>
      <w:proofErr w:type="gramStart"/>
      <w:r w:rsidRPr="00AE0EC6">
        <w:rPr>
          <w:rStyle w:val="IntenseReference"/>
          <w:bCs/>
          <w:i/>
        </w:rPr>
        <w:t>P</w:t>
      </w:r>
      <w:r>
        <w:rPr>
          <w:rStyle w:val="IntenseReference"/>
          <w:bCs/>
          <w:i/>
        </w:rPr>
        <w:t xml:space="preserve">artnership </w:t>
      </w:r>
      <w:r w:rsidRPr="00AE0EC6">
        <w:rPr>
          <w:rStyle w:val="IntenseReference"/>
          <w:bCs/>
          <w:i/>
        </w:rPr>
        <w:t xml:space="preserve"> Documents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B7ADA" w:rsidRPr="008D4E8D" w14:paraId="456A847E" w14:textId="77777777" w:rsidTr="008B7ADA">
        <w:trPr>
          <w:jc w:val="center"/>
        </w:trPr>
        <w:tc>
          <w:tcPr>
            <w:tcW w:w="8528" w:type="dxa"/>
          </w:tcPr>
          <w:p w14:paraId="1E15CD1D" w14:textId="77777777" w:rsidR="008B7ADA" w:rsidRPr="008D4E8D" w:rsidRDefault="008B7ADA" w:rsidP="008B7ADA">
            <w:pPr>
              <w:spacing w:after="0"/>
              <w:ind w:left="357" w:hanging="357"/>
              <w:rPr>
                <w:rStyle w:val="IntenseReference"/>
                <w:rFonts w:eastAsia="SimSun"/>
                <w:bCs/>
              </w:rPr>
            </w:pPr>
            <w:r w:rsidRPr="008D4E8D">
              <w:rPr>
                <w:rStyle w:val="IntenseReference"/>
                <w:rFonts w:eastAsia="SimSun"/>
                <w:bCs/>
              </w:rPr>
              <w:t>AusAID Partnership Documents</w:t>
            </w:r>
          </w:p>
        </w:tc>
      </w:tr>
      <w:tr w:rsidR="008B7ADA" w:rsidRPr="008D4E8D" w14:paraId="49DF3E97" w14:textId="77777777" w:rsidTr="008B7ADA">
        <w:trPr>
          <w:jc w:val="center"/>
        </w:trPr>
        <w:tc>
          <w:tcPr>
            <w:tcW w:w="8528" w:type="dxa"/>
          </w:tcPr>
          <w:p w14:paraId="2269A4AD"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t xml:space="preserve">1.    </w:t>
            </w:r>
            <w:r w:rsidRPr="008D4E8D">
              <w:rPr>
                <w:rFonts w:eastAsia="SimSun"/>
              </w:rPr>
              <w:t>Subsidiary Arrangement between the Government of Australia and the Government of Tonga for the Tonga Technical Vocational Education and Training (TVET) Support Program (May 2010).</w:t>
            </w:r>
          </w:p>
        </w:tc>
      </w:tr>
      <w:tr w:rsidR="008B7ADA" w:rsidRPr="008D4E8D" w14:paraId="4C519410" w14:textId="77777777" w:rsidTr="008B7ADA">
        <w:trPr>
          <w:jc w:val="center"/>
        </w:trPr>
        <w:tc>
          <w:tcPr>
            <w:tcW w:w="8528" w:type="dxa"/>
          </w:tcPr>
          <w:p w14:paraId="1470F41C" w14:textId="77777777" w:rsidR="008B7ADA" w:rsidRPr="008D4E8D" w:rsidRDefault="008B7ADA" w:rsidP="008B7ADA">
            <w:pPr>
              <w:spacing w:after="0"/>
              <w:ind w:left="357" w:hanging="357"/>
              <w:rPr>
                <w:rStyle w:val="IntenseReference"/>
                <w:rFonts w:eastAsia="SimSun"/>
                <w:b w:val="0"/>
                <w:smallCaps w:val="0"/>
              </w:rPr>
            </w:pPr>
            <w:r w:rsidRPr="008D4E8D">
              <w:rPr>
                <w:rStyle w:val="IntenseReference"/>
                <w:rFonts w:eastAsia="SimSun"/>
                <w:bCs/>
              </w:rPr>
              <w:t xml:space="preserve">2.   </w:t>
            </w:r>
            <w:r w:rsidRPr="008D4E8D">
              <w:rPr>
                <w:rFonts w:eastAsia="SimSun"/>
              </w:rPr>
              <w:t>Australia-Tonga Partnership for Development; Implementation Schedule – Outcome 3 – Improved technical and vocational skills</w:t>
            </w:r>
          </w:p>
        </w:tc>
      </w:tr>
      <w:tr w:rsidR="008B7ADA" w:rsidRPr="008D4E8D" w14:paraId="458EAD03" w14:textId="77777777" w:rsidTr="008B7ADA">
        <w:trPr>
          <w:jc w:val="center"/>
        </w:trPr>
        <w:tc>
          <w:tcPr>
            <w:tcW w:w="8528" w:type="dxa"/>
          </w:tcPr>
          <w:p w14:paraId="70AA04FF" w14:textId="77777777" w:rsidR="008B7ADA" w:rsidRPr="008D4E8D" w:rsidRDefault="008B7ADA" w:rsidP="008B7ADA">
            <w:pPr>
              <w:spacing w:after="0"/>
              <w:ind w:left="357" w:hanging="357"/>
              <w:rPr>
                <w:rStyle w:val="IntenseReference"/>
                <w:rFonts w:eastAsia="SimSun"/>
                <w:bCs/>
              </w:rPr>
            </w:pPr>
            <w:r w:rsidRPr="008D4E8D">
              <w:rPr>
                <w:rStyle w:val="IntenseReference"/>
                <w:rFonts w:eastAsia="SimSun"/>
                <w:bCs/>
              </w:rPr>
              <w:t>New Zealand Partnership Documents</w:t>
            </w:r>
          </w:p>
        </w:tc>
      </w:tr>
      <w:tr w:rsidR="008B7ADA" w:rsidRPr="008D4E8D" w14:paraId="6E5C6982" w14:textId="77777777" w:rsidTr="008B7ADA">
        <w:trPr>
          <w:jc w:val="center"/>
        </w:trPr>
        <w:tc>
          <w:tcPr>
            <w:tcW w:w="8528" w:type="dxa"/>
          </w:tcPr>
          <w:p w14:paraId="0D902808" w14:textId="77777777" w:rsidR="008B7ADA" w:rsidRPr="008D4E8D" w:rsidRDefault="008B7ADA" w:rsidP="008B7ADA">
            <w:pPr>
              <w:spacing w:after="0"/>
              <w:ind w:left="357" w:hanging="357"/>
              <w:rPr>
                <w:rStyle w:val="IntenseReference"/>
                <w:rFonts w:eastAsia="SimSun"/>
                <w:b w:val="0"/>
                <w:bCs/>
              </w:rPr>
            </w:pPr>
            <w:r w:rsidRPr="008D4E8D">
              <w:rPr>
                <w:rFonts w:eastAsia="SimSun"/>
              </w:rPr>
              <w:t>Tonga-New Zealand Joint Commitment for Development</w:t>
            </w:r>
          </w:p>
        </w:tc>
      </w:tr>
    </w:tbl>
    <w:p w14:paraId="6A489FAD" w14:textId="77777777" w:rsidR="008B7ADA" w:rsidRDefault="008B7ADA" w:rsidP="008B7ADA">
      <w:pPr>
        <w:pStyle w:val="Bibliography"/>
        <w:rPr>
          <w:rStyle w:val="IntenseEmphasis"/>
          <w:bCs/>
          <w:iCs/>
        </w:rPr>
      </w:pPr>
    </w:p>
    <w:p w14:paraId="7F22AEFF" w14:textId="77777777" w:rsidR="008B7ADA" w:rsidRDefault="008B7ADA" w:rsidP="008B7ADA">
      <w:pPr>
        <w:pStyle w:val="Bibliography"/>
        <w:rPr>
          <w:rStyle w:val="IntenseReference"/>
          <w:b w:val="0"/>
          <w:bCs/>
        </w:rPr>
      </w:pPr>
      <w:proofErr w:type="gramStart"/>
      <w:r>
        <w:rPr>
          <w:rStyle w:val="IntenseEmphasis"/>
          <w:bCs/>
          <w:iCs/>
        </w:rPr>
        <w:lastRenderedPageBreak/>
        <w:t>TSP1  Program</w:t>
      </w:r>
      <w:proofErr w:type="gramEnd"/>
      <w:r>
        <w:rPr>
          <w:rStyle w:val="IntenseEmphasis"/>
          <w:bCs/>
          <w:iCs/>
        </w:rPr>
        <w:t xml:space="preserve">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B7ADA" w:rsidRPr="008D4E8D" w14:paraId="56E3959C" w14:textId="77777777" w:rsidTr="008B7ADA">
        <w:trPr>
          <w:jc w:val="center"/>
        </w:trPr>
        <w:tc>
          <w:tcPr>
            <w:tcW w:w="8528" w:type="dxa"/>
          </w:tcPr>
          <w:p w14:paraId="70A07634"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t xml:space="preserve">1.    </w:t>
            </w:r>
            <w:r w:rsidRPr="008D4E8D">
              <w:rPr>
                <w:rFonts w:eastAsia="SimSun" w:cs="Arial"/>
              </w:rPr>
              <w:t>Government of Tonga (</w:t>
            </w:r>
            <w:proofErr w:type="spellStart"/>
            <w:r w:rsidRPr="008D4E8D">
              <w:rPr>
                <w:rFonts w:eastAsia="SimSun" w:cs="Arial"/>
              </w:rPr>
              <w:t>GoT</w:t>
            </w:r>
            <w:proofErr w:type="spellEnd"/>
            <w:r w:rsidRPr="008D4E8D">
              <w:rPr>
                <w:rFonts w:eastAsia="SimSun" w:cs="Arial"/>
              </w:rPr>
              <w:t>) Ministry of Training, Employment, Youth and Sport (</w:t>
            </w:r>
            <w:proofErr w:type="spellStart"/>
            <w:r w:rsidRPr="008D4E8D">
              <w:rPr>
                <w:rFonts w:eastAsia="SimSun" w:cs="Arial"/>
              </w:rPr>
              <w:t>MoTEYS</w:t>
            </w:r>
            <w:proofErr w:type="spellEnd"/>
            <w:r w:rsidRPr="008D4E8D">
              <w:rPr>
                <w:rFonts w:eastAsia="SimSun" w:cs="Arial"/>
              </w:rPr>
              <w:t>), TVET Support Program (TSP) Monitoring and Evaluation for the TSP Program: Monitoring Progress and Outcomes Evaluating Impact and Value</w:t>
            </w:r>
            <w:proofErr w:type="gramStart"/>
            <w:r w:rsidRPr="008D4E8D">
              <w:rPr>
                <w:rFonts w:eastAsia="SimSun" w:cs="Arial"/>
              </w:rPr>
              <w:t>,  AusAID</w:t>
            </w:r>
            <w:proofErr w:type="gramEnd"/>
            <w:r w:rsidRPr="008D4E8D">
              <w:rPr>
                <w:rFonts w:eastAsia="SimSun" w:cs="Arial"/>
              </w:rPr>
              <w:t>–NZ-MFAT, Nuku’alofa, June 2011.</w:t>
            </w:r>
            <w:r w:rsidRPr="008D4E8D">
              <w:rPr>
                <w:rStyle w:val="IntenseReference"/>
                <w:rFonts w:eastAsia="SimSun"/>
                <w:bCs/>
              </w:rPr>
              <w:t xml:space="preserve">  </w:t>
            </w:r>
          </w:p>
        </w:tc>
      </w:tr>
      <w:tr w:rsidR="008B7ADA" w:rsidRPr="008D4E8D" w14:paraId="43D25D04" w14:textId="77777777" w:rsidTr="008B7ADA">
        <w:trPr>
          <w:jc w:val="center"/>
        </w:trPr>
        <w:tc>
          <w:tcPr>
            <w:tcW w:w="8528" w:type="dxa"/>
          </w:tcPr>
          <w:p w14:paraId="73EF7116"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t xml:space="preserve">2.    </w:t>
            </w:r>
            <w:r w:rsidRPr="008D4E8D">
              <w:rPr>
                <w:rFonts w:eastAsia="SimSun" w:cs="Arial"/>
              </w:rPr>
              <w:t>Government of Tonga Ministry of Training, Employment, Youth and Sport (</w:t>
            </w:r>
            <w:proofErr w:type="spellStart"/>
            <w:r w:rsidRPr="008D4E8D">
              <w:rPr>
                <w:rFonts w:eastAsia="SimSun" w:cs="Arial"/>
              </w:rPr>
              <w:t>MoTEYS</w:t>
            </w:r>
            <w:proofErr w:type="spellEnd"/>
            <w:r w:rsidRPr="008D4E8D">
              <w:rPr>
                <w:rFonts w:eastAsia="SimSun" w:cs="Arial"/>
              </w:rPr>
              <w:t xml:space="preserve">) </w:t>
            </w:r>
            <w:r w:rsidRPr="008D4E8D">
              <w:rPr>
                <w:rFonts w:eastAsia="SimSun" w:cs="Arial"/>
                <w:bCs/>
              </w:rPr>
              <w:t xml:space="preserve">TVET Support Program (TSP) Six monthly progress report July – December 2011, </w:t>
            </w:r>
            <w:r w:rsidRPr="008D4E8D">
              <w:rPr>
                <w:rFonts w:eastAsia="SimSun" w:cs="Arial"/>
              </w:rPr>
              <w:t>Nuku’alofa - January 2012.</w:t>
            </w:r>
            <w:r w:rsidRPr="008D4E8D">
              <w:rPr>
                <w:rStyle w:val="IntenseReference"/>
                <w:rFonts w:eastAsia="SimSun"/>
                <w:bCs/>
              </w:rPr>
              <w:t xml:space="preserve"> </w:t>
            </w:r>
          </w:p>
        </w:tc>
      </w:tr>
      <w:tr w:rsidR="008B7ADA" w:rsidRPr="008D4E8D" w14:paraId="6031574C" w14:textId="77777777" w:rsidTr="008B7ADA">
        <w:trPr>
          <w:jc w:val="center"/>
        </w:trPr>
        <w:tc>
          <w:tcPr>
            <w:tcW w:w="8528" w:type="dxa"/>
          </w:tcPr>
          <w:p w14:paraId="78473E63"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t xml:space="preserve">3.    </w:t>
            </w:r>
            <w:r w:rsidRPr="008D4E8D">
              <w:rPr>
                <w:rFonts w:eastAsia="SimSun"/>
              </w:rPr>
              <w:t xml:space="preserve">Karl </w:t>
            </w:r>
            <w:proofErr w:type="spellStart"/>
            <w:r w:rsidRPr="008D4E8D">
              <w:rPr>
                <w:rFonts w:eastAsia="SimSun"/>
              </w:rPr>
              <w:t>Taufaeteau</w:t>
            </w:r>
            <w:proofErr w:type="spellEnd"/>
            <w:r w:rsidRPr="008D4E8D">
              <w:rPr>
                <w:rFonts w:eastAsia="SimSun"/>
              </w:rPr>
              <w:t xml:space="preserve"> &amp; Associates (October 2011) Audit Report, June 2011.</w:t>
            </w:r>
          </w:p>
        </w:tc>
      </w:tr>
      <w:tr w:rsidR="008B7ADA" w:rsidRPr="008D4E8D" w14:paraId="68DB867B" w14:textId="77777777" w:rsidTr="008B7ADA">
        <w:trPr>
          <w:jc w:val="center"/>
        </w:trPr>
        <w:tc>
          <w:tcPr>
            <w:tcW w:w="8528" w:type="dxa"/>
          </w:tcPr>
          <w:p w14:paraId="5FEED7D9" w14:textId="77777777" w:rsidR="008B7ADA" w:rsidRPr="008D4E8D" w:rsidRDefault="008B7ADA" w:rsidP="008B7ADA">
            <w:pPr>
              <w:spacing w:after="0"/>
              <w:ind w:left="357" w:hanging="357"/>
              <w:rPr>
                <w:rStyle w:val="IntenseReference"/>
                <w:rFonts w:eastAsia="SimSun"/>
                <w:bCs/>
              </w:rPr>
            </w:pPr>
            <w:r w:rsidRPr="008D4E8D">
              <w:rPr>
                <w:rStyle w:val="IntenseReference"/>
                <w:rFonts w:eastAsia="SimSun"/>
                <w:bCs/>
              </w:rPr>
              <w:t xml:space="preserve">4.    </w:t>
            </w:r>
            <w:r w:rsidRPr="008D4E8D">
              <w:rPr>
                <w:rFonts w:eastAsia="SimSun"/>
              </w:rPr>
              <w:t xml:space="preserve">Ministry of Training, Employment, Youth and Sports </w:t>
            </w:r>
            <w:r w:rsidRPr="008D4E8D">
              <w:rPr>
                <w:rFonts w:eastAsia="SimSun" w:cs="Arial"/>
              </w:rPr>
              <w:t>Corporate plan</w:t>
            </w:r>
            <w:r w:rsidRPr="008D4E8D">
              <w:rPr>
                <w:rFonts w:eastAsia="SimSun" w:cs="Arial"/>
                <w:smallCaps/>
              </w:rPr>
              <w:t xml:space="preserve"> </w:t>
            </w:r>
            <w:r w:rsidRPr="008D4E8D">
              <w:rPr>
                <w:rFonts w:eastAsia="SimSun" w:cs="Arial"/>
              </w:rPr>
              <w:t>2007-2012.</w:t>
            </w:r>
          </w:p>
        </w:tc>
      </w:tr>
      <w:tr w:rsidR="008B7ADA" w:rsidRPr="008D4E8D" w14:paraId="7F57CC38" w14:textId="77777777" w:rsidTr="008B7ADA">
        <w:trPr>
          <w:jc w:val="center"/>
        </w:trPr>
        <w:tc>
          <w:tcPr>
            <w:tcW w:w="8528" w:type="dxa"/>
          </w:tcPr>
          <w:p w14:paraId="48C3170B"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t xml:space="preserve">5.    </w:t>
            </w:r>
            <w:r w:rsidRPr="008D4E8D">
              <w:rPr>
                <w:rFonts w:eastAsia="SimSun"/>
              </w:rPr>
              <w:t>MOTEYS Annual Management Plan, 2011-12.</w:t>
            </w:r>
          </w:p>
        </w:tc>
      </w:tr>
      <w:tr w:rsidR="008B7ADA" w:rsidRPr="008D4E8D" w14:paraId="2266B44C" w14:textId="77777777" w:rsidTr="008B7ADA">
        <w:trPr>
          <w:jc w:val="center"/>
        </w:trPr>
        <w:tc>
          <w:tcPr>
            <w:tcW w:w="8528" w:type="dxa"/>
          </w:tcPr>
          <w:p w14:paraId="66428EA1" w14:textId="77777777" w:rsidR="008B7ADA" w:rsidRPr="008D4E8D" w:rsidRDefault="008B7ADA" w:rsidP="008B7ADA">
            <w:pPr>
              <w:pStyle w:val="Bibliography"/>
              <w:spacing w:after="0"/>
              <w:ind w:left="357" w:hanging="357"/>
              <w:rPr>
                <w:rStyle w:val="IntenseReference"/>
                <w:rFonts w:eastAsia="SimSun"/>
                <w:b w:val="0"/>
                <w:smallCaps w:val="0"/>
              </w:rPr>
            </w:pPr>
            <w:r w:rsidRPr="008D4E8D">
              <w:rPr>
                <w:rStyle w:val="IntenseReference"/>
                <w:rFonts w:eastAsia="SimSun"/>
                <w:bCs/>
              </w:rPr>
              <w:t xml:space="preserve">6.    </w:t>
            </w:r>
            <w:r w:rsidRPr="008D4E8D">
              <w:rPr>
                <w:rFonts w:eastAsia="SimSun"/>
              </w:rPr>
              <w:t xml:space="preserve">Report on Alternative Pathways Pilot Project prepared by the </w:t>
            </w:r>
            <w:proofErr w:type="gramStart"/>
            <w:r w:rsidRPr="008D4E8D">
              <w:rPr>
                <w:rFonts w:eastAsia="SimSun"/>
              </w:rPr>
              <w:t>short term</w:t>
            </w:r>
            <w:proofErr w:type="gramEnd"/>
            <w:r w:rsidRPr="008D4E8D">
              <w:rPr>
                <w:rFonts w:eastAsia="SimSun"/>
              </w:rPr>
              <w:t xml:space="preserve"> adviser.</w:t>
            </w:r>
          </w:p>
        </w:tc>
      </w:tr>
      <w:tr w:rsidR="008B7ADA" w:rsidRPr="008D4E8D" w14:paraId="279C6E59" w14:textId="77777777" w:rsidTr="008B7ADA">
        <w:trPr>
          <w:jc w:val="center"/>
        </w:trPr>
        <w:tc>
          <w:tcPr>
            <w:tcW w:w="8528" w:type="dxa"/>
          </w:tcPr>
          <w:p w14:paraId="591F7A1C" w14:textId="77777777" w:rsidR="008B7ADA" w:rsidRPr="008D4E8D" w:rsidRDefault="008B7ADA" w:rsidP="008B7ADA">
            <w:pPr>
              <w:pStyle w:val="Bibliography"/>
              <w:spacing w:after="0"/>
              <w:ind w:left="357" w:hanging="357"/>
              <w:rPr>
                <w:rStyle w:val="IntenseReference"/>
                <w:rFonts w:eastAsia="SimSun"/>
                <w:b w:val="0"/>
                <w:bCs/>
              </w:rPr>
            </w:pPr>
            <w:r w:rsidRPr="008D4E8D">
              <w:rPr>
                <w:rStyle w:val="IntenseReference"/>
                <w:rFonts w:eastAsia="SimSun" w:cs="Arial"/>
                <w:bCs/>
              </w:rPr>
              <w:t>7.</w:t>
            </w:r>
            <w:r w:rsidRPr="008D4E8D">
              <w:rPr>
                <w:rStyle w:val="IntenseReference"/>
                <w:rFonts w:eastAsia="SimSun"/>
                <w:bCs/>
              </w:rPr>
              <w:t xml:space="preserve">   </w:t>
            </w:r>
            <w:proofErr w:type="spellStart"/>
            <w:r w:rsidRPr="008D4E8D">
              <w:rPr>
                <w:rFonts w:eastAsia="SimSun" w:cs="Arial"/>
              </w:rPr>
              <w:t>Talave</w:t>
            </w:r>
            <w:proofErr w:type="spellEnd"/>
            <w:r w:rsidRPr="008D4E8D">
              <w:rPr>
                <w:rFonts w:eastAsia="SimSun" w:cs="Arial"/>
              </w:rPr>
              <w:t xml:space="preserve"> Newsletter 2011</w:t>
            </w:r>
          </w:p>
        </w:tc>
      </w:tr>
      <w:tr w:rsidR="008B7ADA" w:rsidRPr="008D4E8D" w14:paraId="7C35C064" w14:textId="77777777" w:rsidTr="008B7ADA">
        <w:trPr>
          <w:jc w:val="center"/>
        </w:trPr>
        <w:tc>
          <w:tcPr>
            <w:tcW w:w="8528" w:type="dxa"/>
          </w:tcPr>
          <w:p w14:paraId="37420E92" w14:textId="77777777" w:rsidR="008B7ADA" w:rsidRPr="008D4E8D" w:rsidRDefault="008B7ADA" w:rsidP="008B7ADA">
            <w:pPr>
              <w:pStyle w:val="Bibliography"/>
              <w:spacing w:after="0"/>
              <w:ind w:left="357" w:hanging="357"/>
              <w:rPr>
                <w:rStyle w:val="IntenseReference"/>
                <w:rFonts w:eastAsia="SimSun"/>
                <w:b w:val="0"/>
                <w:bCs/>
              </w:rPr>
            </w:pPr>
            <w:r w:rsidRPr="008D4E8D">
              <w:rPr>
                <w:rStyle w:val="IntenseReference"/>
                <w:rFonts w:eastAsia="SimSun"/>
                <w:bCs/>
              </w:rPr>
              <w:t xml:space="preserve">8.   </w:t>
            </w:r>
            <w:r w:rsidRPr="008D4E8D">
              <w:rPr>
                <w:rFonts w:eastAsia="SimSun"/>
              </w:rPr>
              <w:t>Technical and Vocational Education and Training Support Program (TSP1) Final Design Document (2009).</w:t>
            </w:r>
          </w:p>
        </w:tc>
      </w:tr>
      <w:tr w:rsidR="008B7ADA" w:rsidRPr="008D4E8D" w14:paraId="0FA7AABE" w14:textId="77777777" w:rsidTr="008B7ADA">
        <w:trPr>
          <w:jc w:val="center"/>
        </w:trPr>
        <w:tc>
          <w:tcPr>
            <w:tcW w:w="8528" w:type="dxa"/>
          </w:tcPr>
          <w:p w14:paraId="3522B5DD" w14:textId="77777777" w:rsidR="008B7ADA" w:rsidRPr="008D4E8D" w:rsidRDefault="008B7ADA" w:rsidP="008B7ADA">
            <w:pPr>
              <w:pStyle w:val="Bibliography"/>
              <w:spacing w:after="0"/>
              <w:ind w:left="357" w:hanging="357"/>
              <w:rPr>
                <w:rStyle w:val="IntenseReference"/>
                <w:rFonts w:eastAsia="SimSun"/>
                <w:b w:val="0"/>
                <w:bCs/>
              </w:rPr>
            </w:pPr>
            <w:r w:rsidRPr="008D4E8D">
              <w:rPr>
                <w:rStyle w:val="IntenseReference"/>
                <w:rFonts w:eastAsia="SimSun"/>
                <w:bCs/>
              </w:rPr>
              <w:t xml:space="preserve">9.   </w:t>
            </w:r>
            <w:r w:rsidRPr="008D4E8D">
              <w:rPr>
                <w:rFonts w:eastAsia="SimSun"/>
              </w:rPr>
              <w:t>TVET Support Program Phase 1 (TSP1) Year 2 Annual Plan 2011/2012.</w:t>
            </w:r>
            <w:r w:rsidRPr="008D4E8D">
              <w:rPr>
                <w:rStyle w:val="IntenseReference"/>
                <w:rFonts w:eastAsia="SimSun"/>
                <w:bCs/>
              </w:rPr>
              <w:t xml:space="preserve"> </w:t>
            </w:r>
          </w:p>
        </w:tc>
      </w:tr>
      <w:tr w:rsidR="008B7ADA" w:rsidRPr="008D4E8D" w14:paraId="7E421BFD" w14:textId="77777777" w:rsidTr="008B7ADA">
        <w:trPr>
          <w:jc w:val="center"/>
        </w:trPr>
        <w:tc>
          <w:tcPr>
            <w:tcW w:w="8528" w:type="dxa"/>
          </w:tcPr>
          <w:p w14:paraId="2E4DEB21" w14:textId="77777777" w:rsidR="008B7ADA" w:rsidRPr="008D4E8D" w:rsidRDefault="008B7ADA" w:rsidP="008B7ADA">
            <w:pPr>
              <w:pStyle w:val="Bibliography"/>
              <w:spacing w:after="0"/>
              <w:ind w:left="357" w:hanging="357"/>
              <w:rPr>
                <w:rStyle w:val="IntenseReference"/>
                <w:rFonts w:eastAsia="SimSun"/>
                <w:b w:val="0"/>
                <w:bCs/>
              </w:rPr>
            </w:pPr>
            <w:r w:rsidRPr="008D4E8D">
              <w:rPr>
                <w:rStyle w:val="IntenseReference"/>
                <w:rFonts w:eastAsia="SimSun"/>
                <w:bCs/>
              </w:rPr>
              <w:t xml:space="preserve">10.  </w:t>
            </w:r>
            <w:r w:rsidRPr="008D4E8D">
              <w:rPr>
                <w:rFonts w:eastAsia="SimSun"/>
              </w:rPr>
              <w:t>TVET Support Program Phase 1 (TSP1), MOTEYS Study Tour of Australia 3 – 11 December 2010.</w:t>
            </w:r>
          </w:p>
        </w:tc>
      </w:tr>
      <w:tr w:rsidR="008B7ADA" w:rsidRPr="008D4E8D" w14:paraId="1F1CCAFA" w14:textId="77777777" w:rsidTr="008B7ADA">
        <w:trPr>
          <w:jc w:val="center"/>
        </w:trPr>
        <w:tc>
          <w:tcPr>
            <w:tcW w:w="8528" w:type="dxa"/>
          </w:tcPr>
          <w:p w14:paraId="4938B24B" w14:textId="77777777" w:rsidR="008B7ADA" w:rsidRPr="008D4E8D" w:rsidRDefault="008B7ADA" w:rsidP="008B7ADA">
            <w:pPr>
              <w:pStyle w:val="Bibliography"/>
              <w:spacing w:after="0"/>
              <w:ind w:left="357" w:hanging="357"/>
              <w:rPr>
                <w:rStyle w:val="IntenseReference"/>
                <w:rFonts w:eastAsia="SimSun"/>
                <w:b w:val="0"/>
                <w:bCs/>
              </w:rPr>
            </w:pPr>
            <w:r w:rsidRPr="008D4E8D">
              <w:rPr>
                <w:rStyle w:val="IntenseReference"/>
                <w:rFonts w:eastAsia="SimSun"/>
                <w:bCs/>
              </w:rPr>
              <w:t xml:space="preserve">11.  </w:t>
            </w:r>
            <w:r w:rsidRPr="008D4E8D">
              <w:rPr>
                <w:rFonts w:eastAsia="SimSun"/>
              </w:rPr>
              <w:t>TVET Support Program Phase 1 (TSP1), MOTEYS, Six Monthly Progress Report July – December 2010,</w:t>
            </w:r>
            <w:r w:rsidRPr="008D4E8D">
              <w:rPr>
                <w:rFonts w:eastAsia="SimSun"/>
                <w:b/>
              </w:rPr>
              <w:t xml:space="preserve"> </w:t>
            </w:r>
            <w:r w:rsidRPr="008D4E8D">
              <w:rPr>
                <w:rFonts w:eastAsia="SimSun"/>
              </w:rPr>
              <w:t>January 2011.</w:t>
            </w:r>
          </w:p>
        </w:tc>
      </w:tr>
      <w:tr w:rsidR="008B7ADA" w:rsidRPr="008D4E8D" w14:paraId="57ADFEB7" w14:textId="77777777" w:rsidTr="008B7ADA">
        <w:trPr>
          <w:jc w:val="center"/>
        </w:trPr>
        <w:tc>
          <w:tcPr>
            <w:tcW w:w="8528" w:type="dxa"/>
          </w:tcPr>
          <w:p w14:paraId="2EA3A998" w14:textId="77777777" w:rsidR="008B7ADA" w:rsidRPr="008D4E8D" w:rsidRDefault="008B7ADA" w:rsidP="008B7ADA">
            <w:pPr>
              <w:pStyle w:val="Bibliography"/>
              <w:spacing w:after="0"/>
              <w:ind w:left="357" w:hanging="357"/>
              <w:rPr>
                <w:rStyle w:val="IntenseReference"/>
                <w:rFonts w:eastAsia="SimSun"/>
                <w:b w:val="0"/>
                <w:bCs/>
              </w:rPr>
            </w:pPr>
            <w:r w:rsidRPr="008D4E8D">
              <w:rPr>
                <w:rStyle w:val="IntenseReference"/>
                <w:rFonts w:eastAsia="SimSun" w:cs="Arial"/>
                <w:bCs/>
              </w:rPr>
              <w:t>12.</w:t>
            </w:r>
            <w:r w:rsidRPr="008D4E8D">
              <w:rPr>
                <w:rStyle w:val="IntenseReference"/>
                <w:rFonts w:eastAsia="SimSun"/>
                <w:bCs/>
              </w:rPr>
              <w:t xml:space="preserve">  </w:t>
            </w:r>
            <w:r w:rsidRPr="008D4E8D">
              <w:rPr>
                <w:rFonts w:eastAsia="SimSun" w:cs="Arial"/>
              </w:rPr>
              <w:t>TV</w:t>
            </w:r>
            <w:r>
              <w:rPr>
                <w:rFonts w:eastAsia="SimSun" w:cs="Arial"/>
              </w:rPr>
              <w:t>E</w:t>
            </w:r>
            <w:r w:rsidRPr="008D4E8D">
              <w:rPr>
                <w:rFonts w:eastAsia="SimSun" w:cs="Arial"/>
              </w:rPr>
              <w:t>T TSP1, MOTEYS, Guidelines to support applications for Equipment Grants.</w:t>
            </w:r>
          </w:p>
        </w:tc>
      </w:tr>
      <w:tr w:rsidR="008B7ADA" w:rsidRPr="008D4E8D" w14:paraId="412CD85E" w14:textId="77777777" w:rsidTr="008B7ADA">
        <w:trPr>
          <w:jc w:val="center"/>
        </w:trPr>
        <w:tc>
          <w:tcPr>
            <w:tcW w:w="8528" w:type="dxa"/>
          </w:tcPr>
          <w:p w14:paraId="49118BCB" w14:textId="77777777" w:rsidR="008B7ADA" w:rsidRPr="008D4E8D" w:rsidRDefault="008B7ADA" w:rsidP="008B7ADA">
            <w:pPr>
              <w:pStyle w:val="Bibliography"/>
              <w:spacing w:after="0"/>
              <w:ind w:left="357" w:hanging="357"/>
              <w:rPr>
                <w:rStyle w:val="IntenseReference"/>
                <w:rFonts w:eastAsia="SimSun" w:cs="Arial"/>
                <w:b w:val="0"/>
                <w:bCs/>
              </w:rPr>
            </w:pPr>
            <w:r w:rsidRPr="008D4E8D">
              <w:rPr>
                <w:rStyle w:val="IntenseReference"/>
                <w:rFonts w:eastAsia="SimSun" w:cs="Arial"/>
                <w:bCs/>
              </w:rPr>
              <w:t xml:space="preserve">13.   </w:t>
            </w:r>
            <w:r w:rsidRPr="008D4E8D">
              <w:rPr>
                <w:rFonts w:eastAsia="SimSun"/>
              </w:rPr>
              <w:t>TSP1 Six-Monthly Progress Report July – December 2010 (January 2011).</w:t>
            </w:r>
          </w:p>
        </w:tc>
      </w:tr>
      <w:tr w:rsidR="008B7ADA" w:rsidRPr="008D4E8D" w14:paraId="61A4D7C8" w14:textId="77777777" w:rsidTr="008B7ADA">
        <w:trPr>
          <w:jc w:val="center"/>
        </w:trPr>
        <w:tc>
          <w:tcPr>
            <w:tcW w:w="8528" w:type="dxa"/>
          </w:tcPr>
          <w:p w14:paraId="70755E05" w14:textId="77777777" w:rsidR="008B7ADA" w:rsidRPr="008D4E8D" w:rsidRDefault="008B7ADA" w:rsidP="008B7ADA">
            <w:pPr>
              <w:pStyle w:val="Bibliography"/>
              <w:spacing w:after="0"/>
              <w:ind w:left="357" w:hanging="357"/>
              <w:rPr>
                <w:rStyle w:val="IntenseReference"/>
                <w:rFonts w:eastAsia="SimSun" w:cs="Arial"/>
                <w:b w:val="0"/>
                <w:bCs/>
              </w:rPr>
            </w:pPr>
            <w:r w:rsidRPr="008D4E8D">
              <w:rPr>
                <w:rStyle w:val="IntenseReference"/>
                <w:rFonts w:eastAsia="SimSun" w:cs="Arial"/>
                <w:bCs/>
              </w:rPr>
              <w:t xml:space="preserve">14.   </w:t>
            </w:r>
            <w:r w:rsidRPr="008D4E8D">
              <w:rPr>
                <w:rFonts w:eastAsia="SimSun"/>
              </w:rPr>
              <w:t>TSP1 Progress Report, Jan-March 2011.</w:t>
            </w:r>
          </w:p>
        </w:tc>
      </w:tr>
      <w:tr w:rsidR="008B7ADA" w:rsidRPr="008D4E8D" w14:paraId="1C9A2072" w14:textId="77777777" w:rsidTr="008B7ADA">
        <w:trPr>
          <w:jc w:val="center"/>
        </w:trPr>
        <w:tc>
          <w:tcPr>
            <w:tcW w:w="8528" w:type="dxa"/>
          </w:tcPr>
          <w:p w14:paraId="0BF6F823" w14:textId="77777777" w:rsidR="008B7ADA" w:rsidRPr="008D4E8D" w:rsidRDefault="008B7ADA" w:rsidP="008B7ADA">
            <w:pPr>
              <w:pStyle w:val="Bibliography"/>
              <w:spacing w:after="0"/>
              <w:ind w:left="357" w:hanging="357"/>
              <w:rPr>
                <w:rStyle w:val="IntenseReference"/>
                <w:rFonts w:eastAsia="SimSun" w:cs="Arial"/>
                <w:b w:val="0"/>
                <w:bCs/>
              </w:rPr>
            </w:pPr>
            <w:r w:rsidRPr="008D4E8D">
              <w:rPr>
                <w:rStyle w:val="IntenseReference"/>
                <w:rFonts w:eastAsia="SimSun" w:cs="Arial"/>
                <w:bCs/>
              </w:rPr>
              <w:t xml:space="preserve">15.   </w:t>
            </w:r>
            <w:r w:rsidRPr="008D4E8D">
              <w:rPr>
                <w:rFonts w:eastAsia="SimSun"/>
              </w:rPr>
              <w:t xml:space="preserve">TSP1 Annual </w:t>
            </w:r>
            <w:proofErr w:type="spellStart"/>
            <w:r w:rsidRPr="008D4E8D">
              <w:rPr>
                <w:rFonts w:eastAsia="SimSun"/>
              </w:rPr>
              <w:t>Workplan</w:t>
            </w:r>
            <w:proofErr w:type="spellEnd"/>
            <w:r w:rsidRPr="008D4E8D">
              <w:rPr>
                <w:rFonts w:eastAsia="SimSun"/>
              </w:rPr>
              <w:t xml:space="preserve"> Matrix 2010-2011 (October 2010).</w:t>
            </w:r>
          </w:p>
        </w:tc>
      </w:tr>
      <w:tr w:rsidR="008B7ADA" w:rsidRPr="008D4E8D" w14:paraId="038C93E1" w14:textId="77777777" w:rsidTr="008B7ADA">
        <w:trPr>
          <w:jc w:val="center"/>
        </w:trPr>
        <w:tc>
          <w:tcPr>
            <w:tcW w:w="8528" w:type="dxa"/>
          </w:tcPr>
          <w:p w14:paraId="5FDB8510" w14:textId="77777777" w:rsidR="008B7ADA" w:rsidRPr="008D4E8D" w:rsidRDefault="008B7ADA" w:rsidP="008B7ADA">
            <w:pPr>
              <w:pStyle w:val="Bibliography"/>
              <w:spacing w:after="0"/>
              <w:ind w:left="357" w:hanging="357"/>
              <w:rPr>
                <w:rFonts w:eastAsia="SimSun"/>
                <w:bCs/>
                <w:smallCaps/>
              </w:rPr>
            </w:pPr>
            <w:r w:rsidRPr="008D4E8D">
              <w:rPr>
                <w:rFonts w:eastAsia="SimSun"/>
                <w:bCs/>
                <w:smallCaps/>
              </w:rPr>
              <w:t xml:space="preserve">16.   </w:t>
            </w:r>
            <w:r w:rsidRPr="008D4E8D">
              <w:rPr>
                <w:rFonts w:eastAsia="SimSun"/>
              </w:rPr>
              <w:t>TSP 1 Budget for F/Y 2010-2011-Version 3.</w:t>
            </w:r>
          </w:p>
        </w:tc>
      </w:tr>
      <w:tr w:rsidR="008B7ADA" w:rsidRPr="008D4E8D" w14:paraId="1B6A344C" w14:textId="77777777" w:rsidTr="008B7ADA">
        <w:trPr>
          <w:jc w:val="center"/>
        </w:trPr>
        <w:tc>
          <w:tcPr>
            <w:tcW w:w="8528" w:type="dxa"/>
          </w:tcPr>
          <w:p w14:paraId="4311C2C7" w14:textId="77777777" w:rsidR="008B7ADA" w:rsidRPr="008D4E8D" w:rsidRDefault="008B7ADA" w:rsidP="008B7ADA">
            <w:pPr>
              <w:pStyle w:val="Bibliography"/>
              <w:spacing w:after="0"/>
              <w:ind w:left="357" w:hanging="357"/>
              <w:rPr>
                <w:rFonts w:eastAsia="SimSun"/>
                <w:bCs/>
                <w:smallCaps/>
              </w:rPr>
            </w:pPr>
            <w:r w:rsidRPr="008D4E8D">
              <w:rPr>
                <w:rFonts w:eastAsia="SimSun"/>
                <w:bCs/>
                <w:smallCaps/>
              </w:rPr>
              <w:t xml:space="preserve">17.   </w:t>
            </w:r>
            <w:r w:rsidRPr="008D4E8D">
              <w:rPr>
                <w:rFonts w:eastAsia="SimSun"/>
              </w:rPr>
              <w:t xml:space="preserve">TSP 1 Planning Matrix – 3 Year Plan </w:t>
            </w:r>
          </w:p>
        </w:tc>
      </w:tr>
      <w:tr w:rsidR="008B7ADA" w:rsidRPr="008D4E8D" w14:paraId="41ADC4E8" w14:textId="77777777" w:rsidTr="008B7ADA">
        <w:trPr>
          <w:jc w:val="center"/>
        </w:trPr>
        <w:tc>
          <w:tcPr>
            <w:tcW w:w="8528" w:type="dxa"/>
          </w:tcPr>
          <w:p w14:paraId="5464FF94" w14:textId="77777777" w:rsidR="008B7ADA" w:rsidRPr="008D4E8D" w:rsidRDefault="008B7ADA" w:rsidP="008B7ADA">
            <w:pPr>
              <w:pStyle w:val="Bibliography"/>
              <w:spacing w:after="0"/>
              <w:ind w:left="357" w:hanging="357"/>
              <w:rPr>
                <w:rFonts w:eastAsia="SimSun"/>
                <w:bCs/>
                <w:smallCaps/>
              </w:rPr>
            </w:pPr>
            <w:r w:rsidRPr="008D4E8D">
              <w:rPr>
                <w:rFonts w:eastAsia="SimSun"/>
                <w:bCs/>
                <w:smallCaps/>
              </w:rPr>
              <w:t xml:space="preserve">18.   </w:t>
            </w:r>
            <w:r w:rsidRPr="008D4E8D">
              <w:rPr>
                <w:rFonts w:eastAsia="SimSun"/>
              </w:rPr>
              <w:t xml:space="preserve">TSP1 </w:t>
            </w:r>
            <w:proofErr w:type="spellStart"/>
            <w:r w:rsidRPr="008D4E8D">
              <w:rPr>
                <w:rFonts w:eastAsia="SimSun"/>
              </w:rPr>
              <w:t>Workplan</w:t>
            </w:r>
            <w:proofErr w:type="spellEnd"/>
            <w:r w:rsidRPr="008D4E8D">
              <w:rPr>
                <w:rFonts w:eastAsia="SimSun"/>
              </w:rPr>
              <w:t xml:space="preserve"> and Outputs, 2010-2011, November 2010.</w:t>
            </w:r>
          </w:p>
        </w:tc>
      </w:tr>
      <w:tr w:rsidR="008B7ADA" w:rsidRPr="008D4E8D" w14:paraId="21541F33" w14:textId="77777777" w:rsidTr="008B7ADA">
        <w:trPr>
          <w:jc w:val="center"/>
        </w:trPr>
        <w:tc>
          <w:tcPr>
            <w:tcW w:w="8528" w:type="dxa"/>
          </w:tcPr>
          <w:p w14:paraId="4267C096" w14:textId="77777777" w:rsidR="008B7ADA" w:rsidRPr="008D4E8D" w:rsidRDefault="008B7ADA" w:rsidP="008B7ADA">
            <w:pPr>
              <w:pStyle w:val="Bibliography"/>
              <w:spacing w:after="0"/>
              <w:ind w:left="357" w:hanging="357"/>
              <w:rPr>
                <w:rFonts w:eastAsia="SimSun"/>
              </w:rPr>
            </w:pPr>
            <w:r w:rsidRPr="008D4E8D">
              <w:rPr>
                <w:rFonts w:eastAsia="SimSun"/>
              </w:rPr>
              <w:t>19.   TSP1 Risk Management Matrix, November 2010.</w:t>
            </w:r>
          </w:p>
        </w:tc>
      </w:tr>
      <w:tr w:rsidR="008B7ADA" w:rsidRPr="008D4E8D" w14:paraId="5E283EC2" w14:textId="77777777" w:rsidTr="008B7ADA">
        <w:trPr>
          <w:jc w:val="center"/>
        </w:trPr>
        <w:tc>
          <w:tcPr>
            <w:tcW w:w="8528" w:type="dxa"/>
          </w:tcPr>
          <w:p w14:paraId="333D9FCD" w14:textId="77777777" w:rsidR="008B7ADA" w:rsidRPr="008D4E8D" w:rsidRDefault="008B7ADA" w:rsidP="008B7ADA">
            <w:pPr>
              <w:pStyle w:val="Bibliography"/>
              <w:spacing w:after="0"/>
              <w:ind w:left="357" w:hanging="357"/>
              <w:rPr>
                <w:rFonts w:eastAsia="SimSun"/>
              </w:rPr>
            </w:pPr>
            <w:r w:rsidRPr="008D4E8D">
              <w:rPr>
                <w:rFonts w:eastAsia="SimSun"/>
              </w:rPr>
              <w:t>20.  TSP1 Summary Financial Management report (SMR2)</w:t>
            </w:r>
          </w:p>
        </w:tc>
      </w:tr>
      <w:tr w:rsidR="008B7ADA" w:rsidRPr="008D4E8D" w14:paraId="18611799" w14:textId="77777777" w:rsidTr="008B7ADA">
        <w:trPr>
          <w:jc w:val="center"/>
        </w:trPr>
        <w:tc>
          <w:tcPr>
            <w:tcW w:w="8528" w:type="dxa"/>
          </w:tcPr>
          <w:p w14:paraId="48FC76A9" w14:textId="77777777" w:rsidR="008B7ADA" w:rsidRPr="008D4E8D" w:rsidRDefault="008B7ADA" w:rsidP="008B7ADA">
            <w:pPr>
              <w:pStyle w:val="Bibliography"/>
              <w:spacing w:after="0"/>
              <w:ind w:left="357" w:hanging="357"/>
              <w:rPr>
                <w:rStyle w:val="IntenseReference"/>
                <w:rFonts w:eastAsia="SimSun" w:cs="Arial"/>
                <w:b w:val="0"/>
                <w:bCs/>
              </w:rPr>
            </w:pPr>
            <w:r w:rsidRPr="008D4E8D">
              <w:rPr>
                <w:rFonts w:eastAsia="SimSun"/>
                <w:bCs/>
                <w:smallCaps/>
              </w:rPr>
              <w:t xml:space="preserve">21.  </w:t>
            </w:r>
            <w:r w:rsidRPr="008D4E8D">
              <w:rPr>
                <w:rFonts w:eastAsia="SimSun"/>
              </w:rPr>
              <w:t>TSP1 Monitoring and Evaluation Plan – POME Orientation Period (Sept – Dec 2011)</w:t>
            </w:r>
          </w:p>
        </w:tc>
      </w:tr>
    </w:tbl>
    <w:p w14:paraId="5FD31921" w14:textId="77777777" w:rsidR="008B7ADA" w:rsidRPr="00FD597B" w:rsidRDefault="008B7ADA" w:rsidP="008B7ADA">
      <w:pPr>
        <w:rPr>
          <w:rStyle w:val="IntenseReference"/>
          <w:b w:val="0"/>
          <w:bCs/>
          <w:i/>
        </w:rPr>
      </w:pPr>
    </w:p>
    <w:p w14:paraId="4077EAF1" w14:textId="77777777" w:rsidR="008B7ADA" w:rsidRPr="00FD597B" w:rsidRDefault="008B7ADA" w:rsidP="008B7ADA">
      <w:pPr>
        <w:rPr>
          <w:rStyle w:val="IntenseReference"/>
          <w:bCs/>
          <w:i/>
        </w:rPr>
      </w:pPr>
      <w:r w:rsidRPr="00FD597B">
        <w:rPr>
          <w:rStyle w:val="IntenseReference"/>
          <w:bCs/>
          <w:i/>
        </w:rPr>
        <w:t>Other Relevant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B7ADA" w14:paraId="7E3E6E90" w14:textId="77777777" w:rsidTr="008B7ADA">
        <w:trPr>
          <w:jc w:val="center"/>
        </w:trPr>
        <w:tc>
          <w:tcPr>
            <w:tcW w:w="8528" w:type="dxa"/>
          </w:tcPr>
          <w:p w14:paraId="537D053A" w14:textId="77777777" w:rsidR="008B7ADA" w:rsidRPr="008D4E8D" w:rsidRDefault="008B7ADA" w:rsidP="008B7ADA">
            <w:pPr>
              <w:spacing w:after="0"/>
              <w:ind w:left="357" w:hanging="357"/>
              <w:rPr>
                <w:rStyle w:val="IntenseReference"/>
                <w:rFonts w:eastAsia="SimSun"/>
                <w:bCs/>
              </w:rPr>
            </w:pPr>
            <w:r w:rsidRPr="008D4E8D">
              <w:rPr>
                <w:rStyle w:val="IntenseReference"/>
                <w:rFonts w:eastAsia="SimSun"/>
                <w:bCs/>
              </w:rPr>
              <w:t xml:space="preserve">1.   </w:t>
            </w:r>
            <w:r w:rsidRPr="008D4E8D">
              <w:rPr>
                <w:rFonts w:eastAsia="SimSun"/>
                <w:color w:val="000000"/>
              </w:rPr>
              <w:t xml:space="preserve">Asian Development Bank (2009). </w:t>
            </w:r>
            <w:r w:rsidRPr="008D4E8D">
              <w:rPr>
                <w:rFonts w:eastAsia="SimSun"/>
                <w:i/>
                <w:color w:val="000000"/>
              </w:rPr>
              <w:t>Good Practice in Technical and Vocational Education and Training</w:t>
            </w:r>
            <w:r w:rsidRPr="008D4E8D">
              <w:rPr>
                <w:rFonts w:eastAsia="SimSun"/>
                <w:color w:val="000000"/>
              </w:rPr>
              <w:t>. ADB, Philippines.</w:t>
            </w:r>
          </w:p>
        </w:tc>
      </w:tr>
      <w:tr w:rsidR="008B7ADA" w14:paraId="60F9BAAA" w14:textId="77777777" w:rsidTr="008B7ADA">
        <w:trPr>
          <w:jc w:val="center"/>
        </w:trPr>
        <w:tc>
          <w:tcPr>
            <w:tcW w:w="8528" w:type="dxa"/>
          </w:tcPr>
          <w:p w14:paraId="3C248B1D"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t xml:space="preserve">2.   </w:t>
            </w:r>
            <w:r w:rsidRPr="008D4E8D">
              <w:rPr>
                <w:rFonts w:eastAsia="SimSun"/>
              </w:rPr>
              <w:t xml:space="preserve">New Zealand Aid Program, Activity Design Document: New Zealand Qualifications Authority (NZQA) national qualifications frameworks and quality assurance systems capability development and assistance programme with the Samoa Qualifications Authority (SQA) and the Tonga National Qualifications and Accreditation Board </w:t>
            </w:r>
            <w:r w:rsidRPr="008D4E8D">
              <w:rPr>
                <w:rFonts w:eastAsia="SimSun"/>
              </w:rPr>
              <w:lastRenderedPageBreak/>
              <w:t>(TNQAB).</w:t>
            </w:r>
          </w:p>
        </w:tc>
      </w:tr>
      <w:tr w:rsidR="008B7ADA" w14:paraId="728FFBB0" w14:textId="77777777" w:rsidTr="008B7ADA">
        <w:trPr>
          <w:jc w:val="center"/>
        </w:trPr>
        <w:tc>
          <w:tcPr>
            <w:tcW w:w="8528" w:type="dxa"/>
          </w:tcPr>
          <w:p w14:paraId="677AF182" w14:textId="77777777" w:rsidR="008B7ADA" w:rsidRPr="008D4E8D" w:rsidRDefault="008B7ADA" w:rsidP="008B7ADA">
            <w:pPr>
              <w:spacing w:after="0"/>
              <w:ind w:left="357" w:hanging="357"/>
              <w:rPr>
                <w:rStyle w:val="IntenseReference"/>
                <w:rFonts w:eastAsia="SimSun"/>
                <w:b w:val="0"/>
                <w:bCs/>
              </w:rPr>
            </w:pPr>
            <w:r w:rsidRPr="008D4E8D">
              <w:rPr>
                <w:rStyle w:val="IntenseReference"/>
                <w:rFonts w:eastAsia="SimSun"/>
                <w:bCs/>
              </w:rPr>
              <w:lastRenderedPageBreak/>
              <w:t xml:space="preserve">3.   </w:t>
            </w:r>
            <w:r w:rsidRPr="008D4E8D">
              <w:rPr>
                <w:rFonts w:eastAsia="SimSun"/>
              </w:rPr>
              <w:t xml:space="preserve">Skilling the Pacific, Technical assistance for Implementing of Pacific Education Strategy: Skills Development, Pacific Island Forum Secretariat, Suva, </w:t>
            </w:r>
            <w:proofErr w:type="gramStart"/>
            <w:r w:rsidRPr="008D4E8D">
              <w:rPr>
                <w:rFonts w:eastAsia="SimSun"/>
              </w:rPr>
              <w:t>Fiji .</w:t>
            </w:r>
            <w:proofErr w:type="gramEnd"/>
            <w:r w:rsidRPr="008D4E8D">
              <w:rPr>
                <w:rFonts w:eastAsia="SimSun"/>
              </w:rPr>
              <w:t xml:space="preserve"> Richard Johnson, Paul Brady, Alex Gorham and Carmen Voigt-Graf. September 2007.</w:t>
            </w:r>
          </w:p>
        </w:tc>
      </w:tr>
    </w:tbl>
    <w:p w14:paraId="18B78B9F" w14:textId="77777777" w:rsidR="008B7ADA" w:rsidRPr="00B62CAB" w:rsidRDefault="008B7ADA" w:rsidP="008B7ADA">
      <w:pPr>
        <w:rPr>
          <w:rStyle w:val="IntenseReference"/>
          <w:bCs/>
        </w:rPr>
      </w:pPr>
    </w:p>
    <w:p w14:paraId="49406DC6" w14:textId="41C593CA" w:rsidR="008B7ADA" w:rsidRDefault="008B7ADA" w:rsidP="008B7ADA">
      <w:pPr>
        <w:pStyle w:val="Heading1"/>
      </w:pPr>
      <w:bookmarkStart w:id="44" w:name="_Toc203996811"/>
      <w:r>
        <w:t>A</w:t>
      </w:r>
      <w:r w:rsidR="009A0A87">
        <w:t>ttachment</w:t>
      </w:r>
      <w:r>
        <w:t xml:space="preserve"> B</w:t>
      </w:r>
      <w:r w:rsidR="00743F52">
        <w:t xml:space="preserve">: </w:t>
      </w:r>
      <w:r w:rsidRPr="00FC3742">
        <w:t xml:space="preserve">Stakeholders to be </w:t>
      </w:r>
      <w:proofErr w:type="gramStart"/>
      <w:r w:rsidRPr="00FC3742">
        <w:t>Consulted</w:t>
      </w:r>
      <w:bookmarkEnd w:id="44"/>
      <w:proofErr w:type="gramEnd"/>
    </w:p>
    <w:p w14:paraId="47C01CBF" w14:textId="77777777" w:rsidR="008B7ADA" w:rsidRPr="00F87603" w:rsidRDefault="008B7ADA" w:rsidP="008B7ADA"/>
    <w:p w14:paraId="301BA0BB" w14:textId="77777777" w:rsidR="008B7ADA" w:rsidRPr="00F87603" w:rsidRDefault="008B7ADA" w:rsidP="008B7ADA">
      <w:pPr>
        <w:pStyle w:val="List"/>
      </w:pPr>
      <w:r w:rsidRPr="00F87603">
        <w:t>1.</w:t>
      </w:r>
      <w:r>
        <w:tab/>
      </w:r>
      <w:r w:rsidRPr="00F87603">
        <w:t xml:space="preserve">CEO Ministry of </w:t>
      </w:r>
      <w:r>
        <w:t xml:space="preserve">Training </w:t>
      </w:r>
      <w:r w:rsidRPr="00F87603">
        <w:t xml:space="preserve">Employment Youth and Sports – </w:t>
      </w:r>
      <w:proofErr w:type="spellStart"/>
      <w:r w:rsidRPr="00F87603">
        <w:t>Ms.</w:t>
      </w:r>
      <w:proofErr w:type="spellEnd"/>
      <w:r w:rsidRPr="00F87603">
        <w:t xml:space="preserve"> </w:t>
      </w:r>
      <w:proofErr w:type="spellStart"/>
      <w:r w:rsidRPr="00F87603">
        <w:t>Meleoni</w:t>
      </w:r>
      <w:proofErr w:type="spellEnd"/>
      <w:r w:rsidRPr="00F87603">
        <w:t xml:space="preserve"> </w:t>
      </w:r>
      <w:proofErr w:type="spellStart"/>
      <w:r w:rsidRPr="00F87603">
        <w:t>Uera</w:t>
      </w:r>
      <w:proofErr w:type="spellEnd"/>
      <w:r w:rsidRPr="00F87603">
        <w:t xml:space="preserve">  (Acting)</w:t>
      </w:r>
    </w:p>
    <w:p w14:paraId="2EF1FB81" w14:textId="77777777" w:rsidR="008B7ADA" w:rsidRPr="00F87603" w:rsidRDefault="008B7ADA" w:rsidP="008B7ADA">
      <w:pPr>
        <w:pStyle w:val="List"/>
      </w:pPr>
      <w:r w:rsidRPr="00F87603">
        <w:t xml:space="preserve">2.  </w:t>
      </w:r>
      <w:r w:rsidRPr="00F87603">
        <w:tab/>
        <w:t xml:space="preserve">CEO Ministry of Education Women Affairs and Culture – </w:t>
      </w:r>
      <w:proofErr w:type="spellStart"/>
      <w:r w:rsidRPr="00F87603">
        <w:t>Ms.</w:t>
      </w:r>
      <w:proofErr w:type="spellEnd"/>
      <w:r w:rsidRPr="00F87603">
        <w:t xml:space="preserve"> </w:t>
      </w:r>
      <w:proofErr w:type="spellStart"/>
      <w:r w:rsidRPr="00F87603">
        <w:t>Emeli</w:t>
      </w:r>
      <w:proofErr w:type="spellEnd"/>
      <w:r w:rsidRPr="00F87603">
        <w:t xml:space="preserve"> </w:t>
      </w:r>
      <w:proofErr w:type="spellStart"/>
      <w:r w:rsidRPr="00F87603">
        <w:t>Pouvalu</w:t>
      </w:r>
      <w:proofErr w:type="spellEnd"/>
    </w:p>
    <w:p w14:paraId="144A47FA" w14:textId="77777777" w:rsidR="008B7ADA" w:rsidRPr="00F87603" w:rsidRDefault="008B7ADA" w:rsidP="008B7ADA">
      <w:pPr>
        <w:pStyle w:val="List"/>
      </w:pPr>
      <w:r w:rsidRPr="00F87603">
        <w:t xml:space="preserve">3.  </w:t>
      </w:r>
      <w:r>
        <w:tab/>
      </w:r>
      <w:r w:rsidRPr="00F87603">
        <w:t xml:space="preserve">CEO Finance and National Planning – </w:t>
      </w:r>
      <w:proofErr w:type="spellStart"/>
      <w:r w:rsidRPr="00F87603">
        <w:t>Mr.</w:t>
      </w:r>
      <w:proofErr w:type="spellEnd"/>
      <w:r w:rsidRPr="00F87603">
        <w:t xml:space="preserve"> </w:t>
      </w:r>
      <w:proofErr w:type="spellStart"/>
      <w:r w:rsidRPr="00F87603">
        <w:t>Tiofilusi</w:t>
      </w:r>
      <w:proofErr w:type="spellEnd"/>
      <w:r w:rsidRPr="00F87603">
        <w:t xml:space="preserve"> </w:t>
      </w:r>
      <w:proofErr w:type="spellStart"/>
      <w:r w:rsidRPr="00F87603">
        <w:t>Tiueti</w:t>
      </w:r>
      <w:proofErr w:type="spellEnd"/>
    </w:p>
    <w:p w14:paraId="00B7F992" w14:textId="77777777" w:rsidR="008B7ADA" w:rsidRPr="00F87603" w:rsidRDefault="008B7ADA" w:rsidP="008B7ADA">
      <w:pPr>
        <w:pStyle w:val="List"/>
      </w:pPr>
      <w:r w:rsidRPr="00F87603">
        <w:t xml:space="preserve">4.  </w:t>
      </w:r>
      <w:r>
        <w:tab/>
      </w:r>
      <w:r w:rsidRPr="00F87603">
        <w:t xml:space="preserve">CEO Public Service Commission – </w:t>
      </w:r>
      <w:proofErr w:type="spellStart"/>
      <w:r w:rsidRPr="00F87603">
        <w:t>Ms.</w:t>
      </w:r>
      <w:proofErr w:type="spellEnd"/>
      <w:r w:rsidRPr="00F87603">
        <w:t xml:space="preserve"> </w:t>
      </w:r>
      <w:proofErr w:type="spellStart"/>
      <w:r w:rsidRPr="00F87603">
        <w:t>Palenitina</w:t>
      </w:r>
      <w:proofErr w:type="spellEnd"/>
      <w:r w:rsidRPr="00F87603">
        <w:t xml:space="preserve"> </w:t>
      </w:r>
      <w:proofErr w:type="spellStart"/>
      <w:r w:rsidRPr="00F87603">
        <w:t>Langa’oi</w:t>
      </w:r>
      <w:proofErr w:type="spellEnd"/>
    </w:p>
    <w:p w14:paraId="2CEE0EE9" w14:textId="77777777" w:rsidR="008B7ADA" w:rsidRPr="00F87603" w:rsidRDefault="008B7ADA" w:rsidP="008B7ADA">
      <w:pPr>
        <w:pStyle w:val="List"/>
      </w:pPr>
      <w:r w:rsidRPr="00F87603">
        <w:t xml:space="preserve">5.  </w:t>
      </w:r>
      <w:r>
        <w:tab/>
      </w:r>
      <w:r w:rsidRPr="00F87603">
        <w:t xml:space="preserve">CEO Tonga National Qualifications and </w:t>
      </w:r>
      <w:proofErr w:type="gramStart"/>
      <w:r w:rsidRPr="00F87603">
        <w:t>Accreditation  Board</w:t>
      </w:r>
      <w:proofErr w:type="gramEnd"/>
    </w:p>
    <w:p w14:paraId="43BED551" w14:textId="77777777" w:rsidR="008B7ADA" w:rsidRPr="00F87603" w:rsidRDefault="008B7ADA" w:rsidP="008B7ADA">
      <w:pPr>
        <w:pStyle w:val="List"/>
      </w:pPr>
      <w:r w:rsidRPr="00F87603">
        <w:t xml:space="preserve">6.  </w:t>
      </w:r>
      <w:r>
        <w:tab/>
      </w:r>
      <w:r w:rsidRPr="00F87603">
        <w:t>Tonga Association of TVET (TATVET)</w:t>
      </w:r>
    </w:p>
    <w:p w14:paraId="0B0A4D26" w14:textId="77777777" w:rsidR="008B7ADA" w:rsidRPr="00F87603" w:rsidRDefault="008B7ADA" w:rsidP="008B7ADA">
      <w:pPr>
        <w:pStyle w:val="List"/>
      </w:pPr>
      <w:r w:rsidRPr="00F87603">
        <w:t xml:space="preserve">7.  </w:t>
      </w:r>
      <w:r>
        <w:tab/>
      </w:r>
      <w:r w:rsidRPr="00F87603">
        <w:t xml:space="preserve">Alternative Pathway Taskforce (Chairperson: Rev. </w:t>
      </w:r>
      <w:proofErr w:type="spellStart"/>
      <w:r w:rsidRPr="00F87603">
        <w:t>Alifeleti</w:t>
      </w:r>
      <w:proofErr w:type="spellEnd"/>
      <w:r w:rsidRPr="00F87603">
        <w:t xml:space="preserve"> </w:t>
      </w:r>
      <w:proofErr w:type="spellStart"/>
      <w:r w:rsidRPr="00F87603">
        <w:t>Atiola</w:t>
      </w:r>
      <w:proofErr w:type="spellEnd"/>
      <w:r w:rsidRPr="00F87603">
        <w:t>)</w:t>
      </w:r>
    </w:p>
    <w:p w14:paraId="253E55F7" w14:textId="77777777" w:rsidR="008B7ADA" w:rsidRPr="00F87603" w:rsidRDefault="008B7ADA" w:rsidP="008B7ADA">
      <w:pPr>
        <w:pStyle w:val="List"/>
      </w:pPr>
      <w:r w:rsidRPr="00F87603">
        <w:t xml:space="preserve">8.  </w:t>
      </w:r>
      <w:r>
        <w:tab/>
      </w:r>
      <w:r w:rsidRPr="00F87603">
        <w:t>TSP1 Program Technical Manager – Geoff Penhall</w:t>
      </w:r>
    </w:p>
    <w:p w14:paraId="6374B02E" w14:textId="77777777" w:rsidR="008B7ADA" w:rsidRPr="00F87603" w:rsidRDefault="008B7ADA" w:rsidP="008B7ADA">
      <w:pPr>
        <w:pStyle w:val="List"/>
      </w:pPr>
      <w:r w:rsidRPr="00F87603">
        <w:t xml:space="preserve">9.  </w:t>
      </w:r>
      <w:r>
        <w:tab/>
      </w:r>
      <w:r w:rsidRPr="00F87603">
        <w:t>Industry Training Advisory Council (ITAC)</w:t>
      </w:r>
    </w:p>
    <w:p w14:paraId="0E97D18B" w14:textId="77777777" w:rsidR="008B7ADA" w:rsidRPr="00F87603" w:rsidRDefault="008B7ADA" w:rsidP="008B7ADA">
      <w:pPr>
        <w:pStyle w:val="List"/>
      </w:pPr>
      <w:r w:rsidRPr="00F87603">
        <w:t>10.TSP1 Team</w:t>
      </w:r>
    </w:p>
    <w:p w14:paraId="714E8C7F" w14:textId="77777777" w:rsidR="008B7ADA" w:rsidRPr="00F87603" w:rsidRDefault="008B7ADA" w:rsidP="008B7ADA">
      <w:pPr>
        <w:pStyle w:val="List"/>
      </w:pPr>
      <w:r w:rsidRPr="00F87603">
        <w:t xml:space="preserve">11. </w:t>
      </w:r>
      <w:r>
        <w:tab/>
      </w:r>
      <w:r w:rsidRPr="00F87603">
        <w:t xml:space="preserve">Minister of Education – </w:t>
      </w:r>
      <w:proofErr w:type="spellStart"/>
      <w:r w:rsidRPr="00F87603">
        <w:t>Dr.</w:t>
      </w:r>
      <w:proofErr w:type="spellEnd"/>
      <w:r w:rsidRPr="00F87603">
        <w:t xml:space="preserve"> ‘Ana </w:t>
      </w:r>
      <w:proofErr w:type="spellStart"/>
      <w:r w:rsidRPr="00F87603">
        <w:t>Taufeulungaki</w:t>
      </w:r>
      <w:proofErr w:type="spellEnd"/>
    </w:p>
    <w:p w14:paraId="6D70DD85" w14:textId="77777777" w:rsidR="008B7ADA" w:rsidRPr="00F87603" w:rsidRDefault="008B7ADA" w:rsidP="008B7ADA">
      <w:pPr>
        <w:pStyle w:val="List"/>
      </w:pPr>
      <w:r w:rsidRPr="00F87603">
        <w:t xml:space="preserve">12. </w:t>
      </w:r>
      <w:r>
        <w:tab/>
        <w:t xml:space="preserve">AusAID </w:t>
      </w:r>
      <w:r w:rsidRPr="00F87603">
        <w:t>TVET Specialist</w:t>
      </w:r>
      <w:r>
        <w:t xml:space="preserve"> (</w:t>
      </w:r>
      <w:r w:rsidRPr="00F87603">
        <w:t>Kaye Schofield</w:t>
      </w:r>
      <w:r>
        <w:t>)</w:t>
      </w:r>
    </w:p>
    <w:p w14:paraId="1DEF1B0C" w14:textId="77777777" w:rsidR="008B7ADA" w:rsidRPr="00F87603" w:rsidRDefault="008B7ADA" w:rsidP="008B7ADA">
      <w:pPr>
        <w:pStyle w:val="List"/>
      </w:pPr>
      <w:r w:rsidRPr="00F87603">
        <w:t xml:space="preserve">13. </w:t>
      </w:r>
      <w:r>
        <w:tab/>
      </w:r>
      <w:r w:rsidRPr="00F87603">
        <w:t>AusAID</w:t>
      </w:r>
      <w:r>
        <w:t xml:space="preserve"> Senior Education Adviser (</w:t>
      </w:r>
      <w:r w:rsidRPr="00F87603">
        <w:t xml:space="preserve">Jerry </w:t>
      </w:r>
      <w:proofErr w:type="spellStart"/>
      <w:r w:rsidRPr="00F87603">
        <w:t>Strudwick</w:t>
      </w:r>
      <w:proofErr w:type="spellEnd"/>
      <w:r>
        <w:t>)</w:t>
      </w:r>
    </w:p>
    <w:p w14:paraId="78ED6C34" w14:textId="77777777" w:rsidR="008B7ADA" w:rsidRPr="00F87603" w:rsidRDefault="008B7ADA" w:rsidP="008B7ADA">
      <w:pPr>
        <w:pStyle w:val="List"/>
      </w:pPr>
      <w:r w:rsidRPr="00F87603">
        <w:t>14.</w:t>
      </w:r>
      <w:r>
        <w:tab/>
      </w:r>
      <w:r w:rsidRPr="00F87603">
        <w:t xml:space="preserve">MFAT </w:t>
      </w:r>
      <w:r>
        <w:t>Education Adviser (</w:t>
      </w:r>
      <w:r w:rsidRPr="00F87603">
        <w:t xml:space="preserve">Patricia </w:t>
      </w:r>
      <w:proofErr w:type="spellStart"/>
      <w:r w:rsidRPr="00F87603">
        <w:t>Nally</w:t>
      </w:r>
      <w:proofErr w:type="spellEnd"/>
      <w:r>
        <w:t>)</w:t>
      </w:r>
    </w:p>
    <w:p w14:paraId="475D06B8" w14:textId="77777777" w:rsidR="008B7ADA" w:rsidRPr="00F87603" w:rsidRDefault="008B7ADA" w:rsidP="008B7ADA">
      <w:pPr>
        <w:pStyle w:val="List"/>
      </w:pPr>
      <w:r w:rsidRPr="00F87603">
        <w:t xml:space="preserve">15. </w:t>
      </w:r>
      <w:r>
        <w:tab/>
      </w:r>
      <w:r w:rsidRPr="00F87603">
        <w:t xml:space="preserve">Aid Management – Ms Natalia </w:t>
      </w:r>
      <w:proofErr w:type="spellStart"/>
      <w:r w:rsidRPr="00F87603">
        <w:t>Latu</w:t>
      </w:r>
      <w:proofErr w:type="spellEnd"/>
    </w:p>
    <w:p w14:paraId="56D79630" w14:textId="77777777" w:rsidR="008B7ADA" w:rsidRPr="00F87603" w:rsidRDefault="008B7ADA" w:rsidP="008B7ADA">
      <w:pPr>
        <w:pStyle w:val="List"/>
      </w:pPr>
      <w:r w:rsidRPr="00F87603">
        <w:t xml:space="preserve">16. </w:t>
      </w:r>
      <w:r>
        <w:tab/>
      </w:r>
      <w:r w:rsidRPr="00F87603">
        <w:t>TVET Providers</w:t>
      </w:r>
    </w:p>
    <w:p w14:paraId="72046BE5" w14:textId="3291DAE0" w:rsidR="009D7E6F" w:rsidRPr="00EB2E13" w:rsidRDefault="008B7ADA" w:rsidP="009A0A87">
      <w:pPr>
        <w:pStyle w:val="List"/>
      </w:pPr>
      <w:r w:rsidRPr="00F87603">
        <w:t xml:space="preserve">17. </w:t>
      </w:r>
      <w:r>
        <w:tab/>
      </w:r>
      <w:r w:rsidRPr="00F87603">
        <w:t>TVET Students</w:t>
      </w:r>
    </w:p>
    <w:sectPr w:rsidR="009D7E6F" w:rsidRPr="00EB2E13" w:rsidSect="00593009">
      <w:headerReference w:type="even" r:id="rId43"/>
      <w:footerReference w:type="even" r:id="rId44"/>
      <w:headerReference w:type="first" r:id="rId45"/>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08315" w14:textId="77777777" w:rsidR="003412F4" w:rsidRDefault="003412F4">
      <w:r>
        <w:separator/>
      </w:r>
    </w:p>
  </w:endnote>
  <w:endnote w:type="continuationSeparator" w:id="0">
    <w:p w14:paraId="6DCD3386" w14:textId="77777777" w:rsidR="003412F4" w:rsidRDefault="0034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etter Gothic">
    <w:altName w:val="Courier New"/>
    <w:charset w:val="00"/>
    <w:family w:val="modern"/>
    <w:pitch w:val="fixed"/>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Consolas">
    <w:panose1 w:val="020B06090202040302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583DB" w14:textId="77777777" w:rsidR="003412F4" w:rsidRPr="002632F4" w:rsidRDefault="003412F4" w:rsidP="002632F4">
    <w:pPr>
      <w:pStyle w:val="Footer"/>
      <w:pBdr>
        <w:top w:val="single" w:sz="4" w:space="1" w:color="auto"/>
      </w:pBdr>
    </w:pPr>
    <w:r>
      <w:fldChar w:fldCharType="begin"/>
    </w:r>
    <w:r>
      <w:instrText xml:space="preserve"> PAGE   \* MERGEFORMAT </w:instrText>
    </w:r>
    <w:r>
      <w:fldChar w:fldCharType="separate"/>
    </w:r>
    <w:r>
      <w:rPr>
        <w:noProof/>
      </w:rPr>
      <w:t>vi</w:t>
    </w:r>
    <w:r>
      <w:rPr>
        <w:noProof/>
      </w:rPr>
      <w:fldChar w:fldCharType="end"/>
    </w:r>
    <w:r>
      <w:rPr>
        <w:b/>
      </w:rPr>
      <w:tab/>
    </w:r>
    <w:r>
      <w:rPr>
        <w:b/>
      </w:rPr>
      <w:tab/>
    </w:r>
    <w:r>
      <w:t>Final report – December 2010</w:t>
    </w:r>
  </w:p>
  <w:p w14:paraId="11004F5E" w14:textId="77777777" w:rsidR="003412F4" w:rsidRPr="002771BA" w:rsidRDefault="003412F4" w:rsidP="009D7E6F">
    <w:pPr>
      <w:pStyle w:val="Footer"/>
      <w:ind w:right="360"/>
      <w:rPr>
        <w:b/>
      </w:rP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0B87" w14:textId="661765C3" w:rsidR="003412F4" w:rsidRDefault="003412F4" w:rsidP="009C1B03">
    <w:pPr>
      <w:pStyle w:val="Footer"/>
      <w:pBdr>
        <w:top w:val="single" w:sz="4" w:space="1" w:color="auto"/>
      </w:pBdr>
      <w:tabs>
        <w:tab w:val="clear" w:pos="4153"/>
        <w:tab w:val="clear" w:pos="8306"/>
        <w:tab w:val="right" w:pos="8789"/>
      </w:tabs>
    </w:pPr>
    <w:r>
      <w:t>Final IPR Review Report – July 2012</w:t>
    </w:r>
    <w:r>
      <w:tab/>
    </w:r>
    <w:r>
      <w:fldChar w:fldCharType="begin"/>
    </w:r>
    <w:r>
      <w:instrText xml:space="preserve"> PAGE   \* MERGEFORMAT </w:instrText>
    </w:r>
    <w:r>
      <w:fldChar w:fldCharType="separate"/>
    </w:r>
    <w:r w:rsidR="00F83227">
      <w:rPr>
        <w:noProof/>
      </w:rPr>
      <w:t>60</w:t>
    </w:r>
    <w:r>
      <w:rPr>
        <w:noProof/>
      </w:rPr>
      <w:fldChar w:fldCharType="end"/>
    </w:r>
  </w:p>
  <w:p w14:paraId="463CE161" w14:textId="77777777" w:rsidR="003412F4" w:rsidRDefault="003412F4">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7544" w14:textId="77777777" w:rsidR="003412F4" w:rsidRPr="00A518FA" w:rsidRDefault="003412F4" w:rsidP="004C620D">
    <w:pPr>
      <w:pStyle w:val="Footer"/>
      <w:pBdr>
        <w:top w:val="single" w:sz="4" w:space="1" w:color="auto"/>
      </w:pBdr>
      <w:rPr>
        <w:sz w:val="18"/>
        <w:szCs w:val="18"/>
      </w:rPr>
    </w:pPr>
    <w:r>
      <w:fldChar w:fldCharType="begin"/>
    </w:r>
    <w:r>
      <w:instrText xml:space="preserve"> PAGE   \* MERGEFORMAT </w:instrText>
    </w:r>
    <w:r>
      <w:fldChar w:fldCharType="separate"/>
    </w:r>
    <w:r>
      <w:rPr>
        <w:noProof/>
      </w:rPr>
      <w:t>18</w:t>
    </w:r>
    <w:r>
      <w:rPr>
        <w:noProof/>
      </w:rPr>
      <w:fldChar w:fldCharType="end"/>
    </w:r>
    <w:r>
      <w:tab/>
    </w:r>
    <w:r>
      <w:rPr>
        <w:b/>
      </w:rPr>
      <w:tab/>
    </w:r>
    <w:r w:rsidRPr="00A518FA">
      <w:rPr>
        <w:sz w:val="18"/>
        <w:szCs w:val="18"/>
      </w:rPr>
      <w:t>Annex</w:t>
    </w:r>
    <w:r>
      <w:rPr>
        <w:sz w:val="18"/>
        <w:szCs w:val="18"/>
      </w:rPr>
      <w:t xml:space="preserve"> 10: References</w:t>
    </w:r>
  </w:p>
  <w:p w14:paraId="5EA9591D" w14:textId="77777777" w:rsidR="003412F4" w:rsidRDefault="003412F4" w:rsidP="009D7E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68EF2" w14:textId="77777777" w:rsidR="003412F4" w:rsidRDefault="003412F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61F8" w14:textId="77777777" w:rsidR="003412F4" w:rsidRPr="00E608E2" w:rsidRDefault="003412F4" w:rsidP="006B407C">
    <w:pPr>
      <w:pStyle w:val="Footer"/>
      <w:pBdr>
        <w:top w:val="single" w:sz="4" w:space="1" w:color="auto"/>
      </w:pBdr>
      <w:tabs>
        <w:tab w:val="clear" w:pos="8306"/>
        <w:tab w:val="right" w:pos="8931"/>
      </w:tabs>
      <w:rPr>
        <w:b/>
      </w:rPr>
    </w:pPr>
    <w:r>
      <w:t>Draft IPR Review Report – May 2012</w:t>
    </w:r>
    <w:r>
      <w:rPr>
        <w:b/>
      </w:rPr>
      <w:tab/>
    </w:r>
    <w:r>
      <w:rPr>
        <w:b/>
      </w:rPr>
      <w:tab/>
    </w:r>
    <w:r>
      <w:fldChar w:fldCharType="begin"/>
    </w:r>
    <w:r>
      <w:instrText xml:space="preserve"> PAGE   \* MERGEFORMAT </w:instrText>
    </w:r>
    <w:r>
      <w:fldChar w:fldCharType="separate"/>
    </w:r>
    <w:r>
      <w:rPr>
        <w:noProof/>
      </w:rPr>
      <w:t>vi</w:t>
    </w:r>
    <w:r>
      <w:rPr>
        <w:noProof/>
      </w:rPr>
      <w:fldChar w:fldCharType="end"/>
    </w:r>
  </w:p>
  <w:p w14:paraId="3A5232D9" w14:textId="77777777" w:rsidR="003412F4" w:rsidRDefault="003412F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A858" w14:textId="59D2D95A" w:rsidR="003412F4" w:rsidRPr="00E608E2" w:rsidRDefault="003412F4" w:rsidP="006B407C">
    <w:pPr>
      <w:pStyle w:val="Footer"/>
      <w:pBdr>
        <w:top w:val="single" w:sz="4" w:space="1" w:color="auto"/>
      </w:pBdr>
      <w:tabs>
        <w:tab w:val="clear" w:pos="8306"/>
        <w:tab w:val="right" w:pos="8931"/>
      </w:tabs>
      <w:rPr>
        <w:b/>
      </w:rPr>
    </w:pPr>
    <w:r>
      <w:t>Final IPR Review Report – July 2012</w:t>
    </w:r>
    <w:r>
      <w:rPr>
        <w:b/>
      </w:rPr>
      <w:tab/>
    </w:r>
    <w:r>
      <w:rPr>
        <w:b/>
      </w:rPr>
      <w:tab/>
    </w:r>
    <w:r>
      <w:fldChar w:fldCharType="begin"/>
    </w:r>
    <w:r>
      <w:instrText xml:space="preserve"> PAGE   \* MERGEFORMAT </w:instrText>
    </w:r>
    <w:r>
      <w:fldChar w:fldCharType="separate"/>
    </w:r>
    <w:r w:rsidR="00F83227">
      <w:rPr>
        <w:noProof/>
      </w:rPr>
      <w:t>i</w:t>
    </w:r>
    <w:r>
      <w:rPr>
        <w:noProof/>
      </w:rPr>
      <w:fldChar w:fldCharType="end"/>
    </w:r>
  </w:p>
  <w:p w14:paraId="43C63879" w14:textId="77777777" w:rsidR="003412F4" w:rsidRDefault="003412F4">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8C73" w14:textId="523A4E68" w:rsidR="003412F4" w:rsidRDefault="003412F4" w:rsidP="009C1B03">
    <w:pPr>
      <w:pStyle w:val="Footer"/>
      <w:pBdr>
        <w:top w:val="single" w:sz="4" w:space="1" w:color="auto"/>
      </w:pBdr>
      <w:tabs>
        <w:tab w:val="clear" w:pos="4153"/>
        <w:tab w:val="clear" w:pos="8306"/>
        <w:tab w:val="right" w:pos="8789"/>
      </w:tabs>
    </w:pPr>
    <w:r>
      <w:t>Final IPR Review Report – July 2012</w:t>
    </w:r>
    <w:r>
      <w:tab/>
    </w:r>
    <w:r>
      <w:fldChar w:fldCharType="begin"/>
    </w:r>
    <w:r>
      <w:instrText xml:space="preserve"> PAGE   \* MERGEFORMAT </w:instrText>
    </w:r>
    <w:r>
      <w:fldChar w:fldCharType="separate"/>
    </w:r>
    <w:r w:rsidR="00F83227">
      <w:rPr>
        <w:noProof/>
      </w:rPr>
      <w:t>1</w:t>
    </w:r>
    <w:r>
      <w:rPr>
        <w:noProof/>
      </w:rPr>
      <w:fldChar w:fldCharType="end"/>
    </w:r>
  </w:p>
  <w:p w14:paraId="2A30C99C" w14:textId="77777777" w:rsidR="003412F4" w:rsidRDefault="003412F4">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7E79E" w14:textId="77777777" w:rsidR="003412F4" w:rsidRPr="00F919C7" w:rsidRDefault="003412F4" w:rsidP="004C620D">
    <w:pPr>
      <w:pStyle w:val="Footer"/>
      <w:pBdr>
        <w:top w:val="single" w:sz="4" w:space="1" w:color="auto"/>
      </w:pBdr>
    </w:pPr>
    <w:r>
      <w:fldChar w:fldCharType="begin"/>
    </w:r>
    <w:r>
      <w:instrText xml:space="preserve"> PAGE   \* MERGEFORMAT </w:instrText>
    </w:r>
    <w:r>
      <w:fldChar w:fldCharType="separate"/>
    </w:r>
    <w:r>
      <w:rPr>
        <w:noProof/>
      </w:rPr>
      <w:t>6</w:t>
    </w:r>
    <w:r>
      <w:rPr>
        <w:noProof/>
      </w:rPr>
      <w:fldChar w:fldCharType="end"/>
    </w:r>
    <w:r>
      <w:rPr>
        <w:b/>
      </w:rPr>
      <w:tab/>
    </w:r>
    <w:r>
      <w:t xml:space="preserve">Annex 2: Appraisal of Community Engagement Strategy  </w:t>
    </w:r>
  </w:p>
  <w:p w14:paraId="55ED61D4" w14:textId="77777777" w:rsidR="003412F4" w:rsidRDefault="003412F4" w:rsidP="009D7E6F">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3ECF" w14:textId="77777777" w:rsidR="003412F4" w:rsidRPr="00F919C7" w:rsidRDefault="003412F4" w:rsidP="004C620D">
    <w:pPr>
      <w:pStyle w:val="Footer"/>
      <w:pBdr>
        <w:top w:val="single" w:sz="4" w:space="1" w:color="auto"/>
      </w:pBdr>
    </w:pPr>
    <w:r>
      <w:fldChar w:fldCharType="begin"/>
    </w:r>
    <w:r>
      <w:instrText xml:space="preserve"> PAGE   \* MERGEFORMAT </w:instrText>
    </w:r>
    <w:r>
      <w:fldChar w:fldCharType="separate"/>
    </w:r>
    <w:r>
      <w:rPr>
        <w:noProof/>
      </w:rPr>
      <w:t>8</w:t>
    </w:r>
    <w:r>
      <w:rPr>
        <w:noProof/>
      </w:rPr>
      <w:fldChar w:fldCharType="end"/>
    </w:r>
    <w:r>
      <w:rPr>
        <w:b/>
      </w:rPr>
      <w:tab/>
    </w:r>
    <w:r>
      <w:rPr>
        <w:b/>
      </w:rPr>
      <w:tab/>
    </w:r>
    <w:r>
      <w:t xml:space="preserve">Annex 3: Appraisal of the Monitoring and Evaluation Strategy </w:t>
    </w:r>
  </w:p>
  <w:p w14:paraId="79C73C20" w14:textId="77777777" w:rsidR="003412F4" w:rsidRDefault="003412F4" w:rsidP="009D7E6F">
    <w:pPr>
      <w:pStyle w:val="Footer"/>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E501" w14:textId="77777777" w:rsidR="003412F4" w:rsidRPr="00A518FA" w:rsidRDefault="003412F4" w:rsidP="004C620D">
    <w:pPr>
      <w:pStyle w:val="Footer"/>
      <w:pBdr>
        <w:top w:val="single" w:sz="4" w:space="1" w:color="auto"/>
      </w:pBdr>
      <w:rPr>
        <w:sz w:val="18"/>
        <w:szCs w:val="18"/>
      </w:rPr>
    </w:pPr>
    <w:r>
      <w:fldChar w:fldCharType="begin"/>
    </w:r>
    <w:r>
      <w:instrText xml:space="preserve"> PAGE   \* MERGEFORMAT </w:instrText>
    </w:r>
    <w:r>
      <w:fldChar w:fldCharType="separate"/>
    </w:r>
    <w:r>
      <w:rPr>
        <w:noProof/>
      </w:rPr>
      <w:t>14</w:t>
    </w:r>
    <w:r>
      <w:rPr>
        <w:noProof/>
      </w:rPr>
      <w:fldChar w:fldCharType="end"/>
    </w:r>
    <w:r>
      <w:tab/>
    </w:r>
    <w:r>
      <w:rPr>
        <w:b/>
      </w:rPr>
      <w:tab/>
    </w:r>
    <w:r w:rsidRPr="00A518FA">
      <w:rPr>
        <w:sz w:val="18"/>
        <w:szCs w:val="18"/>
      </w:rPr>
      <w:t>Annex</w:t>
    </w:r>
    <w:r>
      <w:rPr>
        <w:sz w:val="18"/>
        <w:szCs w:val="18"/>
      </w:rPr>
      <w:t xml:space="preserve"> 7: Terms of Reference </w:t>
    </w:r>
  </w:p>
  <w:p w14:paraId="61B13F49" w14:textId="77777777" w:rsidR="003412F4" w:rsidRDefault="003412F4" w:rsidP="009D7E6F">
    <w:pPr>
      <w:pStyle w:val="Footer"/>
      <w:ind w:right="360"/>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9223E" w14:textId="77777777" w:rsidR="003412F4" w:rsidRPr="00A518FA" w:rsidRDefault="003412F4" w:rsidP="004C620D">
    <w:pPr>
      <w:pStyle w:val="Footer"/>
      <w:pBdr>
        <w:top w:val="single" w:sz="4" w:space="1" w:color="auto"/>
      </w:pBdr>
      <w:rPr>
        <w:sz w:val="18"/>
        <w:szCs w:val="18"/>
      </w:rPr>
    </w:pPr>
    <w:r>
      <w:fldChar w:fldCharType="begin"/>
    </w:r>
    <w:r>
      <w:instrText xml:space="preserve"> PAGE   \* MERGEFORMAT </w:instrText>
    </w:r>
    <w:r>
      <w:fldChar w:fldCharType="separate"/>
    </w:r>
    <w:r>
      <w:rPr>
        <w:noProof/>
      </w:rPr>
      <w:t>18</w:t>
    </w:r>
    <w:r>
      <w:rPr>
        <w:noProof/>
      </w:rPr>
      <w:fldChar w:fldCharType="end"/>
    </w:r>
    <w:r>
      <w:rPr>
        <w:b/>
      </w:rPr>
      <w:tab/>
    </w:r>
    <w:r>
      <w:rPr>
        <w:b/>
      </w:rPr>
      <w:tab/>
    </w:r>
    <w:r w:rsidRPr="00A518FA">
      <w:rPr>
        <w:sz w:val="18"/>
        <w:szCs w:val="18"/>
      </w:rPr>
      <w:t>Annex</w:t>
    </w:r>
    <w:r>
      <w:rPr>
        <w:sz w:val="18"/>
        <w:szCs w:val="18"/>
      </w:rPr>
      <w:t xml:space="preserve"> 9: Methodological changes, limitations and constraints </w:t>
    </w:r>
  </w:p>
  <w:p w14:paraId="47E37479" w14:textId="77777777" w:rsidR="003412F4" w:rsidRDefault="003412F4" w:rsidP="009D7E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7639" w14:textId="77777777" w:rsidR="003412F4" w:rsidRDefault="003412F4">
      <w:r>
        <w:separator/>
      </w:r>
    </w:p>
  </w:footnote>
  <w:footnote w:type="continuationSeparator" w:id="0">
    <w:p w14:paraId="78EA1AC3" w14:textId="77777777" w:rsidR="003412F4" w:rsidRDefault="003412F4">
      <w:r>
        <w:continuationSeparator/>
      </w:r>
    </w:p>
  </w:footnote>
  <w:footnote w:id="1">
    <w:p w14:paraId="287CF5C4" w14:textId="77777777" w:rsidR="003412F4" w:rsidRPr="0029709D" w:rsidRDefault="003412F4" w:rsidP="00D9129D">
      <w:pPr>
        <w:pStyle w:val="FootnoteText"/>
        <w:rPr>
          <w:lang w:val="en-US"/>
        </w:rPr>
      </w:pPr>
      <w:r>
        <w:rPr>
          <w:rStyle w:val="FootnoteReference"/>
        </w:rPr>
        <w:footnoteRef/>
      </w:r>
      <w:r>
        <w:rPr>
          <w:lang w:val="en-US"/>
        </w:rPr>
        <w:t>TSP1 Design Document P18</w:t>
      </w:r>
    </w:p>
  </w:footnote>
  <w:footnote w:id="2">
    <w:p w14:paraId="1D56AB73" w14:textId="7C7AE798" w:rsidR="003412F4" w:rsidRPr="00CA2735" w:rsidRDefault="003412F4">
      <w:pPr>
        <w:pStyle w:val="FootnoteText"/>
        <w:rPr>
          <w:lang w:val="en-US"/>
        </w:rPr>
      </w:pPr>
      <w:r>
        <w:rPr>
          <w:rStyle w:val="FootnoteReference"/>
        </w:rPr>
        <w:footnoteRef/>
      </w:r>
      <w:r>
        <w:t xml:space="preserve"> </w:t>
      </w:r>
      <w:r>
        <w:rPr>
          <w:lang w:val="en-US"/>
        </w:rPr>
        <w:t>Regional in this context refers to the Pacific region including Australia, New Zealand and possibly the United States</w:t>
      </w:r>
    </w:p>
  </w:footnote>
  <w:footnote w:id="3">
    <w:p w14:paraId="26A4ADD6" w14:textId="74A72687" w:rsidR="003412F4" w:rsidRPr="008E1504" w:rsidRDefault="003412F4">
      <w:pPr>
        <w:pStyle w:val="FootnoteText"/>
        <w:rPr>
          <w:lang w:val="en-US"/>
        </w:rPr>
      </w:pPr>
      <w:r w:rsidRPr="008E1504">
        <w:rPr>
          <w:rStyle w:val="FootnoteReference"/>
        </w:rPr>
        <w:footnoteRef/>
      </w:r>
      <w:r w:rsidRPr="008E1504">
        <w:t xml:space="preserve"> </w:t>
      </w:r>
      <w:r w:rsidRPr="008E1504">
        <w:rPr>
          <w:lang w:val="en-US"/>
        </w:rPr>
        <w:t>A copy of the complete IPR Terms of Reference is attached as Annex 6.</w:t>
      </w:r>
    </w:p>
  </w:footnote>
  <w:footnote w:id="4">
    <w:p w14:paraId="35C7FD80" w14:textId="77777777" w:rsidR="003412F4" w:rsidRPr="008E1504" w:rsidRDefault="003412F4" w:rsidP="003734A6">
      <w:pPr>
        <w:pStyle w:val="FootnoteText"/>
      </w:pPr>
      <w:r w:rsidRPr="008E1504">
        <w:rPr>
          <w:rStyle w:val="FootnoteReference"/>
        </w:rPr>
        <w:footnoteRef/>
      </w:r>
      <w:r w:rsidRPr="008E1504">
        <w:t xml:space="preserve"> AusAID Guidelines: Manage the Independent Evaluation of an Aid Activity</w:t>
      </w:r>
    </w:p>
  </w:footnote>
  <w:footnote w:id="5">
    <w:p w14:paraId="5454E5CD" w14:textId="3E189D7E" w:rsidR="003412F4" w:rsidRPr="008E1504" w:rsidRDefault="003412F4">
      <w:pPr>
        <w:pStyle w:val="FootnoteText"/>
        <w:rPr>
          <w:lang w:val="en-US"/>
        </w:rPr>
      </w:pPr>
      <w:r w:rsidRPr="008E1504">
        <w:rPr>
          <w:rStyle w:val="FootnoteReference"/>
        </w:rPr>
        <w:footnoteRef/>
      </w:r>
      <w:r w:rsidRPr="008E1504">
        <w:rPr>
          <w:lang w:val="en-US"/>
        </w:rPr>
        <w:t xml:space="preserve"> See Annex 5 - References</w:t>
      </w:r>
    </w:p>
  </w:footnote>
  <w:footnote w:id="6">
    <w:p w14:paraId="5800BC31" w14:textId="3AE335A2" w:rsidR="003412F4" w:rsidRPr="00C2520A" w:rsidRDefault="003412F4">
      <w:pPr>
        <w:pStyle w:val="FootnoteText"/>
        <w:rPr>
          <w:lang w:val="en-US"/>
        </w:rPr>
      </w:pPr>
      <w:r w:rsidRPr="008E1504">
        <w:rPr>
          <w:rStyle w:val="FootnoteReference"/>
        </w:rPr>
        <w:footnoteRef/>
      </w:r>
      <w:r w:rsidRPr="008E1504">
        <w:rPr>
          <w:lang w:val="en-US"/>
        </w:rPr>
        <w:t xml:space="preserve"> See Annex 4 – People consulted</w:t>
      </w:r>
    </w:p>
  </w:footnote>
  <w:footnote w:id="7">
    <w:p w14:paraId="2F409206" w14:textId="10994795" w:rsidR="003412F4" w:rsidRPr="00C343CB" w:rsidRDefault="003412F4">
      <w:pPr>
        <w:pStyle w:val="FootnoteText"/>
        <w:rPr>
          <w:lang w:val="en-US"/>
        </w:rPr>
      </w:pPr>
      <w:r>
        <w:rPr>
          <w:rStyle w:val="FootnoteReference"/>
        </w:rPr>
        <w:footnoteRef/>
      </w:r>
      <w:r>
        <w:t xml:space="preserve"> ‘Manage the Independent Evaluation of an Aid Activity’, which includes the five OECD DAC criteria of relevance, effectiveness, efficiency, impact and sustainability; and the three additional AusAID criteria of monitoring and evaluation, gender equality, and analysis and learning</w:t>
      </w:r>
    </w:p>
  </w:footnote>
  <w:footnote w:id="8">
    <w:p w14:paraId="5B2EAB12" w14:textId="77777777" w:rsidR="003412F4" w:rsidRPr="00FC703B" w:rsidRDefault="003412F4" w:rsidP="004F6DCF">
      <w:pPr>
        <w:pStyle w:val="FootnoteText"/>
        <w:rPr>
          <w:lang w:val="en-US"/>
        </w:rPr>
      </w:pPr>
      <w:r>
        <w:rPr>
          <w:rStyle w:val="FootnoteReference"/>
        </w:rPr>
        <w:footnoteRef/>
      </w:r>
      <w:r>
        <w:rPr>
          <w:lang w:val="en-US"/>
        </w:rPr>
        <w:t>Paris Declaration on Aid Effectiveness (OECD</w:t>
      </w:r>
      <w:proofErr w:type="gramStart"/>
      <w:r>
        <w:rPr>
          <w:lang w:val="en-US"/>
        </w:rPr>
        <w:t>,2005</w:t>
      </w:r>
      <w:proofErr w:type="gramEnd"/>
      <w:r>
        <w:rPr>
          <w:lang w:val="en-US"/>
        </w:rPr>
        <w:t>)</w:t>
      </w:r>
    </w:p>
  </w:footnote>
  <w:footnote w:id="9">
    <w:p w14:paraId="2865C8E7" w14:textId="77777777" w:rsidR="003412F4" w:rsidRPr="00FC703B" w:rsidRDefault="003412F4" w:rsidP="00775484">
      <w:pPr>
        <w:pStyle w:val="FootnoteText"/>
        <w:rPr>
          <w:lang w:val="en-US"/>
        </w:rPr>
      </w:pPr>
      <w:r>
        <w:rPr>
          <w:rStyle w:val="FootnoteReference"/>
        </w:rPr>
        <w:footnoteRef/>
      </w:r>
      <w:r>
        <w:rPr>
          <w:lang w:val="en-US"/>
        </w:rPr>
        <w:t>Accra Agenda for Action (OECD, 2008)</w:t>
      </w:r>
    </w:p>
  </w:footnote>
  <w:footnote w:id="10">
    <w:p w14:paraId="63D906F4" w14:textId="77777777" w:rsidR="003412F4" w:rsidRPr="007366D0" w:rsidRDefault="003412F4" w:rsidP="00775484">
      <w:pPr>
        <w:pStyle w:val="FootnoteText"/>
        <w:rPr>
          <w:lang w:val="en-US"/>
        </w:rPr>
      </w:pPr>
      <w:r>
        <w:rPr>
          <w:rStyle w:val="FootnoteReference"/>
        </w:rPr>
        <w:footnoteRef/>
      </w:r>
      <w:r>
        <w:rPr>
          <w:lang w:val="en-US"/>
        </w:rPr>
        <w:t>TSP1 Final Design Document (2009) Annex 5</w:t>
      </w:r>
    </w:p>
  </w:footnote>
  <w:footnote w:id="11">
    <w:p w14:paraId="17ECB1F5" w14:textId="77777777" w:rsidR="003412F4" w:rsidRPr="00EC465B" w:rsidRDefault="003412F4" w:rsidP="00775484">
      <w:pPr>
        <w:pStyle w:val="FootnoteText"/>
        <w:rPr>
          <w:lang w:val="en-US"/>
        </w:rPr>
      </w:pPr>
      <w:r>
        <w:rPr>
          <w:rStyle w:val="FootnoteReference"/>
        </w:rPr>
        <w:footnoteRef/>
      </w:r>
      <w:r>
        <w:t xml:space="preserve"> Tonga Strategic Development Framework 2011- 2014 Outcome Objective 5</w:t>
      </w:r>
    </w:p>
  </w:footnote>
  <w:footnote w:id="12">
    <w:p w14:paraId="6E73CC62" w14:textId="2AF7F399" w:rsidR="003412F4" w:rsidRPr="00F53700" w:rsidRDefault="003412F4" w:rsidP="00775484">
      <w:pPr>
        <w:pStyle w:val="FootnoteText"/>
        <w:rPr>
          <w:lang w:val="en-US"/>
        </w:rPr>
      </w:pPr>
      <w:r>
        <w:rPr>
          <w:rStyle w:val="FootnoteReference"/>
        </w:rPr>
        <w:footnoteRef/>
      </w:r>
      <w:r>
        <w:rPr>
          <w:lang w:val="en-US"/>
        </w:rPr>
        <w:t>MET 2012 P22 – see Annex 3</w:t>
      </w:r>
    </w:p>
  </w:footnote>
  <w:footnote w:id="13">
    <w:p w14:paraId="6B74B745" w14:textId="77777777" w:rsidR="003412F4" w:rsidRPr="00A01173" w:rsidRDefault="003412F4" w:rsidP="00775484">
      <w:pPr>
        <w:pStyle w:val="FootnoteText"/>
        <w:rPr>
          <w:lang w:val="en-US"/>
        </w:rPr>
      </w:pPr>
      <w:r>
        <w:rPr>
          <w:rStyle w:val="FootnoteReference"/>
        </w:rPr>
        <w:footnoteRef/>
      </w:r>
      <w:r>
        <w:rPr>
          <w:lang w:val="en-US"/>
        </w:rPr>
        <w:t xml:space="preserve">Karl </w:t>
      </w:r>
      <w:proofErr w:type="spellStart"/>
      <w:r>
        <w:rPr>
          <w:lang w:val="en-US"/>
        </w:rPr>
        <w:t>Taufaeteau</w:t>
      </w:r>
      <w:proofErr w:type="spellEnd"/>
      <w:r>
        <w:rPr>
          <w:lang w:val="en-US"/>
        </w:rPr>
        <w:t>&amp; Associate, Chartered Accountants (October 2011)</w:t>
      </w:r>
    </w:p>
  </w:footnote>
  <w:footnote w:id="14">
    <w:p w14:paraId="7C573184" w14:textId="635BD35A" w:rsidR="003412F4" w:rsidRPr="00415837" w:rsidRDefault="003412F4" w:rsidP="00775484">
      <w:pPr>
        <w:pStyle w:val="FootnoteText"/>
      </w:pPr>
      <w:r>
        <w:rPr>
          <w:rStyle w:val="FootnoteReference"/>
        </w:rPr>
        <w:footnoteRef/>
      </w:r>
      <w:r w:rsidRPr="007B575D">
        <w:t xml:space="preserve">TSP1 Financial Acquittal Report </w:t>
      </w:r>
      <w:r>
        <w:t>(</w:t>
      </w:r>
      <w:r w:rsidRPr="007B575D">
        <w:t>July 2011 to March 2012</w:t>
      </w:r>
      <w:r>
        <w:t>) Expenditure</w:t>
      </w:r>
      <w:r w:rsidRPr="007B575D">
        <w:t xml:space="preserve"> AUD482</w:t>
      </w:r>
      <w:proofErr w:type="gramStart"/>
      <w:r>
        <w:t>,000</w:t>
      </w:r>
      <w:proofErr w:type="gramEnd"/>
      <w:r>
        <w:t xml:space="preserve"> Budget</w:t>
      </w:r>
      <w:r w:rsidRPr="007B575D">
        <w:t xml:space="preserve"> AUD1.645 million</w:t>
      </w:r>
    </w:p>
  </w:footnote>
  <w:footnote w:id="15">
    <w:p w14:paraId="381398E7" w14:textId="77777777" w:rsidR="003412F4" w:rsidRPr="00900D9D" w:rsidRDefault="003412F4" w:rsidP="00775484">
      <w:pPr>
        <w:pStyle w:val="FootnoteText"/>
        <w:rPr>
          <w:lang w:val="en-US"/>
        </w:rPr>
      </w:pPr>
      <w:r>
        <w:rPr>
          <w:rStyle w:val="FootnoteReference"/>
        </w:rPr>
        <w:footnoteRef/>
      </w:r>
      <w:r>
        <w:rPr>
          <w:lang w:val="en-US"/>
        </w:rPr>
        <w:t>PSC Terms of Reference</w:t>
      </w:r>
    </w:p>
  </w:footnote>
  <w:footnote w:id="16">
    <w:p w14:paraId="62DDAACF" w14:textId="2C2A0D33" w:rsidR="003412F4" w:rsidRPr="00AD436E" w:rsidRDefault="003412F4" w:rsidP="00775484">
      <w:pPr>
        <w:pStyle w:val="FootnoteText"/>
        <w:rPr>
          <w:lang w:val="en-US"/>
        </w:rPr>
      </w:pPr>
      <w:r w:rsidRPr="00AD436E">
        <w:rPr>
          <w:rStyle w:val="FootnoteReference"/>
        </w:rPr>
        <w:footnoteRef/>
      </w:r>
      <w:r w:rsidRPr="00AD436E">
        <w:rPr>
          <w:lang w:val="en-US"/>
        </w:rPr>
        <w:t xml:space="preserve">Tonga-Australia Partnership Report Draft </w:t>
      </w:r>
      <w:r>
        <w:rPr>
          <w:lang w:val="en-US"/>
        </w:rPr>
        <w:t>(</w:t>
      </w:r>
      <w:r w:rsidRPr="00AD436E">
        <w:rPr>
          <w:lang w:val="en-US"/>
        </w:rPr>
        <w:t>22 Sept 2011</w:t>
      </w:r>
      <w:r>
        <w:rPr>
          <w:lang w:val="en-US"/>
        </w:rPr>
        <w:t>)</w:t>
      </w:r>
    </w:p>
  </w:footnote>
  <w:footnote w:id="17">
    <w:p w14:paraId="6CEEBFAE" w14:textId="77777777" w:rsidR="003412F4" w:rsidRPr="008918C6" w:rsidRDefault="003412F4" w:rsidP="00775484">
      <w:pPr>
        <w:pStyle w:val="FootnoteText"/>
        <w:rPr>
          <w:lang w:val="en-US"/>
        </w:rPr>
      </w:pPr>
      <w:r>
        <w:rPr>
          <w:rStyle w:val="FootnoteReference"/>
        </w:rPr>
        <w:footnoteRef/>
      </w:r>
      <w:r>
        <w:rPr>
          <w:lang w:val="en-US"/>
        </w:rPr>
        <w:t>ibid</w:t>
      </w:r>
    </w:p>
  </w:footnote>
  <w:footnote w:id="18">
    <w:p w14:paraId="1E3C796A" w14:textId="77777777" w:rsidR="003412F4" w:rsidRPr="00257F4B" w:rsidRDefault="003412F4" w:rsidP="00775484">
      <w:pPr>
        <w:pStyle w:val="FootnoteText"/>
        <w:rPr>
          <w:lang w:val="en-US"/>
        </w:rPr>
      </w:pPr>
      <w:r>
        <w:rPr>
          <w:rStyle w:val="FootnoteReference"/>
        </w:rPr>
        <w:footnoteRef/>
      </w:r>
      <w:r>
        <w:rPr>
          <w:lang w:val="en-US"/>
        </w:rPr>
        <w:t>July, 2011 and March 2012</w:t>
      </w:r>
    </w:p>
  </w:footnote>
  <w:footnote w:id="19">
    <w:p w14:paraId="110A8D16" w14:textId="77777777" w:rsidR="003412F4" w:rsidRPr="00F51D03" w:rsidRDefault="003412F4" w:rsidP="00775484">
      <w:pPr>
        <w:pStyle w:val="FootnoteText"/>
        <w:rPr>
          <w:lang w:val="en-US"/>
        </w:rPr>
      </w:pPr>
      <w:r>
        <w:rPr>
          <w:rStyle w:val="FootnoteReference"/>
        </w:rPr>
        <w:footnoteRef/>
      </w:r>
      <w:r>
        <w:rPr>
          <w:lang w:val="en-US"/>
        </w:rPr>
        <w:t>Activity Development and Aid Policy Management Government of Tonga Aid Management Division (2010)</w:t>
      </w:r>
    </w:p>
  </w:footnote>
  <w:footnote w:id="20">
    <w:p w14:paraId="5CD33399" w14:textId="77777777" w:rsidR="003412F4" w:rsidRPr="0063156A" w:rsidRDefault="003412F4" w:rsidP="00775484">
      <w:pPr>
        <w:pStyle w:val="FootnoteText"/>
        <w:rPr>
          <w:lang w:val="en-US"/>
        </w:rPr>
      </w:pPr>
      <w:r>
        <w:rPr>
          <w:rStyle w:val="FootnoteReference"/>
        </w:rPr>
        <w:footnoteRef/>
      </w:r>
      <w:r>
        <w:rPr>
          <w:lang w:val="en-US"/>
        </w:rPr>
        <w:t>Qualifications Framework: Tourism and Hospitality P38</w:t>
      </w:r>
    </w:p>
  </w:footnote>
  <w:footnote w:id="21">
    <w:p w14:paraId="2D6F4DAC" w14:textId="77777777" w:rsidR="003412F4" w:rsidRPr="0029709D" w:rsidRDefault="003412F4" w:rsidP="00775484">
      <w:pPr>
        <w:pStyle w:val="FootnoteText"/>
        <w:rPr>
          <w:lang w:val="en-US"/>
        </w:rPr>
      </w:pPr>
      <w:r>
        <w:rPr>
          <w:rStyle w:val="FootnoteReference"/>
        </w:rPr>
        <w:footnoteRef/>
      </w:r>
      <w:r>
        <w:rPr>
          <w:lang w:val="en-US"/>
        </w:rPr>
        <w:t>TSP1 Design Document P18</w:t>
      </w:r>
    </w:p>
  </w:footnote>
  <w:footnote w:id="22">
    <w:p w14:paraId="22039834" w14:textId="77777777" w:rsidR="003412F4" w:rsidRPr="006C4C0B" w:rsidRDefault="003412F4" w:rsidP="00775484">
      <w:pPr>
        <w:pStyle w:val="FootnoteText"/>
        <w:rPr>
          <w:lang w:val="en-US"/>
        </w:rPr>
      </w:pPr>
      <w:r>
        <w:rPr>
          <w:rStyle w:val="FootnoteReference"/>
        </w:rPr>
        <w:footnoteRef/>
      </w:r>
      <w:r>
        <w:t xml:space="preserve"> Alternative Pathways Pilot – Progress Report (April, 2012)</w:t>
      </w:r>
    </w:p>
  </w:footnote>
  <w:footnote w:id="23">
    <w:p w14:paraId="7EF2B8C3" w14:textId="77777777" w:rsidR="003412F4" w:rsidRPr="00122441" w:rsidRDefault="003412F4" w:rsidP="00775484">
      <w:pPr>
        <w:pStyle w:val="FootnoteText"/>
        <w:rPr>
          <w:lang w:val="en-US"/>
        </w:rPr>
      </w:pPr>
      <w:r>
        <w:rPr>
          <w:rStyle w:val="FootnoteReference"/>
        </w:rPr>
        <w:footnoteRef/>
      </w:r>
      <w:r>
        <w:t xml:space="preserve"> Tonga Strategic Development Framework 2011 - 2014</w:t>
      </w:r>
    </w:p>
  </w:footnote>
  <w:footnote w:id="24">
    <w:p w14:paraId="40A701AF" w14:textId="46D0A978" w:rsidR="003412F4" w:rsidRPr="00651489" w:rsidRDefault="003412F4" w:rsidP="00775484">
      <w:pPr>
        <w:pStyle w:val="FootnoteText"/>
        <w:rPr>
          <w:lang w:val="en-US"/>
        </w:rPr>
      </w:pPr>
      <w:r>
        <w:rPr>
          <w:rStyle w:val="FootnoteReference"/>
        </w:rPr>
        <w:footnoteRef/>
      </w:r>
      <w:r>
        <w:rPr>
          <w:lang w:val="en-US"/>
        </w:rPr>
        <w:t xml:space="preserve"> Empowering Women Reduces Poverty (NZAID, undated)</w:t>
      </w:r>
    </w:p>
  </w:footnote>
  <w:footnote w:id="25">
    <w:p w14:paraId="61F85F54" w14:textId="67DB02F3" w:rsidR="003412F4" w:rsidRPr="009E46CA" w:rsidRDefault="003412F4" w:rsidP="00775484">
      <w:pPr>
        <w:pStyle w:val="FootnoteText"/>
        <w:rPr>
          <w:lang w:val="en-US"/>
        </w:rPr>
      </w:pPr>
      <w:r>
        <w:rPr>
          <w:rStyle w:val="FootnoteReference"/>
        </w:rPr>
        <w:footnoteRef/>
      </w:r>
      <w:r w:rsidRPr="00276A9D">
        <w:t>TSP1 Year 2 Annual Plan</w:t>
      </w:r>
      <w:r>
        <w:t>, (January 2012) P14</w:t>
      </w:r>
    </w:p>
  </w:footnote>
  <w:footnote w:id="26">
    <w:p w14:paraId="106E01AB" w14:textId="77777777" w:rsidR="003412F4" w:rsidRPr="000263E2" w:rsidRDefault="003412F4" w:rsidP="00775484">
      <w:pPr>
        <w:pStyle w:val="FootnoteText"/>
        <w:rPr>
          <w:lang w:val="en-US"/>
        </w:rPr>
      </w:pPr>
      <w:r>
        <w:rPr>
          <w:rStyle w:val="FootnoteReference"/>
        </w:rPr>
        <w:footnoteRef/>
      </w:r>
      <w:r>
        <w:rPr>
          <w:lang w:val="en-US"/>
        </w:rPr>
        <w:t>Alternative Pathways Pilot Progress Report (April, 2012)</w:t>
      </w:r>
    </w:p>
  </w:footnote>
  <w:footnote w:id="27">
    <w:p w14:paraId="6742C307" w14:textId="314AFC1F" w:rsidR="003412F4" w:rsidRPr="00062717" w:rsidRDefault="003412F4" w:rsidP="00775484">
      <w:pPr>
        <w:pStyle w:val="FootnoteText"/>
        <w:rPr>
          <w:lang w:val="en-US"/>
        </w:rPr>
      </w:pPr>
      <w:r>
        <w:rPr>
          <w:rStyle w:val="FootnoteReference"/>
        </w:rPr>
        <w:footnoteRef/>
      </w:r>
      <w:r w:rsidRPr="00062717">
        <w:t>NZAID Tonga Tourism Training Needs Analysis, Final Report</w:t>
      </w:r>
      <w:r>
        <w:t xml:space="preserve"> (</w:t>
      </w:r>
      <w:r w:rsidRPr="00062717">
        <w:t>23 October</w:t>
      </w:r>
      <w:r>
        <w:t>,</w:t>
      </w:r>
      <w:r w:rsidRPr="00062717">
        <w:t xml:space="preserve"> 2009</w:t>
      </w:r>
      <w:r>
        <w:t>)</w:t>
      </w:r>
    </w:p>
  </w:footnote>
  <w:footnote w:id="28">
    <w:p w14:paraId="0740CF72" w14:textId="77777777" w:rsidR="003412F4" w:rsidRPr="00BC30BE" w:rsidRDefault="003412F4" w:rsidP="00775484">
      <w:pPr>
        <w:pStyle w:val="FootnoteText"/>
        <w:rPr>
          <w:lang w:val="en-US"/>
        </w:rPr>
      </w:pPr>
      <w:r>
        <w:rPr>
          <w:rStyle w:val="FootnoteReference"/>
        </w:rPr>
        <w:footnoteRef/>
      </w:r>
      <w:r>
        <w:rPr>
          <w:lang w:val="en-US"/>
        </w:rPr>
        <w:t>TSP1 Year 2 Annual Plan P9</w:t>
      </w:r>
    </w:p>
  </w:footnote>
  <w:footnote w:id="29">
    <w:p w14:paraId="5C62EB1B" w14:textId="77777777" w:rsidR="003412F4" w:rsidRPr="00DF26B6" w:rsidRDefault="003412F4" w:rsidP="00775484">
      <w:pPr>
        <w:pStyle w:val="FootnoteText"/>
        <w:rPr>
          <w:lang w:val="en-US"/>
        </w:rPr>
      </w:pPr>
      <w:r>
        <w:rPr>
          <w:rStyle w:val="FootnoteReference"/>
        </w:rPr>
        <w:footnoteRef/>
      </w:r>
      <w:r>
        <w:rPr>
          <w:lang w:val="en-US"/>
        </w:rPr>
        <w:t>PESDA  (June 2011) P8</w:t>
      </w:r>
    </w:p>
  </w:footnote>
  <w:footnote w:id="30">
    <w:p w14:paraId="03758C94" w14:textId="77777777" w:rsidR="003412F4" w:rsidRPr="00B27578" w:rsidRDefault="003412F4" w:rsidP="00C33EAD">
      <w:pPr>
        <w:pStyle w:val="FootnoteText"/>
        <w:rPr>
          <w:lang w:val="en-US"/>
        </w:rPr>
      </w:pPr>
      <w:r>
        <w:rPr>
          <w:rStyle w:val="FootnoteReference"/>
        </w:rPr>
        <w:footnoteRef/>
      </w:r>
      <w:r>
        <w:rPr>
          <w:lang w:val="en-US"/>
        </w:rPr>
        <w:t>An Effective Aid Program for Australia, Australian Government Canberra (2011) P53</w:t>
      </w:r>
    </w:p>
  </w:footnote>
  <w:footnote w:id="31">
    <w:p w14:paraId="4F9EBBE4" w14:textId="77777777" w:rsidR="003412F4" w:rsidRPr="001A6FED" w:rsidRDefault="003412F4" w:rsidP="00C33EAD">
      <w:pPr>
        <w:pStyle w:val="FootnoteText"/>
        <w:rPr>
          <w:lang w:val="en-US"/>
        </w:rPr>
      </w:pPr>
      <w:r>
        <w:rPr>
          <w:rStyle w:val="FootnoteReference"/>
        </w:rPr>
        <w:footnoteRef/>
      </w:r>
      <w:r>
        <w:rPr>
          <w:lang w:val="en-US"/>
        </w:rPr>
        <w:t>TSP1 Final Design Document P11</w:t>
      </w:r>
    </w:p>
  </w:footnote>
  <w:footnote w:id="32">
    <w:p w14:paraId="179B0787" w14:textId="77777777" w:rsidR="003412F4" w:rsidRPr="00145C86" w:rsidRDefault="003412F4" w:rsidP="00C33EAD">
      <w:pPr>
        <w:pStyle w:val="FootnoteText"/>
        <w:rPr>
          <w:lang w:val="en-US"/>
        </w:rPr>
      </w:pPr>
      <w:r>
        <w:rPr>
          <w:rStyle w:val="FootnoteReference"/>
        </w:rPr>
        <w:footnoteRef/>
      </w:r>
      <w:r>
        <w:rPr>
          <w:lang w:val="en-US"/>
        </w:rPr>
        <w:t>An Effective Aid Program for Australia, Australian Government Canberra (2011) P54</w:t>
      </w:r>
    </w:p>
  </w:footnote>
  <w:footnote w:id="33">
    <w:p w14:paraId="08914719" w14:textId="77777777" w:rsidR="003412F4" w:rsidRPr="007F28B4" w:rsidRDefault="003412F4" w:rsidP="00C33EAD">
      <w:pPr>
        <w:pStyle w:val="FootnoteText"/>
        <w:rPr>
          <w:lang w:val="en-US"/>
        </w:rPr>
      </w:pPr>
      <w:r>
        <w:rPr>
          <w:rStyle w:val="FootnoteReference"/>
        </w:rPr>
        <w:footnoteRef/>
      </w:r>
      <w:r>
        <w:rPr>
          <w:lang w:val="en-US"/>
        </w:rPr>
        <w:t>TSP1 Final Design Document P10</w:t>
      </w:r>
    </w:p>
  </w:footnote>
  <w:footnote w:id="34">
    <w:p w14:paraId="486149C5" w14:textId="77777777" w:rsidR="003412F4" w:rsidRPr="007F28B4" w:rsidRDefault="003412F4" w:rsidP="00C33EAD">
      <w:pPr>
        <w:pStyle w:val="FootnoteText"/>
        <w:rPr>
          <w:lang w:val="en-US"/>
        </w:rPr>
      </w:pPr>
      <w:r>
        <w:rPr>
          <w:rStyle w:val="FootnoteReference"/>
        </w:rPr>
        <w:footnoteRef/>
      </w:r>
      <w:r>
        <w:t xml:space="preserve"> ibid P11</w:t>
      </w:r>
    </w:p>
  </w:footnote>
  <w:footnote w:id="35">
    <w:p w14:paraId="258E8109" w14:textId="77777777" w:rsidR="003412F4" w:rsidRPr="004046B2" w:rsidRDefault="003412F4" w:rsidP="00C33EAD">
      <w:pPr>
        <w:pStyle w:val="FootnoteText"/>
        <w:rPr>
          <w:lang w:val="en-US"/>
        </w:rPr>
      </w:pPr>
      <w:r>
        <w:rPr>
          <w:rStyle w:val="FootnoteReference"/>
        </w:rPr>
        <w:footnoteRef/>
      </w:r>
      <w:r>
        <w:rPr>
          <w:lang w:val="en-US"/>
        </w:rPr>
        <w:t>TSP1 Final Design DocumentP10</w:t>
      </w:r>
    </w:p>
  </w:footnote>
  <w:footnote w:id="36">
    <w:p w14:paraId="66F8F2BC" w14:textId="77777777" w:rsidR="003412F4" w:rsidRPr="004046B2" w:rsidRDefault="003412F4" w:rsidP="00C33EAD">
      <w:pPr>
        <w:pStyle w:val="FootnoteText"/>
        <w:rPr>
          <w:lang w:val="en-US"/>
        </w:rPr>
      </w:pPr>
      <w:r>
        <w:rPr>
          <w:rStyle w:val="FootnoteReference"/>
        </w:rPr>
        <w:footnoteRef/>
      </w:r>
      <w:r>
        <w:rPr>
          <w:lang w:val="en-US"/>
        </w:rPr>
        <w:t>ibid P11</w:t>
      </w:r>
    </w:p>
  </w:footnote>
  <w:footnote w:id="37">
    <w:p w14:paraId="77850689" w14:textId="77777777" w:rsidR="003412F4" w:rsidRPr="004046B2" w:rsidRDefault="003412F4" w:rsidP="00C33EAD">
      <w:pPr>
        <w:pStyle w:val="FootnoteText"/>
        <w:rPr>
          <w:lang w:val="en-US"/>
        </w:rPr>
      </w:pPr>
      <w:r>
        <w:rPr>
          <w:rStyle w:val="FootnoteReference"/>
        </w:rPr>
        <w:footnoteRef/>
      </w:r>
      <w:r>
        <w:rPr>
          <w:lang w:val="en-US"/>
        </w:rPr>
        <w:t>ibid P14</w:t>
      </w:r>
    </w:p>
  </w:footnote>
  <w:footnote w:id="38">
    <w:p w14:paraId="3994C736" w14:textId="20A98591" w:rsidR="003412F4" w:rsidRPr="00E27CC5" w:rsidRDefault="003412F4">
      <w:pPr>
        <w:pStyle w:val="FootnoteText"/>
        <w:rPr>
          <w:lang w:val="en-US"/>
        </w:rPr>
      </w:pPr>
      <w:r>
        <w:rPr>
          <w:rStyle w:val="FootnoteReference"/>
        </w:rPr>
        <w:footnoteRef/>
      </w:r>
      <w:r>
        <w:t xml:space="preserve"> </w:t>
      </w:r>
      <w:r>
        <w:rPr>
          <w:lang w:val="en-US"/>
        </w:rPr>
        <w:t>TSDF 2011 – 2014 P32</w:t>
      </w:r>
    </w:p>
  </w:footnote>
  <w:footnote w:id="39">
    <w:p w14:paraId="75BA7793" w14:textId="0BA3107B" w:rsidR="003412F4" w:rsidRPr="00337472" w:rsidRDefault="003412F4">
      <w:pPr>
        <w:pStyle w:val="FootnoteText"/>
        <w:rPr>
          <w:lang w:val="en-US"/>
        </w:rPr>
      </w:pPr>
      <w:r>
        <w:rPr>
          <w:rStyle w:val="FootnoteReference"/>
        </w:rPr>
        <w:footnoteRef/>
      </w:r>
      <w:r>
        <w:t xml:space="preserve"> </w:t>
      </w:r>
      <w:r>
        <w:rPr>
          <w:lang w:val="en-US"/>
        </w:rPr>
        <w:t xml:space="preserve">This </w:t>
      </w:r>
      <w:proofErr w:type="spellStart"/>
      <w:r>
        <w:rPr>
          <w:lang w:val="en-US"/>
        </w:rPr>
        <w:t>Workplan</w:t>
      </w:r>
      <w:proofErr w:type="spellEnd"/>
      <w:r>
        <w:rPr>
          <w:lang w:val="en-US"/>
        </w:rPr>
        <w:t xml:space="preserve"> is based on consultations with the PTM at the end of the Review mission (May 11) and subsequent development by the PTM and the Review Team.</w:t>
      </w:r>
    </w:p>
  </w:footnote>
  <w:footnote w:id="40">
    <w:p w14:paraId="308CBBF9" w14:textId="0F683364" w:rsidR="003412F4" w:rsidRPr="009E3038" w:rsidRDefault="003412F4">
      <w:pPr>
        <w:pStyle w:val="FootnoteText"/>
        <w:rPr>
          <w:lang w:val="en-US"/>
        </w:rPr>
      </w:pPr>
      <w:r>
        <w:rPr>
          <w:rStyle w:val="FootnoteReference"/>
        </w:rPr>
        <w:footnoteRef/>
      </w:r>
      <w:r>
        <w:t xml:space="preserve"> Should there be apparent hurdles to early recruitment, the issue should be raised as a matter of urgency with the PSC to examine what strategies might be implemented to expedite the process</w:t>
      </w:r>
    </w:p>
  </w:footnote>
  <w:footnote w:id="41">
    <w:p w14:paraId="58C6B4AF" w14:textId="1A27E7AA" w:rsidR="003412F4" w:rsidRPr="0059196D" w:rsidRDefault="003412F4">
      <w:pPr>
        <w:pStyle w:val="FootnoteText"/>
        <w:rPr>
          <w:lang w:val="en-US"/>
        </w:rPr>
      </w:pPr>
      <w:r>
        <w:rPr>
          <w:rStyle w:val="FootnoteReference"/>
        </w:rPr>
        <w:footnoteRef/>
      </w:r>
      <w:r>
        <w:t xml:space="preserve"> As above</w:t>
      </w:r>
    </w:p>
  </w:footnote>
  <w:footnote w:id="42">
    <w:p w14:paraId="65962CDA" w14:textId="77777777" w:rsidR="003412F4" w:rsidRDefault="003412F4">
      <w:pPr>
        <w:pStyle w:val="FootnoteText"/>
      </w:pPr>
      <w:r>
        <w:rPr>
          <w:rStyle w:val="FootnoteReference"/>
        </w:rPr>
        <w:footnoteRef/>
      </w:r>
      <w:r>
        <w:t xml:space="preserve"> AusAID </w:t>
      </w:r>
      <w:r w:rsidRPr="004A2826">
        <w:t>Guidelines: Manage the Independent Evaluation of an Aid Activity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F357" w14:textId="6338F6B1" w:rsidR="003412F4" w:rsidRDefault="003412F4" w:rsidP="009D7E6F">
    <w:pPr>
      <w:pStyle w:val="Header"/>
      <w:jc w:val="right"/>
    </w:pPr>
    <w:r>
      <w:t xml:space="preserve">Independent Progress Review: </w:t>
    </w:r>
  </w:p>
  <w:p w14:paraId="0DF506C8" w14:textId="77777777" w:rsidR="003412F4" w:rsidRDefault="003412F4" w:rsidP="009D7E6F">
    <w:pPr>
      <w:pStyle w:val="Header"/>
      <w:pBdr>
        <w:bottom w:val="single" w:sz="4" w:space="1" w:color="auto"/>
      </w:pBdr>
      <w:jc w:val="right"/>
    </w:pPr>
    <w:r>
      <w:t>Australia and Indonesia Partnership for Maternal and Neonatal Health</w:t>
    </w:r>
  </w:p>
  <w:p w14:paraId="0C11E6A6" w14:textId="77777777" w:rsidR="003412F4" w:rsidRDefault="003412F4" w:rsidP="009D7E6F">
    <w:pPr>
      <w:pStyle w:val="Header"/>
      <w:jc w:val="right"/>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7E9C" w14:textId="16AD97C2" w:rsidR="003412F4" w:rsidRDefault="003412F4">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311F9" w14:textId="1CA3A646" w:rsidR="003412F4" w:rsidRDefault="003412F4" w:rsidP="00633A1F">
    <w:pPr>
      <w:pStyle w:val="Header"/>
    </w:pPr>
    <w:r>
      <w:t xml:space="preserve">Independent Progress Review: </w:t>
    </w:r>
  </w:p>
  <w:p w14:paraId="23154265" w14:textId="77777777" w:rsidR="003412F4" w:rsidRDefault="003412F4" w:rsidP="00633A1F">
    <w:pPr>
      <w:pStyle w:val="Header"/>
      <w:pBdr>
        <w:bottom w:val="single" w:sz="4" w:space="1" w:color="auto"/>
      </w:pBdr>
    </w:pPr>
    <w:r>
      <w:t>Australia and Indonesia Partnership for Maternal and Neonatal Health</w:t>
    </w:r>
  </w:p>
  <w:p w14:paraId="01A0D45E" w14:textId="77777777" w:rsidR="003412F4" w:rsidRDefault="003412F4" w:rsidP="009D7E6F">
    <w:pPr>
      <w:pStyle w:val="Header"/>
      <w:jc w:val="right"/>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B1B7" w14:textId="4D2E9921" w:rsidR="003412F4" w:rsidRDefault="003412F4">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DFB0" w14:textId="0FB56EB1" w:rsidR="003412F4" w:rsidRDefault="003412F4">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36B6D" w14:textId="3E643EC3" w:rsidR="003412F4" w:rsidRDefault="003412F4">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C5A43" w14:textId="26C89D1A" w:rsidR="003412F4" w:rsidRDefault="003412F4">
    <w:pPr>
      <w:pStyle w:val="Heade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5626" w14:textId="793FB540" w:rsidR="003412F4" w:rsidRDefault="003412F4">
    <w:pPr>
      <w:pStyle w:val="Heade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CEDA" w14:textId="1C194B0B" w:rsidR="003412F4" w:rsidRDefault="003412F4">
    <w:pPr>
      <w:pStyle w:val="Heade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1D353" w14:textId="1160A2F7" w:rsidR="003412F4" w:rsidRDefault="003412F4">
    <w:pPr>
      <w:pStyle w:val="Heade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E35DD" w14:textId="77777777" w:rsidR="003412F4" w:rsidRDefault="003412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0FF4F" w14:textId="49DAA000" w:rsidR="003412F4" w:rsidRDefault="003412F4" w:rsidP="00D3475A">
    <w:pPr>
      <w:pStyle w:val="Header"/>
    </w:pPr>
    <w:r>
      <w:rPr>
        <w:noProof/>
        <w:lang w:val="en-US" w:eastAsia="en-US"/>
      </w:rPr>
      <w:drawing>
        <wp:anchor distT="0" distB="0" distL="114300" distR="114300" simplePos="0" relativeHeight="251726848" behindDoc="1" locked="0" layoutInCell="1" allowOverlap="1" wp14:anchorId="197896B0" wp14:editId="6D030EAA">
          <wp:simplePos x="0" y="0"/>
          <wp:positionH relativeFrom="column">
            <wp:posOffset>-1127760</wp:posOffset>
          </wp:positionH>
          <wp:positionV relativeFrom="page">
            <wp:posOffset>-19050</wp:posOffset>
          </wp:positionV>
          <wp:extent cx="7599131" cy="10763250"/>
          <wp:effectExtent l="0" t="0" r="0" b="6350"/>
          <wp:wrapNone/>
          <wp:docPr id="7" name="Picture 16" descr="Cover_Template A4_no_pictures_graphic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ver_Template A4_no_pictures_graphics only"/>
                  <pic:cNvPicPr>
                    <a:picLocks noChangeAspect="1" noChangeArrowheads="1"/>
                  </pic:cNvPicPr>
                </pic:nvPicPr>
                <pic:blipFill>
                  <a:blip r:embed="rId1"/>
                  <a:srcRect/>
                  <a:stretch>
                    <a:fillRect/>
                  </a:stretch>
                </pic:blipFill>
                <pic:spPr bwMode="auto">
                  <a:xfrm>
                    <a:off x="0" y="0"/>
                    <a:ext cx="7599131" cy="10763250"/>
                  </a:xfrm>
                  <a:prstGeom prst="rect">
                    <a:avLst/>
                  </a:prstGeom>
                  <a:noFill/>
                  <a:ln w="9525">
                    <a:noFill/>
                    <a:miter lim="800000"/>
                    <a:headEnd/>
                    <a:tailEnd/>
                  </a:ln>
                </pic:spPr>
              </pic:pic>
            </a:graphicData>
          </a:graphic>
          <wp14:sizeRelH relativeFrom="margin">
            <wp14:pctWidth>0</wp14:pctWidth>
          </wp14:sizeRelH>
        </wp:anchor>
      </w:drawing>
    </w:r>
  </w:p>
  <w:p w14:paraId="0DBF6021" w14:textId="77777777" w:rsidR="003412F4" w:rsidRPr="00D3475A" w:rsidRDefault="003412F4" w:rsidP="00D3475A">
    <w:pPr>
      <w:pStyle w:val="Header"/>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871E" w14:textId="77777777" w:rsidR="003412F4" w:rsidRDefault="003412F4">
    <w:pPr>
      <w:pStyle w:val="Header"/>
    </w:pP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51CB" w14:textId="43589986" w:rsidR="003412F4" w:rsidRDefault="003412F4">
    <w:pPr>
      <w:pStyle w:val="Heade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15B98" w14:textId="39068192" w:rsidR="003412F4" w:rsidRDefault="003412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470F" w14:textId="50E01246" w:rsidR="003412F4" w:rsidRDefault="003412F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40FD" w14:textId="77777777" w:rsidR="003412F4" w:rsidRDefault="003412F4">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72C5" w14:textId="3F29EC49" w:rsidR="003412F4" w:rsidRDefault="003412F4" w:rsidP="008F2253">
    <w:pPr>
      <w:pStyle w:val="Header"/>
      <w:jc w:val="right"/>
    </w:pPr>
    <w:r>
      <w:t xml:space="preserve">Independent Progress Review: </w:t>
    </w:r>
  </w:p>
  <w:p w14:paraId="7E10C056" w14:textId="77777777" w:rsidR="003412F4" w:rsidRDefault="003412F4" w:rsidP="008F2253">
    <w:pPr>
      <w:pStyle w:val="Header"/>
      <w:pBdr>
        <w:bottom w:val="single" w:sz="4" w:space="1" w:color="auto"/>
      </w:pBdr>
      <w:jc w:val="right"/>
    </w:pPr>
    <w:r>
      <w:t>Tonga TVET Support Program 1</w:t>
    </w:r>
  </w:p>
  <w:p w14:paraId="63AF9C1A" w14:textId="77777777" w:rsidR="003412F4" w:rsidRDefault="003412F4">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BA13" w14:textId="77777777" w:rsidR="003412F4" w:rsidRDefault="003412F4">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7058" w14:textId="465A72BA" w:rsidR="003412F4" w:rsidRDefault="003412F4" w:rsidP="00F54A71">
    <w:pPr>
      <w:pStyle w:val="Header"/>
      <w:spacing w:before="0" w:after="0"/>
      <w:jc w:val="right"/>
    </w:pPr>
    <w:r>
      <w:t xml:space="preserve">Independent Progress Review: </w:t>
    </w:r>
  </w:p>
  <w:p w14:paraId="027CC62D" w14:textId="77777777" w:rsidR="003412F4" w:rsidRDefault="003412F4" w:rsidP="00F54A71">
    <w:pPr>
      <w:pStyle w:val="Header"/>
      <w:pBdr>
        <w:bottom w:val="single" w:sz="4" w:space="1" w:color="auto"/>
      </w:pBdr>
      <w:spacing w:before="0" w:after="0"/>
      <w:jc w:val="right"/>
    </w:pPr>
    <w:r>
      <w:t>Tonga TVET Support Program 1</w:t>
    </w:r>
  </w:p>
  <w:p w14:paraId="07CB5689" w14:textId="77777777" w:rsidR="003412F4" w:rsidRDefault="003412F4">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E8666" w14:textId="77777777" w:rsidR="003412F4" w:rsidRDefault="003412F4">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54171" w14:textId="16F02AFB" w:rsidR="003412F4" w:rsidRDefault="003412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5CF714"/>
    <w:lvl w:ilvl="0">
      <w:start w:val="1"/>
      <w:numFmt w:val="lowerRoman"/>
      <w:pStyle w:val="ListNumber5"/>
      <w:lvlText w:val="%1)"/>
      <w:lvlJc w:val="right"/>
      <w:pPr>
        <w:ind w:left="1492" w:hanging="360"/>
      </w:pPr>
      <w:rPr>
        <w:rFonts w:ascii="Arial" w:hAnsi="Arial" w:cs="Times New Roman" w:hint="default"/>
        <w:b w:val="0"/>
        <w:i w:val="0"/>
        <w:caps w:val="0"/>
        <w:strike w:val="0"/>
        <w:dstrike w:val="0"/>
        <w:vanish w:val="0"/>
        <w:vertAlign w:val="baseline"/>
      </w:rPr>
    </w:lvl>
  </w:abstractNum>
  <w:abstractNum w:abstractNumId="1">
    <w:nsid w:val="FFFFFF81"/>
    <w:multiLevelType w:val="singleLevel"/>
    <w:tmpl w:val="B9FEB626"/>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DFE6106C"/>
    <w:lvl w:ilvl="0">
      <w:start w:val="1"/>
      <w:numFmt w:val="bullet"/>
      <w:pStyle w:val="ListNumber4"/>
      <w:lvlText w:val=""/>
      <w:lvlJc w:val="left"/>
      <w:pPr>
        <w:tabs>
          <w:tab w:val="num" w:pos="360"/>
        </w:tabs>
        <w:ind w:left="360" w:hanging="360"/>
      </w:pPr>
      <w:rPr>
        <w:rFonts w:ascii="Symbol" w:hAnsi="Symbol" w:hint="default"/>
      </w:rPr>
    </w:lvl>
  </w:abstractNum>
  <w:abstractNum w:abstractNumId="3">
    <w:nsid w:val="069119BD"/>
    <w:multiLevelType w:val="hybridMultilevel"/>
    <w:tmpl w:val="382A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3D1321"/>
    <w:multiLevelType w:val="hybridMultilevel"/>
    <w:tmpl w:val="0F881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C00EE"/>
    <w:multiLevelType w:val="hybridMultilevel"/>
    <w:tmpl w:val="AA564E60"/>
    <w:lvl w:ilvl="0" w:tplc="04090019">
      <w:start w:val="1"/>
      <w:numFmt w:val="lowerLetter"/>
      <w:lvlText w:val="%1."/>
      <w:lvlJc w:val="left"/>
      <w:pPr>
        <w:ind w:left="1437" w:hanging="360"/>
      </w:pPr>
      <w:rPr>
        <w:rFonts w:hint="default"/>
      </w:rPr>
    </w:lvl>
    <w:lvl w:ilvl="1" w:tplc="04090003">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6">
    <w:nsid w:val="13E03884"/>
    <w:multiLevelType w:val="hybridMultilevel"/>
    <w:tmpl w:val="A43E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3490E"/>
    <w:multiLevelType w:val="multilevel"/>
    <w:tmpl w:val="AFE2E5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92E2055"/>
    <w:multiLevelType w:val="hybridMultilevel"/>
    <w:tmpl w:val="0EFC55CA"/>
    <w:lvl w:ilvl="0" w:tplc="A866CDAA">
      <w:start w:val="1"/>
      <w:numFmt w:val="lowerLetter"/>
      <w:lvlText w:val="%1)"/>
      <w:lvlJc w:val="left"/>
      <w:pPr>
        <w:ind w:left="927" w:hanging="360"/>
      </w:pPr>
      <w:rPr>
        <w:rFonts w:cs="Times New Roman" w:hint="default"/>
        <w:b w:val="0"/>
        <w:i w:val="0"/>
        <w:caps w:val="0"/>
        <w:strike w:val="0"/>
        <w:dstrike w:val="0"/>
        <w:vanish w:val="0"/>
        <w:vertAlign w:val="baseline"/>
      </w:rPr>
    </w:lvl>
    <w:lvl w:ilvl="1" w:tplc="08090019">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9">
    <w:nsid w:val="1DD22AF4"/>
    <w:multiLevelType w:val="multilevel"/>
    <w:tmpl w:val="37FC4900"/>
    <w:lvl w:ilvl="0">
      <w:start w:val="1"/>
      <w:numFmt w:val="decimal"/>
      <w:lvlText w:val="%1."/>
      <w:lvlJc w:val="left"/>
      <w:pPr>
        <w:ind w:left="360" w:hanging="360"/>
      </w:pPr>
      <w:rPr>
        <w:rFonts w:hint="default"/>
      </w:rPr>
    </w:lvl>
    <w:lvl w:ilvl="1">
      <w:start w:val="1"/>
      <w:numFmt w:val="decimal"/>
      <w:lvlText w:val="%1.%2."/>
      <w:lvlJc w:val="left"/>
      <w:pPr>
        <w:ind w:left="862" w:hanging="720"/>
      </w:pPr>
      <w:rPr>
        <w:rFonts w:ascii="Cambria" w:hAnsi="Cambria" w:cs="Symbol"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1903D5B"/>
    <w:multiLevelType w:val="multilevel"/>
    <w:tmpl w:val="A3A6B728"/>
    <w:lvl w:ilvl="0">
      <w:start w:val="1"/>
      <w:numFmt w:val="decimal"/>
      <w:pStyle w:val="level1"/>
      <w:lvlText w:val="%1."/>
      <w:lvlJc w:val="left"/>
      <w:pPr>
        <w:ind w:left="360" w:hanging="360"/>
      </w:pPr>
      <w:rPr>
        <w:rFonts w:cs="Times New Roman"/>
      </w:rPr>
    </w:lvl>
    <w:lvl w:ilvl="1">
      <w:start w:val="1"/>
      <w:numFmt w:val="decimal"/>
      <w:pStyle w:val="level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246060B"/>
    <w:multiLevelType w:val="multilevel"/>
    <w:tmpl w:val="E89E9C00"/>
    <w:lvl w:ilvl="0">
      <w:start w:val="1"/>
      <w:numFmt w:val="decimal"/>
      <w:lvlText w:val="%1"/>
      <w:lvlJc w:val="left"/>
      <w:pPr>
        <w:ind w:left="360" w:hanging="360"/>
      </w:pPr>
      <w:rPr>
        <w:rFonts w:hint="default"/>
      </w:rPr>
    </w:lvl>
    <w:lvl w:ilvl="1">
      <w:start w:val="1"/>
      <w:numFmt w:val="decimal"/>
      <w:lvlText w:val="%1.%2"/>
      <w:lvlJc w:val="left"/>
      <w:pPr>
        <w:ind w:left="1432" w:hanging="360"/>
      </w:pPr>
      <w:rPr>
        <w:rFonts w:hint="default"/>
      </w:rPr>
    </w:lvl>
    <w:lvl w:ilvl="2">
      <w:start w:val="1"/>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9304" w:hanging="1800"/>
      </w:pPr>
      <w:rPr>
        <w:rFonts w:hint="default"/>
      </w:rPr>
    </w:lvl>
    <w:lvl w:ilvl="8">
      <w:start w:val="1"/>
      <w:numFmt w:val="decimal"/>
      <w:lvlText w:val="%1.%2.%3.%4.%5.%6.%7.%8.%9"/>
      <w:lvlJc w:val="left"/>
      <w:pPr>
        <w:ind w:left="10376" w:hanging="1800"/>
      </w:pPr>
      <w:rPr>
        <w:rFonts w:hint="default"/>
      </w:rPr>
    </w:lvl>
  </w:abstractNum>
  <w:abstractNum w:abstractNumId="12">
    <w:nsid w:val="23CF7403"/>
    <w:multiLevelType w:val="hybridMultilevel"/>
    <w:tmpl w:val="21FC2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F56B60"/>
    <w:multiLevelType w:val="hybridMultilevel"/>
    <w:tmpl w:val="19B0D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AE11CE"/>
    <w:multiLevelType w:val="hybridMultilevel"/>
    <w:tmpl w:val="6DD2A8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B4C4E8E"/>
    <w:multiLevelType w:val="hybridMultilevel"/>
    <w:tmpl w:val="EA5A2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264234"/>
    <w:multiLevelType w:val="multilevel"/>
    <w:tmpl w:val="9086D4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050110"/>
    <w:multiLevelType w:val="hybridMultilevel"/>
    <w:tmpl w:val="BC9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8432B"/>
    <w:multiLevelType w:val="hybridMultilevel"/>
    <w:tmpl w:val="38FC63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0086FB2"/>
    <w:multiLevelType w:val="multilevel"/>
    <w:tmpl w:val="AFE2E540"/>
    <w:lvl w:ilvl="0">
      <w:start w:val="1"/>
      <w:numFmt w:val="decimal"/>
      <w:lvlText w:val="%1."/>
      <w:lvlJc w:val="left"/>
      <w:pPr>
        <w:ind w:left="1069"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30671D4D"/>
    <w:multiLevelType w:val="multilevel"/>
    <w:tmpl w:val="D116E9A0"/>
    <w:lvl w:ilvl="0">
      <w:start w:val="1"/>
      <w:numFmt w:val="decimal"/>
      <w:lvlText w:val="%1."/>
      <w:lvlJc w:val="left"/>
      <w:pPr>
        <w:ind w:left="720" w:hanging="720"/>
      </w:pPr>
      <w:rPr>
        <w:rFonts w:hint="default"/>
      </w:rPr>
    </w:lvl>
    <w:lvl w:ilvl="1">
      <w:start w:val="1"/>
      <w:numFmt w:val="decimal"/>
      <w:lvlText w:val="%1.%2."/>
      <w:lvlJc w:val="left"/>
      <w:pPr>
        <w:ind w:left="862" w:hanging="720"/>
      </w:pPr>
      <w:rPr>
        <w:rFonts w:ascii="Cambria" w:hAnsi="Cambria" w:cs="Symbol"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56E75BC"/>
    <w:multiLevelType w:val="hybridMultilevel"/>
    <w:tmpl w:val="E4DEB7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3A006274"/>
    <w:multiLevelType w:val="hybridMultilevel"/>
    <w:tmpl w:val="96DAB04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3AF61E12"/>
    <w:multiLevelType w:val="hybridMultilevel"/>
    <w:tmpl w:val="99D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8B583B"/>
    <w:multiLevelType w:val="hybridMultilevel"/>
    <w:tmpl w:val="47BA0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EB26AE"/>
    <w:multiLevelType w:val="multilevel"/>
    <w:tmpl w:val="9E3865C0"/>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7531147"/>
    <w:multiLevelType w:val="hybridMultilevel"/>
    <w:tmpl w:val="1D940D8E"/>
    <w:lvl w:ilvl="0" w:tplc="73DEAED8">
      <w:start w:val="1"/>
      <w:numFmt w:val="bullet"/>
      <w:pStyle w:val="List-bullet-2"/>
      <w:lvlText w:val="–"/>
      <w:lvlJc w:val="left"/>
      <w:pPr>
        <w:tabs>
          <w:tab w:val="num" w:pos="1021"/>
        </w:tabs>
        <w:ind w:left="1021" w:hanging="301"/>
      </w:pPr>
      <w:rPr>
        <w:rFonts w:hint="default"/>
        <w:color w:val="auto"/>
        <w:sz w:val="20"/>
      </w:rPr>
    </w:lvl>
    <w:lvl w:ilvl="1" w:tplc="04090003">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nsid w:val="486518BB"/>
    <w:multiLevelType w:val="hybridMultilevel"/>
    <w:tmpl w:val="5120C176"/>
    <w:lvl w:ilvl="0" w:tplc="DFDA3D5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9">
    <w:nsid w:val="5CDE70D9"/>
    <w:multiLevelType w:val="hybridMultilevel"/>
    <w:tmpl w:val="69B6EBA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0">
    <w:nsid w:val="6E06352A"/>
    <w:multiLevelType w:val="hybridMultilevel"/>
    <w:tmpl w:val="0CB60F74"/>
    <w:lvl w:ilvl="0" w:tplc="EFCE50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4E83588"/>
    <w:multiLevelType w:val="singleLevel"/>
    <w:tmpl w:val="803CDCCE"/>
    <w:lvl w:ilvl="0">
      <w:start w:val="1"/>
      <w:numFmt w:val="bullet"/>
      <w:pStyle w:val="ListBullet"/>
      <w:lvlText w:val=""/>
      <w:lvlJc w:val="left"/>
      <w:pPr>
        <w:tabs>
          <w:tab w:val="num" w:pos="360"/>
        </w:tabs>
        <w:ind w:left="360" w:hanging="360"/>
      </w:pPr>
      <w:rPr>
        <w:rFonts w:ascii="Symbol" w:hAnsi="Symbol" w:hint="default"/>
      </w:rPr>
    </w:lvl>
  </w:abstractNum>
  <w:abstractNum w:abstractNumId="32">
    <w:nsid w:val="7B182796"/>
    <w:multiLevelType w:val="multilevel"/>
    <w:tmpl w:val="FE1404B4"/>
    <w:lvl w:ilvl="0">
      <w:start w:val="1"/>
      <w:numFmt w:val="decimal"/>
      <w:pStyle w:val="CONLevel1"/>
      <w:lvlText w:val="%1."/>
      <w:lvlJc w:val="left"/>
      <w:pPr>
        <w:tabs>
          <w:tab w:val="num" w:pos="720"/>
        </w:tabs>
        <w:ind w:left="720" w:hanging="720"/>
      </w:pPr>
      <w:rPr>
        <w:rFonts w:ascii="Arial" w:hAnsi="Arial" w:hint="default"/>
        <w:b w:val="0"/>
        <w:i w:val="0"/>
        <w:sz w:val="22"/>
      </w:rPr>
    </w:lvl>
    <w:lvl w:ilvl="1">
      <w:start w:val="1"/>
      <w:numFmt w:val="decimal"/>
      <w:pStyle w:val="CONLevel11"/>
      <w:lvlText w:val="%1.%2"/>
      <w:lvlJc w:val="left"/>
      <w:pPr>
        <w:tabs>
          <w:tab w:val="num" w:pos="1132"/>
        </w:tabs>
        <w:ind w:left="1132" w:hanging="706"/>
      </w:pPr>
      <w:rPr>
        <w:rFonts w:ascii="Arial" w:hAnsi="Arial" w:hint="default"/>
        <w:b w:val="0"/>
        <w:i w:val="0"/>
        <w:sz w:val="22"/>
      </w:rPr>
    </w:lvl>
    <w:lvl w:ilvl="2">
      <w:start w:val="1"/>
      <w:numFmt w:val="lowerLetter"/>
      <w:pStyle w:val="CONLevela"/>
      <w:lvlText w:val="(%3)"/>
      <w:lvlJc w:val="left"/>
      <w:pPr>
        <w:tabs>
          <w:tab w:val="num" w:pos="1440"/>
        </w:tabs>
        <w:ind w:left="1440" w:hanging="720"/>
      </w:pPr>
      <w:rPr>
        <w:rFonts w:ascii="Arial" w:hAnsi="Arial" w:hint="default"/>
        <w:b w:val="0"/>
        <w:i w:val="0"/>
        <w:sz w:val="20"/>
      </w:rPr>
    </w:lvl>
    <w:lvl w:ilvl="3">
      <w:start w:val="1"/>
      <w:numFmt w:val="lowerRoman"/>
      <w:pStyle w:val="CONLeveli"/>
      <w:lvlText w:val="(%4)"/>
      <w:lvlJc w:val="left"/>
      <w:pPr>
        <w:tabs>
          <w:tab w:val="num" w:pos="2160"/>
        </w:tabs>
        <w:ind w:left="2160" w:hanging="720"/>
      </w:pPr>
      <w:rPr>
        <w:rFonts w:ascii="Arial" w:hAnsi="Arial" w:hint="default"/>
        <w:b w:val="0"/>
        <w:i w:val="0"/>
        <w:sz w:val="22"/>
      </w:rPr>
    </w:lvl>
    <w:lvl w:ilvl="4">
      <w:start w:val="1"/>
      <w:numFmt w:val="upperLetter"/>
      <w:pStyle w:val="CONLevelA0"/>
      <w:lvlText w:val="(%5)"/>
      <w:lvlJc w:val="left"/>
      <w:pPr>
        <w:tabs>
          <w:tab w:val="num" w:pos="2880"/>
        </w:tabs>
        <w:ind w:left="2880" w:hanging="720"/>
      </w:pPr>
      <w:rPr>
        <w:rFonts w:ascii="Arial" w:hAnsi="Arial" w:hint="default"/>
        <w:b w:val="0"/>
        <w:i w:val="0"/>
        <w:sz w:val="22"/>
      </w:rPr>
    </w:lvl>
    <w:lvl w:ilvl="5">
      <w:start w:val="1"/>
      <w:numFmt w:val="upperRoman"/>
      <w:pStyle w:val="CONLevelI0"/>
      <w:lvlText w:val="(%6)"/>
      <w:lvlJc w:val="left"/>
      <w:pPr>
        <w:tabs>
          <w:tab w:val="num" w:pos="3600"/>
        </w:tabs>
        <w:ind w:left="3600" w:hanging="720"/>
      </w:pPr>
      <w:rPr>
        <w:rFonts w:ascii="Letter Gothic" w:hAnsi="Letter Gothic"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2"/>
  </w:num>
  <w:num w:numId="2">
    <w:abstractNumId w:val="9"/>
  </w:num>
  <w:num w:numId="3">
    <w:abstractNumId w:val="3"/>
  </w:num>
  <w:num w:numId="4">
    <w:abstractNumId w:val="25"/>
  </w:num>
  <w:num w:numId="5">
    <w:abstractNumId w:val="12"/>
  </w:num>
  <w:num w:numId="6">
    <w:abstractNumId w:val="1"/>
  </w:num>
  <w:num w:numId="7">
    <w:abstractNumId w:val="19"/>
  </w:num>
  <w:num w:numId="8">
    <w:abstractNumId w:val="2"/>
  </w:num>
  <w:num w:numId="9">
    <w:abstractNumId w:val="23"/>
  </w:num>
  <w:num w:numId="10">
    <w:abstractNumId w:val="5"/>
  </w:num>
  <w:num w:numId="11">
    <w:abstractNumId w:val="7"/>
  </w:num>
  <w:num w:numId="12">
    <w:abstractNumId w:val="16"/>
  </w:num>
  <w:num w:numId="13">
    <w:abstractNumId w:val="20"/>
  </w:num>
  <w:num w:numId="14">
    <w:abstractNumId w:val="26"/>
  </w:num>
  <w:num w:numId="15">
    <w:abstractNumId w:val="15"/>
  </w:num>
  <w:num w:numId="16">
    <w:abstractNumId w:val="28"/>
  </w:num>
  <w:num w:numId="17">
    <w:abstractNumId w:val="24"/>
  </w:num>
  <w:num w:numId="18">
    <w:abstractNumId w:val="0"/>
  </w:num>
  <w:num w:numId="19">
    <w:abstractNumId w:val="31"/>
  </w:num>
  <w:num w:numId="20">
    <w:abstractNumId w:val="10"/>
  </w:num>
  <w:num w:numId="21">
    <w:abstractNumId w:val="27"/>
  </w:num>
  <w:num w:numId="22">
    <w:abstractNumId w:val="21"/>
  </w:num>
  <w:num w:numId="23">
    <w:abstractNumId w:val="4"/>
  </w:num>
  <w:num w:numId="24">
    <w:abstractNumId w:val="13"/>
  </w:num>
  <w:num w:numId="25">
    <w:abstractNumId w:val="18"/>
  </w:num>
  <w:num w:numId="26">
    <w:abstractNumId w:val="30"/>
  </w:num>
  <w:num w:numId="27">
    <w:abstractNumId w:val="14"/>
  </w:num>
  <w:num w:numId="28">
    <w:abstractNumId w:val="29"/>
  </w:num>
  <w:num w:numId="29">
    <w:abstractNumId w:val="11"/>
  </w:num>
  <w:num w:numId="30">
    <w:abstractNumId w:val="6"/>
  </w:num>
  <w:num w:numId="31">
    <w:abstractNumId w:val="22"/>
  </w:num>
  <w:num w:numId="32">
    <w:abstractNumId w:val="17"/>
  </w:num>
  <w:num w:numId="33">
    <w:abstractNumId w:val="8"/>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o:colormenu v:ext="edit" fillcolor="none [662]" strokecolor="non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11"/>
    <w:rsid w:val="0000191F"/>
    <w:rsid w:val="00002C50"/>
    <w:rsid w:val="00004250"/>
    <w:rsid w:val="00004B5E"/>
    <w:rsid w:val="00005D23"/>
    <w:rsid w:val="00005FAB"/>
    <w:rsid w:val="000060DC"/>
    <w:rsid w:val="00010152"/>
    <w:rsid w:val="00010AF2"/>
    <w:rsid w:val="00010CF2"/>
    <w:rsid w:val="00011A4F"/>
    <w:rsid w:val="000124C4"/>
    <w:rsid w:val="000130E8"/>
    <w:rsid w:val="00013453"/>
    <w:rsid w:val="000139BA"/>
    <w:rsid w:val="00013A30"/>
    <w:rsid w:val="00013FE0"/>
    <w:rsid w:val="00014018"/>
    <w:rsid w:val="00014D70"/>
    <w:rsid w:val="00015757"/>
    <w:rsid w:val="00015D3F"/>
    <w:rsid w:val="00016CF6"/>
    <w:rsid w:val="000207EC"/>
    <w:rsid w:val="00022749"/>
    <w:rsid w:val="00022DAA"/>
    <w:rsid w:val="0002481F"/>
    <w:rsid w:val="000263E2"/>
    <w:rsid w:val="00032ABC"/>
    <w:rsid w:val="000331C7"/>
    <w:rsid w:val="000333DB"/>
    <w:rsid w:val="00033DF8"/>
    <w:rsid w:val="000349F8"/>
    <w:rsid w:val="00034D4C"/>
    <w:rsid w:val="00036D6B"/>
    <w:rsid w:val="000419AF"/>
    <w:rsid w:val="00043E07"/>
    <w:rsid w:val="000440ED"/>
    <w:rsid w:val="00044670"/>
    <w:rsid w:val="00044DE2"/>
    <w:rsid w:val="00046A11"/>
    <w:rsid w:val="00046CD7"/>
    <w:rsid w:val="00046EC4"/>
    <w:rsid w:val="00046EED"/>
    <w:rsid w:val="00047FB8"/>
    <w:rsid w:val="000513B3"/>
    <w:rsid w:val="00052A98"/>
    <w:rsid w:val="000539B4"/>
    <w:rsid w:val="000547FD"/>
    <w:rsid w:val="00054A89"/>
    <w:rsid w:val="00054B36"/>
    <w:rsid w:val="00055042"/>
    <w:rsid w:val="00055689"/>
    <w:rsid w:val="000558D0"/>
    <w:rsid w:val="00055D3F"/>
    <w:rsid w:val="00060163"/>
    <w:rsid w:val="000604FD"/>
    <w:rsid w:val="0006122F"/>
    <w:rsid w:val="00061231"/>
    <w:rsid w:val="00061EAA"/>
    <w:rsid w:val="00062186"/>
    <w:rsid w:val="00062369"/>
    <w:rsid w:val="00062717"/>
    <w:rsid w:val="00062A49"/>
    <w:rsid w:val="0006359C"/>
    <w:rsid w:val="00063B78"/>
    <w:rsid w:val="00064529"/>
    <w:rsid w:val="00064679"/>
    <w:rsid w:val="0006483F"/>
    <w:rsid w:val="000649CF"/>
    <w:rsid w:val="00065CBD"/>
    <w:rsid w:val="00065DCA"/>
    <w:rsid w:val="00066079"/>
    <w:rsid w:val="00066BAC"/>
    <w:rsid w:val="0006714B"/>
    <w:rsid w:val="000672E3"/>
    <w:rsid w:val="00067B17"/>
    <w:rsid w:val="000701F7"/>
    <w:rsid w:val="00070450"/>
    <w:rsid w:val="000728B3"/>
    <w:rsid w:val="00073653"/>
    <w:rsid w:val="00074B7E"/>
    <w:rsid w:val="000754AA"/>
    <w:rsid w:val="000763E3"/>
    <w:rsid w:val="000806D8"/>
    <w:rsid w:val="00083390"/>
    <w:rsid w:val="00083734"/>
    <w:rsid w:val="000839CC"/>
    <w:rsid w:val="00084D40"/>
    <w:rsid w:val="00085032"/>
    <w:rsid w:val="00085507"/>
    <w:rsid w:val="000869DD"/>
    <w:rsid w:val="00086DD5"/>
    <w:rsid w:val="000873A3"/>
    <w:rsid w:val="000879A4"/>
    <w:rsid w:val="0009126B"/>
    <w:rsid w:val="00092A89"/>
    <w:rsid w:val="00093327"/>
    <w:rsid w:val="000950B8"/>
    <w:rsid w:val="00095A8F"/>
    <w:rsid w:val="00095C26"/>
    <w:rsid w:val="00096729"/>
    <w:rsid w:val="000968C1"/>
    <w:rsid w:val="000A028E"/>
    <w:rsid w:val="000A0DF3"/>
    <w:rsid w:val="000A2C3A"/>
    <w:rsid w:val="000A42E7"/>
    <w:rsid w:val="000A60D2"/>
    <w:rsid w:val="000A6810"/>
    <w:rsid w:val="000A6DAB"/>
    <w:rsid w:val="000A7357"/>
    <w:rsid w:val="000B16A8"/>
    <w:rsid w:val="000B29FB"/>
    <w:rsid w:val="000B3839"/>
    <w:rsid w:val="000B3901"/>
    <w:rsid w:val="000C08A0"/>
    <w:rsid w:val="000C091C"/>
    <w:rsid w:val="000C0B52"/>
    <w:rsid w:val="000C16F6"/>
    <w:rsid w:val="000C220F"/>
    <w:rsid w:val="000C223C"/>
    <w:rsid w:val="000C239D"/>
    <w:rsid w:val="000C2668"/>
    <w:rsid w:val="000C2E13"/>
    <w:rsid w:val="000C3072"/>
    <w:rsid w:val="000C434F"/>
    <w:rsid w:val="000C5F1F"/>
    <w:rsid w:val="000C63E1"/>
    <w:rsid w:val="000C672E"/>
    <w:rsid w:val="000C68B1"/>
    <w:rsid w:val="000C70B6"/>
    <w:rsid w:val="000C7177"/>
    <w:rsid w:val="000C7B82"/>
    <w:rsid w:val="000D0ACB"/>
    <w:rsid w:val="000D11C5"/>
    <w:rsid w:val="000D22B3"/>
    <w:rsid w:val="000D386E"/>
    <w:rsid w:val="000D3F9A"/>
    <w:rsid w:val="000D5167"/>
    <w:rsid w:val="000D54EF"/>
    <w:rsid w:val="000D5829"/>
    <w:rsid w:val="000D7A67"/>
    <w:rsid w:val="000E30AA"/>
    <w:rsid w:val="000E3ECC"/>
    <w:rsid w:val="000F05BC"/>
    <w:rsid w:val="000F08BC"/>
    <w:rsid w:val="000F0EDF"/>
    <w:rsid w:val="000F215B"/>
    <w:rsid w:val="000F3055"/>
    <w:rsid w:val="000F332B"/>
    <w:rsid w:val="000F3AED"/>
    <w:rsid w:val="000F43DA"/>
    <w:rsid w:val="000F4774"/>
    <w:rsid w:val="000F5B6B"/>
    <w:rsid w:val="000F6E4F"/>
    <w:rsid w:val="000F70CC"/>
    <w:rsid w:val="000F784F"/>
    <w:rsid w:val="000F7B55"/>
    <w:rsid w:val="000F7CED"/>
    <w:rsid w:val="00100D2B"/>
    <w:rsid w:val="00101456"/>
    <w:rsid w:val="00101ED4"/>
    <w:rsid w:val="0010216C"/>
    <w:rsid w:val="001037BA"/>
    <w:rsid w:val="00104D75"/>
    <w:rsid w:val="00105339"/>
    <w:rsid w:val="0010537C"/>
    <w:rsid w:val="0010652A"/>
    <w:rsid w:val="00106AC3"/>
    <w:rsid w:val="00107578"/>
    <w:rsid w:val="00107ED4"/>
    <w:rsid w:val="00110430"/>
    <w:rsid w:val="00110975"/>
    <w:rsid w:val="001119E1"/>
    <w:rsid w:val="00112003"/>
    <w:rsid w:val="001122BB"/>
    <w:rsid w:val="00112511"/>
    <w:rsid w:val="001127A6"/>
    <w:rsid w:val="00113D84"/>
    <w:rsid w:val="001143E8"/>
    <w:rsid w:val="001154FE"/>
    <w:rsid w:val="00115795"/>
    <w:rsid w:val="00115C9B"/>
    <w:rsid w:val="00115EBF"/>
    <w:rsid w:val="0011643B"/>
    <w:rsid w:val="001167A9"/>
    <w:rsid w:val="00117E7A"/>
    <w:rsid w:val="001203EA"/>
    <w:rsid w:val="001205BF"/>
    <w:rsid w:val="001209DA"/>
    <w:rsid w:val="00121EC2"/>
    <w:rsid w:val="00122441"/>
    <w:rsid w:val="00122E23"/>
    <w:rsid w:val="00123EFF"/>
    <w:rsid w:val="00125A9D"/>
    <w:rsid w:val="00125F11"/>
    <w:rsid w:val="001269AB"/>
    <w:rsid w:val="00127857"/>
    <w:rsid w:val="00127C71"/>
    <w:rsid w:val="001305EB"/>
    <w:rsid w:val="00130836"/>
    <w:rsid w:val="0013471C"/>
    <w:rsid w:val="00134FBA"/>
    <w:rsid w:val="00136602"/>
    <w:rsid w:val="00136913"/>
    <w:rsid w:val="00137474"/>
    <w:rsid w:val="001379A0"/>
    <w:rsid w:val="00137C19"/>
    <w:rsid w:val="00140C7A"/>
    <w:rsid w:val="001415C2"/>
    <w:rsid w:val="00142EDD"/>
    <w:rsid w:val="00143415"/>
    <w:rsid w:val="0014375A"/>
    <w:rsid w:val="001439F2"/>
    <w:rsid w:val="001440AF"/>
    <w:rsid w:val="00144109"/>
    <w:rsid w:val="00145231"/>
    <w:rsid w:val="001457FC"/>
    <w:rsid w:val="00145C86"/>
    <w:rsid w:val="00145DD9"/>
    <w:rsid w:val="00146EB8"/>
    <w:rsid w:val="00152DB3"/>
    <w:rsid w:val="00152DD7"/>
    <w:rsid w:val="00152E18"/>
    <w:rsid w:val="00155472"/>
    <w:rsid w:val="001566F1"/>
    <w:rsid w:val="0015708E"/>
    <w:rsid w:val="001607FE"/>
    <w:rsid w:val="00162D6D"/>
    <w:rsid w:val="00164524"/>
    <w:rsid w:val="001646C9"/>
    <w:rsid w:val="001647BD"/>
    <w:rsid w:val="00164DFF"/>
    <w:rsid w:val="00165596"/>
    <w:rsid w:val="00166257"/>
    <w:rsid w:val="0016719E"/>
    <w:rsid w:val="00167257"/>
    <w:rsid w:val="00167F73"/>
    <w:rsid w:val="001734B0"/>
    <w:rsid w:val="001742D1"/>
    <w:rsid w:val="00174B49"/>
    <w:rsid w:val="00174D5A"/>
    <w:rsid w:val="00175BB7"/>
    <w:rsid w:val="001775D3"/>
    <w:rsid w:val="00177A7B"/>
    <w:rsid w:val="001800DF"/>
    <w:rsid w:val="001804BF"/>
    <w:rsid w:val="001823DE"/>
    <w:rsid w:val="001826A1"/>
    <w:rsid w:val="00182AF6"/>
    <w:rsid w:val="001850F4"/>
    <w:rsid w:val="001875DE"/>
    <w:rsid w:val="0019042E"/>
    <w:rsid w:val="001916ED"/>
    <w:rsid w:val="00191CD2"/>
    <w:rsid w:val="0019233D"/>
    <w:rsid w:val="00192A31"/>
    <w:rsid w:val="00192E9F"/>
    <w:rsid w:val="00193DEB"/>
    <w:rsid w:val="00194027"/>
    <w:rsid w:val="00194C56"/>
    <w:rsid w:val="00195382"/>
    <w:rsid w:val="00195A74"/>
    <w:rsid w:val="001973A4"/>
    <w:rsid w:val="00197404"/>
    <w:rsid w:val="001A0F74"/>
    <w:rsid w:val="001A290A"/>
    <w:rsid w:val="001A2D61"/>
    <w:rsid w:val="001A3836"/>
    <w:rsid w:val="001A58B3"/>
    <w:rsid w:val="001A5BCB"/>
    <w:rsid w:val="001A65C1"/>
    <w:rsid w:val="001A6D82"/>
    <w:rsid w:val="001A6F37"/>
    <w:rsid w:val="001A6FED"/>
    <w:rsid w:val="001A7D96"/>
    <w:rsid w:val="001B0512"/>
    <w:rsid w:val="001B1E88"/>
    <w:rsid w:val="001B2B03"/>
    <w:rsid w:val="001B2E0B"/>
    <w:rsid w:val="001B34A9"/>
    <w:rsid w:val="001B54D2"/>
    <w:rsid w:val="001B71FE"/>
    <w:rsid w:val="001C0867"/>
    <w:rsid w:val="001C0940"/>
    <w:rsid w:val="001C0D92"/>
    <w:rsid w:val="001C1711"/>
    <w:rsid w:val="001C1944"/>
    <w:rsid w:val="001C1CEC"/>
    <w:rsid w:val="001C24F1"/>
    <w:rsid w:val="001C38BA"/>
    <w:rsid w:val="001C4532"/>
    <w:rsid w:val="001C49B3"/>
    <w:rsid w:val="001C513B"/>
    <w:rsid w:val="001C6C0C"/>
    <w:rsid w:val="001D0198"/>
    <w:rsid w:val="001D123E"/>
    <w:rsid w:val="001D1D93"/>
    <w:rsid w:val="001D1DAA"/>
    <w:rsid w:val="001D2261"/>
    <w:rsid w:val="001D25C9"/>
    <w:rsid w:val="001D27C1"/>
    <w:rsid w:val="001D2E66"/>
    <w:rsid w:val="001D3D26"/>
    <w:rsid w:val="001D4471"/>
    <w:rsid w:val="001D49C1"/>
    <w:rsid w:val="001D5E41"/>
    <w:rsid w:val="001E0EE6"/>
    <w:rsid w:val="001E293F"/>
    <w:rsid w:val="001E29EE"/>
    <w:rsid w:val="001E49F5"/>
    <w:rsid w:val="001E4BB1"/>
    <w:rsid w:val="001E4BD1"/>
    <w:rsid w:val="001E4FD8"/>
    <w:rsid w:val="001E656A"/>
    <w:rsid w:val="001E6684"/>
    <w:rsid w:val="001E6B34"/>
    <w:rsid w:val="001F1987"/>
    <w:rsid w:val="001F600B"/>
    <w:rsid w:val="00200B86"/>
    <w:rsid w:val="00202C5C"/>
    <w:rsid w:val="002053E3"/>
    <w:rsid w:val="00205DDB"/>
    <w:rsid w:val="00205F22"/>
    <w:rsid w:val="002074C2"/>
    <w:rsid w:val="002105DC"/>
    <w:rsid w:val="00210D3F"/>
    <w:rsid w:val="00212261"/>
    <w:rsid w:val="002122AC"/>
    <w:rsid w:val="00213309"/>
    <w:rsid w:val="00213A7A"/>
    <w:rsid w:val="00214632"/>
    <w:rsid w:val="0021678B"/>
    <w:rsid w:val="00216CAB"/>
    <w:rsid w:val="00217866"/>
    <w:rsid w:val="00217BE7"/>
    <w:rsid w:val="00220E94"/>
    <w:rsid w:val="00221FED"/>
    <w:rsid w:val="002222F5"/>
    <w:rsid w:val="002223BB"/>
    <w:rsid w:val="00222F9B"/>
    <w:rsid w:val="00225CD3"/>
    <w:rsid w:val="00226247"/>
    <w:rsid w:val="00226A47"/>
    <w:rsid w:val="00227BF6"/>
    <w:rsid w:val="00230DD5"/>
    <w:rsid w:val="00231AA5"/>
    <w:rsid w:val="002328D7"/>
    <w:rsid w:val="00232911"/>
    <w:rsid w:val="00233A52"/>
    <w:rsid w:val="00233E49"/>
    <w:rsid w:val="002354FF"/>
    <w:rsid w:val="00235A28"/>
    <w:rsid w:val="00236D0C"/>
    <w:rsid w:val="00240728"/>
    <w:rsid w:val="00240FF1"/>
    <w:rsid w:val="0024198A"/>
    <w:rsid w:val="00241AA1"/>
    <w:rsid w:val="00243962"/>
    <w:rsid w:val="002453E0"/>
    <w:rsid w:val="0024550C"/>
    <w:rsid w:val="00246DAA"/>
    <w:rsid w:val="00246E84"/>
    <w:rsid w:val="00247992"/>
    <w:rsid w:val="00251848"/>
    <w:rsid w:val="0025420B"/>
    <w:rsid w:val="0025559E"/>
    <w:rsid w:val="00255ACE"/>
    <w:rsid w:val="00255DEC"/>
    <w:rsid w:val="00257351"/>
    <w:rsid w:val="00257481"/>
    <w:rsid w:val="00257618"/>
    <w:rsid w:val="0025765A"/>
    <w:rsid w:val="002576E4"/>
    <w:rsid w:val="0025792D"/>
    <w:rsid w:val="00257CF6"/>
    <w:rsid w:val="00257F4B"/>
    <w:rsid w:val="00260C5A"/>
    <w:rsid w:val="00261B86"/>
    <w:rsid w:val="00261D96"/>
    <w:rsid w:val="002627A0"/>
    <w:rsid w:val="002632F4"/>
    <w:rsid w:val="00264242"/>
    <w:rsid w:val="00267125"/>
    <w:rsid w:val="0026721D"/>
    <w:rsid w:val="00270EF2"/>
    <w:rsid w:val="00272053"/>
    <w:rsid w:val="0027584A"/>
    <w:rsid w:val="002771BA"/>
    <w:rsid w:val="0027782E"/>
    <w:rsid w:val="00277B6A"/>
    <w:rsid w:val="00281024"/>
    <w:rsid w:val="00281492"/>
    <w:rsid w:val="002817DD"/>
    <w:rsid w:val="00282D7E"/>
    <w:rsid w:val="002833E5"/>
    <w:rsid w:val="002838EF"/>
    <w:rsid w:val="00284700"/>
    <w:rsid w:val="0028497D"/>
    <w:rsid w:val="00285608"/>
    <w:rsid w:val="0028560A"/>
    <w:rsid w:val="002861BC"/>
    <w:rsid w:val="002866FB"/>
    <w:rsid w:val="002904DF"/>
    <w:rsid w:val="002904F2"/>
    <w:rsid w:val="00290542"/>
    <w:rsid w:val="00290B93"/>
    <w:rsid w:val="00290ED0"/>
    <w:rsid w:val="00291197"/>
    <w:rsid w:val="00291E59"/>
    <w:rsid w:val="0029263A"/>
    <w:rsid w:val="0029324F"/>
    <w:rsid w:val="00293A69"/>
    <w:rsid w:val="00295DCB"/>
    <w:rsid w:val="00296751"/>
    <w:rsid w:val="0029709D"/>
    <w:rsid w:val="002A05C8"/>
    <w:rsid w:val="002A0E8F"/>
    <w:rsid w:val="002A1D44"/>
    <w:rsid w:val="002A27B6"/>
    <w:rsid w:val="002A326B"/>
    <w:rsid w:val="002A42CD"/>
    <w:rsid w:val="002A53CE"/>
    <w:rsid w:val="002A758F"/>
    <w:rsid w:val="002B100C"/>
    <w:rsid w:val="002B1442"/>
    <w:rsid w:val="002B3A29"/>
    <w:rsid w:val="002B5608"/>
    <w:rsid w:val="002B56E2"/>
    <w:rsid w:val="002B5BAC"/>
    <w:rsid w:val="002B5F77"/>
    <w:rsid w:val="002B62B4"/>
    <w:rsid w:val="002B6C44"/>
    <w:rsid w:val="002B7E11"/>
    <w:rsid w:val="002C1B02"/>
    <w:rsid w:val="002C2F69"/>
    <w:rsid w:val="002C462E"/>
    <w:rsid w:val="002C6EED"/>
    <w:rsid w:val="002C71E2"/>
    <w:rsid w:val="002C7EC3"/>
    <w:rsid w:val="002D2D09"/>
    <w:rsid w:val="002D3595"/>
    <w:rsid w:val="002D454B"/>
    <w:rsid w:val="002D4C36"/>
    <w:rsid w:val="002D4C8D"/>
    <w:rsid w:val="002D4DBD"/>
    <w:rsid w:val="002D5485"/>
    <w:rsid w:val="002D5E9C"/>
    <w:rsid w:val="002D63E1"/>
    <w:rsid w:val="002D6583"/>
    <w:rsid w:val="002D6A18"/>
    <w:rsid w:val="002D6D05"/>
    <w:rsid w:val="002E1233"/>
    <w:rsid w:val="002E23A3"/>
    <w:rsid w:val="002E3EC5"/>
    <w:rsid w:val="002E4411"/>
    <w:rsid w:val="002E67E1"/>
    <w:rsid w:val="002E79B2"/>
    <w:rsid w:val="002F17C3"/>
    <w:rsid w:val="002F1AF3"/>
    <w:rsid w:val="002F223B"/>
    <w:rsid w:val="002F3359"/>
    <w:rsid w:val="002F33D2"/>
    <w:rsid w:val="002F3F5C"/>
    <w:rsid w:val="002F4569"/>
    <w:rsid w:val="002F510F"/>
    <w:rsid w:val="002F5824"/>
    <w:rsid w:val="002F58FF"/>
    <w:rsid w:val="0030229A"/>
    <w:rsid w:val="00303378"/>
    <w:rsid w:val="003036D6"/>
    <w:rsid w:val="00303A16"/>
    <w:rsid w:val="00303D78"/>
    <w:rsid w:val="00303EDF"/>
    <w:rsid w:val="00304D5C"/>
    <w:rsid w:val="00306535"/>
    <w:rsid w:val="00307882"/>
    <w:rsid w:val="00310D01"/>
    <w:rsid w:val="003122A6"/>
    <w:rsid w:val="00312ED7"/>
    <w:rsid w:val="003146AD"/>
    <w:rsid w:val="00314B0D"/>
    <w:rsid w:val="0031548E"/>
    <w:rsid w:val="00315566"/>
    <w:rsid w:val="0031563A"/>
    <w:rsid w:val="00316B17"/>
    <w:rsid w:val="00321348"/>
    <w:rsid w:val="00321D5D"/>
    <w:rsid w:val="003220A2"/>
    <w:rsid w:val="00322EEF"/>
    <w:rsid w:val="00324042"/>
    <w:rsid w:val="0032452D"/>
    <w:rsid w:val="00324B3C"/>
    <w:rsid w:val="003257E1"/>
    <w:rsid w:val="003302D8"/>
    <w:rsid w:val="00330E57"/>
    <w:rsid w:val="003316E2"/>
    <w:rsid w:val="00331ABF"/>
    <w:rsid w:val="003320AD"/>
    <w:rsid w:val="0033240D"/>
    <w:rsid w:val="00333E44"/>
    <w:rsid w:val="0033578E"/>
    <w:rsid w:val="00335DE4"/>
    <w:rsid w:val="003363B1"/>
    <w:rsid w:val="00336970"/>
    <w:rsid w:val="00337472"/>
    <w:rsid w:val="0033765F"/>
    <w:rsid w:val="003402DB"/>
    <w:rsid w:val="003412F4"/>
    <w:rsid w:val="003432EF"/>
    <w:rsid w:val="003447F9"/>
    <w:rsid w:val="003449C2"/>
    <w:rsid w:val="00346091"/>
    <w:rsid w:val="00346414"/>
    <w:rsid w:val="00347379"/>
    <w:rsid w:val="003473C2"/>
    <w:rsid w:val="00347D2B"/>
    <w:rsid w:val="00350C0A"/>
    <w:rsid w:val="00350FC6"/>
    <w:rsid w:val="0035276F"/>
    <w:rsid w:val="00353526"/>
    <w:rsid w:val="00354916"/>
    <w:rsid w:val="00354BC2"/>
    <w:rsid w:val="00355FC5"/>
    <w:rsid w:val="00356ED5"/>
    <w:rsid w:val="003575F8"/>
    <w:rsid w:val="00360469"/>
    <w:rsid w:val="00360AFD"/>
    <w:rsid w:val="0036116B"/>
    <w:rsid w:val="0036189E"/>
    <w:rsid w:val="00362C26"/>
    <w:rsid w:val="00363F5A"/>
    <w:rsid w:val="003649C3"/>
    <w:rsid w:val="00366534"/>
    <w:rsid w:val="00366727"/>
    <w:rsid w:val="00367B1C"/>
    <w:rsid w:val="0037025E"/>
    <w:rsid w:val="003710DB"/>
    <w:rsid w:val="0037136F"/>
    <w:rsid w:val="003717ED"/>
    <w:rsid w:val="00371EB2"/>
    <w:rsid w:val="003734A6"/>
    <w:rsid w:val="00373E9C"/>
    <w:rsid w:val="00374FCC"/>
    <w:rsid w:val="0037514E"/>
    <w:rsid w:val="003800F7"/>
    <w:rsid w:val="003808BF"/>
    <w:rsid w:val="00383EA5"/>
    <w:rsid w:val="003840BF"/>
    <w:rsid w:val="003845F1"/>
    <w:rsid w:val="00384F93"/>
    <w:rsid w:val="00385477"/>
    <w:rsid w:val="0038559E"/>
    <w:rsid w:val="00385F23"/>
    <w:rsid w:val="00386904"/>
    <w:rsid w:val="0038766F"/>
    <w:rsid w:val="00387736"/>
    <w:rsid w:val="00387EEB"/>
    <w:rsid w:val="003904B3"/>
    <w:rsid w:val="00390FEE"/>
    <w:rsid w:val="00391D3C"/>
    <w:rsid w:val="00391D8D"/>
    <w:rsid w:val="00392C1A"/>
    <w:rsid w:val="00393F44"/>
    <w:rsid w:val="00395640"/>
    <w:rsid w:val="003960AF"/>
    <w:rsid w:val="00396600"/>
    <w:rsid w:val="00397468"/>
    <w:rsid w:val="00397996"/>
    <w:rsid w:val="003A0920"/>
    <w:rsid w:val="003A0AF2"/>
    <w:rsid w:val="003A0EAC"/>
    <w:rsid w:val="003A1814"/>
    <w:rsid w:val="003A51B8"/>
    <w:rsid w:val="003A5215"/>
    <w:rsid w:val="003A5FFE"/>
    <w:rsid w:val="003A65E1"/>
    <w:rsid w:val="003A689A"/>
    <w:rsid w:val="003A77D9"/>
    <w:rsid w:val="003A7C7B"/>
    <w:rsid w:val="003B2A9C"/>
    <w:rsid w:val="003B2F86"/>
    <w:rsid w:val="003B49B0"/>
    <w:rsid w:val="003B4D70"/>
    <w:rsid w:val="003B4ED3"/>
    <w:rsid w:val="003B668D"/>
    <w:rsid w:val="003B6834"/>
    <w:rsid w:val="003B6FBF"/>
    <w:rsid w:val="003B7137"/>
    <w:rsid w:val="003B75CE"/>
    <w:rsid w:val="003C0FD6"/>
    <w:rsid w:val="003C10AF"/>
    <w:rsid w:val="003C14D6"/>
    <w:rsid w:val="003C1F5A"/>
    <w:rsid w:val="003C2CC5"/>
    <w:rsid w:val="003C3BAB"/>
    <w:rsid w:val="003C4BCC"/>
    <w:rsid w:val="003C52C5"/>
    <w:rsid w:val="003C53EF"/>
    <w:rsid w:val="003C5F5A"/>
    <w:rsid w:val="003C7468"/>
    <w:rsid w:val="003D0F0C"/>
    <w:rsid w:val="003D10C6"/>
    <w:rsid w:val="003D180C"/>
    <w:rsid w:val="003D247D"/>
    <w:rsid w:val="003D2759"/>
    <w:rsid w:val="003D2B9A"/>
    <w:rsid w:val="003D2F6E"/>
    <w:rsid w:val="003D3115"/>
    <w:rsid w:val="003D3567"/>
    <w:rsid w:val="003D6470"/>
    <w:rsid w:val="003D673F"/>
    <w:rsid w:val="003D7094"/>
    <w:rsid w:val="003E07AE"/>
    <w:rsid w:val="003E0885"/>
    <w:rsid w:val="003E1006"/>
    <w:rsid w:val="003E1486"/>
    <w:rsid w:val="003E1A17"/>
    <w:rsid w:val="003E618F"/>
    <w:rsid w:val="003E6860"/>
    <w:rsid w:val="003E75B3"/>
    <w:rsid w:val="003F07EC"/>
    <w:rsid w:val="003F14A8"/>
    <w:rsid w:val="003F2572"/>
    <w:rsid w:val="003F2E40"/>
    <w:rsid w:val="003F3693"/>
    <w:rsid w:val="003F39DB"/>
    <w:rsid w:val="003F4F22"/>
    <w:rsid w:val="0040000E"/>
    <w:rsid w:val="0040002A"/>
    <w:rsid w:val="004003CA"/>
    <w:rsid w:val="00400E6A"/>
    <w:rsid w:val="00401FC3"/>
    <w:rsid w:val="0040246D"/>
    <w:rsid w:val="00402D1A"/>
    <w:rsid w:val="00403D42"/>
    <w:rsid w:val="004046B2"/>
    <w:rsid w:val="00404D7F"/>
    <w:rsid w:val="00405116"/>
    <w:rsid w:val="004067D0"/>
    <w:rsid w:val="004077AE"/>
    <w:rsid w:val="00411EC5"/>
    <w:rsid w:val="00412027"/>
    <w:rsid w:val="00412E48"/>
    <w:rsid w:val="004135E1"/>
    <w:rsid w:val="0041465F"/>
    <w:rsid w:val="00414875"/>
    <w:rsid w:val="00415837"/>
    <w:rsid w:val="00415CC2"/>
    <w:rsid w:val="004165CF"/>
    <w:rsid w:val="004217DC"/>
    <w:rsid w:val="00421CAC"/>
    <w:rsid w:val="0042222F"/>
    <w:rsid w:val="00422A28"/>
    <w:rsid w:val="00423F82"/>
    <w:rsid w:val="00425039"/>
    <w:rsid w:val="004255C0"/>
    <w:rsid w:val="00425EA1"/>
    <w:rsid w:val="00426BA6"/>
    <w:rsid w:val="00427B70"/>
    <w:rsid w:val="00427CAB"/>
    <w:rsid w:val="00427E1B"/>
    <w:rsid w:val="004310B1"/>
    <w:rsid w:val="0043211D"/>
    <w:rsid w:val="00432CDB"/>
    <w:rsid w:val="00433AA4"/>
    <w:rsid w:val="00441D7E"/>
    <w:rsid w:val="00441F03"/>
    <w:rsid w:val="00442E08"/>
    <w:rsid w:val="00444C9B"/>
    <w:rsid w:val="0044547D"/>
    <w:rsid w:val="0044610D"/>
    <w:rsid w:val="004464D8"/>
    <w:rsid w:val="00446F01"/>
    <w:rsid w:val="00447213"/>
    <w:rsid w:val="0044723C"/>
    <w:rsid w:val="004513A5"/>
    <w:rsid w:val="00451CB1"/>
    <w:rsid w:val="004554ED"/>
    <w:rsid w:val="00455D26"/>
    <w:rsid w:val="00457414"/>
    <w:rsid w:val="00457C96"/>
    <w:rsid w:val="00461AD2"/>
    <w:rsid w:val="00465AD5"/>
    <w:rsid w:val="00466104"/>
    <w:rsid w:val="0046721A"/>
    <w:rsid w:val="00467310"/>
    <w:rsid w:val="004677B9"/>
    <w:rsid w:val="0046781C"/>
    <w:rsid w:val="004706CB"/>
    <w:rsid w:val="00470D71"/>
    <w:rsid w:val="00471FE3"/>
    <w:rsid w:val="00474311"/>
    <w:rsid w:val="004753D8"/>
    <w:rsid w:val="00476A53"/>
    <w:rsid w:val="00477183"/>
    <w:rsid w:val="0047723E"/>
    <w:rsid w:val="00477E0D"/>
    <w:rsid w:val="00480036"/>
    <w:rsid w:val="00480482"/>
    <w:rsid w:val="00481A49"/>
    <w:rsid w:val="00482351"/>
    <w:rsid w:val="00482AEF"/>
    <w:rsid w:val="00485B9B"/>
    <w:rsid w:val="0048615F"/>
    <w:rsid w:val="00487C08"/>
    <w:rsid w:val="0049019C"/>
    <w:rsid w:val="004909D9"/>
    <w:rsid w:val="004911DC"/>
    <w:rsid w:val="00491A2A"/>
    <w:rsid w:val="00491EA6"/>
    <w:rsid w:val="00492480"/>
    <w:rsid w:val="004927E9"/>
    <w:rsid w:val="0049312F"/>
    <w:rsid w:val="004940A8"/>
    <w:rsid w:val="00494B90"/>
    <w:rsid w:val="00495274"/>
    <w:rsid w:val="00495688"/>
    <w:rsid w:val="00495E4C"/>
    <w:rsid w:val="004974C4"/>
    <w:rsid w:val="00497669"/>
    <w:rsid w:val="004A1461"/>
    <w:rsid w:val="004A239B"/>
    <w:rsid w:val="004A2B05"/>
    <w:rsid w:val="004A316B"/>
    <w:rsid w:val="004A3C82"/>
    <w:rsid w:val="004A6F24"/>
    <w:rsid w:val="004A714C"/>
    <w:rsid w:val="004B0CA8"/>
    <w:rsid w:val="004B117D"/>
    <w:rsid w:val="004B69B8"/>
    <w:rsid w:val="004B79CB"/>
    <w:rsid w:val="004C03F6"/>
    <w:rsid w:val="004C056E"/>
    <w:rsid w:val="004C2EFE"/>
    <w:rsid w:val="004C3C6C"/>
    <w:rsid w:val="004C3ECC"/>
    <w:rsid w:val="004C5901"/>
    <w:rsid w:val="004C620D"/>
    <w:rsid w:val="004C6C0B"/>
    <w:rsid w:val="004C6C19"/>
    <w:rsid w:val="004C7424"/>
    <w:rsid w:val="004C751F"/>
    <w:rsid w:val="004C7647"/>
    <w:rsid w:val="004D0FD5"/>
    <w:rsid w:val="004D2D6E"/>
    <w:rsid w:val="004D3602"/>
    <w:rsid w:val="004D3957"/>
    <w:rsid w:val="004D43BA"/>
    <w:rsid w:val="004D50EC"/>
    <w:rsid w:val="004D7676"/>
    <w:rsid w:val="004D7B0A"/>
    <w:rsid w:val="004E0782"/>
    <w:rsid w:val="004E12BE"/>
    <w:rsid w:val="004E1D96"/>
    <w:rsid w:val="004E267B"/>
    <w:rsid w:val="004E4FC0"/>
    <w:rsid w:val="004E5EFF"/>
    <w:rsid w:val="004E67E1"/>
    <w:rsid w:val="004E6AB0"/>
    <w:rsid w:val="004E6B5A"/>
    <w:rsid w:val="004E7D3A"/>
    <w:rsid w:val="004F05B7"/>
    <w:rsid w:val="004F070F"/>
    <w:rsid w:val="004F2E61"/>
    <w:rsid w:val="004F2ED2"/>
    <w:rsid w:val="004F42B7"/>
    <w:rsid w:val="004F636D"/>
    <w:rsid w:val="004F6D6D"/>
    <w:rsid w:val="004F6DCF"/>
    <w:rsid w:val="004F725F"/>
    <w:rsid w:val="005004A1"/>
    <w:rsid w:val="005009D4"/>
    <w:rsid w:val="00501F53"/>
    <w:rsid w:val="00502745"/>
    <w:rsid w:val="00504286"/>
    <w:rsid w:val="00506038"/>
    <w:rsid w:val="00506287"/>
    <w:rsid w:val="00506694"/>
    <w:rsid w:val="00506FF2"/>
    <w:rsid w:val="005073DC"/>
    <w:rsid w:val="00510059"/>
    <w:rsid w:val="00511858"/>
    <w:rsid w:val="00512F7F"/>
    <w:rsid w:val="0051502C"/>
    <w:rsid w:val="00515745"/>
    <w:rsid w:val="0051622F"/>
    <w:rsid w:val="00517F9B"/>
    <w:rsid w:val="00520637"/>
    <w:rsid w:val="005212A6"/>
    <w:rsid w:val="00521892"/>
    <w:rsid w:val="00524BEA"/>
    <w:rsid w:val="00525AF8"/>
    <w:rsid w:val="00530A81"/>
    <w:rsid w:val="00530B62"/>
    <w:rsid w:val="00531AF0"/>
    <w:rsid w:val="00531B86"/>
    <w:rsid w:val="00534BD6"/>
    <w:rsid w:val="00535139"/>
    <w:rsid w:val="00535245"/>
    <w:rsid w:val="00535916"/>
    <w:rsid w:val="00536CF5"/>
    <w:rsid w:val="00536F54"/>
    <w:rsid w:val="00541E79"/>
    <w:rsid w:val="00542873"/>
    <w:rsid w:val="00542B22"/>
    <w:rsid w:val="00543B30"/>
    <w:rsid w:val="005446EB"/>
    <w:rsid w:val="0054602E"/>
    <w:rsid w:val="00550947"/>
    <w:rsid w:val="005518C1"/>
    <w:rsid w:val="00551E7F"/>
    <w:rsid w:val="0055260F"/>
    <w:rsid w:val="00553743"/>
    <w:rsid w:val="00554DE0"/>
    <w:rsid w:val="00557055"/>
    <w:rsid w:val="00557293"/>
    <w:rsid w:val="005576E5"/>
    <w:rsid w:val="00557BA3"/>
    <w:rsid w:val="00557C87"/>
    <w:rsid w:val="00562D96"/>
    <w:rsid w:val="00563AE9"/>
    <w:rsid w:val="00564C72"/>
    <w:rsid w:val="00565444"/>
    <w:rsid w:val="005655B4"/>
    <w:rsid w:val="0056663E"/>
    <w:rsid w:val="00566EBD"/>
    <w:rsid w:val="00567A0D"/>
    <w:rsid w:val="00567E3F"/>
    <w:rsid w:val="0057108F"/>
    <w:rsid w:val="0057205B"/>
    <w:rsid w:val="005744A4"/>
    <w:rsid w:val="005759C0"/>
    <w:rsid w:val="00577988"/>
    <w:rsid w:val="0058056C"/>
    <w:rsid w:val="0058178C"/>
    <w:rsid w:val="00581FFE"/>
    <w:rsid w:val="005820DD"/>
    <w:rsid w:val="00582511"/>
    <w:rsid w:val="00582F43"/>
    <w:rsid w:val="00583200"/>
    <w:rsid w:val="005868ED"/>
    <w:rsid w:val="00586F9C"/>
    <w:rsid w:val="00590B5D"/>
    <w:rsid w:val="0059196D"/>
    <w:rsid w:val="00592559"/>
    <w:rsid w:val="00593009"/>
    <w:rsid w:val="005946AA"/>
    <w:rsid w:val="005957E2"/>
    <w:rsid w:val="005963B7"/>
    <w:rsid w:val="00596BE5"/>
    <w:rsid w:val="00597B08"/>
    <w:rsid w:val="005A009C"/>
    <w:rsid w:val="005A0C18"/>
    <w:rsid w:val="005A3B07"/>
    <w:rsid w:val="005A5548"/>
    <w:rsid w:val="005A6274"/>
    <w:rsid w:val="005A7042"/>
    <w:rsid w:val="005B2919"/>
    <w:rsid w:val="005B2966"/>
    <w:rsid w:val="005B2D1B"/>
    <w:rsid w:val="005B4037"/>
    <w:rsid w:val="005B43BC"/>
    <w:rsid w:val="005B48E5"/>
    <w:rsid w:val="005B4C8F"/>
    <w:rsid w:val="005B66C5"/>
    <w:rsid w:val="005C1578"/>
    <w:rsid w:val="005C1845"/>
    <w:rsid w:val="005C1B33"/>
    <w:rsid w:val="005C2273"/>
    <w:rsid w:val="005C22D2"/>
    <w:rsid w:val="005C2AAC"/>
    <w:rsid w:val="005C2DA7"/>
    <w:rsid w:val="005C34E7"/>
    <w:rsid w:val="005C433B"/>
    <w:rsid w:val="005C4F09"/>
    <w:rsid w:val="005C5419"/>
    <w:rsid w:val="005C6ABD"/>
    <w:rsid w:val="005C6B8D"/>
    <w:rsid w:val="005C765F"/>
    <w:rsid w:val="005D161D"/>
    <w:rsid w:val="005D1EB8"/>
    <w:rsid w:val="005D3597"/>
    <w:rsid w:val="005D381F"/>
    <w:rsid w:val="005D5AE9"/>
    <w:rsid w:val="005D5B7E"/>
    <w:rsid w:val="005D6A9B"/>
    <w:rsid w:val="005D7F58"/>
    <w:rsid w:val="005E0AFB"/>
    <w:rsid w:val="005E1E01"/>
    <w:rsid w:val="005E26E0"/>
    <w:rsid w:val="005E2BA3"/>
    <w:rsid w:val="005E510E"/>
    <w:rsid w:val="005E7CA2"/>
    <w:rsid w:val="005F08F0"/>
    <w:rsid w:val="005F236F"/>
    <w:rsid w:val="005F2990"/>
    <w:rsid w:val="005F522D"/>
    <w:rsid w:val="005F550A"/>
    <w:rsid w:val="005F6374"/>
    <w:rsid w:val="005F6CF7"/>
    <w:rsid w:val="00601AC9"/>
    <w:rsid w:val="006059F8"/>
    <w:rsid w:val="00607DFD"/>
    <w:rsid w:val="00611524"/>
    <w:rsid w:val="006122A7"/>
    <w:rsid w:val="00612519"/>
    <w:rsid w:val="0061499A"/>
    <w:rsid w:val="00614B8C"/>
    <w:rsid w:val="00615023"/>
    <w:rsid w:val="00615439"/>
    <w:rsid w:val="00617137"/>
    <w:rsid w:val="00621AEA"/>
    <w:rsid w:val="00624B7D"/>
    <w:rsid w:val="0062604B"/>
    <w:rsid w:val="00627B99"/>
    <w:rsid w:val="00627E32"/>
    <w:rsid w:val="00631309"/>
    <w:rsid w:val="0063156A"/>
    <w:rsid w:val="00632344"/>
    <w:rsid w:val="006323DE"/>
    <w:rsid w:val="0063264F"/>
    <w:rsid w:val="00633161"/>
    <w:rsid w:val="00633895"/>
    <w:rsid w:val="00633A1F"/>
    <w:rsid w:val="00633B3D"/>
    <w:rsid w:val="00635CAF"/>
    <w:rsid w:val="00636155"/>
    <w:rsid w:val="00636243"/>
    <w:rsid w:val="00641899"/>
    <w:rsid w:val="006429FD"/>
    <w:rsid w:val="00642AC5"/>
    <w:rsid w:val="006437B0"/>
    <w:rsid w:val="00643834"/>
    <w:rsid w:val="00644ADF"/>
    <w:rsid w:val="00645886"/>
    <w:rsid w:val="00645A3A"/>
    <w:rsid w:val="00646426"/>
    <w:rsid w:val="006472B2"/>
    <w:rsid w:val="00647A9A"/>
    <w:rsid w:val="00647FF9"/>
    <w:rsid w:val="00650A83"/>
    <w:rsid w:val="00651374"/>
    <w:rsid w:val="00651489"/>
    <w:rsid w:val="00652514"/>
    <w:rsid w:val="00652B07"/>
    <w:rsid w:val="00654FDB"/>
    <w:rsid w:val="00655008"/>
    <w:rsid w:val="006571A1"/>
    <w:rsid w:val="0066020A"/>
    <w:rsid w:val="006621AE"/>
    <w:rsid w:val="00663DD4"/>
    <w:rsid w:val="006642A8"/>
    <w:rsid w:val="0066437A"/>
    <w:rsid w:val="00665091"/>
    <w:rsid w:val="00666168"/>
    <w:rsid w:val="00670337"/>
    <w:rsid w:val="006712AE"/>
    <w:rsid w:val="006713D7"/>
    <w:rsid w:val="00672384"/>
    <w:rsid w:val="00672AD2"/>
    <w:rsid w:val="00673261"/>
    <w:rsid w:val="00674948"/>
    <w:rsid w:val="0068034D"/>
    <w:rsid w:val="00680488"/>
    <w:rsid w:val="00680A7B"/>
    <w:rsid w:val="00681151"/>
    <w:rsid w:val="0068219A"/>
    <w:rsid w:val="00683E9A"/>
    <w:rsid w:val="00684563"/>
    <w:rsid w:val="00684DCE"/>
    <w:rsid w:val="00685171"/>
    <w:rsid w:val="00685290"/>
    <w:rsid w:val="006855AF"/>
    <w:rsid w:val="0068638C"/>
    <w:rsid w:val="006878B3"/>
    <w:rsid w:val="00687A47"/>
    <w:rsid w:val="00690334"/>
    <w:rsid w:val="00691492"/>
    <w:rsid w:val="00691BC2"/>
    <w:rsid w:val="00692926"/>
    <w:rsid w:val="00694CB6"/>
    <w:rsid w:val="006951D3"/>
    <w:rsid w:val="00696AE0"/>
    <w:rsid w:val="00696B63"/>
    <w:rsid w:val="00696C82"/>
    <w:rsid w:val="006A0BBE"/>
    <w:rsid w:val="006A0D9C"/>
    <w:rsid w:val="006A113D"/>
    <w:rsid w:val="006A12CE"/>
    <w:rsid w:val="006A1918"/>
    <w:rsid w:val="006A2CE3"/>
    <w:rsid w:val="006A3132"/>
    <w:rsid w:val="006A313B"/>
    <w:rsid w:val="006A4BD8"/>
    <w:rsid w:val="006A533C"/>
    <w:rsid w:val="006A5BF1"/>
    <w:rsid w:val="006A6624"/>
    <w:rsid w:val="006A6EC4"/>
    <w:rsid w:val="006B19F0"/>
    <w:rsid w:val="006B3FA6"/>
    <w:rsid w:val="006B407C"/>
    <w:rsid w:val="006B53A4"/>
    <w:rsid w:val="006B5868"/>
    <w:rsid w:val="006B5A8D"/>
    <w:rsid w:val="006B5C32"/>
    <w:rsid w:val="006B5D14"/>
    <w:rsid w:val="006B602A"/>
    <w:rsid w:val="006C12C9"/>
    <w:rsid w:val="006C24BE"/>
    <w:rsid w:val="006C27AD"/>
    <w:rsid w:val="006C2E7E"/>
    <w:rsid w:val="006C38C6"/>
    <w:rsid w:val="006C3D45"/>
    <w:rsid w:val="006C4C0B"/>
    <w:rsid w:val="006C4D8F"/>
    <w:rsid w:val="006C5AAC"/>
    <w:rsid w:val="006C5BEE"/>
    <w:rsid w:val="006C602D"/>
    <w:rsid w:val="006D0892"/>
    <w:rsid w:val="006D1BBF"/>
    <w:rsid w:val="006D20EB"/>
    <w:rsid w:val="006D21E7"/>
    <w:rsid w:val="006D26D5"/>
    <w:rsid w:val="006D4409"/>
    <w:rsid w:val="006D4D9D"/>
    <w:rsid w:val="006D7F54"/>
    <w:rsid w:val="006E19D7"/>
    <w:rsid w:val="006E1A4B"/>
    <w:rsid w:val="006E2F6A"/>
    <w:rsid w:val="006E6940"/>
    <w:rsid w:val="006E7FB6"/>
    <w:rsid w:val="006F03FE"/>
    <w:rsid w:val="006F2503"/>
    <w:rsid w:val="006F2E96"/>
    <w:rsid w:val="006F501D"/>
    <w:rsid w:val="006F65C6"/>
    <w:rsid w:val="006F67A8"/>
    <w:rsid w:val="006F69CA"/>
    <w:rsid w:val="006F6B75"/>
    <w:rsid w:val="006F71A3"/>
    <w:rsid w:val="006F7D3A"/>
    <w:rsid w:val="0070306D"/>
    <w:rsid w:val="00703080"/>
    <w:rsid w:val="00703BF8"/>
    <w:rsid w:val="00703F5E"/>
    <w:rsid w:val="00703FEB"/>
    <w:rsid w:val="00710A39"/>
    <w:rsid w:val="0071125F"/>
    <w:rsid w:val="00712814"/>
    <w:rsid w:val="00713710"/>
    <w:rsid w:val="00713931"/>
    <w:rsid w:val="0071485B"/>
    <w:rsid w:val="0072044B"/>
    <w:rsid w:val="0072058B"/>
    <w:rsid w:val="007217EB"/>
    <w:rsid w:val="00722A62"/>
    <w:rsid w:val="00723BF6"/>
    <w:rsid w:val="00725E3B"/>
    <w:rsid w:val="00725F8B"/>
    <w:rsid w:val="00726452"/>
    <w:rsid w:val="00730B73"/>
    <w:rsid w:val="007312CC"/>
    <w:rsid w:val="00731458"/>
    <w:rsid w:val="0073167B"/>
    <w:rsid w:val="00733022"/>
    <w:rsid w:val="007360DE"/>
    <w:rsid w:val="007362D3"/>
    <w:rsid w:val="007366D0"/>
    <w:rsid w:val="00736E16"/>
    <w:rsid w:val="00741E3E"/>
    <w:rsid w:val="0074377C"/>
    <w:rsid w:val="00743F52"/>
    <w:rsid w:val="0074402A"/>
    <w:rsid w:val="00744187"/>
    <w:rsid w:val="0074579A"/>
    <w:rsid w:val="00745BCC"/>
    <w:rsid w:val="00746126"/>
    <w:rsid w:val="00746AD3"/>
    <w:rsid w:val="00747EA6"/>
    <w:rsid w:val="00752FC0"/>
    <w:rsid w:val="0075306E"/>
    <w:rsid w:val="00753EED"/>
    <w:rsid w:val="00753F65"/>
    <w:rsid w:val="00754707"/>
    <w:rsid w:val="00755F6A"/>
    <w:rsid w:val="00760800"/>
    <w:rsid w:val="00760BF4"/>
    <w:rsid w:val="0076294F"/>
    <w:rsid w:val="0076392E"/>
    <w:rsid w:val="007642EB"/>
    <w:rsid w:val="0076481A"/>
    <w:rsid w:val="00764F31"/>
    <w:rsid w:val="0076534B"/>
    <w:rsid w:val="00766A21"/>
    <w:rsid w:val="00767EC7"/>
    <w:rsid w:val="007712E6"/>
    <w:rsid w:val="0077224D"/>
    <w:rsid w:val="007732C2"/>
    <w:rsid w:val="00773EDF"/>
    <w:rsid w:val="00774551"/>
    <w:rsid w:val="00774735"/>
    <w:rsid w:val="00775484"/>
    <w:rsid w:val="00775939"/>
    <w:rsid w:val="00776366"/>
    <w:rsid w:val="0077764F"/>
    <w:rsid w:val="00777D6D"/>
    <w:rsid w:val="00780FC9"/>
    <w:rsid w:val="00784110"/>
    <w:rsid w:val="00784935"/>
    <w:rsid w:val="0078531F"/>
    <w:rsid w:val="007864E5"/>
    <w:rsid w:val="00787390"/>
    <w:rsid w:val="007901AC"/>
    <w:rsid w:val="007919F6"/>
    <w:rsid w:val="00792046"/>
    <w:rsid w:val="007925AC"/>
    <w:rsid w:val="00793382"/>
    <w:rsid w:val="00793705"/>
    <w:rsid w:val="00794A6D"/>
    <w:rsid w:val="0079547B"/>
    <w:rsid w:val="007971F9"/>
    <w:rsid w:val="00797D74"/>
    <w:rsid w:val="007A045A"/>
    <w:rsid w:val="007A08B5"/>
    <w:rsid w:val="007A155F"/>
    <w:rsid w:val="007A5E74"/>
    <w:rsid w:val="007A70CC"/>
    <w:rsid w:val="007B2862"/>
    <w:rsid w:val="007B359A"/>
    <w:rsid w:val="007B5715"/>
    <w:rsid w:val="007B575D"/>
    <w:rsid w:val="007B5D93"/>
    <w:rsid w:val="007C07C7"/>
    <w:rsid w:val="007C0B1B"/>
    <w:rsid w:val="007C28D9"/>
    <w:rsid w:val="007C3208"/>
    <w:rsid w:val="007C4C12"/>
    <w:rsid w:val="007C54AB"/>
    <w:rsid w:val="007C6496"/>
    <w:rsid w:val="007C6664"/>
    <w:rsid w:val="007C75AC"/>
    <w:rsid w:val="007D0122"/>
    <w:rsid w:val="007D13C6"/>
    <w:rsid w:val="007D1A9A"/>
    <w:rsid w:val="007D2ADE"/>
    <w:rsid w:val="007D300A"/>
    <w:rsid w:val="007D3B2F"/>
    <w:rsid w:val="007D4784"/>
    <w:rsid w:val="007D5201"/>
    <w:rsid w:val="007D5FFC"/>
    <w:rsid w:val="007D64BA"/>
    <w:rsid w:val="007D6B84"/>
    <w:rsid w:val="007D7299"/>
    <w:rsid w:val="007E290A"/>
    <w:rsid w:val="007E3B37"/>
    <w:rsid w:val="007E4557"/>
    <w:rsid w:val="007E47AB"/>
    <w:rsid w:val="007E621C"/>
    <w:rsid w:val="007E7775"/>
    <w:rsid w:val="007F092C"/>
    <w:rsid w:val="007F1AE7"/>
    <w:rsid w:val="007F25A3"/>
    <w:rsid w:val="007F28B4"/>
    <w:rsid w:val="007F5635"/>
    <w:rsid w:val="007F6319"/>
    <w:rsid w:val="007F6AF0"/>
    <w:rsid w:val="007F6D2D"/>
    <w:rsid w:val="007F7720"/>
    <w:rsid w:val="007F7AF9"/>
    <w:rsid w:val="007F7DFC"/>
    <w:rsid w:val="008000F8"/>
    <w:rsid w:val="00800673"/>
    <w:rsid w:val="008009D7"/>
    <w:rsid w:val="00801877"/>
    <w:rsid w:val="0080202B"/>
    <w:rsid w:val="0080242A"/>
    <w:rsid w:val="00802529"/>
    <w:rsid w:val="008029E3"/>
    <w:rsid w:val="00803205"/>
    <w:rsid w:val="00804C1D"/>
    <w:rsid w:val="00805016"/>
    <w:rsid w:val="00806DC2"/>
    <w:rsid w:val="008105EF"/>
    <w:rsid w:val="00811C34"/>
    <w:rsid w:val="00813217"/>
    <w:rsid w:val="008132ED"/>
    <w:rsid w:val="008146B9"/>
    <w:rsid w:val="008170DB"/>
    <w:rsid w:val="0082137A"/>
    <w:rsid w:val="00821570"/>
    <w:rsid w:val="00821EF4"/>
    <w:rsid w:val="008224F8"/>
    <w:rsid w:val="008236E5"/>
    <w:rsid w:val="00823E0E"/>
    <w:rsid w:val="0082552A"/>
    <w:rsid w:val="00826228"/>
    <w:rsid w:val="00826682"/>
    <w:rsid w:val="0082761D"/>
    <w:rsid w:val="00827F8B"/>
    <w:rsid w:val="00830EF2"/>
    <w:rsid w:val="008315AE"/>
    <w:rsid w:val="008315C3"/>
    <w:rsid w:val="00831723"/>
    <w:rsid w:val="008332EE"/>
    <w:rsid w:val="00833745"/>
    <w:rsid w:val="0083435B"/>
    <w:rsid w:val="0083497E"/>
    <w:rsid w:val="008356CE"/>
    <w:rsid w:val="00835FDB"/>
    <w:rsid w:val="008364A8"/>
    <w:rsid w:val="00836BCC"/>
    <w:rsid w:val="00837632"/>
    <w:rsid w:val="008378C9"/>
    <w:rsid w:val="00840406"/>
    <w:rsid w:val="00842452"/>
    <w:rsid w:val="00843095"/>
    <w:rsid w:val="0084364F"/>
    <w:rsid w:val="008450E1"/>
    <w:rsid w:val="00846A15"/>
    <w:rsid w:val="00847A70"/>
    <w:rsid w:val="008533B6"/>
    <w:rsid w:val="00853405"/>
    <w:rsid w:val="00853700"/>
    <w:rsid w:val="00853AF5"/>
    <w:rsid w:val="00854DDE"/>
    <w:rsid w:val="008557FC"/>
    <w:rsid w:val="0085615E"/>
    <w:rsid w:val="00856414"/>
    <w:rsid w:val="00857169"/>
    <w:rsid w:val="008600FD"/>
    <w:rsid w:val="008625DD"/>
    <w:rsid w:val="008629FE"/>
    <w:rsid w:val="008637CD"/>
    <w:rsid w:val="0086466E"/>
    <w:rsid w:val="00864EEA"/>
    <w:rsid w:val="00867F4E"/>
    <w:rsid w:val="0087071F"/>
    <w:rsid w:val="008710B7"/>
    <w:rsid w:val="008718A5"/>
    <w:rsid w:val="00871C09"/>
    <w:rsid w:val="00871D23"/>
    <w:rsid w:val="008728BD"/>
    <w:rsid w:val="008728CF"/>
    <w:rsid w:val="00872A77"/>
    <w:rsid w:val="008730BB"/>
    <w:rsid w:val="008757A8"/>
    <w:rsid w:val="00876BD7"/>
    <w:rsid w:val="008823AC"/>
    <w:rsid w:val="00884336"/>
    <w:rsid w:val="008848B1"/>
    <w:rsid w:val="00884FE4"/>
    <w:rsid w:val="00886099"/>
    <w:rsid w:val="00886F6B"/>
    <w:rsid w:val="00890A4C"/>
    <w:rsid w:val="008918C6"/>
    <w:rsid w:val="00892805"/>
    <w:rsid w:val="0089317B"/>
    <w:rsid w:val="008977A1"/>
    <w:rsid w:val="008979D3"/>
    <w:rsid w:val="008A308F"/>
    <w:rsid w:val="008A3166"/>
    <w:rsid w:val="008A3802"/>
    <w:rsid w:val="008A3FAA"/>
    <w:rsid w:val="008A51F9"/>
    <w:rsid w:val="008A5B80"/>
    <w:rsid w:val="008A696C"/>
    <w:rsid w:val="008B0DFE"/>
    <w:rsid w:val="008B18D5"/>
    <w:rsid w:val="008B1A7A"/>
    <w:rsid w:val="008B2F1F"/>
    <w:rsid w:val="008B4025"/>
    <w:rsid w:val="008B4D93"/>
    <w:rsid w:val="008B4E20"/>
    <w:rsid w:val="008B661B"/>
    <w:rsid w:val="008B6FE3"/>
    <w:rsid w:val="008B73E8"/>
    <w:rsid w:val="008B7837"/>
    <w:rsid w:val="008B7ADA"/>
    <w:rsid w:val="008C05A3"/>
    <w:rsid w:val="008C0DE4"/>
    <w:rsid w:val="008C141C"/>
    <w:rsid w:val="008C2257"/>
    <w:rsid w:val="008C55A8"/>
    <w:rsid w:val="008D0B0C"/>
    <w:rsid w:val="008D24FF"/>
    <w:rsid w:val="008D46BC"/>
    <w:rsid w:val="008D4B8F"/>
    <w:rsid w:val="008D5C19"/>
    <w:rsid w:val="008E12CA"/>
    <w:rsid w:val="008E1504"/>
    <w:rsid w:val="008E30E6"/>
    <w:rsid w:val="008E5267"/>
    <w:rsid w:val="008E58F3"/>
    <w:rsid w:val="008F10ED"/>
    <w:rsid w:val="008F1AC3"/>
    <w:rsid w:val="008F2253"/>
    <w:rsid w:val="008F30D6"/>
    <w:rsid w:val="008F5710"/>
    <w:rsid w:val="008F5F6E"/>
    <w:rsid w:val="00900D9D"/>
    <w:rsid w:val="00901466"/>
    <w:rsid w:val="009018F6"/>
    <w:rsid w:val="009025D3"/>
    <w:rsid w:val="00904DB9"/>
    <w:rsid w:val="009052D0"/>
    <w:rsid w:val="009053B6"/>
    <w:rsid w:val="009055F9"/>
    <w:rsid w:val="009058D6"/>
    <w:rsid w:val="00905F49"/>
    <w:rsid w:val="00905F71"/>
    <w:rsid w:val="00906190"/>
    <w:rsid w:val="00906245"/>
    <w:rsid w:val="00907A42"/>
    <w:rsid w:val="009103F1"/>
    <w:rsid w:val="009129D5"/>
    <w:rsid w:val="009130A4"/>
    <w:rsid w:val="00913C34"/>
    <w:rsid w:val="00913D5E"/>
    <w:rsid w:val="00914B44"/>
    <w:rsid w:val="00915322"/>
    <w:rsid w:val="009154C5"/>
    <w:rsid w:val="0091587B"/>
    <w:rsid w:val="0092046B"/>
    <w:rsid w:val="009234D4"/>
    <w:rsid w:val="00926D15"/>
    <w:rsid w:val="009271BE"/>
    <w:rsid w:val="009339CB"/>
    <w:rsid w:val="0093496F"/>
    <w:rsid w:val="009377D5"/>
    <w:rsid w:val="00941E1F"/>
    <w:rsid w:val="009446F8"/>
    <w:rsid w:val="00944709"/>
    <w:rsid w:val="00945126"/>
    <w:rsid w:val="00946A25"/>
    <w:rsid w:val="0095100C"/>
    <w:rsid w:val="00951E3A"/>
    <w:rsid w:val="009521F3"/>
    <w:rsid w:val="009528F2"/>
    <w:rsid w:val="00953FA1"/>
    <w:rsid w:val="0095454C"/>
    <w:rsid w:val="0095464E"/>
    <w:rsid w:val="009554E5"/>
    <w:rsid w:val="0095607B"/>
    <w:rsid w:val="0095774D"/>
    <w:rsid w:val="00960E1F"/>
    <w:rsid w:val="00961307"/>
    <w:rsid w:val="0096141B"/>
    <w:rsid w:val="00961716"/>
    <w:rsid w:val="009640E9"/>
    <w:rsid w:val="009649D0"/>
    <w:rsid w:val="009652F3"/>
    <w:rsid w:val="00965307"/>
    <w:rsid w:val="00965EC6"/>
    <w:rsid w:val="009669D9"/>
    <w:rsid w:val="00971AC6"/>
    <w:rsid w:val="0097343C"/>
    <w:rsid w:val="00974324"/>
    <w:rsid w:val="00974743"/>
    <w:rsid w:val="0097624B"/>
    <w:rsid w:val="00976641"/>
    <w:rsid w:val="00980195"/>
    <w:rsid w:val="00980557"/>
    <w:rsid w:val="00984AAC"/>
    <w:rsid w:val="00984B47"/>
    <w:rsid w:val="00984B7C"/>
    <w:rsid w:val="00985C20"/>
    <w:rsid w:val="00986499"/>
    <w:rsid w:val="00986E35"/>
    <w:rsid w:val="0099098E"/>
    <w:rsid w:val="00990AA5"/>
    <w:rsid w:val="009934F5"/>
    <w:rsid w:val="00993863"/>
    <w:rsid w:val="00994139"/>
    <w:rsid w:val="009949FD"/>
    <w:rsid w:val="00995692"/>
    <w:rsid w:val="00996E8D"/>
    <w:rsid w:val="00997860"/>
    <w:rsid w:val="00997B86"/>
    <w:rsid w:val="009A0A87"/>
    <w:rsid w:val="009A2F95"/>
    <w:rsid w:val="009A3AD0"/>
    <w:rsid w:val="009A6850"/>
    <w:rsid w:val="009A6CEE"/>
    <w:rsid w:val="009A6D4F"/>
    <w:rsid w:val="009B0E85"/>
    <w:rsid w:val="009B0FAA"/>
    <w:rsid w:val="009B152C"/>
    <w:rsid w:val="009B1A33"/>
    <w:rsid w:val="009B1B40"/>
    <w:rsid w:val="009B4826"/>
    <w:rsid w:val="009B54CE"/>
    <w:rsid w:val="009B585C"/>
    <w:rsid w:val="009B64E2"/>
    <w:rsid w:val="009B7B86"/>
    <w:rsid w:val="009C0784"/>
    <w:rsid w:val="009C09E9"/>
    <w:rsid w:val="009C1357"/>
    <w:rsid w:val="009C1B03"/>
    <w:rsid w:val="009C267B"/>
    <w:rsid w:val="009C2EC4"/>
    <w:rsid w:val="009C70B5"/>
    <w:rsid w:val="009C74F5"/>
    <w:rsid w:val="009C7703"/>
    <w:rsid w:val="009C7F24"/>
    <w:rsid w:val="009D0453"/>
    <w:rsid w:val="009D06A2"/>
    <w:rsid w:val="009D1F63"/>
    <w:rsid w:val="009D2ACD"/>
    <w:rsid w:val="009D3572"/>
    <w:rsid w:val="009D6310"/>
    <w:rsid w:val="009D72CD"/>
    <w:rsid w:val="009D74AD"/>
    <w:rsid w:val="009D7E6F"/>
    <w:rsid w:val="009E2BA5"/>
    <w:rsid w:val="009E3038"/>
    <w:rsid w:val="009E46CA"/>
    <w:rsid w:val="009E59BD"/>
    <w:rsid w:val="009E7BDD"/>
    <w:rsid w:val="009F0139"/>
    <w:rsid w:val="009F03D9"/>
    <w:rsid w:val="009F0CD9"/>
    <w:rsid w:val="009F380B"/>
    <w:rsid w:val="009F5E72"/>
    <w:rsid w:val="009F661D"/>
    <w:rsid w:val="009F7033"/>
    <w:rsid w:val="009F79A4"/>
    <w:rsid w:val="00A00074"/>
    <w:rsid w:val="00A01173"/>
    <w:rsid w:val="00A0122D"/>
    <w:rsid w:val="00A024B5"/>
    <w:rsid w:val="00A02B96"/>
    <w:rsid w:val="00A03905"/>
    <w:rsid w:val="00A03ED9"/>
    <w:rsid w:val="00A04905"/>
    <w:rsid w:val="00A05137"/>
    <w:rsid w:val="00A05DBD"/>
    <w:rsid w:val="00A07064"/>
    <w:rsid w:val="00A103BC"/>
    <w:rsid w:val="00A10F7E"/>
    <w:rsid w:val="00A1116E"/>
    <w:rsid w:val="00A117EA"/>
    <w:rsid w:val="00A14901"/>
    <w:rsid w:val="00A15425"/>
    <w:rsid w:val="00A16B2E"/>
    <w:rsid w:val="00A173C0"/>
    <w:rsid w:val="00A17ED6"/>
    <w:rsid w:val="00A21A88"/>
    <w:rsid w:val="00A226DE"/>
    <w:rsid w:val="00A22F30"/>
    <w:rsid w:val="00A233AB"/>
    <w:rsid w:val="00A260FC"/>
    <w:rsid w:val="00A2639C"/>
    <w:rsid w:val="00A26C9A"/>
    <w:rsid w:val="00A2723C"/>
    <w:rsid w:val="00A30064"/>
    <w:rsid w:val="00A30947"/>
    <w:rsid w:val="00A31B03"/>
    <w:rsid w:val="00A32225"/>
    <w:rsid w:val="00A3387F"/>
    <w:rsid w:val="00A35FD8"/>
    <w:rsid w:val="00A37D83"/>
    <w:rsid w:val="00A41174"/>
    <w:rsid w:val="00A42DE8"/>
    <w:rsid w:val="00A43A34"/>
    <w:rsid w:val="00A4554A"/>
    <w:rsid w:val="00A45852"/>
    <w:rsid w:val="00A45F60"/>
    <w:rsid w:val="00A464C7"/>
    <w:rsid w:val="00A46AD2"/>
    <w:rsid w:val="00A46F8B"/>
    <w:rsid w:val="00A50767"/>
    <w:rsid w:val="00A50ECE"/>
    <w:rsid w:val="00A50F08"/>
    <w:rsid w:val="00A513D8"/>
    <w:rsid w:val="00A51A10"/>
    <w:rsid w:val="00A51F4A"/>
    <w:rsid w:val="00A52C93"/>
    <w:rsid w:val="00A5499F"/>
    <w:rsid w:val="00A54A65"/>
    <w:rsid w:val="00A55C69"/>
    <w:rsid w:val="00A60E41"/>
    <w:rsid w:val="00A60FC3"/>
    <w:rsid w:val="00A639B3"/>
    <w:rsid w:val="00A63CB2"/>
    <w:rsid w:val="00A6403C"/>
    <w:rsid w:val="00A6512B"/>
    <w:rsid w:val="00A65204"/>
    <w:rsid w:val="00A65366"/>
    <w:rsid w:val="00A66AD6"/>
    <w:rsid w:val="00A67ACF"/>
    <w:rsid w:val="00A67BCA"/>
    <w:rsid w:val="00A712E7"/>
    <w:rsid w:val="00A7151F"/>
    <w:rsid w:val="00A715BB"/>
    <w:rsid w:val="00A72C77"/>
    <w:rsid w:val="00A73498"/>
    <w:rsid w:val="00A73A6C"/>
    <w:rsid w:val="00A73B5A"/>
    <w:rsid w:val="00A74A14"/>
    <w:rsid w:val="00A75262"/>
    <w:rsid w:val="00A75A2F"/>
    <w:rsid w:val="00A765F6"/>
    <w:rsid w:val="00A77BB9"/>
    <w:rsid w:val="00A8032B"/>
    <w:rsid w:val="00A8070B"/>
    <w:rsid w:val="00A841C3"/>
    <w:rsid w:val="00A84D9B"/>
    <w:rsid w:val="00A85348"/>
    <w:rsid w:val="00A85B28"/>
    <w:rsid w:val="00A85DF2"/>
    <w:rsid w:val="00A861F7"/>
    <w:rsid w:val="00A91471"/>
    <w:rsid w:val="00A91DD9"/>
    <w:rsid w:val="00A92A7F"/>
    <w:rsid w:val="00A94DC7"/>
    <w:rsid w:val="00A95969"/>
    <w:rsid w:val="00A9745C"/>
    <w:rsid w:val="00AA02F0"/>
    <w:rsid w:val="00AA1AE1"/>
    <w:rsid w:val="00AA5753"/>
    <w:rsid w:val="00AA71F1"/>
    <w:rsid w:val="00AB03AE"/>
    <w:rsid w:val="00AB09A3"/>
    <w:rsid w:val="00AB1C6B"/>
    <w:rsid w:val="00AB4477"/>
    <w:rsid w:val="00AB46AC"/>
    <w:rsid w:val="00AB48B6"/>
    <w:rsid w:val="00AB5560"/>
    <w:rsid w:val="00AB5F5A"/>
    <w:rsid w:val="00AB7190"/>
    <w:rsid w:val="00AB7CFF"/>
    <w:rsid w:val="00AB7E9A"/>
    <w:rsid w:val="00AC5D15"/>
    <w:rsid w:val="00AD02EE"/>
    <w:rsid w:val="00AD0F53"/>
    <w:rsid w:val="00AD155A"/>
    <w:rsid w:val="00AD436E"/>
    <w:rsid w:val="00AD5F28"/>
    <w:rsid w:val="00AD6328"/>
    <w:rsid w:val="00AD70B1"/>
    <w:rsid w:val="00AD76AE"/>
    <w:rsid w:val="00AD7C2F"/>
    <w:rsid w:val="00AE0921"/>
    <w:rsid w:val="00AE10B0"/>
    <w:rsid w:val="00AE11B5"/>
    <w:rsid w:val="00AE1DC1"/>
    <w:rsid w:val="00AE2275"/>
    <w:rsid w:val="00AE255C"/>
    <w:rsid w:val="00AE7418"/>
    <w:rsid w:val="00AF1960"/>
    <w:rsid w:val="00AF1C4B"/>
    <w:rsid w:val="00AF2025"/>
    <w:rsid w:val="00AF2C9D"/>
    <w:rsid w:val="00AF3594"/>
    <w:rsid w:val="00AF360A"/>
    <w:rsid w:val="00AF4E7A"/>
    <w:rsid w:val="00AF5183"/>
    <w:rsid w:val="00AF520F"/>
    <w:rsid w:val="00AF5415"/>
    <w:rsid w:val="00AF553D"/>
    <w:rsid w:val="00AF78C9"/>
    <w:rsid w:val="00B02363"/>
    <w:rsid w:val="00B036EF"/>
    <w:rsid w:val="00B036F0"/>
    <w:rsid w:val="00B03AF6"/>
    <w:rsid w:val="00B05F40"/>
    <w:rsid w:val="00B0687D"/>
    <w:rsid w:val="00B069EB"/>
    <w:rsid w:val="00B076FA"/>
    <w:rsid w:val="00B103D1"/>
    <w:rsid w:val="00B10A77"/>
    <w:rsid w:val="00B12B7F"/>
    <w:rsid w:val="00B134E9"/>
    <w:rsid w:val="00B153B1"/>
    <w:rsid w:val="00B17782"/>
    <w:rsid w:val="00B21AF0"/>
    <w:rsid w:val="00B236C6"/>
    <w:rsid w:val="00B24EBA"/>
    <w:rsid w:val="00B2550B"/>
    <w:rsid w:val="00B25B13"/>
    <w:rsid w:val="00B26778"/>
    <w:rsid w:val="00B268D1"/>
    <w:rsid w:val="00B2695E"/>
    <w:rsid w:val="00B26994"/>
    <w:rsid w:val="00B2722B"/>
    <w:rsid w:val="00B27578"/>
    <w:rsid w:val="00B27C21"/>
    <w:rsid w:val="00B303FE"/>
    <w:rsid w:val="00B30878"/>
    <w:rsid w:val="00B30BBE"/>
    <w:rsid w:val="00B3170F"/>
    <w:rsid w:val="00B3179D"/>
    <w:rsid w:val="00B32307"/>
    <w:rsid w:val="00B32EDC"/>
    <w:rsid w:val="00B33513"/>
    <w:rsid w:val="00B36302"/>
    <w:rsid w:val="00B40994"/>
    <w:rsid w:val="00B40D78"/>
    <w:rsid w:val="00B414D8"/>
    <w:rsid w:val="00B423D9"/>
    <w:rsid w:val="00B42B99"/>
    <w:rsid w:val="00B46BE3"/>
    <w:rsid w:val="00B47211"/>
    <w:rsid w:val="00B501EF"/>
    <w:rsid w:val="00B50519"/>
    <w:rsid w:val="00B52188"/>
    <w:rsid w:val="00B535B5"/>
    <w:rsid w:val="00B54855"/>
    <w:rsid w:val="00B54FAD"/>
    <w:rsid w:val="00B611DD"/>
    <w:rsid w:val="00B61DF7"/>
    <w:rsid w:val="00B628EE"/>
    <w:rsid w:val="00B64954"/>
    <w:rsid w:val="00B667B7"/>
    <w:rsid w:val="00B672F8"/>
    <w:rsid w:val="00B67ACB"/>
    <w:rsid w:val="00B67DD7"/>
    <w:rsid w:val="00B70109"/>
    <w:rsid w:val="00B72DC2"/>
    <w:rsid w:val="00B752A2"/>
    <w:rsid w:val="00B75358"/>
    <w:rsid w:val="00B75A06"/>
    <w:rsid w:val="00B77E42"/>
    <w:rsid w:val="00B809C3"/>
    <w:rsid w:val="00B830AD"/>
    <w:rsid w:val="00B848C6"/>
    <w:rsid w:val="00B84E1F"/>
    <w:rsid w:val="00B85572"/>
    <w:rsid w:val="00B8559B"/>
    <w:rsid w:val="00B857C0"/>
    <w:rsid w:val="00B86433"/>
    <w:rsid w:val="00B867CE"/>
    <w:rsid w:val="00B87601"/>
    <w:rsid w:val="00B87B11"/>
    <w:rsid w:val="00B90E8A"/>
    <w:rsid w:val="00B917E7"/>
    <w:rsid w:val="00B918CD"/>
    <w:rsid w:val="00B9296F"/>
    <w:rsid w:val="00B93F18"/>
    <w:rsid w:val="00B961B5"/>
    <w:rsid w:val="00B968D9"/>
    <w:rsid w:val="00B97C27"/>
    <w:rsid w:val="00BA0268"/>
    <w:rsid w:val="00BA4AE6"/>
    <w:rsid w:val="00BA5B19"/>
    <w:rsid w:val="00BA5CF6"/>
    <w:rsid w:val="00BA5D33"/>
    <w:rsid w:val="00BA5F01"/>
    <w:rsid w:val="00BA6195"/>
    <w:rsid w:val="00BA6338"/>
    <w:rsid w:val="00BA6C21"/>
    <w:rsid w:val="00BA779F"/>
    <w:rsid w:val="00BB0E19"/>
    <w:rsid w:val="00BB2537"/>
    <w:rsid w:val="00BB35CC"/>
    <w:rsid w:val="00BB3866"/>
    <w:rsid w:val="00BB4B24"/>
    <w:rsid w:val="00BB4D08"/>
    <w:rsid w:val="00BB51FD"/>
    <w:rsid w:val="00BB54CE"/>
    <w:rsid w:val="00BB54F8"/>
    <w:rsid w:val="00BB619C"/>
    <w:rsid w:val="00BB73EB"/>
    <w:rsid w:val="00BB760F"/>
    <w:rsid w:val="00BB7944"/>
    <w:rsid w:val="00BB7FAF"/>
    <w:rsid w:val="00BC00EB"/>
    <w:rsid w:val="00BC0BD5"/>
    <w:rsid w:val="00BC1174"/>
    <w:rsid w:val="00BC1F1C"/>
    <w:rsid w:val="00BC30BE"/>
    <w:rsid w:val="00BC3861"/>
    <w:rsid w:val="00BC3FA5"/>
    <w:rsid w:val="00BC45A7"/>
    <w:rsid w:val="00BC46A8"/>
    <w:rsid w:val="00BC49D7"/>
    <w:rsid w:val="00BC4F8E"/>
    <w:rsid w:val="00BC568F"/>
    <w:rsid w:val="00BC588C"/>
    <w:rsid w:val="00BC700F"/>
    <w:rsid w:val="00BD108D"/>
    <w:rsid w:val="00BD2DC8"/>
    <w:rsid w:val="00BD4396"/>
    <w:rsid w:val="00BD450F"/>
    <w:rsid w:val="00BD5523"/>
    <w:rsid w:val="00BD6A17"/>
    <w:rsid w:val="00BD72F2"/>
    <w:rsid w:val="00BD79D4"/>
    <w:rsid w:val="00BE0BC2"/>
    <w:rsid w:val="00BE0F2D"/>
    <w:rsid w:val="00BE1831"/>
    <w:rsid w:val="00BE1942"/>
    <w:rsid w:val="00BE1B1C"/>
    <w:rsid w:val="00BE3044"/>
    <w:rsid w:val="00BE32AB"/>
    <w:rsid w:val="00BE4997"/>
    <w:rsid w:val="00BE4D33"/>
    <w:rsid w:val="00BE51B2"/>
    <w:rsid w:val="00BE51EC"/>
    <w:rsid w:val="00BE57AB"/>
    <w:rsid w:val="00BE59E0"/>
    <w:rsid w:val="00BE5A29"/>
    <w:rsid w:val="00BE6201"/>
    <w:rsid w:val="00BE78AD"/>
    <w:rsid w:val="00BF0F62"/>
    <w:rsid w:val="00BF0FD9"/>
    <w:rsid w:val="00BF582D"/>
    <w:rsid w:val="00BF5D26"/>
    <w:rsid w:val="00BF61A4"/>
    <w:rsid w:val="00BF6555"/>
    <w:rsid w:val="00BF69CD"/>
    <w:rsid w:val="00BF7644"/>
    <w:rsid w:val="00C0099F"/>
    <w:rsid w:val="00C0102C"/>
    <w:rsid w:val="00C0143C"/>
    <w:rsid w:val="00C03B00"/>
    <w:rsid w:val="00C05BF4"/>
    <w:rsid w:val="00C06266"/>
    <w:rsid w:val="00C0744B"/>
    <w:rsid w:val="00C12E17"/>
    <w:rsid w:val="00C136AC"/>
    <w:rsid w:val="00C138E3"/>
    <w:rsid w:val="00C14306"/>
    <w:rsid w:val="00C14E8F"/>
    <w:rsid w:val="00C15A80"/>
    <w:rsid w:val="00C16646"/>
    <w:rsid w:val="00C16783"/>
    <w:rsid w:val="00C16C20"/>
    <w:rsid w:val="00C17D50"/>
    <w:rsid w:val="00C17F02"/>
    <w:rsid w:val="00C20ADA"/>
    <w:rsid w:val="00C20D61"/>
    <w:rsid w:val="00C21794"/>
    <w:rsid w:val="00C21948"/>
    <w:rsid w:val="00C21C16"/>
    <w:rsid w:val="00C23468"/>
    <w:rsid w:val="00C23B2F"/>
    <w:rsid w:val="00C23C8E"/>
    <w:rsid w:val="00C240E5"/>
    <w:rsid w:val="00C242C8"/>
    <w:rsid w:val="00C2520A"/>
    <w:rsid w:val="00C32E32"/>
    <w:rsid w:val="00C33626"/>
    <w:rsid w:val="00C33EAD"/>
    <w:rsid w:val="00C343CB"/>
    <w:rsid w:val="00C346BE"/>
    <w:rsid w:val="00C35443"/>
    <w:rsid w:val="00C36016"/>
    <w:rsid w:val="00C36601"/>
    <w:rsid w:val="00C36CC8"/>
    <w:rsid w:val="00C36EC9"/>
    <w:rsid w:val="00C3728C"/>
    <w:rsid w:val="00C379EA"/>
    <w:rsid w:val="00C405F1"/>
    <w:rsid w:val="00C40CFB"/>
    <w:rsid w:val="00C41324"/>
    <w:rsid w:val="00C41B98"/>
    <w:rsid w:val="00C42182"/>
    <w:rsid w:val="00C42C57"/>
    <w:rsid w:val="00C43BFC"/>
    <w:rsid w:val="00C454B0"/>
    <w:rsid w:val="00C4559E"/>
    <w:rsid w:val="00C46C01"/>
    <w:rsid w:val="00C4724F"/>
    <w:rsid w:val="00C47611"/>
    <w:rsid w:val="00C47F0A"/>
    <w:rsid w:val="00C507AA"/>
    <w:rsid w:val="00C50B2E"/>
    <w:rsid w:val="00C50CDC"/>
    <w:rsid w:val="00C510AF"/>
    <w:rsid w:val="00C51A0B"/>
    <w:rsid w:val="00C52F7A"/>
    <w:rsid w:val="00C53690"/>
    <w:rsid w:val="00C53997"/>
    <w:rsid w:val="00C53DA3"/>
    <w:rsid w:val="00C54EF6"/>
    <w:rsid w:val="00C5594A"/>
    <w:rsid w:val="00C56E9E"/>
    <w:rsid w:val="00C62063"/>
    <w:rsid w:val="00C623BA"/>
    <w:rsid w:val="00C65086"/>
    <w:rsid w:val="00C66D56"/>
    <w:rsid w:val="00C67C93"/>
    <w:rsid w:val="00C67E67"/>
    <w:rsid w:val="00C70F3E"/>
    <w:rsid w:val="00C71592"/>
    <w:rsid w:val="00C71A2A"/>
    <w:rsid w:val="00C71E7C"/>
    <w:rsid w:val="00C71F72"/>
    <w:rsid w:val="00C73173"/>
    <w:rsid w:val="00C73D8D"/>
    <w:rsid w:val="00C74C57"/>
    <w:rsid w:val="00C770AD"/>
    <w:rsid w:val="00C807CA"/>
    <w:rsid w:val="00C80A5B"/>
    <w:rsid w:val="00C8348C"/>
    <w:rsid w:val="00C84ADF"/>
    <w:rsid w:val="00C851C5"/>
    <w:rsid w:val="00C852B1"/>
    <w:rsid w:val="00C86291"/>
    <w:rsid w:val="00C86444"/>
    <w:rsid w:val="00C86B53"/>
    <w:rsid w:val="00C901DA"/>
    <w:rsid w:val="00C91912"/>
    <w:rsid w:val="00C91C32"/>
    <w:rsid w:val="00C91C34"/>
    <w:rsid w:val="00C94BDB"/>
    <w:rsid w:val="00C955B9"/>
    <w:rsid w:val="00C95E0F"/>
    <w:rsid w:val="00C95EC8"/>
    <w:rsid w:val="00C96C74"/>
    <w:rsid w:val="00C975E9"/>
    <w:rsid w:val="00CA0C70"/>
    <w:rsid w:val="00CA2735"/>
    <w:rsid w:val="00CA2998"/>
    <w:rsid w:val="00CA42D9"/>
    <w:rsid w:val="00CA6281"/>
    <w:rsid w:val="00CA6E5E"/>
    <w:rsid w:val="00CA7AC2"/>
    <w:rsid w:val="00CA7D84"/>
    <w:rsid w:val="00CB1408"/>
    <w:rsid w:val="00CB28D7"/>
    <w:rsid w:val="00CB3372"/>
    <w:rsid w:val="00CB3F68"/>
    <w:rsid w:val="00CB5637"/>
    <w:rsid w:val="00CB6810"/>
    <w:rsid w:val="00CC02B0"/>
    <w:rsid w:val="00CC08AD"/>
    <w:rsid w:val="00CC177F"/>
    <w:rsid w:val="00CC209D"/>
    <w:rsid w:val="00CC31C5"/>
    <w:rsid w:val="00CC48B5"/>
    <w:rsid w:val="00CC4AAD"/>
    <w:rsid w:val="00CC593C"/>
    <w:rsid w:val="00CC66B6"/>
    <w:rsid w:val="00CC6EC3"/>
    <w:rsid w:val="00CD010D"/>
    <w:rsid w:val="00CD195B"/>
    <w:rsid w:val="00CD4DD7"/>
    <w:rsid w:val="00CD5062"/>
    <w:rsid w:val="00CD5210"/>
    <w:rsid w:val="00CD60A8"/>
    <w:rsid w:val="00CD7136"/>
    <w:rsid w:val="00CD770B"/>
    <w:rsid w:val="00CE0165"/>
    <w:rsid w:val="00CE04FE"/>
    <w:rsid w:val="00CE1DEB"/>
    <w:rsid w:val="00CE2A1B"/>
    <w:rsid w:val="00CE57E6"/>
    <w:rsid w:val="00CE6E6D"/>
    <w:rsid w:val="00CE7CBD"/>
    <w:rsid w:val="00CF067F"/>
    <w:rsid w:val="00CF3A2A"/>
    <w:rsid w:val="00CF40E2"/>
    <w:rsid w:val="00CF4B00"/>
    <w:rsid w:val="00CF5993"/>
    <w:rsid w:val="00CF5E6F"/>
    <w:rsid w:val="00CF6B40"/>
    <w:rsid w:val="00CF6E8F"/>
    <w:rsid w:val="00CF7B5C"/>
    <w:rsid w:val="00D0165E"/>
    <w:rsid w:val="00D02761"/>
    <w:rsid w:val="00D02E08"/>
    <w:rsid w:val="00D034DD"/>
    <w:rsid w:val="00D03641"/>
    <w:rsid w:val="00D037CB"/>
    <w:rsid w:val="00D03DA0"/>
    <w:rsid w:val="00D0469D"/>
    <w:rsid w:val="00D07407"/>
    <w:rsid w:val="00D10786"/>
    <w:rsid w:val="00D1332A"/>
    <w:rsid w:val="00D13BBF"/>
    <w:rsid w:val="00D15FAF"/>
    <w:rsid w:val="00D17615"/>
    <w:rsid w:val="00D22C2F"/>
    <w:rsid w:val="00D231C3"/>
    <w:rsid w:val="00D23E1C"/>
    <w:rsid w:val="00D2495E"/>
    <w:rsid w:val="00D25665"/>
    <w:rsid w:val="00D262F7"/>
    <w:rsid w:val="00D26D81"/>
    <w:rsid w:val="00D26FC4"/>
    <w:rsid w:val="00D3102E"/>
    <w:rsid w:val="00D328D1"/>
    <w:rsid w:val="00D33D88"/>
    <w:rsid w:val="00D3475A"/>
    <w:rsid w:val="00D34B5D"/>
    <w:rsid w:val="00D355B6"/>
    <w:rsid w:val="00D4055F"/>
    <w:rsid w:val="00D406EF"/>
    <w:rsid w:val="00D411D6"/>
    <w:rsid w:val="00D413F5"/>
    <w:rsid w:val="00D41A6A"/>
    <w:rsid w:val="00D43062"/>
    <w:rsid w:val="00D439C4"/>
    <w:rsid w:val="00D44853"/>
    <w:rsid w:val="00D44B7D"/>
    <w:rsid w:val="00D50E3A"/>
    <w:rsid w:val="00D50F5A"/>
    <w:rsid w:val="00D51200"/>
    <w:rsid w:val="00D528ED"/>
    <w:rsid w:val="00D53220"/>
    <w:rsid w:val="00D53400"/>
    <w:rsid w:val="00D53582"/>
    <w:rsid w:val="00D55E86"/>
    <w:rsid w:val="00D60BE1"/>
    <w:rsid w:val="00D612F9"/>
    <w:rsid w:val="00D6193B"/>
    <w:rsid w:val="00D62140"/>
    <w:rsid w:val="00D632F9"/>
    <w:rsid w:val="00D63699"/>
    <w:rsid w:val="00D64546"/>
    <w:rsid w:val="00D65163"/>
    <w:rsid w:val="00D66D93"/>
    <w:rsid w:val="00D66E8B"/>
    <w:rsid w:val="00D677BD"/>
    <w:rsid w:val="00D67D33"/>
    <w:rsid w:val="00D70E62"/>
    <w:rsid w:val="00D70E7F"/>
    <w:rsid w:val="00D750EE"/>
    <w:rsid w:val="00D754A5"/>
    <w:rsid w:val="00D76408"/>
    <w:rsid w:val="00D8050E"/>
    <w:rsid w:val="00D80CAF"/>
    <w:rsid w:val="00D819CD"/>
    <w:rsid w:val="00D82239"/>
    <w:rsid w:val="00D823B3"/>
    <w:rsid w:val="00D83548"/>
    <w:rsid w:val="00D845E7"/>
    <w:rsid w:val="00D84E17"/>
    <w:rsid w:val="00D857D0"/>
    <w:rsid w:val="00D8663A"/>
    <w:rsid w:val="00D87430"/>
    <w:rsid w:val="00D9129D"/>
    <w:rsid w:val="00D91493"/>
    <w:rsid w:val="00D92727"/>
    <w:rsid w:val="00D941D6"/>
    <w:rsid w:val="00D94DDA"/>
    <w:rsid w:val="00DA10C9"/>
    <w:rsid w:val="00DA1F68"/>
    <w:rsid w:val="00DA278C"/>
    <w:rsid w:val="00DA4F3B"/>
    <w:rsid w:val="00DA61AF"/>
    <w:rsid w:val="00DA7410"/>
    <w:rsid w:val="00DA76F4"/>
    <w:rsid w:val="00DA7E4F"/>
    <w:rsid w:val="00DA7FEA"/>
    <w:rsid w:val="00DB0082"/>
    <w:rsid w:val="00DB18E9"/>
    <w:rsid w:val="00DB2AF8"/>
    <w:rsid w:val="00DB3B7A"/>
    <w:rsid w:val="00DB4FE1"/>
    <w:rsid w:val="00DB54E7"/>
    <w:rsid w:val="00DB5860"/>
    <w:rsid w:val="00DB64A2"/>
    <w:rsid w:val="00DB66A8"/>
    <w:rsid w:val="00DB6B98"/>
    <w:rsid w:val="00DB6CCF"/>
    <w:rsid w:val="00DB6F6E"/>
    <w:rsid w:val="00DB719A"/>
    <w:rsid w:val="00DC0038"/>
    <w:rsid w:val="00DC0159"/>
    <w:rsid w:val="00DC186E"/>
    <w:rsid w:val="00DC5B66"/>
    <w:rsid w:val="00DC5FCA"/>
    <w:rsid w:val="00DC6081"/>
    <w:rsid w:val="00DC6159"/>
    <w:rsid w:val="00DC6CBD"/>
    <w:rsid w:val="00DC7695"/>
    <w:rsid w:val="00DC7E32"/>
    <w:rsid w:val="00DD010B"/>
    <w:rsid w:val="00DD0147"/>
    <w:rsid w:val="00DD1544"/>
    <w:rsid w:val="00DD199B"/>
    <w:rsid w:val="00DD1BFA"/>
    <w:rsid w:val="00DD22C4"/>
    <w:rsid w:val="00DD7348"/>
    <w:rsid w:val="00DD776D"/>
    <w:rsid w:val="00DE08F7"/>
    <w:rsid w:val="00DE1F51"/>
    <w:rsid w:val="00DE2CC9"/>
    <w:rsid w:val="00DE3696"/>
    <w:rsid w:val="00DE4303"/>
    <w:rsid w:val="00DE459F"/>
    <w:rsid w:val="00DF08B4"/>
    <w:rsid w:val="00DF0D2B"/>
    <w:rsid w:val="00DF2158"/>
    <w:rsid w:val="00DF26B6"/>
    <w:rsid w:val="00DF2D5B"/>
    <w:rsid w:val="00DF3037"/>
    <w:rsid w:val="00DF36D8"/>
    <w:rsid w:val="00DF3FCC"/>
    <w:rsid w:val="00DF48A5"/>
    <w:rsid w:val="00DF4C2E"/>
    <w:rsid w:val="00DF4CAF"/>
    <w:rsid w:val="00DF55F3"/>
    <w:rsid w:val="00DF5A82"/>
    <w:rsid w:val="00E00CA7"/>
    <w:rsid w:val="00E01AE8"/>
    <w:rsid w:val="00E01E91"/>
    <w:rsid w:val="00E024E6"/>
    <w:rsid w:val="00E02B0B"/>
    <w:rsid w:val="00E03402"/>
    <w:rsid w:val="00E03A00"/>
    <w:rsid w:val="00E06133"/>
    <w:rsid w:val="00E07ED9"/>
    <w:rsid w:val="00E101F0"/>
    <w:rsid w:val="00E10689"/>
    <w:rsid w:val="00E1317C"/>
    <w:rsid w:val="00E13BB5"/>
    <w:rsid w:val="00E14680"/>
    <w:rsid w:val="00E16CC9"/>
    <w:rsid w:val="00E1755F"/>
    <w:rsid w:val="00E17BEE"/>
    <w:rsid w:val="00E21166"/>
    <w:rsid w:val="00E222F7"/>
    <w:rsid w:val="00E22EE4"/>
    <w:rsid w:val="00E27CC5"/>
    <w:rsid w:val="00E27CDC"/>
    <w:rsid w:val="00E27F2E"/>
    <w:rsid w:val="00E30F5D"/>
    <w:rsid w:val="00E31726"/>
    <w:rsid w:val="00E31ACC"/>
    <w:rsid w:val="00E31FBF"/>
    <w:rsid w:val="00E32AE6"/>
    <w:rsid w:val="00E33F07"/>
    <w:rsid w:val="00E34082"/>
    <w:rsid w:val="00E35C1B"/>
    <w:rsid w:val="00E36871"/>
    <w:rsid w:val="00E373AB"/>
    <w:rsid w:val="00E37647"/>
    <w:rsid w:val="00E37886"/>
    <w:rsid w:val="00E40508"/>
    <w:rsid w:val="00E40B00"/>
    <w:rsid w:val="00E40B6B"/>
    <w:rsid w:val="00E43201"/>
    <w:rsid w:val="00E43911"/>
    <w:rsid w:val="00E43D5E"/>
    <w:rsid w:val="00E44B2C"/>
    <w:rsid w:val="00E47F27"/>
    <w:rsid w:val="00E50C2A"/>
    <w:rsid w:val="00E51E95"/>
    <w:rsid w:val="00E51F1A"/>
    <w:rsid w:val="00E53E5B"/>
    <w:rsid w:val="00E5579D"/>
    <w:rsid w:val="00E608E2"/>
    <w:rsid w:val="00E613CA"/>
    <w:rsid w:val="00E61E15"/>
    <w:rsid w:val="00E61EF2"/>
    <w:rsid w:val="00E61FF8"/>
    <w:rsid w:val="00E643FD"/>
    <w:rsid w:val="00E64CB5"/>
    <w:rsid w:val="00E65AB6"/>
    <w:rsid w:val="00E6654F"/>
    <w:rsid w:val="00E67218"/>
    <w:rsid w:val="00E70D14"/>
    <w:rsid w:val="00E7130E"/>
    <w:rsid w:val="00E71461"/>
    <w:rsid w:val="00E724C2"/>
    <w:rsid w:val="00E72B6C"/>
    <w:rsid w:val="00E74BEB"/>
    <w:rsid w:val="00E74D38"/>
    <w:rsid w:val="00E754AF"/>
    <w:rsid w:val="00E76593"/>
    <w:rsid w:val="00E76604"/>
    <w:rsid w:val="00E76A0F"/>
    <w:rsid w:val="00E7731D"/>
    <w:rsid w:val="00E81AC7"/>
    <w:rsid w:val="00E84441"/>
    <w:rsid w:val="00E858D1"/>
    <w:rsid w:val="00E85DE7"/>
    <w:rsid w:val="00E86449"/>
    <w:rsid w:val="00E86E4A"/>
    <w:rsid w:val="00E87136"/>
    <w:rsid w:val="00E90437"/>
    <w:rsid w:val="00E90C22"/>
    <w:rsid w:val="00E9268E"/>
    <w:rsid w:val="00E94A54"/>
    <w:rsid w:val="00E94D89"/>
    <w:rsid w:val="00E9511D"/>
    <w:rsid w:val="00E96CEE"/>
    <w:rsid w:val="00E96FCA"/>
    <w:rsid w:val="00E97373"/>
    <w:rsid w:val="00E9768A"/>
    <w:rsid w:val="00E97D86"/>
    <w:rsid w:val="00EA250C"/>
    <w:rsid w:val="00EA4271"/>
    <w:rsid w:val="00EA5513"/>
    <w:rsid w:val="00EA5D32"/>
    <w:rsid w:val="00EA5E0D"/>
    <w:rsid w:val="00EA6F22"/>
    <w:rsid w:val="00EB05BF"/>
    <w:rsid w:val="00EB124B"/>
    <w:rsid w:val="00EB1496"/>
    <w:rsid w:val="00EB1547"/>
    <w:rsid w:val="00EB23AB"/>
    <w:rsid w:val="00EB3809"/>
    <w:rsid w:val="00EB39B5"/>
    <w:rsid w:val="00EB41E6"/>
    <w:rsid w:val="00EB4721"/>
    <w:rsid w:val="00EB4A8B"/>
    <w:rsid w:val="00EB5058"/>
    <w:rsid w:val="00EB5B35"/>
    <w:rsid w:val="00EB6149"/>
    <w:rsid w:val="00EB6831"/>
    <w:rsid w:val="00EB72EE"/>
    <w:rsid w:val="00EC072D"/>
    <w:rsid w:val="00EC10ED"/>
    <w:rsid w:val="00EC2295"/>
    <w:rsid w:val="00EC2311"/>
    <w:rsid w:val="00EC2981"/>
    <w:rsid w:val="00EC45AD"/>
    <w:rsid w:val="00EC465B"/>
    <w:rsid w:val="00EC50B0"/>
    <w:rsid w:val="00EC60C4"/>
    <w:rsid w:val="00EC62F3"/>
    <w:rsid w:val="00ED18FF"/>
    <w:rsid w:val="00ED1A6C"/>
    <w:rsid w:val="00ED274E"/>
    <w:rsid w:val="00ED2A46"/>
    <w:rsid w:val="00ED3EDC"/>
    <w:rsid w:val="00ED4344"/>
    <w:rsid w:val="00ED510E"/>
    <w:rsid w:val="00ED5F40"/>
    <w:rsid w:val="00ED60C5"/>
    <w:rsid w:val="00ED685C"/>
    <w:rsid w:val="00ED7EEC"/>
    <w:rsid w:val="00EE0A7E"/>
    <w:rsid w:val="00EE18F4"/>
    <w:rsid w:val="00EE1F34"/>
    <w:rsid w:val="00EE2822"/>
    <w:rsid w:val="00EE3394"/>
    <w:rsid w:val="00EE389E"/>
    <w:rsid w:val="00EE4C9A"/>
    <w:rsid w:val="00EE53CC"/>
    <w:rsid w:val="00EF0179"/>
    <w:rsid w:val="00EF0BEB"/>
    <w:rsid w:val="00EF1190"/>
    <w:rsid w:val="00EF35E4"/>
    <w:rsid w:val="00EF39D4"/>
    <w:rsid w:val="00EF4273"/>
    <w:rsid w:val="00EF60CC"/>
    <w:rsid w:val="00F006DF"/>
    <w:rsid w:val="00F00C9D"/>
    <w:rsid w:val="00F013A5"/>
    <w:rsid w:val="00F03C1E"/>
    <w:rsid w:val="00F04B76"/>
    <w:rsid w:val="00F06E24"/>
    <w:rsid w:val="00F07DF5"/>
    <w:rsid w:val="00F11394"/>
    <w:rsid w:val="00F11640"/>
    <w:rsid w:val="00F12A50"/>
    <w:rsid w:val="00F13316"/>
    <w:rsid w:val="00F141C6"/>
    <w:rsid w:val="00F14420"/>
    <w:rsid w:val="00F14530"/>
    <w:rsid w:val="00F147DD"/>
    <w:rsid w:val="00F1546A"/>
    <w:rsid w:val="00F1567F"/>
    <w:rsid w:val="00F15857"/>
    <w:rsid w:val="00F15932"/>
    <w:rsid w:val="00F169CF"/>
    <w:rsid w:val="00F16E2F"/>
    <w:rsid w:val="00F1723F"/>
    <w:rsid w:val="00F173AC"/>
    <w:rsid w:val="00F209F7"/>
    <w:rsid w:val="00F20D62"/>
    <w:rsid w:val="00F214AA"/>
    <w:rsid w:val="00F22E41"/>
    <w:rsid w:val="00F2610E"/>
    <w:rsid w:val="00F263A2"/>
    <w:rsid w:val="00F26E9A"/>
    <w:rsid w:val="00F2779F"/>
    <w:rsid w:val="00F27FD0"/>
    <w:rsid w:val="00F3072D"/>
    <w:rsid w:val="00F31149"/>
    <w:rsid w:val="00F31E50"/>
    <w:rsid w:val="00F324AC"/>
    <w:rsid w:val="00F32AA8"/>
    <w:rsid w:val="00F35AE5"/>
    <w:rsid w:val="00F360B6"/>
    <w:rsid w:val="00F40DB7"/>
    <w:rsid w:val="00F41ACE"/>
    <w:rsid w:val="00F432A4"/>
    <w:rsid w:val="00F433EA"/>
    <w:rsid w:val="00F44598"/>
    <w:rsid w:val="00F4493C"/>
    <w:rsid w:val="00F45814"/>
    <w:rsid w:val="00F45DB9"/>
    <w:rsid w:val="00F45E01"/>
    <w:rsid w:val="00F4666F"/>
    <w:rsid w:val="00F46B34"/>
    <w:rsid w:val="00F4711E"/>
    <w:rsid w:val="00F477D2"/>
    <w:rsid w:val="00F47955"/>
    <w:rsid w:val="00F50842"/>
    <w:rsid w:val="00F51BEB"/>
    <w:rsid w:val="00F51D03"/>
    <w:rsid w:val="00F52E15"/>
    <w:rsid w:val="00F53519"/>
    <w:rsid w:val="00F53700"/>
    <w:rsid w:val="00F54A71"/>
    <w:rsid w:val="00F55C29"/>
    <w:rsid w:val="00F564AE"/>
    <w:rsid w:val="00F578C6"/>
    <w:rsid w:val="00F615CB"/>
    <w:rsid w:val="00F61AD6"/>
    <w:rsid w:val="00F61E57"/>
    <w:rsid w:val="00F62A53"/>
    <w:rsid w:val="00F62F1E"/>
    <w:rsid w:val="00F70905"/>
    <w:rsid w:val="00F71D26"/>
    <w:rsid w:val="00F73175"/>
    <w:rsid w:val="00F73765"/>
    <w:rsid w:val="00F75E43"/>
    <w:rsid w:val="00F75EF1"/>
    <w:rsid w:val="00F761A4"/>
    <w:rsid w:val="00F773C0"/>
    <w:rsid w:val="00F81F9C"/>
    <w:rsid w:val="00F828DA"/>
    <w:rsid w:val="00F83227"/>
    <w:rsid w:val="00F83EB3"/>
    <w:rsid w:val="00F84696"/>
    <w:rsid w:val="00F85182"/>
    <w:rsid w:val="00F872BE"/>
    <w:rsid w:val="00F87779"/>
    <w:rsid w:val="00F904F8"/>
    <w:rsid w:val="00F919C7"/>
    <w:rsid w:val="00F92973"/>
    <w:rsid w:val="00F92A34"/>
    <w:rsid w:val="00F92EEE"/>
    <w:rsid w:val="00F93A14"/>
    <w:rsid w:val="00F940A0"/>
    <w:rsid w:val="00F94A47"/>
    <w:rsid w:val="00F94DBC"/>
    <w:rsid w:val="00F9536F"/>
    <w:rsid w:val="00F959B1"/>
    <w:rsid w:val="00F95A40"/>
    <w:rsid w:val="00F95FA7"/>
    <w:rsid w:val="00F964C6"/>
    <w:rsid w:val="00F96C2B"/>
    <w:rsid w:val="00FA2E2B"/>
    <w:rsid w:val="00FA3400"/>
    <w:rsid w:val="00FB0011"/>
    <w:rsid w:val="00FB0AC2"/>
    <w:rsid w:val="00FB205D"/>
    <w:rsid w:val="00FB24EB"/>
    <w:rsid w:val="00FB2894"/>
    <w:rsid w:val="00FB2AB3"/>
    <w:rsid w:val="00FB4B92"/>
    <w:rsid w:val="00FB63DF"/>
    <w:rsid w:val="00FB671F"/>
    <w:rsid w:val="00FB6A62"/>
    <w:rsid w:val="00FC0102"/>
    <w:rsid w:val="00FC145B"/>
    <w:rsid w:val="00FC1BFE"/>
    <w:rsid w:val="00FC2EEB"/>
    <w:rsid w:val="00FC3D19"/>
    <w:rsid w:val="00FC6134"/>
    <w:rsid w:val="00FC66A0"/>
    <w:rsid w:val="00FC6D51"/>
    <w:rsid w:val="00FD01A6"/>
    <w:rsid w:val="00FD4704"/>
    <w:rsid w:val="00FD4EF9"/>
    <w:rsid w:val="00FD6563"/>
    <w:rsid w:val="00FD6767"/>
    <w:rsid w:val="00FE0404"/>
    <w:rsid w:val="00FE0928"/>
    <w:rsid w:val="00FE0C9B"/>
    <w:rsid w:val="00FE0E99"/>
    <w:rsid w:val="00FE0F80"/>
    <w:rsid w:val="00FE16B6"/>
    <w:rsid w:val="00FE2E7B"/>
    <w:rsid w:val="00FE464F"/>
    <w:rsid w:val="00FE4966"/>
    <w:rsid w:val="00FE5B46"/>
    <w:rsid w:val="00FE7509"/>
    <w:rsid w:val="00FE750C"/>
    <w:rsid w:val="00FE7C18"/>
    <w:rsid w:val="00FF0726"/>
    <w:rsid w:val="00FF0ADD"/>
    <w:rsid w:val="00FF0C0A"/>
    <w:rsid w:val="00FF1E3B"/>
    <w:rsid w:val="00FF29EB"/>
    <w:rsid w:val="00FF2BE8"/>
    <w:rsid w:val="00FF61A7"/>
    <w:rsid w:val="00FF696A"/>
    <w:rsid w:val="00FF6E59"/>
    <w:rsid w:val="00FF75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662]" strokecolor="none"/>
    </o:shapedefaults>
    <o:shapelayout v:ext="edit">
      <o:idmap v:ext="edit" data="1"/>
    </o:shapelayout>
  </w:shapeDefaults>
  <w:decimalSymbol w:val="."/>
  <w:listSeparator w:val=","/>
  <w14:docId w14:val="5D96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004A1"/>
    <w:pPr>
      <w:spacing w:before="120" w:after="120"/>
      <w:jc w:val="both"/>
    </w:pPr>
    <w:rPr>
      <w:rFonts w:asciiTheme="minorHAnsi" w:hAnsiTheme="minorHAnsi"/>
      <w:sz w:val="22"/>
      <w:szCs w:val="22"/>
      <w:lang w:eastAsia="en-AU"/>
    </w:rPr>
  </w:style>
  <w:style w:type="paragraph" w:styleId="Heading1">
    <w:name w:val="heading 1"/>
    <w:basedOn w:val="Normal"/>
    <w:next w:val="Normal"/>
    <w:link w:val="Heading1Char"/>
    <w:uiPriority w:val="99"/>
    <w:qFormat/>
    <w:rsid w:val="00064529"/>
    <w:pPr>
      <w:keepNext/>
      <w:outlineLvl w:val="0"/>
    </w:pPr>
    <w:rPr>
      <w:rFonts w:cs="Arial"/>
      <w:b/>
      <w:bCs/>
      <w:kern w:val="32"/>
      <w:sz w:val="28"/>
      <w:szCs w:val="32"/>
    </w:rPr>
  </w:style>
  <w:style w:type="paragraph" w:styleId="Heading2">
    <w:name w:val="heading 2"/>
    <w:basedOn w:val="Normal"/>
    <w:next w:val="Normal"/>
    <w:link w:val="Heading2Char"/>
    <w:qFormat/>
    <w:rsid w:val="004F6DCF"/>
    <w:pPr>
      <w:keepNext/>
      <w:outlineLvl w:val="1"/>
    </w:pPr>
    <w:rPr>
      <w:rFonts w:cs="Arial"/>
      <w:b/>
      <w:bCs/>
      <w:iCs/>
      <w:sz w:val="24"/>
      <w:szCs w:val="28"/>
    </w:rPr>
  </w:style>
  <w:style w:type="paragraph" w:styleId="Heading3">
    <w:name w:val="heading 3"/>
    <w:basedOn w:val="Normal"/>
    <w:next w:val="Normal"/>
    <w:link w:val="Heading3Char"/>
    <w:uiPriority w:val="9"/>
    <w:qFormat/>
    <w:rsid w:val="00E94D89"/>
    <w:pPr>
      <w:keepNext/>
      <w:numPr>
        <w:ilvl w:val="2"/>
        <w:numId w:val="14"/>
      </w:numPr>
      <w:outlineLvl w:val="2"/>
    </w:pPr>
    <w:rPr>
      <w:b/>
      <w:bCs/>
      <w:szCs w:val="26"/>
    </w:rPr>
  </w:style>
  <w:style w:type="paragraph" w:styleId="Heading4">
    <w:name w:val="heading 4"/>
    <w:basedOn w:val="Normal"/>
    <w:next w:val="Normal"/>
    <w:link w:val="Heading4Char"/>
    <w:uiPriority w:val="9"/>
    <w:semiHidden/>
    <w:unhideWhenUsed/>
    <w:qFormat/>
    <w:rsid w:val="00E94D89"/>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4D89"/>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4D89"/>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D89"/>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D89"/>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94D89"/>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E70"/>
    <w:pPr>
      <w:tabs>
        <w:tab w:val="center" w:pos="4153"/>
        <w:tab w:val="right" w:pos="8306"/>
      </w:tabs>
    </w:pPr>
  </w:style>
  <w:style w:type="paragraph" w:styleId="Footer">
    <w:name w:val="footer"/>
    <w:basedOn w:val="Normal"/>
    <w:link w:val="FooterChar"/>
    <w:rsid w:val="008445C3"/>
    <w:pPr>
      <w:tabs>
        <w:tab w:val="center" w:pos="4153"/>
        <w:tab w:val="right" w:pos="8306"/>
      </w:tabs>
    </w:pPr>
  </w:style>
  <w:style w:type="character" w:customStyle="1" w:styleId="HeaderChar">
    <w:name w:val="Header Char"/>
    <w:basedOn w:val="DefaultParagraphFont"/>
    <w:link w:val="Header"/>
    <w:uiPriority w:val="99"/>
    <w:rsid w:val="001C1E70"/>
    <w:rPr>
      <w:rFonts w:ascii="Arial" w:hAnsi="Arial"/>
      <w:sz w:val="24"/>
      <w:szCs w:val="24"/>
      <w:lang w:val="en-AU" w:eastAsia="en-AU" w:bidi="ar-SA"/>
    </w:rPr>
  </w:style>
  <w:style w:type="paragraph" w:customStyle="1" w:styleId="Table-normal-text">
    <w:name w:val="Table-normal-text"/>
    <w:basedOn w:val="Normal"/>
    <w:rsid w:val="00010AA3"/>
    <w:pPr>
      <w:spacing w:before="60"/>
    </w:pPr>
    <w:rPr>
      <w:lang w:eastAsia="en-US"/>
    </w:rPr>
  </w:style>
  <w:style w:type="paragraph" w:customStyle="1" w:styleId="ColorfulList-Accent11">
    <w:name w:val="Colorful List - Accent 11"/>
    <w:basedOn w:val="Normal"/>
    <w:uiPriority w:val="34"/>
    <w:qFormat/>
    <w:rsid w:val="00732541"/>
    <w:pPr>
      <w:spacing w:line="270" w:lineRule="atLeast"/>
      <w:ind w:left="720"/>
    </w:pPr>
    <w:rPr>
      <w:rFonts w:eastAsia="Arial Unicode MS" w:cs="Arial"/>
    </w:rPr>
  </w:style>
  <w:style w:type="character" w:customStyle="1" w:styleId="FooterChar">
    <w:name w:val="Footer Char"/>
    <w:basedOn w:val="DefaultParagraphFont"/>
    <w:link w:val="Footer"/>
    <w:rsid w:val="009D4DD8"/>
    <w:rPr>
      <w:rFonts w:ascii="Arial" w:hAnsi="Arial"/>
      <w:sz w:val="22"/>
      <w:szCs w:val="22"/>
      <w:lang w:val="en-AU" w:eastAsia="en-AU" w:bidi="ar-SA"/>
    </w:rPr>
  </w:style>
  <w:style w:type="character" w:styleId="Hyperlink">
    <w:name w:val="Hyperlink"/>
    <w:basedOn w:val="DefaultParagraphFont"/>
    <w:uiPriority w:val="99"/>
    <w:rsid w:val="009D4DD8"/>
    <w:rPr>
      <w:rFonts w:cs="Times New Roman"/>
      <w:color w:val="0000FF"/>
      <w:u w:val="single"/>
    </w:rPr>
  </w:style>
  <w:style w:type="character" w:styleId="PageNumber">
    <w:name w:val="page number"/>
    <w:basedOn w:val="DefaultParagraphFont"/>
    <w:rsid w:val="00A50CE1"/>
  </w:style>
  <w:style w:type="paragraph" w:styleId="BalloonText">
    <w:name w:val="Balloon Text"/>
    <w:basedOn w:val="Normal"/>
    <w:link w:val="BalloonTextChar"/>
    <w:semiHidden/>
    <w:unhideWhenUsed/>
    <w:rsid w:val="00E57781"/>
    <w:rPr>
      <w:rFonts w:ascii="Tahoma" w:hAnsi="Tahoma" w:cs="Tahoma"/>
      <w:sz w:val="16"/>
      <w:szCs w:val="16"/>
    </w:rPr>
  </w:style>
  <w:style w:type="character" w:customStyle="1" w:styleId="BalloonTextChar">
    <w:name w:val="Balloon Text Char"/>
    <w:basedOn w:val="DefaultParagraphFont"/>
    <w:link w:val="BalloonText"/>
    <w:uiPriority w:val="99"/>
    <w:semiHidden/>
    <w:rsid w:val="00E57781"/>
    <w:rPr>
      <w:rFonts w:ascii="Tahoma" w:hAnsi="Tahoma" w:cs="Tahoma"/>
      <w:sz w:val="16"/>
      <w:szCs w:val="16"/>
    </w:rPr>
  </w:style>
  <w:style w:type="table" w:styleId="TableGrid">
    <w:name w:val="Table Grid"/>
    <w:basedOn w:val="TableNormal"/>
    <w:uiPriority w:val="59"/>
    <w:rsid w:val="0038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Level1">
    <w:name w:val=".CON  Level   1."/>
    <w:basedOn w:val="Normal"/>
    <w:next w:val="Normal"/>
    <w:rsid w:val="001679FA"/>
    <w:pPr>
      <w:keepNext/>
      <w:numPr>
        <w:numId w:val="1"/>
      </w:numPr>
      <w:spacing w:before="240"/>
      <w:outlineLvl w:val="1"/>
    </w:pPr>
    <w:rPr>
      <w:rFonts w:ascii="Times New Roman" w:hAnsi="Times New Roman"/>
      <w:b/>
      <w:lang w:eastAsia="en-US"/>
    </w:rPr>
  </w:style>
  <w:style w:type="paragraph" w:customStyle="1" w:styleId="CONLevel11">
    <w:name w:val=".CON  Level   1.1"/>
    <w:basedOn w:val="Normal"/>
    <w:next w:val="Normal"/>
    <w:link w:val="CONLevel11Char"/>
    <w:rsid w:val="001679FA"/>
    <w:pPr>
      <w:numPr>
        <w:ilvl w:val="1"/>
        <w:numId w:val="1"/>
      </w:numPr>
      <w:spacing w:before="240"/>
      <w:outlineLvl w:val="2"/>
    </w:pPr>
    <w:rPr>
      <w:rFonts w:ascii="Times New Roman" w:hAnsi="Times New Roman"/>
      <w:lang w:eastAsia="en-US"/>
    </w:rPr>
  </w:style>
  <w:style w:type="paragraph" w:customStyle="1" w:styleId="CONLevela">
    <w:name w:val=".CON  Level  (a)"/>
    <w:basedOn w:val="Normal"/>
    <w:next w:val="Normal"/>
    <w:rsid w:val="001679FA"/>
    <w:pPr>
      <w:numPr>
        <w:ilvl w:val="2"/>
        <w:numId w:val="1"/>
      </w:numPr>
      <w:spacing w:before="240"/>
      <w:outlineLvl w:val="3"/>
    </w:pPr>
    <w:rPr>
      <w:rFonts w:ascii="Times New Roman" w:hAnsi="Times New Roman"/>
      <w:lang w:eastAsia="en-US"/>
    </w:rPr>
  </w:style>
  <w:style w:type="paragraph" w:customStyle="1" w:styleId="CONLeveli">
    <w:name w:val=".CON  Level  (i)"/>
    <w:basedOn w:val="Normal"/>
    <w:next w:val="Normal"/>
    <w:rsid w:val="001679FA"/>
    <w:pPr>
      <w:numPr>
        <w:ilvl w:val="3"/>
        <w:numId w:val="1"/>
      </w:numPr>
      <w:spacing w:before="240"/>
      <w:outlineLvl w:val="4"/>
    </w:pPr>
    <w:rPr>
      <w:rFonts w:ascii="Times New Roman" w:hAnsi="Times New Roman"/>
      <w:lang w:eastAsia="en-US"/>
    </w:rPr>
  </w:style>
  <w:style w:type="paragraph" w:customStyle="1" w:styleId="CONLevelA0">
    <w:name w:val=".CON  Level (A)"/>
    <w:basedOn w:val="Normal"/>
    <w:next w:val="Normal"/>
    <w:rsid w:val="001679FA"/>
    <w:pPr>
      <w:numPr>
        <w:ilvl w:val="4"/>
        <w:numId w:val="1"/>
      </w:numPr>
      <w:spacing w:before="240"/>
      <w:outlineLvl w:val="5"/>
    </w:pPr>
    <w:rPr>
      <w:rFonts w:ascii="Times New Roman" w:hAnsi="Times New Roman"/>
      <w:lang w:eastAsia="en-US"/>
    </w:rPr>
  </w:style>
  <w:style w:type="paragraph" w:customStyle="1" w:styleId="CONLevelI0">
    <w:name w:val=".CON  Level (I)"/>
    <w:basedOn w:val="Normal"/>
    <w:next w:val="Normal"/>
    <w:rsid w:val="001679FA"/>
    <w:pPr>
      <w:numPr>
        <w:ilvl w:val="5"/>
        <w:numId w:val="1"/>
      </w:numPr>
      <w:spacing w:before="240"/>
      <w:outlineLvl w:val="6"/>
    </w:pPr>
    <w:rPr>
      <w:rFonts w:ascii="Times New Roman" w:hAnsi="Times New Roman"/>
      <w:lang w:eastAsia="en-US"/>
    </w:rPr>
  </w:style>
  <w:style w:type="character" w:customStyle="1" w:styleId="CONLevel11Char">
    <w:name w:val=".CON  Level   1.1 Char"/>
    <w:basedOn w:val="DefaultParagraphFont"/>
    <w:link w:val="CONLevel11"/>
    <w:rsid w:val="001679FA"/>
    <w:rPr>
      <w:sz w:val="22"/>
      <w:szCs w:val="22"/>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rsid w:val="004F6DCF"/>
    <w:rPr>
      <w:sz w:val="18"/>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4F6DCF"/>
    <w:rPr>
      <w:rFonts w:asciiTheme="minorHAnsi" w:hAnsiTheme="minorHAnsi"/>
      <w:sz w:val="18"/>
      <w:lang w:eastAsia="en-AU"/>
    </w:rPr>
  </w:style>
  <w:style w:type="character" w:styleId="FootnoteReference">
    <w:name w:val="footnote reference"/>
    <w:aliases w:val="ftref,(NECG) Footnote Reference,Ref,de nota al pie"/>
    <w:basedOn w:val="DefaultParagraphFont"/>
    <w:uiPriority w:val="99"/>
    <w:rsid w:val="001679FA"/>
    <w:rPr>
      <w:vertAlign w:val="superscript"/>
    </w:rPr>
  </w:style>
  <w:style w:type="paragraph" w:styleId="BodyText">
    <w:name w:val="Body Text"/>
    <w:aliases w:val="uvlaka 2,  uvlaka 2"/>
    <w:basedOn w:val="Normal"/>
    <w:link w:val="BodyTextChar"/>
    <w:uiPriority w:val="99"/>
    <w:rsid w:val="001679FA"/>
    <w:rPr>
      <w:rFonts w:ascii="Times New Roman" w:hAnsi="Times New Roman"/>
      <w:bCs/>
      <w:szCs w:val="24"/>
      <w:lang w:eastAsia="en-US"/>
    </w:rPr>
  </w:style>
  <w:style w:type="character" w:customStyle="1" w:styleId="BodyTextChar">
    <w:name w:val="Body Text Char"/>
    <w:aliases w:val="uvlaka 2 Char,  uvlaka 2 Char"/>
    <w:basedOn w:val="DefaultParagraphFont"/>
    <w:link w:val="BodyText"/>
    <w:uiPriority w:val="99"/>
    <w:rsid w:val="001679FA"/>
    <w:rPr>
      <w:bCs/>
      <w:sz w:val="24"/>
      <w:szCs w:val="24"/>
      <w:lang w:eastAsia="en-US"/>
    </w:rPr>
  </w:style>
  <w:style w:type="paragraph" w:customStyle="1" w:styleId="table-normal-text0">
    <w:name w:val="table-normal-text"/>
    <w:basedOn w:val="Normal"/>
    <w:rsid w:val="00537ED3"/>
    <w:pPr>
      <w:spacing w:before="100" w:beforeAutospacing="1" w:after="100" w:afterAutospacing="1"/>
    </w:pPr>
    <w:rPr>
      <w:rFonts w:ascii="Times New Roman" w:hAnsi="Times New Roman"/>
      <w:szCs w:val="24"/>
    </w:rPr>
  </w:style>
  <w:style w:type="character" w:customStyle="1" w:styleId="Heading3Char">
    <w:name w:val="Heading 3 Char"/>
    <w:basedOn w:val="DefaultParagraphFont"/>
    <w:link w:val="Heading3"/>
    <w:uiPriority w:val="9"/>
    <w:rsid w:val="00E94D89"/>
    <w:rPr>
      <w:rFonts w:asciiTheme="minorHAnsi" w:hAnsiTheme="minorHAnsi"/>
      <w:b/>
      <w:bCs/>
      <w:sz w:val="22"/>
      <w:szCs w:val="26"/>
      <w:lang w:eastAsia="en-AU"/>
    </w:rPr>
  </w:style>
  <w:style w:type="paragraph" w:customStyle="1" w:styleId="Default">
    <w:name w:val="Default"/>
    <w:rsid w:val="00CB32ED"/>
    <w:pPr>
      <w:autoSpaceDE w:val="0"/>
      <w:autoSpaceDN w:val="0"/>
      <w:adjustRightInd w:val="0"/>
    </w:pPr>
    <w:rPr>
      <w:rFonts w:ascii="Gill Sans Light" w:hAnsi="Gill Sans Light" w:cs="Gill Sans Light"/>
      <w:color w:val="000000"/>
      <w:sz w:val="24"/>
      <w:szCs w:val="24"/>
      <w:lang w:eastAsia="zh-TW"/>
    </w:rPr>
  </w:style>
  <w:style w:type="character" w:styleId="HTMLCite">
    <w:name w:val="HTML Cite"/>
    <w:basedOn w:val="DefaultParagraphFont"/>
    <w:uiPriority w:val="99"/>
    <w:semiHidden/>
    <w:rsid w:val="001E075E"/>
    <w:rPr>
      <w:rFonts w:cs="Times New Roman"/>
      <w:i/>
      <w:iCs/>
    </w:rPr>
  </w:style>
  <w:style w:type="paragraph" w:customStyle="1" w:styleId="Pa1">
    <w:name w:val="Pa1"/>
    <w:basedOn w:val="Normal"/>
    <w:next w:val="Normal"/>
    <w:uiPriority w:val="99"/>
    <w:rsid w:val="001E075E"/>
    <w:pPr>
      <w:autoSpaceDE w:val="0"/>
      <w:autoSpaceDN w:val="0"/>
      <w:adjustRightInd w:val="0"/>
      <w:spacing w:line="161" w:lineRule="atLeast"/>
    </w:pPr>
    <w:rPr>
      <w:rFonts w:ascii="Gill Sans Light" w:hAnsi="Gill Sans Light" w:cs="Arial"/>
      <w:szCs w:val="24"/>
      <w:lang w:eastAsia="zh-TW"/>
    </w:rPr>
  </w:style>
  <w:style w:type="character" w:customStyle="1" w:styleId="A0">
    <w:name w:val="A0"/>
    <w:uiPriority w:val="99"/>
    <w:rsid w:val="001E075E"/>
    <w:rPr>
      <w:rFonts w:cs="Gill Sans Light"/>
      <w:color w:val="000000"/>
      <w:sz w:val="13"/>
      <w:szCs w:val="13"/>
    </w:rPr>
  </w:style>
  <w:style w:type="character" w:customStyle="1" w:styleId="Heading1Char">
    <w:name w:val="Heading 1 Char"/>
    <w:basedOn w:val="DefaultParagraphFont"/>
    <w:link w:val="Heading1"/>
    <w:uiPriority w:val="99"/>
    <w:rsid w:val="00064529"/>
    <w:rPr>
      <w:rFonts w:asciiTheme="minorHAnsi" w:hAnsiTheme="minorHAnsi" w:cs="Arial"/>
      <w:b/>
      <w:bCs/>
      <w:kern w:val="32"/>
      <w:sz w:val="28"/>
      <w:szCs w:val="32"/>
      <w:lang w:eastAsia="en-AU"/>
    </w:rPr>
  </w:style>
  <w:style w:type="character" w:customStyle="1" w:styleId="Heading2Char">
    <w:name w:val="Heading 2 Char"/>
    <w:basedOn w:val="DefaultParagraphFont"/>
    <w:link w:val="Heading2"/>
    <w:rsid w:val="004F6DCF"/>
    <w:rPr>
      <w:rFonts w:asciiTheme="minorHAnsi" w:hAnsiTheme="minorHAnsi" w:cs="Arial"/>
      <w:b/>
      <w:bCs/>
      <w:iCs/>
      <w:sz w:val="24"/>
      <w:szCs w:val="28"/>
      <w:lang w:eastAsia="en-AU"/>
    </w:rPr>
  </w:style>
  <w:style w:type="paragraph" w:styleId="DocumentMap">
    <w:name w:val="Document Map"/>
    <w:basedOn w:val="Normal"/>
    <w:link w:val="DocumentMapChar"/>
    <w:uiPriority w:val="99"/>
    <w:semiHidden/>
    <w:unhideWhenUsed/>
    <w:rsid w:val="00363011"/>
    <w:rPr>
      <w:rFonts w:ascii="Lucida Grande" w:hAnsi="Lucida Grande"/>
      <w:szCs w:val="24"/>
    </w:rPr>
  </w:style>
  <w:style w:type="character" w:customStyle="1" w:styleId="DocumentMapChar">
    <w:name w:val="Document Map Char"/>
    <w:basedOn w:val="DefaultParagraphFont"/>
    <w:link w:val="DocumentMap"/>
    <w:uiPriority w:val="99"/>
    <w:semiHidden/>
    <w:rsid w:val="00363011"/>
    <w:rPr>
      <w:rFonts w:ascii="Lucida Grande" w:hAnsi="Lucida Grande"/>
      <w:sz w:val="24"/>
      <w:szCs w:val="24"/>
      <w:lang w:eastAsia="en-AU"/>
    </w:rPr>
  </w:style>
  <w:style w:type="character" w:styleId="CommentReference">
    <w:name w:val="annotation reference"/>
    <w:basedOn w:val="DefaultParagraphFont"/>
    <w:uiPriority w:val="99"/>
    <w:semiHidden/>
    <w:unhideWhenUsed/>
    <w:rsid w:val="00C7271C"/>
    <w:rPr>
      <w:sz w:val="18"/>
      <w:szCs w:val="18"/>
    </w:rPr>
  </w:style>
  <w:style w:type="paragraph" w:styleId="CommentText">
    <w:name w:val="annotation text"/>
    <w:basedOn w:val="Normal"/>
    <w:link w:val="CommentTextChar"/>
    <w:uiPriority w:val="99"/>
    <w:semiHidden/>
    <w:unhideWhenUsed/>
    <w:rsid w:val="00C7271C"/>
    <w:rPr>
      <w:szCs w:val="24"/>
    </w:rPr>
  </w:style>
  <w:style w:type="character" w:customStyle="1" w:styleId="CommentTextChar">
    <w:name w:val="Comment Text Char"/>
    <w:basedOn w:val="DefaultParagraphFont"/>
    <w:link w:val="CommentText"/>
    <w:uiPriority w:val="99"/>
    <w:semiHidden/>
    <w:rsid w:val="00C7271C"/>
    <w:rPr>
      <w:rFonts w:ascii="Arial" w:hAnsi="Arial"/>
      <w:sz w:val="24"/>
      <w:szCs w:val="24"/>
      <w:lang w:eastAsia="en-AU"/>
    </w:rPr>
  </w:style>
  <w:style w:type="paragraph" w:styleId="CommentSubject">
    <w:name w:val="annotation subject"/>
    <w:basedOn w:val="CommentText"/>
    <w:next w:val="CommentText"/>
    <w:link w:val="CommentSubjectChar"/>
    <w:uiPriority w:val="99"/>
    <w:semiHidden/>
    <w:unhideWhenUsed/>
    <w:rsid w:val="00C7271C"/>
    <w:rPr>
      <w:b/>
      <w:bCs/>
      <w:szCs w:val="20"/>
    </w:rPr>
  </w:style>
  <w:style w:type="character" w:customStyle="1" w:styleId="CommentSubjectChar">
    <w:name w:val="Comment Subject Char"/>
    <w:basedOn w:val="CommentTextChar"/>
    <w:link w:val="CommentSubject"/>
    <w:uiPriority w:val="99"/>
    <w:semiHidden/>
    <w:rsid w:val="00C7271C"/>
    <w:rPr>
      <w:rFonts w:ascii="Arial" w:hAnsi="Arial"/>
      <w:b/>
      <w:bCs/>
      <w:sz w:val="24"/>
      <w:szCs w:val="24"/>
      <w:lang w:eastAsia="en-AU"/>
    </w:rPr>
  </w:style>
  <w:style w:type="paragraph" w:styleId="ListParagraph">
    <w:name w:val="List Paragraph"/>
    <w:basedOn w:val="Normal"/>
    <w:uiPriority w:val="34"/>
    <w:qFormat/>
    <w:rsid w:val="00346414"/>
    <w:pPr>
      <w:ind w:left="720"/>
      <w:contextualSpacing/>
    </w:pPr>
  </w:style>
  <w:style w:type="paragraph" w:styleId="TOCHeading">
    <w:name w:val="TOC Heading"/>
    <w:basedOn w:val="Heading1"/>
    <w:next w:val="Normal"/>
    <w:uiPriority w:val="39"/>
    <w:qFormat/>
    <w:rsid w:val="00BD108D"/>
    <w:pPr>
      <w:keepLines/>
      <w:spacing w:before="480" w:line="276" w:lineRule="auto"/>
      <w:outlineLvl w:val="9"/>
    </w:pPr>
    <w:rPr>
      <w:rFonts w:ascii="Cambria" w:hAnsi="Cambria" w:cs="Times New Roman"/>
      <w:color w:val="365F91"/>
      <w:kern w:val="0"/>
      <w:szCs w:val="28"/>
      <w:lang w:val="en-US" w:eastAsia="en-US"/>
    </w:rPr>
  </w:style>
  <w:style w:type="paragraph" w:styleId="TOC1">
    <w:name w:val="toc 1"/>
    <w:basedOn w:val="Normal"/>
    <w:next w:val="Normal"/>
    <w:autoRedefine/>
    <w:uiPriority w:val="39"/>
    <w:unhideWhenUsed/>
    <w:rsid w:val="00FD01A6"/>
    <w:pPr>
      <w:spacing w:before="0" w:after="0"/>
      <w:contextualSpacing/>
    </w:pPr>
  </w:style>
  <w:style w:type="paragraph" w:styleId="TOC2">
    <w:name w:val="toc 2"/>
    <w:basedOn w:val="Normal"/>
    <w:next w:val="Normal"/>
    <w:autoRedefine/>
    <w:uiPriority w:val="39"/>
    <w:unhideWhenUsed/>
    <w:rsid w:val="00384F93"/>
    <w:pPr>
      <w:tabs>
        <w:tab w:val="left" w:pos="907"/>
        <w:tab w:val="left" w:pos="1134"/>
        <w:tab w:val="right" w:leader="dot" w:pos="8755"/>
      </w:tabs>
      <w:spacing w:before="0" w:after="0"/>
      <w:ind w:left="425"/>
      <w:contextualSpacing/>
    </w:pPr>
    <w:rPr>
      <w:rFonts w:cs="Symbol"/>
      <w:noProof/>
    </w:rPr>
  </w:style>
  <w:style w:type="paragraph" w:styleId="TOC3">
    <w:name w:val="toc 3"/>
    <w:basedOn w:val="Normal"/>
    <w:next w:val="Normal"/>
    <w:autoRedefine/>
    <w:uiPriority w:val="39"/>
    <w:unhideWhenUsed/>
    <w:rsid w:val="00BD108D"/>
    <w:pPr>
      <w:ind w:left="440"/>
    </w:pPr>
  </w:style>
  <w:style w:type="paragraph" w:styleId="TOC4">
    <w:name w:val="toc 4"/>
    <w:basedOn w:val="Normal"/>
    <w:next w:val="Normal"/>
    <w:autoRedefine/>
    <w:uiPriority w:val="39"/>
    <w:unhideWhenUsed/>
    <w:rsid w:val="00BD108D"/>
    <w:pPr>
      <w:spacing w:after="100" w:line="276" w:lineRule="auto"/>
      <w:ind w:left="660"/>
    </w:pPr>
    <w:rPr>
      <w:rFonts w:ascii="Calibri" w:hAnsi="Calibri"/>
    </w:rPr>
  </w:style>
  <w:style w:type="paragraph" w:styleId="TOC5">
    <w:name w:val="toc 5"/>
    <w:basedOn w:val="Normal"/>
    <w:next w:val="Normal"/>
    <w:autoRedefine/>
    <w:uiPriority w:val="39"/>
    <w:unhideWhenUsed/>
    <w:rsid w:val="00BD108D"/>
    <w:pPr>
      <w:spacing w:after="100" w:line="276" w:lineRule="auto"/>
      <w:ind w:left="880"/>
    </w:pPr>
    <w:rPr>
      <w:rFonts w:ascii="Calibri" w:hAnsi="Calibri"/>
    </w:rPr>
  </w:style>
  <w:style w:type="paragraph" w:styleId="TOC6">
    <w:name w:val="toc 6"/>
    <w:basedOn w:val="Normal"/>
    <w:next w:val="Normal"/>
    <w:autoRedefine/>
    <w:uiPriority w:val="39"/>
    <w:unhideWhenUsed/>
    <w:rsid w:val="00BD108D"/>
    <w:pPr>
      <w:spacing w:after="100" w:line="276" w:lineRule="auto"/>
      <w:ind w:left="1100"/>
    </w:pPr>
    <w:rPr>
      <w:rFonts w:ascii="Calibri" w:hAnsi="Calibri"/>
    </w:rPr>
  </w:style>
  <w:style w:type="paragraph" w:styleId="TOC7">
    <w:name w:val="toc 7"/>
    <w:basedOn w:val="Normal"/>
    <w:next w:val="Normal"/>
    <w:autoRedefine/>
    <w:uiPriority w:val="39"/>
    <w:unhideWhenUsed/>
    <w:rsid w:val="00BD108D"/>
    <w:pPr>
      <w:spacing w:after="100" w:line="276" w:lineRule="auto"/>
      <w:ind w:left="1320"/>
    </w:pPr>
    <w:rPr>
      <w:rFonts w:ascii="Calibri" w:hAnsi="Calibri"/>
    </w:rPr>
  </w:style>
  <w:style w:type="paragraph" w:styleId="TOC8">
    <w:name w:val="toc 8"/>
    <w:basedOn w:val="Normal"/>
    <w:next w:val="Normal"/>
    <w:autoRedefine/>
    <w:uiPriority w:val="39"/>
    <w:unhideWhenUsed/>
    <w:rsid w:val="00BD108D"/>
    <w:pPr>
      <w:spacing w:after="100" w:line="276" w:lineRule="auto"/>
      <w:ind w:left="1540"/>
    </w:pPr>
    <w:rPr>
      <w:rFonts w:ascii="Calibri" w:hAnsi="Calibri"/>
    </w:rPr>
  </w:style>
  <w:style w:type="paragraph" w:styleId="TOC9">
    <w:name w:val="toc 9"/>
    <w:basedOn w:val="Normal"/>
    <w:next w:val="Normal"/>
    <w:autoRedefine/>
    <w:uiPriority w:val="39"/>
    <w:unhideWhenUsed/>
    <w:rsid w:val="00BD108D"/>
    <w:pPr>
      <w:spacing w:after="100" w:line="276" w:lineRule="auto"/>
      <w:ind w:left="1760"/>
    </w:pPr>
    <w:rPr>
      <w:rFonts w:ascii="Calibri" w:hAnsi="Calibri"/>
    </w:rPr>
  </w:style>
  <w:style w:type="paragraph" w:styleId="NormalWeb">
    <w:name w:val="Normal (Web)"/>
    <w:basedOn w:val="Normal"/>
    <w:rsid w:val="000331C7"/>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A7410"/>
    <w:rPr>
      <w:i/>
      <w:iCs/>
    </w:rPr>
  </w:style>
  <w:style w:type="character" w:styleId="FollowedHyperlink">
    <w:name w:val="FollowedHyperlink"/>
    <w:basedOn w:val="DefaultParagraphFont"/>
    <w:rsid w:val="005C4F09"/>
    <w:rPr>
      <w:color w:val="606420"/>
      <w:u w:val="single"/>
    </w:rPr>
  </w:style>
  <w:style w:type="paragraph" w:customStyle="1" w:styleId="List-number-2">
    <w:name w:val="List-number-2"/>
    <w:basedOn w:val="Normal"/>
    <w:rsid w:val="00140C7A"/>
    <w:pPr>
      <w:numPr>
        <w:ilvl w:val="1"/>
        <w:numId w:val="7"/>
      </w:numPr>
      <w:spacing w:after="0"/>
      <w:jc w:val="left"/>
    </w:pPr>
    <w:rPr>
      <w:rFonts w:ascii="Arial" w:hAnsi="Arial"/>
      <w:szCs w:val="24"/>
      <w:lang w:eastAsia="en-US"/>
    </w:rPr>
  </w:style>
  <w:style w:type="paragraph" w:customStyle="1" w:styleId="List-number-1">
    <w:name w:val="List-number-1"/>
    <w:basedOn w:val="Normal"/>
    <w:link w:val="List-number-1Char"/>
    <w:rsid w:val="00140C7A"/>
    <w:pPr>
      <w:numPr>
        <w:numId w:val="7"/>
      </w:numPr>
      <w:spacing w:after="0"/>
      <w:jc w:val="left"/>
    </w:pPr>
    <w:rPr>
      <w:rFonts w:ascii="Arial" w:hAnsi="Arial"/>
      <w:szCs w:val="24"/>
      <w:lang w:eastAsia="en-US"/>
    </w:rPr>
  </w:style>
  <w:style w:type="character" w:customStyle="1" w:styleId="List-number-1Char">
    <w:name w:val="List-number-1 Char"/>
    <w:link w:val="List-number-1"/>
    <w:rsid w:val="00140C7A"/>
    <w:rPr>
      <w:rFonts w:ascii="Arial" w:hAnsi="Arial"/>
      <w:sz w:val="22"/>
      <w:szCs w:val="24"/>
    </w:rPr>
  </w:style>
  <w:style w:type="table" w:styleId="MediumGrid3-Accent1">
    <w:name w:val="Medium Grid 3 Accent 1"/>
    <w:basedOn w:val="TableNormal"/>
    <w:uiPriority w:val="69"/>
    <w:rsid w:val="004D50EC"/>
    <w:rPr>
      <w:rFonts w:asciiTheme="minorHAnsi" w:eastAsiaTheme="minorEastAsia" w:hAnsiTheme="minorHAnsi" w:cstheme="minorBidi"/>
      <w:sz w:val="24"/>
      <w:szCs w:val="24"/>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4D50E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4D50E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Number4">
    <w:name w:val="List Number 4"/>
    <w:basedOn w:val="Normal"/>
    <w:uiPriority w:val="99"/>
    <w:rsid w:val="006437B0"/>
    <w:pPr>
      <w:numPr>
        <w:numId w:val="8"/>
      </w:numPr>
      <w:spacing w:before="0" w:after="200" w:line="276" w:lineRule="auto"/>
      <w:jc w:val="left"/>
    </w:pPr>
    <w:rPr>
      <w:rFonts w:ascii="Arial" w:hAnsi="Arial"/>
      <w:lang w:val="en-GB" w:eastAsia="en-GB"/>
    </w:rPr>
  </w:style>
  <w:style w:type="table" w:styleId="MediumShading2-Accent1">
    <w:name w:val="Medium Shading 2 Accent 1"/>
    <w:basedOn w:val="TableNormal"/>
    <w:uiPriority w:val="64"/>
    <w:rsid w:val="00384F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
    <w:name w:val="Heading 4 Char"/>
    <w:basedOn w:val="DefaultParagraphFont"/>
    <w:link w:val="Heading4"/>
    <w:uiPriority w:val="9"/>
    <w:semiHidden/>
    <w:rsid w:val="00E94D89"/>
    <w:rPr>
      <w:rFonts w:asciiTheme="majorHAnsi" w:eastAsiaTheme="majorEastAsia" w:hAnsiTheme="majorHAnsi" w:cstheme="majorBidi"/>
      <w:b/>
      <w:bCs/>
      <w:i/>
      <w:iCs/>
      <w:color w:val="4F81BD" w:themeColor="accent1"/>
      <w:sz w:val="22"/>
      <w:szCs w:val="22"/>
      <w:lang w:eastAsia="en-AU"/>
    </w:rPr>
  </w:style>
  <w:style w:type="character" w:customStyle="1" w:styleId="Heading5Char">
    <w:name w:val="Heading 5 Char"/>
    <w:basedOn w:val="DefaultParagraphFont"/>
    <w:link w:val="Heading5"/>
    <w:uiPriority w:val="9"/>
    <w:semiHidden/>
    <w:rsid w:val="00E94D89"/>
    <w:rPr>
      <w:rFonts w:asciiTheme="majorHAnsi" w:eastAsiaTheme="majorEastAsia" w:hAnsiTheme="majorHAnsi" w:cstheme="majorBidi"/>
      <w:color w:val="243F60" w:themeColor="accent1" w:themeShade="7F"/>
      <w:sz w:val="22"/>
      <w:szCs w:val="22"/>
      <w:lang w:eastAsia="en-AU"/>
    </w:rPr>
  </w:style>
  <w:style w:type="character" w:customStyle="1" w:styleId="Heading6Char">
    <w:name w:val="Heading 6 Char"/>
    <w:basedOn w:val="DefaultParagraphFont"/>
    <w:link w:val="Heading6"/>
    <w:uiPriority w:val="9"/>
    <w:semiHidden/>
    <w:rsid w:val="00E94D89"/>
    <w:rPr>
      <w:rFonts w:asciiTheme="majorHAnsi" w:eastAsiaTheme="majorEastAsia" w:hAnsiTheme="majorHAnsi" w:cstheme="majorBidi"/>
      <w:i/>
      <w:iCs/>
      <w:color w:val="243F60" w:themeColor="accent1" w:themeShade="7F"/>
      <w:sz w:val="22"/>
      <w:szCs w:val="22"/>
      <w:lang w:eastAsia="en-AU"/>
    </w:rPr>
  </w:style>
  <w:style w:type="character" w:customStyle="1" w:styleId="Heading7Char">
    <w:name w:val="Heading 7 Char"/>
    <w:basedOn w:val="DefaultParagraphFont"/>
    <w:link w:val="Heading7"/>
    <w:uiPriority w:val="9"/>
    <w:semiHidden/>
    <w:rsid w:val="00E94D89"/>
    <w:rPr>
      <w:rFonts w:asciiTheme="majorHAnsi" w:eastAsiaTheme="majorEastAsia" w:hAnsiTheme="majorHAnsi" w:cstheme="majorBidi"/>
      <w:i/>
      <w:iCs/>
      <w:color w:val="404040" w:themeColor="text1" w:themeTint="BF"/>
      <w:sz w:val="22"/>
      <w:szCs w:val="22"/>
      <w:lang w:eastAsia="en-AU"/>
    </w:rPr>
  </w:style>
  <w:style w:type="character" w:customStyle="1" w:styleId="Heading8Char">
    <w:name w:val="Heading 8 Char"/>
    <w:basedOn w:val="DefaultParagraphFont"/>
    <w:link w:val="Heading8"/>
    <w:uiPriority w:val="9"/>
    <w:semiHidden/>
    <w:rsid w:val="00E94D89"/>
    <w:rPr>
      <w:rFonts w:asciiTheme="majorHAnsi" w:eastAsiaTheme="majorEastAsia" w:hAnsiTheme="majorHAnsi" w:cstheme="majorBidi"/>
      <w:color w:val="404040" w:themeColor="text1" w:themeTint="BF"/>
      <w:sz w:val="22"/>
      <w:lang w:eastAsia="en-AU"/>
    </w:rPr>
  </w:style>
  <w:style w:type="character" w:customStyle="1" w:styleId="Heading9Char">
    <w:name w:val="Heading 9 Char"/>
    <w:basedOn w:val="DefaultParagraphFont"/>
    <w:link w:val="Heading9"/>
    <w:uiPriority w:val="9"/>
    <w:semiHidden/>
    <w:rsid w:val="00E94D89"/>
    <w:rPr>
      <w:rFonts w:asciiTheme="majorHAnsi" w:eastAsiaTheme="majorEastAsia" w:hAnsiTheme="majorHAnsi" w:cstheme="majorBidi"/>
      <w:i/>
      <w:iCs/>
      <w:color w:val="404040" w:themeColor="text1" w:themeTint="BF"/>
      <w:sz w:val="22"/>
      <w:lang w:eastAsia="en-AU"/>
    </w:rPr>
  </w:style>
  <w:style w:type="table" w:styleId="MediumShading2-Accent4">
    <w:name w:val="Medium Shading 2 Accent 4"/>
    <w:basedOn w:val="TableNormal"/>
    <w:uiPriority w:val="64"/>
    <w:rsid w:val="00384F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384F9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84F9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384F9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ableHeader">
    <w:name w:val="TableHeader"/>
    <w:basedOn w:val="Normal"/>
    <w:rsid w:val="0042222F"/>
    <w:pPr>
      <w:keepNext/>
      <w:spacing w:before="60" w:after="40"/>
      <w:jc w:val="center"/>
    </w:pPr>
    <w:rPr>
      <w:rFonts w:ascii="Arial" w:hAnsi="Arial" w:cs="Arial"/>
      <w:b/>
      <w:szCs w:val="24"/>
      <w:lang w:eastAsia="en-US"/>
    </w:rPr>
  </w:style>
  <w:style w:type="paragraph" w:styleId="Bibliography">
    <w:name w:val="Bibliography"/>
    <w:basedOn w:val="Normal"/>
    <w:next w:val="Normal"/>
    <w:uiPriority w:val="37"/>
    <w:semiHidden/>
    <w:unhideWhenUsed/>
    <w:rsid w:val="0011643B"/>
  </w:style>
  <w:style w:type="character" w:styleId="IntenseReference">
    <w:name w:val="Intense Reference"/>
    <w:basedOn w:val="DefaultParagraphFont"/>
    <w:uiPriority w:val="99"/>
    <w:qFormat/>
    <w:rsid w:val="00E31726"/>
    <w:rPr>
      <w:rFonts w:cs="Times New Roman"/>
      <w:b/>
      <w:smallCaps/>
    </w:rPr>
  </w:style>
  <w:style w:type="table" w:styleId="LightShading-Accent1">
    <w:name w:val="Light Shading Accent 1"/>
    <w:basedOn w:val="TableNormal"/>
    <w:uiPriority w:val="60"/>
    <w:rsid w:val="00C15A8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basedOn w:val="Normal"/>
    <w:uiPriority w:val="99"/>
    <w:rsid w:val="00284700"/>
    <w:pPr>
      <w:numPr>
        <w:numId w:val="19"/>
      </w:numPr>
      <w:spacing w:before="60" w:after="60" w:line="276" w:lineRule="auto"/>
      <w:ind w:left="357" w:hanging="357"/>
      <w:jc w:val="left"/>
    </w:pPr>
    <w:rPr>
      <w:rFonts w:ascii="Arial" w:hAnsi="Arial"/>
      <w:sz w:val="23"/>
      <w:szCs w:val="20"/>
      <w:lang w:val="en-GB" w:eastAsia="en-GB"/>
    </w:rPr>
  </w:style>
  <w:style w:type="paragraph" w:styleId="List">
    <w:name w:val="List"/>
    <w:basedOn w:val="Normal"/>
    <w:uiPriority w:val="99"/>
    <w:rsid w:val="00284700"/>
    <w:pPr>
      <w:tabs>
        <w:tab w:val="left" w:pos="426"/>
      </w:tabs>
      <w:spacing w:after="60" w:line="276" w:lineRule="auto"/>
      <w:ind w:left="426" w:hanging="426"/>
      <w:jc w:val="left"/>
    </w:pPr>
    <w:rPr>
      <w:rFonts w:ascii="Arial" w:eastAsia="SimSun" w:hAnsi="Arial"/>
      <w:sz w:val="23"/>
      <w:lang w:val="en-GB" w:eastAsia="zh-CN"/>
    </w:rPr>
  </w:style>
  <w:style w:type="paragraph" w:customStyle="1" w:styleId="level2">
    <w:name w:val="level 2"/>
    <w:basedOn w:val="Normal"/>
    <w:uiPriority w:val="99"/>
    <w:rsid w:val="00284700"/>
    <w:pPr>
      <w:numPr>
        <w:ilvl w:val="1"/>
        <w:numId w:val="20"/>
      </w:numPr>
      <w:tabs>
        <w:tab w:val="left" w:pos="567"/>
      </w:tabs>
      <w:spacing w:before="0" w:after="200" w:line="276" w:lineRule="auto"/>
      <w:ind w:left="567" w:hanging="567"/>
      <w:jc w:val="left"/>
    </w:pPr>
    <w:rPr>
      <w:rFonts w:ascii="Arial" w:hAnsi="Arial"/>
      <w:lang w:val="en-GB" w:eastAsia="en-GB"/>
    </w:rPr>
  </w:style>
  <w:style w:type="paragraph" w:styleId="NormalIndent">
    <w:name w:val="Normal Indent"/>
    <w:basedOn w:val="Normal"/>
    <w:uiPriority w:val="99"/>
    <w:rsid w:val="00284700"/>
    <w:pPr>
      <w:spacing w:before="0" w:after="200" w:line="276" w:lineRule="auto"/>
      <w:ind w:left="851"/>
      <w:jc w:val="left"/>
    </w:pPr>
    <w:rPr>
      <w:rFonts w:ascii="Arial" w:hAnsi="Arial"/>
      <w:lang w:val="en-GB" w:eastAsia="en-GB"/>
    </w:rPr>
  </w:style>
  <w:style w:type="paragraph" w:customStyle="1" w:styleId="level1">
    <w:name w:val="level 1"/>
    <w:basedOn w:val="Normal"/>
    <w:uiPriority w:val="99"/>
    <w:rsid w:val="00284700"/>
    <w:pPr>
      <w:numPr>
        <w:numId w:val="20"/>
      </w:numPr>
      <w:tabs>
        <w:tab w:val="num" w:pos="643"/>
      </w:tabs>
      <w:spacing w:before="360"/>
      <w:jc w:val="left"/>
      <w:outlineLvl w:val="0"/>
    </w:pPr>
    <w:rPr>
      <w:rFonts w:ascii="Arial" w:hAnsi="Arial"/>
      <w:b/>
      <w:smallCaps/>
      <w:spacing w:val="5"/>
      <w:sz w:val="28"/>
      <w:szCs w:val="36"/>
    </w:rPr>
  </w:style>
  <w:style w:type="character" w:styleId="Strong">
    <w:name w:val="Strong"/>
    <w:basedOn w:val="DefaultParagraphFont"/>
    <w:uiPriority w:val="99"/>
    <w:qFormat/>
    <w:rsid w:val="00284700"/>
    <w:rPr>
      <w:rFonts w:cs="Times New Roman"/>
      <w:b/>
    </w:rPr>
  </w:style>
  <w:style w:type="paragraph" w:customStyle="1" w:styleId="Tabletext">
    <w:name w:val="Table text"/>
    <w:basedOn w:val="Normal"/>
    <w:link w:val="TabletextChar"/>
    <w:uiPriority w:val="99"/>
    <w:rsid w:val="00284700"/>
    <w:pPr>
      <w:spacing w:before="60" w:after="60" w:line="276" w:lineRule="auto"/>
      <w:jc w:val="left"/>
    </w:pPr>
    <w:rPr>
      <w:rFonts w:ascii="Arial" w:eastAsia="SimSun" w:hAnsi="Arial"/>
      <w:szCs w:val="20"/>
      <w:lang w:eastAsia="zh-CN"/>
    </w:rPr>
  </w:style>
  <w:style w:type="character" w:customStyle="1" w:styleId="TabletextChar">
    <w:name w:val="Table text Char"/>
    <w:link w:val="Tabletext"/>
    <w:uiPriority w:val="99"/>
    <w:locked/>
    <w:rsid w:val="00284700"/>
    <w:rPr>
      <w:rFonts w:ascii="Arial" w:eastAsia="SimSun" w:hAnsi="Arial"/>
      <w:sz w:val="22"/>
      <w:lang w:eastAsia="zh-CN"/>
    </w:rPr>
  </w:style>
  <w:style w:type="paragraph" w:styleId="Title">
    <w:name w:val="Title"/>
    <w:basedOn w:val="Normal"/>
    <w:next w:val="Normal"/>
    <w:link w:val="TitleChar1"/>
    <w:uiPriority w:val="99"/>
    <w:qFormat/>
    <w:rsid w:val="00284700"/>
    <w:pPr>
      <w:spacing w:before="0" w:after="300"/>
      <w:contextualSpacing/>
      <w:jc w:val="left"/>
    </w:pPr>
    <w:rPr>
      <w:rFonts w:ascii="Arial" w:hAnsi="Arial"/>
      <w:smallCaps/>
      <w:sz w:val="52"/>
      <w:szCs w:val="20"/>
    </w:rPr>
  </w:style>
  <w:style w:type="character" w:customStyle="1" w:styleId="TitleChar">
    <w:name w:val="Title Char"/>
    <w:basedOn w:val="DefaultParagraphFont"/>
    <w:uiPriority w:val="10"/>
    <w:rsid w:val="00284700"/>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1">
    <w:name w:val="Title Char1"/>
    <w:link w:val="Title"/>
    <w:uiPriority w:val="99"/>
    <w:locked/>
    <w:rsid w:val="00284700"/>
    <w:rPr>
      <w:rFonts w:ascii="Arial" w:hAnsi="Arial"/>
      <w:smallCaps/>
      <w:sz w:val="52"/>
      <w:lang w:eastAsia="en-AU"/>
    </w:rPr>
  </w:style>
  <w:style w:type="character" w:styleId="SubtleEmphasis">
    <w:name w:val="Subtle Emphasis"/>
    <w:basedOn w:val="DefaultParagraphFont"/>
    <w:uiPriority w:val="99"/>
    <w:qFormat/>
    <w:rsid w:val="00284700"/>
    <w:rPr>
      <w:rFonts w:cs="Times New Roman"/>
      <w:i/>
    </w:rPr>
  </w:style>
  <w:style w:type="character" w:styleId="IntenseEmphasis">
    <w:name w:val="Intense Emphasis"/>
    <w:basedOn w:val="DefaultParagraphFont"/>
    <w:uiPriority w:val="99"/>
    <w:qFormat/>
    <w:rsid w:val="00284700"/>
    <w:rPr>
      <w:rFonts w:cs="Times New Roman"/>
      <w:b/>
      <w:i/>
    </w:rPr>
  </w:style>
  <w:style w:type="paragraph" w:styleId="ListNumber5">
    <w:name w:val="List Number 5"/>
    <w:basedOn w:val="Normal"/>
    <w:uiPriority w:val="99"/>
    <w:rsid w:val="00284700"/>
    <w:pPr>
      <w:numPr>
        <w:numId w:val="18"/>
      </w:numPr>
      <w:spacing w:before="0" w:after="200" w:line="276" w:lineRule="auto"/>
      <w:ind w:left="1797" w:hanging="357"/>
      <w:contextualSpacing/>
      <w:jc w:val="left"/>
    </w:pPr>
    <w:rPr>
      <w:rFonts w:ascii="Arial" w:hAnsi="Arial"/>
      <w:lang w:val="en-GB" w:eastAsia="en-GB"/>
    </w:rPr>
  </w:style>
  <w:style w:type="paragraph" w:styleId="NoSpacing">
    <w:name w:val="No Spacing"/>
    <w:link w:val="NoSpacingChar"/>
    <w:uiPriority w:val="1"/>
    <w:qFormat/>
    <w:rsid w:val="00284700"/>
    <w:rPr>
      <w:rFonts w:ascii="Calibri" w:hAnsi="Calibri"/>
      <w:sz w:val="22"/>
      <w:szCs w:val="22"/>
      <w:lang w:val="en-US"/>
    </w:rPr>
  </w:style>
  <w:style w:type="character" w:customStyle="1" w:styleId="NoSpacingChar">
    <w:name w:val="No Spacing Char"/>
    <w:link w:val="NoSpacing"/>
    <w:uiPriority w:val="1"/>
    <w:rsid w:val="00284700"/>
    <w:rPr>
      <w:rFonts w:ascii="Calibri" w:hAnsi="Calibri"/>
      <w:sz w:val="22"/>
      <w:szCs w:val="22"/>
      <w:lang w:val="en-US"/>
    </w:rPr>
  </w:style>
  <w:style w:type="paragraph" w:customStyle="1" w:styleId="Bodytxt">
    <w:name w:val="Bodytxt"/>
    <w:basedOn w:val="Normal"/>
    <w:link w:val="BodytxtChar"/>
    <w:rsid w:val="00284700"/>
    <w:pPr>
      <w:spacing w:before="0"/>
      <w:ind w:left="720"/>
    </w:pPr>
    <w:rPr>
      <w:rFonts w:ascii="Arial" w:hAnsi="Arial" w:cs="Arial"/>
      <w:sz w:val="20"/>
      <w:szCs w:val="24"/>
      <w:lang w:eastAsia="en-US"/>
    </w:rPr>
  </w:style>
  <w:style w:type="character" w:customStyle="1" w:styleId="BodytxtChar">
    <w:name w:val="Bodytxt Char"/>
    <w:link w:val="Bodytxt"/>
    <w:rsid w:val="00284700"/>
    <w:rPr>
      <w:rFonts w:ascii="Arial" w:hAnsi="Arial" w:cs="Arial"/>
      <w:szCs w:val="24"/>
    </w:rPr>
  </w:style>
  <w:style w:type="paragraph" w:customStyle="1" w:styleId="Picturepar">
    <w:name w:val="Picture par"/>
    <w:basedOn w:val="Normal"/>
    <w:rsid w:val="00284700"/>
    <w:pPr>
      <w:keepNext/>
      <w:spacing w:before="0" w:after="240"/>
      <w:jc w:val="left"/>
    </w:pPr>
    <w:rPr>
      <w:rFonts w:ascii="Times New Roman" w:hAnsi="Times New Roman"/>
      <w:sz w:val="24"/>
      <w:szCs w:val="20"/>
      <w:lang w:eastAsia="en-US"/>
    </w:rPr>
  </w:style>
  <w:style w:type="paragraph" w:styleId="EndnoteText">
    <w:name w:val="endnote text"/>
    <w:basedOn w:val="Normal"/>
    <w:link w:val="EndnoteTextChar"/>
    <w:semiHidden/>
    <w:rsid w:val="00284700"/>
    <w:pPr>
      <w:spacing w:before="0" w:after="240"/>
    </w:pPr>
    <w:rPr>
      <w:rFonts w:ascii="Times New Roman" w:hAnsi="Times New Roman"/>
      <w:sz w:val="24"/>
      <w:szCs w:val="20"/>
      <w:lang w:eastAsia="en-US"/>
    </w:rPr>
  </w:style>
  <w:style w:type="character" w:customStyle="1" w:styleId="EndnoteTextChar">
    <w:name w:val="Endnote Text Char"/>
    <w:basedOn w:val="DefaultParagraphFont"/>
    <w:link w:val="EndnoteText"/>
    <w:semiHidden/>
    <w:rsid w:val="00284700"/>
    <w:rPr>
      <w:sz w:val="24"/>
    </w:rPr>
  </w:style>
  <w:style w:type="paragraph" w:customStyle="1" w:styleId="List-bullet-2">
    <w:name w:val="List-bullet-2"/>
    <w:basedOn w:val="Normal"/>
    <w:rsid w:val="00284700"/>
    <w:pPr>
      <w:numPr>
        <w:numId w:val="21"/>
      </w:numPr>
      <w:tabs>
        <w:tab w:val="clear" w:pos="1021"/>
        <w:tab w:val="num" w:pos="301"/>
      </w:tabs>
      <w:spacing w:before="80" w:after="0"/>
      <w:ind w:left="301"/>
      <w:jc w:val="left"/>
    </w:pPr>
    <w:rPr>
      <w:rFonts w:ascii="Arial" w:hAnsi="Arial" w:cs="Arial"/>
      <w:sz w:val="20"/>
      <w:lang w:val="en-US" w:eastAsia="en-US"/>
    </w:rPr>
  </w:style>
  <w:style w:type="paragraph" w:styleId="PlainText">
    <w:name w:val="Plain Text"/>
    <w:basedOn w:val="Normal"/>
    <w:link w:val="PlainTextChar"/>
    <w:uiPriority w:val="99"/>
    <w:unhideWhenUsed/>
    <w:rsid w:val="00284700"/>
    <w:pPr>
      <w:spacing w:before="0" w:after="0"/>
      <w:jc w:val="left"/>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84700"/>
    <w:rPr>
      <w:rFonts w:ascii="Consolas" w:eastAsia="Calibri" w:hAnsi="Consolas"/>
      <w:sz w:val="21"/>
      <w:szCs w:val="21"/>
      <w:lang w:val="en-US"/>
    </w:rPr>
  </w:style>
  <w:style w:type="table" w:styleId="MediumGrid1-Accent3">
    <w:name w:val="Medium Grid 1 Accent 3"/>
    <w:basedOn w:val="TableNormal"/>
    <w:uiPriority w:val="67"/>
    <w:rsid w:val="00284700"/>
    <w:rPr>
      <w:rFonts w:ascii="Calibri" w:eastAsia="Calibri" w:hAnsi="Calibr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004A1"/>
    <w:pPr>
      <w:spacing w:before="120" w:after="120"/>
      <w:jc w:val="both"/>
    </w:pPr>
    <w:rPr>
      <w:rFonts w:asciiTheme="minorHAnsi" w:hAnsiTheme="minorHAnsi"/>
      <w:sz w:val="22"/>
      <w:szCs w:val="22"/>
      <w:lang w:eastAsia="en-AU"/>
    </w:rPr>
  </w:style>
  <w:style w:type="paragraph" w:styleId="Heading1">
    <w:name w:val="heading 1"/>
    <w:basedOn w:val="Normal"/>
    <w:next w:val="Normal"/>
    <w:link w:val="Heading1Char"/>
    <w:uiPriority w:val="99"/>
    <w:qFormat/>
    <w:rsid w:val="00064529"/>
    <w:pPr>
      <w:keepNext/>
      <w:outlineLvl w:val="0"/>
    </w:pPr>
    <w:rPr>
      <w:rFonts w:cs="Arial"/>
      <w:b/>
      <w:bCs/>
      <w:kern w:val="32"/>
      <w:sz w:val="28"/>
      <w:szCs w:val="32"/>
    </w:rPr>
  </w:style>
  <w:style w:type="paragraph" w:styleId="Heading2">
    <w:name w:val="heading 2"/>
    <w:basedOn w:val="Normal"/>
    <w:next w:val="Normal"/>
    <w:link w:val="Heading2Char"/>
    <w:qFormat/>
    <w:rsid w:val="004F6DCF"/>
    <w:pPr>
      <w:keepNext/>
      <w:outlineLvl w:val="1"/>
    </w:pPr>
    <w:rPr>
      <w:rFonts w:cs="Arial"/>
      <w:b/>
      <w:bCs/>
      <w:iCs/>
      <w:sz w:val="24"/>
      <w:szCs w:val="28"/>
    </w:rPr>
  </w:style>
  <w:style w:type="paragraph" w:styleId="Heading3">
    <w:name w:val="heading 3"/>
    <w:basedOn w:val="Normal"/>
    <w:next w:val="Normal"/>
    <w:link w:val="Heading3Char"/>
    <w:uiPriority w:val="9"/>
    <w:qFormat/>
    <w:rsid w:val="00E94D89"/>
    <w:pPr>
      <w:keepNext/>
      <w:numPr>
        <w:ilvl w:val="2"/>
        <w:numId w:val="14"/>
      </w:numPr>
      <w:outlineLvl w:val="2"/>
    </w:pPr>
    <w:rPr>
      <w:b/>
      <w:bCs/>
      <w:szCs w:val="26"/>
    </w:rPr>
  </w:style>
  <w:style w:type="paragraph" w:styleId="Heading4">
    <w:name w:val="heading 4"/>
    <w:basedOn w:val="Normal"/>
    <w:next w:val="Normal"/>
    <w:link w:val="Heading4Char"/>
    <w:uiPriority w:val="9"/>
    <w:semiHidden/>
    <w:unhideWhenUsed/>
    <w:qFormat/>
    <w:rsid w:val="00E94D89"/>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4D89"/>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4D89"/>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D89"/>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D89"/>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94D89"/>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E70"/>
    <w:pPr>
      <w:tabs>
        <w:tab w:val="center" w:pos="4153"/>
        <w:tab w:val="right" w:pos="8306"/>
      </w:tabs>
    </w:pPr>
  </w:style>
  <w:style w:type="paragraph" w:styleId="Footer">
    <w:name w:val="footer"/>
    <w:basedOn w:val="Normal"/>
    <w:link w:val="FooterChar"/>
    <w:rsid w:val="008445C3"/>
    <w:pPr>
      <w:tabs>
        <w:tab w:val="center" w:pos="4153"/>
        <w:tab w:val="right" w:pos="8306"/>
      </w:tabs>
    </w:pPr>
  </w:style>
  <w:style w:type="character" w:customStyle="1" w:styleId="HeaderChar">
    <w:name w:val="Header Char"/>
    <w:basedOn w:val="DefaultParagraphFont"/>
    <w:link w:val="Header"/>
    <w:uiPriority w:val="99"/>
    <w:rsid w:val="001C1E70"/>
    <w:rPr>
      <w:rFonts w:ascii="Arial" w:hAnsi="Arial"/>
      <w:sz w:val="24"/>
      <w:szCs w:val="24"/>
      <w:lang w:val="en-AU" w:eastAsia="en-AU" w:bidi="ar-SA"/>
    </w:rPr>
  </w:style>
  <w:style w:type="paragraph" w:customStyle="1" w:styleId="Table-normal-text">
    <w:name w:val="Table-normal-text"/>
    <w:basedOn w:val="Normal"/>
    <w:rsid w:val="00010AA3"/>
    <w:pPr>
      <w:spacing w:before="60"/>
    </w:pPr>
    <w:rPr>
      <w:lang w:eastAsia="en-US"/>
    </w:rPr>
  </w:style>
  <w:style w:type="paragraph" w:customStyle="1" w:styleId="ColorfulList-Accent11">
    <w:name w:val="Colorful List - Accent 11"/>
    <w:basedOn w:val="Normal"/>
    <w:uiPriority w:val="34"/>
    <w:qFormat/>
    <w:rsid w:val="00732541"/>
    <w:pPr>
      <w:spacing w:line="270" w:lineRule="atLeast"/>
      <w:ind w:left="720"/>
    </w:pPr>
    <w:rPr>
      <w:rFonts w:eastAsia="Arial Unicode MS" w:cs="Arial"/>
    </w:rPr>
  </w:style>
  <w:style w:type="character" w:customStyle="1" w:styleId="FooterChar">
    <w:name w:val="Footer Char"/>
    <w:basedOn w:val="DefaultParagraphFont"/>
    <w:link w:val="Footer"/>
    <w:rsid w:val="009D4DD8"/>
    <w:rPr>
      <w:rFonts w:ascii="Arial" w:hAnsi="Arial"/>
      <w:sz w:val="22"/>
      <w:szCs w:val="22"/>
      <w:lang w:val="en-AU" w:eastAsia="en-AU" w:bidi="ar-SA"/>
    </w:rPr>
  </w:style>
  <w:style w:type="character" w:styleId="Hyperlink">
    <w:name w:val="Hyperlink"/>
    <w:basedOn w:val="DefaultParagraphFont"/>
    <w:uiPriority w:val="99"/>
    <w:rsid w:val="009D4DD8"/>
    <w:rPr>
      <w:rFonts w:cs="Times New Roman"/>
      <w:color w:val="0000FF"/>
      <w:u w:val="single"/>
    </w:rPr>
  </w:style>
  <w:style w:type="character" w:styleId="PageNumber">
    <w:name w:val="page number"/>
    <w:basedOn w:val="DefaultParagraphFont"/>
    <w:rsid w:val="00A50CE1"/>
  </w:style>
  <w:style w:type="paragraph" w:styleId="BalloonText">
    <w:name w:val="Balloon Text"/>
    <w:basedOn w:val="Normal"/>
    <w:link w:val="BalloonTextChar"/>
    <w:semiHidden/>
    <w:unhideWhenUsed/>
    <w:rsid w:val="00E57781"/>
    <w:rPr>
      <w:rFonts w:ascii="Tahoma" w:hAnsi="Tahoma" w:cs="Tahoma"/>
      <w:sz w:val="16"/>
      <w:szCs w:val="16"/>
    </w:rPr>
  </w:style>
  <w:style w:type="character" w:customStyle="1" w:styleId="BalloonTextChar">
    <w:name w:val="Balloon Text Char"/>
    <w:basedOn w:val="DefaultParagraphFont"/>
    <w:link w:val="BalloonText"/>
    <w:uiPriority w:val="99"/>
    <w:semiHidden/>
    <w:rsid w:val="00E57781"/>
    <w:rPr>
      <w:rFonts w:ascii="Tahoma" w:hAnsi="Tahoma" w:cs="Tahoma"/>
      <w:sz w:val="16"/>
      <w:szCs w:val="16"/>
    </w:rPr>
  </w:style>
  <w:style w:type="table" w:styleId="TableGrid">
    <w:name w:val="Table Grid"/>
    <w:basedOn w:val="TableNormal"/>
    <w:uiPriority w:val="59"/>
    <w:rsid w:val="0038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Level1">
    <w:name w:val=".CON  Level   1."/>
    <w:basedOn w:val="Normal"/>
    <w:next w:val="Normal"/>
    <w:rsid w:val="001679FA"/>
    <w:pPr>
      <w:keepNext/>
      <w:numPr>
        <w:numId w:val="1"/>
      </w:numPr>
      <w:spacing w:before="240"/>
      <w:outlineLvl w:val="1"/>
    </w:pPr>
    <w:rPr>
      <w:rFonts w:ascii="Times New Roman" w:hAnsi="Times New Roman"/>
      <w:b/>
      <w:lang w:eastAsia="en-US"/>
    </w:rPr>
  </w:style>
  <w:style w:type="paragraph" w:customStyle="1" w:styleId="CONLevel11">
    <w:name w:val=".CON  Level   1.1"/>
    <w:basedOn w:val="Normal"/>
    <w:next w:val="Normal"/>
    <w:link w:val="CONLevel11Char"/>
    <w:rsid w:val="001679FA"/>
    <w:pPr>
      <w:numPr>
        <w:ilvl w:val="1"/>
        <w:numId w:val="1"/>
      </w:numPr>
      <w:spacing w:before="240"/>
      <w:outlineLvl w:val="2"/>
    </w:pPr>
    <w:rPr>
      <w:rFonts w:ascii="Times New Roman" w:hAnsi="Times New Roman"/>
      <w:lang w:eastAsia="en-US"/>
    </w:rPr>
  </w:style>
  <w:style w:type="paragraph" w:customStyle="1" w:styleId="CONLevela">
    <w:name w:val=".CON  Level  (a)"/>
    <w:basedOn w:val="Normal"/>
    <w:next w:val="Normal"/>
    <w:rsid w:val="001679FA"/>
    <w:pPr>
      <w:numPr>
        <w:ilvl w:val="2"/>
        <w:numId w:val="1"/>
      </w:numPr>
      <w:spacing w:before="240"/>
      <w:outlineLvl w:val="3"/>
    </w:pPr>
    <w:rPr>
      <w:rFonts w:ascii="Times New Roman" w:hAnsi="Times New Roman"/>
      <w:lang w:eastAsia="en-US"/>
    </w:rPr>
  </w:style>
  <w:style w:type="paragraph" w:customStyle="1" w:styleId="CONLeveli">
    <w:name w:val=".CON  Level  (i)"/>
    <w:basedOn w:val="Normal"/>
    <w:next w:val="Normal"/>
    <w:rsid w:val="001679FA"/>
    <w:pPr>
      <w:numPr>
        <w:ilvl w:val="3"/>
        <w:numId w:val="1"/>
      </w:numPr>
      <w:spacing w:before="240"/>
      <w:outlineLvl w:val="4"/>
    </w:pPr>
    <w:rPr>
      <w:rFonts w:ascii="Times New Roman" w:hAnsi="Times New Roman"/>
      <w:lang w:eastAsia="en-US"/>
    </w:rPr>
  </w:style>
  <w:style w:type="paragraph" w:customStyle="1" w:styleId="CONLevelA0">
    <w:name w:val=".CON  Level (A)"/>
    <w:basedOn w:val="Normal"/>
    <w:next w:val="Normal"/>
    <w:rsid w:val="001679FA"/>
    <w:pPr>
      <w:numPr>
        <w:ilvl w:val="4"/>
        <w:numId w:val="1"/>
      </w:numPr>
      <w:spacing w:before="240"/>
      <w:outlineLvl w:val="5"/>
    </w:pPr>
    <w:rPr>
      <w:rFonts w:ascii="Times New Roman" w:hAnsi="Times New Roman"/>
      <w:lang w:eastAsia="en-US"/>
    </w:rPr>
  </w:style>
  <w:style w:type="paragraph" w:customStyle="1" w:styleId="CONLevelI0">
    <w:name w:val=".CON  Level (I)"/>
    <w:basedOn w:val="Normal"/>
    <w:next w:val="Normal"/>
    <w:rsid w:val="001679FA"/>
    <w:pPr>
      <w:numPr>
        <w:ilvl w:val="5"/>
        <w:numId w:val="1"/>
      </w:numPr>
      <w:spacing w:before="240"/>
      <w:outlineLvl w:val="6"/>
    </w:pPr>
    <w:rPr>
      <w:rFonts w:ascii="Times New Roman" w:hAnsi="Times New Roman"/>
      <w:lang w:eastAsia="en-US"/>
    </w:rPr>
  </w:style>
  <w:style w:type="character" w:customStyle="1" w:styleId="CONLevel11Char">
    <w:name w:val=".CON  Level   1.1 Char"/>
    <w:basedOn w:val="DefaultParagraphFont"/>
    <w:link w:val="CONLevel11"/>
    <w:rsid w:val="001679FA"/>
    <w:rPr>
      <w:sz w:val="22"/>
      <w:szCs w:val="22"/>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rsid w:val="004F6DCF"/>
    <w:rPr>
      <w:sz w:val="18"/>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4F6DCF"/>
    <w:rPr>
      <w:rFonts w:asciiTheme="minorHAnsi" w:hAnsiTheme="minorHAnsi"/>
      <w:sz w:val="18"/>
      <w:lang w:eastAsia="en-AU"/>
    </w:rPr>
  </w:style>
  <w:style w:type="character" w:styleId="FootnoteReference">
    <w:name w:val="footnote reference"/>
    <w:aliases w:val="ftref,(NECG) Footnote Reference,Ref,de nota al pie"/>
    <w:basedOn w:val="DefaultParagraphFont"/>
    <w:uiPriority w:val="99"/>
    <w:rsid w:val="001679FA"/>
    <w:rPr>
      <w:vertAlign w:val="superscript"/>
    </w:rPr>
  </w:style>
  <w:style w:type="paragraph" w:styleId="BodyText">
    <w:name w:val="Body Text"/>
    <w:aliases w:val="uvlaka 2,  uvlaka 2"/>
    <w:basedOn w:val="Normal"/>
    <w:link w:val="BodyTextChar"/>
    <w:uiPriority w:val="99"/>
    <w:rsid w:val="001679FA"/>
    <w:rPr>
      <w:rFonts w:ascii="Times New Roman" w:hAnsi="Times New Roman"/>
      <w:bCs/>
      <w:szCs w:val="24"/>
      <w:lang w:eastAsia="en-US"/>
    </w:rPr>
  </w:style>
  <w:style w:type="character" w:customStyle="1" w:styleId="BodyTextChar">
    <w:name w:val="Body Text Char"/>
    <w:aliases w:val="uvlaka 2 Char,  uvlaka 2 Char"/>
    <w:basedOn w:val="DefaultParagraphFont"/>
    <w:link w:val="BodyText"/>
    <w:uiPriority w:val="99"/>
    <w:rsid w:val="001679FA"/>
    <w:rPr>
      <w:bCs/>
      <w:sz w:val="24"/>
      <w:szCs w:val="24"/>
      <w:lang w:eastAsia="en-US"/>
    </w:rPr>
  </w:style>
  <w:style w:type="paragraph" w:customStyle="1" w:styleId="table-normal-text0">
    <w:name w:val="table-normal-text"/>
    <w:basedOn w:val="Normal"/>
    <w:rsid w:val="00537ED3"/>
    <w:pPr>
      <w:spacing w:before="100" w:beforeAutospacing="1" w:after="100" w:afterAutospacing="1"/>
    </w:pPr>
    <w:rPr>
      <w:rFonts w:ascii="Times New Roman" w:hAnsi="Times New Roman"/>
      <w:szCs w:val="24"/>
    </w:rPr>
  </w:style>
  <w:style w:type="character" w:customStyle="1" w:styleId="Heading3Char">
    <w:name w:val="Heading 3 Char"/>
    <w:basedOn w:val="DefaultParagraphFont"/>
    <w:link w:val="Heading3"/>
    <w:uiPriority w:val="9"/>
    <w:rsid w:val="00E94D89"/>
    <w:rPr>
      <w:rFonts w:asciiTheme="minorHAnsi" w:hAnsiTheme="minorHAnsi"/>
      <w:b/>
      <w:bCs/>
      <w:sz w:val="22"/>
      <w:szCs w:val="26"/>
      <w:lang w:eastAsia="en-AU"/>
    </w:rPr>
  </w:style>
  <w:style w:type="paragraph" w:customStyle="1" w:styleId="Default">
    <w:name w:val="Default"/>
    <w:rsid w:val="00CB32ED"/>
    <w:pPr>
      <w:autoSpaceDE w:val="0"/>
      <w:autoSpaceDN w:val="0"/>
      <w:adjustRightInd w:val="0"/>
    </w:pPr>
    <w:rPr>
      <w:rFonts w:ascii="Gill Sans Light" w:hAnsi="Gill Sans Light" w:cs="Gill Sans Light"/>
      <w:color w:val="000000"/>
      <w:sz w:val="24"/>
      <w:szCs w:val="24"/>
      <w:lang w:eastAsia="zh-TW"/>
    </w:rPr>
  </w:style>
  <w:style w:type="character" w:styleId="HTMLCite">
    <w:name w:val="HTML Cite"/>
    <w:basedOn w:val="DefaultParagraphFont"/>
    <w:uiPriority w:val="99"/>
    <w:semiHidden/>
    <w:rsid w:val="001E075E"/>
    <w:rPr>
      <w:rFonts w:cs="Times New Roman"/>
      <w:i/>
      <w:iCs/>
    </w:rPr>
  </w:style>
  <w:style w:type="paragraph" w:customStyle="1" w:styleId="Pa1">
    <w:name w:val="Pa1"/>
    <w:basedOn w:val="Normal"/>
    <w:next w:val="Normal"/>
    <w:uiPriority w:val="99"/>
    <w:rsid w:val="001E075E"/>
    <w:pPr>
      <w:autoSpaceDE w:val="0"/>
      <w:autoSpaceDN w:val="0"/>
      <w:adjustRightInd w:val="0"/>
      <w:spacing w:line="161" w:lineRule="atLeast"/>
    </w:pPr>
    <w:rPr>
      <w:rFonts w:ascii="Gill Sans Light" w:hAnsi="Gill Sans Light" w:cs="Arial"/>
      <w:szCs w:val="24"/>
      <w:lang w:eastAsia="zh-TW"/>
    </w:rPr>
  </w:style>
  <w:style w:type="character" w:customStyle="1" w:styleId="A0">
    <w:name w:val="A0"/>
    <w:uiPriority w:val="99"/>
    <w:rsid w:val="001E075E"/>
    <w:rPr>
      <w:rFonts w:cs="Gill Sans Light"/>
      <w:color w:val="000000"/>
      <w:sz w:val="13"/>
      <w:szCs w:val="13"/>
    </w:rPr>
  </w:style>
  <w:style w:type="character" w:customStyle="1" w:styleId="Heading1Char">
    <w:name w:val="Heading 1 Char"/>
    <w:basedOn w:val="DefaultParagraphFont"/>
    <w:link w:val="Heading1"/>
    <w:uiPriority w:val="99"/>
    <w:rsid w:val="00064529"/>
    <w:rPr>
      <w:rFonts w:asciiTheme="minorHAnsi" w:hAnsiTheme="minorHAnsi" w:cs="Arial"/>
      <w:b/>
      <w:bCs/>
      <w:kern w:val="32"/>
      <w:sz w:val="28"/>
      <w:szCs w:val="32"/>
      <w:lang w:eastAsia="en-AU"/>
    </w:rPr>
  </w:style>
  <w:style w:type="character" w:customStyle="1" w:styleId="Heading2Char">
    <w:name w:val="Heading 2 Char"/>
    <w:basedOn w:val="DefaultParagraphFont"/>
    <w:link w:val="Heading2"/>
    <w:rsid w:val="004F6DCF"/>
    <w:rPr>
      <w:rFonts w:asciiTheme="minorHAnsi" w:hAnsiTheme="minorHAnsi" w:cs="Arial"/>
      <w:b/>
      <w:bCs/>
      <w:iCs/>
      <w:sz w:val="24"/>
      <w:szCs w:val="28"/>
      <w:lang w:eastAsia="en-AU"/>
    </w:rPr>
  </w:style>
  <w:style w:type="paragraph" w:styleId="DocumentMap">
    <w:name w:val="Document Map"/>
    <w:basedOn w:val="Normal"/>
    <w:link w:val="DocumentMapChar"/>
    <w:uiPriority w:val="99"/>
    <w:semiHidden/>
    <w:unhideWhenUsed/>
    <w:rsid w:val="00363011"/>
    <w:rPr>
      <w:rFonts w:ascii="Lucida Grande" w:hAnsi="Lucida Grande"/>
      <w:szCs w:val="24"/>
    </w:rPr>
  </w:style>
  <w:style w:type="character" w:customStyle="1" w:styleId="DocumentMapChar">
    <w:name w:val="Document Map Char"/>
    <w:basedOn w:val="DefaultParagraphFont"/>
    <w:link w:val="DocumentMap"/>
    <w:uiPriority w:val="99"/>
    <w:semiHidden/>
    <w:rsid w:val="00363011"/>
    <w:rPr>
      <w:rFonts w:ascii="Lucida Grande" w:hAnsi="Lucida Grande"/>
      <w:sz w:val="24"/>
      <w:szCs w:val="24"/>
      <w:lang w:eastAsia="en-AU"/>
    </w:rPr>
  </w:style>
  <w:style w:type="character" w:styleId="CommentReference">
    <w:name w:val="annotation reference"/>
    <w:basedOn w:val="DefaultParagraphFont"/>
    <w:uiPriority w:val="99"/>
    <w:semiHidden/>
    <w:unhideWhenUsed/>
    <w:rsid w:val="00C7271C"/>
    <w:rPr>
      <w:sz w:val="18"/>
      <w:szCs w:val="18"/>
    </w:rPr>
  </w:style>
  <w:style w:type="paragraph" w:styleId="CommentText">
    <w:name w:val="annotation text"/>
    <w:basedOn w:val="Normal"/>
    <w:link w:val="CommentTextChar"/>
    <w:uiPriority w:val="99"/>
    <w:semiHidden/>
    <w:unhideWhenUsed/>
    <w:rsid w:val="00C7271C"/>
    <w:rPr>
      <w:szCs w:val="24"/>
    </w:rPr>
  </w:style>
  <w:style w:type="character" w:customStyle="1" w:styleId="CommentTextChar">
    <w:name w:val="Comment Text Char"/>
    <w:basedOn w:val="DefaultParagraphFont"/>
    <w:link w:val="CommentText"/>
    <w:uiPriority w:val="99"/>
    <w:semiHidden/>
    <w:rsid w:val="00C7271C"/>
    <w:rPr>
      <w:rFonts w:ascii="Arial" w:hAnsi="Arial"/>
      <w:sz w:val="24"/>
      <w:szCs w:val="24"/>
      <w:lang w:eastAsia="en-AU"/>
    </w:rPr>
  </w:style>
  <w:style w:type="paragraph" w:styleId="CommentSubject">
    <w:name w:val="annotation subject"/>
    <w:basedOn w:val="CommentText"/>
    <w:next w:val="CommentText"/>
    <w:link w:val="CommentSubjectChar"/>
    <w:uiPriority w:val="99"/>
    <w:semiHidden/>
    <w:unhideWhenUsed/>
    <w:rsid w:val="00C7271C"/>
    <w:rPr>
      <w:b/>
      <w:bCs/>
      <w:szCs w:val="20"/>
    </w:rPr>
  </w:style>
  <w:style w:type="character" w:customStyle="1" w:styleId="CommentSubjectChar">
    <w:name w:val="Comment Subject Char"/>
    <w:basedOn w:val="CommentTextChar"/>
    <w:link w:val="CommentSubject"/>
    <w:uiPriority w:val="99"/>
    <w:semiHidden/>
    <w:rsid w:val="00C7271C"/>
    <w:rPr>
      <w:rFonts w:ascii="Arial" w:hAnsi="Arial"/>
      <w:b/>
      <w:bCs/>
      <w:sz w:val="24"/>
      <w:szCs w:val="24"/>
      <w:lang w:eastAsia="en-AU"/>
    </w:rPr>
  </w:style>
  <w:style w:type="paragraph" w:styleId="ListParagraph">
    <w:name w:val="List Paragraph"/>
    <w:basedOn w:val="Normal"/>
    <w:uiPriority w:val="34"/>
    <w:qFormat/>
    <w:rsid w:val="00346414"/>
    <w:pPr>
      <w:ind w:left="720"/>
      <w:contextualSpacing/>
    </w:pPr>
  </w:style>
  <w:style w:type="paragraph" w:styleId="TOCHeading">
    <w:name w:val="TOC Heading"/>
    <w:basedOn w:val="Heading1"/>
    <w:next w:val="Normal"/>
    <w:uiPriority w:val="39"/>
    <w:qFormat/>
    <w:rsid w:val="00BD108D"/>
    <w:pPr>
      <w:keepLines/>
      <w:spacing w:before="480" w:line="276" w:lineRule="auto"/>
      <w:outlineLvl w:val="9"/>
    </w:pPr>
    <w:rPr>
      <w:rFonts w:ascii="Cambria" w:hAnsi="Cambria" w:cs="Times New Roman"/>
      <w:color w:val="365F91"/>
      <w:kern w:val="0"/>
      <w:szCs w:val="28"/>
      <w:lang w:val="en-US" w:eastAsia="en-US"/>
    </w:rPr>
  </w:style>
  <w:style w:type="paragraph" w:styleId="TOC1">
    <w:name w:val="toc 1"/>
    <w:basedOn w:val="Normal"/>
    <w:next w:val="Normal"/>
    <w:autoRedefine/>
    <w:uiPriority w:val="39"/>
    <w:unhideWhenUsed/>
    <w:rsid w:val="00FD01A6"/>
    <w:pPr>
      <w:spacing w:before="0" w:after="0"/>
      <w:contextualSpacing/>
    </w:pPr>
  </w:style>
  <w:style w:type="paragraph" w:styleId="TOC2">
    <w:name w:val="toc 2"/>
    <w:basedOn w:val="Normal"/>
    <w:next w:val="Normal"/>
    <w:autoRedefine/>
    <w:uiPriority w:val="39"/>
    <w:unhideWhenUsed/>
    <w:rsid w:val="00384F93"/>
    <w:pPr>
      <w:tabs>
        <w:tab w:val="left" w:pos="907"/>
        <w:tab w:val="left" w:pos="1134"/>
        <w:tab w:val="right" w:leader="dot" w:pos="8755"/>
      </w:tabs>
      <w:spacing w:before="0" w:after="0"/>
      <w:ind w:left="425"/>
      <w:contextualSpacing/>
    </w:pPr>
    <w:rPr>
      <w:rFonts w:cs="Symbol"/>
      <w:noProof/>
    </w:rPr>
  </w:style>
  <w:style w:type="paragraph" w:styleId="TOC3">
    <w:name w:val="toc 3"/>
    <w:basedOn w:val="Normal"/>
    <w:next w:val="Normal"/>
    <w:autoRedefine/>
    <w:uiPriority w:val="39"/>
    <w:unhideWhenUsed/>
    <w:rsid w:val="00BD108D"/>
    <w:pPr>
      <w:ind w:left="440"/>
    </w:pPr>
  </w:style>
  <w:style w:type="paragraph" w:styleId="TOC4">
    <w:name w:val="toc 4"/>
    <w:basedOn w:val="Normal"/>
    <w:next w:val="Normal"/>
    <w:autoRedefine/>
    <w:uiPriority w:val="39"/>
    <w:unhideWhenUsed/>
    <w:rsid w:val="00BD108D"/>
    <w:pPr>
      <w:spacing w:after="100" w:line="276" w:lineRule="auto"/>
      <w:ind w:left="660"/>
    </w:pPr>
    <w:rPr>
      <w:rFonts w:ascii="Calibri" w:hAnsi="Calibri"/>
    </w:rPr>
  </w:style>
  <w:style w:type="paragraph" w:styleId="TOC5">
    <w:name w:val="toc 5"/>
    <w:basedOn w:val="Normal"/>
    <w:next w:val="Normal"/>
    <w:autoRedefine/>
    <w:uiPriority w:val="39"/>
    <w:unhideWhenUsed/>
    <w:rsid w:val="00BD108D"/>
    <w:pPr>
      <w:spacing w:after="100" w:line="276" w:lineRule="auto"/>
      <w:ind w:left="880"/>
    </w:pPr>
    <w:rPr>
      <w:rFonts w:ascii="Calibri" w:hAnsi="Calibri"/>
    </w:rPr>
  </w:style>
  <w:style w:type="paragraph" w:styleId="TOC6">
    <w:name w:val="toc 6"/>
    <w:basedOn w:val="Normal"/>
    <w:next w:val="Normal"/>
    <w:autoRedefine/>
    <w:uiPriority w:val="39"/>
    <w:unhideWhenUsed/>
    <w:rsid w:val="00BD108D"/>
    <w:pPr>
      <w:spacing w:after="100" w:line="276" w:lineRule="auto"/>
      <w:ind w:left="1100"/>
    </w:pPr>
    <w:rPr>
      <w:rFonts w:ascii="Calibri" w:hAnsi="Calibri"/>
    </w:rPr>
  </w:style>
  <w:style w:type="paragraph" w:styleId="TOC7">
    <w:name w:val="toc 7"/>
    <w:basedOn w:val="Normal"/>
    <w:next w:val="Normal"/>
    <w:autoRedefine/>
    <w:uiPriority w:val="39"/>
    <w:unhideWhenUsed/>
    <w:rsid w:val="00BD108D"/>
    <w:pPr>
      <w:spacing w:after="100" w:line="276" w:lineRule="auto"/>
      <w:ind w:left="1320"/>
    </w:pPr>
    <w:rPr>
      <w:rFonts w:ascii="Calibri" w:hAnsi="Calibri"/>
    </w:rPr>
  </w:style>
  <w:style w:type="paragraph" w:styleId="TOC8">
    <w:name w:val="toc 8"/>
    <w:basedOn w:val="Normal"/>
    <w:next w:val="Normal"/>
    <w:autoRedefine/>
    <w:uiPriority w:val="39"/>
    <w:unhideWhenUsed/>
    <w:rsid w:val="00BD108D"/>
    <w:pPr>
      <w:spacing w:after="100" w:line="276" w:lineRule="auto"/>
      <w:ind w:left="1540"/>
    </w:pPr>
    <w:rPr>
      <w:rFonts w:ascii="Calibri" w:hAnsi="Calibri"/>
    </w:rPr>
  </w:style>
  <w:style w:type="paragraph" w:styleId="TOC9">
    <w:name w:val="toc 9"/>
    <w:basedOn w:val="Normal"/>
    <w:next w:val="Normal"/>
    <w:autoRedefine/>
    <w:uiPriority w:val="39"/>
    <w:unhideWhenUsed/>
    <w:rsid w:val="00BD108D"/>
    <w:pPr>
      <w:spacing w:after="100" w:line="276" w:lineRule="auto"/>
      <w:ind w:left="1760"/>
    </w:pPr>
    <w:rPr>
      <w:rFonts w:ascii="Calibri" w:hAnsi="Calibri"/>
    </w:rPr>
  </w:style>
  <w:style w:type="paragraph" w:styleId="NormalWeb">
    <w:name w:val="Normal (Web)"/>
    <w:basedOn w:val="Normal"/>
    <w:rsid w:val="000331C7"/>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A7410"/>
    <w:rPr>
      <w:i/>
      <w:iCs/>
    </w:rPr>
  </w:style>
  <w:style w:type="character" w:styleId="FollowedHyperlink">
    <w:name w:val="FollowedHyperlink"/>
    <w:basedOn w:val="DefaultParagraphFont"/>
    <w:rsid w:val="005C4F09"/>
    <w:rPr>
      <w:color w:val="606420"/>
      <w:u w:val="single"/>
    </w:rPr>
  </w:style>
  <w:style w:type="paragraph" w:customStyle="1" w:styleId="List-number-2">
    <w:name w:val="List-number-2"/>
    <w:basedOn w:val="Normal"/>
    <w:rsid w:val="00140C7A"/>
    <w:pPr>
      <w:numPr>
        <w:ilvl w:val="1"/>
        <w:numId w:val="7"/>
      </w:numPr>
      <w:spacing w:after="0"/>
      <w:jc w:val="left"/>
    </w:pPr>
    <w:rPr>
      <w:rFonts w:ascii="Arial" w:hAnsi="Arial"/>
      <w:szCs w:val="24"/>
      <w:lang w:eastAsia="en-US"/>
    </w:rPr>
  </w:style>
  <w:style w:type="paragraph" w:customStyle="1" w:styleId="List-number-1">
    <w:name w:val="List-number-1"/>
    <w:basedOn w:val="Normal"/>
    <w:link w:val="List-number-1Char"/>
    <w:rsid w:val="00140C7A"/>
    <w:pPr>
      <w:numPr>
        <w:numId w:val="7"/>
      </w:numPr>
      <w:spacing w:after="0"/>
      <w:jc w:val="left"/>
    </w:pPr>
    <w:rPr>
      <w:rFonts w:ascii="Arial" w:hAnsi="Arial"/>
      <w:szCs w:val="24"/>
      <w:lang w:eastAsia="en-US"/>
    </w:rPr>
  </w:style>
  <w:style w:type="character" w:customStyle="1" w:styleId="List-number-1Char">
    <w:name w:val="List-number-1 Char"/>
    <w:link w:val="List-number-1"/>
    <w:rsid w:val="00140C7A"/>
    <w:rPr>
      <w:rFonts w:ascii="Arial" w:hAnsi="Arial"/>
      <w:sz w:val="22"/>
      <w:szCs w:val="24"/>
    </w:rPr>
  </w:style>
  <w:style w:type="table" w:styleId="MediumGrid3-Accent1">
    <w:name w:val="Medium Grid 3 Accent 1"/>
    <w:basedOn w:val="TableNormal"/>
    <w:uiPriority w:val="69"/>
    <w:rsid w:val="004D50EC"/>
    <w:rPr>
      <w:rFonts w:asciiTheme="minorHAnsi" w:eastAsiaTheme="minorEastAsia" w:hAnsiTheme="minorHAnsi" w:cstheme="minorBidi"/>
      <w:sz w:val="24"/>
      <w:szCs w:val="24"/>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4D50E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4D50E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Number4">
    <w:name w:val="List Number 4"/>
    <w:basedOn w:val="Normal"/>
    <w:uiPriority w:val="99"/>
    <w:rsid w:val="006437B0"/>
    <w:pPr>
      <w:numPr>
        <w:numId w:val="8"/>
      </w:numPr>
      <w:spacing w:before="0" w:after="200" w:line="276" w:lineRule="auto"/>
      <w:jc w:val="left"/>
    </w:pPr>
    <w:rPr>
      <w:rFonts w:ascii="Arial" w:hAnsi="Arial"/>
      <w:lang w:val="en-GB" w:eastAsia="en-GB"/>
    </w:rPr>
  </w:style>
  <w:style w:type="table" w:styleId="MediumShading2-Accent1">
    <w:name w:val="Medium Shading 2 Accent 1"/>
    <w:basedOn w:val="TableNormal"/>
    <w:uiPriority w:val="64"/>
    <w:rsid w:val="00384F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
    <w:name w:val="Heading 4 Char"/>
    <w:basedOn w:val="DefaultParagraphFont"/>
    <w:link w:val="Heading4"/>
    <w:uiPriority w:val="9"/>
    <w:semiHidden/>
    <w:rsid w:val="00E94D89"/>
    <w:rPr>
      <w:rFonts w:asciiTheme="majorHAnsi" w:eastAsiaTheme="majorEastAsia" w:hAnsiTheme="majorHAnsi" w:cstheme="majorBidi"/>
      <w:b/>
      <w:bCs/>
      <w:i/>
      <w:iCs/>
      <w:color w:val="4F81BD" w:themeColor="accent1"/>
      <w:sz w:val="22"/>
      <w:szCs w:val="22"/>
      <w:lang w:eastAsia="en-AU"/>
    </w:rPr>
  </w:style>
  <w:style w:type="character" w:customStyle="1" w:styleId="Heading5Char">
    <w:name w:val="Heading 5 Char"/>
    <w:basedOn w:val="DefaultParagraphFont"/>
    <w:link w:val="Heading5"/>
    <w:uiPriority w:val="9"/>
    <w:semiHidden/>
    <w:rsid w:val="00E94D89"/>
    <w:rPr>
      <w:rFonts w:asciiTheme="majorHAnsi" w:eastAsiaTheme="majorEastAsia" w:hAnsiTheme="majorHAnsi" w:cstheme="majorBidi"/>
      <w:color w:val="243F60" w:themeColor="accent1" w:themeShade="7F"/>
      <w:sz w:val="22"/>
      <w:szCs w:val="22"/>
      <w:lang w:eastAsia="en-AU"/>
    </w:rPr>
  </w:style>
  <w:style w:type="character" w:customStyle="1" w:styleId="Heading6Char">
    <w:name w:val="Heading 6 Char"/>
    <w:basedOn w:val="DefaultParagraphFont"/>
    <w:link w:val="Heading6"/>
    <w:uiPriority w:val="9"/>
    <w:semiHidden/>
    <w:rsid w:val="00E94D89"/>
    <w:rPr>
      <w:rFonts w:asciiTheme="majorHAnsi" w:eastAsiaTheme="majorEastAsia" w:hAnsiTheme="majorHAnsi" w:cstheme="majorBidi"/>
      <w:i/>
      <w:iCs/>
      <w:color w:val="243F60" w:themeColor="accent1" w:themeShade="7F"/>
      <w:sz w:val="22"/>
      <w:szCs w:val="22"/>
      <w:lang w:eastAsia="en-AU"/>
    </w:rPr>
  </w:style>
  <w:style w:type="character" w:customStyle="1" w:styleId="Heading7Char">
    <w:name w:val="Heading 7 Char"/>
    <w:basedOn w:val="DefaultParagraphFont"/>
    <w:link w:val="Heading7"/>
    <w:uiPriority w:val="9"/>
    <w:semiHidden/>
    <w:rsid w:val="00E94D89"/>
    <w:rPr>
      <w:rFonts w:asciiTheme="majorHAnsi" w:eastAsiaTheme="majorEastAsia" w:hAnsiTheme="majorHAnsi" w:cstheme="majorBidi"/>
      <w:i/>
      <w:iCs/>
      <w:color w:val="404040" w:themeColor="text1" w:themeTint="BF"/>
      <w:sz w:val="22"/>
      <w:szCs w:val="22"/>
      <w:lang w:eastAsia="en-AU"/>
    </w:rPr>
  </w:style>
  <w:style w:type="character" w:customStyle="1" w:styleId="Heading8Char">
    <w:name w:val="Heading 8 Char"/>
    <w:basedOn w:val="DefaultParagraphFont"/>
    <w:link w:val="Heading8"/>
    <w:uiPriority w:val="9"/>
    <w:semiHidden/>
    <w:rsid w:val="00E94D89"/>
    <w:rPr>
      <w:rFonts w:asciiTheme="majorHAnsi" w:eastAsiaTheme="majorEastAsia" w:hAnsiTheme="majorHAnsi" w:cstheme="majorBidi"/>
      <w:color w:val="404040" w:themeColor="text1" w:themeTint="BF"/>
      <w:sz w:val="22"/>
      <w:lang w:eastAsia="en-AU"/>
    </w:rPr>
  </w:style>
  <w:style w:type="character" w:customStyle="1" w:styleId="Heading9Char">
    <w:name w:val="Heading 9 Char"/>
    <w:basedOn w:val="DefaultParagraphFont"/>
    <w:link w:val="Heading9"/>
    <w:uiPriority w:val="9"/>
    <w:semiHidden/>
    <w:rsid w:val="00E94D89"/>
    <w:rPr>
      <w:rFonts w:asciiTheme="majorHAnsi" w:eastAsiaTheme="majorEastAsia" w:hAnsiTheme="majorHAnsi" w:cstheme="majorBidi"/>
      <w:i/>
      <w:iCs/>
      <w:color w:val="404040" w:themeColor="text1" w:themeTint="BF"/>
      <w:sz w:val="22"/>
      <w:lang w:eastAsia="en-AU"/>
    </w:rPr>
  </w:style>
  <w:style w:type="table" w:styleId="MediumShading2-Accent4">
    <w:name w:val="Medium Shading 2 Accent 4"/>
    <w:basedOn w:val="TableNormal"/>
    <w:uiPriority w:val="64"/>
    <w:rsid w:val="00384F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384F9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84F9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384F9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ableHeader">
    <w:name w:val="TableHeader"/>
    <w:basedOn w:val="Normal"/>
    <w:rsid w:val="0042222F"/>
    <w:pPr>
      <w:keepNext/>
      <w:spacing w:before="60" w:after="40"/>
      <w:jc w:val="center"/>
    </w:pPr>
    <w:rPr>
      <w:rFonts w:ascii="Arial" w:hAnsi="Arial" w:cs="Arial"/>
      <w:b/>
      <w:szCs w:val="24"/>
      <w:lang w:eastAsia="en-US"/>
    </w:rPr>
  </w:style>
  <w:style w:type="paragraph" w:styleId="Bibliography">
    <w:name w:val="Bibliography"/>
    <w:basedOn w:val="Normal"/>
    <w:next w:val="Normal"/>
    <w:uiPriority w:val="37"/>
    <w:semiHidden/>
    <w:unhideWhenUsed/>
    <w:rsid w:val="0011643B"/>
  </w:style>
  <w:style w:type="character" w:styleId="IntenseReference">
    <w:name w:val="Intense Reference"/>
    <w:basedOn w:val="DefaultParagraphFont"/>
    <w:uiPriority w:val="99"/>
    <w:qFormat/>
    <w:rsid w:val="00E31726"/>
    <w:rPr>
      <w:rFonts w:cs="Times New Roman"/>
      <w:b/>
      <w:smallCaps/>
    </w:rPr>
  </w:style>
  <w:style w:type="table" w:styleId="LightShading-Accent1">
    <w:name w:val="Light Shading Accent 1"/>
    <w:basedOn w:val="TableNormal"/>
    <w:uiPriority w:val="60"/>
    <w:rsid w:val="00C15A8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basedOn w:val="Normal"/>
    <w:uiPriority w:val="99"/>
    <w:rsid w:val="00284700"/>
    <w:pPr>
      <w:numPr>
        <w:numId w:val="19"/>
      </w:numPr>
      <w:spacing w:before="60" w:after="60" w:line="276" w:lineRule="auto"/>
      <w:ind w:left="357" w:hanging="357"/>
      <w:jc w:val="left"/>
    </w:pPr>
    <w:rPr>
      <w:rFonts w:ascii="Arial" w:hAnsi="Arial"/>
      <w:sz w:val="23"/>
      <w:szCs w:val="20"/>
      <w:lang w:val="en-GB" w:eastAsia="en-GB"/>
    </w:rPr>
  </w:style>
  <w:style w:type="paragraph" w:styleId="List">
    <w:name w:val="List"/>
    <w:basedOn w:val="Normal"/>
    <w:uiPriority w:val="99"/>
    <w:rsid w:val="00284700"/>
    <w:pPr>
      <w:tabs>
        <w:tab w:val="left" w:pos="426"/>
      </w:tabs>
      <w:spacing w:after="60" w:line="276" w:lineRule="auto"/>
      <w:ind w:left="426" w:hanging="426"/>
      <w:jc w:val="left"/>
    </w:pPr>
    <w:rPr>
      <w:rFonts w:ascii="Arial" w:eastAsia="SimSun" w:hAnsi="Arial"/>
      <w:sz w:val="23"/>
      <w:lang w:val="en-GB" w:eastAsia="zh-CN"/>
    </w:rPr>
  </w:style>
  <w:style w:type="paragraph" w:customStyle="1" w:styleId="level2">
    <w:name w:val="level 2"/>
    <w:basedOn w:val="Normal"/>
    <w:uiPriority w:val="99"/>
    <w:rsid w:val="00284700"/>
    <w:pPr>
      <w:numPr>
        <w:ilvl w:val="1"/>
        <w:numId w:val="20"/>
      </w:numPr>
      <w:tabs>
        <w:tab w:val="left" w:pos="567"/>
      </w:tabs>
      <w:spacing w:before="0" w:after="200" w:line="276" w:lineRule="auto"/>
      <w:ind w:left="567" w:hanging="567"/>
      <w:jc w:val="left"/>
    </w:pPr>
    <w:rPr>
      <w:rFonts w:ascii="Arial" w:hAnsi="Arial"/>
      <w:lang w:val="en-GB" w:eastAsia="en-GB"/>
    </w:rPr>
  </w:style>
  <w:style w:type="paragraph" w:styleId="NormalIndent">
    <w:name w:val="Normal Indent"/>
    <w:basedOn w:val="Normal"/>
    <w:uiPriority w:val="99"/>
    <w:rsid w:val="00284700"/>
    <w:pPr>
      <w:spacing w:before="0" w:after="200" w:line="276" w:lineRule="auto"/>
      <w:ind w:left="851"/>
      <w:jc w:val="left"/>
    </w:pPr>
    <w:rPr>
      <w:rFonts w:ascii="Arial" w:hAnsi="Arial"/>
      <w:lang w:val="en-GB" w:eastAsia="en-GB"/>
    </w:rPr>
  </w:style>
  <w:style w:type="paragraph" w:customStyle="1" w:styleId="level1">
    <w:name w:val="level 1"/>
    <w:basedOn w:val="Normal"/>
    <w:uiPriority w:val="99"/>
    <w:rsid w:val="00284700"/>
    <w:pPr>
      <w:numPr>
        <w:numId w:val="20"/>
      </w:numPr>
      <w:tabs>
        <w:tab w:val="num" w:pos="643"/>
      </w:tabs>
      <w:spacing w:before="360"/>
      <w:jc w:val="left"/>
      <w:outlineLvl w:val="0"/>
    </w:pPr>
    <w:rPr>
      <w:rFonts w:ascii="Arial" w:hAnsi="Arial"/>
      <w:b/>
      <w:smallCaps/>
      <w:spacing w:val="5"/>
      <w:sz w:val="28"/>
      <w:szCs w:val="36"/>
    </w:rPr>
  </w:style>
  <w:style w:type="character" w:styleId="Strong">
    <w:name w:val="Strong"/>
    <w:basedOn w:val="DefaultParagraphFont"/>
    <w:uiPriority w:val="99"/>
    <w:qFormat/>
    <w:rsid w:val="00284700"/>
    <w:rPr>
      <w:rFonts w:cs="Times New Roman"/>
      <w:b/>
    </w:rPr>
  </w:style>
  <w:style w:type="paragraph" w:customStyle="1" w:styleId="Tabletext">
    <w:name w:val="Table text"/>
    <w:basedOn w:val="Normal"/>
    <w:link w:val="TabletextChar"/>
    <w:uiPriority w:val="99"/>
    <w:rsid w:val="00284700"/>
    <w:pPr>
      <w:spacing w:before="60" w:after="60" w:line="276" w:lineRule="auto"/>
      <w:jc w:val="left"/>
    </w:pPr>
    <w:rPr>
      <w:rFonts w:ascii="Arial" w:eastAsia="SimSun" w:hAnsi="Arial"/>
      <w:szCs w:val="20"/>
      <w:lang w:eastAsia="zh-CN"/>
    </w:rPr>
  </w:style>
  <w:style w:type="character" w:customStyle="1" w:styleId="TabletextChar">
    <w:name w:val="Table text Char"/>
    <w:link w:val="Tabletext"/>
    <w:uiPriority w:val="99"/>
    <w:locked/>
    <w:rsid w:val="00284700"/>
    <w:rPr>
      <w:rFonts w:ascii="Arial" w:eastAsia="SimSun" w:hAnsi="Arial"/>
      <w:sz w:val="22"/>
      <w:lang w:eastAsia="zh-CN"/>
    </w:rPr>
  </w:style>
  <w:style w:type="paragraph" w:styleId="Title">
    <w:name w:val="Title"/>
    <w:basedOn w:val="Normal"/>
    <w:next w:val="Normal"/>
    <w:link w:val="TitleChar1"/>
    <w:uiPriority w:val="99"/>
    <w:qFormat/>
    <w:rsid w:val="00284700"/>
    <w:pPr>
      <w:spacing w:before="0" w:after="300"/>
      <w:contextualSpacing/>
      <w:jc w:val="left"/>
    </w:pPr>
    <w:rPr>
      <w:rFonts w:ascii="Arial" w:hAnsi="Arial"/>
      <w:smallCaps/>
      <w:sz w:val="52"/>
      <w:szCs w:val="20"/>
    </w:rPr>
  </w:style>
  <w:style w:type="character" w:customStyle="1" w:styleId="TitleChar">
    <w:name w:val="Title Char"/>
    <w:basedOn w:val="DefaultParagraphFont"/>
    <w:uiPriority w:val="10"/>
    <w:rsid w:val="00284700"/>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1">
    <w:name w:val="Title Char1"/>
    <w:link w:val="Title"/>
    <w:uiPriority w:val="99"/>
    <w:locked/>
    <w:rsid w:val="00284700"/>
    <w:rPr>
      <w:rFonts w:ascii="Arial" w:hAnsi="Arial"/>
      <w:smallCaps/>
      <w:sz w:val="52"/>
      <w:lang w:eastAsia="en-AU"/>
    </w:rPr>
  </w:style>
  <w:style w:type="character" w:styleId="SubtleEmphasis">
    <w:name w:val="Subtle Emphasis"/>
    <w:basedOn w:val="DefaultParagraphFont"/>
    <w:uiPriority w:val="99"/>
    <w:qFormat/>
    <w:rsid w:val="00284700"/>
    <w:rPr>
      <w:rFonts w:cs="Times New Roman"/>
      <w:i/>
    </w:rPr>
  </w:style>
  <w:style w:type="character" w:styleId="IntenseEmphasis">
    <w:name w:val="Intense Emphasis"/>
    <w:basedOn w:val="DefaultParagraphFont"/>
    <w:uiPriority w:val="99"/>
    <w:qFormat/>
    <w:rsid w:val="00284700"/>
    <w:rPr>
      <w:rFonts w:cs="Times New Roman"/>
      <w:b/>
      <w:i/>
    </w:rPr>
  </w:style>
  <w:style w:type="paragraph" w:styleId="ListNumber5">
    <w:name w:val="List Number 5"/>
    <w:basedOn w:val="Normal"/>
    <w:uiPriority w:val="99"/>
    <w:rsid w:val="00284700"/>
    <w:pPr>
      <w:numPr>
        <w:numId w:val="18"/>
      </w:numPr>
      <w:spacing w:before="0" w:after="200" w:line="276" w:lineRule="auto"/>
      <w:ind w:left="1797" w:hanging="357"/>
      <w:contextualSpacing/>
      <w:jc w:val="left"/>
    </w:pPr>
    <w:rPr>
      <w:rFonts w:ascii="Arial" w:hAnsi="Arial"/>
      <w:lang w:val="en-GB" w:eastAsia="en-GB"/>
    </w:rPr>
  </w:style>
  <w:style w:type="paragraph" w:styleId="NoSpacing">
    <w:name w:val="No Spacing"/>
    <w:link w:val="NoSpacingChar"/>
    <w:uiPriority w:val="1"/>
    <w:qFormat/>
    <w:rsid w:val="00284700"/>
    <w:rPr>
      <w:rFonts w:ascii="Calibri" w:hAnsi="Calibri"/>
      <w:sz w:val="22"/>
      <w:szCs w:val="22"/>
      <w:lang w:val="en-US"/>
    </w:rPr>
  </w:style>
  <w:style w:type="character" w:customStyle="1" w:styleId="NoSpacingChar">
    <w:name w:val="No Spacing Char"/>
    <w:link w:val="NoSpacing"/>
    <w:uiPriority w:val="1"/>
    <w:rsid w:val="00284700"/>
    <w:rPr>
      <w:rFonts w:ascii="Calibri" w:hAnsi="Calibri"/>
      <w:sz w:val="22"/>
      <w:szCs w:val="22"/>
      <w:lang w:val="en-US"/>
    </w:rPr>
  </w:style>
  <w:style w:type="paragraph" w:customStyle="1" w:styleId="Bodytxt">
    <w:name w:val="Bodytxt"/>
    <w:basedOn w:val="Normal"/>
    <w:link w:val="BodytxtChar"/>
    <w:rsid w:val="00284700"/>
    <w:pPr>
      <w:spacing w:before="0"/>
      <w:ind w:left="720"/>
    </w:pPr>
    <w:rPr>
      <w:rFonts w:ascii="Arial" w:hAnsi="Arial" w:cs="Arial"/>
      <w:sz w:val="20"/>
      <w:szCs w:val="24"/>
      <w:lang w:eastAsia="en-US"/>
    </w:rPr>
  </w:style>
  <w:style w:type="character" w:customStyle="1" w:styleId="BodytxtChar">
    <w:name w:val="Bodytxt Char"/>
    <w:link w:val="Bodytxt"/>
    <w:rsid w:val="00284700"/>
    <w:rPr>
      <w:rFonts w:ascii="Arial" w:hAnsi="Arial" w:cs="Arial"/>
      <w:szCs w:val="24"/>
    </w:rPr>
  </w:style>
  <w:style w:type="paragraph" w:customStyle="1" w:styleId="Picturepar">
    <w:name w:val="Picture par"/>
    <w:basedOn w:val="Normal"/>
    <w:rsid w:val="00284700"/>
    <w:pPr>
      <w:keepNext/>
      <w:spacing w:before="0" w:after="240"/>
      <w:jc w:val="left"/>
    </w:pPr>
    <w:rPr>
      <w:rFonts w:ascii="Times New Roman" w:hAnsi="Times New Roman"/>
      <w:sz w:val="24"/>
      <w:szCs w:val="20"/>
      <w:lang w:eastAsia="en-US"/>
    </w:rPr>
  </w:style>
  <w:style w:type="paragraph" w:styleId="EndnoteText">
    <w:name w:val="endnote text"/>
    <w:basedOn w:val="Normal"/>
    <w:link w:val="EndnoteTextChar"/>
    <w:semiHidden/>
    <w:rsid w:val="00284700"/>
    <w:pPr>
      <w:spacing w:before="0" w:after="240"/>
    </w:pPr>
    <w:rPr>
      <w:rFonts w:ascii="Times New Roman" w:hAnsi="Times New Roman"/>
      <w:sz w:val="24"/>
      <w:szCs w:val="20"/>
      <w:lang w:eastAsia="en-US"/>
    </w:rPr>
  </w:style>
  <w:style w:type="character" w:customStyle="1" w:styleId="EndnoteTextChar">
    <w:name w:val="Endnote Text Char"/>
    <w:basedOn w:val="DefaultParagraphFont"/>
    <w:link w:val="EndnoteText"/>
    <w:semiHidden/>
    <w:rsid w:val="00284700"/>
    <w:rPr>
      <w:sz w:val="24"/>
    </w:rPr>
  </w:style>
  <w:style w:type="paragraph" w:customStyle="1" w:styleId="List-bullet-2">
    <w:name w:val="List-bullet-2"/>
    <w:basedOn w:val="Normal"/>
    <w:rsid w:val="00284700"/>
    <w:pPr>
      <w:numPr>
        <w:numId w:val="21"/>
      </w:numPr>
      <w:tabs>
        <w:tab w:val="clear" w:pos="1021"/>
        <w:tab w:val="num" w:pos="301"/>
      </w:tabs>
      <w:spacing w:before="80" w:after="0"/>
      <w:ind w:left="301"/>
      <w:jc w:val="left"/>
    </w:pPr>
    <w:rPr>
      <w:rFonts w:ascii="Arial" w:hAnsi="Arial" w:cs="Arial"/>
      <w:sz w:val="20"/>
      <w:lang w:val="en-US" w:eastAsia="en-US"/>
    </w:rPr>
  </w:style>
  <w:style w:type="paragraph" w:styleId="PlainText">
    <w:name w:val="Plain Text"/>
    <w:basedOn w:val="Normal"/>
    <w:link w:val="PlainTextChar"/>
    <w:uiPriority w:val="99"/>
    <w:unhideWhenUsed/>
    <w:rsid w:val="00284700"/>
    <w:pPr>
      <w:spacing w:before="0" w:after="0"/>
      <w:jc w:val="left"/>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84700"/>
    <w:rPr>
      <w:rFonts w:ascii="Consolas" w:eastAsia="Calibri" w:hAnsi="Consolas"/>
      <w:sz w:val="21"/>
      <w:szCs w:val="21"/>
      <w:lang w:val="en-US"/>
    </w:rPr>
  </w:style>
  <w:style w:type="table" w:styleId="MediumGrid1-Accent3">
    <w:name w:val="Medium Grid 1 Accent 3"/>
    <w:basedOn w:val="TableNormal"/>
    <w:uiPriority w:val="67"/>
    <w:rsid w:val="00284700"/>
    <w:rPr>
      <w:rFonts w:ascii="Calibri" w:eastAsia="Calibri" w:hAnsi="Calibr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9754">
      <w:bodyDiv w:val="1"/>
      <w:marLeft w:val="0"/>
      <w:marRight w:val="0"/>
      <w:marTop w:val="0"/>
      <w:marBottom w:val="0"/>
      <w:divBdr>
        <w:top w:val="none" w:sz="0" w:space="0" w:color="auto"/>
        <w:left w:val="none" w:sz="0" w:space="0" w:color="auto"/>
        <w:bottom w:val="none" w:sz="0" w:space="0" w:color="auto"/>
        <w:right w:val="none" w:sz="0" w:space="0" w:color="auto"/>
      </w:divBdr>
    </w:div>
    <w:div w:id="367339064">
      <w:bodyDiv w:val="1"/>
      <w:marLeft w:val="0"/>
      <w:marRight w:val="0"/>
      <w:marTop w:val="0"/>
      <w:marBottom w:val="0"/>
      <w:divBdr>
        <w:top w:val="none" w:sz="0" w:space="0" w:color="auto"/>
        <w:left w:val="none" w:sz="0" w:space="0" w:color="auto"/>
        <w:bottom w:val="none" w:sz="0" w:space="0" w:color="auto"/>
        <w:right w:val="none" w:sz="0" w:space="0" w:color="auto"/>
      </w:divBdr>
    </w:div>
    <w:div w:id="400643698">
      <w:bodyDiv w:val="1"/>
      <w:marLeft w:val="0"/>
      <w:marRight w:val="0"/>
      <w:marTop w:val="0"/>
      <w:marBottom w:val="0"/>
      <w:divBdr>
        <w:top w:val="none" w:sz="0" w:space="0" w:color="auto"/>
        <w:left w:val="none" w:sz="0" w:space="0" w:color="auto"/>
        <w:bottom w:val="none" w:sz="0" w:space="0" w:color="auto"/>
        <w:right w:val="none" w:sz="0" w:space="0" w:color="auto"/>
      </w:divBdr>
      <w:divsChild>
        <w:div w:id="763574383">
          <w:marLeft w:val="0"/>
          <w:marRight w:val="0"/>
          <w:marTop w:val="0"/>
          <w:marBottom w:val="0"/>
          <w:divBdr>
            <w:top w:val="none" w:sz="0" w:space="0" w:color="auto"/>
            <w:left w:val="none" w:sz="0" w:space="0" w:color="auto"/>
            <w:bottom w:val="none" w:sz="0" w:space="0" w:color="auto"/>
            <w:right w:val="none" w:sz="0" w:space="0" w:color="auto"/>
          </w:divBdr>
          <w:divsChild>
            <w:div w:id="992176620">
              <w:marLeft w:val="0"/>
              <w:marRight w:val="0"/>
              <w:marTop w:val="0"/>
              <w:marBottom w:val="0"/>
              <w:divBdr>
                <w:top w:val="none" w:sz="0" w:space="0" w:color="auto"/>
                <w:left w:val="none" w:sz="0" w:space="0" w:color="auto"/>
                <w:bottom w:val="none" w:sz="0" w:space="0" w:color="auto"/>
                <w:right w:val="none" w:sz="0" w:space="0" w:color="auto"/>
              </w:divBdr>
              <w:divsChild>
                <w:div w:id="1782525823">
                  <w:marLeft w:val="0"/>
                  <w:marRight w:val="0"/>
                  <w:marTop w:val="0"/>
                  <w:marBottom w:val="0"/>
                  <w:divBdr>
                    <w:top w:val="none" w:sz="0" w:space="0" w:color="auto"/>
                    <w:left w:val="none" w:sz="0" w:space="0" w:color="auto"/>
                    <w:bottom w:val="none" w:sz="0" w:space="0" w:color="auto"/>
                    <w:right w:val="none" w:sz="0" w:space="0" w:color="auto"/>
                  </w:divBdr>
                  <w:divsChild>
                    <w:div w:id="720862296">
                      <w:marLeft w:val="0"/>
                      <w:marRight w:val="0"/>
                      <w:marTop w:val="0"/>
                      <w:marBottom w:val="0"/>
                      <w:divBdr>
                        <w:top w:val="none" w:sz="0" w:space="0" w:color="auto"/>
                        <w:left w:val="none" w:sz="0" w:space="0" w:color="auto"/>
                        <w:bottom w:val="none" w:sz="0" w:space="0" w:color="auto"/>
                        <w:right w:val="none" w:sz="0" w:space="0" w:color="auto"/>
                      </w:divBdr>
                      <w:divsChild>
                        <w:div w:id="1017587122">
                          <w:marLeft w:val="0"/>
                          <w:marRight w:val="0"/>
                          <w:marTop w:val="0"/>
                          <w:marBottom w:val="0"/>
                          <w:divBdr>
                            <w:top w:val="none" w:sz="0" w:space="0" w:color="auto"/>
                            <w:left w:val="none" w:sz="0" w:space="0" w:color="auto"/>
                            <w:bottom w:val="none" w:sz="0" w:space="0" w:color="auto"/>
                            <w:right w:val="none" w:sz="0" w:space="0" w:color="auto"/>
                          </w:divBdr>
                          <w:divsChild>
                            <w:div w:id="1153595135">
                              <w:marLeft w:val="0"/>
                              <w:marRight w:val="0"/>
                              <w:marTop w:val="0"/>
                              <w:marBottom w:val="0"/>
                              <w:divBdr>
                                <w:top w:val="none" w:sz="0" w:space="0" w:color="auto"/>
                                <w:left w:val="none" w:sz="0" w:space="0" w:color="auto"/>
                                <w:bottom w:val="none" w:sz="0" w:space="0" w:color="auto"/>
                                <w:right w:val="none" w:sz="0" w:space="0" w:color="auto"/>
                              </w:divBdr>
                              <w:divsChild>
                                <w:div w:id="1159543760">
                                  <w:marLeft w:val="0"/>
                                  <w:marRight w:val="0"/>
                                  <w:marTop w:val="0"/>
                                  <w:marBottom w:val="0"/>
                                  <w:divBdr>
                                    <w:top w:val="none" w:sz="0" w:space="0" w:color="auto"/>
                                    <w:left w:val="none" w:sz="0" w:space="0" w:color="auto"/>
                                    <w:bottom w:val="none" w:sz="0" w:space="0" w:color="auto"/>
                                    <w:right w:val="none" w:sz="0" w:space="0" w:color="auto"/>
                                  </w:divBdr>
                                  <w:divsChild>
                                    <w:div w:id="4604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169196">
      <w:bodyDiv w:val="1"/>
      <w:marLeft w:val="0"/>
      <w:marRight w:val="0"/>
      <w:marTop w:val="0"/>
      <w:marBottom w:val="0"/>
      <w:divBdr>
        <w:top w:val="none" w:sz="0" w:space="0" w:color="auto"/>
        <w:left w:val="none" w:sz="0" w:space="0" w:color="auto"/>
        <w:bottom w:val="none" w:sz="0" w:space="0" w:color="auto"/>
        <w:right w:val="none" w:sz="0" w:space="0" w:color="auto"/>
      </w:divBdr>
    </w:div>
    <w:div w:id="731776369">
      <w:bodyDiv w:val="1"/>
      <w:marLeft w:val="0"/>
      <w:marRight w:val="0"/>
      <w:marTop w:val="0"/>
      <w:marBottom w:val="0"/>
      <w:divBdr>
        <w:top w:val="none" w:sz="0" w:space="0" w:color="auto"/>
        <w:left w:val="none" w:sz="0" w:space="0" w:color="auto"/>
        <w:bottom w:val="none" w:sz="0" w:space="0" w:color="auto"/>
        <w:right w:val="none" w:sz="0" w:space="0" w:color="auto"/>
      </w:divBdr>
      <w:divsChild>
        <w:div w:id="591167432">
          <w:marLeft w:val="547"/>
          <w:marRight w:val="0"/>
          <w:marTop w:val="154"/>
          <w:marBottom w:val="0"/>
          <w:divBdr>
            <w:top w:val="none" w:sz="0" w:space="0" w:color="auto"/>
            <w:left w:val="none" w:sz="0" w:space="0" w:color="auto"/>
            <w:bottom w:val="none" w:sz="0" w:space="0" w:color="auto"/>
            <w:right w:val="none" w:sz="0" w:space="0" w:color="auto"/>
          </w:divBdr>
        </w:div>
        <w:div w:id="1067722155">
          <w:marLeft w:val="547"/>
          <w:marRight w:val="0"/>
          <w:marTop w:val="154"/>
          <w:marBottom w:val="0"/>
          <w:divBdr>
            <w:top w:val="none" w:sz="0" w:space="0" w:color="auto"/>
            <w:left w:val="none" w:sz="0" w:space="0" w:color="auto"/>
            <w:bottom w:val="none" w:sz="0" w:space="0" w:color="auto"/>
            <w:right w:val="none" w:sz="0" w:space="0" w:color="auto"/>
          </w:divBdr>
        </w:div>
        <w:div w:id="1425112160">
          <w:marLeft w:val="547"/>
          <w:marRight w:val="0"/>
          <w:marTop w:val="154"/>
          <w:marBottom w:val="0"/>
          <w:divBdr>
            <w:top w:val="none" w:sz="0" w:space="0" w:color="auto"/>
            <w:left w:val="none" w:sz="0" w:space="0" w:color="auto"/>
            <w:bottom w:val="none" w:sz="0" w:space="0" w:color="auto"/>
            <w:right w:val="none" w:sz="0" w:space="0" w:color="auto"/>
          </w:divBdr>
        </w:div>
      </w:divsChild>
    </w:div>
    <w:div w:id="773747915">
      <w:bodyDiv w:val="1"/>
      <w:marLeft w:val="0"/>
      <w:marRight w:val="0"/>
      <w:marTop w:val="0"/>
      <w:marBottom w:val="0"/>
      <w:divBdr>
        <w:top w:val="none" w:sz="0" w:space="0" w:color="auto"/>
        <w:left w:val="none" w:sz="0" w:space="0" w:color="auto"/>
        <w:bottom w:val="none" w:sz="0" w:space="0" w:color="auto"/>
        <w:right w:val="none" w:sz="0" w:space="0" w:color="auto"/>
      </w:divBdr>
    </w:div>
    <w:div w:id="782846723">
      <w:bodyDiv w:val="1"/>
      <w:marLeft w:val="0"/>
      <w:marRight w:val="0"/>
      <w:marTop w:val="0"/>
      <w:marBottom w:val="0"/>
      <w:divBdr>
        <w:top w:val="none" w:sz="0" w:space="0" w:color="auto"/>
        <w:left w:val="none" w:sz="0" w:space="0" w:color="auto"/>
        <w:bottom w:val="none" w:sz="0" w:space="0" w:color="auto"/>
        <w:right w:val="none" w:sz="0" w:space="0" w:color="auto"/>
      </w:divBdr>
      <w:divsChild>
        <w:div w:id="60643005">
          <w:marLeft w:val="547"/>
          <w:marRight w:val="0"/>
          <w:marTop w:val="182"/>
          <w:marBottom w:val="0"/>
          <w:divBdr>
            <w:top w:val="none" w:sz="0" w:space="0" w:color="auto"/>
            <w:left w:val="none" w:sz="0" w:space="0" w:color="auto"/>
            <w:bottom w:val="none" w:sz="0" w:space="0" w:color="auto"/>
            <w:right w:val="none" w:sz="0" w:space="0" w:color="auto"/>
          </w:divBdr>
        </w:div>
        <w:div w:id="563487330">
          <w:marLeft w:val="547"/>
          <w:marRight w:val="0"/>
          <w:marTop w:val="182"/>
          <w:marBottom w:val="0"/>
          <w:divBdr>
            <w:top w:val="none" w:sz="0" w:space="0" w:color="auto"/>
            <w:left w:val="none" w:sz="0" w:space="0" w:color="auto"/>
            <w:bottom w:val="none" w:sz="0" w:space="0" w:color="auto"/>
            <w:right w:val="none" w:sz="0" w:space="0" w:color="auto"/>
          </w:divBdr>
        </w:div>
        <w:div w:id="730807244">
          <w:marLeft w:val="547"/>
          <w:marRight w:val="0"/>
          <w:marTop w:val="182"/>
          <w:marBottom w:val="0"/>
          <w:divBdr>
            <w:top w:val="none" w:sz="0" w:space="0" w:color="auto"/>
            <w:left w:val="none" w:sz="0" w:space="0" w:color="auto"/>
            <w:bottom w:val="none" w:sz="0" w:space="0" w:color="auto"/>
            <w:right w:val="none" w:sz="0" w:space="0" w:color="auto"/>
          </w:divBdr>
        </w:div>
        <w:div w:id="737896396">
          <w:marLeft w:val="547"/>
          <w:marRight w:val="0"/>
          <w:marTop w:val="182"/>
          <w:marBottom w:val="0"/>
          <w:divBdr>
            <w:top w:val="none" w:sz="0" w:space="0" w:color="auto"/>
            <w:left w:val="none" w:sz="0" w:space="0" w:color="auto"/>
            <w:bottom w:val="none" w:sz="0" w:space="0" w:color="auto"/>
            <w:right w:val="none" w:sz="0" w:space="0" w:color="auto"/>
          </w:divBdr>
        </w:div>
      </w:divsChild>
    </w:div>
    <w:div w:id="826944997">
      <w:bodyDiv w:val="1"/>
      <w:marLeft w:val="0"/>
      <w:marRight w:val="0"/>
      <w:marTop w:val="0"/>
      <w:marBottom w:val="0"/>
      <w:divBdr>
        <w:top w:val="none" w:sz="0" w:space="0" w:color="auto"/>
        <w:left w:val="none" w:sz="0" w:space="0" w:color="auto"/>
        <w:bottom w:val="none" w:sz="0" w:space="0" w:color="auto"/>
        <w:right w:val="none" w:sz="0" w:space="0" w:color="auto"/>
      </w:divBdr>
      <w:divsChild>
        <w:div w:id="1506942549">
          <w:marLeft w:val="0"/>
          <w:marRight w:val="0"/>
          <w:marTop w:val="0"/>
          <w:marBottom w:val="0"/>
          <w:divBdr>
            <w:top w:val="none" w:sz="0" w:space="0" w:color="auto"/>
            <w:left w:val="none" w:sz="0" w:space="0" w:color="auto"/>
            <w:bottom w:val="none" w:sz="0" w:space="0" w:color="auto"/>
            <w:right w:val="none" w:sz="0" w:space="0" w:color="auto"/>
          </w:divBdr>
        </w:div>
      </w:divsChild>
    </w:div>
    <w:div w:id="856315602">
      <w:bodyDiv w:val="1"/>
      <w:marLeft w:val="0"/>
      <w:marRight w:val="0"/>
      <w:marTop w:val="0"/>
      <w:marBottom w:val="0"/>
      <w:divBdr>
        <w:top w:val="none" w:sz="0" w:space="0" w:color="auto"/>
        <w:left w:val="none" w:sz="0" w:space="0" w:color="auto"/>
        <w:bottom w:val="none" w:sz="0" w:space="0" w:color="auto"/>
        <w:right w:val="none" w:sz="0" w:space="0" w:color="auto"/>
      </w:divBdr>
      <w:divsChild>
        <w:div w:id="800853482">
          <w:marLeft w:val="1166"/>
          <w:marRight w:val="0"/>
          <w:marTop w:val="125"/>
          <w:marBottom w:val="0"/>
          <w:divBdr>
            <w:top w:val="none" w:sz="0" w:space="0" w:color="auto"/>
            <w:left w:val="none" w:sz="0" w:space="0" w:color="auto"/>
            <w:bottom w:val="none" w:sz="0" w:space="0" w:color="auto"/>
            <w:right w:val="none" w:sz="0" w:space="0" w:color="auto"/>
          </w:divBdr>
        </w:div>
        <w:div w:id="860778619">
          <w:marLeft w:val="1166"/>
          <w:marRight w:val="0"/>
          <w:marTop w:val="125"/>
          <w:marBottom w:val="0"/>
          <w:divBdr>
            <w:top w:val="none" w:sz="0" w:space="0" w:color="auto"/>
            <w:left w:val="none" w:sz="0" w:space="0" w:color="auto"/>
            <w:bottom w:val="none" w:sz="0" w:space="0" w:color="auto"/>
            <w:right w:val="none" w:sz="0" w:space="0" w:color="auto"/>
          </w:divBdr>
        </w:div>
        <w:div w:id="1113941232">
          <w:marLeft w:val="1166"/>
          <w:marRight w:val="0"/>
          <w:marTop w:val="125"/>
          <w:marBottom w:val="0"/>
          <w:divBdr>
            <w:top w:val="none" w:sz="0" w:space="0" w:color="auto"/>
            <w:left w:val="none" w:sz="0" w:space="0" w:color="auto"/>
            <w:bottom w:val="none" w:sz="0" w:space="0" w:color="auto"/>
            <w:right w:val="none" w:sz="0" w:space="0" w:color="auto"/>
          </w:divBdr>
        </w:div>
        <w:div w:id="1265071537">
          <w:marLeft w:val="1166"/>
          <w:marRight w:val="0"/>
          <w:marTop w:val="125"/>
          <w:marBottom w:val="0"/>
          <w:divBdr>
            <w:top w:val="none" w:sz="0" w:space="0" w:color="auto"/>
            <w:left w:val="none" w:sz="0" w:space="0" w:color="auto"/>
            <w:bottom w:val="none" w:sz="0" w:space="0" w:color="auto"/>
            <w:right w:val="none" w:sz="0" w:space="0" w:color="auto"/>
          </w:divBdr>
        </w:div>
        <w:div w:id="1485778285">
          <w:marLeft w:val="1166"/>
          <w:marRight w:val="0"/>
          <w:marTop w:val="125"/>
          <w:marBottom w:val="0"/>
          <w:divBdr>
            <w:top w:val="none" w:sz="0" w:space="0" w:color="auto"/>
            <w:left w:val="none" w:sz="0" w:space="0" w:color="auto"/>
            <w:bottom w:val="none" w:sz="0" w:space="0" w:color="auto"/>
            <w:right w:val="none" w:sz="0" w:space="0" w:color="auto"/>
          </w:divBdr>
        </w:div>
        <w:div w:id="1628663176">
          <w:marLeft w:val="1166"/>
          <w:marRight w:val="0"/>
          <w:marTop w:val="125"/>
          <w:marBottom w:val="0"/>
          <w:divBdr>
            <w:top w:val="none" w:sz="0" w:space="0" w:color="auto"/>
            <w:left w:val="none" w:sz="0" w:space="0" w:color="auto"/>
            <w:bottom w:val="none" w:sz="0" w:space="0" w:color="auto"/>
            <w:right w:val="none" w:sz="0" w:space="0" w:color="auto"/>
          </w:divBdr>
        </w:div>
      </w:divsChild>
    </w:div>
    <w:div w:id="899095289">
      <w:bodyDiv w:val="1"/>
      <w:marLeft w:val="0"/>
      <w:marRight w:val="0"/>
      <w:marTop w:val="0"/>
      <w:marBottom w:val="0"/>
      <w:divBdr>
        <w:top w:val="none" w:sz="0" w:space="0" w:color="auto"/>
        <w:left w:val="none" w:sz="0" w:space="0" w:color="auto"/>
        <w:bottom w:val="none" w:sz="0" w:space="0" w:color="auto"/>
        <w:right w:val="none" w:sz="0" w:space="0" w:color="auto"/>
      </w:divBdr>
      <w:divsChild>
        <w:div w:id="37779686">
          <w:marLeft w:val="547"/>
          <w:marRight w:val="0"/>
          <w:marTop w:val="144"/>
          <w:marBottom w:val="0"/>
          <w:divBdr>
            <w:top w:val="none" w:sz="0" w:space="0" w:color="auto"/>
            <w:left w:val="none" w:sz="0" w:space="0" w:color="auto"/>
            <w:bottom w:val="none" w:sz="0" w:space="0" w:color="auto"/>
            <w:right w:val="none" w:sz="0" w:space="0" w:color="auto"/>
          </w:divBdr>
        </w:div>
        <w:div w:id="38207603">
          <w:marLeft w:val="1166"/>
          <w:marRight w:val="0"/>
          <w:marTop w:val="125"/>
          <w:marBottom w:val="0"/>
          <w:divBdr>
            <w:top w:val="none" w:sz="0" w:space="0" w:color="auto"/>
            <w:left w:val="none" w:sz="0" w:space="0" w:color="auto"/>
            <w:bottom w:val="none" w:sz="0" w:space="0" w:color="auto"/>
            <w:right w:val="none" w:sz="0" w:space="0" w:color="auto"/>
          </w:divBdr>
        </w:div>
        <w:div w:id="252665933">
          <w:marLeft w:val="547"/>
          <w:marRight w:val="0"/>
          <w:marTop w:val="144"/>
          <w:marBottom w:val="0"/>
          <w:divBdr>
            <w:top w:val="none" w:sz="0" w:space="0" w:color="auto"/>
            <w:left w:val="none" w:sz="0" w:space="0" w:color="auto"/>
            <w:bottom w:val="none" w:sz="0" w:space="0" w:color="auto"/>
            <w:right w:val="none" w:sz="0" w:space="0" w:color="auto"/>
          </w:divBdr>
        </w:div>
        <w:div w:id="280000012">
          <w:marLeft w:val="1166"/>
          <w:marRight w:val="0"/>
          <w:marTop w:val="125"/>
          <w:marBottom w:val="0"/>
          <w:divBdr>
            <w:top w:val="none" w:sz="0" w:space="0" w:color="auto"/>
            <w:left w:val="none" w:sz="0" w:space="0" w:color="auto"/>
            <w:bottom w:val="none" w:sz="0" w:space="0" w:color="auto"/>
            <w:right w:val="none" w:sz="0" w:space="0" w:color="auto"/>
          </w:divBdr>
        </w:div>
        <w:div w:id="528032003">
          <w:marLeft w:val="1166"/>
          <w:marRight w:val="0"/>
          <w:marTop w:val="125"/>
          <w:marBottom w:val="0"/>
          <w:divBdr>
            <w:top w:val="none" w:sz="0" w:space="0" w:color="auto"/>
            <w:left w:val="none" w:sz="0" w:space="0" w:color="auto"/>
            <w:bottom w:val="none" w:sz="0" w:space="0" w:color="auto"/>
            <w:right w:val="none" w:sz="0" w:space="0" w:color="auto"/>
          </w:divBdr>
        </w:div>
        <w:div w:id="910384641">
          <w:marLeft w:val="1166"/>
          <w:marRight w:val="0"/>
          <w:marTop w:val="125"/>
          <w:marBottom w:val="0"/>
          <w:divBdr>
            <w:top w:val="none" w:sz="0" w:space="0" w:color="auto"/>
            <w:left w:val="none" w:sz="0" w:space="0" w:color="auto"/>
            <w:bottom w:val="none" w:sz="0" w:space="0" w:color="auto"/>
            <w:right w:val="none" w:sz="0" w:space="0" w:color="auto"/>
          </w:divBdr>
        </w:div>
        <w:div w:id="958535141">
          <w:marLeft w:val="1166"/>
          <w:marRight w:val="0"/>
          <w:marTop w:val="125"/>
          <w:marBottom w:val="0"/>
          <w:divBdr>
            <w:top w:val="none" w:sz="0" w:space="0" w:color="auto"/>
            <w:left w:val="none" w:sz="0" w:space="0" w:color="auto"/>
            <w:bottom w:val="none" w:sz="0" w:space="0" w:color="auto"/>
            <w:right w:val="none" w:sz="0" w:space="0" w:color="auto"/>
          </w:divBdr>
        </w:div>
        <w:div w:id="1633293905">
          <w:marLeft w:val="1166"/>
          <w:marRight w:val="0"/>
          <w:marTop w:val="125"/>
          <w:marBottom w:val="0"/>
          <w:divBdr>
            <w:top w:val="none" w:sz="0" w:space="0" w:color="auto"/>
            <w:left w:val="none" w:sz="0" w:space="0" w:color="auto"/>
            <w:bottom w:val="none" w:sz="0" w:space="0" w:color="auto"/>
            <w:right w:val="none" w:sz="0" w:space="0" w:color="auto"/>
          </w:divBdr>
        </w:div>
        <w:div w:id="1915122757">
          <w:marLeft w:val="547"/>
          <w:marRight w:val="0"/>
          <w:marTop w:val="144"/>
          <w:marBottom w:val="0"/>
          <w:divBdr>
            <w:top w:val="none" w:sz="0" w:space="0" w:color="auto"/>
            <w:left w:val="none" w:sz="0" w:space="0" w:color="auto"/>
            <w:bottom w:val="none" w:sz="0" w:space="0" w:color="auto"/>
            <w:right w:val="none" w:sz="0" w:space="0" w:color="auto"/>
          </w:divBdr>
        </w:div>
      </w:divsChild>
    </w:div>
    <w:div w:id="936642916">
      <w:bodyDiv w:val="1"/>
      <w:marLeft w:val="0"/>
      <w:marRight w:val="0"/>
      <w:marTop w:val="0"/>
      <w:marBottom w:val="0"/>
      <w:divBdr>
        <w:top w:val="none" w:sz="0" w:space="0" w:color="auto"/>
        <w:left w:val="none" w:sz="0" w:space="0" w:color="auto"/>
        <w:bottom w:val="none" w:sz="0" w:space="0" w:color="auto"/>
        <w:right w:val="none" w:sz="0" w:space="0" w:color="auto"/>
      </w:divBdr>
    </w:div>
    <w:div w:id="939917409">
      <w:bodyDiv w:val="1"/>
      <w:marLeft w:val="0"/>
      <w:marRight w:val="0"/>
      <w:marTop w:val="0"/>
      <w:marBottom w:val="0"/>
      <w:divBdr>
        <w:top w:val="none" w:sz="0" w:space="0" w:color="auto"/>
        <w:left w:val="none" w:sz="0" w:space="0" w:color="auto"/>
        <w:bottom w:val="none" w:sz="0" w:space="0" w:color="auto"/>
        <w:right w:val="none" w:sz="0" w:space="0" w:color="auto"/>
      </w:divBdr>
      <w:divsChild>
        <w:div w:id="834033843">
          <w:marLeft w:val="547"/>
          <w:marRight w:val="0"/>
          <w:marTop w:val="163"/>
          <w:marBottom w:val="0"/>
          <w:divBdr>
            <w:top w:val="none" w:sz="0" w:space="0" w:color="auto"/>
            <w:left w:val="none" w:sz="0" w:space="0" w:color="auto"/>
            <w:bottom w:val="none" w:sz="0" w:space="0" w:color="auto"/>
            <w:right w:val="none" w:sz="0" w:space="0" w:color="auto"/>
          </w:divBdr>
        </w:div>
        <w:div w:id="1150445822">
          <w:marLeft w:val="547"/>
          <w:marRight w:val="0"/>
          <w:marTop w:val="163"/>
          <w:marBottom w:val="0"/>
          <w:divBdr>
            <w:top w:val="none" w:sz="0" w:space="0" w:color="auto"/>
            <w:left w:val="none" w:sz="0" w:space="0" w:color="auto"/>
            <w:bottom w:val="none" w:sz="0" w:space="0" w:color="auto"/>
            <w:right w:val="none" w:sz="0" w:space="0" w:color="auto"/>
          </w:divBdr>
        </w:div>
        <w:div w:id="1252272693">
          <w:marLeft w:val="547"/>
          <w:marRight w:val="0"/>
          <w:marTop w:val="163"/>
          <w:marBottom w:val="0"/>
          <w:divBdr>
            <w:top w:val="none" w:sz="0" w:space="0" w:color="auto"/>
            <w:left w:val="none" w:sz="0" w:space="0" w:color="auto"/>
            <w:bottom w:val="none" w:sz="0" w:space="0" w:color="auto"/>
            <w:right w:val="none" w:sz="0" w:space="0" w:color="auto"/>
          </w:divBdr>
        </w:div>
        <w:div w:id="1529490083">
          <w:marLeft w:val="547"/>
          <w:marRight w:val="0"/>
          <w:marTop w:val="163"/>
          <w:marBottom w:val="0"/>
          <w:divBdr>
            <w:top w:val="none" w:sz="0" w:space="0" w:color="auto"/>
            <w:left w:val="none" w:sz="0" w:space="0" w:color="auto"/>
            <w:bottom w:val="none" w:sz="0" w:space="0" w:color="auto"/>
            <w:right w:val="none" w:sz="0" w:space="0" w:color="auto"/>
          </w:divBdr>
        </w:div>
        <w:div w:id="1648507766">
          <w:marLeft w:val="547"/>
          <w:marRight w:val="0"/>
          <w:marTop w:val="163"/>
          <w:marBottom w:val="0"/>
          <w:divBdr>
            <w:top w:val="none" w:sz="0" w:space="0" w:color="auto"/>
            <w:left w:val="none" w:sz="0" w:space="0" w:color="auto"/>
            <w:bottom w:val="none" w:sz="0" w:space="0" w:color="auto"/>
            <w:right w:val="none" w:sz="0" w:space="0" w:color="auto"/>
          </w:divBdr>
        </w:div>
        <w:div w:id="1845512783">
          <w:marLeft w:val="547"/>
          <w:marRight w:val="0"/>
          <w:marTop w:val="163"/>
          <w:marBottom w:val="0"/>
          <w:divBdr>
            <w:top w:val="none" w:sz="0" w:space="0" w:color="auto"/>
            <w:left w:val="none" w:sz="0" w:space="0" w:color="auto"/>
            <w:bottom w:val="none" w:sz="0" w:space="0" w:color="auto"/>
            <w:right w:val="none" w:sz="0" w:space="0" w:color="auto"/>
          </w:divBdr>
        </w:div>
        <w:div w:id="2004316761">
          <w:marLeft w:val="547"/>
          <w:marRight w:val="0"/>
          <w:marTop w:val="163"/>
          <w:marBottom w:val="0"/>
          <w:divBdr>
            <w:top w:val="none" w:sz="0" w:space="0" w:color="auto"/>
            <w:left w:val="none" w:sz="0" w:space="0" w:color="auto"/>
            <w:bottom w:val="none" w:sz="0" w:space="0" w:color="auto"/>
            <w:right w:val="none" w:sz="0" w:space="0" w:color="auto"/>
          </w:divBdr>
        </w:div>
      </w:divsChild>
    </w:div>
    <w:div w:id="1054937053">
      <w:bodyDiv w:val="1"/>
      <w:marLeft w:val="0"/>
      <w:marRight w:val="0"/>
      <w:marTop w:val="0"/>
      <w:marBottom w:val="0"/>
      <w:divBdr>
        <w:top w:val="none" w:sz="0" w:space="0" w:color="auto"/>
        <w:left w:val="none" w:sz="0" w:space="0" w:color="auto"/>
        <w:bottom w:val="none" w:sz="0" w:space="0" w:color="auto"/>
        <w:right w:val="none" w:sz="0" w:space="0" w:color="auto"/>
      </w:divBdr>
      <w:divsChild>
        <w:div w:id="165752784">
          <w:marLeft w:val="1166"/>
          <w:marRight w:val="0"/>
          <w:marTop w:val="134"/>
          <w:marBottom w:val="0"/>
          <w:divBdr>
            <w:top w:val="none" w:sz="0" w:space="0" w:color="auto"/>
            <w:left w:val="none" w:sz="0" w:space="0" w:color="auto"/>
            <w:bottom w:val="none" w:sz="0" w:space="0" w:color="auto"/>
            <w:right w:val="none" w:sz="0" w:space="0" w:color="auto"/>
          </w:divBdr>
        </w:div>
        <w:div w:id="281882467">
          <w:marLeft w:val="1166"/>
          <w:marRight w:val="0"/>
          <w:marTop w:val="134"/>
          <w:marBottom w:val="0"/>
          <w:divBdr>
            <w:top w:val="none" w:sz="0" w:space="0" w:color="auto"/>
            <w:left w:val="none" w:sz="0" w:space="0" w:color="auto"/>
            <w:bottom w:val="none" w:sz="0" w:space="0" w:color="auto"/>
            <w:right w:val="none" w:sz="0" w:space="0" w:color="auto"/>
          </w:divBdr>
        </w:div>
        <w:div w:id="550776850">
          <w:marLeft w:val="1166"/>
          <w:marRight w:val="0"/>
          <w:marTop w:val="134"/>
          <w:marBottom w:val="0"/>
          <w:divBdr>
            <w:top w:val="none" w:sz="0" w:space="0" w:color="auto"/>
            <w:left w:val="none" w:sz="0" w:space="0" w:color="auto"/>
            <w:bottom w:val="none" w:sz="0" w:space="0" w:color="auto"/>
            <w:right w:val="none" w:sz="0" w:space="0" w:color="auto"/>
          </w:divBdr>
        </w:div>
        <w:div w:id="894589377">
          <w:marLeft w:val="547"/>
          <w:marRight w:val="0"/>
          <w:marTop w:val="134"/>
          <w:marBottom w:val="0"/>
          <w:divBdr>
            <w:top w:val="none" w:sz="0" w:space="0" w:color="auto"/>
            <w:left w:val="none" w:sz="0" w:space="0" w:color="auto"/>
            <w:bottom w:val="none" w:sz="0" w:space="0" w:color="auto"/>
            <w:right w:val="none" w:sz="0" w:space="0" w:color="auto"/>
          </w:divBdr>
        </w:div>
        <w:div w:id="985546783">
          <w:marLeft w:val="1166"/>
          <w:marRight w:val="0"/>
          <w:marTop w:val="134"/>
          <w:marBottom w:val="0"/>
          <w:divBdr>
            <w:top w:val="none" w:sz="0" w:space="0" w:color="auto"/>
            <w:left w:val="none" w:sz="0" w:space="0" w:color="auto"/>
            <w:bottom w:val="none" w:sz="0" w:space="0" w:color="auto"/>
            <w:right w:val="none" w:sz="0" w:space="0" w:color="auto"/>
          </w:divBdr>
        </w:div>
        <w:div w:id="1320621990">
          <w:marLeft w:val="547"/>
          <w:marRight w:val="0"/>
          <w:marTop w:val="144"/>
          <w:marBottom w:val="0"/>
          <w:divBdr>
            <w:top w:val="none" w:sz="0" w:space="0" w:color="auto"/>
            <w:left w:val="none" w:sz="0" w:space="0" w:color="auto"/>
            <w:bottom w:val="none" w:sz="0" w:space="0" w:color="auto"/>
            <w:right w:val="none" w:sz="0" w:space="0" w:color="auto"/>
          </w:divBdr>
        </w:div>
        <w:div w:id="1462184948">
          <w:marLeft w:val="547"/>
          <w:marRight w:val="0"/>
          <w:marTop w:val="134"/>
          <w:marBottom w:val="0"/>
          <w:divBdr>
            <w:top w:val="none" w:sz="0" w:space="0" w:color="auto"/>
            <w:left w:val="none" w:sz="0" w:space="0" w:color="auto"/>
            <w:bottom w:val="none" w:sz="0" w:space="0" w:color="auto"/>
            <w:right w:val="none" w:sz="0" w:space="0" w:color="auto"/>
          </w:divBdr>
        </w:div>
        <w:div w:id="1543982448">
          <w:marLeft w:val="547"/>
          <w:marRight w:val="0"/>
          <w:marTop w:val="134"/>
          <w:marBottom w:val="0"/>
          <w:divBdr>
            <w:top w:val="none" w:sz="0" w:space="0" w:color="auto"/>
            <w:left w:val="none" w:sz="0" w:space="0" w:color="auto"/>
            <w:bottom w:val="none" w:sz="0" w:space="0" w:color="auto"/>
            <w:right w:val="none" w:sz="0" w:space="0" w:color="auto"/>
          </w:divBdr>
        </w:div>
        <w:div w:id="1778059152">
          <w:marLeft w:val="1166"/>
          <w:marRight w:val="0"/>
          <w:marTop w:val="134"/>
          <w:marBottom w:val="0"/>
          <w:divBdr>
            <w:top w:val="none" w:sz="0" w:space="0" w:color="auto"/>
            <w:left w:val="none" w:sz="0" w:space="0" w:color="auto"/>
            <w:bottom w:val="none" w:sz="0" w:space="0" w:color="auto"/>
            <w:right w:val="none" w:sz="0" w:space="0" w:color="auto"/>
          </w:divBdr>
        </w:div>
        <w:div w:id="1841771789">
          <w:marLeft w:val="1166"/>
          <w:marRight w:val="0"/>
          <w:marTop w:val="134"/>
          <w:marBottom w:val="0"/>
          <w:divBdr>
            <w:top w:val="none" w:sz="0" w:space="0" w:color="auto"/>
            <w:left w:val="none" w:sz="0" w:space="0" w:color="auto"/>
            <w:bottom w:val="none" w:sz="0" w:space="0" w:color="auto"/>
            <w:right w:val="none" w:sz="0" w:space="0" w:color="auto"/>
          </w:divBdr>
        </w:div>
      </w:divsChild>
    </w:div>
    <w:div w:id="1087924082">
      <w:bodyDiv w:val="1"/>
      <w:marLeft w:val="0"/>
      <w:marRight w:val="0"/>
      <w:marTop w:val="0"/>
      <w:marBottom w:val="0"/>
      <w:divBdr>
        <w:top w:val="none" w:sz="0" w:space="0" w:color="auto"/>
        <w:left w:val="none" w:sz="0" w:space="0" w:color="auto"/>
        <w:bottom w:val="none" w:sz="0" w:space="0" w:color="auto"/>
        <w:right w:val="none" w:sz="0" w:space="0" w:color="auto"/>
      </w:divBdr>
      <w:divsChild>
        <w:div w:id="1483230307">
          <w:marLeft w:val="1166"/>
          <w:marRight w:val="0"/>
          <w:marTop w:val="96"/>
          <w:marBottom w:val="0"/>
          <w:divBdr>
            <w:top w:val="none" w:sz="0" w:space="0" w:color="auto"/>
            <w:left w:val="none" w:sz="0" w:space="0" w:color="auto"/>
            <w:bottom w:val="none" w:sz="0" w:space="0" w:color="auto"/>
            <w:right w:val="none" w:sz="0" w:space="0" w:color="auto"/>
          </w:divBdr>
        </w:div>
        <w:div w:id="2023434925">
          <w:marLeft w:val="1166"/>
          <w:marRight w:val="0"/>
          <w:marTop w:val="96"/>
          <w:marBottom w:val="0"/>
          <w:divBdr>
            <w:top w:val="none" w:sz="0" w:space="0" w:color="auto"/>
            <w:left w:val="none" w:sz="0" w:space="0" w:color="auto"/>
            <w:bottom w:val="none" w:sz="0" w:space="0" w:color="auto"/>
            <w:right w:val="none" w:sz="0" w:space="0" w:color="auto"/>
          </w:divBdr>
        </w:div>
        <w:div w:id="2131631706">
          <w:marLeft w:val="1166"/>
          <w:marRight w:val="0"/>
          <w:marTop w:val="96"/>
          <w:marBottom w:val="0"/>
          <w:divBdr>
            <w:top w:val="none" w:sz="0" w:space="0" w:color="auto"/>
            <w:left w:val="none" w:sz="0" w:space="0" w:color="auto"/>
            <w:bottom w:val="none" w:sz="0" w:space="0" w:color="auto"/>
            <w:right w:val="none" w:sz="0" w:space="0" w:color="auto"/>
          </w:divBdr>
        </w:div>
      </w:divsChild>
    </w:div>
    <w:div w:id="1179781591">
      <w:bodyDiv w:val="1"/>
      <w:marLeft w:val="0"/>
      <w:marRight w:val="0"/>
      <w:marTop w:val="0"/>
      <w:marBottom w:val="0"/>
      <w:divBdr>
        <w:top w:val="none" w:sz="0" w:space="0" w:color="auto"/>
        <w:left w:val="none" w:sz="0" w:space="0" w:color="auto"/>
        <w:bottom w:val="none" w:sz="0" w:space="0" w:color="auto"/>
        <w:right w:val="none" w:sz="0" w:space="0" w:color="auto"/>
      </w:divBdr>
      <w:divsChild>
        <w:div w:id="1461146262">
          <w:marLeft w:val="547"/>
          <w:marRight w:val="0"/>
          <w:marTop w:val="173"/>
          <w:marBottom w:val="0"/>
          <w:divBdr>
            <w:top w:val="none" w:sz="0" w:space="0" w:color="auto"/>
            <w:left w:val="none" w:sz="0" w:space="0" w:color="auto"/>
            <w:bottom w:val="none" w:sz="0" w:space="0" w:color="auto"/>
            <w:right w:val="none" w:sz="0" w:space="0" w:color="auto"/>
          </w:divBdr>
        </w:div>
        <w:div w:id="1837770660">
          <w:marLeft w:val="547"/>
          <w:marRight w:val="0"/>
          <w:marTop w:val="173"/>
          <w:marBottom w:val="0"/>
          <w:divBdr>
            <w:top w:val="none" w:sz="0" w:space="0" w:color="auto"/>
            <w:left w:val="none" w:sz="0" w:space="0" w:color="auto"/>
            <w:bottom w:val="none" w:sz="0" w:space="0" w:color="auto"/>
            <w:right w:val="none" w:sz="0" w:space="0" w:color="auto"/>
          </w:divBdr>
        </w:div>
      </w:divsChild>
    </w:div>
    <w:div w:id="1193227718">
      <w:bodyDiv w:val="1"/>
      <w:marLeft w:val="0"/>
      <w:marRight w:val="0"/>
      <w:marTop w:val="0"/>
      <w:marBottom w:val="0"/>
      <w:divBdr>
        <w:top w:val="none" w:sz="0" w:space="0" w:color="auto"/>
        <w:left w:val="none" w:sz="0" w:space="0" w:color="auto"/>
        <w:bottom w:val="none" w:sz="0" w:space="0" w:color="auto"/>
        <w:right w:val="none" w:sz="0" w:space="0" w:color="auto"/>
      </w:divBdr>
      <w:divsChild>
        <w:div w:id="2129929814">
          <w:marLeft w:val="547"/>
          <w:marRight w:val="0"/>
          <w:marTop w:val="144"/>
          <w:marBottom w:val="0"/>
          <w:divBdr>
            <w:top w:val="none" w:sz="0" w:space="0" w:color="auto"/>
            <w:left w:val="none" w:sz="0" w:space="0" w:color="auto"/>
            <w:bottom w:val="none" w:sz="0" w:space="0" w:color="auto"/>
            <w:right w:val="none" w:sz="0" w:space="0" w:color="auto"/>
          </w:divBdr>
        </w:div>
      </w:divsChild>
    </w:div>
    <w:div w:id="1478255787">
      <w:bodyDiv w:val="1"/>
      <w:marLeft w:val="0"/>
      <w:marRight w:val="0"/>
      <w:marTop w:val="0"/>
      <w:marBottom w:val="0"/>
      <w:divBdr>
        <w:top w:val="none" w:sz="0" w:space="0" w:color="auto"/>
        <w:left w:val="none" w:sz="0" w:space="0" w:color="auto"/>
        <w:bottom w:val="none" w:sz="0" w:space="0" w:color="auto"/>
        <w:right w:val="none" w:sz="0" w:space="0" w:color="auto"/>
      </w:divBdr>
      <w:divsChild>
        <w:div w:id="1483041194">
          <w:marLeft w:val="547"/>
          <w:marRight w:val="0"/>
          <w:marTop w:val="144"/>
          <w:marBottom w:val="0"/>
          <w:divBdr>
            <w:top w:val="none" w:sz="0" w:space="0" w:color="auto"/>
            <w:left w:val="none" w:sz="0" w:space="0" w:color="auto"/>
            <w:bottom w:val="none" w:sz="0" w:space="0" w:color="auto"/>
            <w:right w:val="none" w:sz="0" w:space="0" w:color="auto"/>
          </w:divBdr>
        </w:div>
      </w:divsChild>
    </w:div>
    <w:div w:id="1506675503">
      <w:bodyDiv w:val="1"/>
      <w:marLeft w:val="0"/>
      <w:marRight w:val="0"/>
      <w:marTop w:val="0"/>
      <w:marBottom w:val="0"/>
      <w:divBdr>
        <w:top w:val="none" w:sz="0" w:space="0" w:color="auto"/>
        <w:left w:val="none" w:sz="0" w:space="0" w:color="auto"/>
        <w:bottom w:val="none" w:sz="0" w:space="0" w:color="auto"/>
        <w:right w:val="none" w:sz="0" w:space="0" w:color="auto"/>
      </w:divBdr>
      <w:divsChild>
        <w:div w:id="142086462">
          <w:marLeft w:val="547"/>
          <w:marRight w:val="0"/>
          <w:marTop w:val="154"/>
          <w:marBottom w:val="0"/>
          <w:divBdr>
            <w:top w:val="none" w:sz="0" w:space="0" w:color="auto"/>
            <w:left w:val="none" w:sz="0" w:space="0" w:color="auto"/>
            <w:bottom w:val="none" w:sz="0" w:space="0" w:color="auto"/>
            <w:right w:val="none" w:sz="0" w:space="0" w:color="auto"/>
          </w:divBdr>
        </w:div>
        <w:div w:id="1916040589">
          <w:marLeft w:val="547"/>
          <w:marRight w:val="0"/>
          <w:marTop w:val="154"/>
          <w:marBottom w:val="0"/>
          <w:divBdr>
            <w:top w:val="none" w:sz="0" w:space="0" w:color="auto"/>
            <w:left w:val="none" w:sz="0" w:space="0" w:color="auto"/>
            <w:bottom w:val="none" w:sz="0" w:space="0" w:color="auto"/>
            <w:right w:val="none" w:sz="0" w:space="0" w:color="auto"/>
          </w:divBdr>
        </w:div>
      </w:divsChild>
    </w:div>
    <w:div w:id="1555383323">
      <w:bodyDiv w:val="1"/>
      <w:marLeft w:val="0"/>
      <w:marRight w:val="0"/>
      <w:marTop w:val="0"/>
      <w:marBottom w:val="0"/>
      <w:divBdr>
        <w:top w:val="none" w:sz="0" w:space="0" w:color="auto"/>
        <w:left w:val="none" w:sz="0" w:space="0" w:color="auto"/>
        <w:bottom w:val="none" w:sz="0" w:space="0" w:color="auto"/>
        <w:right w:val="none" w:sz="0" w:space="0" w:color="auto"/>
      </w:divBdr>
      <w:divsChild>
        <w:div w:id="277564739">
          <w:marLeft w:val="1166"/>
          <w:marRight w:val="0"/>
          <w:marTop w:val="134"/>
          <w:marBottom w:val="0"/>
          <w:divBdr>
            <w:top w:val="none" w:sz="0" w:space="0" w:color="auto"/>
            <w:left w:val="none" w:sz="0" w:space="0" w:color="auto"/>
            <w:bottom w:val="none" w:sz="0" w:space="0" w:color="auto"/>
            <w:right w:val="none" w:sz="0" w:space="0" w:color="auto"/>
          </w:divBdr>
        </w:div>
        <w:div w:id="479661045">
          <w:marLeft w:val="1166"/>
          <w:marRight w:val="0"/>
          <w:marTop w:val="134"/>
          <w:marBottom w:val="0"/>
          <w:divBdr>
            <w:top w:val="none" w:sz="0" w:space="0" w:color="auto"/>
            <w:left w:val="none" w:sz="0" w:space="0" w:color="auto"/>
            <w:bottom w:val="none" w:sz="0" w:space="0" w:color="auto"/>
            <w:right w:val="none" w:sz="0" w:space="0" w:color="auto"/>
          </w:divBdr>
        </w:div>
        <w:div w:id="519046754">
          <w:marLeft w:val="1166"/>
          <w:marRight w:val="0"/>
          <w:marTop w:val="134"/>
          <w:marBottom w:val="0"/>
          <w:divBdr>
            <w:top w:val="none" w:sz="0" w:space="0" w:color="auto"/>
            <w:left w:val="none" w:sz="0" w:space="0" w:color="auto"/>
            <w:bottom w:val="none" w:sz="0" w:space="0" w:color="auto"/>
            <w:right w:val="none" w:sz="0" w:space="0" w:color="auto"/>
          </w:divBdr>
        </w:div>
        <w:div w:id="703293174">
          <w:marLeft w:val="1166"/>
          <w:marRight w:val="0"/>
          <w:marTop w:val="134"/>
          <w:marBottom w:val="0"/>
          <w:divBdr>
            <w:top w:val="none" w:sz="0" w:space="0" w:color="auto"/>
            <w:left w:val="none" w:sz="0" w:space="0" w:color="auto"/>
            <w:bottom w:val="none" w:sz="0" w:space="0" w:color="auto"/>
            <w:right w:val="none" w:sz="0" w:space="0" w:color="auto"/>
          </w:divBdr>
        </w:div>
        <w:div w:id="1233811702">
          <w:marLeft w:val="1166"/>
          <w:marRight w:val="0"/>
          <w:marTop w:val="134"/>
          <w:marBottom w:val="0"/>
          <w:divBdr>
            <w:top w:val="none" w:sz="0" w:space="0" w:color="auto"/>
            <w:left w:val="none" w:sz="0" w:space="0" w:color="auto"/>
            <w:bottom w:val="none" w:sz="0" w:space="0" w:color="auto"/>
            <w:right w:val="none" w:sz="0" w:space="0" w:color="auto"/>
          </w:divBdr>
        </w:div>
        <w:div w:id="1838887595">
          <w:marLeft w:val="1166"/>
          <w:marRight w:val="0"/>
          <w:marTop w:val="134"/>
          <w:marBottom w:val="0"/>
          <w:divBdr>
            <w:top w:val="none" w:sz="0" w:space="0" w:color="auto"/>
            <w:left w:val="none" w:sz="0" w:space="0" w:color="auto"/>
            <w:bottom w:val="none" w:sz="0" w:space="0" w:color="auto"/>
            <w:right w:val="none" w:sz="0" w:space="0" w:color="auto"/>
          </w:divBdr>
        </w:div>
      </w:divsChild>
    </w:div>
    <w:div w:id="1696420148">
      <w:bodyDiv w:val="1"/>
      <w:marLeft w:val="0"/>
      <w:marRight w:val="0"/>
      <w:marTop w:val="0"/>
      <w:marBottom w:val="0"/>
      <w:divBdr>
        <w:top w:val="none" w:sz="0" w:space="0" w:color="auto"/>
        <w:left w:val="none" w:sz="0" w:space="0" w:color="auto"/>
        <w:bottom w:val="none" w:sz="0" w:space="0" w:color="auto"/>
        <w:right w:val="none" w:sz="0" w:space="0" w:color="auto"/>
      </w:divBdr>
      <w:divsChild>
        <w:div w:id="172427201">
          <w:marLeft w:val="1166"/>
          <w:marRight w:val="0"/>
          <w:marTop w:val="106"/>
          <w:marBottom w:val="0"/>
          <w:divBdr>
            <w:top w:val="none" w:sz="0" w:space="0" w:color="auto"/>
            <w:left w:val="none" w:sz="0" w:space="0" w:color="auto"/>
            <w:bottom w:val="none" w:sz="0" w:space="0" w:color="auto"/>
            <w:right w:val="none" w:sz="0" w:space="0" w:color="auto"/>
          </w:divBdr>
        </w:div>
        <w:div w:id="503011051">
          <w:marLeft w:val="1166"/>
          <w:marRight w:val="0"/>
          <w:marTop w:val="106"/>
          <w:marBottom w:val="0"/>
          <w:divBdr>
            <w:top w:val="none" w:sz="0" w:space="0" w:color="auto"/>
            <w:left w:val="none" w:sz="0" w:space="0" w:color="auto"/>
            <w:bottom w:val="none" w:sz="0" w:space="0" w:color="auto"/>
            <w:right w:val="none" w:sz="0" w:space="0" w:color="auto"/>
          </w:divBdr>
        </w:div>
        <w:div w:id="542443640">
          <w:marLeft w:val="547"/>
          <w:marRight w:val="0"/>
          <w:marTop w:val="120"/>
          <w:marBottom w:val="0"/>
          <w:divBdr>
            <w:top w:val="none" w:sz="0" w:space="0" w:color="auto"/>
            <w:left w:val="none" w:sz="0" w:space="0" w:color="auto"/>
            <w:bottom w:val="none" w:sz="0" w:space="0" w:color="auto"/>
            <w:right w:val="none" w:sz="0" w:space="0" w:color="auto"/>
          </w:divBdr>
        </w:div>
        <w:div w:id="795295110">
          <w:marLeft w:val="1166"/>
          <w:marRight w:val="0"/>
          <w:marTop w:val="106"/>
          <w:marBottom w:val="0"/>
          <w:divBdr>
            <w:top w:val="none" w:sz="0" w:space="0" w:color="auto"/>
            <w:left w:val="none" w:sz="0" w:space="0" w:color="auto"/>
            <w:bottom w:val="none" w:sz="0" w:space="0" w:color="auto"/>
            <w:right w:val="none" w:sz="0" w:space="0" w:color="auto"/>
          </w:divBdr>
        </w:div>
        <w:div w:id="1189027765">
          <w:marLeft w:val="1166"/>
          <w:marRight w:val="0"/>
          <w:marTop w:val="106"/>
          <w:marBottom w:val="0"/>
          <w:divBdr>
            <w:top w:val="none" w:sz="0" w:space="0" w:color="auto"/>
            <w:left w:val="none" w:sz="0" w:space="0" w:color="auto"/>
            <w:bottom w:val="none" w:sz="0" w:space="0" w:color="auto"/>
            <w:right w:val="none" w:sz="0" w:space="0" w:color="auto"/>
          </w:divBdr>
        </w:div>
        <w:div w:id="1371804071">
          <w:marLeft w:val="547"/>
          <w:marRight w:val="0"/>
          <w:marTop w:val="120"/>
          <w:marBottom w:val="0"/>
          <w:divBdr>
            <w:top w:val="none" w:sz="0" w:space="0" w:color="auto"/>
            <w:left w:val="none" w:sz="0" w:space="0" w:color="auto"/>
            <w:bottom w:val="none" w:sz="0" w:space="0" w:color="auto"/>
            <w:right w:val="none" w:sz="0" w:space="0" w:color="auto"/>
          </w:divBdr>
        </w:div>
        <w:div w:id="1540967969">
          <w:marLeft w:val="1166"/>
          <w:marRight w:val="0"/>
          <w:marTop w:val="106"/>
          <w:marBottom w:val="0"/>
          <w:divBdr>
            <w:top w:val="none" w:sz="0" w:space="0" w:color="auto"/>
            <w:left w:val="none" w:sz="0" w:space="0" w:color="auto"/>
            <w:bottom w:val="none" w:sz="0" w:space="0" w:color="auto"/>
            <w:right w:val="none" w:sz="0" w:space="0" w:color="auto"/>
          </w:divBdr>
        </w:div>
        <w:div w:id="1739858782">
          <w:marLeft w:val="1166"/>
          <w:marRight w:val="0"/>
          <w:marTop w:val="106"/>
          <w:marBottom w:val="0"/>
          <w:divBdr>
            <w:top w:val="none" w:sz="0" w:space="0" w:color="auto"/>
            <w:left w:val="none" w:sz="0" w:space="0" w:color="auto"/>
            <w:bottom w:val="none" w:sz="0" w:space="0" w:color="auto"/>
            <w:right w:val="none" w:sz="0" w:space="0" w:color="auto"/>
          </w:divBdr>
        </w:div>
        <w:div w:id="1874880865">
          <w:marLeft w:val="1166"/>
          <w:marRight w:val="0"/>
          <w:marTop w:val="106"/>
          <w:marBottom w:val="0"/>
          <w:divBdr>
            <w:top w:val="none" w:sz="0" w:space="0" w:color="auto"/>
            <w:left w:val="none" w:sz="0" w:space="0" w:color="auto"/>
            <w:bottom w:val="none" w:sz="0" w:space="0" w:color="auto"/>
            <w:right w:val="none" w:sz="0" w:space="0" w:color="auto"/>
          </w:divBdr>
        </w:div>
        <w:div w:id="2018194727">
          <w:marLeft w:val="1166"/>
          <w:marRight w:val="0"/>
          <w:marTop w:val="106"/>
          <w:marBottom w:val="0"/>
          <w:divBdr>
            <w:top w:val="none" w:sz="0" w:space="0" w:color="auto"/>
            <w:left w:val="none" w:sz="0" w:space="0" w:color="auto"/>
            <w:bottom w:val="none" w:sz="0" w:space="0" w:color="auto"/>
            <w:right w:val="none" w:sz="0" w:space="0" w:color="auto"/>
          </w:divBdr>
        </w:div>
        <w:div w:id="2132674765">
          <w:marLeft w:val="1166"/>
          <w:marRight w:val="0"/>
          <w:marTop w:val="106"/>
          <w:marBottom w:val="0"/>
          <w:divBdr>
            <w:top w:val="none" w:sz="0" w:space="0" w:color="auto"/>
            <w:left w:val="none" w:sz="0" w:space="0" w:color="auto"/>
            <w:bottom w:val="none" w:sz="0" w:space="0" w:color="auto"/>
            <w:right w:val="none" w:sz="0" w:space="0" w:color="auto"/>
          </w:divBdr>
        </w:div>
      </w:divsChild>
    </w:div>
    <w:div w:id="1697805393">
      <w:bodyDiv w:val="1"/>
      <w:marLeft w:val="0"/>
      <w:marRight w:val="0"/>
      <w:marTop w:val="0"/>
      <w:marBottom w:val="0"/>
      <w:divBdr>
        <w:top w:val="none" w:sz="0" w:space="0" w:color="auto"/>
        <w:left w:val="none" w:sz="0" w:space="0" w:color="auto"/>
        <w:bottom w:val="none" w:sz="0" w:space="0" w:color="auto"/>
        <w:right w:val="none" w:sz="0" w:space="0" w:color="auto"/>
      </w:divBdr>
    </w:div>
    <w:div w:id="1887447450">
      <w:bodyDiv w:val="1"/>
      <w:marLeft w:val="0"/>
      <w:marRight w:val="0"/>
      <w:marTop w:val="0"/>
      <w:marBottom w:val="0"/>
      <w:divBdr>
        <w:top w:val="none" w:sz="0" w:space="0" w:color="auto"/>
        <w:left w:val="none" w:sz="0" w:space="0" w:color="auto"/>
        <w:bottom w:val="none" w:sz="0" w:space="0" w:color="auto"/>
        <w:right w:val="none" w:sz="0" w:space="0" w:color="auto"/>
      </w:divBdr>
      <w:divsChild>
        <w:div w:id="508371335">
          <w:marLeft w:val="547"/>
          <w:marRight w:val="0"/>
          <w:marTop w:val="115"/>
          <w:marBottom w:val="0"/>
          <w:divBdr>
            <w:top w:val="none" w:sz="0" w:space="0" w:color="auto"/>
            <w:left w:val="none" w:sz="0" w:space="0" w:color="auto"/>
            <w:bottom w:val="none" w:sz="0" w:space="0" w:color="auto"/>
            <w:right w:val="none" w:sz="0" w:space="0" w:color="auto"/>
          </w:divBdr>
        </w:div>
        <w:div w:id="599025390">
          <w:marLeft w:val="547"/>
          <w:marRight w:val="0"/>
          <w:marTop w:val="115"/>
          <w:marBottom w:val="0"/>
          <w:divBdr>
            <w:top w:val="none" w:sz="0" w:space="0" w:color="auto"/>
            <w:left w:val="none" w:sz="0" w:space="0" w:color="auto"/>
            <w:bottom w:val="none" w:sz="0" w:space="0" w:color="auto"/>
            <w:right w:val="none" w:sz="0" w:space="0" w:color="auto"/>
          </w:divBdr>
        </w:div>
        <w:div w:id="953638430">
          <w:marLeft w:val="547"/>
          <w:marRight w:val="0"/>
          <w:marTop w:val="115"/>
          <w:marBottom w:val="0"/>
          <w:divBdr>
            <w:top w:val="none" w:sz="0" w:space="0" w:color="auto"/>
            <w:left w:val="none" w:sz="0" w:space="0" w:color="auto"/>
            <w:bottom w:val="none" w:sz="0" w:space="0" w:color="auto"/>
            <w:right w:val="none" w:sz="0" w:space="0" w:color="auto"/>
          </w:divBdr>
        </w:div>
        <w:div w:id="994650511">
          <w:marLeft w:val="547"/>
          <w:marRight w:val="0"/>
          <w:marTop w:val="115"/>
          <w:marBottom w:val="0"/>
          <w:divBdr>
            <w:top w:val="none" w:sz="0" w:space="0" w:color="auto"/>
            <w:left w:val="none" w:sz="0" w:space="0" w:color="auto"/>
            <w:bottom w:val="none" w:sz="0" w:space="0" w:color="auto"/>
            <w:right w:val="none" w:sz="0" w:space="0" w:color="auto"/>
          </w:divBdr>
        </w:div>
        <w:div w:id="995690027">
          <w:marLeft w:val="547"/>
          <w:marRight w:val="0"/>
          <w:marTop w:val="115"/>
          <w:marBottom w:val="0"/>
          <w:divBdr>
            <w:top w:val="none" w:sz="0" w:space="0" w:color="auto"/>
            <w:left w:val="none" w:sz="0" w:space="0" w:color="auto"/>
            <w:bottom w:val="none" w:sz="0" w:space="0" w:color="auto"/>
            <w:right w:val="none" w:sz="0" w:space="0" w:color="auto"/>
          </w:divBdr>
        </w:div>
        <w:div w:id="1233927211">
          <w:marLeft w:val="547"/>
          <w:marRight w:val="0"/>
          <w:marTop w:val="115"/>
          <w:marBottom w:val="0"/>
          <w:divBdr>
            <w:top w:val="none" w:sz="0" w:space="0" w:color="auto"/>
            <w:left w:val="none" w:sz="0" w:space="0" w:color="auto"/>
            <w:bottom w:val="none" w:sz="0" w:space="0" w:color="auto"/>
            <w:right w:val="none" w:sz="0" w:space="0" w:color="auto"/>
          </w:divBdr>
        </w:div>
        <w:div w:id="1368289556">
          <w:marLeft w:val="547"/>
          <w:marRight w:val="0"/>
          <w:marTop w:val="115"/>
          <w:marBottom w:val="0"/>
          <w:divBdr>
            <w:top w:val="none" w:sz="0" w:space="0" w:color="auto"/>
            <w:left w:val="none" w:sz="0" w:space="0" w:color="auto"/>
            <w:bottom w:val="none" w:sz="0" w:space="0" w:color="auto"/>
            <w:right w:val="none" w:sz="0" w:space="0" w:color="auto"/>
          </w:divBdr>
        </w:div>
        <w:div w:id="1614021947">
          <w:marLeft w:val="547"/>
          <w:marRight w:val="0"/>
          <w:marTop w:val="115"/>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eader" Target="header18.xml"/><Relationship Id="rId47"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0.xml"/><Relationship Id="rId7" Type="http://schemas.microsoft.com/office/2007/relationships/stylesWithEffects" Target="stylesWithEffects.xml"/><Relationship Id="rId29"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4" Type="http://schemas.openxmlformats.org/officeDocument/2006/relationships/header" Target="header9.xml"/><Relationship Id="rId1" Type="http://schemas.openxmlformats.org/officeDocument/2006/relationships/customXml" Target="../customXml/item1.xml"/><Relationship Id="rId32" Type="http://schemas.openxmlformats.org/officeDocument/2006/relationships/header" Target="header14.xml"/><Relationship Id="rId6" Type="http://schemas.openxmlformats.org/officeDocument/2006/relationships/styles" Target="styles.xml"/><Relationship Id="rId11" Type="http://schemas.openxmlformats.org/officeDocument/2006/relationships/endnotes" Target="endnotes.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2.xml"/><Relationship Id="rId23" Type="http://schemas.openxmlformats.org/officeDocument/2006/relationships/header" Target="header8.xml"/><Relationship Id="rId28" Type="http://schemas.openxmlformats.org/officeDocument/2006/relationships/footer" Target="footer6.xml"/><Relationship Id="rId5" Type="http://schemas.openxmlformats.org/officeDocument/2006/relationships/numbering" Target="numbering.xml"/><Relationship Id="rId36" Type="http://schemas.openxmlformats.org/officeDocument/2006/relationships/header" Target="header16.xml"/><Relationship Id="rId15" Type="http://schemas.openxmlformats.org/officeDocument/2006/relationships/header" Target="header3.xml"/><Relationship Id="rId31"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44" Type="http://schemas.openxmlformats.org/officeDocument/2006/relationships/footer" Target="footer11.xml"/><Relationship Id="rId22" Type="http://schemas.openxmlformats.org/officeDocument/2006/relationships/footer" Target="footer4.xml"/><Relationship Id="rId27" Type="http://schemas.openxmlformats.org/officeDocument/2006/relationships/header" Target="header11.xml"/><Relationship Id="rId4" Type="http://schemas.openxmlformats.org/officeDocument/2006/relationships/customXml" Target="../customXml/item4.xml"/><Relationship Id="rId30" Type="http://schemas.openxmlformats.org/officeDocument/2006/relationships/header" Target="header13.xml"/><Relationship Id="rId9" Type="http://schemas.openxmlformats.org/officeDocument/2006/relationships/webSettings" Target="webSettings.xml"/><Relationship Id="rId35" Type="http://schemas.openxmlformats.org/officeDocument/2006/relationships/footer" Target="footer8.xml"/><Relationship Id="rId14" Type="http://schemas.openxmlformats.org/officeDocument/2006/relationships/footer" Target="footer1.xml"/><Relationship Id="rId43" Type="http://schemas.openxmlformats.org/officeDocument/2006/relationships/header" Target="header21.xml"/><Relationship Id="rId48" Type="http://schemas.openxmlformats.org/officeDocument/2006/relationships/customXml" Target="../customXml/item5.xml"/><Relationship Id="rId8" Type="http://schemas.openxmlformats.org/officeDocument/2006/relationships/settings" Target="settings.xml"/><Relationship Id="rId3" Type="http://schemas.openxmlformats.org/officeDocument/2006/relationships/customXml" Target="../customXml/item3.xml"/><Relationship Id="rId46" Type="http://schemas.openxmlformats.org/officeDocument/2006/relationships/fontTable" Target="fontTable.xml"/><Relationship Id="rId25" Type="http://schemas.openxmlformats.org/officeDocument/2006/relationships/footer" Target="footer5.xml"/><Relationship Id="rId33"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2.xml"/><Relationship Id="rId38" Type="http://schemas.openxmlformats.org/officeDocument/2006/relationships/footer" Target="footer9.xml"/><Relationship Id="rId20" Type="http://schemas.openxmlformats.org/officeDocument/2006/relationships/header" Target="header6.xml"/><Relationship Id="rId41" Type="http://schemas.openxmlformats.org/officeDocument/2006/relationships/footer" Target="footer10.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A6FC2C3-4A2C-3443-9C2D-8D399AC24281}"/>
</file>

<file path=customXml/itemProps2.xml><?xml version="1.0" encoding="utf-8"?>
<ds:datastoreItem xmlns:ds="http://schemas.openxmlformats.org/officeDocument/2006/customXml" ds:itemID="{638AFA98-257A-4611-AD64-C9A567BF86CC}"/>
</file>

<file path=customXml/itemProps3.xml><?xml version="1.0" encoding="utf-8"?>
<ds:datastoreItem xmlns:ds="http://schemas.openxmlformats.org/officeDocument/2006/customXml" ds:itemID="{AA15B049-91AB-4565-9789-B132CCF9EA1C}"/>
</file>

<file path=customXml/itemProps4.xml><?xml version="1.0" encoding="utf-8"?>
<ds:datastoreItem xmlns:ds="http://schemas.openxmlformats.org/officeDocument/2006/customXml" ds:itemID="{902D71E6-A1A3-4A48-95D7-24C76453791B}"/>
</file>

<file path=customXml/itemProps5.xml><?xml version="1.0" encoding="utf-8"?>
<ds:datastoreItem xmlns:ds="http://schemas.openxmlformats.org/officeDocument/2006/customXml" ds:itemID="{AEA518C5-5F7F-4144-82AB-9F9F5C6A972E}"/>
</file>

<file path=docProps/app.xml><?xml version="1.0" encoding="utf-8"?>
<Properties xmlns="http://schemas.openxmlformats.org/officeDocument/2006/extended-properties" xmlns:vt="http://schemas.openxmlformats.org/officeDocument/2006/docPropsVTypes">
  <Template>Normal.dotm</Template>
  <TotalTime>0</TotalTime>
  <Pages>66</Pages>
  <Words>21958</Words>
  <Characters>125162</Characters>
  <Application>Microsoft Macintosh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Independent Progress Review (Mid-Term Review)</vt:lpstr>
    </vt:vector>
  </TitlesOfParts>
  <Company>Microsoft</Company>
  <LinksUpToDate>false</LinksUpToDate>
  <CharactersWithSpaces>146827</CharactersWithSpaces>
  <SharedDoc>false</SharedDoc>
  <HLinks>
    <vt:vector size="414" baseType="variant">
      <vt:variant>
        <vt:i4>5898252</vt:i4>
      </vt:variant>
      <vt:variant>
        <vt:i4>366</vt:i4>
      </vt:variant>
      <vt:variant>
        <vt:i4>0</vt:i4>
      </vt:variant>
      <vt:variant>
        <vt:i4>5</vt:i4>
      </vt:variant>
      <vt:variant>
        <vt:lpwstr>http://www.biomedcentral.com/1471-2393/10/31</vt:lpwstr>
      </vt:variant>
      <vt:variant>
        <vt:lpwstr/>
      </vt:variant>
      <vt:variant>
        <vt:i4>2687011</vt:i4>
      </vt:variant>
      <vt:variant>
        <vt:i4>363</vt:i4>
      </vt:variant>
      <vt:variant>
        <vt:i4>0</vt:i4>
      </vt:variant>
      <vt:variant>
        <vt:i4>5</vt:i4>
      </vt:variant>
      <vt:variant>
        <vt:lpwstr>http://files.dcp2.org/pdf/DCP/DCP27.pdf</vt:lpwstr>
      </vt:variant>
      <vt:variant>
        <vt:lpwstr/>
      </vt:variant>
      <vt:variant>
        <vt:i4>2162805</vt:i4>
      </vt:variant>
      <vt:variant>
        <vt:i4>360</vt:i4>
      </vt:variant>
      <vt:variant>
        <vt:i4>0</vt:i4>
      </vt:variant>
      <vt:variant>
        <vt:i4>5</vt:i4>
      </vt:variant>
      <vt:variant>
        <vt:lpwstr>http://www.fao.org/sd/PPdirect/PPre0074.htm</vt:lpwstr>
      </vt:variant>
      <vt:variant>
        <vt:lpwstr/>
      </vt:variant>
      <vt:variant>
        <vt:i4>983069</vt:i4>
      </vt:variant>
      <vt:variant>
        <vt:i4>357</vt:i4>
      </vt:variant>
      <vt:variant>
        <vt:i4>0</vt:i4>
      </vt:variant>
      <vt:variant>
        <vt:i4>5</vt:i4>
      </vt:variant>
      <vt:variant>
        <vt:lpwstr>http://vle.worldbank.org/bnpp/en/publications/governance/problem-driven-governance-and-political-economy-analysis</vt:lpwstr>
      </vt:variant>
      <vt:variant>
        <vt:lpwstr/>
      </vt:variant>
      <vt:variant>
        <vt:i4>1179655</vt:i4>
      </vt:variant>
      <vt:variant>
        <vt:i4>354</vt:i4>
      </vt:variant>
      <vt:variant>
        <vt:i4>0</vt:i4>
      </vt:variant>
      <vt:variant>
        <vt:i4>5</vt:i4>
      </vt:variant>
      <vt:variant>
        <vt:lpwstr>http://www.engagingcommunities2005.org/abstracts/Cavaye-Jim-final.pdf</vt:lpwstr>
      </vt:variant>
      <vt:variant>
        <vt:lpwstr/>
      </vt:variant>
      <vt:variant>
        <vt:i4>1835042</vt:i4>
      </vt:variant>
      <vt:variant>
        <vt:i4>351</vt:i4>
      </vt:variant>
      <vt:variant>
        <vt:i4>0</vt:i4>
      </vt:variant>
      <vt:variant>
        <vt:i4>5</vt:i4>
      </vt:variant>
      <vt:variant>
        <vt:lpwstr>http://www..manchester.ac.uk/sed/research/beyond_nimbyism</vt:lpwstr>
      </vt:variant>
      <vt:variant>
        <vt:lpwstr/>
      </vt:variant>
      <vt:variant>
        <vt:i4>4456467</vt:i4>
      </vt:variant>
      <vt:variant>
        <vt:i4>348</vt:i4>
      </vt:variant>
      <vt:variant>
        <vt:i4>0</vt:i4>
      </vt:variant>
      <vt:variant>
        <vt:i4>5</vt:i4>
      </vt:variant>
      <vt:variant>
        <vt:lpwstr>http://www.engagingcommunities2005.org/abstracts/Twyford-Vivienfinal.pdf</vt:lpwstr>
      </vt:variant>
      <vt:variant>
        <vt:lpwstr/>
      </vt:variant>
      <vt:variant>
        <vt:i4>2490458</vt:i4>
      </vt:variant>
      <vt:variant>
        <vt:i4>345</vt:i4>
      </vt:variant>
      <vt:variant>
        <vt:i4>0</vt:i4>
      </vt:variant>
      <vt:variant>
        <vt:i4>5</vt:i4>
      </vt:variant>
      <vt:variant>
        <vt:lpwstr>http://www.ec.europa.eu/regional_policy/conferences/evaluation2009/.../bjurulf.doc</vt:lpwstr>
      </vt:variant>
      <vt:variant>
        <vt:lpwstr/>
      </vt:variant>
      <vt:variant>
        <vt:i4>5177353</vt:i4>
      </vt:variant>
      <vt:variant>
        <vt:i4>342</vt:i4>
      </vt:variant>
      <vt:variant>
        <vt:i4>0</vt:i4>
      </vt:variant>
      <vt:variant>
        <vt:i4>5</vt:i4>
      </vt:variant>
      <vt:variant>
        <vt:lpwstr>http://www.ejbrm.com/</vt:lpwstr>
      </vt:variant>
      <vt:variant>
        <vt:lpwstr/>
      </vt:variant>
      <vt:variant>
        <vt:i4>5111900</vt:i4>
      </vt:variant>
      <vt:variant>
        <vt:i4>339</vt:i4>
      </vt:variant>
      <vt:variant>
        <vt:i4>0</vt:i4>
      </vt:variant>
      <vt:variant>
        <vt:i4>5</vt:i4>
      </vt:variant>
      <vt:variant>
        <vt:lpwstr>http://www.pefa.org/</vt:lpwstr>
      </vt:variant>
      <vt:variant>
        <vt:lpwstr/>
      </vt:variant>
      <vt:variant>
        <vt:i4>1835059</vt:i4>
      </vt:variant>
      <vt:variant>
        <vt:i4>332</vt:i4>
      </vt:variant>
      <vt:variant>
        <vt:i4>0</vt:i4>
      </vt:variant>
      <vt:variant>
        <vt:i4>5</vt:i4>
      </vt:variant>
      <vt:variant>
        <vt:lpwstr/>
      </vt:variant>
      <vt:variant>
        <vt:lpwstr>_Toc286132403</vt:lpwstr>
      </vt:variant>
      <vt:variant>
        <vt:i4>1835059</vt:i4>
      </vt:variant>
      <vt:variant>
        <vt:i4>326</vt:i4>
      </vt:variant>
      <vt:variant>
        <vt:i4>0</vt:i4>
      </vt:variant>
      <vt:variant>
        <vt:i4>5</vt:i4>
      </vt:variant>
      <vt:variant>
        <vt:lpwstr/>
      </vt:variant>
      <vt:variant>
        <vt:lpwstr>_Toc286132402</vt:lpwstr>
      </vt:variant>
      <vt:variant>
        <vt:i4>1310772</vt:i4>
      </vt:variant>
      <vt:variant>
        <vt:i4>320</vt:i4>
      </vt:variant>
      <vt:variant>
        <vt:i4>0</vt:i4>
      </vt:variant>
      <vt:variant>
        <vt:i4>5</vt:i4>
      </vt:variant>
      <vt:variant>
        <vt:lpwstr/>
      </vt:variant>
      <vt:variant>
        <vt:lpwstr>_Toc286132384</vt:lpwstr>
      </vt:variant>
      <vt:variant>
        <vt:i4>1310772</vt:i4>
      </vt:variant>
      <vt:variant>
        <vt:i4>314</vt:i4>
      </vt:variant>
      <vt:variant>
        <vt:i4>0</vt:i4>
      </vt:variant>
      <vt:variant>
        <vt:i4>5</vt:i4>
      </vt:variant>
      <vt:variant>
        <vt:lpwstr/>
      </vt:variant>
      <vt:variant>
        <vt:lpwstr>_Toc286132382</vt:lpwstr>
      </vt:variant>
      <vt:variant>
        <vt:i4>1310772</vt:i4>
      </vt:variant>
      <vt:variant>
        <vt:i4>308</vt:i4>
      </vt:variant>
      <vt:variant>
        <vt:i4>0</vt:i4>
      </vt:variant>
      <vt:variant>
        <vt:i4>5</vt:i4>
      </vt:variant>
      <vt:variant>
        <vt:lpwstr/>
      </vt:variant>
      <vt:variant>
        <vt:lpwstr>_Toc286132381</vt:lpwstr>
      </vt:variant>
      <vt:variant>
        <vt:i4>1769524</vt:i4>
      </vt:variant>
      <vt:variant>
        <vt:i4>302</vt:i4>
      </vt:variant>
      <vt:variant>
        <vt:i4>0</vt:i4>
      </vt:variant>
      <vt:variant>
        <vt:i4>5</vt:i4>
      </vt:variant>
      <vt:variant>
        <vt:lpwstr/>
      </vt:variant>
      <vt:variant>
        <vt:lpwstr>_Toc286132374</vt:lpwstr>
      </vt:variant>
      <vt:variant>
        <vt:i4>1769524</vt:i4>
      </vt:variant>
      <vt:variant>
        <vt:i4>296</vt:i4>
      </vt:variant>
      <vt:variant>
        <vt:i4>0</vt:i4>
      </vt:variant>
      <vt:variant>
        <vt:i4>5</vt:i4>
      </vt:variant>
      <vt:variant>
        <vt:lpwstr/>
      </vt:variant>
      <vt:variant>
        <vt:lpwstr>_Toc286132372</vt:lpwstr>
      </vt:variant>
      <vt:variant>
        <vt:i4>1769524</vt:i4>
      </vt:variant>
      <vt:variant>
        <vt:i4>290</vt:i4>
      </vt:variant>
      <vt:variant>
        <vt:i4>0</vt:i4>
      </vt:variant>
      <vt:variant>
        <vt:i4>5</vt:i4>
      </vt:variant>
      <vt:variant>
        <vt:lpwstr/>
      </vt:variant>
      <vt:variant>
        <vt:lpwstr>_Toc286132371</vt:lpwstr>
      </vt:variant>
      <vt:variant>
        <vt:i4>1769524</vt:i4>
      </vt:variant>
      <vt:variant>
        <vt:i4>284</vt:i4>
      </vt:variant>
      <vt:variant>
        <vt:i4>0</vt:i4>
      </vt:variant>
      <vt:variant>
        <vt:i4>5</vt:i4>
      </vt:variant>
      <vt:variant>
        <vt:lpwstr/>
      </vt:variant>
      <vt:variant>
        <vt:lpwstr>_Toc286132370</vt:lpwstr>
      </vt:variant>
      <vt:variant>
        <vt:i4>1703988</vt:i4>
      </vt:variant>
      <vt:variant>
        <vt:i4>278</vt:i4>
      </vt:variant>
      <vt:variant>
        <vt:i4>0</vt:i4>
      </vt:variant>
      <vt:variant>
        <vt:i4>5</vt:i4>
      </vt:variant>
      <vt:variant>
        <vt:lpwstr/>
      </vt:variant>
      <vt:variant>
        <vt:lpwstr>_Toc286132367</vt:lpwstr>
      </vt:variant>
      <vt:variant>
        <vt:i4>1703988</vt:i4>
      </vt:variant>
      <vt:variant>
        <vt:i4>272</vt:i4>
      </vt:variant>
      <vt:variant>
        <vt:i4>0</vt:i4>
      </vt:variant>
      <vt:variant>
        <vt:i4>5</vt:i4>
      </vt:variant>
      <vt:variant>
        <vt:lpwstr/>
      </vt:variant>
      <vt:variant>
        <vt:lpwstr>_Toc286132366</vt:lpwstr>
      </vt:variant>
      <vt:variant>
        <vt:i4>1703988</vt:i4>
      </vt:variant>
      <vt:variant>
        <vt:i4>266</vt:i4>
      </vt:variant>
      <vt:variant>
        <vt:i4>0</vt:i4>
      </vt:variant>
      <vt:variant>
        <vt:i4>5</vt:i4>
      </vt:variant>
      <vt:variant>
        <vt:lpwstr/>
      </vt:variant>
      <vt:variant>
        <vt:lpwstr>_Toc286132365</vt:lpwstr>
      </vt:variant>
      <vt:variant>
        <vt:i4>1638452</vt:i4>
      </vt:variant>
      <vt:variant>
        <vt:i4>260</vt:i4>
      </vt:variant>
      <vt:variant>
        <vt:i4>0</vt:i4>
      </vt:variant>
      <vt:variant>
        <vt:i4>5</vt:i4>
      </vt:variant>
      <vt:variant>
        <vt:lpwstr/>
      </vt:variant>
      <vt:variant>
        <vt:lpwstr>_Toc286132350</vt:lpwstr>
      </vt:variant>
      <vt:variant>
        <vt:i4>1572916</vt:i4>
      </vt:variant>
      <vt:variant>
        <vt:i4>254</vt:i4>
      </vt:variant>
      <vt:variant>
        <vt:i4>0</vt:i4>
      </vt:variant>
      <vt:variant>
        <vt:i4>5</vt:i4>
      </vt:variant>
      <vt:variant>
        <vt:lpwstr/>
      </vt:variant>
      <vt:variant>
        <vt:lpwstr>_Toc286132349</vt:lpwstr>
      </vt:variant>
      <vt:variant>
        <vt:i4>1572916</vt:i4>
      </vt:variant>
      <vt:variant>
        <vt:i4>248</vt:i4>
      </vt:variant>
      <vt:variant>
        <vt:i4>0</vt:i4>
      </vt:variant>
      <vt:variant>
        <vt:i4>5</vt:i4>
      </vt:variant>
      <vt:variant>
        <vt:lpwstr/>
      </vt:variant>
      <vt:variant>
        <vt:lpwstr>_Toc286132348</vt:lpwstr>
      </vt:variant>
      <vt:variant>
        <vt:i4>1572916</vt:i4>
      </vt:variant>
      <vt:variant>
        <vt:i4>242</vt:i4>
      </vt:variant>
      <vt:variant>
        <vt:i4>0</vt:i4>
      </vt:variant>
      <vt:variant>
        <vt:i4>5</vt:i4>
      </vt:variant>
      <vt:variant>
        <vt:lpwstr/>
      </vt:variant>
      <vt:variant>
        <vt:lpwstr>_Toc286132347</vt:lpwstr>
      </vt:variant>
      <vt:variant>
        <vt:i4>1572916</vt:i4>
      </vt:variant>
      <vt:variant>
        <vt:i4>236</vt:i4>
      </vt:variant>
      <vt:variant>
        <vt:i4>0</vt:i4>
      </vt:variant>
      <vt:variant>
        <vt:i4>5</vt:i4>
      </vt:variant>
      <vt:variant>
        <vt:lpwstr/>
      </vt:variant>
      <vt:variant>
        <vt:lpwstr>_Toc286132345</vt:lpwstr>
      </vt:variant>
      <vt:variant>
        <vt:i4>1572916</vt:i4>
      </vt:variant>
      <vt:variant>
        <vt:i4>230</vt:i4>
      </vt:variant>
      <vt:variant>
        <vt:i4>0</vt:i4>
      </vt:variant>
      <vt:variant>
        <vt:i4>5</vt:i4>
      </vt:variant>
      <vt:variant>
        <vt:lpwstr/>
      </vt:variant>
      <vt:variant>
        <vt:lpwstr>_Toc286132344</vt:lpwstr>
      </vt:variant>
      <vt:variant>
        <vt:i4>1572916</vt:i4>
      </vt:variant>
      <vt:variant>
        <vt:i4>224</vt:i4>
      </vt:variant>
      <vt:variant>
        <vt:i4>0</vt:i4>
      </vt:variant>
      <vt:variant>
        <vt:i4>5</vt:i4>
      </vt:variant>
      <vt:variant>
        <vt:lpwstr/>
      </vt:variant>
      <vt:variant>
        <vt:lpwstr>_Toc286132343</vt:lpwstr>
      </vt:variant>
      <vt:variant>
        <vt:i4>1572916</vt:i4>
      </vt:variant>
      <vt:variant>
        <vt:i4>218</vt:i4>
      </vt:variant>
      <vt:variant>
        <vt:i4>0</vt:i4>
      </vt:variant>
      <vt:variant>
        <vt:i4>5</vt:i4>
      </vt:variant>
      <vt:variant>
        <vt:lpwstr/>
      </vt:variant>
      <vt:variant>
        <vt:lpwstr>_Toc286132342</vt:lpwstr>
      </vt:variant>
      <vt:variant>
        <vt:i4>1572916</vt:i4>
      </vt:variant>
      <vt:variant>
        <vt:i4>212</vt:i4>
      </vt:variant>
      <vt:variant>
        <vt:i4>0</vt:i4>
      </vt:variant>
      <vt:variant>
        <vt:i4>5</vt:i4>
      </vt:variant>
      <vt:variant>
        <vt:lpwstr/>
      </vt:variant>
      <vt:variant>
        <vt:lpwstr>_Toc286132341</vt:lpwstr>
      </vt:variant>
      <vt:variant>
        <vt:i4>1572916</vt:i4>
      </vt:variant>
      <vt:variant>
        <vt:i4>206</vt:i4>
      </vt:variant>
      <vt:variant>
        <vt:i4>0</vt:i4>
      </vt:variant>
      <vt:variant>
        <vt:i4>5</vt:i4>
      </vt:variant>
      <vt:variant>
        <vt:lpwstr/>
      </vt:variant>
      <vt:variant>
        <vt:lpwstr>_Toc286132340</vt:lpwstr>
      </vt:variant>
      <vt:variant>
        <vt:i4>2031668</vt:i4>
      </vt:variant>
      <vt:variant>
        <vt:i4>200</vt:i4>
      </vt:variant>
      <vt:variant>
        <vt:i4>0</vt:i4>
      </vt:variant>
      <vt:variant>
        <vt:i4>5</vt:i4>
      </vt:variant>
      <vt:variant>
        <vt:lpwstr/>
      </vt:variant>
      <vt:variant>
        <vt:lpwstr>_Toc286132339</vt:lpwstr>
      </vt:variant>
      <vt:variant>
        <vt:i4>2031668</vt:i4>
      </vt:variant>
      <vt:variant>
        <vt:i4>194</vt:i4>
      </vt:variant>
      <vt:variant>
        <vt:i4>0</vt:i4>
      </vt:variant>
      <vt:variant>
        <vt:i4>5</vt:i4>
      </vt:variant>
      <vt:variant>
        <vt:lpwstr/>
      </vt:variant>
      <vt:variant>
        <vt:lpwstr>_Toc286132338</vt:lpwstr>
      </vt:variant>
      <vt:variant>
        <vt:i4>2031668</vt:i4>
      </vt:variant>
      <vt:variant>
        <vt:i4>188</vt:i4>
      </vt:variant>
      <vt:variant>
        <vt:i4>0</vt:i4>
      </vt:variant>
      <vt:variant>
        <vt:i4>5</vt:i4>
      </vt:variant>
      <vt:variant>
        <vt:lpwstr/>
      </vt:variant>
      <vt:variant>
        <vt:lpwstr>_Toc286132337</vt:lpwstr>
      </vt:variant>
      <vt:variant>
        <vt:i4>2031668</vt:i4>
      </vt:variant>
      <vt:variant>
        <vt:i4>182</vt:i4>
      </vt:variant>
      <vt:variant>
        <vt:i4>0</vt:i4>
      </vt:variant>
      <vt:variant>
        <vt:i4>5</vt:i4>
      </vt:variant>
      <vt:variant>
        <vt:lpwstr/>
      </vt:variant>
      <vt:variant>
        <vt:lpwstr>_Toc286132336</vt:lpwstr>
      </vt:variant>
      <vt:variant>
        <vt:i4>2031668</vt:i4>
      </vt:variant>
      <vt:variant>
        <vt:i4>176</vt:i4>
      </vt:variant>
      <vt:variant>
        <vt:i4>0</vt:i4>
      </vt:variant>
      <vt:variant>
        <vt:i4>5</vt:i4>
      </vt:variant>
      <vt:variant>
        <vt:lpwstr/>
      </vt:variant>
      <vt:variant>
        <vt:lpwstr>_Toc286132335</vt:lpwstr>
      </vt:variant>
      <vt:variant>
        <vt:i4>2031668</vt:i4>
      </vt:variant>
      <vt:variant>
        <vt:i4>170</vt:i4>
      </vt:variant>
      <vt:variant>
        <vt:i4>0</vt:i4>
      </vt:variant>
      <vt:variant>
        <vt:i4>5</vt:i4>
      </vt:variant>
      <vt:variant>
        <vt:lpwstr/>
      </vt:variant>
      <vt:variant>
        <vt:lpwstr>_Toc286132334</vt:lpwstr>
      </vt:variant>
      <vt:variant>
        <vt:i4>2031668</vt:i4>
      </vt:variant>
      <vt:variant>
        <vt:i4>164</vt:i4>
      </vt:variant>
      <vt:variant>
        <vt:i4>0</vt:i4>
      </vt:variant>
      <vt:variant>
        <vt:i4>5</vt:i4>
      </vt:variant>
      <vt:variant>
        <vt:lpwstr/>
      </vt:variant>
      <vt:variant>
        <vt:lpwstr>_Toc286132333</vt:lpwstr>
      </vt:variant>
      <vt:variant>
        <vt:i4>2031668</vt:i4>
      </vt:variant>
      <vt:variant>
        <vt:i4>158</vt:i4>
      </vt:variant>
      <vt:variant>
        <vt:i4>0</vt:i4>
      </vt:variant>
      <vt:variant>
        <vt:i4>5</vt:i4>
      </vt:variant>
      <vt:variant>
        <vt:lpwstr/>
      </vt:variant>
      <vt:variant>
        <vt:lpwstr>_Toc286132332</vt:lpwstr>
      </vt:variant>
      <vt:variant>
        <vt:i4>2031668</vt:i4>
      </vt:variant>
      <vt:variant>
        <vt:i4>152</vt:i4>
      </vt:variant>
      <vt:variant>
        <vt:i4>0</vt:i4>
      </vt:variant>
      <vt:variant>
        <vt:i4>5</vt:i4>
      </vt:variant>
      <vt:variant>
        <vt:lpwstr/>
      </vt:variant>
      <vt:variant>
        <vt:lpwstr>_Toc286132331</vt:lpwstr>
      </vt:variant>
      <vt:variant>
        <vt:i4>2031668</vt:i4>
      </vt:variant>
      <vt:variant>
        <vt:i4>146</vt:i4>
      </vt:variant>
      <vt:variant>
        <vt:i4>0</vt:i4>
      </vt:variant>
      <vt:variant>
        <vt:i4>5</vt:i4>
      </vt:variant>
      <vt:variant>
        <vt:lpwstr/>
      </vt:variant>
      <vt:variant>
        <vt:lpwstr>_Toc286132330</vt:lpwstr>
      </vt:variant>
      <vt:variant>
        <vt:i4>1966132</vt:i4>
      </vt:variant>
      <vt:variant>
        <vt:i4>140</vt:i4>
      </vt:variant>
      <vt:variant>
        <vt:i4>0</vt:i4>
      </vt:variant>
      <vt:variant>
        <vt:i4>5</vt:i4>
      </vt:variant>
      <vt:variant>
        <vt:lpwstr/>
      </vt:variant>
      <vt:variant>
        <vt:lpwstr>_Toc286132329</vt:lpwstr>
      </vt:variant>
      <vt:variant>
        <vt:i4>1966132</vt:i4>
      </vt:variant>
      <vt:variant>
        <vt:i4>134</vt:i4>
      </vt:variant>
      <vt:variant>
        <vt:i4>0</vt:i4>
      </vt:variant>
      <vt:variant>
        <vt:i4>5</vt:i4>
      </vt:variant>
      <vt:variant>
        <vt:lpwstr/>
      </vt:variant>
      <vt:variant>
        <vt:lpwstr>_Toc286132328</vt:lpwstr>
      </vt:variant>
      <vt:variant>
        <vt:i4>1966132</vt:i4>
      </vt:variant>
      <vt:variant>
        <vt:i4>128</vt:i4>
      </vt:variant>
      <vt:variant>
        <vt:i4>0</vt:i4>
      </vt:variant>
      <vt:variant>
        <vt:i4>5</vt:i4>
      </vt:variant>
      <vt:variant>
        <vt:lpwstr/>
      </vt:variant>
      <vt:variant>
        <vt:lpwstr>_Toc286132327</vt:lpwstr>
      </vt:variant>
      <vt:variant>
        <vt:i4>1966132</vt:i4>
      </vt:variant>
      <vt:variant>
        <vt:i4>122</vt:i4>
      </vt:variant>
      <vt:variant>
        <vt:i4>0</vt:i4>
      </vt:variant>
      <vt:variant>
        <vt:i4>5</vt:i4>
      </vt:variant>
      <vt:variant>
        <vt:lpwstr/>
      </vt:variant>
      <vt:variant>
        <vt:lpwstr>_Toc286132326</vt:lpwstr>
      </vt:variant>
      <vt:variant>
        <vt:i4>1966132</vt:i4>
      </vt:variant>
      <vt:variant>
        <vt:i4>116</vt:i4>
      </vt:variant>
      <vt:variant>
        <vt:i4>0</vt:i4>
      </vt:variant>
      <vt:variant>
        <vt:i4>5</vt:i4>
      </vt:variant>
      <vt:variant>
        <vt:lpwstr/>
      </vt:variant>
      <vt:variant>
        <vt:lpwstr>_Toc286132325</vt:lpwstr>
      </vt:variant>
      <vt:variant>
        <vt:i4>1966132</vt:i4>
      </vt:variant>
      <vt:variant>
        <vt:i4>110</vt:i4>
      </vt:variant>
      <vt:variant>
        <vt:i4>0</vt:i4>
      </vt:variant>
      <vt:variant>
        <vt:i4>5</vt:i4>
      </vt:variant>
      <vt:variant>
        <vt:lpwstr/>
      </vt:variant>
      <vt:variant>
        <vt:lpwstr>_Toc286132324</vt:lpwstr>
      </vt:variant>
      <vt:variant>
        <vt:i4>1966132</vt:i4>
      </vt:variant>
      <vt:variant>
        <vt:i4>104</vt:i4>
      </vt:variant>
      <vt:variant>
        <vt:i4>0</vt:i4>
      </vt:variant>
      <vt:variant>
        <vt:i4>5</vt:i4>
      </vt:variant>
      <vt:variant>
        <vt:lpwstr/>
      </vt:variant>
      <vt:variant>
        <vt:lpwstr>_Toc286132323</vt:lpwstr>
      </vt:variant>
      <vt:variant>
        <vt:i4>1966132</vt:i4>
      </vt:variant>
      <vt:variant>
        <vt:i4>98</vt:i4>
      </vt:variant>
      <vt:variant>
        <vt:i4>0</vt:i4>
      </vt:variant>
      <vt:variant>
        <vt:i4>5</vt:i4>
      </vt:variant>
      <vt:variant>
        <vt:lpwstr/>
      </vt:variant>
      <vt:variant>
        <vt:lpwstr>_Toc286132322</vt:lpwstr>
      </vt:variant>
      <vt:variant>
        <vt:i4>1966132</vt:i4>
      </vt:variant>
      <vt:variant>
        <vt:i4>92</vt:i4>
      </vt:variant>
      <vt:variant>
        <vt:i4>0</vt:i4>
      </vt:variant>
      <vt:variant>
        <vt:i4>5</vt:i4>
      </vt:variant>
      <vt:variant>
        <vt:lpwstr/>
      </vt:variant>
      <vt:variant>
        <vt:lpwstr>_Toc286132321</vt:lpwstr>
      </vt:variant>
      <vt:variant>
        <vt:i4>1966132</vt:i4>
      </vt:variant>
      <vt:variant>
        <vt:i4>86</vt:i4>
      </vt:variant>
      <vt:variant>
        <vt:i4>0</vt:i4>
      </vt:variant>
      <vt:variant>
        <vt:i4>5</vt:i4>
      </vt:variant>
      <vt:variant>
        <vt:lpwstr/>
      </vt:variant>
      <vt:variant>
        <vt:lpwstr>_Toc286132320</vt:lpwstr>
      </vt:variant>
      <vt:variant>
        <vt:i4>1900596</vt:i4>
      </vt:variant>
      <vt:variant>
        <vt:i4>80</vt:i4>
      </vt:variant>
      <vt:variant>
        <vt:i4>0</vt:i4>
      </vt:variant>
      <vt:variant>
        <vt:i4>5</vt:i4>
      </vt:variant>
      <vt:variant>
        <vt:lpwstr/>
      </vt:variant>
      <vt:variant>
        <vt:lpwstr>_Toc286132319</vt:lpwstr>
      </vt:variant>
      <vt:variant>
        <vt:i4>1900596</vt:i4>
      </vt:variant>
      <vt:variant>
        <vt:i4>74</vt:i4>
      </vt:variant>
      <vt:variant>
        <vt:i4>0</vt:i4>
      </vt:variant>
      <vt:variant>
        <vt:i4>5</vt:i4>
      </vt:variant>
      <vt:variant>
        <vt:lpwstr/>
      </vt:variant>
      <vt:variant>
        <vt:lpwstr>_Toc286132318</vt:lpwstr>
      </vt:variant>
      <vt:variant>
        <vt:i4>1900596</vt:i4>
      </vt:variant>
      <vt:variant>
        <vt:i4>68</vt:i4>
      </vt:variant>
      <vt:variant>
        <vt:i4>0</vt:i4>
      </vt:variant>
      <vt:variant>
        <vt:i4>5</vt:i4>
      </vt:variant>
      <vt:variant>
        <vt:lpwstr/>
      </vt:variant>
      <vt:variant>
        <vt:lpwstr>_Toc286132317</vt:lpwstr>
      </vt:variant>
      <vt:variant>
        <vt:i4>1900596</vt:i4>
      </vt:variant>
      <vt:variant>
        <vt:i4>62</vt:i4>
      </vt:variant>
      <vt:variant>
        <vt:i4>0</vt:i4>
      </vt:variant>
      <vt:variant>
        <vt:i4>5</vt:i4>
      </vt:variant>
      <vt:variant>
        <vt:lpwstr/>
      </vt:variant>
      <vt:variant>
        <vt:lpwstr>_Toc286132316</vt:lpwstr>
      </vt:variant>
      <vt:variant>
        <vt:i4>1900596</vt:i4>
      </vt:variant>
      <vt:variant>
        <vt:i4>56</vt:i4>
      </vt:variant>
      <vt:variant>
        <vt:i4>0</vt:i4>
      </vt:variant>
      <vt:variant>
        <vt:i4>5</vt:i4>
      </vt:variant>
      <vt:variant>
        <vt:lpwstr/>
      </vt:variant>
      <vt:variant>
        <vt:lpwstr>_Toc286132315</vt:lpwstr>
      </vt:variant>
      <vt:variant>
        <vt:i4>1900596</vt:i4>
      </vt:variant>
      <vt:variant>
        <vt:i4>50</vt:i4>
      </vt:variant>
      <vt:variant>
        <vt:i4>0</vt:i4>
      </vt:variant>
      <vt:variant>
        <vt:i4>5</vt:i4>
      </vt:variant>
      <vt:variant>
        <vt:lpwstr/>
      </vt:variant>
      <vt:variant>
        <vt:lpwstr>_Toc286132314</vt:lpwstr>
      </vt:variant>
      <vt:variant>
        <vt:i4>1900596</vt:i4>
      </vt:variant>
      <vt:variant>
        <vt:i4>44</vt:i4>
      </vt:variant>
      <vt:variant>
        <vt:i4>0</vt:i4>
      </vt:variant>
      <vt:variant>
        <vt:i4>5</vt:i4>
      </vt:variant>
      <vt:variant>
        <vt:lpwstr/>
      </vt:variant>
      <vt:variant>
        <vt:lpwstr>_Toc286132313</vt:lpwstr>
      </vt:variant>
      <vt:variant>
        <vt:i4>1900596</vt:i4>
      </vt:variant>
      <vt:variant>
        <vt:i4>38</vt:i4>
      </vt:variant>
      <vt:variant>
        <vt:i4>0</vt:i4>
      </vt:variant>
      <vt:variant>
        <vt:i4>5</vt:i4>
      </vt:variant>
      <vt:variant>
        <vt:lpwstr/>
      </vt:variant>
      <vt:variant>
        <vt:lpwstr>_Toc286132312</vt:lpwstr>
      </vt:variant>
      <vt:variant>
        <vt:i4>1900596</vt:i4>
      </vt:variant>
      <vt:variant>
        <vt:i4>32</vt:i4>
      </vt:variant>
      <vt:variant>
        <vt:i4>0</vt:i4>
      </vt:variant>
      <vt:variant>
        <vt:i4>5</vt:i4>
      </vt:variant>
      <vt:variant>
        <vt:lpwstr/>
      </vt:variant>
      <vt:variant>
        <vt:lpwstr>_Toc286132311</vt:lpwstr>
      </vt:variant>
      <vt:variant>
        <vt:i4>1900596</vt:i4>
      </vt:variant>
      <vt:variant>
        <vt:i4>26</vt:i4>
      </vt:variant>
      <vt:variant>
        <vt:i4>0</vt:i4>
      </vt:variant>
      <vt:variant>
        <vt:i4>5</vt:i4>
      </vt:variant>
      <vt:variant>
        <vt:lpwstr/>
      </vt:variant>
      <vt:variant>
        <vt:lpwstr>_Toc286132310</vt:lpwstr>
      </vt:variant>
      <vt:variant>
        <vt:i4>1835060</vt:i4>
      </vt:variant>
      <vt:variant>
        <vt:i4>20</vt:i4>
      </vt:variant>
      <vt:variant>
        <vt:i4>0</vt:i4>
      </vt:variant>
      <vt:variant>
        <vt:i4>5</vt:i4>
      </vt:variant>
      <vt:variant>
        <vt:lpwstr/>
      </vt:variant>
      <vt:variant>
        <vt:lpwstr>_Toc286132309</vt:lpwstr>
      </vt:variant>
      <vt:variant>
        <vt:i4>1835060</vt:i4>
      </vt:variant>
      <vt:variant>
        <vt:i4>14</vt:i4>
      </vt:variant>
      <vt:variant>
        <vt:i4>0</vt:i4>
      </vt:variant>
      <vt:variant>
        <vt:i4>5</vt:i4>
      </vt:variant>
      <vt:variant>
        <vt:lpwstr/>
      </vt:variant>
      <vt:variant>
        <vt:lpwstr>_Toc286132308</vt:lpwstr>
      </vt:variant>
      <vt:variant>
        <vt:i4>1835060</vt:i4>
      </vt:variant>
      <vt:variant>
        <vt:i4>8</vt:i4>
      </vt:variant>
      <vt:variant>
        <vt:i4>0</vt:i4>
      </vt:variant>
      <vt:variant>
        <vt:i4>5</vt:i4>
      </vt:variant>
      <vt:variant>
        <vt:lpwstr/>
      </vt:variant>
      <vt:variant>
        <vt:lpwstr>_Toc286132307</vt:lpwstr>
      </vt:variant>
      <vt:variant>
        <vt:i4>1835060</vt:i4>
      </vt:variant>
      <vt:variant>
        <vt:i4>2</vt:i4>
      </vt:variant>
      <vt:variant>
        <vt:i4>0</vt:i4>
      </vt:variant>
      <vt:variant>
        <vt:i4>5</vt:i4>
      </vt:variant>
      <vt:variant>
        <vt:lpwstr/>
      </vt:variant>
      <vt:variant>
        <vt:lpwstr>_Toc286132306</vt:lpwstr>
      </vt:variant>
      <vt:variant>
        <vt:i4>5570568</vt:i4>
      </vt:variant>
      <vt:variant>
        <vt:i4>3</vt:i4>
      </vt:variant>
      <vt:variant>
        <vt:i4>0</vt:i4>
      </vt:variant>
      <vt:variant>
        <vt:i4>5</vt:i4>
      </vt:variant>
      <vt:variant>
        <vt:lpwstr>http://www.thejakartapost.com/news/2010/10/29/24-countries-vow-cut-maternal-mortality-rates.html</vt:lpwstr>
      </vt:variant>
      <vt:variant>
        <vt:lpwstr/>
      </vt:variant>
      <vt:variant>
        <vt:i4>4128884</vt:i4>
      </vt:variant>
      <vt:variant>
        <vt:i4>0</vt:i4>
      </vt:variant>
      <vt:variant>
        <vt:i4>0</vt:i4>
      </vt:variant>
      <vt:variant>
        <vt:i4>5</vt:i4>
      </vt:variant>
      <vt:variant>
        <vt:lpwstr>http://www.thejakartapost.com/news/2010/01/13/a-matter-life-and-death.html</vt:lpwstr>
      </vt:variant>
      <vt:variant>
        <vt:lpwstr/>
      </vt:variant>
      <vt:variant>
        <vt:i4>3014662</vt:i4>
      </vt:variant>
      <vt:variant>
        <vt:i4>24</vt:i4>
      </vt:variant>
      <vt:variant>
        <vt:i4>0</vt:i4>
      </vt:variant>
      <vt:variant>
        <vt:i4>5</vt:i4>
      </vt:variant>
      <vt:variant>
        <vt:lpwstr>mailto:julie.hind@evolvingways.com.au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Progress Review (Mid-Term Review)</dc:title>
  <dc:creator>Judith</dc:creator>
  <cp:lastModifiedBy>Peter Morris</cp:lastModifiedBy>
  <cp:revision>2</cp:revision>
  <cp:lastPrinted>2012-07-14T03:23:00Z</cp:lastPrinted>
  <dcterms:created xsi:type="dcterms:W3CDTF">2012-07-18T22:21:00Z</dcterms:created>
  <dcterms:modified xsi:type="dcterms:W3CDTF">2012-07-18T22:21:00Z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http://www.ausaid.gov.au/publications/pdf/iapmnh.doc</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132000</vt:r8>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System Account</vt:lpwstr>
  </property>
  <property fmtid="{D5CDD505-2E9C-101B-9397-08002B2CF9AE}" pid="11" name="_SourceUrl">
    <vt:lpwstr/>
  </property>
  <property fmtid="{D5CDD505-2E9C-101B-9397-08002B2CF9AE}" pid="12" name="ContentTypeId">
    <vt:lpwstr>0x01010050F19AC2165D2E47A5E6B7F563E4CF00</vt:lpwstr>
  </property>
  <property fmtid="{D5CDD505-2E9C-101B-9397-08002B2CF9AE}" pid="13" name="_SharedFileIndex">
    <vt:lpwstr/>
  </property>
  <property fmtid="{D5CDD505-2E9C-101B-9397-08002B2CF9AE}" pid="14" name="display_urn">
    <vt:lpwstr>System Account</vt:lpwstr>
  </property>
</Properties>
</file>