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64DBB" w14:textId="77777777" w:rsidR="00413012" w:rsidRPr="0004696E" w:rsidRDefault="00C21643" w:rsidP="0041301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TRANSITIONAL </w:t>
      </w:r>
      <w:r w:rsidR="00413012" w:rsidRPr="0004696E">
        <w:rPr>
          <w:b/>
        </w:rPr>
        <w:t>GUIDE</w:t>
      </w:r>
      <w:r w:rsidR="00640057" w:rsidRPr="0004696E">
        <w:rPr>
          <w:b/>
        </w:rPr>
        <w:t>LINES</w:t>
      </w:r>
      <w:r w:rsidR="00413012" w:rsidRPr="0004696E">
        <w:rPr>
          <w:b/>
        </w:rPr>
        <w:t xml:space="preserve"> </w:t>
      </w:r>
      <w:r w:rsidR="00F642CB" w:rsidRPr="0004696E">
        <w:rPr>
          <w:b/>
        </w:rPr>
        <w:t xml:space="preserve">FOR COMPLETING </w:t>
      </w:r>
      <w:r w:rsidR="00413012" w:rsidRPr="0004696E">
        <w:rPr>
          <w:b/>
        </w:rPr>
        <w:t>THE</w:t>
      </w:r>
      <w:r w:rsidR="00D350A2" w:rsidRPr="0004696E">
        <w:rPr>
          <w:b/>
        </w:rPr>
        <w:t xml:space="preserve"> </w:t>
      </w:r>
      <w:r w:rsidR="00F642CB" w:rsidRPr="0004696E">
        <w:rPr>
          <w:b/>
        </w:rPr>
        <w:t xml:space="preserve">INFORMATION ON THE </w:t>
      </w:r>
      <w:r w:rsidR="00D350A2" w:rsidRPr="0004696E">
        <w:rPr>
          <w:b/>
        </w:rPr>
        <w:t xml:space="preserve">ORIGIN </w:t>
      </w:r>
      <w:r w:rsidR="00F642CB" w:rsidRPr="0004696E">
        <w:rPr>
          <w:b/>
        </w:rPr>
        <w:t xml:space="preserve">CONFERRING </w:t>
      </w:r>
      <w:r w:rsidR="00D350A2" w:rsidRPr="0004696E">
        <w:rPr>
          <w:b/>
        </w:rPr>
        <w:t>CRITERI</w:t>
      </w:r>
      <w:r w:rsidR="00F642CB" w:rsidRPr="0004696E">
        <w:rPr>
          <w:b/>
        </w:rPr>
        <w:t>ON</w:t>
      </w:r>
      <w:r w:rsidR="00D350A2" w:rsidRPr="0004696E">
        <w:rPr>
          <w:b/>
        </w:rPr>
        <w:t xml:space="preserve"> ON THE C</w:t>
      </w:r>
      <w:r w:rsidR="00F642CB" w:rsidRPr="0004696E">
        <w:rPr>
          <w:b/>
        </w:rPr>
        <w:t xml:space="preserve">ERTIFICATE OF </w:t>
      </w:r>
      <w:r w:rsidR="00D350A2" w:rsidRPr="0004696E">
        <w:rPr>
          <w:b/>
        </w:rPr>
        <w:t>O</w:t>
      </w:r>
      <w:r w:rsidR="00F642CB" w:rsidRPr="0004696E">
        <w:rPr>
          <w:b/>
        </w:rPr>
        <w:t>RIGIN</w:t>
      </w:r>
      <w:r w:rsidR="00D350A2" w:rsidRPr="0004696E">
        <w:rPr>
          <w:b/>
        </w:rPr>
        <w:t xml:space="preserve"> </w:t>
      </w:r>
      <w:r w:rsidR="00F642CB" w:rsidRPr="0004696E">
        <w:rPr>
          <w:b/>
        </w:rPr>
        <w:t xml:space="preserve">(CO) </w:t>
      </w:r>
      <w:r w:rsidR="00D350A2" w:rsidRPr="0004696E">
        <w:rPr>
          <w:b/>
        </w:rPr>
        <w:t>FORM OF THE</w:t>
      </w:r>
      <w:r w:rsidR="00413012" w:rsidRPr="0004696E">
        <w:rPr>
          <w:b/>
        </w:rPr>
        <w:t xml:space="preserve"> AANZFTA</w:t>
      </w:r>
      <w:r w:rsidR="00D350A2" w:rsidRPr="0004696E">
        <w:rPr>
          <w:b/>
        </w:rPr>
        <w:t xml:space="preserve"> </w:t>
      </w:r>
    </w:p>
    <w:p w14:paraId="4E40EAFB" w14:textId="77777777" w:rsidR="00413012" w:rsidRPr="0004696E" w:rsidRDefault="00413012" w:rsidP="00413012">
      <w:pPr>
        <w:rPr>
          <w:b/>
        </w:rPr>
      </w:pPr>
    </w:p>
    <w:p w14:paraId="2B838D41" w14:textId="77777777" w:rsidR="00413012" w:rsidRPr="00D350A2" w:rsidRDefault="00413012" w:rsidP="00413012"/>
    <w:p w14:paraId="70CEC9EE" w14:textId="77777777" w:rsidR="002D236A" w:rsidRDefault="00413012" w:rsidP="0016554B">
      <w:pPr>
        <w:jc w:val="both"/>
      </w:pPr>
      <w:r w:rsidRPr="00D350A2">
        <w:t xml:space="preserve">The following </w:t>
      </w:r>
      <w:r w:rsidR="0016554B">
        <w:t>table</w:t>
      </w:r>
      <w:r w:rsidR="00C21643">
        <w:t>s are</w:t>
      </w:r>
      <w:r w:rsidRPr="00D350A2">
        <w:t xml:space="preserve"> a </w:t>
      </w:r>
      <w:r w:rsidR="00C21643">
        <w:t xml:space="preserve">transitional </w:t>
      </w:r>
      <w:r w:rsidRPr="0048077D">
        <w:t xml:space="preserve">guide for </w:t>
      </w:r>
      <w:r w:rsidR="002479B5">
        <w:t>users</w:t>
      </w:r>
      <w:r w:rsidR="002479B5" w:rsidRPr="0048077D">
        <w:t xml:space="preserve"> </w:t>
      </w:r>
      <w:r w:rsidRPr="0048077D">
        <w:t xml:space="preserve">of the Agreement Establishing the ASEAN-Australia-New Zealand Free Trade Area (AANZFTA) in </w:t>
      </w:r>
      <w:r w:rsidR="00F642CB" w:rsidRPr="0048077D">
        <w:t xml:space="preserve">completing </w:t>
      </w:r>
      <w:r w:rsidRPr="0048077D">
        <w:t xml:space="preserve">Box 8 of the AANZFTA CO Form. </w:t>
      </w:r>
    </w:p>
    <w:p w14:paraId="4825AF10" w14:textId="77777777" w:rsidR="002D236A" w:rsidRDefault="002D236A" w:rsidP="0016554B">
      <w:pPr>
        <w:jc w:val="both"/>
      </w:pPr>
    </w:p>
    <w:p w14:paraId="68B9DF89" w14:textId="77777777" w:rsidR="002D236A" w:rsidRDefault="002D236A" w:rsidP="00BA45F7">
      <w:pPr>
        <w:jc w:val="both"/>
      </w:pPr>
      <w:r>
        <w:t xml:space="preserve">AANZFTA Parties have agreed on a </w:t>
      </w:r>
      <w:r w:rsidR="00C21643">
        <w:t>First Protocol to Amend the Agreement Establishing the ASEAN</w:t>
      </w:r>
      <w:r w:rsidR="00C21643">
        <w:noBreakHyphen/>
        <w:t>Australia</w:t>
      </w:r>
      <w:r w:rsidR="00C21643">
        <w:noBreakHyphen/>
        <w:t>New Zealand Free Trade Area</w:t>
      </w:r>
      <w:r>
        <w:t xml:space="preserve"> (the First Protocol).  These transitional guidelines serve as a guide to assist exporters, importers, Authorized Issuing Authorities\Bodies</w:t>
      </w:r>
      <w:r w:rsidR="00C21643">
        <w:t xml:space="preserve"> </w:t>
      </w:r>
      <w:r>
        <w:t>and importing authorities of AANZFTA Parties while the Fir</w:t>
      </w:r>
      <w:r w:rsidR="002479B5">
        <w:t>st Protocol is being implemented</w:t>
      </w:r>
      <w:r>
        <w:t xml:space="preserve">. </w:t>
      </w:r>
      <w:r w:rsidR="00BA45F7">
        <w:t>These guidelines only serve as a guide for the implementers and will not be attached to the AANZFTA CO Form or be required for submission to importing authorities.</w:t>
      </w:r>
    </w:p>
    <w:p w14:paraId="3DC18C19" w14:textId="77777777" w:rsidR="002D236A" w:rsidRDefault="002D236A" w:rsidP="0016554B">
      <w:pPr>
        <w:jc w:val="both"/>
      </w:pPr>
    </w:p>
    <w:p w14:paraId="45286230" w14:textId="77777777" w:rsidR="002D236A" w:rsidRDefault="002D236A" w:rsidP="0016554B">
      <w:pPr>
        <w:jc w:val="both"/>
      </w:pPr>
      <w:r>
        <w:t xml:space="preserve">Once the First Protocol has </w:t>
      </w:r>
      <w:r w:rsidR="00843E61">
        <w:t>been implemented by all AANZFTA </w:t>
      </w:r>
      <w:r>
        <w:t xml:space="preserve">Parties, new guidelines </w:t>
      </w:r>
      <w:r w:rsidR="00C21643">
        <w:t xml:space="preserve">limited to the First Protocol will be issued. </w:t>
      </w:r>
    </w:p>
    <w:p w14:paraId="394BB3BD" w14:textId="77777777" w:rsidR="002D236A" w:rsidRDefault="002D236A" w:rsidP="0016554B">
      <w:pPr>
        <w:jc w:val="both"/>
      </w:pPr>
    </w:p>
    <w:p w14:paraId="283B2D82" w14:textId="6BD70D87" w:rsidR="002D236A" w:rsidRDefault="002D236A" w:rsidP="0016554B">
      <w:pPr>
        <w:jc w:val="both"/>
      </w:pPr>
      <w:r>
        <w:t>The key changes as a result of the First Protocol are that</w:t>
      </w:r>
      <w:r w:rsidR="00F062DB">
        <w:t>:</w:t>
      </w:r>
    </w:p>
    <w:p w14:paraId="014D9186" w14:textId="77777777" w:rsidR="002D236A" w:rsidRPr="00D9571B" w:rsidRDefault="002D236A" w:rsidP="00CB69FF">
      <w:pPr>
        <w:numPr>
          <w:ilvl w:val="0"/>
          <w:numId w:val="7"/>
        </w:numPr>
        <w:jc w:val="both"/>
      </w:pPr>
      <w:r>
        <w:t xml:space="preserve">Product Specific Rules </w:t>
      </w:r>
      <w:r w:rsidRPr="00D9571B">
        <w:t xml:space="preserve">of Origin </w:t>
      </w:r>
      <w:r w:rsidR="00065346" w:rsidRPr="00D9571B">
        <w:t xml:space="preserve">are </w:t>
      </w:r>
      <w:r w:rsidRPr="00D9571B">
        <w:t>specifie</w:t>
      </w:r>
      <w:r w:rsidR="00065346" w:rsidRPr="00D9571B">
        <w:t xml:space="preserve">d </w:t>
      </w:r>
      <w:r w:rsidRPr="00D9571B">
        <w:t>for all products</w:t>
      </w:r>
      <w:r w:rsidR="00D9571B" w:rsidRPr="00D9571B">
        <w:t xml:space="preserve"> in </w:t>
      </w:r>
      <w:r w:rsidR="00D9571B">
        <w:t>a new</w:t>
      </w:r>
      <w:r w:rsidR="002479B5">
        <w:t xml:space="preserve"> consolidated </w:t>
      </w:r>
      <w:r w:rsidR="00D9571B">
        <w:t xml:space="preserve">Annex 2 – Product Specific Rules of Origin schedule </w:t>
      </w:r>
      <w:r w:rsidR="002479B5">
        <w:t xml:space="preserve">which is recorded </w:t>
      </w:r>
      <w:r w:rsidR="00D9571B">
        <w:t xml:space="preserve">in </w:t>
      </w:r>
      <w:r w:rsidR="00D9571B" w:rsidRPr="00D9571B">
        <w:t>HS 2012 nomenclature</w:t>
      </w:r>
    </w:p>
    <w:p w14:paraId="17D46520" w14:textId="77777777" w:rsidR="00BC0958" w:rsidRPr="00D9571B" w:rsidRDefault="00065346" w:rsidP="00CB69FF">
      <w:pPr>
        <w:numPr>
          <w:ilvl w:val="1"/>
          <w:numId w:val="7"/>
        </w:numPr>
        <w:jc w:val="both"/>
      </w:pPr>
      <w:r w:rsidRPr="00D9571B">
        <w:t>Formerly, determining origin was based on a</w:t>
      </w:r>
      <w:r w:rsidR="002479B5">
        <w:t xml:space="preserve">n Annex 2 containing a partial list of </w:t>
      </w:r>
      <w:r w:rsidRPr="00D9571B">
        <w:t>Product Specific Rules of Origin schedule</w:t>
      </w:r>
      <w:r w:rsidR="002479B5">
        <w:t xml:space="preserve"> recorded </w:t>
      </w:r>
      <w:r w:rsidR="00D9571B" w:rsidRPr="00D9571B">
        <w:t>in HS 2007 nomenclature</w:t>
      </w:r>
      <w:r w:rsidRPr="00D9571B">
        <w:t xml:space="preserve"> or</w:t>
      </w:r>
      <w:r w:rsidR="002479B5">
        <w:t>,</w:t>
      </w:r>
      <w:r w:rsidRPr="00D9571B">
        <w:t xml:space="preserve"> </w:t>
      </w:r>
      <w:r w:rsidR="002479B5">
        <w:t>for products not listed in the Annex</w:t>
      </w:r>
      <w:r w:rsidRPr="00D9571B">
        <w:t>, the use of Article 4.1(a) and 4.1(b).</w:t>
      </w:r>
    </w:p>
    <w:p w14:paraId="4A382CE1" w14:textId="77777777" w:rsidR="00D9571B" w:rsidRPr="002479B5" w:rsidRDefault="00D9571B" w:rsidP="00D9571B">
      <w:pPr>
        <w:jc w:val="both"/>
      </w:pPr>
    </w:p>
    <w:p w14:paraId="681E982D" w14:textId="26D91AD6" w:rsidR="00B5226F" w:rsidRPr="00D9571B" w:rsidRDefault="00BC0958" w:rsidP="00BC0958">
      <w:pPr>
        <w:jc w:val="both"/>
      </w:pPr>
      <w:r w:rsidRPr="002479B5">
        <w:t>For exports from AANZFTA P</w:t>
      </w:r>
      <w:r w:rsidR="00D9571B" w:rsidRPr="002479B5">
        <w:t xml:space="preserve">arties that have </w:t>
      </w:r>
      <w:r w:rsidR="002479B5">
        <w:t>started implementing</w:t>
      </w:r>
      <w:r w:rsidR="00D9571B" w:rsidRPr="002479B5">
        <w:t xml:space="preserve"> the First </w:t>
      </w:r>
      <w:r w:rsidRPr="002479B5">
        <w:t>Protocol, t</w:t>
      </w:r>
      <w:r w:rsidR="003F40C3" w:rsidRPr="002479B5">
        <w:t xml:space="preserve">he </w:t>
      </w:r>
      <w:r w:rsidR="00B5226F" w:rsidRPr="002479B5">
        <w:t xml:space="preserve">AANZFTA Certificate of Origin </w:t>
      </w:r>
      <w:r w:rsidR="003F40C3" w:rsidRPr="002479B5">
        <w:t>should be completed using</w:t>
      </w:r>
      <w:r w:rsidRPr="002479B5">
        <w:t xml:space="preserve"> </w:t>
      </w:r>
      <w:r w:rsidR="00435951">
        <w:t xml:space="preserve">the new </w:t>
      </w:r>
      <w:r w:rsidR="00B5226F" w:rsidRPr="00D9571B">
        <w:t>Form AANZ</w:t>
      </w:r>
      <w:r w:rsidRPr="00D9571B">
        <w:t xml:space="preserve"> </w:t>
      </w:r>
      <w:r w:rsidR="00B5226F" w:rsidRPr="00D9571B">
        <w:t xml:space="preserve">and make use of the </w:t>
      </w:r>
      <w:r w:rsidR="003F40C3" w:rsidRPr="00D9571B">
        <w:t xml:space="preserve">Origin Conferring Criterion </w:t>
      </w:r>
      <w:r w:rsidR="00B5226F" w:rsidRPr="00D9571B">
        <w:t xml:space="preserve">codes listed in </w:t>
      </w:r>
      <w:r w:rsidR="00B5226F" w:rsidRPr="00CB69FF">
        <w:rPr>
          <w:b/>
        </w:rPr>
        <w:t>Table 1</w:t>
      </w:r>
      <w:r w:rsidR="00B5226F" w:rsidRPr="00D9571B">
        <w:t xml:space="preserve"> to these guidelines</w:t>
      </w:r>
      <w:r w:rsidR="00843E61" w:rsidRPr="00D9571B">
        <w:t xml:space="preserve"> to complete Box 8</w:t>
      </w:r>
      <w:r w:rsidR="00B5226F" w:rsidRPr="00D9571B">
        <w:t>.</w:t>
      </w:r>
    </w:p>
    <w:p w14:paraId="78C0F62C" w14:textId="77777777" w:rsidR="00BC0958" w:rsidRPr="002479B5" w:rsidRDefault="00BC0958" w:rsidP="00B5226F">
      <w:pPr>
        <w:jc w:val="both"/>
      </w:pPr>
    </w:p>
    <w:p w14:paraId="1DB0F18B" w14:textId="77777777" w:rsidR="00BC0958" w:rsidRDefault="003F40C3" w:rsidP="00BC0958">
      <w:pPr>
        <w:jc w:val="both"/>
      </w:pPr>
      <w:r w:rsidRPr="002479B5">
        <w:t>F</w:t>
      </w:r>
      <w:r w:rsidR="00B5226F" w:rsidRPr="002479B5">
        <w:t>or export</w:t>
      </w:r>
      <w:r w:rsidR="00BC0958" w:rsidRPr="002479B5">
        <w:t xml:space="preserve">s from </w:t>
      </w:r>
      <w:r w:rsidR="00B5226F" w:rsidRPr="002479B5">
        <w:t>AANZFTA Part</w:t>
      </w:r>
      <w:r w:rsidR="00BC0958" w:rsidRPr="002479B5">
        <w:t xml:space="preserve">ies that have not yet acceded to </w:t>
      </w:r>
      <w:r w:rsidR="00B5226F" w:rsidRPr="002479B5">
        <w:t>the First Protocol</w:t>
      </w:r>
      <w:r w:rsidR="00BC0958" w:rsidRPr="002479B5">
        <w:t xml:space="preserve">, the AANZFTA Certificate of Origin should be completed using </w:t>
      </w:r>
      <w:r w:rsidR="00065346" w:rsidRPr="00D9571B">
        <w:t>Form AANZ</w:t>
      </w:r>
      <w:r w:rsidR="00BC0958" w:rsidRPr="00D9571B">
        <w:t xml:space="preserve"> and make use of the Origin Conferring</w:t>
      </w:r>
      <w:r w:rsidR="00BC0958">
        <w:t xml:space="preserve"> Criterion codes listed in </w:t>
      </w:r>
      <w:r w:rsidR="00BC0958" w:rsidRPr="00D146A9">
        <w:rPr>
          <w:b/>
        </w:rPr>
        <w:t xml:space="preserve">Table </w:t>
      </w:r>
      <w:r w:rsidR="00BC0958">
        <w:rPr>
          <w:b/>
        </w:rPr>
        <w:t>2</w:t>
      </w:r>
      <w:r w:rsidR="00BC0958">
        <w:t xml:space="preserve"> to these guidelines to complete Box 8.</w:t>
      </w:r>
    </w:p>
    <w:p w14:paraId="282F2934" w14:textId="77777777" w:rsidR="008B5E8B" w:rsidRPr="00CB69FF" w:rsidRDefault="002D236A" w:rsidP="008B5E8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B5226F">
        <w:rPr>
          <w:b/>
          <w:sz w:val="20"/>
          <w:szCs w:val="20"/>
        </w:rPr>
        <w:lastRenderedPageBreak/>
        <w:t xml:space="preserve">TABLE 1. </w:t>
      </w:r>
      <w:r w:rsidR="008B5E8B" w:rsidRPr="00CB69FF">
        <w:rPr>
          <w:b/>
          <w:sz w:val="20"/>
          <w:szCs w:val="20"/>
        </w:rPr>
        <w:t>FOR GOODS EXPORTED FROM AN AANZFTA PARTY WHERE THE FIRST PROTOCOL HAS ENTERED INTO FORCE</w:t>
      </w:r>
    </w:p>
    <w:p w14:paraId="344C8336" w14:textId="77777777" w:rsidR="008D1992" w:rsidRPr="00CB69FF" w:rsidRDefault="008D1992" w:rsidP="008B5E8B">
      <w:pPr>
        <w:rPr>
          <w:sz w:val="20"/>
          <w:szCs w:val="20"/>
        </w:rPr>
      </w:pPr>
    </w:p>
    <w:p w14:paraId="765287DB" w14:textId="519C8A38" w:rsidR="008B5E8B" w:rsidRPr="00CB69FF" w:rsidRDefault="008B5E8B" w:rsidP="008B5E8B">
      <w:pPr>
        <w:rPr>
          <w:sz w:val="20"/>
          <w:szCs w:val="20"/>
        </w:rPr>
      </w:pPr>
      <w:r w:rsidRPr="00CB69FF">
        <w:rPr>
          <w:sz w:val="20"/>
          <w:szCs w:val="20"/>
        </w:rPr>
        <w:t xml:space="preserve">The </w:t>
      </w:r>
      <w:r w:rsidR="008D1992" w:rsidRPr="00CB69FF">
        <w:rPr>
          <w:sz w:val="20"/>
          <w:szCs w:val="20"/>
        </w:rPr>
        <w:t xml:space="preserve">Certificate of Origin must be issued on the </w:t>
      </w:r>
      <w:r w:rsidR="00435951">
        <w:rPr>
          <w:sz w:val="20"/>
          <w:szCs w:val="20"/>
        </w:rPr>
        <w:t xml:space="preserve">new </w:t>
      </w:r>
      <w:r w:rsidR="008D1992" w:rsidRPr="00CB69FF">
        <w:rPr>
          <w:sz w:val="20"/>
          <w:szCs w:val="20"/>
        </w:rPr>
        <w:t>Form</w:t>
      </w:r>
      <w:r w:rsidR="00843E61">
        <w:rPr>
          <w:sz w:val="20"/>
          <w:szCs w:val="20"/>
        </w:rPr>
        <w:t> </w:t>
      </w:r>
      <w:r w:rsidR="00843E61" w:rsidRPr="00843E61">
        <w:rPr>
          <w:sz w:val="20"/>
          <w:szCs w:val="20"/>
        </w:rPr>
        <w:t>AANZ</w:t>
      </w:r>
      <w:r w:rsidR="00843E61">
        <w:rPr>
          <w:sz w:val="20"/>
          <w:szCs w:val="20"/>
        </w:rPr>
        <w:t> </w:t>
      </w:r>
      <w:r w:rsidR="008D1992" w:rsidRPr="00CB69FF">
        <w:rPr>
          <w:sz w:val="20"/>
          <w:szCs w:val="20"/>
        </w:rPr>
        <w:t xml:space="preserve"> Template, unless otherwise agreed between the Parties. The HS Codes to be used to identify the products must be in HS 2012.</w:t>
      </w:r>
    </w:p>
    <w:p w14:paraId="5732C336" w14:textId="77777777" w:rsidR="008D1992" w:rsidRPr="00CB69FF" w:rsidRDefault="008D1992" w:rsidP="008B5E8B">
      <w:pPr>
        <w:rPr>
          <w:sz w:val="20"/>
          <w:szCs w:val="20"/>
        </w:rPr>
      </w:pPr>
    </w:p>
    <w:tbl>
      <w:tblPr>
        <w:tblW w:w="13140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6300"/>
        <w:gridCol w:w="6840"/>
      </w:tblGrid>
      <w:tr w:rsidR="008B5E8B" w:rsidRPr="00D350A2" w14:paraId="5742E20C" w14:textId="77777777" w:rsidTr="00CB69FF">
        <w:trPr>
          <w:tblHeader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77C2C3" w14:textId="77777777" w:rsidR="008B5E8B" w:rsidRPr="00D350A2" w:rsidRDefault="008B5E8B" w:rsidP="00FC0729">
            <w:pPr>
              <w:spacing w:after="40"/>
              <w:ind w:right="-1"/>
              <w:rPr>
                <w:b/>
                <w:bCs/>
                <w:sz w:val="20"/>
                <w:szCs w:val="20"/>
              </w:rPr>
            </w:pPr>
            <w:r w:rsidRPr="00D350A2">
              <w:rPr>
                <w:b/>
                <w:bCs/>
                <w:sz w:val="20"/>
                <w:szCs w:val="20"/>
              </w:rPr>
              <w:t>Circumstances of production or manufacture in the country named in Box 11 of this form:</w:t>
            </w:r>
          </w:p>
        </w:tc>
        <w:tc>
          <w:tcPr>
            <w:tcW w:w="6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778C00" w14:textId="77777777" w:rsidR="008B5E8B" w:rsidRPr="00D350A2" w:rsidRDefault="008B5E8B" w:rsidP="00FC0729">
            <w:pPr>
              <w:spacing w:after="40"/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D350A2">
              <w:rPr>
                <w:b/>
                <w:bCs/>
                <w:sz w:val="20"/>
                <w:szCs w:val="20"/>
              </w:rPr>
              <w:t>Insert in Box 8</w:t>
            </w:r>
          </w:p>
        </w:tc>
      </w:tr>
      <w:tr w:rsidR="008B5E8B" w:rsidRPr="00D350A2" w14:paraId="35193B38" w14:textId="77777777" w:rsidTr="00CB69FF"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E6BE8D" w14:textId="77777777" w:rsidR="008B5E8B" w:rsidRPr="00D350A2" w:rsidRDefault="008B5E8B" w:rsidP="00FC0729">
            <w:pPr>
              <w:pStyle w:val="BodyText2"/>
              <w:numPr>
                <w:ilvl w:val="0"/>
                <w:numId w:val="2"/>
              </w:numPr>
              <w:spacing w:after="4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350A2">
              <w:rPr>
                <w:rFonts w:ascii="Arial" w:hAnsi="Arial" w:cs="Arial"/>
                <w:sz w:val="20"/>
                <w:szCs w:val="20"/>
              </w:rPr>
              <w:t>Goods wholly produced or obtained satisfying Article 2.1(a) of the Agreement</w:t>
            </w:r>
          </w:p>
        </w:tc>
        <w:tc>
          <w:tcPr>
            <w:tcW w:w="6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28F90C" w14:textId="77777777" w:rsidR="008B5E8B" w:rsidRPr="00D350A2" w:rsidRDefault="008B5E8B" w:rsidP="00FC0729">
            <w:pPr>
              <w:spacing w:after="40"/>
              <w:ind w:right="-1"/>
              <w:jc w:val="center"/>
              <w:rPr>
                <w:b/>
                <w:sz w:val="20"/>
                <w:szCs w:val="20"/>
              </w:rPr>
            </w:pPr>
            <w:r w:rsidRPr="00D350A2">
              <w:rPr>
                <w:b/>
                <w:sz w:val="20"/>
                <w:szCs w:val="20"/>
              </w:rPr>
              <w:t>WO</w:t>
            </w:r>
          </w:p>
          <w:p w14:paraId="24E70253" w14:textId="77777777" w:rsidR="008B5E8B" w:rsidRPr="00D350A2" w:rsidRDefault="008B5E8B" w:rsidP="00FC0729">
            <w:pPr>
              <w:spacing w:after="40"/>
              <w:ind w:right="-1"/>
              <w:rPr>
                <w:b/>
                <w:sz w:val="20"/>
                <w:szCs w:val="20"/>
              </w:rPr>
            </w:pPr>
            <w:r w:rsidRPr="00D350A2">
              <w:rPr>
                <w:b/>
                <w:sz w:val="20"/>
                <w:szCs w:val="20"/>
              </w:rPr>
              <w:t>Understanding: “WO” should be placed in Box 8 if the good is wholly produced or obtained in a Party.</w:t>
            </w:r>
          </w:p>
          <w:p w14:paraId="4D50F023" w14:textId="77777777" w:rsidR="008B5E8B" w:rsidRPr="00D350A2" w:rsidRDefault="008B5E8B" w:rsidP="00FC0729">
            <w:pPr>
              <w:spacing w:after="40"/>
              <w:ind w:right="-1"/>
              <w:rPr>
                <w:sz w:val="20"/>
                <w:szCs w:val="20"/>
              </w:rPr>
            </w:pPr>
          </w:p>
        </w:tc>
      </w:tr>
      <w:tr w:rsidR="008B5E8B" w:rsidRPr="00D350A2" w14:paraId="3313ED19" w14:textId="77777777" w:rsidTr="00CB69FF"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019848" w14:textId="77777777" w:rsidR="008B5E8B" w:rsidRPr="00D350A2" w:rsidRDefault="008B5E8B" w:rsidP="00FC07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/>
              <w:ind w:right="-1"/>
              <w:rPr>
                <w:sz w:val="20"/>
                <w:szCs w:val="20"/>
              </w:rPr>
            </w:pPr>
            <w:r w:rsidRPr="00D350A2">
              <w:rPr>
                <w:sz w:val="20"/>
                <w:szCs w:val="20"/>
              </w:rPr>
              <w:t>Goods produced entirely satisfying Article 2.1(c) of the Agreement</w:t>
            </w:r>
          </w:p>
        </w:tc>
        <w:tc>
          <w:tcPr>
            <w:tcW w:w="6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3BB9D3" w14:textId="77777777" w:rsidR="008B5E8B" w:rsidRPr="00D350A2" w:rsidRDefault="008B5E8B" w:rsidP="00FC0729">
            <w:pPr>
              <w:spacing w:after="40"/>
              <w:ind w:right="-1"/>
              <w:jc w:val="center"/>
              <w:rPr>
                <w:b/>
                <w:sz w:val="20"/>
                <w:szCs w:val="20"/>
              </w:rPr>
            </w:pPr>
            <w:r w:rsidRPr="00D350A2">
              <w:rPr>
                <w:b/>
                <w:sz w:val="20"/>
                <w:szCs w:val="20"/>
              </w:rPr>
              <w:t>PE</w:t>
            </w:r>
          </w:p>
          <w:p w14:paraId="4A54D248" w14:textId="77777777" w:rsidR="008B5E8B" w:rsidRPr="00D350A2" w:rsidRDefault="008B5E8B" w:rsidP="00B57915">
            <w:pPr>
              <w:spacing w:after="40"/>
              <w:ind w:right="-1"/>
              <w:rPr>
                <w:sz w:val="20"/>
                <w:szCs w:val="20"/>
              </w:rPr>
            </w:pPr>
            <w:r w:rsidRPr="00D350A2">
              <w:rPr>
                <w:b/>
                <w:sz w:val="20"/>
                <w:szCs w:val="20"/>
              </w:rPr>
              <w:t>Understanding: “PE” should be placed in Box 8 if the good is produced entirely in a Party exclusively from originating materials from one or more of the Parties.</w:t>
            </w:r>
          </w:p>
        </w:tc>
      </w:tr>
      <w:tr w:rsidR="008B5E8B" w:rsidRPr="00D350A2" w14:paraId="5D195725" w14:textId="77777777" w:rsidTr="00CB69FF">
        <w:trPr>
          <w:trHeight w:val="18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7BA2DD" w14:textId="77777777" w:rsidR="008B5E8B" w:rsidRPr="00D350A2" w:rsidRDefault="008B5E8B" w:rsidP="008B5E8B">
            <w:pPr>
              <w:pStyle w:val="BodyText2"/>
              <w:numPr>
                <w:ilvl w:val="0"/>
                <w:numId w:val="2"/>
              </w:numPr>
              <w:spacing w:after="4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350A2">
              <w:rPr>
                <w:rFonts w:ascii="Arial" w:hAnsi="Arial" w:cs="Arial"/>
                <w:sz w:val="20"/>
                <w:szCs w:val="20"/>
              </w:rPr>
              <w:t>Not wholly produced or obtained in a Party, provided that the goods satisfy Article 4.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350A2">
              <w:rPr>
                <w:rFonts w:ascii="Arial" w:hAnsi="Arial" w:cs="Arial"/>
                <w:sz w:val="20"/>
                <w:szCs w:val="20"/>
              </w:rPr>
              <w:t>, i.e., all the product specific requirements listed have been met:</w:t>
            </w:r>
          </w:p>
        </w:tc>
        <w:tc>
          <w:tcPr>
            <w:tcW w:w="6840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23B668" w14:textId="77777777" w:rsidR="008B5E8B" w:rsidRPr="00D350A2" w:rsidRDefault="008B5E8B" w:rsidP="00FC0729">
            <w:pPr>
              <w:pStyle w:val="Heading1"/>
              <w:spacing w:after="40"/>
              <w:ind w:right="-1"/>
              <w:jc w:val="left"/>
              <w:rPr>
                <w:rFonts w:ascii="Arial" w:hAnsi="Arial" w:cs="Arial"/>
                <w:bCs w:val="0"/>
                <w:strike/>
                <w:lang w:val="en-US"/>
              </w:rPr>
            </w:pPr>
          </w:p>
        </w:tc>
      </w:tr>
      <w:tr w:rsidR="00CB69FF" w:rsidRPr="00D350A2" w14:paraId="7CB8E05A" w14:textId="77777777" w:rsidTr="00CB69FF">
        <w:trPr>
          <w:trHeight w:val="180"/>
        </w:trPr>
        <w:tc>
          <w:tcPr>
            <w:tcW w:w="6300" w:type="dxa"/>
            <w:tcBorders>
              <w:left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311C74" w14:textId="77777777" w:rsidR="00CB69FF" w:rsidRPr="00D350A2" w:rsidRDefault="00CB69FF" w:rsidP="00CB69FF">
            <w:pPr>
              <w:pStyle w:val="BodyText2"/>
              <w:numPr>
                <w:ilvl w:val="0"/>
                <w:numId w:val="3"/>
              </w:numPr>
              <w:spacing w:after="4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350A2">
              <w:rPr>
                <w:rFonts w:ascii="Arial" w:hAnsi="Arial" w:cs="Arial"/>
                <w:sz w:val="20"/>
                <w:szCs w:val="20"/>
              </w:rPr>
              <w:t>Change in Tariff Classification</w:t>
            </w:r>
          </w:p>
          <w:p w14:paraId="671D6B33" w14:textId="77777777" w:rsidR="00CB69FF" w:rsidRPr="00D350A2" w:rsidRDefault="00CB69FF" w:rsidP="00CB69FF">
            <w:pPr>
              <w:pStyle w:val="BodyText2"/>
              <w:spacing w:after="40" w:line="240" w:lineRule="auto"/>
              <w:ind w:left="435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left w:val="nil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A6744B" w14:textId="77777777" w:rsidR="00CB69FF" w:rsidRPr="00D350A2" w:rsidRDefault="00CB69FF" w:rsidP="00CB69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CTC</w:t>
            </w:r>
          </w:p>
          <w:p w14:paraId="02C84940" w14:textId="77777777" w:rsidR="00CB69FF" w:rsidRPr="00D350A2" w:rsidRDefault="00CB69FF" w:rsidP="00CB69FF">
            <w:pPr>
              <w:jc w:val="center"/>
              <w:rPr>
                <w:bCs/>
                <w:sz w:val="20"/>
                <w:szCs w:val="20"/>
              </w:rPr>
            </w:pPr>
          </w:p>
          <w:p w14:paraId="58AED438" w14:textId="77777777" w:rsidR="00CB69FF" w:rsidRDefault="00CB69FF" w:rsidP="00CB69FF">
            <w:pPr>
              <w:rPr>
                <w:b/>
                <w:iCs/>
                <w:sz w:val="20"/>
                <w:szCs w:val="20"/>
              </w:rPr>
            </w:pPr>
            <w:r w:rsidRPr="00D350A2">
              <w:rPr>
                <w:b/>
                <w:iCs/>
                <w:sz w:val="20"/>
                <w:szCs w:val="20"/>
              </w:rPr>
              <w:t>Understanding:  </w:t>
            </w:r>
            <w:r w:rsidR="009860C0" w:rsidRPr="0002195B">
              <w:rPr>
                <w:b/>
                <w:iCs/>
                <w:sz w:val="20"/>
                <w:szCs w:val="20"/>
              </w:rPr>
              <w:t>“</w:t>
            </w:r>
            <w:r w:rsidRPr="00C37F53">
              <w:rPr>
                <w:b/>
                <w:iCs/>
                <w:sz w:val="20"/>
                <w:szCs w:val="20"/>
              </w:rPr>
              <w:t>CTC</w:t>
            </w:r>
            <w:r w:rsidRPr="00D350A2">
              <w:rPr>
                <w:b/>
                <w:iCs/>
                <w:sz w:val="20"/>
                <w:szCs w:val="20"/>
              </w:rPr>
              <w:t xml:space="preserve">” should be placed in Box 8 if the </w:t>
            </w:r>
            <w:r>
              <w:rPr>
                <w:b/>
                <w:iCs/>
                <w:sz w:val="20"/>
                <w:szCs w:val="20"/>
              </w:rPr>
              <w:t xml:space="preserve">applicable </w:t>
            </w:r>
            <w:r w:rsidRPr="00D350A2">
              <w:rPr>
                <w:b/>
                <w:iCs/>
                <w:sz w:val="20"/>
                <w:szCs w:val="20"/>
              </w:rPr>
              <w:t xml:space="preserve">origin criterion </w:t>
            </w:r>
            <w:r>
              <w:rPr>
                <w:b/>
                <w:iCs/>
                <w:sz w:val="20"/>
                <w:szCs w:val="20"/>
              </w:rPr>
              <w:t>in Annex 2 is a Change in Tariff Classification, whether at the level of the chapter (</w:t>
            </w:r>
            <w:r w:rsidRPr="00D350A2">
              <w:rPr>
                <w:b/>
                <w:iCs/>
                <w:sz w:val="20"/>
                <w:szCs w:val="20"/>
              </w:rPr>
              <w:t>“CC”</w:t>
            </w:r>
            <w:r>
              <w:rPr>
                <w:b/>
                <w:iCs/>
                <w:sz w:val="20"/>
                <w:szCs w:val="20"/>
              </w:rPr>
              <w:t>), the level of a heading (“CTH”)</w:t>
            </w:r>
            <w:r w:rsidRPr="00D350A2">
              <w:rPr>
                <w:b/>
                <w:iCs/>
                <w:sz w:val="20"/>
                <w:szCs w:val="20"/>
              </w:rPr>
              <w:t xml:space="preserve"> or </w:t>
            </w:r>
            <w:r>
              <w:rPr>
                <w:b/>
                <w:iCs/>
                <w:sz w:val="20"/>
                <w:szCs w:val="20"/>
              </w:rPr>
              <w:t>the level of a subheading (</w:t>
            </w:r>
            <w:r w:rsidRPr="00D350A2">
              <w:rPr>
                <w:b/>
                <w:iCs/>
                <w:sz w:val="20"/>
                <w:szCs w:val="20"/>
              </w:rPr>
              <w:t>“CTSH”</w:t>
            </w:r>
            <w:r>
              <w:rPr>
                <w:b/>
                <w:iCs/>
                <w:sz w:val="20"/>
                <w:szCs w:val="20"/>
              </w:rPr>
              <w:t>)</w:t>
            </w:r>
            <w:r w:rsidRPr="00D350A2">
              <w:rPr>
                <w:b/>
                <w:iCs/>
                <w:sz w:val="20"/>
                <w:szCs w:val="20"/>
              </w:rPr>
              <w:t>. There is no need to place the actual tariff shift.</w:t>
            </w:r>
          </w:p>
          <w:p w14:paraId="46105C7C" w14:textId="77777777" w:rsidR="00CB69FF" w:rsidRPr="00CB69FF" w:rsidRDefault="00CB69FF" w:rsidP="00CB69FF">
            <w:pPr>
              <w:rPr>
                <w:b/>
                <w:iCs/>
                <w:sz w:val="20"/>
                <w:szCs w:val="20"/>
              </w:rPr>
            </w:pPr>
          </w:p>
        </w:tc>
      </w:tr>
      <w:tr w:rsidR="008B5E8B" w:rsidRPr="00D350A2" w14:paraId="36575A41" w14:textId="77777777" w:rsidTr="00CB69FF">
        <w:trPr>
          <w:trHeight w:val="180"/>
        </w:trPr>
        <w:tc>
          <w:tcPr>
            <w:tcW w:w="6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83DEB2" w14:textId="77777777" w:rsidR="008B5E8B" w:rsidRPr="00D350A2" w:rsidRDefault="008B5E8B" w:rsidP="00FC0729">
            <w:pPr>
              <w:pStyle w:val="BodyText2"/>
              <w:spacing w:after="40" w:line="240" w:lineRule="auto"/>
              <w:ind w:left="435" w:right="-1"/>
              <w:rPr>
                <w:rFonts w:ascii="Arial" w:hAnsi="Arial" w:cs="Arial"/>
                <w:sz w:val="20"/>
                <w:szCs w:val="20"/>
              </w:rPr>
            </w:pPr>
          </w:p>
          <w:p w14:paraId="6D033232" w14:textId="77777777" w:rsidR="008B5E8B" w:rsidRPr="00D350A2" w:rsidRDefault="008B5E8B" w:rsidP="00FC0729">
            <w:pPr>
              <w:pStyle w:val="BodyText2"/>
              <w:numPr>
                <w:ilvl w:val="0"/>
                <w:numId w:val="3"/>
              </w:numPr>
              <w:spacing w:after="4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350A2">
              <w:rPr>
                <w:rFonts w:ascii="Arial" w:hAnsi="Arial" w:cs="Arial"/>
                <w:sz w:val="20"/>
                <w:szCs w:val="20"/>
              </w:rPr>
              <w:t>Regional Value Content</w:t>
            </w:r>
          </w:p>
          <w:p w14:paraId="2EA998B5" w14:textId="77777777" w:rsidR="008B5E8B" w:rsidRDefault="008B5E8B" w:rsidP="00FC0729">
            <w:pPr>
              <w:pStyle w:val="BodyText2"/>
              <w:spacing w:after="4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3B542B00" w14:textId="77777777" w:rsidR="0054279E" w:rsidRDefault="0054279E" w:rsidP="00FC0729">
            <w:pPr>
              <w:pStyle w:val="BodyText2"/>
              <w:spacing w:after="4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7027146" w14:textId="77777777" w:rsidR="0054279E" w:rsidRPr="00D350A2" w:rsidRDefault="0054279E" w:rsidP="00FC0729">
            <w:pPr>
              <w:pStyle w:val="BodyText2"/>
              <w:spacing w:after="4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3C04ED7" w14:textId="77777777" w:rsidR="008B5E8B" w:rsidRDefault="008B5E8B" w:rsidP="00FC0729">
            <w:pPr>
              <w:pStyle w:val="BodyText2"/>
              <w:spacing w:after="4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39D61BA" w14:textId="77777777" w:rsidR="0054279E" w:rsidRPr="0002195B" w:rsidRDefault="009860C0" w:rsidP="0054279E">
            <w:pPr>
              <w:pStyle w:val="BodyText2"/>
              <w:numPr>
                <w:ilvl w:val="0"/>
                <w:numId w:val="3"/>
              </w:numPr>
              <w:spacing w:after="4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02195B">
              <w:rPr>
                <w:rFonts w:ascii="Arial" w:hAnsi="Arial" w:cs="Arial"/>
                <w:sz w:val="20"/>
                <w:szCs w:val="20"/>
              </w:rPr>
              <w:t xml:space="preserve">Regional Value Content + Change in Tariff Classification </w:t>
            </w:r>
          </w:p>
          <w:p w14:paraId="67BAEB51" w14:textId="77777777" w:rsidR="008B5E8B" w:rsidRPr="00D350A2" w:rsidRDefault="008B5E8B" w:rsidP="00CB69FF">
            <w:pPr>
              <w:pStyle w:val="BodyText2"/>
              <w:spacing w:after="4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E27EF6" w14:textId="77777777" w:rsidR="008B5E8B" w:rsidRDefault="003F40C3" w:rsidP="00FC07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RVC</w:t>
            </w:r>
          </w:p>
          <w:p w14:paraId="742D527F" w14:textId="77777777" w:rsidR="008B5E8B" w:rsidRPr="00D350A2" w:rsidRDefault="008B5E8B" w:rsidP="00FC072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C2B5A5" w14:textId="77777777" w:rsidR="008B5E8B" w:rsidRPr="00D350A2" w:rsidRDefault="008B5E8B" w:rsidP="00FC0729">
            <w:pPr>
              <w:ind w:left="65"/>
              <w:rPr>
                <w:b/>
                <w:iCs/>
                <w:sz w:val="20"/>
                <w:szCs w:val="20"/>
              </w:rPr>
            </w:pPr>
            <w:r w:rsidRPr="00D350A2">
              <w:rPr>
                <w:b/>
                <w:iCs/>
                <w:sz w:val="20"/>
                <w:szCs w:val="20"/>
              </w:rPr>
              <w:t>Understanding: “</w:t>
            </w:r>
            <w:r>
              <w:rPr>
                <w:b/>
                <w:iCs/>
                <w:sz w:val="20"/>
                <w:szCs w:val="20"/>
              </w:rPr>
              <w:t>RVC</w:t>
            </w:r>
            <w:r w:rsidRPr="00D350A2">
              <w:rPr>
                <w:b/>
                <w:iCs/>
                <w:sz w:val="20"/>
                <w:szCs w:val="20"/>
              </w:rPr>
              <w:t xml:space="preserve">” should be placed in Box 8 if the </w:t>
            </w:r>
            <w:r>
              <w:rPr>
                <w:b/>
                <w:iCs/>
                <w:sz w:val="20"/>
                <w:szCs w:val="20"/>
              </w:rPr>
              <w:t xml:space="preserve">applicable </w:t>
            </w:r>
            <w:r w:rsidRPr="00D350A2">
              <w:rPr>
                <w:b/>
                <w:iCs/>
                <w:sz w:val="20"/>
                <w:szCs w:val="20"/>
              </w:rPr>
              <w:t xml:space="preserve">origin criterion </w:t>
            </w:r>
            <w:r>
              <w:rPr>
                <w:b/>
                <w:iCs/>
                <w:sz w:val="20"/>
                <w:szCs w:val="20"/>
              </w:rPr>
              <w:t xml:space="preserve">in Annex 2 </w:t>
            </w:r>
            <w:r w:rsidRPr="00D350A2">
              <w:rPr>
                <w:b/>
                <w:iCs/>
                <w:sz w:val="20"/>
                <w:szCs w:val="20"/>
              </w:rPr>
              <w:t xml:space="preserve">is </w:t>
            </w:r>
            <w:r>
              <w:rPr>
                <w:b/>
                <w:iCs/>
                <w:sz w:val="20"/>
                <w:szCs w:val="20"/>
              </w:rPr>
              <w:t>an RVC.</w:t>
            </w:r>
            <w:r w:rsidRPr="00D350A2">
              <w:rPr>
                <w:b/>
                <w:iCs/>
                <w:sz w:val="20"/>
                <w:szCs w:val="20"/>
              </w:rPr>
              <w:t xml:space="preserve">  </w:t>
            </w:r>
          </w:p>
          <w:p w14:paraId="0DBF36D0" w14:textId="77777777" w:rsidR="008B5E8B" w:rsidRDefault="008B5E8B" w:rsidP="00FC0729">
            <w:pPr>
              <w:rPr>
                <w:b/>
                <w:bCs/>
                <w:sz w:val="20"/>
                <w:szCs w:val="20"/>
              </w:rPr>
            </w:pPr>
          </w:p>
          <w:p w14:paraId="7BA6820E" w14:textId="77777777" w:rsidR="0054279E" w:rsidRDefault="0054279E" w:rsidP="00FC0729">
            <w:pPr>
              <w:rPr>
                <w:b/>
                <w:bCs/>
                <w:sz w:val="20"/>
                <w:szCs w:val="20"/>
              </w:rPr>
            </w:pPr>
          </w:p>
          <w:p w14:paraId="5A3BBBBF" w14:textId="679F9758" w:rsidR="00435951" w:rsidRDefault="0049352C" w:rsidP="004935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e.g. </w:t>
            </w:r>
            <w:r w:rsidR="002B5A1C">
              <w:rPr>
                <w:b/>
                <w:bCs/>
                <w:sz w:val="20"/>
                <w:szCs w:val="20"/>
              </w:rPr>
              <w:t>“</w:t>
            </w:r>
            <w:r>
              <w:rPr>
                <w:b/>
                <w:bCs/>
                <w:sz w:val="20"/>
                <w:szCs w:val="20"/>
              </w:rPr>
              <w:t>CTSH + RVC35%”</w:t>
            </w:r>
          </w:p>
          <w:p w14:paraId="3DD851A4" w14:textId="3F0625DC" w:rsidR="0054279E" w:rsidRPr="00D350A2" w:rsidRDefault="0054279E" w:rsidP="00FC07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Understanding: </w:t>
            </w:r>
            <w:r w:rsidR="00A3538D">
              <w:rPr>
                <w:b/>
                <w:bCs/>
                <w:sz w:val="20"/>
                <w:szCs w:val="20"/>
              </w:rPr>
              <w:t>where there is a combin</w:t>
            </w:r>
            <w:r w:rsidR="0052481A">
              <w:rPr>
                <w:b/>
                <w:bCs/>
                <w:sz w:val="20"/>
                <w:szCs w:val="20"/>
              </w:rPr>
              <w:t>ed</w:t>
            </w:r>
            <w:r w:rsidR="00C37F53">
              <w:rPr>
                <w:b/>
                <w:bCs/>
                <w:sz w:val="20"/>
                <w:szCs w:val="20"/>
              </w:rPr>
              <w:t xml:space="preserve"> RVC and CTC</w:t>
            </w:r>
            <w:r w:rsidR="0052481A">
              <w:rPr>
                <w:b/>
                <w:bCs/>
                <w:sz w:val="20"/>
                <w:szCs w:val="20"/>
              </w:rPr>
              <w:t xml:space="preserve"> criterion (e.g</w:t>
            </w:r>
            <w:r w:rsidR="002A7FD6">
              <w:rPr>
                <w:b/>
                <w:bCs/>
                <w:sz w:val="20"/>
                <w:szCs w:val="20"/>
              </w:rPr>
              <w:t>.</w:t>
            </w:r>
            <w:r w:rsidR="0052481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“</w:t>
            </w:r>
            <w:r w:rsidR="0052481A">
              <w:rPr>
                <w:b/>
                <w:bCs/>
                <w:sz w:val="20"/>
                <w:szCs w:val="20"/>
              </w:rPr>
              <w:t xml:space="preserve"> RVC 35% + CTSH</w:t>
            </w:r>
            <w:r>
              <w:rPr>
                <w:b/>
                <w:bCs/>
                <w:sz w:val="20"/>
                <w:szCs w:val="20"/>
              </w:rPr>
              <w:t>”</w:t>
            </w:r>
            <w:r w:rsidR="0052481A">
              <w:rPr>
                <w:b/>
                <w:bCs/>
                <w:sz w:val="20"/>
                <w:szCs w:val="20"/>
              </w:rPr>
              <w:t>)</w:t>
            </w:r>
            <w:r w:rsidR="00C37F53">
              <w:rPr>
                <w:b/>
                <w:bCs/>
                <w:sz w:val="20"/>
                <w:szCs w:val="20"/>
              </w:rPr>
              <w:t xml:space="preserve"> the actual PSR</w:t>
            </w:r>
            <w:r>
              <w:rPr>
                <w:b/>
                <w:bCs/>
                <w:sz w:val="20"/>
                <w:szCs w:val="20"/>
              </w:rPr>
              <w:t xml:space="preserve"> should be placed in Box 8</w:t>
            </w:r>
            <w:r w:rsidR="00C37F53">
              <w:rPr>
                <w:b/>
                <w:bCs/>
                <w:sz w:val="20"/>
                <w:szCs w:val="20"/>
              </w:rPr>
              <w:t>.</w:t>
            </w:r>
          </w:p>
          <w:p w14:paraId="2EC0D27A" w14:textId="77777777" w:rsidR="008B5E8B" w:rsidRPr="00D350A2" w:rsidRDefault="008B5E8B" w:rsidP="00CB69FF">
            <w:pPr>
              <w:ind w:left="1080"/>
              <w:rPr>
                <w:b/>
                <w:iCs/>
                <w:sz w:val="20"/>
                <w:szCs w:val="20"/>
              </w:rPr>
            </w:pPr>
          </w:p>
        </w:tc>
      </w:tr>
      <w:tr w:rsidR="008B5E8B" w:rsidRPr="00D350A2" w14:paraId="070828C4" w14:textId="77777777" w:rsidTr="00CB69FF">
        <w:trPr>
          <w:trHeight w:val="18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2E3179" w14:textId="77777777" w:rsidR="008B5E8B" w:rsidRPr="00D350A2" w:rsidRDefault="00CB69FF" w:rsidP="003C296B">
            <w:pPr>
              <w:pStyle w:val="BodyText2"/>
              <w:spacing w:after="40" w:line="240" w:lineRule="auto"/>
              <w:ind w:left="736" w:right="-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350A2">
              <w:rPr>
                <w:rFonts w:ascii="Arial" w:hAnsi="Arial" w:cs="Arial"/>
                <w:sz w:val="20"/>
                <w:szCs w:val="20"/>
              </w:rPr>
              <w:t xml:space="preserve">Other, including a Specific Manufacturing or Processing Operation </w:t>
            </w:r>
          </w:p>
        </w:tc>
        <w:tc>
          <w:tcPr>
            <w:tcW w:w="6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2CE233" w14:textId="77777777" w:rsidR="00CB69FF" w:rsidRPr="00D350A2" w:rsidRDefault="00CB69FF" w:rsidP="00CB69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  <w:p w14:paraId="2FEE7FF1" w14:textId="77777777" w:rsidR="00CB69FF" w:rsidRPr="00D350A2" w:rsidRDefault="00CB69FF" w:rsidP="00CB69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AF09FA" w14:textId="77777777" w:rsidR="00CB69FF" w:rsidRPr="00D350A2" w:rsidRDefault="00CB69FF" w:rsidP="00CB69FF">
            <w:pPr>
              <w:rPr>
                <w:b/>
                <w:iCs/>
                <w:sz w:val="20"/>
                <w:szCs w:val="20"/>
              </w:rPr>
            </w:pPr>
            <w:r w:rsidRPr="00D350A2">
              <w:rPr>
                <w:b/>
                <w:iCs/>
                <w:sz w:val="20"/>
                <w:szCs w:val="20"/>
              </w:rPr>
              <w:t>Understanding</w:t>
            </w:r>
            <w:r w:rsidRPr="00C37F53">
              <w:rPr>
                <w:b/>
                <w:iCs/>
                <w:sz w:val="20"/>
                <w:szCs w:val="20"/>
              </w:rPr>
              <w:t xml:space="preserve">: “Other” should be placed in Box 8 if the </w:t>
            </w:r>
            <w:r w:rsidR="009860C0">
              <w:rPr>
                <w:b/>
                <w:iCs/>
                <w:sz w:val="20"/>
                <w:szCs w:val="20"/>
              </w:rPr>
              <w:t>applicable origin criterion</w:t>
            </w:r>
            <w:r w:rsidRPr="00D350A2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 xml:space="preserve">in Annex 2 </w:t>
            </w:r>
            <w:r w:rsidRPr="00D350A2">
              <w:rPr>
                <w:b/>
                <w:iCs/>
                <w:sz w:val="20"/>
                <w:szCs w:val="20"/>
              </w:rPr>
              <w:t>is either a manufacturing or process rule or a CTC combined with an additional requirement. Below are some of the examples: </w:t>
            </w:r>
          </w:p>
          <w:p w14:paraId="351EBC53" w14:textId="77777777" w:rsidR="00CB69FF" w:rsidRPr="00D350A2" w:rsidRDefault="00CB69FF" w:rsidP="00CB69FF">
            <w:pPr>
              <w:rPr>
                <w:b/>
                <w:iCs/>
                <w:sz w:val="20"/>
                <w:szCs w:val="20"/>
              </w:rPr>
            </w:pPr>
          </w:p>
          <w:p w14:paraId="772B8368" w14:textId="77777777" w:rsidR="00CB69FF" w:rsidRPr="00D350A2" w:rsidRDefault="00CB69FF" w:rsidP="00CB69FF">
            <w:pPr>
              <w:numPr>
                <w:ilvl w:val="0"/>
                <w:numId w:val="10"/>
              </w:numPr>
              <w:rPr>
                <w:b/>
                <w:iCs/>
                <w:sz w:val="20"/>
                <w:szCs w:val="20"/>
              </w:rPr>
            </w:pPr>
            <w:r w:rsidRPr="00D350A2">
              <w:rPr>
                <w:b/>
                <w:iCs/>
                <w:sz w:val="20"/>
                <w:szCs w:val="20"/>
              </w:rPr>
              <w:t>No change in tariff classification is required provided that the good is cooked in the territory of the parties</w:t>
            </w:r>
            <w:r>
              <w:rPr>
                <w:b/>
                <w:iCs/>
                <w:sz w:val="20"/>
                <w:szCs w:val="20"/>
              </w:rPr>
              <w:t>;</w:t>
            </w:r>
          </w:p>
          <w:p w14:paraId="5B5D2304" w14:textId="77777777" w:rsidR="00CB69FF" w:rsidRPr="00D350A2" w:rsidRDefault="00CB69FF" w:rsidP="00CB69FF">
            <w:pPr>
              <w:numPr>
                <w:ilvl w:val="0"/>
                <w:numId w:val="10"/>
              </w:numPr>
              <w:rPr>
                <w:b/>
                <w:iCs/>
                <w:sz w:val="20"/>
                <w:szCs w:val="20"/>
              </w:rPr>
            </w:pPr>
            <w:r w:rsidRPr="00D350A2">
              <w:rPr>
                <w:b/>
                <w:iCs/>
                <w:sz w:val="20"/>
                <w:szCs w:val="20"/>
              </w:rPr>
              <w:t>No change in tariff classification is required provided that the good is produced by refining</w:t>
            </w:r>
            <w:r>
              <w:rPr>
                <w:b/>
                <w:iCs/>
                <w:sz w:val="20"/>
                <w:szCs w:val="20"/>
              </w:rPr>
              <w:t>;</w:t>
            </w:r>
          </w:p>
          <w:p w14:paraId="1F154292" w14:textId="77777777" w:rsidR="00CB69FF" w:rsidRPr="00D350A2" w:rsidRDefault="00CB69FF" w:rsidP="00CB69FF">
            <w:pPr>
              <w:numPr>
                <w:ilvl w:val="0"/>
                <w:numId w:val="10"/>
              </w:numPr>
              <w:rPr>
                <w:b/>
                <w:iCs/>
                <w:sz w:val="20"/>
                <w:szCs w:val="20"/>
              </w:rPr>
            </w:pPr>
            <w:r w:rsidRPr="00D350A2">
              <w:rPr>
                <w:b/>
                <w:iCs/>
                <w:sz w:val="20"/>
                <w:szCs w:val="20"/>
              </w:rPr>
              <w:t>CTSH, except from 2523.29 through 2523.90</w:t>
            </w:r>
            <w:r>
              <w:rPr>
                <w:b/>
                <w:iCs/>
                <w:sz w:val="20"/>
                <w:szCs w:val="20"/>
              </w:rPr>
              <w:t xml:space="preserve">; </w:t>
            </w:r>
          </w:p>
          <w:p w14:paraId="0DA7A705" w14:textId="77777777" w:rsidR="00CB69FF" w:rsidRDefault="00CB69FF" w:rsidP="00CB69FF">
            <w:pPr>
              <w:numPr>
                <w:ilvl w:val="0"/>
                <w:numId w:val="10"/>
              </w:numPr>
              <w:rPr>
                <w:b/>
                <w:iCs/>
                <w:sz w:val="20"/>
                <w:szCs w:val="20"/>
              </w:rPr>
            </w:pPr>
            <w:r w:rsidRPr="00D350A2">
              <w:rPr>
                <w:b/>
                <w:iCs/>
                <w:sz w:val="20"/>
                <w:szCs w:val="20"/>
              </w:rPr>
              <w:t>Origin shall be conferred to a good of this subheading that is derived from production or consumption in a Party</w:t>
            </w:r>
            <w:r>
              <w:rPr>
                <w:b/>
                <w:iCs/>
                <w:sz w:val="20"/>
                <w:szCs w:val="20"/>
              </w:rPr>
              <w:t>;</w:t>
            </w:r>
          </w:p>
          <w:p w14:paraId="73BF2555" w14:textId="77777777" w:rsidR="008B5E8B" w:rsidRPr="00CB69FF" w:rsidRDefault="00CB69FF" w:rsidP="00CB69FF">
            <w:pPr>
              <w:numPr>
                <w:ilvl w:val="0"/>
                <w:numId w:val="10"/>
              </w:numPr>
              <w:rPr>
                <w:b/>
                <w:iCs/>
                <w:sz w:val="20"/>
                <w:szCs w:val="20"/>
              </w:rPr>
            </w:pPr>
            <w:r w:rsidRPr="00CB69FF">
              <w:rPr>
                <w:b/>
                <w:iCs/>
                <w:sz w:val="20"/>
                <w:szCs w:val="20"/>
              </w:rPr>
              <w:t>If the good is a result of a “chemical reaction”.</w:t>
            </w:r>
          </w:p>
        </w:tc>
      </w:tr>
    </w:tbl>
    <w:p w14:paraId="5F10967B" w14:textId="77777777" w:rsidR="00BE52D1" w:rsidRDefault="00BE52D1" w:rsidP="00413012">
      <w:pPr>
        <w:rPr>
          <w:sz w:val="20"/>
          <w:szCs w:val="20"/>
        </w:rPr>
      </w:pPr>
    </w:p>
    <w:p w14:paraId="1A69DE21" w14:textId="77777777" w:rsidR="00413012" w:rsidRPr="00CB69FF" w:rsidRDefault="00BE52D1" w:rsidP="00CB69FF">
      <w:pPr>
        <w:tabs>
          <w:tab w:val="left" w:pos="360"/>
        </w:tabs>
        <w:spacing w:before="100" w:beforeAutospacing="1" w:after="40"/>
        <w:ind w:right="-1"/>
        <w:jc w:val="center"/>
        <w:rPr>
          <w:b/>
          <w:sz w:val="20"/>
          <w:szCs w:val="20"/>
        </w:rPr>
      </w:pPr>
      <w:r>
        <w:rPr>
          <w:b/>
          <w:lang w:val="en-GB"/>
        </w:rPr>
        <w:br w:type="page"/>
      </w:r>
      <w:r w:rsidR="00B5226F">
        <w:rPr>
          <w:b/>
          <w:sz w:val="20"/>
          <w:szCs w:val="20"/>
        </w:rPr>
        <w:lastRenderedPageBreak/>
        <w:t xml:space="preserve">TABLE 2. </w:t>
      </w:r>
      <w:r w:rsidR="008B5E8B" w:rsidRPr="00CB69FF">
        <w:rPr>
          <w:b/>
          <w:sz w:val="20"/>
          <w:szCs w:val="20"/>
        </w:rPr>
        <w:t>FOR GOODS EXPORTED FROM AN AANZFTA PARTY WHERE THE FIRST PROTOCOL HAS NOT ENTERED INTO FORCE</w:t>
      </w:r>
    </w:p>
    <w:p w14:paraId="6A7B4B9D" w14:textId="77777777" w:rsidR="008B5E8B" w:rsidRPr="00CB69FF" w:rsidRDefault="008B5E8B" w:rsidP="00413012">
      <w:pPr>
        <w:rPr>
          <w:sz w:val="20"/>
          <w:szCs w:val="20"/>
        </w:rPr>
      </w:pPr>
    </w:p>
    <w:p w14:paraId="1710A5A5" w14:textId="77777777" w:rsidR="008D1992" w:rsidRPr="00CB69FF" w:rsidRDefault="008D1992" w:rsidP="00413012">
      <w:pPr>
        <w:rPr>
          <w:sz w:val="20"/>
          <w:szCs w:val="20"/>
        </w:rPr>
      </w:pPr>
      <w:r w:rsidRPr="00CB69FF">
        <w:rPr>
          <w:sz w:val="20"/>
          <w:szCs w:val="20"/>
        </w:rPr>
        <w:t>The Certificate of Origin must be issued on the Form</w:t>
      </w:r>
      <w:r w:rsidR="00843E61">
        <w:rPr>
          <w:sz w:val="20"/>
          <w:szCs w:val="20"/>
        </w:rPr>
        <w:t> </w:t>
      </w:r>
      <w:r w:rsidRPr="00CB69FF">
        <w:rPr>
          <w:sz w:val="20"/>
          <w:szCs w:val="20"/>
        </w:rPr>
        <w:t>AANZ Template, unless otherwise agreed between the Parties. The HS Codes to be used to identify the products must be in HS 2007, unless otherwise agreed between the Parties.</w:t>
      </w:r>
    </w:p>
    <w:p w14:paraId="74AF7C16" w14:textId="77777777" w:rsidR="008D1992" w:rsidRPr="00CB69FF" w:rsidRDefault="008D1992" w:rsidP="00413012">
      <w:pPr>
        <w:rPr>
          <w:sz w:val="20"/>
          <w:szCs w:val="20"/>
        </w:rPr>
      </w:pPr>
    </w:p>
    <w:tbl>
      <w:tblPr>
        <w:tblW w:w="13140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6300"/>
        <w:gridCol w:w="6840"/>
      </w:tblGrid>
      <w:tr w:rsidR="00413012" w:rsidRPr="00D350A2" w14:paraId="0FA07BBB" w14:textId="77777777" w:rsidTr="00CB69FF">
        <w:trPr>
          <w:tblHeader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B384D55" w14:textId="77777777" w:rsidR="00413012" w:rsidRPr="00D350A2" w:rsidRDefault="00413012" w:rsidP="00D96A67">
            <w:pPr>
              <w:spacing w:after="40"/>
              <w:ind w:right="-1"/>
              <w:rPr>
                <w:b/>
                <w:bCs/>
                <w:sz w:val="20"/>
                <w:szCs w:val="20"/>
              </w:rPr>
            </w:pPr>
            <w:r w:rsidRPr="00D350A2">
              <w:rPr>
                <w:b/>
                <w:bCs/>
                <w:sz w:val="20"/>
                <w:szCs w:val="20"/>
              </w:rPr>
              <w:t>Circumstances of production or manufacture in the country named in Box 11 of this form:</w:t>
            </w:r>
          </w:p>
        </w:tc>
        <w:tc>
          <w:tcPr>
            <w:tcW w:w="6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FB7ABE" w14:textId="77777777" w:rsidR="00413012" w:rsidRPr="00D350A2" w:rsidRDefault="00413012" w:rsidP="00D96A67">
            <w:pPr>
              <w:spacing w:after="40"/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D350A2">
              <w:rPr>
                <w:b/>
                <w:bCs/>
                <w:sz w:val="20"/>
                <w:szCs w:val="20"/>
              </w:rPr>
              <w:t>Insert in Box 8</w:t>
            </w:r>
          </w:p>
        </w:tc>
      </w:tr>
      <w:tr w:rsidR="00413012" w:rsidRPr="00D350A2" w14:paraId="1001F48C" w14:textId="77777777" w:rsidTr="00CB69FF"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B76AF6" w14:textId="77777777" w:rsidR="00413012" w:rsidRPr="00D350A2" w:rsidRDefault="00413012" w:rsidP="00CB69FF">
            <w:pPr>
              <w:pStyle w:val="BodyText2"/>
              <w:numPr>
                <w:ilvl w:val="0"/>
                <w:numId w:val="6"/>
              </w:numPr>
              <w:spacing w:after="4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350A2">
              <w:rPr>
                <w:rFonts w:ascii="Arial" w:hAnsi="Arial" w:cs="Arial"/>
                <w:sz w:val="20"/>
                <w:szCs w:val="20"/>
              </w:rPr>
              <w:t>Goods wholly produced or obtained satisfying Article 2.1(a) of the Agreement</w:t>
            </w:r>
          </w:p>
        </w:tc>
        <w:tc>
          <w:tcPr>
            <w:tcW w:w="6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8F116C" w14:textId="77777777" w:rsidR="00413012" w:rsidRPr="00D350A2" w:rsidRDefault="00413012" w:rsidP="00D96A67">
            <w:pPr>
              <w:spacing w:after="40"/>
              <w:ind w:right="-1"/>
              <w:jc w:val="center"/>
              <w:rPr>
                <w:b/>
                <w:sz w:val="20"/>
                <w:szCs w:val="20"/>
              </w:rPr>
            </w:pPr>
            <w:r w:rsidRPr="00D350A2">
              <w:rPr>
                <w:b/>
                <w:sz w:val="20"/>
                <w:szCs w:val="20"/>
              </w:rPr>
              <w:t>WO</w:t>
            </w:r>
          </w:p>
          <w:p w14:paraId="509C1C99" w14:textId="77777777" w:rsidR="00413012" w:rsidRPr="00CB69FF" w:rsidRDefault="00413012" w:rsidP="00D96A67">
            <w:pPr>
              <w:spacing w:after="40"/>
              <w:ind w:right="-1"/>
              <w:rPr>
                <w:b/>
                <w:sz w:val="20"/>
                <w:szCs w:val="20"/>
              </w:rPr>
            </w:pPr>
            <w:r w:rsidRPr="00D350A2">
              <w:rPr>
                <w:b/>
                <w:sz w:val="20"/>
                <w:szCs w:val="20"/>
              </w:rPr>
              <w:t>Understanding: “WO” should be placed in Box 8 if the good</w:t>
            </w:r>
            <w:r w:rsidR="00936AD2" w:rsidRPr="00D350A2">
              <w:rPr>
                <w:b/>
                <w:sz w:val="20"/>
                <w:szCs w:val="20"/>
              </w:rPr>
              <w:t xml:space="preserve"> is wholly produced or obtained in a Party.</w:t>
            </w:r>
          </w:p>
        </w:tc>
      </w:tr>
      <w:tr w:rsidR="00413012" w:rsidRPr="00D350A2" w14:paraId="21C91C68" w14:textId="77777777"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0F65F8" w14:textId="77777777" w:rsidR="00413012" w:rsidRPr="00D350A2" w:rsidRDefault="00413012" w:rsidP="00CB69F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right="-1"/>
              <w:rPr>
                <w:sz w:val="20"/>
                <w:szCs w:val="20"/>
              </w:rPr>
            </w:pPr>
            <w:r w:rsidRPr="00D350A2">
              <w:rPr>
                <w:sz w:val="20"/>
                <w:szCs w:val="20"/>
              </w:rPr>
              <w:t>Goods produced entirely satisfying Article 2.1(c) of the Agreement</w:t>
            </w:r>
          </w:p>
        </w:tc>
        <w:tc>
          <w:tcPr>
            <w:tcW w:w="6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C79D09" w14:textId="77777777" w:rsidR="00413012" w:rsidRPr="00D350A2" w:rsidRDefault="00413012" w:rsidP="00D96A67">
            <w:pPr>
              <w:spacing w:after="40"/>
              <w:ind w:right="-1"/>
              <w:jc w:val="center"/>
              <w:rPr>
                <w:b/>
                <w:sz w:val="20"/>
                <w:szCs w:val="20"/>
              </w:rPr>
            </w:pPr>
            <w:r w:rsidRPr="00D350A2">
              <w:rPr>
                <w:b/>
                <w:sz w:val="20"/>
                <w:szCs w:val="20"/>
              </w:rPr>
              <w:t>PE</w:t>
            </w:r>
          </w:p>
          <w:p w14:paraId="0FE00FC1" w14:textId="77777777" w:rsidR="00413012" w:rsidRPr="00D350A2" w:rsidRDefault="00413012" w:rsidP="00B57915">
            <w:pPr>
              <w:spacing w:after="40"/>
              <w:ind w:right="-1"/>
              <w:rPr>
                <w:sz w:val="20"/>
                <w:szCs w:val="20"/>
              </w:rPr>
            </w:pPr>
            <w:r w:rsidRPr="00D350A2">
              <w:rPr>
                <w:b/>
                <w:sz w:val="20"/>
                <w:szCs w:val="20"/>
              </w:rPr>
              <w:t xml:space="preserve">Understanding: “PE” should be placed in Box 8 if the good is produced entirely </w:t>
            </w:r>
            <w:r w:rsidR="00936AD2" w:rsidRPr="00D350A2">
              <w:rPr>
                <w:b/>
                <w:sz w:val="20"/>
                <w:szCs w:val="20"/>
              </w:rPr>
              <w:t>in a P</w:t>
            </w:r>
            <w:r w:rsidR="0068714A" w:rsidRPr="00D350A2">
              <w:rPr>
                <w:b/>
                <w:sz w:val="20"/>
                <w:szCs w:val="20"/>
              </w:rPr>
              <w:t>arty</w:t>
            </w:r>
            <w:r w:rsidR="00936AD2" w:rsidRPr="00D350A2">
              <w:rPr>
                <w:b/>
                <w:sz w:val="20"/>
                <w:szCs w:val="20"/>
              </w:rPr>
              <w:t xml:space="preserve"> exclusively from originating materials from one or more of the Parties.</w:t>
            </w:r>
          </w:p>
        </w:tc>
      </w:tr>
      <w:tr w:rsidR="00413012" w:rsidRPr="00D350A2" w14:paraId="46A57250" w14:textId="77777777"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538B96" w14:textId="77777777" w:rsidR="00413012" w:rsidRPr="00D350A2" w:rsidRDefault="00413012" w:rsidP="00CB69F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right="-1"/>
              <w:rPr>
                <w:sz w:val="20"/>
                <w:szCs w:val="20"/>
              </w:rPr>
            </w:pPr>
            <w:r w:rsidRPr="00D350A2">
              <w:rPr>
                <w:sz w:val="20"/>
                <w:szCs w:val="20"/>
              </w:rPr>
              <w:t>Not wholly produced or obtained in a Party, provided that the goods satisfy Article 4.1(a) of the Agreement</w:t>
            </w:r>
          </w:p>
        </w:tc>
        <w:tc>
          <w:tcPr>
            <w:tcW w:w="6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1ED01D" w14:textId="77777777" w:rsidR="00413012" w:rsidRPr="00D350A2" w:rsidRDefault="00413012" w:rsidP="00D96A67">
            <w:pPr>
              <w:spacing w:after="40"/>
              <w:ind w:right="-1"/>
              <w:jc w:val="center"/>
              <w:rPr>
                <w:b/>
                <w:sz w:val="20"/>
                <w:szCs w:val="20"/>
              </w:rPr>
            </w:pPr>
            <w:r w:rsidRPr="00D350A2">
              <w:rPr>
                <w:b/>
                <w:sz w:val="20"/>
                <w:szCs w:val="20"/>
              </w:rPr>
              <w:t xml:space="preserve">RVC </w:t>
            </w:r>
          </w:p>
          <w:p w14:paraId="2C229B1D" w14:textId="77777777" w:rsidR="00936AD2" w:rsidRPr="00D350A2" w:rsidRDefault="00936AD2" w:rsidP="00936AD2">
            <w:pPr>
              <w:spacing w:after="40"/>
              <w:ind w:right="-1"/>
              <w:rPr>
                <w:b/>
                <w:sz w:val="20"/>
                <w:szCs w:val="20"/>
                <w:lang w:bidi="th-TH"/>
              </w:rPr>
            </w:pPr>
            <w:r w:rsidRPr="00D350A2">
              <w:rPr>
                <w:b/>
                <w:sz w:val="20"/>
                <w:szCs w:val="20"/>
              </w:rPr>
              <w:t xml:space="preserve">Understanding: “RVC” should be placed in Box 8 if the good </w:t>
            </w:r>
            <w:r w:rsidR="00637739">
              <w:rPr>
                <w:b/>
                <w:sz w:val="20"/>
                <w:szCs w:val="20"/>
              </w:rPr>
              <w:t xml:space="preserve">satisfies the requirement in Article 4.1(a) of </w:t>
            </w:r>
            <w:r w:rsidR="00BC6197" w:rsidRPr="00D350A2">
              <w:rPr>
                <w:b/>
                <w:sz w:val="20"/>
                <w:szCs w:val="20"/>
              </w:rPr>
              <w:t>a regional value content of not less than 40 per cent of the FOB value.</w:t>
            </w:r>
          </w:p>
        </w:tc>
      </w:tr>
      <w:tr w:rsidR="00413012" w:rsidRPr="00D350A2" w14:paraId="468CB2AF" w14:textId="77777777" w:rsidTr="00CB69FF">
        <w:trPr>
          <w:trHeight w:val="18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1F4B8A" w14:textId="77777777" w:rsidR="00413012" w:rsidRPr="00D350A2" w:rsidRDefault="00413012" w:rsidP="00CB69FF">
            <w:pPr>
              <w:pStyle w:val="BodyText2"/>
              <w:numPr>
                <w:ilvl w:val="0"/>
                <w:numId w:val="6"/>
              </w:numPr>
              <w:spacing w:after="4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350A2">
              <w:rPr>
                <w:rFonts w:ascii="Arial" w:hAnsi="Arial" w:cs="Arial"/>
                <w:sz w:val="20"/>
                <w:szCs w:val="20"/>
              </w:rPr>
              <w:t>Not wholly produced or obtained in a Party, provided that the goods satisfy Article 4.1(b) of the Agreement</w:t>
            </w:r>
          </w:p>
        </w:tc>
        <w:tc>
          <w:tcPr>
            <w:tcW w:w="6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A1DD3A" w14:textId="77777777" w:rsidR="00413012" w:rsidRPr="00D350A2" w:rsidRDefault="00413012" w:rsidP="00D96A67">
            <w:pPr>
              <w:pStyle w:val="Heading1"/>
              <w:spacing w:after="40"/>
              <w:ind w:right="-1"/>
              <w:rPr>
                <w:rFonts w:ascii="Arial" w:hAnsi="Arial" w:cs="Arial"/>
                <w:bCs w:val="0"/>
                <w:lang w:val="en-US" w:bidi="th-TH"/>
              </w:rPr>
            </w:pPr>
            <w:r w:rsidRPr="00D350A2">
              <w:rPr>
                <w:rFonts w:ascii="Arial" w:hAnsi="Arial" w:cs="Arial"/>
                <w:bCs w:val="0"/>
                <w:lang w:val="en-US" w:bidi="th-TH"/>
              </w:rPr>
              <w:t>CTH</w:t>
            </w:r>
          </w:p>
          <w:p w14:paraId="0FB0C9B9" w14:textId="77777777" w:rsidR="00BC6197" w:rsidRPr="00D350A2" w:rsidRDefault="00BC6197" w:rsidP="00BC6197">
            <w:pPr>
              <w:rPr>
                <w:sz w:val="20"/>
                <w:szCs w:val="20"/>
                <w:lang w:bidi="th-TH"/>
              </w:rPr>
            </w:pPr>
          </w:p>
          <w:p w14:paraId="0C3774E8" w14:textId="77777777" w:rsidR="00BC6197" w:rsidRPr="00CB69FF" w:rsidRDefault="00273184" w:rsidP="00CB69FF">
            <w:pPr>
              <w:ind w:left="65"/>
              <w:jc w:val="both"/>
              <w:rPr>
                <w:b/>
                <w:sz w:val="20"/>
                <w:szCs w:val="20"/>
                <w:lang w:val="en-GB"/>
              </w:rPr>
            </w:pPr>
            <w:r w:rsidRPr="00273184">
              <w:rPr>
                <w:b/>
                <w:sz w:val="20"/>
                <w:szCs w:val="20"/>
              </w:rPr>
              <w:t>Understanding: “</w:t>
            </w:r>
            <w:r w:rsidR="00BC6197" w:rsidRPr="00273184">
              <w:rPr>
                <w:b/>
                <w:sz w:val="20"/>
                <w:szCs w:val="20"/>
              </w:rPr>
              <w:t>C</w:t>
            </w:r>
            <w:r w:rsidRPr="00273184">
              <w:rPr>
                <w:b/>
                <w:sz w:val="20"/>
                <w:szCs w:val="20"/>
              </w:rPr>
              <w:t>TH</w:t>
            </w:r>
            <w:r w:rsidR="00BC6197" w:rsidRPr="00273184">
              <w:rPr>
                <w:b/>
                <w:sz w:val="20"/>
                <w:szCs w:val="20"/>
              </w:rPr>
              <w:t xml:space="preserve">” should be placed in Box 8 if </w:t>
            </w:r>
            <w:r w:rsidR="00637739">
              <w:rPr>
                <w:b/>
                <w:sz w:val="20"/>
                <w:szCs w:val="20"/>
              </w:rPr>
              <w:t xml:space="preserve">the good satisfies the requirement in Article 4.1(b) that </w:t>
            </w:r>
            <w:r w:rsidRPr="00273184">
              <w:rPr>
                <w:b/>
                <w:sz w:val="20"/>
                <w:szCs w:val="20"/>
                <w:lang w:val="en-GB"/>
              </w:rPr>
              <w:t>all non-originating materials used in the production of the good have undergone a change in tariff classification at the four-digit level (i.e. a change in tariff heading) of the HS Code in a Party.</w:t>
            </w:r>
          </w:p>
        </w:tc>
      </w:tr>
      <w:tr w:rsidR="00413012" w:rsidRPr="00D350A2" w14:paraId="1A02990E" w14:textId="77777777" w:rsidTr="00CB69FF">
        <w:trPr>
          <w:trHeight w:val="18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AFCB94" w14:textId="77777777" w:rsidR="00413012" w:rsidRDefault="00413012" w:rsidP="00CB69FF">
            <w:pPr>
              <w:pStyle w:val="BodyText2"/>
              <w:numPr>
                <w:ilvl w:val="0"/>
                <w:numId w:val="6"/>
              </w:numPr>
              <w:spacing w:after="4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350A2">
              <w:rPr>
                <w:rFonts w:ascii="Arial" w:hAnsi="Arial" w:cs="Arial"/>
                <w:sz w:val="20"/>
                <w:szCs w:val="20"/>
              </w:rPr>
              <w:t>Not wholly produced or obtained in a Party, provided that the goods satisfy Article 4.2, i.e., if the good is specified in Annex 2, all the product specific requirements listed have been met:</w:t>
            </w:r>
          </w:p>
          <w:p w14:paraId="5921A4BC" w14:textId="77777777" w:rsidR="00CB69FF" w:rsidRDefault="00CB69FF" w:rsidP="00CB69FF">
            <w:pPr>
              <w:pStyle w:val="BodyText2"/>
              <w:spacing w:after="40" w:line="240" w:lineRule="auto"/>
              <w:ind w:left="435" w:right="-1"/>
              <w:rPr>
                <w:rFonts w:ascii="Arial" w:hAnsi="Arial" w:cs="Arial"/>
                <w:sz w:val="20"/>
                <w:szCs w:val="20"/>
              </w:rPr>
            </w:pPr>
          </w:p>
          <w:p w14:paraId="7AB9B46F" w14:textId="77777777" w:rsidR="00CB69FF" w:rsidRPr="00D350A2" w:rsidRDefault="00CB69FF" w:rsidP="00CB69FF">
            <w:pPr>
              <w:pStyle w:val="BodyText2"/>
              <w:spacing w:after="40" w:line="240" w:lineRule="auto"/>
              <w:ind w:left="435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4BF4FE" w14:textId="77777777" w:rsidR="00413012" w:rsidRPr="00D350A2" w:rsidRDefault="00413012" w:rsidP="008253FD">
            <w:pPr>
              <w:pStyle w:val="Heading1"/>
              <w:spacing w:after="40"/>
              <w:ind w:right="-1"/>
              <w:jc w:val="left"/>
              <w:rPr>
                <w:rFonts w:ascii="Arial" w:hAnsi="Arial" w:cs="Arial"/>
                <w:bCs w:val="0"/>
                <w:strike/>
                <w:lang w:val="en-US"/>
              </w:rPr>
            </w:pPr>
          </w:p>
        </w:tc>
      </w:tr>
      <w:tr w:rsidR="00413012" w:rsidRPr="00D350A2" w14:paraId="0A04EE21" w14:textId="77777777" w:rsidTr="00CB69FF">
        <w:trPr>
          <w:trHeight w:val="180"/>
        </w:trPr>
        <w:tc>
          <w:tcPr>
            <w:tcW w:w="6300" w:type="dxa"/>
            <w:tcBorders>
              <w:left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0B66D53" w14:textId="77777777" w:rsidR="00413012" w:rsidRPr="00D350A2" w:rsidRDefault="00413012" w:rsidP="00637739">
            <w:pPr>
              <w:pStyle w:val="BodyText2"/>
              <w:numPr>
                <w:ilvl w:val="0"/>
                <w:numId w:val="3"/>
              </w:numPr>
              <w:spacing w:after="4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350A2">
              <w:rPr>
                <w:rFonts w:ascii="Arial" w:hAnsi="Arial" w:cs="Arial"/>
                <w:sz w:val="20"/>
                <w:szCs w:val="20"/>
              </w:rPr>
              <w:lastRenderedPageBreak/>
              <w:t>Change in Tariff Classification</w:t>
            </w:r>
          </w:p>
          <w:p w14:paraId="218CEEAF" w14:textId="77777777" w:rsidR="008253FD" w:rsidRPr="00D350A2" w:rsidRDefault="008253FD" w:rsidP="008253FD">
            <w:pPr>
              <w:pStyle w:val="BodyText2"/>
              <w:spacing w:after="40" w:line="240" w:lineRule="auto"/>
              <w:ind w:left="435" w:right="-1"/>
              <w:rPr>
                <w:rFonts w:ascii="Arial" w:hAnsi="Arial" w:cs="Arial"/>
                <w:sz w:val="20"/>
                <w:szCs w:val="20"/>
              </w:rPr>
            </w:pPr>
          </w:p>
          <w:p w14:paraId="36AD67D9" w14:textId="77777777" w:rsidR="008253FD" w:rsidRPr="00D350A2" w:rsidRDefault="008253FD" w:rsidP="008253FD">
            <w:pPr>
              <w:pStyle w:val="BodyText2"/>
              <w:spacing w:after="40" w:line="240" w:lineRule="auto"/>
              <w:ind w:left="435" w:right="-1"/>
              <w:rPr>
                <w:rFonts w:ascii="Arial" w:hAnsi="Arial" w:cs="Arial"/>
                <w:sz w:val="20"/>
                <w:szCs w:val="20"/>
              </w:rPr>
            </w:pPr>
          </w:p>
          <w:p w14:paraId="3575B31E" w14:textId="77777777" w:rsidR="00413012" w:rsidRPr="00D350A2" w:rsidRDefault="00413012" w:rsidP="00CB69FF">
            <w:pPr>
              <w:pStyle w:val="BodyText2"/>
              <w:spacing w:after="4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left w:val="nil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F656414" w14:textId="77777777" w:rsidR="00413012" w:rsidRPr="00D350A2" w:rsidRDefault="00413012" w:rsidP="008253FD">
            <w:pPr>
              <w:jc w:val="center"/>
              <w:rPr>
                <w:b/>
                <w:bCs/>
                <w:sz w:val="20"/>
                <w:szCs w:val="20"/>
              </w:rPr>
            </w:pPr>
            <w:r w:rsidRPr="0002195B">
              <w:rPr>
                <w:b/>
                <w:bCs/>
                <w:sz w:val="20"/>
                <w:szCs w:val="20"/>
              </w:rPr>
              <w:t>PSR</w:t>
            </w:r>
            <w:r w:rsidRPr="00D350A2">
              <w:rPr>
                <w:b/>
                <w:bCs/>
                <w:sz w:val="20"/>
                <w:szCs w:val="20"/>
              </w:rPr>
              <w:t>(CTC)</w:t>
            </w:r>
          </w:p>
          <w:p w14:paraId="6FBD5FD4" w14:textId="77777777" w:rsidR="008253FD" w:rsidRPr="00D350A2" w:rsidRDefault="008253FD" w:rsidP="00D96A67">
            <w:pPr>
              <w:jc w:val="center"/>
              <w:rPr>
                <w:bCs/>
                <w:sz w:val="20"/>
                <w:szCs w:val="20"/>
              </w:rPr>
            </w:pPr>
          </w:p>
          <w:p w14:paraId="4F123EED" w14:textId="77777777" w:rsidR="0034175B" w:rsidRPr="00D350A2" w:rsidRDefault="008253FD" w:rsidP="00CB69FF">
            <w:pPr>
              <w:rPr>
                <w:b/>
                <w:iCs/>
                <w:sz w:val="20"/>
                <w:szCs w:val="20"/>
              </w:rPr>
            </w:pPr>
            <w:r w:rsidRPr="00D350A2">
              <w:rPr>
                <w:b/>
                <w:iCs/>
                <w:sz w:val="20"/>
                <w:szCs w:val="20"/>
              </w:rPr>
              <w:t xml:space="preserve">Understanding:  “PSR (CTC)” should be placed in Box 8 if the </w:t>
            </w:r>
            <w:r w:rsidR="00637739">
              <w:rPr>
                <w:b/>
                <w:iCs/>
                <w:sz w:val="20"/>
                <w:szCs w:val="20"/>
              </w:rPr>
              <w:t xml:space="preserve">applicable </w:t>
            </w:r>
            <w:r w:rsidRPr="00D350A2">
              <w:rPr>
                <w:b/>
                <w:iCs/>
                <w:sz w:val="20"/>
                <w:szCs w:val="20"/>
              </w:rPr>
              <w:t xml:space="preserve">origin criterion </w:t>
            </w:r>
            <w:r w:rsidR="00637739">
              <w:rPr>
                <w:b/>
                <w:iCs/>
                <w:sz w:val="20"/>
                <w:szCs w:val="20"/>
              </w:rPr>
              <w:t>in Annex 2 is a Change in Tariff Classification, whether at the level of the</w:t>
            </w:r>
            <w:r w:rsidR="0007125C">
              <w:rPr>
                <w:b/>
                <w:iCs/>
                <w:sz w:val="20"/>
                <w:szCs w:val="20"/>
              </w:rPr>
              <w:t xml:space="preserve"> c</w:t>
            </w:r>
            <w:r w:rsidR="00637739">
              <w:rPr>
                <w:b/>
                <w:iCs/>
                <w:sz w:val="20"/>
                <w:szCs w:val="20"/>
              </w:rPr>
              <w:t>hapter (</w:t>
            </w:r>
            <w:r w:rsidRPr="00D350A2">
              <w:rPr>
                <w:b/>
                <w:iCs/>
                <w:sz w:val="20"/>
                <w:szCs w:val="20"/>
              </w:rPr>
              <w:t>“CC”</w:t>
            </w:r>
            <w:r w:rsidR="00637739">
              <w:rPr>
                <w:b/>
                <w:iCs/>
                <w:sz w:val="20"/>
                <w:szCs w:val="20"/>
              </w:rPr>
              <w:t>), the level of a heading (“CTH”)</w:t>
            </w:r>
            <w:r w:rsidRPr="00D350A2">
              <w:rPr>
                <w:b/>
                <w:iCs/>
                <w:sz w:val="20"/>
                <w:szCs w:val="20"/>
              </w:rPr>
              <w:t xml:space="preserve"> or </w:t>
            </w:r>
            <w:r w:rsidR="00637739">
              <w:rPr>
                <w:b/>
                <w:iCs/>
                <w:sz w:val="20"/>
                <w:szCs w:val="20"/>
              </w:rPr>
              <w:t>the level of a subheadin</w:t>
            </w:r>
            <w:r w:rsidR="0007125C">
              <w:rPr>
                <w:b/>
                <w:iCs/>
                <w:sz w:val="20"/>
                <w:szCs w:val="20"/>
              </w:rPr>
              <w:t>g</w:t>
            </w:r>
            <w:r w:rsidR="00637739">
              <w:rPr>
                <w:b/>
                <w:iCs/>
                <w:sz w:val="20"/>
                <w:szCs w:val="20"/>
              </w:rPr>
              <w:t xml:space="preserve"> (</w:t>
            </w:r>
            <w:r w:rsidRPr="00D350A2">
              <w:rPr>
                <w:b/>
                <w:iCs/>
                <w:sz w:val="20"/>
                <w:szCs w:val="20"/>
              </w:rPr>
              <w:t>“CTSH”</w:t>
            </w:r>
            <w:r w:rsidR="00637739">
              <w:rPr>
                <w:b/>
                <w:iCs/>
                <w:sz w:val="20"/>
                <w:szCs w:val="20"/>
              </w:rPr>
              <w:t>)</w:t>
            </w:r>
            <w:r w:rsidRPr="00D350A2">
              <w:rPr>
                <w:b/>
                <w:iCs/>
                <w:sz w:val="20"/>
                <w:szCs w:val="20"/>
              </w:rPr>
              <w:t>. There is no need to place the actual tariff shift.</w:t>
            </w:r>
          </w:p>
        </w:tc>
      </w:tr>
      <w:tr w:rsidR="00CB69FF" w:rsidRPr="00D350A2" w14:paraId="3182AFE5" w14:textId="77777777" w:rsidTr="00CB69FF">
        <w:trPr>
          <w:trHeight w:val="180"/>
        </w:trPr>
        <w:tc>
          <w:tcPr>
            <w:tcW w:w="6300" w:type="dxa"/>
            <w:tcBorders>
              <w:left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302E45" w14:textId="77777777" w:rsidR="00CB69FF" w:rsidRPr="00D350A2" w:rsidRDefault="00CB69FF" w:rsidP="00CB69FF">
            <w:pPr>
              <w:pStyle w:val="BodyText2"/>
              <w:numPr>
                <w:ilvl w:val="0"/>
                <w:numId w:val="3"/>
              </w:numPr>
              <w:spacing w:after="4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350A2">
              <w:rPr>
                <w:rFonts w:ascii="Arial" w:hAnsi="Arial" w:cs="Arial"/>
                <w:sz w:val="20"/>
                <w:szCs w:val="20"/>
              </w:rPr>
              <w:t>Regional Value Content</w:t>
            </w:r>
          </w:p>
          <w:p w14:paraId="256BF572" w14:textId="77777777" w:rsidR="00CB69FF" w:rsidRPr="00D350A2" w:rsidRDefault="00CB69FF" w:rsidP="00CB69FF">
            <w:pPr>
              <w:pStyle w:val="BodyText2"/>
              <w:spacing w:after="40" w:line="240" w:lineRule="auto"/>
              <w:ind w:left="435"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left w:val="nil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B3CAF1" w14:textId="77777777" w:rsidR="00CB69FF" w:rsidRDefault="00CB69FF" w:rsidP="00CB69FF">
            <w:pPr>
              <w:jc w:val="center"/>
              <w:rPr>
                <w:b/>
                <w:bCs/>
                <w:sz w:val="20"/>
                <w:szCs w:val="20"/>
              </w:rPr>
            </w:pPr>
            <w:r w:rsidRPr="0002195B">
              <w:rPr>
                <w:b/>
                <w:bCs/>
                <w:sz w:val="20"/>
                <w:szCs w:val="20"/>
              </w:rPr>
              <w:t>PSR(</w:t>
            </w:r>
            <w:r w:rsidRPr="00D350A2">
              <w:rPr>
                <w:b/>
                <w:bCs/>
                <w:sz w:val="20"/>
                <w:szCs w:val="20"/>
              </w:rPr>
              <w:t>RVC)</w:t>
            </w:r>
          </w:p>
          <w:p w14:paraId="417D3FB1" w14:textId="77777777" w:rsidR="00CB69FF" w:rsidRPr="00D350A2" w:rsidRDefault="00CB69FF" w:rsidP="00CB69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012F5B" w14:textId="77777777" w:rsidR="00CB69FF" w:rsidRPr="00CB69FF" w:rsidRDefault="00CB69FF" w:rsidP="00CB69FF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D350A2">
              <w:rPr>
                <w:b/>
                <w:iCs/>
                <w:sz w:val="20"/>
                <w:szCs w:val="20"/>
              </w:rPr>
              <w:t xml:space="preserve">Understanding: “PSR (RVC)” should be placed in Box 8 if the </w:t>
            </w:r>
            <w:r>
              <w:rPr>
                <w:b/>
                <w:iCs/>
                <w:sz w:val="20"/>
                <w:szCs w:val="20"/>
              </w:rPr>
              <w:t xml:space="preserve">applicable </w:t>
            </w:r>
            <w:r w:rsidRPr="00D350A2">
              <w:rPr>
                <w:b/>
                <w:iCs/>
                <w:sz w:val="20"/>
                <w:szCs w:val="20"/>
              </w:rPr>
              <w:t xml:space="preserve">origin criterion </w:t>
            </w:r>
            <w:r>
              <w:rPr>
                <w:b/>
                <w:iCs/>
                <w:sz w:val="20"/>
                <w:szCs w:val="20"/>
              </w:rPr>
              <w:t xml:space="preserve">in Annex 2 </w:t>
            </w:r>
            <w:r w:rsidRPr="00D350A2">
              <w:rPr>
                <w:b/>
                <w:iCs/>
                <w:sz w:val="20"/>
                <w:szCs w:val="20"/>
              </w:rPr>
              <w:t xml:space="preserve">is </w:t>
            </w:r>
            <w:r>
              <w:rPr>
                <w:b/>
                <w:iCs/>
                <w:sz w:val="20"/>
                <w:szCs w:val="20"/>
              </w:rPr>
              <w:t>an RVC.</w:t>
            </w:r>
            <w:r w:rsidRPr="00D350A2">
              <w:rPr>
                <w:b/>
                <w:iCs/>
                <w:sz w:val="20"/>
                <w:szCs w:val="20"/>
              </w:rPr>
              <w:t xml:space="preserve">  </w:t>
            </w:r>
          </w:p>
        </w:tc>
      </w:tr>
      <w:tr w:rsidR="00CB69FF" w:rsidRPr="00D350A2" w14:paraId="3A298620" w14:textId="77777777" w:rsidTr="00CB69FF">
        <w:trPr>
          <w:trHeight w:val="180"/>
        </w:trPr>
        <w:tc>
          <w:tcPr>
            <w:tcW w:w="6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A2A527" w14:textId="7D6F570A" w:rsidR="00CB69FF" w:rsidRPr="00D350A2" w:rsidRDefault="00CB69FF" w:rsidP="00637739">
            <w:pPr>
              <w:pStyle w:val="BodyText2"/>
              <w:numPr>
                <w:ilvl w:val="0"/>
                <w:numId w:val="3"/>
              </w:numPr>
              <w:spacing w:after="4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350A2">
              <w:rPr>
                <w:rFonts w:ascii="Arial" w:hAnsi="Arial" w:cs="Arial"/>
                <w:sz w:val="20"/>
                <w:szCs w:val="20"/>
              </w:rPr>
              <w:t>Other, including a Specific Manufacturing or Processing Operation or a CTC or RVC requirement combined with an additional requirement</w:t>
            </w:r>
          </w:p>
        </w:tc>
        <w:tc>
          <w:tcPr>
            <w:tcW w:w="6840" w:type="dxa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A6B583" w14:textId="77777777" w:rsidR="00CB69FF" w:rsidRPr="00D350A2" w:rsidRDefault="00CB69FF" w:rsidP="00CB69FF">
            <w:pPr>
              <w:jc w:val="center"/>
              <w:rPr>
                <w:b/>
                <w:bCs/>
                <w:sz w:val="20"/>
                <w:szCs w:val="20"/>
              </w:rPr>
            </w:pPr>
            <w:r w:rsidRPr="00D350A2">
              <w:rPr>
                <w:b/>
                <w:bCs/>
                <w:sz w:val="20"/>
                <w:szCs w:val="20"/>
              </w:rPr>
              <w:t>PSR(Other)</w:t>
            </w:r>
          </w:p>
          <w:p w14:paraId="0D8E559C" w14:textId="77777777" w:rsidR="00CB69FF" w:rsidRPr="00D350A2" w:rsidRDefault="00CB69FF" w:rsidP="00CB69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76EE2E" w14:textId="77777777" w:rsidR="00CB69FF" w:rsidRPr="00D350A2" w:rsidRDefault="00CB69FF" w:rsidP="00CB69FF">
            <w:pPr>
              <w:rPr>
                <w:b/>
                <w:iCs/>
                <w:sz w:val="20"/>
                <w:szCs w:val="20"/>
              </w:rPr>
            </w:pPr>
            <w:r w:rsidRPr="00D350A2">
              <w:rPr>
                <w:b/>
                <w:iCs/>
                <w:sz w:val="20"/>
                <w:szCs w:val="20"/>
              </w:rPr>
              <w:t xml:space="preserve">Understanding: “PSR (Other)” should be placed in Box 8 if the </w:t>
            </w:r>
            <w:r>
              <w:rPr>
                <w:b/>
                <w:iCs/>
                <w:sz w:val="20"/>
                <w:szCs w:val="20"/>
              </w:rPr>
              <w:t xml:space="preserve">applicable </w:t>
            </w:r>
            <w:r w:rsidRPr="00D350A2">
              <w:rPr>
                <w:b/>
                <w:iCs/>
                <w:sz w:val="20"/>
                <w:szCs w:val="20"/>
              </w:rPr>
              <w:t xml:space="preserve">origin criterion </w:t>
            </w:r>
            <w:r>
              <w:rPr>
                <w:b/>
                <w:iCs/>
                <w:sz w:val="20"/>
                <w:szCs w:val="20"/>
              </w:rPr>
              <w:t xml:space="preserve">in Annex 2 </w:t>
            </w:r>
            <w:r w:rsidRPr="00D350A2">
              <w:rPr>
                <w:b/>
                <w:iCs/>
                <w:sz w:val="20"/>
                <w:szCs w:val="20"/>
              </w:rPr>
              <w:t>is either a manufacturing or process rule or a CTC combined with an additional requirement. Below are some of the examples: </w:t>
            </w:r>
          </w:p>
          <w:p w14:paraId="759C3080" w14:textId="77777777" w:rsidR="00CB69FF" w:rsidRPr="00D350A2" w:rsidRDefault="00CB69FF" w:rsidP="00CB69FF">
            <w:pPr>
              <w:rPr>
                <w:b/>
                <w:iCs/>
                <w:sz w:val="20"/>
                <w:szCs w:val="20"/>
              </w:rPr>
            </w:pPr>
          </w:p>
          <w:p w14:paraId="03FD9DE2" w14:textId="77777777" w:rsidR="00CB69FF" w:rsidRPr="00D350A2" w:rsidRDefault="00CB69FF" w:rsidP="00CB69FF">
            <w:pPr>
              <w:numPr>
                <w:ilvl w:val="0"/>
                <w:numId w:val="11"/>
              </w:numPr>
              <w:rPr>
                <w:b/>
                <w:iCs/>
                <w:sz w:val="20"/>
                <w:szCs w:val="20"/>
              </w:rPr>
            </w:pPr>
            <w:r w:rsidRPr="00D350A2">
              <w:rPr>
                <w:b/>
                <w:iCs/>
                <w:sz w:val="20"/>
                <w:szCs w:val="20"/>
              </w:rPr>
              <w:t>RVC 40% + CTSH</w:t>
            </w:r>
            <w:r>
              <w:rPr>
                <w:b/>
                <w:iCs/>
                <w:sz w:val="20"/>
                <w:szCs w:val="20"/>
              </w:rPr>
              <w:t>;</w:t>
            </w:r>
          </w:p>
          <w:p w14:paraId="339E927C" w14:textId="77777777" w:rsidR="00CB69FF" w:rsidRPr="00D350A2" w:rsidRDefault="00CB69FF" w:rsidP="00CB69FF">
            <w:pPr>
              <w:numPr>
                <w:ilvl w:val="0"/>
                <w:numId w:val="11"/>
              </w:numPr>
              <w:rPr>
                <w:b/>
                <w:iCs/>
                <w:sz w:val="20"/>
                <w:szCs w:val="20"/>
              </w:rPr>
            </w:pPr>
            <w:r w:rsidRPr="00D350A2">
              <w:rPr>
                <w:b/>
                <w:iCs/>
                <w:sz w:val="20"/>
                <w:szCs w:val="20"/>
              </w:rPr>
              <w:t>No change in tariff classification is required provided that the good is cooked in the territory of the parties</w:t>
            </w:r>
            <w:r>
              <w:rPr>
                <w:b/>
                <w:iCs/>
                <w:sz w:val="20"/>
                <w:szCs w:val="20"/>
              </w:rPr>
              <w:t>;</w:t>
            </w:r>
          </w:p>
          <w:p w14:paraId="65667F67" w14:textId="77777777" w:rsidR="00CB69FF" w:rsidRPr="00D350A2" w:rsidRDefault="00CB69FF" w:rsidP="00CB69FF">
            <w:pPr>
              <w:numPr>
                <w:ilvl w:val="0"/>
                <w:numId w:val="11"/>
              </w:numPr>
              <w:rPr>
                <w:b/>
                <w:iCs/>
                <w:sz w:val="20"/>
                <w:szCs w:val="20"/>
              </w:rPr>
            </w:pPr>
            <w:r w:rsidRPr="00D350A2">
              <w:rPr>
                <w:b/>
                <w:iCs/>
                <w:sz w:val="20"/>
                <w:szCs w:val="20"/>
              </w:rPr>
              <w:t>No change in tariff classification is required provided that the good is produced by refining</w:t>
            </w:r>
            <w:r>
              <w:rPr>
                <w:b/>
                <w:iCs/>
                <w:sz w:val="20"/>
                <w:szCs w:val="20"/>
              </w:rPr>
              <w:t>;</w:t>
            </w:r>
          </w:p>
          <w:p w14:paraId="283282E3" w14:textId="77777777" w:rsidR="00CB69FF" w:rsidRPr="00D350A2" w:rsidRDefault="00CB69FF" w:rsidP="00CB69FF">
            <w:pPr>
              <w:numPr>
                <w:ilvl w:val="0"/>
                <w:numId w:val="11"/>
              </w:numPr>
              <w:rPr>
                <w:b/>
                <w:iCs/>
                <w:sz w:val="20"/>
                <w:szCs w:val="20"/>
              </w:rPr>
            </w:pPr>
            <w:r w:rsidRPr="00D350A2">
              <w:rPr>
                <w:b/>
                <w:iCs/>
                <w:sz w:val="20"/>
                <w:szCs w:val="20"/>
              </w:rPr>
              <w:t>CTSH, except from 2523.29 through 2523.90</w:t>
            </w:r>
            <w:r>
              <w:rPr>
                <w:b/>
                <w:iCs/>
                <w:sz w:val="20"/>
                <w:szCs w:val="20"/>
              </w:rPr>
              <w:t xml:space="preserve">; </w:t>
            </w:r>
          </w:p>
          <w:p w14:paraId="34D40A98" w14:textId="77777777" w:rsidR="00CB69FF" w:rsidRDefault="00CB69FF" w:rsidP="00CB69FF">
            <w:pPr>
              <w:numPr>
                <w:ilvl w:val="0"/>
                <w:numId w:val="11"/>
              </w:numPr>
              <w:rPr>
                <w:b/>
                <w:iCs/>
                <w:sz w:val="20"/>
                <w:szCs w:val="20"/>
              </w:rPr>
            </w:pPr>
            <w:r w:rsidRPr="00D350A2">
              <w:rPr>
                <w:b/>
                <w:iCs/>
                <w:sz w:val="20"/>
                <w:szCs w:val="20"/>
              </w:rPr>
              <w:t>Origin shall be conferred to a good of this subheading that is derived from production or consumption in a Party</w:t>
            </w:r>
            <w:r>
              <w:rPr>
                <w:b/>
                <w:iCs/>
                <w:sz w:val="20"/>
                <w:szCs w:val="20"/>
              </w:rPr>
              <w:t>;</w:t>
            </w:r>
          </w:p>
          <w:p w14:paraId="45A731AD" w14:textId="77777777" w:rsidR="00CB69FF" w:rsidRPr="00CB69FF" w:rsidRDefault="00CB69FF" w:rsidP="00CB69FF">
            <w:pPr>
              <w:numPr>
                <w:ilvl w:val="0"/>
                <w:numId w:val="11"/>
              </w:numPr>
              <w:rPr>
                <w:b/>
                <w:iCs/>
                <w:sz w:val="20"/>
                <w:szCs w:val="20"/>
              </w:rPr>
            </w:pPr>
            <w:r w:rsidRPr="00CB69FF">
              <w:rPr>
                <w:b/>
                <w:iCs/>
                <w:sz w:val="20"/>
                <w:szCs w:val="20"/>
              </w:rPr>
              <w:t>If the good is a result of a “chemical reaction”.</w:t>
            </w:r>
          </w:p>
        </w:tc>
      </w:tr>
    </w:tbl>
    <w:p w14:paraId="660B5004" w14:textId="77777777" w:rsidR="008B5E8B" w:rsidRPr="00D350A2" w:rsidRDefault="008B5E8B" w:rsidP="00CB69FF">
      <w:pPr>
        <w:tabs>
          <w:tab w:val="left" w:pos="360"/>
        </w:tabs>
        <w:spacing w:before="100" w:beforeAutospacing="1" w:after="40"/>
        <w:ind w:right="-1"/>
        <w:rPr>
          <w:lang w:val="en-GB"/>
        </w:rPr>
      </w:pPr>
    </w:p>
    <w:sectPr w:rsidR="008B5E8B" w:rsidRPr="00D350A2" w:rsidSect="00413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A56A9" w14:textId="77777777" w:rsidR="0017604B" w:rsidRDefault="0017604B" w:rsidP="008253FD">
      <w:r>
        <w:separator/>
      </w:r>
    </w:p>
  </w:endnote>
  <w:endnote w:type="continuationSeparator" w:id="0">
    <w:p w14:paraId="26B79375" w14:textId="77777777" w:rsidR="0017604B" w:rsidRDefault="0017604B" w:rsidP="0082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7C00A" w14:textId="77777777" w:rsidR="00140E09" w:rsidRDefault="009860C0" w:rsidP="00C166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0E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F2E60" w14:textId="77777777" w:rsidR="00140E09" w:rsidRDefault="00140E09" w:rsidP="00F812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80931" w14:textId="77777777" w:rsidR="00140E09" w:rsidRDefault="009860C0" w:rsidP="00C166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0E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057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055F2F" w14:textId="421A06B1" w:rsidR="00140E09" w:rsidRDefault="00D20952" w:rsidP="00F8129E">
    <w:pPr>
      <w:pStyle w:val="Footer"/>
      <w:ind w:right="360"/>
    </w:pPr>
    <w:r>
      <w:t>1 September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9F88D" w14:textId="77777777" w:rsidR="005F0576" w:rsidRDefault="005F05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DB62C" w14:textId="77777777" w:rsidR="0017604B" w:rsidRDefault="0017604B" w:rsidP="008253FD">
      <w:r>
        <w:separator/>
      </w:r>
    </w:p>
  </w:footnote>
  <w:footnote w:type="continuationSeparator" w:id="0">
    <w:p w14:paraId="609A487F" w14:textId="77777777" w:rsidR="0017604B" w:rsidRDefault="0017604B" w:rsidP="00825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42F4E" w14:textId="77777777" w:rsidR="005F0576" w:rsidRDefault="005F05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3D76E" w14:textId="2BAC846A" w:rsidR="00BE52D1" w:rsidRDefault="002B5A1C">
    <w:pPr>
      <w:pStyle w:val="Header"/>
    </w:pPr>
    <w:r>
      <w:t>FINAL</w:t>
    </w:r>
    <w:r w:rsidR="00475BAD">
      <w:tab/>
    </w:r>
    <w:r w:rsidR="00475BAD">
      <w:tab/>
    </w:r>
    <w:r w:rsidR="00475BAD">
      <w:tab/>
    </w:r>
    <w:r w:rsidR="00475BAD">
      <w:tab/>
    </w:r>
    <w:r w:rsidR="00475BAD">
      <w:tab/>
      <w:t>Attachment 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403C4" w14:textId="77777777" w:rsidR="005F0576" w:rsidRDefault="005F05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B182A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803403"/>
    <w:multiLevelType w:val="hybridMultilevel"/>
    <w:tmpl w:val="2750A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5783F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3AD2438D"/>
    <w:multiLevelType w:val="hybridMultilevel"/>
    <w:tmpl w:val="3920048C"/>
    <w:lvl w:ilvl="0" w:tplc="282EC36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F203F"/>
    <w:multiLevelType w:val="hybridMultilevel"/>
    <w:tmpl w:val="5C9AFF54"/>
    <w:lvl w:ilvl="0" w:tplc="4934E470">
      <w:start w:val="1"/>
      <w:numFmt w:val="lowerRoman"/>
      <w:lvlText w:val="(%1)"/>
      <w:lvlJc w:val="left"/>
      <w:pPr>
        <w:tabs>
          <w:tab w:val="num" w:pos="7080"/>
        </w:tabs>
        <w:ind w:left="7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347C35"/>
    <w:multiLevelType w:val="hybridMultilevel"/>
    <w:tmpl w:val="B7165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4247F"/>
    <w:multiLevelType w:val="hybridMultilevel"/>
    <w:tmpl w:val="3920048C"/>
    <w:lvl w:ilvl="0" w:tplc="282EC36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082C88"/>
    <w:multiLevelType w:val="hybridMultilevel"/>
    <w:tmpl w:val="3920048C"/>
    <w:lvl w:ilvl="0" w:tplc="282EC36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FB4774"/>
    <w:multiLevelType w:val="hybridMultilevel"/>
    <w:tmpl w:val="3920048C"/>
    <w:lvl w:ilvl="0" w:tplc="282EC36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B90463"/>
    <w:multiLevelType w:val="hybridMultilevel"/>
    <w:tmpl w:val="AC3021AE"/>
    <w:lvl w:ilvl="0" w:tplc="DDDCD2A6"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12"/>
    <w:rsid w:val="0002195B"/>
    <w:rsid w:val="0004696E"/>
    <w:rsid w:val="00065346"/>
    <w:rsid w:val="0007125C"/>
    <w:rsid w:val="000D1E73"/>
    <w:rsid w:val="001260D5"/>
    <w:rsid w:val="00140E09"/>
    <w:rsid w:val="00161A5F"/>
    <w:rsid w:val="0016554B"/>
    <w:rsid w:val="001674C3"/>
    <w:rsid w:val="0017604B"/>
    <w:rsid w:val="00190C1A"/>
    <w:rsid w:val="001C424F"/>
    <w:rsid w:val="001F10BC"/>
    <w:rsid w:val="002241DD"/>
    <w:rsid w:val="002479B5"/>
    <w:rsid w:val="00273184"/>
    <w:rsid w:val="00292298"/>
    <w:rsid w:val="002A7FD6"/>
    <w:rsid w:val="002B5A1C"/>
    <w:rsid w:val="002D236A"/>
    <w:rsid w:val="0034175B"/>
    <w:rsid w:val="003753D2"/>
    <w:rsid w:val="003C296B"/>
    <w:rsid w:val="003F03D3"/>
    <w:rsid w:val="003F40C3"/>
    <w:rsid w:val="00413012"/>
    <w:rsid w:val="00435951"/>
    <w:rsid w:val="004654A0"/>
    <w:rsid w:val="00475BAD"/>
    <w:rsid w:val="0048077D"/>
    <w:rsid w:val="0049352C"/>
    <w:rsid w:val="0052481A"/>
    <w:rsid w:val="0054279E"/>
    <w:rsid w:val="00560387"/>
    <w:rsid w:val="00586591"/>
    <w:rsid w:val="005A128B"/>
    <w:rsid w:val="005F0576"/>
    <w:rsid w:val="00605DB4"/>
    <w:rsid w:val="006240DB"/>
    <w:rsid w:val="00637739"/>
    <w:rsid w:val="00640057"/>
    <w:rsid w:val="0068714A"/>
    <w:rsid w:val="006B2D19"/>
    <w:rsid w:val="006F2CEA"/>
    <w:rsid w:val="006F4BD3"/>
    <w:rsid w:val="006F5D7B"/>
    <w:rsid w:val="0070767E"/>
    <w:rsid w:val="007355D4"/>
    <w:rsid w:val="00757A0D"/>
    <w:rsid w:val="0078290B"/>
    <w:rsid w:val="00783594"/>
    <w:rsid w:val="007B38E2"/>
    <w:rsid w:val="007D6F47"/>
    <w:rsid w:val="00800559"/>
    <w:rsid w:val="008253FD"/>
    <w:rsid w:val="00843E61"/>
    <w:rsid w:val="008B5780"/>
    <w:rsid w:val="008B5E8B"/>
    <w:rsid w:val="008C001D"/>
    <w:rsid w:val="008D1992"/>
    <w:rsid w:val="00906BEC"/>
    <w:rsid w:val="00936AD2"/>
    <w:rsid w:val="00943E4D"/>
    <w:rsid w:val="00951865"/>
    <w:rsid w:val="009611F8"/>
    <w:rsid w:val="00974DC8"/>
    <w:rsid w:val="009860C0"/>
    <w:rsid w:val="009C28F9"/>
    <w:rsid w:val="009E52A1"/>
    <w:rsid w:val="00A15B77"/>
    <w:rsid w:val="00A3538D"/>
    <w:rsid w:val="00A421E1"/>
    <w:rsid w:val="00A510A7"/>
    <w:rsid w:val="00A75ACB"/>
    <w:rsid w:val="00B31114"/>
    <w:rsid w:val="00B5226F"/>
    <w:rsid w:val="00B57915"/>
    <w:rsid w:val="00B879F9"/>
    <w:rsid w:val="00BA45F7"/>
    <w:rsid w:val="00BC0958"/>
    <w:rsid w:val="00BC6197"/>
    <w:rsid w:val="00BD6681"/>
    <w:rsid w:val="00BE52D1"/>
    <w:rsid w:val="00C166C2"/>
    <w:rsid w:val="00C206DA"/>
    <w:rsid w:val="00C21643"/>
    <w:rsid w:val="00C309AC"/>
    <w:rsid w:val="00C37F53"/>
    <w:rsid w:val="00CA17D2"/>
    <w:rsid w:val="00CB69FF"/>
    <w:rsid w:val="00CB6E7B"/>
    <w:rsid w:val="00D03373"/>
    <w:rsid w:val="00D05BBF"/>
    <w:rsid w:val="00D20952"/>
    <w:rsid w:val="00D34C90"/>
    <w:rsid w:val="00D350A2"/>
    <w:rsid w:val="00D42A26"/>
    <w:rsid w:val="00D9571B"/>
    <w:rsid w:val="00D96A67"/>
    <w:rsid w:val="00DA2A89"/>
    <w:rsid w:val="00DC2074"/>
    <w:rsid w:val="00E10216"/>
    <w:rsid w:val="00E63489"/>
    <w:rsid w:val="00E708F7"/>
    <w:rsid w:val="00E96653"/>
    <w:rsid w:val="00ED368C"/>
    <w:rsid w:val="00EE1B70"/>
    <w:rsid w:val="00F062DB"/>
    <w:rsid w:val="00F642CB"/>
    <w:rsid w:val="00F8129E"/>
    <w:rsid w:val="00F8148E"/>
    <w:rsid w:val="00F910F0"/>
    <w:rsid w:val="00FC0729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5ED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012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413012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 w:cs="Angsana New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13012"/>
    <w:pPr>
      <w:spacing w:after="120" w:line="480" w:lineRule="auto"/>
    </w:pPr>
    <w:rPr>
      <w:rFonts w:ascii="Times New Roman" w:hAnsi="Times New Roman" w:cs="Angsana New"/>
      <w:sz w:val="24"/>
      <w:szCs w:val="24"/>
      <w:lang w:val="en-AU"/>
    </w:rPr>
  </w:style>
  <w:style w:type="paragraph" w:styleId="Footer">
    <w:name w:val="footer"/>
    <w:basedOn w:val="Normal"/>
    <w:rsid w:val="00F812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129E"/>
  </w:style>
  <w:style w:type="paragraph" w:styleId="BalloonText">
    <w:name w:val="Balloon Text"/>
    <w:basedOn w:val="Normal"/>
    <w:semiHidden/>
    <w:rsid w:val="00637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E52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E52D1"/>
    <w:rPr>
      <w:rFonts w:ascii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012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413012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 w:cs="Angsana New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13012"/>
    <w:pPr>
      <w:spacing w:after="120" w:line="480" w:lineRule="auto"/>
    </w:pPr>
    <w:rPr>
      <w:rFonts w:ascii="Times New Roman" w:hAnsi="Times New Roman" w:cs="Angsana New"/>
      <w:sz w:val="24"/>
      <w:szCs w:val="24"/>
      <w:lang w:val="en-AU"/>
    </w:rPr>
  </w:style>
  <w:style w:type="paragraph" w:styleId="Footer">
    <w:name w:val="footer"/>
    <w:basedOn w:val="Normal"/>
    <w:rsid w:val="00F812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129E"/>
  </w:style>
  <w:style w:type="paragraph" w:styleId="BalloonText">
    <w:name w:val="Balloon Text"/>
    <w:basedOn w:val="Normal"/>
    <w:semiHidden/>
    <w:rsid w:val="00637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E52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E52D1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94B2D1509EA4395A3F9B19C41D946" ma:contentTypeVersion="1" ma:contentTypeDescription="Create a new document." ma:contentTypeScope="" ma:versionID="43918449781fef3f8dcf6db0eb8c8a2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ea438d7a8707572f1d0a53dd47cdfa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3078BB-411B-4A97-AAE4-A1B0174487A8}"/>
</file>

<file path=customXml/itemProps2.xml><?xml version="1.0" encoding="utf-8"?>
<ds:datastoreItem xmlns:ds="http://schemas.openxmlformats.org/officeDocument/2006/customXml" ds:itemID="{2F50BB6B-75C0-4729-85FC-7791F06B7869}"/>
</file>

<file path=customXml/itemProps3.xml><?xml version="1.0" encoding="utf-8"?>
<ds:datastoreItem xmlns:ds="http://schemas.openxmlformats.org/officeDocument/2006/customXml" ds:itemID="{75AA3B2D-6FFB-403A-B810-8302370A7F3A}"/>
</file>

<file path=docProps/app.xml><?xml version="1.0" encoding="utf-8"?>
<Properties xmlns="http://schemas.openxmlformats.org/officeDocument/2006/extended-properties" xmlns:vt="http://schemas.openxmlformats.org/officeDocument/2006/docPropsVTypes">
  <Template>14597B42.dotm</Template>
  <TotalTime>0</TotalTime>
  <Pages>5</Pages>
  <Words>1260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2015-09-30T23:11:00Z</dcterms:created>
  <dcterms:modified xsi:type="dcterms:W3CDTF">2015-09-30T23:11:00Z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0x0101007EC94B2D1509EA4395A3F9B19C41D946</vt:lpwstr>
  </property>
  <property fmtid="{D5CDD505-2E9C-101B-9397-08002B2CF9AE}" pid="3" name="Order">
    <vt:r8>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