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01629164" wp14:editId="3D704D38">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113D0C"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Tuvalu</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AC6F49" w:rsidRDefault="00AC6F49">
      <w:pPr>
        <w:spacing w:after="200" w:line="276" w:lineRule="auto"/>
        <w:rPr>
          <w:lang w:val="en-US" w:eastAsia="en-US"/>
        </w:rPr>
      </w:pPr>
      <w:r>
        <w:rPr>
          <w:lang w:val="en-US" w:eastAsia="en-US"/>
        </w:rPr>
        <w:br w:type="page"/>
      </w:r>
    </w:p>
    <w:p w:rsidR="005B42EE" w:rsidRPr="00CD061B" w:rsidRDefault="005B42EE" w:rsidP="00CD061B">
      <w:pPr>
        <w:rPr>
          <w:lang w:val="en-US" w:eastAsia="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3528C8">
      <w:pPr>
        <w:pStyle w:val="Heading2"/>
        <w:jc w:val="both"/>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FB53FC" w:rsidRPr="00AE7C99" w:rsidRDefault="005F2116" w:rsidP="003528C8">
      <w:pPr>
        <w:pStyle w:val="ListBullet"/>
        <w:tabs>
          <w:tab w:val="clear" w:pos="284"/>
        </w:tabs>
        <w:jc w:val="both"/>
      </w:pPr>
      <w:r w:rsidRPr="00AE7C99">
        <w:t>Overall, Australia’s</w:t>
      </w:r>
      <w:r w:rsidR="00EF433A" w:rsidRPr="00AE7C99">
        <w:t xml:space="preserve"> aid program </w:t>
      </w:r>
      <w:r w:rsidR="00957673" w:rsidRPr="00AE7C99">
        <w:t xml:space="preserve">to Tuvalu </w:t>
      </w:r>
      <w:r w:rsidR="00EF433A" w:rsidRPr="00AE7C99">
        <w:t xml:space="preserve">made good progress </w:t>
      </w:r>
      <w:r w:rsidR="00356497" w:rsidRPr="00AE7C99">
        <w:t xml:space="preserve">towards achieving </w:t>
      </w:r>
      <w:r w:rsidR="00957673" w:rsidRPr="00AE7C99">
        <w:t>its objectives</w:t>
      </w:r>
      <w:r w:rsidR="00356497" w:rsidRPr="00AE7C99">
        <w:t xml:space="preserve"> i</w:t>
      </w:r>
      <w:r w:rsidR="00EF433A" w:rsidRPr="00AE7C99">
        <w:t>n 2013-14</w:t>
      </w:r>
      <w:r w:rsidR="00957673" w:rsidRPr="00AE7C99">
        <w:t>, as set out in the Australia-Tuvalu Partnership for Development</w:t>
      </w:r>
      <w:r w:rsidR="00EF433A" w:rsidRPr="00AE7C99">
        <w:t xml:space="preserve">. </w:t>
      </w:r>
      <w:r w:rsidR="00356497" w:rsidRPr="00AE7C99">
        <w:t xml:space="preserve">The most successful components of </w:t>
      </w:r>
      <w:r w:rsidR="008509A3" w:rsidRPr="00AE7C99">
        <w:t xml:space="preserve">Australia’s </w:t>
      </w:r>
      <w:r w:rsidR="00356497" w:rsidRPr="00AE7C99">
        <w:t xml:space="preserve">aid program to Tuvalu have been in governance and </w:t>
      </w:r>
      <w:r w:rsidR="008509A3" w:rsidRPr="00AE7C99">
        <w:t>economic reform</w:t>
      </w:r>
      <w:r w:rsidR="00356497" w:rsidRPr="00AE7C99">
        <w:t>, basic education</w:t>
      </w:r>
      <w:r w:rsidR="0074560D" w:rsidRPr="00AE7C99">
        <w:t xml:space="preserve"> and training </w:t>
      </w:r>
      <w:r w:rsidR="00957673" w:rsidRPr="00AE7C99">
        <w:t>through scholarships</w:t>
      </w:r>
      <w:r w:rsidR="00356497" w:rsidRPr="00AE7C99">
        <w:t>. The environment and climate change adaptation program, implemented by the United Nations Development Programme, has made the slowest progress. Australia’s support for this program will end in August 2014.</w:t>
      </w:r>
    </w:p>
    <w:p w:rsidR="00957673" w:rsidRPr="00AE7C99" w:rsidRDefault="00957673" w:rsidP="003528C8">
      <w:pPr>
        <w:pStyle w:val="ListBullet"/>
        <w:tabs>
          <w:tab w:val="clear" w:pos="284"/>
        </w:tabs>
        <w:jc w:val="both"/>
      </w:pPr>
      <w:r w:rsidRPr="00AE7C99">
        <w:t>With Australia’s assistance, the Government of Tuvalu has undertaken a number of important reforms that will strengthen governance, accountability and financial management. These include improvements in budget planning, auditing, tax collection and procurement systems.</w:t>
      </w:r>
    </w:p>
    <w:p w:rsidR="00957673" w:rsidRPr="00AE7C99" w:rsidRDefault="00957673" w:rsidP="003528C8">
      <w:pPr>
        <w:pStyle w:val="ListBullet"/>
        <w:tabs>
          <w:tab w:val="clear" w:pos="284"/>
        </w:tabs>
        <w:jc w:val="both"/>
      </w:pPr>
      <w:r w:rsidRPr="00AE7C99">
        <w:t xml:space="preserve">Australia continued to contribute financially and technically to the Tuvalu Trust Fund, which made a distribution of $6.9 million to the Government of Tuvalu in </w:t>
      </w:r>
      <w:r w:rsidR="003528C8">
        <w:t>early 2014</w:t>
      </w:r>
      <w:r w:rsidRPr="00AE7C99">
        <w:t xml:space="preserve">. </w:t>
      </w:r>
    </w:p>
    <w:p w:rsidR="00957673" w:rsidRPr="00AE7C99" w:rsidRDefault="00957673" w:rsidP="003528C8">
      <w:pPr>
        <w:pStyle w:val="ListBullet"/>
        <w:tabs>
          <w:tab w:val="clear" w:pos="284"/>
        </w:tabs>
        <w:jc w:val="both"/>
      </w:pPr>
      <w:r w:rsidRPr="00AE7C99">
        <w:t>Australia provided 24 university scholarships to Tuvaluans in 2013</w:t>
      </w:r>
      <w:r w:rsidR="00D01DC4" w:rsidRPr="00AE7C99">
        <w:t xml:space="preserve"> and saw 16 </w:t>
      </w:r>
      <w:r w:rsidR="00047CC9" w:rsidRPr="00AE7C99">
        <w:t>graduates</w:t>
      </w:r>
      <w:r w:rsidR="00D01DC4" w:rsidRPr="00AE7C99">
        <w:t xml:space="preserve"> from a range of disciplines. Australia also supported 88 Tuvaluans to enrol at the Australia Pacific Technical College (APTC) to receive vocational training and 70 Tuvaluans graduated from the APTC in 2013.</w:t>
      </w:r>
    </w:p>
    <w:p w:rsidR="005F2116" w:rsidRPr="00AE7C99" w:rsidRDefault="008400A0" w:rsidP="003528C8">
      <w:pPr>
        <w:pStyle w:val="ListBullet"/>
        <w:tabs>
          <w:tab w:val="clear" w:pos="284"/>
        </w:tabs>
        <w:jc w:val="both"/>
      </w:pPr>
      <w:r>
        <w:t xml:space="preserve">The gender impacts of the program are patchy. Some programs </w:t>
      </w:r>
      <w:r w:rsidR="0086598B" w:rsidRPr="00AE7C99">
        <w:t>have sex</w:t>
      </w:r>
      <w:r w:rsidR="00AF7288" w:rsidRPr="00AE7C99">
        <w:t xml:space="preserve"> disaggregated data</w:t>
      </w:r>
      <w:r w:rsidR="00802EF5" w:rsidRPr="00AE7C99">
        <w:t xml:space="preserve"> </w:t>
      </w:r>
      <w:r w:rsidR="00421A59" w:rsidRPr="00AE7C99">
        <w:t>showing improved outcomes for girls and women.</w:t>
      </w:r>
      <w:r w:rsidR="00356497" w:rsidRPr="00AE7C99">
        <w:t xml:space="preserve"> However, </w:t>
      </w:r>
      <w:r w:rsidR="0006375D" w:rsidRPr="00AE7C99">
        <w:t>other</w:t>
      </w:r>
      <w:r w:rsidR="002D17E7" w:rsidRPr="00AE7C99">
        <w:t xml:space="preserve"> </w:t>
      </w:r>
      <w:r w:rsidR="00802EF5" w:rsidRPr="00AE7C99">
        <w:t xml:space="preserve">programs in Tuvalu have </w:t>
      </w:r>
      <w:r w:rsidR="00356497" w:rsidRPr="00AE7C99">
        <w:t>limited information on impacts on women and men</w:t>
      </w:r>
      <w:r w:rsidR="0086598B" w:rsidRPr="00AE7C99">
        <w:t>, girls</w:t>
      </w:r>
      <w:r w:rsidR="00356497" w:rsidRPr="00AE7C99">
        <w:t xml:space="preserve"> and boys</w:t>
      </w:r>
      <w:r w:rsidR="00802EF5" w:rsidRPr="00AE7C99">
        <w:t xml:space="preserve">. </w:t>
      </w:r>
      <w:r w:rsidR="00356497" w:rsidRPr="00AE7C99">
        <w:t xml:space="preserve">DFAT is developing a gender </w:t>
      </w:r>
      <w:r w:rsidR="00416EF8">
        <w:t xml:space="preserve">country plan for Tuvalu under the broader DFAT Gender Initiative, Pacific Women Shaping Pacific Development, </w:t>
      </w:r>
      <w:r w:rsidR="0006375D" w:rsidRPr="00AE7C99">
        <w:t>to articulate gender equality targets</w:t>
      </w:r>
      <w:r w:rsidR="00822A95">
        <w:t xml:space="preserve"> for the aid program</w:t>
      </w:r>
      <w:r w:rsidR="00356497" w:rsidRPr="00AE7C99">
        <w:t xml:space="preserve">. </w:t>
      </w:r>
    </w:p>
    <w:p w:rsidR="000D733F" w:rsidRPr="00B43B60" w:rsidRDefault="000D733F" w:rsidP="003528C8">
      <w:pPr>
        <w:pStyle w:val="Heading2"/>
        <w:jc w:val="both"/>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467000" w:rsidRPr="00AE7C99" w:rsidRDefault="00467000" w:rsidP="003528C8">
      <w:pPr>
        <w:pStyle w:val="ListBullet"/>
        <w:numPr>
          <w:ilvl w:val="0"/>
          <w:numId w:val="0"/>
        </w:numPr>
        <w:jc w:val="both"/>
      </w:pPr>
      <w:r w:rsidRPr="00AE7C99">
        <w:t xml:space="preserve">In August 2013, after a period of political instability, a new Government of Tuvalu was sworn in. This </w:t>
      </w:r>
      <w:r w:rsidR="00802EF5" w:rsidRPr="00AE7C99">
        <w:t xml:space="preserve">new </w:t>
      </w:r>
      <w:r w:rsidRPr="00AE7C99">
        <w:t>Government</w:t>
      </w:r>
      <w:r w:rsidR="00802EF5" w:rsidRPr="00AE7C99">
        <w:t>,</w:t>
      </w:r>
      <w:r w:rsidRPr="00AE7C99">
        <w:t xml:space="preserve"> led by Prime Minister Enele Sopoaga</w:t>
      </w:r>
      <w:r w:rsidR="00802EF5" w:rsidRPr="00AE7C99">
        <w:t>,</w:t>
      </w:r>
      <w:r w:rsidRPr="00AE7C99">
        <w:t xml:space="preserve"> h</w:t>
      </w:r>
      <w:r w:rsidR="00802EF5" w:rsidRPr="00AE7C99">
        <w:t xml:space="preserve">as </w:t>
      </w:r>
      <w:r w:rsidR="007204EA" w:rsidRPr="00AE7C99">
        <w:t xml:space="preserve">developed and </w:t>
      </w:r>
      <w:r w:rsidR="00802EF5" w:rsidRPr="00AE7C99">
        <w:t>pursued a</w:t>
      </w:r>
      <w:r w:rsidR="007204EA" w:rsidRPr="00AE7C99">
        <w:t xml:space="preserve"> </w:t>
      </w:r>
      <w:r w:rsidR="007F56A2" w:rsidRPr="00AE7C99">
        <w:t xml:space="preserve">relatively </w:t>
      </w:r>
      <w:r w:rsidR="007204EA" w:rsidRPr="00AE7C99">
        <w:t xml:space="preserve">ambitious </w:t>
      </w:r>
      <w:r w:rsidR="00802EF5" w:rsidRPr="00AE7C99">
        <w:t>roadmap of reforms</w:t>
      </w:r>
      <w:r w:rsidRPr="00AE7C99">
        <w:t xml:space="preserve">. The next </w:t>
      </w:r>
      <w:r w:rsidR="00722B27" w:rsidRPr="00AE7C99">
        <w:t xml:space="preserve">Tuvalu </w:t>
      </w:r>
      <w:r w:rsidRPr="00AE7C99">
        <w:t>election is expected in early 2015.</w:t>
      </w:r>
    </w:p>
    <w:p w:rsidR="00F0095A" w:rsidRPr="00AE7C99" w:rsidRDefault="00F0095A" w:rsidP="003528C8">
      <w:pPr>
        <w:pStyle w:val="ListBullet"/>
        <w:numPr>
          <w:ilvl w:val="0"/>
          <w:numId w:val="0"/>
        </w:numPr>
        <w:jc w:val="both"/>
      </w:pPr>
      <w:r w:rsidRPr="00AE7C99">
        <w:t>Tuvalu has limited economic development opportunities and is highly dependent on development assistance. Its population of approximately 11</w:t>
      </w:r>
      <w:r w:rsidR="007204EA" w:rsidRPr="00AE7C99">
        <w:t>,</w:t>
      </w:r>
      <w:r w:rsidRPr="00AE7C99">
        <w:t xml:space="preserve">000 people is spread across nine islands. Tuvalu’s </w:t>
      </w:r>
      <w:r w:rsidR="00356497" w:rsidRPr="00AE7C99">
        <w:t xml:space="preserve">prospects for economic growth are limited by its </w:t>
      </w:r>
      <w:r w:rsidRPr="00AE7C99">
        <w:t xml:space="preserve">remoteness, small and dispersed population and lack of </w:t>
      </w:r>
      <w:r w:rsidR="008F3F7D" w:rsidRPr="00AE7C99">
        <w:t xml:space="preserve">natural </w:t>
      </w:r>
      <w:r w:rsidRPr="00AE7C99">
        <w:t xml:space="preserve">resources. The country is </w:t>
      </w:r>
      <w:r w:rsidR="00AA2E99" w:rsidRPr="00AE7C99">
        <w:t xml:space="preserve">particularly </w:t>
      </w:r>
      <w:r w:rsidRPr="00AE7C99">
        <w:t xml:space="preserve">vulnerable to </w:t>
      </w:r>
      <w:r w:rsidR="00AA2E99" w:rsidRPr="00AE7C99">
        <w:t xml:space="preserve">the impacts of </w:t>
      </w:r>
      <w:r w:rsidRPr="00AE7C99">
        <w:t xml:space="preserve">shocks, </w:t>
      </w:r>
      <w:r w:rsidR="00AA2E99" w:rsidRPr="00AE7C99">
        <w:t xml:space="preserve">whether </w:t>
      </w:r>
      <w:r w:rsidRPr="00AE7C99">
        <w:t xml:space="preserve">economic </w:t>
      </w:r>
      <w:r w:rsidR="00AA2E99" w:rsidRPr="00AE7C99">
        <w:t>or</w:t>
      </w:r>
      <w:r w:rsidRPr="00AE7C99">
        <w:t xml:space="preserve"> environmental. Tuvalu is expected to suffer from the impacts of climate change more than most other countries.</w:t>
      </w:r>
      <w:r w:rsidRPr="00AE7C99">
        <w:rPr>
          <w:vertAlign w:val="superscript"/>
        </w:rPr>
        <w:footnoteReference w:id="1"/>
      </w:r>
      <w:r w:rsidR="00674CB8" w:rsidRPr="00AE7C99">
        <w:rPr>
          <w:vertAlign w:val="superscript"/>
        </w:rPr>
        <w:t xml:space="preserve"> </w:t>
      </w:r>
    </w:p>
    <w:p w:rsidR="009111EE" w:rsidRPr="00AE7C99" w:rsidRDefault="00F0095A" w:rsidP="003528C8">
      <w:pPr>
        <w:pStyle w:val="ListBullet"/>
        <w:numPr>
          <w:ilvl w:val="0"/>
          <w:numId w:val="0"/>
        </w:numPr>
        <w:jc w:val="both"/>
      </w:pPr>
      <w:r w:rsidRPr="00AE7C99">
        <w:t xml:space="preserve">Tuvalu has limited options to generate revenue, with fishing licenses, aid and the leasing of Tuvalu’s ‘dot TV’ internet domain name its </w:t>
      </w:r>
      <w:r w:rsidR="005D2A2F" w:rsidRPr="00AE7C99">
        <w:t>main</w:t>
      </w:r>
      <w:r w:rsidRPr="00AE7C99">
        <w:t xml:space="preserve"> sources of income.</w:t>
      </w:r>
      <w:r w:rsidRPr="00AE7C99">
        <w:rPr>
          <w:rStyle w:val="FootnoteReference"/>
        </w:rPr>
        <w:footnoteReference w:id="2"/>
      </w:r>
      <w:r w:rsidRPr="00AE7C99">
        <w:t xml:space="preserve"> The country’s isolation and small population means it cannot take advantage of economies of scale. This makes the cost of doing business high. Tuvaluans rely on the public sector as their principal source of employment. </w:t>
      </w:r>
      <w:r w:rsidR="00AE5973" w:rsidRPr="00AE7C99">
        <w:t>T</w:t>
      </w:r>
      <w:r w:rsidRPr="00AE7C99">
        <w:t xml:space="preserve">he private sector </w:t>
      </w:r>
      <w:r w:rsidR="00AE5973" w:rsidRPr="00AE7C99">
        <w:t>is small and offers</w:t>
      </w:r>
      <w:r w:rsidRPr="00AE7C99">
        <w:t xml:space="preserve"> limited</w:t>
      </w:r>
      <w:r w:rsidR="00AE5973" w:rsidRPr="00AE7C99">
        <w:t xml:space="preserve"> employment opportunities</w:t>
      </w:r>
      <w:r w:rsidRPr="00AE7C99">
        <w:t xml:space="preserve">. </w:t>
      </w:r>
      <w:r w:rsidR="009111EE" w:rsidRPr="00AE7C99">
        <w:rPr>
          <w:rFonts w:eastAsiaTheme="minorHAnsi"/>
        </w:rPr>
        <w:t>As domestic employment opportunities are limited</w:t>
      </w:r>
      <w:r w:rsidR="009111EE" w:rsidRPr="00AE7C99">
        <w:rPr>
          <w:rStyle w:val="FootnoteReference"/>
          <w:rFonts w:eastAsiaTheme="minorHAnsi"/>
        </w:rPr>
        <w:footnoteReference w:id="3"/>
      </w:r>
      <w:r w:rsidR="009111EE" w:rsidRPr="00AE7C99">
        <w:rPr>
          <w:rFonts w:eastAsiaTheme="minorHAnsi"/>
        </w:rPr>
        <w:t>, it is important that Tuvalu exploit</w:t>
      </w:r>
      <w:r w:rsidR="007204EA" w:rsidRPr="00AE7C99">
        <w:rPr>
          <w:rFonts w:eastAsiaTheme="minorHAnsi"/>
        </w:rPr>
        <w:t>s</w:t>
      </w:r>
      <w:r w:rsidR="009111EE" w:rsidRPr="00AE7C99">
        <w:rPr>
          <w:rFonts w:eastAsiaTheme="minorHAnsi"/>
        </w:rPr>
        <w:t xml:space="preserve"> all avenues </w:t>
      </w:r>
      <w:r w:rsidR="009111EE" w:rsidRPr="00AE7C99">
        <w:rPr>
          <w:rFonts w:eastAsiaTheme="minorHAnsi"/>
        </w:rPr>
        <w:lastRenderedPageBreak/>
        <w:t xml:space="preserve">to access the international labour market. Since the Seasonal Worker Program was expanded to include Tuvalu in mid-2012, </w:t>
      </w:r>
      <w:r w:rsidR="00AE5973" w:rsidRPr="00AE7C99">
        <w:rPr>
          <w:rFonts w:eastAsiaTheme="minorHAnsi"/>
        </w:rPr>
        <w:t xml:space="preserve">20 </w:t>
      </w:r>
      <w:r w:rsidR="009111EE" w:rsidRPr="00AE7C99">
        <w:rPr>
          <w:rFonts w:eastAsiaTheme="minorHAnsi"/>
        </w:rPr>
        <w:t xml:space="preserve">Tuvaluan workers have begun work in the Australian horticulture industry, including </w:t>
      </w:r>
      <w:r w:rsidR="0074560D" w:rsidRPr="00AE7C99">
        <w:rPr>
          <w:rFonts w:eastAsiaTheme="minorHAnsi"/>
        </w:rPr>
        <w:t>10</w:t>
      </w:r>
      <w:r w:rsidR="009111EE" w:rsidRPr="00AE7C99">
        <w:rPr>
          <w:rFonts w:eastAsiaTheme="minorHAnsi"/>
        </w:rPr>
        <w:t xml:space="preserve"> women and </w:t>
      </w:r>
      <w:r w:rsidR="0074560D" w:rsidRPr="00AE7C99">
        <w:rPr>
          <w:rFonts w:eastAsiaTheme="minorHAnsi"/>
        </w:rPr>
        <w:t xml:space="preserve">10 </w:t>
      </w:r>
      <w:r w:rsidR="009111EE" w:rsidRPr="00AE7C99">
        <w:rPr>
          <w:rFonts w:eastAsiaTheme="minorHAnsi"/>
        </w:rPr>
        <w:t xml:space="preserve">men. </w:t>
      </w:r>
    </w:p>
    <w:p w:rsidR="00674CB8" w:rsidRPr="00AE7C99" w:rsidRDefault="00674CB8" w:rsidP="003528C8">
      <w:pPr>
        <w:pStyle w:val="ListBullet"/>
        <w:numPr>
          <w:ilvl w:val="0"/>
          <w:numId w:val="0"/>
        </w:numPr>
        <w:jc w:val="both"/>
      </w:pPr>
      <w:r w:rsidRPr="00AE7C99">
        <w:t>Aid is equivalent in size to 50 per cent of Tuvalu’s GDP</w:t>
      </w:r>
      <w:r w:rsidRPr="00AE7C99">
        <w:rPr>
          <w:rStyle w:val="FootnoteReference"/>
          <w:szCs w:val="22"/>
        </w:rPr>
        <w:footnoteReference w:id="4"/>
      </w:r>
      <w:r w:rsidRPr="00AE7C99">
        <w:rPr>
          <w:sz w:val="16"/>
        </w:rPr>
        <w:t xml:space="preserve">.  </w:t>
      </w:r>
      <w:r w:rsidRPr="00AE7C99">
        <w:t>Australian aid to Tuvalu was $13 million in 2012–13 and $10.1m in 2013</w:t>
      </w:r>
      <w:r w:rsidR="00802EF5" w:rsidRPr="00AE7C99">
        <w:t>-</w:t>
      </w:r>
      <w:r w:rsidRPr="00AE7C99">
        <w:t>14, making Australia Tuvalu</w:t>
      </w:r>
      <w:r w:rsidR="00802EF5" w:rsidRPr="00AE7C99">
        <w:t>’s largest donor</w:t>
      </w:r>
      <w:r w:rsidRPr="00AE7C99">
        <w:t>, followed by New Zealand,</w:t>
      </w:r>
      <w:r w:rsidR="00C12D72" w:rsidRPr="00AE7C99">
        <w:t xml:space="preserve"> Taiwan,</w:t>
      </w:r>
      <w:r w:rsidRPr="00AE7C99">
        <w:t xml:space="preserve"> Japan and the EU</w:t>
      </w:r>
      <w:r w:rsidRPr="00AE7C99">
        <w:rPr>
          <w:rStyle w:val="FootnoteReference"/>
        </w:rPr>
        <w:footnoteReference w:id="5"/>
      </w:r>
      <w:r w:rsidRPr="00AE7C99">
        <w:t xml:space="preserve">. </w:t>
      </w:r>
    </w:p>
    <w:p w:rsidR="000E1CBA" w:rsidRPr="00AE7C99" w:rsidRDefault="00F0095A" w:rsidP="003528C8">
      <w:pPr>
        <w:pStyle w:val="ListBullet"/>
        <w:numPr>
          <w:ilvl w:val="0"/>
          <w:numId w:val="0"/>
        </w:numPr>
        <w:jc w:val="both"/>
      </w:pPr>
      <w:r w:rsidRPr="00AE7C99">
        <w:t xml:space="preserve">Tuvalu </w:t>
      </w:r>
      <w:r w:rsidR="007F29D1" w:rsidRPr="00AE7C99">
        <w:t xml:space="preserve">is largely on track to achieving </w:t>
      </w:r>
      <w:r w:rsidRPr="00AE7C99">
        <w:t xml:space="preserve">the Millennium Development Goals (MDGs). The </w:t>
      </w:r>
      <w:r w:rsidRPr="00AE7C99">
        <w:rPr>
          <w:i/>
        </w:rPr>
        <w:t>201</w:t>
      </w:r>
      <w:r w:rsidR="00845D49" w:rsidRPr="00AE7C99">
        <w:rPr>
          <w:i/>
        </w:rPr>
        <w:t>4</w:t>
      </w:r>
      <w:r w:rsidRPr="00AE7C99">
        <w:rPr>
          <w:i/>
        </w:rPr>
        <w:t xml:space="preserve"> Pacific Regional MDG Tracking Report</w:t>
      </w:r>
      <w:r w:rsidRPr="00AE7C99">
        <w:rPr>
          <w:rStyle w:val="FootnoteReference"/>
        </w:rPr>
        <w:footnoteReference w:id="6"/>
      </w:r>
      <w:r w:rsidRPr="00AE7C99">
        <w:t xml:space="preserve"> indicates that Tuvalu is </w:t>
      </w:r>
      <w:r w:rsidR="007F29D1" w:rsidRPr="00AE7C99">
        <w:t xml:space="preserve">only </w:t>
      </w:r>
      <w:r w:rsidRPr="00AE7C99">
        <w:t>off-track on MDG 1 (poverty and hunger). The country is on track to achieve MDG 4 (reducing child mortality) and MDG 5 (improving maternal health).</w:t>
      </w:r>
      <w:r w:rsidRPr="00AE7C99">
        <w:rPr>
          <w:rStyle w:val="FootnoteReference"/>
        </w:rPr>
        <w:footnoteReference w:id="7"/>
      </w:r>
      <w:r w:rsidRPr="00AE7C99">
        <w:t xml:space="preserve"> </w:t>
      </w:r>
      <w:r w:rsidR="00822A95">
        <w:t>Tuvalu</w:t>
      </w:r>
      <w:r w:rsidRPr="00AE7C99">
        <w:t xml:space="preserve"> is also on track to meet MDG 2 (universal primary education), although the quality of education remains a major challenge. T</w:t>
      </w:r>
      <w:r w:rsidR="00802EF5" w:rsidRPr="00AE7C99">
        <w:t>uvalu</w:t>
      </w:r>
      <w:r w:rsidRPr="00AE7C99">
        <w:t xml:space="preserve"> has </w:t>
      </w:r>
      <w:r w:rsidR="007F29D1" w:rsidRPr="00AE7C99">
        <w:t>recorded</w:t>
      </w:r>
      <w:r w:rsidR="008F3F7D" w:rsidRPr="00AE7C99">
        <w:t xml:space="preserve"> </w:t>
      </w:r>
      <w:r w:rsidRPr="00AE7C99">
        <w:t xml:space="preserve">mixed </w:t>
      </w:r>
      <w:r w:rsidR="008F3F7D" w:rsidRPr="00AE7C99">
        <w:t xml:space="preserve">progress </w:t>
      </w:r>
      <w:r w:rsidRPr="00AE7C99">
        <w:t xml:space="preserve">on three other MDGs: gender equality and empowering women; combating disease; and environmental sustainability. </w:t>
      </w:r>
    </w:p>
    <w:p w:rsidR="004C7D43" w:rsidRPr="00EF5F68" w:rsidRDefault="000E1CBA" w:rsidP="003528C8">
      <w:pPr>
        <w:pStyle w:val="ListBullet"/>
        <w:numPr>
          <w:ilvl w:val="0"/>
          <w:numId w:val="0"/>
        </w:numPr>
        <w:tabs>
          <w:tab w:val="clear" w:pos="284"/>
          <w:tab w:val="left" w:pos="0"/>
        </w:tabs>
        <w:jc w:val="both"/>
      </w:pPr>
      <w:r w:rsidRPr="00AE7C99">
        <w:rPr>
          <w:rFonts w:eastAsiaTheme="minorHAnsi"/>
          <w:lang w:eastAsia="en-US"/>
        </w:rPr>
        <w:t>Australia’s aid program to Tuvalu is managed from the Australian High Commission in Suva as Australia does not have a diplomatic presence in Tuvalu. This presents particular challenges to to ensure that programs are managed efficiently, the portfolio is as consolidated as possible and the program is monitored in a strategic and targeted way.</w:t>
      </w:r>
    </w:p>
    <w:p w:rsidR="000D733F" w:rsidRPr="009E38C1" w:rsidRDefault="000D733F" w:rsidP="003528C8">
      <w:pPr>
        <w:pStyle w:val="Heading2"/>
        <w:jc w:val="both"/>
        <w:rPr>
          <w:sz w:val="28"/>
        </w:rPr>
      </w:pPr>
      <w:r w:rsidRPr="009E38C1">
        <w:rPr>
          <w:sz w:val="28"/>
        </w:rPr>
        <w:t>Expenditure</w:t>
      </w:r>
    </w:p>
    <w:p w:rsidR="009037E5" w:rsidRPr="00AE7C99" w:rsidRDefault="00451EEC" w:rsidP="003528C8">
      <w:pPr>
        <w:pStyle w:val="ListBullet"/>
        <w:numPr>
          <w:ilvl w:val="0"/>
          <w:numId w:val="0"/>
        </w:numPr>
        <w:jc w:val="both"/>
      </w:pPr>
      <w:r w:rsidRPr="00AE7C99">
        <w:t>In 201</w:t>
      </w:r>
      <w:r w:rsidR="00157E58" w:rsidRPr="00AE7C99">
        <w:t>3</w:t>
      </w:r>
      <w:r w:rsidRPr="00AE7C99">
        <w:t>–1</w:t>
      </w:r>
      <w:r w:rsidR="00157E58" w:rsidRPr="00AE7C99">
        <w:t>4</w:t>
      </w:r>
      <w:r w:rsidRPr="00AE7C99">
        <w:t>, Australia’s bilateral program totalled $6.14 million. In the same year, Australia contributed</w:t>
      </w:r>
      <w:r w:rsidR="00822A95">
        <w:t xml:space="preserve"> an additional</w:t>
      </w:r>
      <w:r w:rsidRPr="00AE7C99">
        <w:t xml:space="preserve"> $4 million of official development assistance to Tuvalu through regional and global programs. Australian-funded programs are impleme</w:t>
      </w:r>
      <w:r w:rsidR="005253F5" w:rsidRPr="00AE7C99">
        <w:t xml:space="preserve">nted by regional organisations </w:t>
      </w:r>
      <w:r w:rsidRPr="00AE7C99">
        <w:t>and UN agencies, such as the</w:t>
      </w:r>
      <w:r w:rsidR="00C12D72" w:rsidRPr="00AE7C99">
        <w:t xml:space="preserve"> Asian Development Bank on public procurement, the</w:t>
      </w:r>
      <w:r w:rsidRPr="00AE7C99">
        <w:t xml:space="preserve"> United Nations Development Programme (UNDP) on environment and climate change, and UNICEF on education. Tuvalu also benefits from Australia’s support to regional and multilateral organisations such as the Secretariat of the Pacific Community,</w:t>
      </w:r>
      <w:r w:rsidRPr="00AE7C99">
        <w:rPr>
          <w:szCs w:val="22"/>
        </w:rPr>
        <w:t xml:space="preserve"> the United Nations Population Fund, </w:t>
      </w:r>
      <w:r w:rsidR="00C12D72" w:rsidRPr="00AE7C99">
        <w:rPr>
          <w:szCs w:val="22"/>
        </w:rPr>
        <w:t xml:space="preserve">the Pacific Island Forum Secretariat, the IMF through the Pacific Financial Technical Centre </w:t>
      </w:r>
      <w:r w:rsidRPr="00AE7C99">
        <w:rPr>
          <w:szCs w:val="22"/>
        </w:rPr>
        <w:t>and the World Health Organization</w:t>
      </w:r>
      <w:r w:rsidRPr="00AE7C99">
        <w:t xml:space="preserve">. </w:t>
      </w:r>
    </w:p>
    <w:p w:rsidR="000D733F" w:rsidRDefault="000D733F" w:rsidP="000D733F">
      <w:pPr>
        <w:pStyle w:val="Caption"/>
      </w:pPr>
      <w:bookmarkStart w:id="2" w:name="_Toc373853206"/>
      <w:r>
        <w:t xml:space="preserve">Table </w:t>
      </w:r>
      <w:r w:rsidR="00D1514D">
        <w:fldChar w:fldCharType="begin"/>
      </w:r>
      <w:r w:rsidR="00D1514D">
        <w:instrText xml:space="preserve"> SEQ Table \* ARABIC </w:instrText>
      </w:r>
      <w:r w:rsidR="00D1514D">
        <w:fldChar w:fldCharType="separate"/>
      </w:r>
      <w:r w:rsidR="00680B8B">
        <w:rPr>
          <w:noProof/>
        </w:rPr>
        <w:t>1</w:t>
      </w:r>
      <w:r w:rsidR="00D1514D">
        <w:rPr>
          <w:noProof/>
        </w:rPr>
        <w:fldChar w:fldCharType="end"/>
      </w:r>
      <w:r>
        <w:t xml:space="preserve"> Expenditure in FY 2013-14</w:t>
      </w:r>
    </w:p>
    <w:tbl>
      <w:tblPr>
        <w:tblStyle w:val="APPR"/>
        <w:tblpPr w:leftFromText="180" w:rightFromText="180" w:vertAnchor="text" w:tblpY="1"/>
        <w:tblW w:w="5000" w:type="pct"/>
        <w:tblLayout w:type="fixed"/>
        <w:tblLook w:val="0000" w:firstRow="0" w:lastRow="0" w:firstColumn="0" w:lastColumn="0" w:noHBand="0" w:noVBand="0"/>
      </w:tblPr>
      <w:tblGrid>
        <w:gridCol w:w="6253"/>
        <w:gridCol w:w="1018"/>
        <w:gridCol w:w="1506"/>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180B19" w:rsidRDefault="000D733F" w:rsidP="000D733F">
            <w:pPr>
              <w:pStyle w:val="TableHeading1"/>
            </w:pPr>
            <w:r w:rsidRPr="00180B19">
              <w:t>Objective</w:t>
            </w:r>
          </w:p>
        </w:tc>
        <w:tc>
          <w:tcPr>
            <w:tcW w:w="964" w:type="dxa"/>
          </w:tcPr>
          <w:p w:rsidR="000D733F" w:rsidRPr="00180B19" w:rsidRDefault="000D733F" w:rsidP="000D733F">
            <w:pPr>
              <w:pStyle w:val="TableHeading1"/>
            </w:pPr>
            <w:r w:rsidRPr="00180B19">
              <w:t>A$ million</w:t>
            </w:r>
          </w:p>
        </w:tc>
        <w:tc>
          <w:tcPr>
            <w:tcW w:w="1426" w:type="dxa"/>
          </w:tcPr>
          <w:p w:rsidR="000D733F" w:rsidRPr="00180B19" w:rsidRDefault="000D733F" w:rsidP="000D733F">
            <w:pPr>
              <w:pStyle w:val="TableHeading1"/>
            </w:pPr>
            <w:r w:rsidRPr="00180B19">
              <w:t>% of bilateral program</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C57923" w:rsidRDefault="000D733F" w:rsidP="00C70828">
            <w:pPr>
              <w:pStyle w:val="TableTextEntries"/>
            </w:pPr>
            <w:r w:rsidRPr="00C57923">
              <w:t>1</w:t>
            </w:r>
            <w:r w:rsidR="005F2116">
              <w:t>: Good governance, economic growth and stability</w:t>
            </w:r>
          </w:p>
        </w:tc>
        <w:tc>
          <w:tcPr>
            <w:tcW w:w="964" w:type="dxa"/>
          </w:tcPr>
          <w:p w:rsidR="006C7E67" w:rsidRPr="00C57923" w:rsidRDefault="006C7E67" w:rsidP="000D733F">
            <w:pPr>
              <w:pStyle w:val="TableTextEntries"/>
            </w:pPr>
            <w:r>
              <w:t>$3.8</w:t>
            </w:r>
          </w:p>
        </w:tc>
        <w:tc>
          <w:tcPr>
            <w:tcW w:w="1426" w:type="dxa"/>
          </w:tcPr>
          <w:p w:rsidR="000D733F" w:rsidRPr="00C57923" w:rsidRDefault="006C7E67" w:rsidP="000D733F">
            <w:pPr>
              <w:pStyle w:val="TableTextEntries"/>
            </w:pPr>
            <w:r>
              <w:t>62%</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C57923" w:rsidRDefault="000D733F" w:rsidP="00C70828">
            <w:pPr>
              <w:pStyle w:val="TableTextEntries"/>
            </w:pPr>
            <w:r w:rsidRPr="00C57923">
              <w:t>2</w:t>
            </w:r>
            <w:r w:rsidR="005F2116">
              <w:t>: Education and human resources</w:t>
            </w:r>
            <w:r w:rsidR="009037E5">
              <w:t xml:space="preserve">- </w:t>
            </w:r>
          </w:p>
        </w:tc>
        <w:tc>
          <w:tcPr>
            <w:tcW w:w="964" w:type="dxa"/>
          </w:tcPr>
          <w:p w:rsidR="000D733F" w:rsidRPr="00C57923" w:rsidRDefault="006C7E67" w:rsidP="000D733F">
            <w:pPr>
              <w:pStyle w:val="TableTextEntries"/>
            </w:pPr>
            <w:r>
              <w:t>$2.2</w:t>
            </w:r>
          </w:p>
        </w:tc>
        <w:tc>
          <w:tcPr>
            <w:tcW w:w="1426" w:type="dxa"/>
          </w:tcPr>
          <w:p w:rsidR="000D733F" w:rsidRPr="00C57923" w:rsidRDefault="006C7E67" w:rsidP="000D733F">
            <w:pPr>
              <w:pStyle w:val="TableTextEntries"/>
            </w:pPr>
            <w:r>
              <w:t>36%</w:t>
            </w:r>
          </w:p>
        </w:tc>
      </w:tr>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048" w:type="dxa"/>
          </w:tcPr>
          <w:p w:rsidR="000D733F" w:rsidRPr="00C57923" w:rsidRDefault="000D733F" w:rsidP="00C70828">
            <w:pPr>
              <w:pStyle w:val="TableTextEntries"/>
            </w:pPr>
            <w:r w:rsidRPr="00C57923">
              <w:t>3</w:t>
            </w:r>
            <w:r w:rsidR="005F2116">
              <w:t>: Environment and climate change</w:t>
            </w:r>
            <w:r w:rsidR="009037E5">
              <w:t>-</w:t>
            </w:r>
            <w:r w:rsidR="009037E5" w:rsidRPr="00257577">
              <w:rPr>
                <w:color w:val="00B050"/>
              </w:rPr>
              <w:t>.</w:t>
            </w:r>
          </w:p>
        </w:tc>
        <w:tc>
          <w:tcPr>
            <w:tcW w:w="964" w:type="dxa"/>
          </w:tcPr>
          <w:p w:rsidR="000D733F" w:rsidRPr="00C57923" w:rsidRDefault="006C7E67" w:rsidP="000D733F">
            <w:pPr>
              <w:pStyle w:val="TableTextEntries"/>
            </w:pPr>
            <w:r>
              <w:t>$0.114</w:t>
            </w:r>
          </w:p>
        </w:tc>
        <w:tc>
          <w:tcPr>
            <w:tcW w:w="1426" w:type="dxa"/>
          </w:tcPr>
          <w:p w:rsidR="000D733F" w:rsidRPr="00C57923" w:rsidRDefault="006C7E67" w:rsidP="000D733F">
            <w:pPr>
              <w:pStyle w:val="TableTextEntries"/>
            </w:pPr>
            <w:r>
              <w:t>2%</w:t>
            </w:r>
          </w:p>
        </w:tc>
      </w:tr>
    </w:tbl>
    <w:p w:rsidR="000D733F" w:rsidRDefault="000D733F" w:rsidP="000D733F">
      <w:pPr>
        <w:pStyle w:val="Note"/>
      </w:pPr>
      <w:r w:rsidRPr="00180B19">
        <w:t>Source:</w:t>
      </w:r>
      <w:r w:rsidR="00451EEC">
        <w:t xml:space="preserve"> Aidworks</w:t>
      </w:r>
    </w:p>
    <w:p w:rsidR="00C70828" w:rsidRDefault="00C70828" w:rsidP="00AE7C99">
      <w:pPr>
        <w:pStyle w:val="BodyText"/>
      </w:pPr>
    </w:p>
    <w:p w:rsidR="00C70828" w:rsidRPr="00AE7C99" w:rsidRDefault="00C70828" w:rsidP="00AE7C99">
      <w:pPr>
        <w:pStyle w:val="BodyText"/>
        <w:rPr>
          <w:b/>
        </w:rPr>
      </w:pPr>
    </w:p>
    <w:p w:rsidR="003528C8" w:rsidRDefault="003528C8" w:rsidP="000D733F">
      <w:pPr>
        <w:pStyle w:val="Heading3"/>
        <w:rPr>
          <w:b w:val="0"/>
          <w:color w:val="007FAD"/>
          <w:sz w:val="28"/>
          <w:szCs w:val="28"/>
          <w:lang w:eastAsia="en-AU"/>
        </w:rPr>
      </w:pPr>
    </w:p>
    <w:p w:rsidR="000D733F" w:rsidRPr="00757BAA" w:rsidRDefault="000D733F" w:rsidP="000D733F">
      <w:pPr>
        <w:pStyle w:val="Heading3"/>
        <w:rPr>
          <w:rStyle w:val="BodyTextChar"/>
          <w:b w:val="0"/>
          <w:color w:val="auto"/>
        </w:rPr>
      </w:pPr>
      <w:r w:rsidRPr="009E38C1">
        <w:rPr>
          <w:b w:val="0"/>
          <w:color w:val="007FAD"/>
          <w:sz w:val="28"/>
          <w:szCs w:val="28"/>
          <w:lang w:eastAsia="en-AU"/>
        </w:rPr>
        <w:t>Progress towards objectives</w:t>
      </w:r>
      <w:r w:rsidR="00C12D72" w:rsidRPr="00C12D72">
        <w:rPr>
          <w:b w:val="0"/>
          <w:color w:val="007FAD"/>
          <w:sz w:val="28"/>
          <w:szCs w:val="28"/>
          <w:lang w:eastAsia="en-AU"/>
        </w:rPr>
        <w:t xml:space="preserve"> </w:t>
      </w:r>
      <w:r w:rsidR="009037E5">
        <w:rPr>
          <w:b w:val="0"/>
          <w:color w:val="007FAD"/>
          <w:sz w:val="28"/>
          <w:szCs w:val="28"/>
          <w:lang w:eastAsia="en-AU"/>
        </w:rPr>
        <w:t xml:space="preserve">(including </w:t>
      </w:r>
      <w:r w:rsidR="00C12D72">
        <w:rPr>
          <w:b w:val="0"/>
          <w:color w:val="007FAD"/>
          <w:sz w:val="28"/>
          <w:szCs w:val="28"/>
          <w:lang w:eastAsia="en-AU"/>
        </w:rPr>
        <w:t>mutual obligations</w:t>
      </w:r>
      <w:r w:rsidR="009037E5">
        <w:rPr>
          <w:b w:val="0"/>
          <w:color w:val="007FAD"/>
          <w:sz w:val="28"/>
          <w:szCs w:val="28"/>
          <w:lang w:eastAsia="en-AU"/>
        </w:rPr>
        <w:t>)</w:t>
      </w:r>
      <w:r>
        <w:rPr>
          <w:sz w:val="32"/>
          <w:szCs w:val="32"/>
        </w:rPr>
        <w:tab/>
      </w:r>
    </w:p>
    <w:p w:rsidR="009037E5" w:rsidRPr="00AE7C99" w:rsidRDefault="00B17ED9" w:rsidP="003528C8">
      <w:pPr>
        <w:pStyle w:val="ListBullet"/>
        <w:numPr>
          <w:ilvl w:val="0"/>
          <w:numId w:val="0"/>
        </w:numPr>
        <w:jc w:val="both"/>
      </w:pPr>
      <w:r w:rsidRPr="00AE7C99">
        <w:lastRenderedPageBreak/>
        <w:t>Overall progress against the objectives has</w:t>
      </w:r>
      <w:r w:rsidR="008727F5" w:rsidRPr="00AE7C99">
        <w:t xml:space="preserve"> generally</w:t>
      </w:r>
      <w:r w:rsidRPr="00AE7C99">
        <w:t xml:space="preserve"> </w:t>
      </w:r>
      <w:r w:rsidR="008727F5" w:rsidRPr="00AE7C99">
        <w:t>improved since last year</w:t>
      </w:r>
      <w:r w:rsidRPr="00AE7C99">
        <w:t xml:space="preserve">. </w:t>
      </w:r>
      <w:r w:rsidR="009037E5" w:rsidRPr="00AE7C99">
        <w:t xml:space="preserve">Table 2 summarises progress against Australia’s three objectives in Tuvalu, as articulated in the Partnership for Development. </w:t>
      </w:r>
    </w:p>
    <w:p w:rsidR="000D733F" w:rsidRDefault="000D733F" w:rsidP="003528C8">
      <w:pPr>
        <w:pStyle w:val="Caption"/>
        <w:jc w:val="both"/>
      </w:pPr>
      <w:r>
        <w:t xml:space="preserve">Table </w:t>
      </w:r>
      <w:r w:rsidR="00D1514D">
        <w:fldChar w:fldCharType="begin"/>
      </w:r>
      <w:r w:rsidR="00D1514D">
        <w:instrText xml:space="preserve"> SEQ Table \* ARABIC </w:instrText>
      </w:r>
      <w:r w:rsidR="00D1514D">
        <w:fldChar w:fldCharType="separate"/>
      </w:r>
      <w:r w:rsidR="00680B8B">
        <w:rPr>
          <w:noProof/>
        </w:rPr>
        <w:t>2</w:t>
      </w:r>
      <w:r w:rsidR="00D1514D">
        <w:rPr>
          <w:noProof/>
        </w:rPr>
        <w:fldChar w:fldCharType="end"/>
      </w:r>
      <w:r>
        <w:t xml:space="preserve"> Rating of the program's progress towards Australia’s </w:t>
      </w:r>
      <w:r w:rsidR="00D206B3">
        <w:t xml:space="preserve">aid </w:t>
      </w:r>
      <w:r>
        <w:t>objectives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0D733F">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0186DC3F" wp14:editId="2DBC1F80">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72" w:type="dxa"/>
          </w:tcPr>
          <w:p w:rsidR="000D733F" w:rsidRPr="0019341B" w:rsidRDefault="004F4630" w:rsidP="000D733F">
            <w:pPr>
              <w:pStyle w:val="TableTextColumnHeading"/>
            </w:pPr>
            <w:r>
              <w:t>Previous Rating</w:t>
            </w:r>
          </w:p>
        </w:tc>
        <w:tc>
          <w:tcPr>
            <w:tcW w:w="388" w:type="dxa"/>
          </w:tcPr>
          <w:p w:rsidR="000D733F" w:rsidRDefault="000D733F" w:rsidP="000D733F">
            <w:pPr>
              <w:pStyle w:val="TableTextColumnHeading"/>
            </w:pPr>
          </w:p>
        </w:tc>
        <w:tc>
          <w:tcPr>
            <w:tcW w:w="1021" w:type="dxa"/>
          </w:tcPr>
          <w:p w:rsidR="000D733F" w:rsidRPr="0019341B" w:rsidRDefault="004F4630" w:rsidP="000D733F">
            <w:pPr>
              <w:pStyle w:val="TableTextColumnHeading"/>
            </w:pPr>
            <w:r>
              <w:t>Current Rating</w:t>
            </w:r>
          </w:p>
        </w:tc>
      </w:tr>
      <w:tr w:rsidR="000D733F" w:rsidRPr="009D53C4" w:rsidTr="005F2116">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EF5F68" w:rsidRDefault="000D733F" w:rsidP="000D733F">
            <w:pPr>
              <w:pStyle w:val="TableTextEntries"/>
            </w:pPr>
            <w:r w:rsidRPr="00AE7C99">
              <w:rPr>
                <w:b/>
              </w:rPr>
              <w:t>1</w:t>
            </w:r>
            <w:r w:rsidR="005F2116" w:rsidRPr="00AE7C99">
              <w:rPr>
                <w:b/>
              </w:rPr>
              <w:t xml:space="preserve"> Good governance, economic growth and stability</w:t>
            </w:r>
            <w:r w:rsidR="00C70828" w:rsidRPr="00EF5F68">
              <w:t xml:space="preserve">- </w:t>
            </w:r>
            <w:r w:rsidR="00C70828" w:rsidRPr="00AE7C99">
              <w:t xml:space="preserve"> b</w:t>
            </w:r>
            <w:r w:rsidR="00C70828" w:rsidRPr="00AE7C99">
              <w:rPr>
                <w:rFonts w:eastAsiaTheme="minorHAnsi"/>
              </w:rPr>
              <w:t>oost long</w:t>
            </w:r>
            <w:r w:rsidR="00C70828" w:rsidRPr="00AE7C99">
              <w:rPr>
                <w:rFonts w:ascii="Cambria Math" w:eastAsiaTheme="minorHAnsi" w:hAnsi="Cambria Math" w:cs="Cambria Math"/>
              </w:rPr>
              <w:t>‐</w:t>
            </w:r>
            <w:r w:rsidR="00C70828" w:rsidRPr="00AE7C99">
              <w:rPr>
                <w:rFonts w:eastAsiaTheme="minorHAnsi"/>
              </w:rPr>
              <w:t>term economic prospects by supporting the Tuvalu Trust Fund and Tuvalu’s economic reform program to improve financial management and planning</w:t>
            </w:r>
            <w:r w:rsidR="00C70828" w:rsidRPr="00AE7C99">
              <w:t xml:space="preserve"> to achieve public policy priorities</w:t>
            </w:r>
          </w:p>
        </w:tc>
        <w:tc>
          <w:tcPr>
            <w:tcW w:w="972" w:type="dxa"/>
            <w:shd w:val="clear" w:color="auto" w:fill="92D050"/>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92D050"/>
            <w:noWrap/>
          </w:tcPr>
          <w:p w:rsidR="000D733F" w:rsidRPr="00443639" w:rsidRDefault="005F2116" w:rsidP="000D733F">
            <w:pPr>
              <w:pStyle w:val="TableTextEntries"/>
              <w:jc w:val="center"/>
              <w:rPr>
                <w:color w:val="FFFFFF" w:themeColor="background1"/>
              </w:rPr>
            </w:pPr>
            <w:r>
              <w:rPr>
                <w:color w:val="FFFFFF" w:themeColor="background1"/>
              </w:rPr>
              <w:t>Green</w:t>
            </w:r>
          </w:p>
        </w:tc>
      </w:tr>
      <w:tr w:rsidR="000D733F" w:rsidRPr="009D53C4" w:rsidTr="00B62472">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EF5F68" w:rsidRDefault="000D733F" w:rsidP="00C70828">
            <w:pPr>
              <w:pStyle w:val="TableTextEntries"/>
            </w:pPr>
            <w:r w:rsidRPr="00AE7C99">
              <w:rPr>
                <w:b/>
              </w:rPr>
              <w:t>2</w:t>
            </w:r>
            <w:r w:rsidR="005F2116" w:rsidRPr="00AE7C99">
              <w:rPr>
                <w:b/>
              </w:rPr>
              <w:t xml:space="preserve"> Education and human resources</w:t>
            </w:r>
            <w:r w:rsidR="00C70828" w:rsidRPr="00EF5F68">
              <w:t>-</w:t>
            </w:r>
            <w:r w:rsidR="00C70828" w:rsidRPr="00AE7C99">
              <w:t xml:space="preserve"> develop</w:t>
            </w:r>
            <w:r w:rsidR="00C70828" w:rsidRPr="00AE7C99">
              <w:rPr>
                <w:rFonts w:eastAsiaTheme="minorHAnsi"/>
              </w:rPr>
              <w:t xml:space="preserve"> a skilled and educated Tuvalu workforce by improving the quality of basic education and supporting opportunities for further skills development through scholarships.</w:t>
            </w:r>
          </w:p>
        </w:tc>
        <w:tc>
          <w:tcPr>
            <w:tcW w:w="972" w:type="dxa"/>
            <w:shd w:val="clear" w:color="auto" w:fill="E36C0A"/>
            <w:noWrap/>
          </w:tcPr>
          <w:p w:rsidR="000D733F" w:rsidRPr="00443639" w:rsidRDefault="000D733F" w:rsidP="000D733F">
            <w:pPr>
              <w:pStyle w:val="TableTextEntries"/>
              <w:jc w:val="center"/>
              <w:rPr>
                <w:color w:val="FFFFFF" w:themeColor="background1"/>
              </w:rPr>
            </w:pPr>
            <w:r w:rsidRPr="00443639">
              <w:rPr>
                <w:color w:val="FFFFFF" w:themeColor="background1"/>
              </w:rPr>
              <w:t>Amber</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92D050"/>
            <w:noWrap/>
          </w:tcPr>
          <w:p w:rsidR="000D733F" w:rsidRPr="00443639" w:rsidRDefault="000D733F" w:rsidP="000D733F">
            <w:pPr>
              <w:pStyle w:val="TableTextEntries"/>
              <w:jc w:val="center"/>
              <w:rPr>
                <w:color w:val="FFFFFF" w:themeColor="background1"/>
              </w:rPr>
            </w:pPr>
            <w:r w:rsidRPr="00443639">
              <w:rPr>
                <w:color w:val="FFFFFF" w:themeColor="background1"/>
              </w:rPr>
              <w:t>Green</w:t>
            </w:r>
          </w:p>
        </w:tc>
      </w:tr>
      <w:tr w:rsidR="000D733F" w:rsidRPr="009D53C4" w:rsidTr="00BE6E83">
        <w:trPr>
          <w:cnfStyle w:val="000000010000" w:firstRow="0" w:lastRow="0" w:firstColumn="0" w:lastColumn="0" w:oddVBand="0" w:evenVBand="0" w:oddHBand="0" w:evenHBand="1" w:firstRowFirstColumn="0" w:firstRowLastColumn="0" w:lastRowFirstColumn="0" w:lastRowLastColumn="0"/>
        </w:trPr>
        <w:tc>
          <w:tcPr>
            <w:tcW w:w="6029" w:type="dxa"/>
          </w:tcPr>
          <w:p w:rsidR="000D733F" w:rsidRPr="00EF5F68" w:rsidRDefault="000D733F" w:rsidP="00C70828">
            <w:pPr>
              <w:pStyle w:val="TableTextEntries"/>
            </w:pPr>
            <w:r w:rsidRPr="00AE7C99">
              <w:rPr>
                <w:b/>
              </w:rPr>
              <w:t>3</w:t>
            </w:r>
            <w:r w:rsidR="005F2116" w:rsidRPr="00AE7C99">
              <w:rPr>
                <w:b/>
              </w:rPr>
              <w:t xml:space="preserve"> Environment and climate change</w:t>
            </w:r>
            <w:r w:rsidR="00C70828" w:rsidRPr="00EF5F68">
              <w:t>-</w:t>
            </w:r>
            <w:r w:rsidR="00C70828" w:rsidRPr="00AE7C99">
              <w:t xml:space="preserve"> minimise climate change impacts and strengthen adaptation to the effects of climate change</w:t>
            </w:r>
          </w:p>
        </w:tc>
        <w:tc>
          <w:tcPr>
            <w:tcW w:w="972" w:type="dxa"/>
            <w:shd w:val="clear" w:color="auto" w:fill="FF0000"/>
            <w:noWrap/>
          </w:tcPr>
          <w:p w:rsidR="000D733F" w:rsidRPr="00443639" w:rsidRDefault="000D733F" w:rsidP="000D733F">
            <w:pPr>
              <w:pStyle w:val="TableTextEntries"/>
              <w:jc w:val="center"/>
              <w:rPr>
                <w:color w:val="FFFFFF" w:themeColor="background1"/>
              </w:rPr>
            </w:pPr>
            <w:r w:rsidRPr="00443639">
              <w:rPr>
                <w:color w:val="FFFFFF" w:themeColor="background1"/>
              </w:rPr>
              <w:t>Red</w:t>
            </w:r>
          </w:p>
        </w:tc>
        <w:tc>
          <w:tcPr>
            <w:tcW w:w="388" w:type="dxa"/>
          </w:tcPr>
          <w:p w:rsidR="000D733F" w:rsidRPr="00443639" w:rsidRDefault="000D733F" w:rsidP="000D733F">
            <w:pPr>
              <w:pStyle w:val="TableTextEntries"/>
              <w:jc w:val="center"/>
              <w:rPr>
                <w:color w:val="FFFFFF" w:themeColor="background1"/>
              </w:rPr>
            </w:pPr>
          </w:p>
        </w:tc>
        <w:tc>
          <w:tcPr>
            <w:tcW w:w="1021" w:type="dxa"/>
            <w:shd w:val="clear" w:color="auto" w:fill="E36C0A" w:themeFill="accent6" w:themeFillShade="BF"/>
            <w:noWrap/>
          </w:tcPr>
          <w:p w:rsidR="000D733F" w:rsidRPr="00443639" w:rsidRDefault="00BE6E83" w:rsidP="000D733F">
            <w:pPr>
              <w:pStyle w:val="TableTextEntries"/>
              <w:jc w:val="center"/>
              <w:rPr>
                <w:color w:val="FFFFFF" w:themeColor="background1"/>
              </w:rPr>
            </w:pPr>
            <w:r>
              <w:rPr>
                <w:color w:val="FFFFFF" w:themeColor="background1"/>
              </w:rPr>
              <w:t>Amber</w:t>
            </w:r>
          </w:p>
        </w:tc>
      </w:tr>
    </w:tbl>
    <w:p w:rsidR="000D733F" w:rsidRPr="00180B19" w:rsidRDefault="000D733F" w:rsidP="000D733F">
      <w:pPr>
        <w:pStyle w:val="Note"/>
      </w:pPr>
      <w:r w:rsidRPr="00180B19">
        <w:t xml:space="preserve">Note: </w:t>
      </w:r>
    </w:p>
    <w:p w:rsidR="000D733F" w:rsidRPr="00180B19" w:rsidRDefault="000D733F" w:rsidP="000D733F">
      <w:pPr>
        <w:pStyle w:val="Note"/>
      </w:pPr>
      <w:r w:rsidRPr="00E74404">
        <w:rPr>
          <w:color w:val="72AF2F"/>
        </w:rPr>
        <w:sym w:font="Webdings" w:char="F067"/>
      </w:r>
      <w:r w:rsidRPr="00180B19">
        <w:t> </w:t>
      </w:r>
      <w:r w:rsidRPr="00180B19">
        <w:t xml:space="preserve"> </w:t>
      </w:r>
      <w:r>
        <w:t xml:space="preserve">Green. </w:t>
      </w:r>
      <w:r w:rsidRPr="00180B19">
        <w:t>Progress is as expected for this point in time and it is likely that the objective will be achieved. Standard program management practices are sufficient.</w:t>
      </w:r>
    </w:p>
    <w:p w:rsidR="000D733F" w:rsidRPr="00180B19" w:rsidRDefault="000D733F" w:rsidP="000D733F">
      <w:pPr>
        <w:pStyle w:val="Note"/>
      </w:pPr>
      <w:r w:rsidRPr="00E74404">
        <w:rPr>
          <w:color w:val="E36C0A"/>
        </w:rPr>
        <w:sym w:font="Webdings" w:char="F067"/>
      </w:r>
      <w:r w:rsidRPr="00180B19">
        <w:t> </w:t>
      </w:r>
      <w:r w:rsidRPr="00180B19">
        <w:t xml:space="preserve"> </w:t>
      </w:r>
      <w:r>
        <w:t xml:space="preserve">Amber. </w:t>
      </w:r>
      <w:r w:rsidRPr="00180B19">
        <w:t>Progress is somewhat less than expected for this point in time and restorative action will be necessary if the objective is to be achieved. Close performance monitoring is recommended.</w:t>
      </w:r>
    </w:p>
    <w:p w:rsidR="000D733F" w:rsidRDefault="000D733F" w:rsidP="000D733F">
      <w:pPr>
        <w:pStyle w:val="Note"/>
      </w:pPr>
      <w:r w:rsidRPr="004C4A3E">
        <w:rPr>
          <w:color w:val="FF0000"/>
        </w:rPr>
        <w:sym w:font="Webdings" w:char="F067"/>
      </w:r>
      <w:r w:rsidRPr="00180B19">
        <w:t> </w:t>
      </w:r>
      <w:r w:rsidRPr="00180B19">
        <w:t xml:space="preserve"> </w:t>
      </w:r>
      <w:r>
        <w:t xml:space="preserve">Red. </w:t>
      </w:r>
      <w:r w:rsidRPr="00180B19">
        <w:t>Progress is significantly less than expected for this point in time and the objective is not likely to be met given available resources and priorities. Recasting the objective may be required.</w:t>
      </w:r>
    </w:p>
    <w:p w:rsidR="000D733F" w:rsidRDefault="000D733F" w:rsidP="000D733F">
      <w:pPr>
        <w:pStyle w:val="Note"/>
      </w:pPr>
      <w:r>
        <w:t xml:space="preserve">Reporting period: </w:t>
      </w:r>
      <w:r w:rsidRPr="00180B19">
        <w:t xml:space="preserve"> </w:t>
      </w:r>
      <w:r w:rsidR="00C075AA">
        <w:t>2013-14</w:t>
      </w:r>
    </w:p>
    <w:p w:rsidR="00B17ED9" w:rsidRPr="00A34091" w:rsidRDefault="009037E5" w:rsidP="003528C8">
      <w:pPr>
        <w:pStyle w:val="Heading3"/>
        <w:jc w:val="both"/>
      </w:pPr>
      <w:r>
        <w:t>Objective 1</w:t>
      </w:r>
      <w:r w:rsidR="00A34091">
        <w:t xml:space="preserve">: </w:t>
      </w:r>
      <w:r w:rsidR="00B17ED9" w:rsidRPr="00B17ED9">
        <w:rPr>
          <w:color w:val="1F497D" w:themeColor="text2"/>
        </w:rPr>
        <w:t xml:space="preserve">Good governance, economic growth and stability </w:t>
      </w:r>
    </w:p>
    <w:p w:rsidR="00396E05" w:rsidRPr="00AE7C99" w:rsidRDefault="00396E05" w:rsidP="003528C8">
      <w:pPr>
        <w:pStyle w:val="BodyText"/>
        <w:jc w:val="both"/>
      </w:pPr>
      <w:r w:rsidRPr="00AE7C99">
        <w:t xml:space="preserve">This objective was rated green because progress is as expected at this point in time. </w:t>
      </w:r>
      <w:r w:rsidR="00E17F5E" w:rsidRPr="00AE7C99">
        <w:t>Australia’s support is based on mutual obligations and</w:t>
      </w:r>
      <w:r w:rsidRPr="00AE7C99">
        <w:t xml:space="preserve"> significant progress has been made on each of the three components of this objective.</w:t>
      </w:r>
    </w:p>
    <w:p w:rsidR="00B17ED9" w:rsidRPr="00AE7C99" w:rsidRDefault="00722B27" w:rsidP="003528C8">
      <w:pPr>
        <w:pStyle w:val="BodyText"/>
        <w:jc w:val="both"/>
      </w:pPr>
      <w:r w:rsidRPr="00AE7C99">
        <w:t xml:space="preserve">The three components of </w:t>
      </w:r>
      <w:r w:rsidR="00CD164C" w:rsidRPr="00AE7C99">
        <w:t xml:space="preserve">Objective one </w:t>
      </w:r>
      <w:r w:rsidRPr="00AE7C99">
        <w:t>are</w:t>
      </w:r>
      <w:r w:rsidR="00B17ED9" w:rsidRPr="00AE7C99">
        <w:t>:</w:t>
      </w:r>
    </w:p>
    <w:p w:rsidR="00716CFD" w:rsidRPr="00AE7C99" w:rsidRDefault="00716CFD" w:rsidP="003528C8">
      <w:pPr>
        <w:pStyle w:val="ListBullet"/>
        <w:jc w:val="both"/>
      </w:pPr>
      <w:r w:rsidRPr="00AE7C99">
        <w:t>Contributing to the Tuvalu Trust Fund</w:t>
      </w:r>
      <w:r w:rsidR="006509F8" w:rsidRPr="00AE7C99">
        <w:t xml:space="preserve"> (TTF)</w:t>
      </w:r>
      <w:r w:rsidRPr="00AE7C99">
        <w:t xml:space="preserve">: </w:t>
      </w:r>
      <w:r w:rsidR="0061353A" w:rsidRPr="00AE7C99">
        <w:t xml:space="preserve">to </w:t>
      </w:r>
      <w:r w:rsidRPr="00AE7C99">
        <w:t xml:space="preserve">enable </w:t>
      </w:r>
      <w:r w:rsidR="0061353A" w:rsidRPr="00AE7C99">
        <w:t>Tuvalu</w:t>
      </w:r>
      <w:r w:rsidRPr="00AE7C99">
        <w:t xml:space="preserve"> to achieve greater financial autonomy in managing its budget and build a long-term revenue source</w:t>
      </w:r>
    </w:p>
    <w:p w:rsidR="00B17ED9" w:rsidRPr="00AE7C99" w:rsidRDefault="00B17ED9" w:rsidP="003528C8">
      <w:pPr>
        <w:pStyle w:val="ListBullet"/>
        <w:jc w:val="both"/>
      </w:pPr>
      <w:r w:rsidRPr="00AE7C99">
        <w:t xml:space="preserve">Creating incentives for economic reform: </w:t>
      </w:r>
      <w:r w:rsidR="0061353A" w:rsidRPr="00AE7C99">
        <w:t xml:space="preserve">to </w:t>
      </w:r>
      <w:r w:rsidRPr="00AE7C99">
        <w:t xml:space="preserve">provide performance-linked financial contributions to the Consolidated Investment Fund </w:t>
      </w:r>
      <w:r w:rsidR="00396E05" w:rsidRPr="00AE7C99">
        <w:t xml:space="preserve">(through a Policy Reform Matrix, PRM) </w:t>
      </w:r>
      <w:r w:rsidRPr="00AE7C99">
        <w:t xml:space="preserve">as an incentive to improve financial and economic management in Tuvalu, enabling the government to improve </w:t>
      </w:r>
      <w:r w:rsidR="00B83B0B" w:rsidRPr="00AE7C99">
        <w:t xml:space="preserve">basic </w:t>
      </w:r>
      <w:r w:rsidRPr="00AE7C99">
        <w:t>social services</w:t>
      </w:r>
    </w:p>
    <w:p w:rsidR="00B17ED9" w:rsidRPr="00AE7C99" w:rsidRDefault="00B17ED9" w:rsidP="003528C8">
      <w:pPr>
        <w:pStyle w:val="ListBullet"/>
        <w:jc w:val="both"/>
      </w:pPr>
      <w:r w:rsidRPr="00AE7C99">
        <w:t>Strengthening Tuvalu’s capacity for economic and social reform: assist the Government of Tuvalu to develop the country’s economy and undertake essential functions of government by providing technical assistance in areas essential for government.</w:t>
      </w:r>
    </w:p>
    <w:p w:rsidR="00A854AF" w:rsidRDefault="00A61F1C" w:rsidP="003528C8">
      <w:pPr>
        <w:pStyle w:val="BodyText"/>
        <w:jc w:val="both"/>
        <w:rPr>
          <w:color w:val="00B050"/>
        </w:rPr>
      </w:pPr>
      <w:r w:rsidRPr="00AE7C99">
        <w:t>Australia’s contribution</w:t>
      </w:r>
      <w:r w:rsidR="001C1255" w:rsidRPr="00AE7C99">
        <w:t xml:space="preserve"> </w:t>
      </w:r>
      <w:r w:rsidR="00766493" w:rsidRPr="00AE7C99">
        <w:t xml:space="preserve">complements Tuvalu’s own efforts </w:t>
      </w:r>
      <w:r w:rsidR="001C1255" w:rsidRPr="00AE7C99">
        <w:t>to boost Tuvalu’s lo</w:t>
      </w:r>
      <w:r w:rsidR="00766493" w:rsidRPr="00AE7C99">
        <w:t xml:space="preserve">ng-term economic prospects. </w:t>
      </w:r>
      <w:r w:rsidR="004B79F1" w:rsidRPr="00AE7C99">
        <w:t xml:space="preserve">The TTF returns and incentive funding from the PRM </w:t>
      </w:r>
      <w:r w:rsidR="00A84C1A" w:rsidRPr="00AE7C99">
        <w:t>is deposited</w:t>
      </w:r>
      <w:r w:rsidR="004B79F1" w:rsidRPr="00AE7C99">
        <w:t xml:space="preserve"> to Tuvalu’s buffer account commonly known as the Consolidated Investment Fund (CIF)</w:t>
      </w:r>
      <w:r w:rsidR="00F35AE9" w:rsidRPr="00AE7C99">
        <w:t xml:space="preserve"> to finance budget priorities and build a long-term source of revenue.</w:t>
      </w:r>
      <w:r w:rsidR="00A84C1A" w:rsidRPr="00AE7C99">
        <w:t xml:space="preserve"> Australia’s support through the TTF and the PRM provides </w:t>
      </w:r>
      <w:r w:rsidR="00A84C1A" w:rsidRPr="00EF5F68">
        <w:rPr>
          <w:rFonts w:cs="Arial"/>
          <w:szCs w:val="16"/>
        </w:rPr>
        <w:t>DFAT the opportunity for policy dialogue with the G</w:t>
      </w:r>
      <w:r w:rsidR="00396E05" w:rsidRPr="00EF5F68">
        <w:rPr>
          <w:rFonts w:cs="Arial"/>
          <w:szCs w:val="16"/>
        </w:rPr>
        <w:t xml:space="preserve">overnment of </w:t>
      </w:r>
      <w:r w:rsidR="00A84C1A" w:rsidRPr="00EF5F68">
        <w:rPr>
          <w:rFonts w:cs="Arial"/>
          <w:szCs w:val="16"/>
        </w:rPr>
        <w:t>T</w:t>
      </w:r>
      <w:r w:rsidR="00396E05" w:rsidRPr="00EF5F68">
        <w:rPr>
          <w:rFonts w:cs="Arial"/>
          <w:szCs w:val="16"/>
        </w:rPr>
        <w:t>uvalu</w:t>
      </w:r>
      <w:r w:rsidR="00A84C1A" w:rsidRPr="00EF5F68">
        <w:rPr>
          <w:rFonts w:cs="Arial"/>
          <w:szCs w:val="16"/>
        </w:rPr>
        <w:t xml:space="preserve"> on its </w:t>
      </w:r>
      <w:r w:rsidR="00A84C1A">
        <w:rPr>
          <w:rFonts w:cs="Arial"/>
          <w:szCs w:val="16"/>
        </w:rPr>
        <w:t xml:space="preserve">fiscal management and budget priorities. This support is </w:t>
      </w:r>
      <w:r w:rsidR="00EA34E0">
        <w:rPr>
          <w:rFonts w:cs="Arial"/>
          <w:szCs w:val="16"/>
        </w:rPr>
        <w:t xml:space="preserve">an </w:t>
      </w:r>
      <w:r w:rsidR="00A84C1A">
        <w:rPr>
          <w:rFonts w:cs="Arial"/>
          <w:szCs w:val="16"/>
        </w:rPr>
        <w:t>important leverage mechanism to encourage G</w:t>
      </w:r>
      <w:r w:rsidR="00E17F5E">
        <w:rPr>
          <w:rFonts w:cs="Arial"/>
          <w:szCs w:val="16"/>
        </w:rPr>
        <w:t xml:space="preserve">overnment of Tuvalu </w:t>
      </w:r>
      <w:r w:rsidR="00A84C1A">
        <w:rPr>
          <w:rFonts w:cs="Arial"/>
          <w:szCs w:val="16"/>
        </w:rPr>
        <w:t xml:space="preserve">to meet our joint commitments under the Australia-Tuvalu Partnership for Development to improve the management of </w:t>
      </w:r>
      <w:r w:rsidR="00EA34E0">
        <w:rPr>
          <w:rFonts w:cs="Arial"/>
          <w:szCs w:val="16"/>
        </w:rPr>
        <w:t>g</w:t>
      </w:r>
      <w:r w:rsidR="00396E05">
        <w:rPr>
          <w:rFonts w:cs="Arial"/>
          <w:szCs w:val="16"/>
        </w:rPr>
        <w:t>overnment</w:t>
      </w:r>
      <w:r w:rsidR="00A84C1A">
        <w:rPr>
          <w:rFonts w:cs="Arial"/>
          <w:szCs w:val="16"/>
        </w:rPr>
        <w:t xml:space="preserve"> expenditure and allowing </w:t>
      </w:r>
      <w:r w:rsidR="00396E05">
        <w:rPr>
          <w:rFonts w:cs="Arial"/>
          <w:szCs w:val="16"/>
        </w:rPr>
        <w:t>the Government of Tuvalu</w:t>
      </w:r>
      <w:r w:rsidR="00A84C1A">
        <w:rPr>
          <w:rFonts w:cs="Arial"/>
          <w:szCs w:val="16"/>
        </w:rPr>
        <w:t xml:space="preserve"> to reallocate funding to improve basic health and education services.</w:t>
      </w:r>
    </w:p>
    <w:p w:rsidR="00557DC8" w:rsidRPr="00AE7C99" w:rsidRDefault="00557DC8" w:rsidP="003528C8">
      <w:pPr>
        <w:pStyle w:val="BodyText"/>
        <w:jc w:val="both"/>
      </w:pPr>
      <w:r w:rsidRPr="00AE7C99">
        <w:t>Overall, as a resu</w:t>
      </w:r>
      <w:r w:rsidR="00AF7288" w:rsidRPr="00AE7C99">
        <w:t>lt of DFAT’s policy dialogue</w:t>
      </w:r>
      <w:r w:rsidR="008400A0">
        <w:t xml:space="preserve"> and</w:t>
      </w:r>
      <w:r w:rsidRPr="00AE7C99">
        <w:t xml:space="preserve"> financial and technical support for this objective, Tuvalu is on the path to </w:t>
      </w:r>
      <w:r w:rsidR="008400A0">
        <w:t xml:space="preserve">being </w:t>
      </w:r>
      <w:r w:rsidRPr="00AE7C99">
        <w:t xml:space="preserve">better able to manage its resources and weather </w:t>
      </w:r>
      <w:r w:rsidRPr="00AE7C99">
        <w:lastRenderedPageBreak/>
        <w:t xml:space="preserve">external shocks. </w:t>
      </w:r>
      <w:r w:rsidR="007A1F00">
        <w:t xml:space="preserve">Going forward, Australia will work with Tuvalu to develop an Aid Investment Plan outlining joint priorities for development cooperation. It will be </w:t>
      </w:r>
      <w:r w:rsidR="003932D1" w:rsidRPr="00AE7C99">
        <w:t>critical</w:t>
      </w:r>
      <w:r w:rsidR="007A1F00">
        <w:t>, as part of this process,</w:t>
      </w:r>
      <w:r w:rsidR="003932D1" w:rsidRPr="00AE7C99">
        <w:t xml:space="preserve"> </w:t>
      </w:r>
      <w:r w:rsidR="007A1F00">
        <w:t>to conduct</w:t>
      </w:r>
      <w:r w:rsidR="003932D1" w:rsidRPr="00AE7C99">
        <w:t xml:space="preserve"> an Assessment of National Systems (ANS). This assessment looks at fiduciary risks associated with investing funds through partner government systems.</w:t>
      </w:r>
      <w:r w:rsidR="00EF60EA" w:rsidRPr="00AE7C99">
        <w:t xml:space="preserve"> </w:t>
      </w:r>
    </w:p>
    <w:p w:rsidR="00822A95" w:rsidRPr="007B1B96" w:rsidRDefault="00822A95" w:rsidP="003528C8">
      <w:pPr>
        <w:pStyle w:val="BodyText"/>
        <w:jc w:val="both"/>
        <w:rPr>
          <w:u w:val="single"/>
        </w:rPr>
      </w:pPr>
      <w:r w:rsidRPr="007B1B96">
        <w:rPr>
          <w:u w:val="single"/>
        </w:rPr>
        <w:t>Tuvalu Trust Fund (TTF)</w:t>
      </w:r>
    </w:p>
    <w:p w:rsidR="00822A95" w:rsidRPr="007B1B96" w:rsidRDefault="00822A95" w:rsidP="003528C8">
      <w:pPr>
        <w:pStyle w:val="BodyText"/>
        <w:jc w:val="both"/>
      </w:pPr>
      <w:r w:rsidRPr="007B1B96">
        <w:t>DFAT’s contribution to the Tuvalu Trust Fund</w:t>
      </w:r>
      <w:r w:rsidRPr="007B1B96">
        <w:rPr>
          <w:position w:val="6"/>
          <w:sz w:val="12"/>
          <w:szCs w:val="12"/>
        </w:rPr>
        <w:t xml:space="preserve"> </w:t>
      </w:r>
      <w:r w:rsidR="007A1F00">
        <w:t>reflects</w:t>
      </w:r>
      <w:r w:rsidRPr="007B1B96">
        <w:t xml:space="preserve"> Australia’s commitment to building a financial asset for Tuvalu and providing its government with a revenue stream to fund essential expenditure for the future. As a member of the Trust Fund board, Australia shares oversight of the fund along with representatives of the governments of New Zealand and Tuvalu.</w:t>
      </w:r>
      <w:r w:rsidRPr="007B1B96">
        <w:rPr>
          <w:rStyle w:val="FootnoteReference"/>
        </w:rPr>
        <w:footnoteReference w:id="8"/>
      </w:r>
      <w:r w:rsidRPr="007B1B96">
        <w:t xml:space="preserve"> The ADB, European Union, World Bank and Japan are regular observers at board meetings. </w:t>
      </w:r>
    </w:p>
    <w:p w:rsidR="00822A95" w:rsidRPr="007B1B96" w:rsidRDefault="00822A95" w:rsidP="003528C8">
      <w:pPr>
        <w:pStyle w:val="BodyText"/>
        <w:jc w:val="both"/>
      </w:pPr>
      <w:r w:rsidRPr="007B1B96">
        <w:rPr>
          <w:rStyle w:val="BodyTextChar"/>
        </w:rPr>
        <w:t>In 2013–14, Australia contributed $0.878 million to the fund.</w:t>
      </w:r>
      <w:r w:rsidRPr="007B1B96">
        <w:t xml:space="preserve"> The fund performed very well and made its first multi-million dollar disbursement to the </w:t>
      </w:r>
      <w:r w:rsidR="003E5BF3">
        <w:t>CIF</w:t>
      </w:r>
      <w:r w:rsidRPr="007B1B96">
        <w:t xml:space="preserve"> since the global financial crisis reduced the fund’s market value in 2008. This year’s strong performance demonstrated that the fund’s new flexible, objective-based investment approach is working. DFAT is currently working with the Government of Tuvalu and other donors to promote the use of the </w:t>
      </w:r>
      <w:r w:rsidR="003E5BF3">
        <w:t>CIF</w:t>
      </w:r>
      <w:r w:rsidRPr="007B1B96">
        <w:t xml:space="preserve"> as a longer-term buffer account where windfall revenue is saved to help the country respond to future fiscal shocks. </w:t>
      </w:r>
    </w:p>
    <w:p w:rsidR="003F46A6" w:rsidRPr="003E5BF3" w:rsidRDefault="003F46A6" w:rsidP="003528C8">
      <w:pPr>
        <w:pStyle w:val="BodyText"/>
        <w:jc w:val="both"/>
        <w:rPr>
          <w:u w:val="single"/>
        </w:rPr>
      </w:pPr>
      <w:r w:rsidRPr="003E5BF3">
        <w:rPr>
          <w:u w:val="single"/>
        </w:rPr>
        <w:t>Policy Reform Matrix</w:t>
      </w:r>
      <w:r w:rsidR="007F56A2" w:rsidRPr="003E5BF3">
        <w:rPr>
          <w:u w:val="single"/>
        </w:rPr>
        <w:t xml:space="preserve"> (PRM)</w:t>
      </w:r>
    </w:p>
    <w:p w:rsidR="003F46A6" w:rsidRPr="003E5BF3" w:rsidRDefault="00AF7288" w:rsidP="003528C8">
      <w:pPr>
        <w:pStyle w:val="BodyText"/>
        <w:jc w:val="both"/>
        <w:rPr>
          <w:rFonts w:eastAsia="Calibri"/>
        </w:rPr>
      </w:pPr>
      <w:r w:rsidRPr="003E5BF3">
        <w:t>The Policy Reform M</w:t>
      </w:r>
      <w:r w:rsidR="003F46A6" w:rsidRPr="003E5BF3">
        <w:t>atrix</w:t>
      </w:r>
      <w:r w:rsidR="00B83B0B" w:rsidRPr="003E5BF3">
        <w:t xml:space="preserve"> (PRM) </w:t>
      </w:r>
      <w:r w:rsidR="003F46A6" w:rsidRPr="003E5BF3">
        <w:t xml:space="preserve">—a multi-donor incentive-based reform program— comprises three phases of policy reform actions that, once complete, will enable the release of budget support by donors (Australia, New Zealand, World Bank and Asian Development Bank). </w:t>
      </w:r>
      <w:r w:rsidR="003F46A6" w:rsidRPr="003E5BF3">
        <w:rPr>
          <w:rFonts w:eastAsia="Calibri"/>
        </w:rPr>
        <w:t>Tuvalu has demonstrated good leadership in establishing this program with donors and</w:t>
      </w:r>
      <w:r w:rsidRPr="003E5BF3">
        <w:rPr>
          <w:rFonts w:eastAsia="Calibri"/>
        </w:rPr>
        <w:t xml:space="preserve"> has</w:t>
      </w:r>
      <w:r w:rsidR="003F46A6" w:rsidRPr="003E5BF3">
        <w:rPr>
          <w:rFonts w:eastAsia="Calibri"/>
        </w:rPr>
        <w:t xml:space="preserve"> taken a lead role in identifying reforms</w:t>
      </w:r>
      <w:r w:rsidR="00530C5A" w:rsidRPr="003E5BF3">
        <w:rPr>
          <w:rFonts w:eastAsia="Calibri"/>
        </w:rPr>
        <w:t xml:space="preserve"> in consultation with development partners</w:t>
      </w:r>
      <w:r w:rsidR="003F46A6" w:rsidRPr="003E5BF3">
        <w:rPr>
          <w:rFonts w:eastAsia="Calibri"/>
        </w:rPr>
        <w:t xml:space="preserve">. </w:t>
      </w:r>
    </w:p>
    <w:p w:rsidR="003E5BF3" w:rsidRPr="00AE7C99" w:rsidRDefault="003F46A6" w:rsidP="003528C8">
      <w:pPr>
        <w:pStyle w:val="BodyText"/>
        <w:jc w:val="both"/>
        <w:rPr>
          <w:rFonts w:ascii="Times New Roman" w:hAnsi="Times New Roman"/>
        </w:rPr>
      </w:pPr>
      <w:r w:rsidRPr="003E5BF3">
        <w:t xml:space="preserve">Tuvalu made significant progress </w:t>
      </w:r>
      <w:r w:rsidRPr="003E5BF3">
        <w:rPr>
          <w:szCs w:val="22"/>
        </w:rPr>
        <w:t xml:space="preserve">in economic and public financial management reform in 2013–14, particularly </w:t>
      </w:r>
      <w:r w:rsidRPr="003E5BF3">
        <w:t xml:space="preserve">in public enterprise reform, budget planning, procurement and tax compliance. </w:t>
      </w:r>
      <w:r w:rsidR="003E5BF3" w:rsidRPr="001F774E">
        <w:t xml:space="preserve">As a result, Australia dispersed $2 million in performance linked aid to the Government of Tuvalu as the agreed actions under Phase 2 of the PRM were met. </w:t>
      </w:r>
    </w:p>
    <w:p w:rsidR="00E17F5E" w:rsidRPr="00AE7C99" w:rsidRDefault="003E5BF3" w:rsidP="003528C8">
      <w:pPr>
        <w:pStyle w:val="BodyText"/>
        <w:jc w:val="both"/>
        <w:rPr>
          <w:szCs w:val="22"/>
        </w:rPr>
      </w:pPr>
      <w:r>
        <w:rPr>
          <w:szCs w:val="22"/>
        </w:rPr>
        <w:t>Examples of reform progress included:</w:t>
      </w:r>
    </w:p>
    <w:p w:rsidR="003E5BF3" w:rsidRDefault="003E5BF3" w:rsidP="003528C8">
      <w:pPr>
        <w:pStyle w:val="BodyText"/>
        <w:numPr>
          <w:ilvl w:val="0"/>
          <w:numId w:val="37"/>
        </w:numPr>
        <w:jc w:val="both"/>
        <w:rPr>
          <w:rFonts w:ascii="Times New Roman" w:hAnsi="Times New Roman"/>
        </w:rPr>
      </w:pPr>
      <w:r>
        <w:t>Introducing</w:t>
      </w:r>
      <w:r w:rsidR="007D04B0" w:rsidRPr="00AE7C99">
        <w:t xml:space="preserve"> a new public procurement system</w:t>
      </w:r>
      <w:r w:rsidR="00A42316" w:rsidRPr="00AE7C99">
        <w:t xml:space="preserve">, managed by </w:t>
      </w:r>
      <w:r w:rsidR="007D04B0" w:rsidRPr="00AE7C99">
        <w:t xml:space="preserve">a </w:t>
      </w:r>
      <w:r w:rsidR="00A42316" w:rsidRPr="00AE7C99">
        <w:t>newly established procurement unit,</w:t>
      </w:r>
      <w:r w:rsidR="007D04B0" w:rsidRPr="00AE7C99">
        <w:t xml:space="preserve"> which will ensure that major public procurements are managed in accordance with sound rules and achieve value for money.</w:t>
      </w:r>
      <w:r w:rsidR="00A42316" w:rsidRPr="00AE7C99">
        <w:t xml:space="preserve"> </w:t>
      </w:r>
    </w:p>
    <w:p w:rsidR="003E5BF3" w:rsidRPr="003E5BF3" w:rsidRDefault="007D04B0" w:rsidP="003528C8">
      <w:pPr>
        <w:pStyle w:val="BodyText"/>
        <w:numPr>
          <w:ilvl w:val="0"/>
          <w:numId w:val="37"/>
        </w:numPr>
        <w:jc w:val="both"/>
        <w:rPr>
          <w:rFonts w:ascii="Times New Roman" w:hAnsi="Times New Roman"/>
        </w:rPr>
      </w:pPr>
      <w:r w:rsidRPr="00AE7C99">
        <w:t xml:space="preserve">Audits </w:t>
      </w:r>
      <w:r w:rsidR="00A42316" w:rsidRPr="00AE7C99">
        <w:t>of accounts and better management and collection of tax revenues</w:t>
      </w:r>
      <w:r w:rsidRPr="00AE7C99">
        <w:t xml:space="preserve"> has helped improve government transparency and increase government revenue by almost $1 million in 2013</w:t>
      </w:r>
      <w:r w:rsidR="00B62472">
        <w:t>-14</w:t>
      </w:r>
      <w:r w:rsidR="00A42316" w:rsidRPr="00AE7C99">
        <w:t xml:space="preserve">. </w:t>
      </w:r>
    </w:p>
    <w:p w:rsidR="003F46A6" w:rsidRPr="00AE7C99" w:rsidRDefault="003F46A6" w:rsidP="003528C8">
      <w:pPr>
        <w:pStyle w:val="BodyText"/>
        <w:jc w:val="both"/>
        <w:rPr>
          <w:szCs w:val="22"/>
        </w:rPr>
      </w:pPr>
      <w:r w:rsidRPr="00AE7C99">
        <w:rPr>
          <w:szCs w:val="22"/>
        </w:rPr>
        <w:t>While the government implement</w:t>
      </w:r>
      <w:r w:rsidR="00EA34E0" w:rsidRPr="003E5BF3">
        <w:rPr>
          <w:szCs w:val="22"/>
        </w:rPr>
        <w:t>ed</w:t>
      </w:r>
      <w:r w:rsidRPr="00AE7C99">
        <w:rPr>
          <w:szCs w:val="22"/>
        </w:rPr>
        <w:t xml:space="preserve"> </w:t>
      </w:r>
      <w:r w:rsidR="00CC6AB3" w:rsidRPr="00AE7C99">
        <w:rPr>
          <w:szCs w:val="22"/>
        </w:rPr>
        <w:t>these politically sensitive</w:t>
      </w:r>
      <w:r w:rsidR="00C1656A" w:rsidRPr="00AE7C99">
        <w:rPr>
          <w:szCs w:val="22"/>
        </w:rPr>
        <w:t xml:space="preserve"> and</w:t>
      </w:r>
      <w:r w:rsidR="00CC6AB3" w:rsidRPr="00AE7C99">
        <w:rPr>
          <w:szCs w:val="22"/>
        </w:rPr>
        <w:t xml:space="preserve"> challenging reforms,</w:t>
      </w:r>
      <w:r w:rsidR="00EA34E0" w:rsidRPr="003E5BF3">
        <w:rPr>
          <w:szCs w:val="22"/>
        </w:rPr>
        <w:t xml:space="preserve"> there were delays from the </w:t>
      </w:r>
      <w:r w:rsidR="00C1656A" w:rsidRPr="00AE7C99">
        <w:rPr>
          <w:szCs w:val="22"/>
        </w:rPr>
        <w:t>originally agreed timeframe</w:t>
      </w:r>
      <w:r w:rsidRPr="00AE7C99">
        <w:rPr>
          <w:szCs w:val="22"/>
        </w:rPr>
        <w:t>. Delays were due to a range of factors, including: political changes</w:t>
      </w:r>
      <w:r w:rsidR="00CC6AB3" w:rsidRPr="00AE7C99">
        <w:rPr>
          <w:szCs w:val="22"/>
        </w:rPr>
        <w:t>,</w:t>
      </w:r>
      <w:r w:rsidRPr="00AE7C99">
        <w:rPr>
          <w:szCs w:val="22"/>
        </w:rPr>
        <w:t xml:space="preserve"> over-ambitious timeframes,</w:t>
      </w:r>
      <w:r w:rsidR="00C1656A" w:rsidRPr="00AE7C99">
        <w:rPr>
          <w:szCs w:val="22"/>
        </w:rPr>
        <w:t xml:space="preserve"> delays in acquiring technical assistance</w:t>
      </w:r>
      <w:r w:rsidRPr="00AE7C99">
        <w:rPr>
          <w:szCs w:val="22"/>
        </w:rPr>
        <w:t xml:space="preserve"> and the difficult political economy of sensitive </w:t>
      </w:r>
      <w:r w:rsidR="00CC6AB3" w:rsidRPr="00AE7C99">
        <w:rPr>
          <w:szCs w:val="22"/>
        </w:rPr>
        <w:t>reform</w:t>
      </w:r>
      <w:r w:rsidRPr="00AE7C99">
        <w:rPr>
          <w:szCs w:val="22"/>
        </w:rPr>
        <w:t>.</w:t>
      </w:r>
      <w:r w:rsidR="004B79F1" w:rsidRPr="00AE7C99">
        <w:rPr>
          <w:szCs w:val="22"/>
        </w:rPr>
        <w:t xml:space="preserve"> Despite the delays, the flexibility in this approach has enabled government and relevant partners to work through and achieve the reforms.</w:t>
      </w:r>
      <w:r w:rsidRPr="00AE7C99">
        <w:rPr>
          <w:szCs w:val="22"/>
        </w:rPr>
        <w:t xml:space="preserve"> The</w:t>
      </w:r>
      <w:r w:rsidR="00530C5A" w:rsidRPr="00AE7C99">
        <w:rPr>
          <w:szCs w:val="22"/>
        </w:rPr>
        <w:t xml:space="preserve"> key</w:t>
      </w:r>
      <w:r w:rsidRPr="00AE7C99">
        <w:rPr>
          <w:szCs w:val="22"/>
        </w:rPr>
        <w:t xml:space="preserve"> lesson is strik</w:t>
      </w:r>
      <w:r w:rsidR="00530C5A" w:rsidRPr="00AE7C99">
        <w:rPr>
          <w:szCs w:val="22"/>
        </w:rPr>
        <w:t>ing</w:t>
      </w:r>
      <w:r w:rsidRPr="00AE7C99">
        <w:rPr>
          <w:szCs w:val="22"/>
        </w:rPr>
        <w:t xml:space="preserve"> an appropriate</w:t>
      </w:r>
      <w:r w:rsidR="005472D1" w:rsidRPr="00AE7C99">
        <w:rPr>
          <w:szCs w:val="22"/>
        </w:rPr>
        <w:t xml:space="preserve"> balance in the ambition of the reform agenda </w:t>
      </w:r>
      <w:r w:rsidR="005472D1" w:rsidRPr="00AE7C99">
        <w:rPr>
          <w:szCs w:val="22"/>
        </w:rPr>
        <w:lastRenderedPageBreak/>
        <w:t>and the political will and technical feasibility to implement reforms.</w:t>
      </w:r>
      <w:r w:rsidRPr="00AE7C99">
        <w:rPr>
          <w:szCs w:val="22"/>
        </w:rPr>
        <w:t xml:space="preserve"> </w:t>
      </w:r>
      <w:r w:rsidR="00CC6AB3" w:rsidRPr="00AE7C99">
        <w:rPr>
          <w:szCs w:val="22"/>
        </w:rPr>
        <w:t xml:space="preserve">These lessons are being employed in the design of the next phase of reforms. </w:t>
      </w:r>
    </w:p>
    <w:p w:rsidR="003F46A6" w:rsidRPr="00EF5F68" w:rsidRDefault="003F46A6" w:rsidP="003528C8">
      <w:pPr>
        <w:pStyle w:val="BodyText"/>
        <w:jc w:val="both"/>
      </w:pPr>
      <w:r w:rsidRPr="00AE7C99">
        <w:t xml:space="preserve">While the policy reform matrix </w:t>
      </w:r>
      <w:r w:rsidR="003E5BF3">
        <w:t>is</w:t>
      </w:r>
      <w:r w:rsidR="00EA34E0">
        <w:t xml:space="preserve"> supported by high levels of </w:t>
      </w:r>
      <w:r w:rsidRPr="00AE7C99">
        <w:t xml:space="preserve">donor coordination and harmonisation, it </w:t>
      </w:r>
      <w:r w:rsidR="00EA34E0">
        <w:t>is</w:t>
      </w:r>
      <w:r w:rsidRPr="00AE7C99">
        <w:t xml:space="preserve"> resource intensive for DFAT to manage, particularly given the lack of a permanent presence in Tuvalu and the department’s significant role in coordinating donor input.</w:t>
      </w:r>
      <w:r w:rsidR="00570FC2" w:rsidRPr="00AE7C99">
        <w:t xml:space="preserve"> DFAT</w:t>
      </w:r>
      <w:r w:rsidR="002C613B" w:rsidRPr="00AE7C99">
        <w:t xml:space="preserve"> will need</w:t>
      </w:r>
      <w:r w:rsidR="00570FC2" w:rsidRPr="00AE7C99">
        <w:t xml:space="preserve"> to explore ways this coordination role can be shared amongst the key donors supporting reforms in Tuvalu</w:t>
      </w:r>
      <w:r w:rsidR="00570FC2" w:rsidRPr="00EF5F68">
        <w:t>.</w:t>
      </w:r>
    </w:p>
    <w:p w:rsidR="003F46A6" w:rsidRPr="00AE7C99" w:rsidRDefault="003F46A6" w:rsidP="003528C8">
      <w:pPr>
        <w:pStyle w:val="BodyText"/>
        <w:jc w:val="both"/>
        <w:rPr>
          <w:u w:val="single"/>
        </w:rPr>
      </w:pPr>
      <w:r w:rsidRPr="00AE7C99">
        <w:rPr>
          <w:u w:val="single"/>
        </w:rPr>
        <w:t>Pacific Technical Assistance Mechanism (PACTAM)</w:t>
      </w:r>
    </w:p>
    <w:p w:rsidR="003F46A6" w:rsidRPr="00AE7C99" w:rsidRDefault="003F46A6" w:rsidP="003528C8">
      <w:pPr>
        <w:pStyle w:val="BodyText"/>
        <w:jc w:val="both"/>
      </w:pPr>
      <w:r w:rsidRPr="00AE7C99">
        <w:t xml:space="preserve">The Government of Tuvalu </w:t>
      </w:r>
      <w:r w:rsidR="006E657F" w:rsidRPr="00AE7C99">
        <w:t xml:space="preserve">continues to </w:t>
      </w:r>
      <w:r w:rsidRPr="00AE7C99">
        <w:t>face severe capacity constraints</w:t>
      </w:r>
      <w:r w:rsidR="00E17F5E" w:rsidRPr="00AE7C99">
        <w:t>, particularly high staff turnover in Tuvalu’s civil service</w:t>
      </w:r>
      <w:r w:rsidR="00DB365C">
        <w:t xml:space="preserve">, as a result of both </w:t>
      </w:r>
      <w:r w:rsidR="00DB365C" w:rsidRPr="00DB365C">
        <w:t>movement out (migration, scholarships) and movement within (promotion, transfers)</w:t>
      </w:r>
      <w:r w:rsidR="00E17F5E" w:rsidRPr="00AE7C99">
        <w:t xml:space="preserve">. </w:t>
      </w:r>
      <w:r w:rsidRPr="00AE7C99">
        <w:t>DFAT-supported PACTAM advisers help</w:t>
      </w:r>
      <w:r w:rsidR="00822A95">
        <w:t xml:space="preserve"> to</w:t>
      </w:r>
      <w:r w:rsidR="002C613B" w:rsidRPr="00AE7C99">
        <w:t xml:space="preserve"> </w:t>
      </w:r>
      <w:r w:rsidRPr="00AE7C99">
        <w:t xml:space="preserve">build the capacity of </w:t>
      </w:r>
      <w:r w:rsidR="00822A95">
        <w:t xml:space="preserve">Government of Tuvalu </w:t>
      </w:r>
      <w:r w:rsidRPr="00AE7C99">
        <w:t>staff by training and developing skills in priority economic and oversight institutions</w:t>
      </w:r>
      <w:r w:rsidR="002C613B" w:rsidRPr="00AE7C99">
        <w:t xml:space="preserve"> and providing on-the-job guidance and mentoring</w:t>
      </w:r>
      <w:r w:rsidRPr="00AE7C99">
        <w:t xml:space="preserve">. </w:t>
      </w:r>
    </w:p>
    <w:p w:rsidR="003F46A6" w:rsidRPr="00AE7C99" w:rsidRDefault="002C613B" w:rsidP="003528C8">
      <w:pPr>
        <w:pStyle w:val="BodyText"/>
        <w:jc w:val="both"/>
      </w:pPr>
      <w:r w:rsidRPr="00AE7C99">
        <w:t xml:space="preserve">In 2013-14, </w:t>
      </w:r>
      <w:r w:rsidR="000956C3">
        <w:t xml:space="preserve">PACTAM </w:t>
      </w:r>
      <w:r w:rsidR="003F46A6" w:rsidRPr="00AE7C99">
        <w:t xml:space="preserve">advisers have helped improve local capacity and improve government operations </w:t>
      </w:r>
      <w:r w:rsidR="000956C3">
        <w:t>in many ways, including, for example</w:t>
      </w:r>
      <w:r w:rsidR="003F46A6" w:rsidRPr="00AE7C99">
        <w:t xml:space="preserve">: </w:t>
      </w:r>
    </w:p>
    <w:p w:rsidR="003F46A6" w:rsidRPr="00AE7C99" w:rsidRDefault="003F46A6" w:rsidP="003528C8">
      <w:pPr>
        <w:pStyle w:val="ListBullet"/>
        <w:jc w:val="both"/>
      </w:pPr>
      <w:r w:rsidRPr="00AE7C99">
        <w:t xml:space="preserve">drafting a public procurement bill and regulations </w:t>
      </w:r>
      <w:r w:rsidR="00526023" w:rsidRPr="00AE7C99">
        <w:t>that were approved by Parliament</w:t>
      </w:r>
    </w:p>
    <w:p w:rsidR="003F46A6" w:rsidRPr="00AE7C99" w:rsidRDefault="00526023" w:rsidP="003528C8">
      <w:pPr>
        <w:pStyle w:val="ListBullet"/>
        <w:jc w:val="both"/>
      </w:pPr>
      <w:r w:rsidRPr="00AE7C99">
        <w:t>p</w:t>
      </w:r>
      <w:r w:rsidR="003F46A6" w:rsidRPr="00AE7C99">
        <w:t xml:space="preserve">rovision of advice on </w:t>
      </w:r>
      <w:r w:rsidR="009B750F" w:rsidRPr="00AE7C99">
        <w:t xml:space="preserve">legal issues concerning </w:t>
      </w:r>
      <w:r w:rsidR="003F46A6" w:rsidRPr="00AE7C99">
        <w:t xml:space="preserve">the Convention on the Elimination of Discrimination Against Women </w:t>
      </w:r>
    </w:p>
    <w:p w:rsidR="003F46A6" w:rsidRPr="00AE7C99" w:rsidRDefault="003F46A6" w:rsidP="003528C8">
      <w:pPr>
        <w:pStyle w:val="ListBullet"/>
        <w:jc w:val="both"/>
      </w:pPr>
      <w:r w:rsidRPr="00AE7C99">
        <w:t>completion of several performance audits</w:t>
      </w:r>
      <w:r w:rsidR="000956C3">
        <w:t xml:space="preserve"> and </w:t>
      </w:r>
      <w:r w:rsidRPr="00AE7C99">
        <w:t>development of an audit website to boost government transparency</w:t>
      </w:r>
    </w:p>
    <w:p w:rsidR="00526023" w:rsidRPr="00AE7C99" w:rsidRDefault="003F46A6" w:rsidP="003528C8">
      <w:pPr>
        <w:pStyle w:val="ListBullet"/>
        <w:jc w:val="both"/>
      </w:pPr>
      <w:r w:rsidRPr="00AE7C99">
        <w:t>restructuring of the Treasury department with defined roles and streamlined processes</w:t>
      </w:r>
    </w:p>
    <w:p w:rsidR="003F46A6" w:rsidRPr="00AE7C99" w:rsidRDefault="003F46A6" w:rsidP="003528C8">
      <w:pPr>
        <w:pStyle w:val="ListBullet"/>
        <w:jc w:val="both"/>
      </w:pPr>
      <w:r w:rsidRPr="00AE7C99">
        <w:t>prepar</w:t>
      </w:r>
      <w:r w:rsidR="00526023" w:rsidRPr="00AE7C99">
        <w:t>ation</w:t>
      </w:r>
      <w:r w:rsidRPr="00AE7C99">
        <w:t xml:space="preserve"> and public</w:t>
      </w:r>
      <w:r w:rsidR="00526023" w:rsidRPr="00AE7C99">
        <w:t>ation of</w:t>
      </w:r>
      <w:r w:rsidRPr="00AE7C99">
        <w:t xml:space="preserve"> monthly financial reports</w:t>
      </w:r>
    </w:p>
    <w:p w:rsidR="003F46A6" w:rsidRPr="00AE7C99" w:rsidRDefault="00526023" w:rsidP="003528C8">
      <w:pPr>
        <w:pStyle w:val="ListBullet"/>
        <w:jc w:val="both"/>
      </w:pPr>
      <w:r w:rsidRPr="00AE7C99">
        <w:t>c</w:t>
      </w:r>
      <w:r w:rsidR="003F46A6" w:rsidRPr="00AE7C99">
        <w:t xml:space="preserve">onducting audits of </w:t>
      </w:r>
      <w:r w:rsidRPr="00AE7C99">
        <w:t>nine</w:t>
      </w:r>
      <w:r w:rsidR="003F46A6" w:rsidRPr="00AE7C99">
        <w:t xml:space="preserve"> public enterprises and facilitating the reconciliation of public enterprise tax arrears</w:t>
      </w:r>
    </w:p>
    <w:p w:rsidR="003F46A6" w:rsidRPr="00AE7C99" w:rsidRDefault="00526023" w:rsidP="003528C8">
      <w:pPr>
        <w:pStyle w:val="ListBullet"/>
        <w:jc w:val="both"/>
      </w:pPr>
      <w:r w:rsidRPr="00AE7C99">
        <w:t>t</w:t>
      </w:r>
      <w:r w:rsidR="003F46A6" w:rsidRPr="00AE7C99">
        <w:t>raining staff in public speaking, leadership, professional development and computer skills.</w:t>
      </w:r>
    </w:p>
    <w:p w:rsidR="00D352B9" w:rsidRPr="00AE7C99" w:rsidRDefault="007F56A2" w:rsidP="003528C8">
      <w:pPr>
        <w:pStyle w:val="ListBullet"/>
        <w:numPr>
          <w:ilvl w:val="0"/>
          <w:numId w:val="0"/>
        </w:numPr>
        <w:tabs>
          <w:tab w:val="clear" w:pos="284"/>
        </w:tabs>
        <w:jc w:val="both"/>
      </w:pPr>
      <w:r w:rsidRPr="00AE7C99">
        <w:t xml:space="preserve">The three components under Objective One of the Partnership were not designed with a specific objective of </w:t>
      </w:r>
      <w:r w:rsidR="00CC7E94" w:rsidRPr="00AE7C99">
        <w:t xml:space="preserve">improving </w:t>
      </w:r>
      <w:r w:rsidR="00CC7E94" w:rsidRPr="003528C8">
        <w:rPr>
          <w:b/>
        </w:rPr>
        <w:t>gender</w:t>
      </w:r>
      <w:r w:rsidRPr="003528C8">
        <w:rPr>
          <w:b/>
        </w:rPr>
        <w:t xml:space="preserve"> </w:t>
      </w:r>
      <w:r w:rsidRPr="00AE7C99">
        <w:rPr>
          <w:b/>
        </w:rPr>
        <w:t>equality</w:t>
      </w:r>
      <w:r w:rsidRPr="00AE7C99">
        <w:t xml:space="preserve">. </w:t>
      </w:r>
      <w:r w:rsidR="00D352B9" w:rsidRPr="00AE7C99">
        <w:t>DFAT’s monitoring information systems do not collect data on the impact on women and men, so their impact is not well understood. PACTAM advisers work to encourage female staff to take on leadership roles, and in future, they will be undertaking gender training ahead of their placements so they can learn how to mainstream gender equality in their work. DFAT</w:t>
      </w:r>
      <w:r w:rsidR="00EA34E0">
        <w:t xml:space="preserve">’s gender country plan for Tuvalu will consider </w:t>
      </w:r>
      <w:r w:rsidR="004D38CA" w:rsidRPr="00AE7C99">
        <w:t xml:space="preserve">how the objective resulted in better social services for women, social impact of tax reforms, how procurement </w:t>
      </w:r>
      <w:r w:rsidR="006035A4" w:rsidRPr="00AE7C99">
        <w:t>benefits women</w:t>
      </w:r>
      <w:r w:rsidR="004D38CA" w:rsidRPr="00AE7C99">
        <w:t xml:space="preserve"> in business and how the Gender Affairs department is consulted on budget planning and its impact on men and women.</w:t>
      </w:r>
    </w:p>
    <w:p w:rsidR="00C26E24" w:rsidRPr="00A34091" w:rsidRDefault="00C26E24" w:rsidP="003528C8">
      <w:pPr>
        <w:pStyle w:val="Heading3"/>
        <w:jc w:val="both"/>
      </w:pPr>
      <w:r w:rsidRPr="00C26E24">
        <w:rPr>
          <w:color w:val="1F497D" w:themeColor="text2"/>
        </w:rPr>
        <w:t>Objective 2: Education and human resources</w:t>
      </w:r>
    </w:p>
    <w:p w:rsidR="00C26E24" w:rsidRPr="00AE7C99" w:rsidRDefault="00C26E24" w:rsidP="003528C8">
      <w:pPr>
        <w:pStyle w:val="BodyText"/>
        <w:jc w:val="both"/>
        <w:rPr>
          <w:szCs w:val="21"/>
        </w:rPr>
      </w:pPr>
      <w:r w:rsidRPr="00AE7C99">
        <w:rPr>
          <w:szCs w:val="21"/>
        </w:rPr>
        <w:t xml:space="preserve">Australia’s </w:t>
      </w:r>
      <w:r w:rsidRPr="00AE7C99">
        <w:rPr>
          <w:rFonts w:eastAsia="Calibri"/>
          <w:szCs w:val="21"/>
        </w:rPr>
        <w:t xml:space="preserve">commitments under this objective </w:t>
      </w:r>
      <w:r w:rsidRPr="00AE7C99">
        <w:rPr>
          <w:szCs w:val="21"/>
        </w:rPr>
        <w:t>are to:</w:t>
      </w:r>
    </w:p>
    <w:p w:rsidR="00C85259" w:rsidRPr="00AE7C99" w:rsidRDefault="00C26E24" w:rsidP="003528C8">
      <w:pPr>
        <w:pStyle w:val="ListBullet"/>
        <w:jc w:val="both"/>
      </w:pPr>
      <w:r w:rsidRPr="00AE7C99">
        <w:rPr>
          <w:szCs w:val="21"/>
        </w:rPr>
        <w:t xml:space="preserve">increase </w:t>
      </w:r>
      <w:r w:rsidR="00176E7F">
        <w:rPr>
          <w:szCs w:val="21"/>
        </w:rPr>
        <w:t>the quality of</w:t>
      </w:r>
      <w:r w:rsidRPr="00AE7C99">
        <w:rPr>
          <w:szCs w:val="21"/>
        </w:rPr>
        <w:t xml:space="preserve"> early childhood and primary education for all children, especially those living in difficult circumstances and those with special needs; </w:t>
      </w:r>
    </w:p>
    <w:p w:rsidR="00C26E24" w:rsidRPr="00AE7C99" w:rsidRDefault="00C26E24" w:rsidP="003528C8">
      <w:pPr>
        <w:pStyle w:val="ListBullet"/>
        <w:jc w:val="both"/>
      </w:pPr>
      <w:r w:rsidRPr="00AE7C99">
        <w:t xml:space="preserve">provide long-term scholarships in joint priority areas for Tuvaluan, creating opportunities to access quality education, gain good qualifications and access employment opportunities. </w:t>
      </w:r>
    </w:p>
    <w:p w:rsidR="009F2038" w:rsidRPr="00AE7C99" w:rsidRDefault="009F2038" w:rsidP="003528C8">
      <w:pPr>
        <w:pStyle w:val="ListBullet"/>
        <w:numPr>
          <w:ilvl w:val="0"/>
          <w:numId w:val="0"/>
        </w:numPr>
        <w:tabs>
          <w:tab w:val="clear" w:pos="284"/>
        </w:tabs>
        <w:jc w:val="both"/>
      </w:pPr>
      <w:r w:rsidRPr="00AE7C99">
        <w:lastRenderedPageBreak/>
        <w:t xml:space="preserve">Overall, this objective was rated green because progress </w:t>
      </w:r>
      <w:r w:rsidR="00A869D6" w:rsidRPr="00AE7C99">
        <w:t>is on track</w:t>
      </w:r>
      <w:r w:rsidRPr="00AE7C99">
        <w:t>. Progress on implementation has improved since last year when this objective was rated ‘amber’</w:t>
      </w:r>
      <w:r w:rsidR="00A869D6" w:rsidRPr="00AE7C99">
        <w:t xml:space="preserve">. </w:t>
      </w:r>
      <w:r w:rsidR="001C4198" w:rsidRPr="00AE7C99">
        <w:t>A</w:t>
      </w:r>
      <w:r w:rsidRPr="00AE7C99">
        <w:t xml:space="preserve"> number of </w:t>
      </w:r>
      <w:r w:rsidR="00C85259" w:rsidRPr="00AE7C99">
        <w:t>improvements have been made that have led to better results</w:t>
      </w:r>
      <w:r w:rsidR="00E014E1" w:rsidRPr="00AE7C99">
        <w:t xml:space="preserve"> this year</w:t>
      </w:r>
      <w:r w:rsidR="00A869D6" w:rsidRPr="00AE7C99">
        <w:t xml:space="preserve">. </w:t>
      </w:r>
    </w:p>
    <w:p w:rsidR="00CD1453" w:rsidRPr="00AE7C99" w:rsidRDefault="00CD1453" w:rsidP="003528C8">
      <w:pPr>
        <w:pStyle w:val="ListBullet"/>
        <w:numPr>
          <w:ilvl w:val="0"/>
          <w:numId w:val="0"/>
        </w:numPr>
        <w:tabs>
          <w:tab w:val="clear" w:pos="284"/>
        </w:tabs>
        <w:jc w:val="both"/>
        <w:rPr>
          <w:u w:val="single"/>
        </w:rPr>
      </w:pPr>
      <w:r w:rsidRPr="00AE7C99">
        <w:rPr>
          <w:u w:val="single"/>
        </w:rPr>
        <w:t>Primary education</w:t>
      </w:r>
    </w:p>
    <w:p w:rsidR="00AE2F41" w:rsidRPr="00AE7C99" w:rsidRDefault="00260D4A" w:rsidP="003528C8">
      <w:pPr>
        <w:pStyle w:val="BodyText"/>
        <w:jc w:val="both"/>
        <w:rPr>
          <w:rFonts w:eastAsiaTheme="minorHAnsi"/>
        </w:rPr>
      </w:pPr>
      <w:r w:rsidRPr="00AE7C99">
        <w:t xml:space="preserve">In spite of near-universal primary education, the quality of education in Tuvalu remains a challenge. </w:t>
      </w:r>
      <w:r w:rsidR="00D9602C" w:rsidRPr="00AE7C99">
        <w:t>Tuvalu’s Ministry of Education data indicates that over the past three years, only 50 per cent of Year 8 students have passed their exams and few continue beyond Year 8 to secondary school.</w:t>
      </w:r>
      <w:r w:rsidRPr="00AE7C99">
        <w:rPr>
          <w:rStyle w:val="FootnoteReference"/>
        </w:rPr>
        <w:footnoteReference w:id="9"/>
      </w:r>
      <w:r w:rsidRPr="00AE7C99">
        <w:rPr>
          <w:rFonts w:eastAsiaTheme="minorHAnsi"/>
        </w:rPr>
        <w:t xml:space="preserve"> In re</w:t>
      </w:r>
      <w:r w:rsidR="003E7D28">
        <w:rPr>
          <w:rFonts w:eastAsiaTheme="minorHAnsi"/>
        </w:rPr>
        <w:t>sponse to</w:t>
      </w:r>
      <w:r w:rsidRPr="00AE7C99">
        <w:rPr>
          <w:rFonts w:eastAsiaTheme="minorHAnsi"/>
        </w:rPr>
        <w:t xml:space="preserve"> </w:t>
      </w:r>
      <w:r w:rsidR="00CD1453" w:rsidRPr="00AE7C99">
        <w:rPr>
          <w:rFonts w:eastAsiaTheme="minorHAnsi"/>
        </w:rPr>
        <w:t>the</w:t>
      </w:r>
      <w:r w:rsidR="004F77A1" w:rsidRPr="00AE7C99">
        <w:rPr>
          <w:rFonts w:eastAsiaTheme="minorHAnsi"/>
        </w:rPr>
        <w:t xml:space="preserve">se challenges, </w:t>
      </w:r>
      <w:r w:rsidRPr="00AE7C99">
        <w:rPr>
          <w:rFonts w:eastAsiaTheme="minorHAnsi"/>
        </w:rPr>
        <w:t xml:space="preserve">in March 2012, Australia </w:t>
      </w:r>
      <w:r w:rsidR="00D9602C" w:rsidRPr="00AE7C99">
        <w:rPr>
          <w:rFonts w:eastAsiaTheme="minorHAnsi"/>
        </w:rPr>
        <w:t>began</w:t>
      </w:r>
      <w:r w:rsidRPr="00AE7C99">
        <w:rPr>
          <w:rFonts w:eastAsiaTheme="minorHAnsi"/>
        </w:rPr>
        <w:t xml:space="preserve"> a </w:t>
      </w:r>
      <w:r w:rsidR="00CD1453" w:rsidRPr="00AE7C99">
        <w:rPr>
          <w:rFonts w:eastAsiaTheme="minorHAnsi"/>
        </w:rPr>
        <w:t>four</w:t>
      </w:r>
      <w:r w:rsidRPr="00AE7C99">
        <w:rPr>
          <w:rFonts w:eastAsiaTheme="minorHAnsi"/>
        </w:rPr>
        <w:t>-year program with UNICEF and Tuvalu’s Ministry of Education</w:t>
      </w:r>
      <w:r w:rsidR="00D9602C" w:rsidRPr="00AE7C99">
        <w:rPr>
          <w:rFonts w:eastAsiaTheme="minorHAnsi"/>
        </w:rPr>
        <w:t xml:space="preserve"> </w:t>
      </w:r>
      <w:r w:rsidR="003E7D28">
        <w:rPr>
          <w:rFonts w:eastAsiaTheme="minorHAnsi"/>
        </w:rPr>
        <w:t xml:space="preserve">to </w:t>
      </w:r>
      <w:r w:rsidR="00D9602C" w:rsidRPr="00AE7C99">
        <w:rPr>
          <w:rFonts w:eastAsiaTheme="minorHAnsi"/>
        </w:rPr>
        <w:t>improv</w:t>
      </w:r>
      <w:r w:rsidR="003E7D28">
        <w:rPr>
          <w:rFonts w:eastAsiaTheme="minorHAnsi"/>
        </w:rPr>
        <w:t>e</w:t>
      </w:r>
      <w:r w:rsidR="00D9602C" w:rsidRPr="00AE7C99">
        <w:rPr>
          <w:rFonts w:eastAsiaTheme="minorHAnsi"/>
        </w:rPr>
        <w:t xml:space="preserve"> education outcomes in Tuvalu’s</w:t>
      </w:r>
      <w:r w:rsidRPr="00AE7C99">
        <w:rPr>
          <w:rFonts w:eastAsiaTheme="minorHAnsi"/>
        </w:rPr>
        <w:t xml:space="preserve"> 18 early childhood education centres</w:t>
      </w:r>
      <w:r w:rsidR="00E014E1" w:rsidRPr="00AE7C99">
        <w:rPr>
          <w:rFonts w:eastAsiaTheme="minorHAnsi"/>
        </w:rPr>
        <w:t xml:space="preserve"> and</w:t>
      </w:r>
      <w:r w:rsidRPr="00AE7C99">
        <w:rPr>
          <w:rFonts w:eastAsiaTheme="minorHAnsi"/>
        </w:rPr>
        <w:t xml:space="preserve"> 10 primary </w:t>
      </w:r>
      <w:r w:rsidR="00D9602C" w:rsidRPr="00AE7C99">
        <w:rPr>
          <w:rFonts w:eastAsiaTheme="minorHAnsi"/>
        </w:rPr>
        <w:t>schools</w:t>
      </w:r>
      <w:r w:rsidRPr="00AE7C99">
        <w:rPr>
          <w:rFonts w:eastAsiaTheme="minorHAnsi"/>
        </w:rPr>
        <w:t xml:space="preserve">. </w:t>
      </w:r>
      <w:r w:rsidR="00D9602C" w:rsidRPr="00AE7C99">
        <w:rPr>
          <w:rFonts w:eastAsiaTheme="minorHAnsi"/>
        </w:rPr>
        <w:t xml:space="preserve">Australia’s funding is </w:t>
      </w:r>
      <w:r w:rsidR="00E014E1" w:rsidRPr="00AE7C99">
        <w:rPr>
          <w:rFonts w:eastAsiaTheme="minorHAnsi"/>
        </w:rPr>
        <w:t xml:space="preserve">provided </w:t>
      </w:r>
      <w:r w:rsidR="00D9602C" w:rsidRPr="00AE7C99">
        <w:rPr>
          <w:rFonts w:eastAsiaTheme="minorHAnsi"/>
        </w:rPr>
        <w:t xml:space="preserve">to UNICEF, </w:t>
      </w:r>
      <w:r w:rsidR="00E014E1" w:rsidRPr="00AE7C99">
        <w:rPr>
          <w:rFonts w:eastAsiaTheme="minorHAnsi"/>
        </w:rPr>
        <w:t xml:space="preserve">which </w:t>
      </w:r>
      <w:r w:rsidR="00D9602C" w:rsidRPr="00AE7C99">
        <w:rPr>
          <w:rFonts w:eastAsiaTheme="minorHAnsi"/>
        </w:rPr>
        <w:t xml:space="preserve">implements the program in partnership with the Government of Tuvalu. </w:t>
      </w:r>
    </w:p>
    <w:p w:rsidR="00A869D6" w:rsidRPr="00AE7C99" w:rsidRDefault="00CD1453" w:rsidP="003528C8">
      <w:pPr>
        <w:pStyle w:val="BodyText"/>
        <w:jc w:val="both"/>
      </w:pPr>
      <w:r w:rsidRPr="00AE7C99">
        <w:t xml:space="preserve">The current phase of the program, which began in March 2013, </w:t>
      </w:r>
      <w:r w:rsidR="00D9602C" w:rsidRPr="00AE7C99">
        <w:t>focuses on improving</w:t>
      </w:r>
      <w:r w:rsidR="00260D4A" w:rsidRPr="00AE7C99">
        <w:t xml:space="preserve"> school-based management, early grade literacy</w:t>
      </w:r>
      <w:r w:rsidR="003F0FA3" w:rsidRPr="00AE7C99">
        <w:t>, teacher training,</w:t>
      </w:r>
      <w:r w:rsidR="00260D4A" w:rsidRPr="00AE7C99">
        <w:t xml:space="preserve"> and further development of the education information system. </w:t>
      </w:r>
      <w:r w:rsidR="00BD2978" w:rsidRPr="00AE7C99">
        <w:t xml:space="preserve">Key achievements </w:t>
      </w:r>
      <w:r w:rsidR="00CE5D4F" w:rsidRPr="00AE7C99">
        <w:t xml:space="preserve">over </w:t>
      </w:r>
      <w:r w:rsidR="00BD2978" w:rsidRPr="00AE7C99">
        <w:t>2013-14</w:t>
      </w:r>
      <w:r w:rsidR="00A869D6" w:rsidRPr="00AE7C99">
        <w:t xml:space="preserve"> include</w:t>
      </w:r>
      <w:r w:rsidR="003F0FA3" w:rsidRPr="00AE7C99">
        <w:rPr>
          <w:rStyle w:val="FootnoteReference"/>
        </w:rPr>
        <w:footnoteReference w:id="10"/>
      </w:r>
      <w:r w:rsidR="00A869D6" w:rsidRPr="00AE7C99">
        <w:t>:</w:t>
      </w:r>
    </w:p>
    <w:p w:rsidR="00A869D6" w:rsidRPr="00AE7C99" w:rsidRDefault="00A869D6" w:rsidP="003528C8">
      <w:pPr>
        <w:pStyle w:val="ListBullet"/>
        <w:numPr>
          <w:ilvl w:val="0"/>
          <w:numId w:val="25"/>
        </w:numPr>
        <w:tabs>
          <w:tab w:val="clear" w:pos="284"/>
        </w:tabs>
        <w:jc w:val="both"/>
      </w:pPr>
      <w:r w:rsidRPr="00AE7C99">
        <w:t>all primary schools</w:t>
      </w:r>
      <w:r w:rsidR="001C4198">
        <w:t>,</w:t>
      </w:r>
      <w:r w:rsidR="00C804B7" w:rsidRPr="00AE7C99">
        <w:t xml:space="preserve"> including the school for children with disabilities</w:t>
      </w:r>
      <w:r w:rsidR="001C4198">
        <w:t>,</w:t>
      </w:r>
      <w:r w:rsidRPr="00AE7C99">
        <w:t xml:space="preserve"> have</w:t>
      </w:r>
      <w:r w:rsidR="001C4198">
        <w:t xml:space="preserve"> </w:t>
      </w:r>
      <w:r w:rsidRPr="00AE7C99">
        <w:t xml:space="preserve">developed strategic plans and costed school improvement plans. Parents, teachers and local communities are taking responsibility for student learning outcomes, for example, one school community </w:t>
      </w:r>
      <w:r w:rsidR="00AE2F41">
        <w:t>fundraised</w:t>
      </w:r>
      <w:r w:rsidR="0073264E" w:rsidRPr="00AE7C99">
        <w:t xml:space="preserve"> </w:t>
      </w:r>
      <w:r w:rsidRPr="00AE7C99">
        <w:t xml:space="preserve">to purchase </w:t>
      </w:r>
      <w:r w:rsidR="0073264E" w:rsidRPr="00AE7C99">
        <w:t xml:space="preserve">a </w:t>
      </w:r>
      <w:r w:rsidRPr="00AE7C99">
        <w:t>photocopier</w:t>
      </w:r>
      <w:r w:rsidR="0073264E" w:rsidRPr="00AE7C99">
        <w:t xml:space="preserve"> for the</w:t>
      </w:r>
      <w:r w:rsidR="00D9602C" w:rsidRPr="00AE7C99">
        <w:t>ir school</w:t>
      </w:r>
    </w:p>
    <w:p w:rsidR="00A869D6" w:rsidRPr="00AE7C99" w:rsidRDefault="00A869D6" w:rsidP="003528C8">
      <w:pPr>
        <w:pStyle w:val="ListBullet"/>
        <w:numPr>
          <w:ilvl w:val="0"/>
          <w:numId w:val="25"/>
        </w:numPr>
        <w:tabs>
          <w:tab w:val="clear" w:pos="284"/>
        </w:tabs>
        <w:jc w:val="both"/>
      </w:pPr>
      <w:r w:rsidRPr="00AE7C99">
        <w:t>T</w:t>
      </w:r>
      <w:r w:rsidR="00401346" w:rsidRPr="00AE7C99">
        <w:t xml:space="preserve">uvalu’s Education </w:t>
      </w:r>
      <w:r w:rsidRPr="00AE7C99">
        <w:t>Management Info</w:t>
      </w:r>
      <w:r w:rsidR="00401346" w:rsidRPr="00AE7C99">
        <w:t>rmation</w:t>
      </w:r>
      <w:r w:rsidRPr="00AE7C99">
        <w:t xml:space="preserve"> System is </w:t>
      </w:r>
      <w:r w:rsidR="00401346" w:rsidRPr="00AE7C99">
        <w:t xml:space="preserve">now established and </w:t>
      </w:r>
      <w:r w:rsidRPr="00AE7C99">
        <w:t>record</w:t>
      </w:r>
      <w:r w:rsidR="001C4198">
        <w:t xml:space="preserve">s </w:t>
      </w:r>
      <w:r w:rsidRPr="00AE7C99">
        <w:t>and report</w:t>
      </w:r>
      <w:r w:rsidR="001C4198">
        <w:t>s</w:t>
      </w:r>
      <w:r w:rsidRPr="00AE7C99">
        <w:t xml:space="preserve"> on school enrolments and </w:t>
      </w:r>
      <w:r w:rsidR="00D9602C" w:rsidRPr="00AE7C99">
        <w:t xml:space="preserve">exam </w:t>
      </w:r>
      <w:r w:rsidRPr="00AE7C99">
        <w:t>results</w:t>
      </w:r>
      <w:r w:rsidR="00401346" w:rsidRPr="00AE7C99">
        <w:t xml:space="preserve">. This </w:t>
      </w:r>
      <w:r w:rsidR="001C4198">
        <w:t>data helps</w:t>
      </w:r>
      <w:r w:rsidRPr="00AE7C99">
        <w:t xml:space="preserve"> </w:t>
      </w:r>
      <w:r w:rsidR="00401346" w:rsidRPr="00AE7C99">
        <w:t xml:space="preserve">the Ministry of Education to </w:t>
      </w:r>
      <w:r w:rsidRPr="00AE7C99">
        <w:t xml:space="preserve">target interventions. </w:t>
      </w:r>
    </w:p>
    <w:p w:rsidR="00A869D6" w:rsidRPr="00AE7C99" w:rsidRDefault="00CE5D4F" w:rsidP="003528C8">
      <w:pPr>
        <w:pStyle w:val="ListBullet"/>
        <w:numPr>
          <w:ilvl w:val="0"/>
          <w:numId w:val="25"/>
        </w:numPr>
        <w:tabs>
          <w:tab w:val="clear" w:pos="284"/>
        </w:tabs>
        <w:jc w:val="both"/>
      </w:pPr>
      <w:r w:rsidRPr="00AE7C99">
        <w:t xml:space="preserve">Primary school teachers </w:t>
      </w:r>
      <w:r w:rsidR="00BD2978" w:rsidRPr="00AE7C99">
        <w:t xml:space="preserve">have </w:t>
      </w:r>
      <w:r w:rsidR="001C4198">
        <w:t xml:space="preserve">received training </w:t>
      </w:r>
      <w:r w:rsidR="00D45FC5" w:rsidRPr="00AE7C99">
        <w:t>on</w:t>
      </w:r>
      <w:r w:rsidR="00D9602C" w:rsidRPr="00AE7C99">
        <w:t xml:space="preserve"> </w:t>
      </w:r>
      <w:r w:rsidR="00260D4A" w:rsidRPr="00AE7C99">
        <w:t xml:space="preserve">core </w:t>
      </w:r>
      <w:r w:rsidR="00A869D6" w:rsidRPr="00AE7C99">
        <w:t xml:space="preserve">competencies and skills </w:t>
      </w:r>
      <w:r w:rsidR="00F76C89">
        <w:t>in</w:t>
      </w:r>
      <w:r w:rsidR="00F76C89" w:rsidRPr="00AE7C99">
        <w:t xml:space="preserve"> </w:t>
      </w:r>
      <w:r w:rsidR="00F219B0" w:rsidRPr="00AE7C99">
        <w:t>S</w:t>
      </w:r>
      <w:r w:rsidR="00260D4A" w:rsidRPr="00AE7C99">
        <w:t xml:space="preserve">cience </w:t>
      </w:r>
      <w:r w:rsidR="00A869D6" w:rsidRPr="00AE7C99">
        <w:t xml:space="preserve">to support </w:t>
      </w:r>
      <w:r w:rsidR="00260D4A" w:rsidRPr="00AE7C99">
        <w:t>student learning</w:t>
      </w:r>
      <w:r w:rsidR="00F219B0" w:rsidRPr="00AE7C99">
        <w:t>.</w:t>
      </w:r>
      <w:r w:rsidR="00D45FC5" w:rsidRPr="00AE7C99">
        <w:t xml:space="preserve"> </w:t>
      </w:r>
    </w:p>
    <w:p w:rsidR="00A869D6" w:rsidRPr="00AE7C99" w:rsidRDefault="00260D4A" w:rsidP="003528C8">
      <w:pPr>
        <w:pStyle w:val="ListBullet"/>
        <w:numPr>
          <w:ilvl w:val="0"/>
          <w:numId w:val="25"/>
        </w:numPr>
        <w:tabs>
          <w:tab w:val="clear" w:pos="284"/>
        </w:tabs>
        <w:jc w:val="both"/>
      </w:pPr>
      <w:r w:rsidRPr="00AE7C99">
        <w:t xml:space="preserve">Ministry of Education curricula is being updated in </w:t>
      </w:r>
      <w:r w:rsidR="001C4198">
        <w:t>e</w:t>
      </w:r>
      <w:r w:rsidR="00A869D6" w:rsidRPr="00AE7C99">
        <w:t>nglish and science</w:t>
      </w:r>
      <w:r w:rsidRPr="00AE7C99">
        <w:t xml:space="preserve">, and </w:t>
      </w:r>
      <w:r w:rsidR="00CE5D4F" w:rsidRPr="00AE7C99">
        <w:t xml:space="preserve">will </w:t>
      </w:r>
      <w:r w:rsidRPr="00AE7C99">
        <w:t>shortly</w:t>
      </w:r>
      <w:r w:rsidR="00CE5D4F" w:rsidRPr="00AE7C99">
        <w:t xml:space="preserve"> be updated </w:t>
      </w:r>
      <w:r w:rsidR="00D9602C" w:rsidRPr="00AE7C99">
        <w:t>in maths</w:t>
      </w:r>
    </w:p>
    <w:p w:rsidR="00A869D6" w:rsidRPr="00AE7C99" w:rsidRDefault="00CE5D4F" w:rsidP="003528C8">
      <w:pPr>
        <w:pStyle w:val="ListBullet"/>
        <w:numPr>
          <w:ilvl w:val="0"/>
          <w:numId w:val="25"/>
        </w:numPr>
        <w:tabs>
          <w:tab w:val="clear" w:pos="284"/>
        </w:tabs>
        <w:jc w:val="both"/>
      </w:pPr>
      <w:r w:rsidRPr="00AE7C99">
        <w:t>UNICEF’s program r</w:t>
      </w:r>
      <w:r w:rsidR="00260D4A" w:rsidRPr="00AE7C99">
        <w:t xml:space="preserve">eporting has improved </w:t>
      </w:r>
      <w:r w:rsidR="00A869D6" w:rsidRPr="00AE7C99">
        <w:t>since 2012</w:t>
      </w:r>
      <w:r w:rsidR="00260D4A" w:rsidRPr="00AE7C99">
        <w:t xml:space="preserve">, with information provided to DFAT on </w:t>
      </w:r>
      <w:r w:rsidR="00A869D6" w:rsidRPr="00AE7C99">
        <w:t xml:space="preserve">progress, </w:t>
      </w:r>
      <w:r w:rsidR="00260D4A" w:rsidRPr="00AE7C99">
        <w:t xml:space="preserve">implementation </w:t>
      </w:r>
      <w:r w:rsidR="00A869D6" w:rsidRPr="00AE7C99">
        <w:t xml:space="preserve">challenges, </w:t>
      </w:r>
      <w:r w:rsidR="00260D4A" w:rsidRPr="00AE7C99">
        <w:t xml:space="preserve">and </w:t>
      </w:r>
      <w:r w:rsidR="00401346" w:rsidRPr="00AE7C99">
        <w:t>budget</w:t>
      </w:r>
      <w:r w:rsidR="00260D4A" w:rsidRPr="00AE7C99">
        <w:t xml:space="preserve"> updates and planning</w:t>
      </w:r>
    </w:p>
    <w:p w:rsidR="00D46B71" w:rsidRDefault="00601F78" w:rsidP="003528C8">
      <w:pPr>
        <w:pStyle w:val="ListBullet"/>
        <w:numPr>
          <w:ilvl w:val="0"/>
          <w:numId w:val="0"/>
        </w:numPr>
        <w:tabs>
          <w:tab w:val="clear" w:pos="284"/>
        </w:tabs>
        <w:jc w:val="both"/>
      </w:pPr>
      <w:r w:rsidRPr="00AE7C99">
        <w:t xml:space="preserve">Some of the </w:t>
      </w:r>
      <w:r w:rsidR="001C4198">
        <w:t xml:space="preserve">previous </w:t>
      </w:r>
      <w:r w:rsidRPr="00AE7C99">
        <w:t xml:space="preserve">challenges faced by the program </w:t>
      </w:r>
      <w:r w:rsidR="003F0FA3" w:rsidRPr="00AE7C99">
        <w:t>include</w:t>
      </w:r>
      <w:r w:rsidR="001C4198">
        <w:t>d</w:t>
      </w:r>
      <w:r w:rsidRPr="00AE7C99">
        <w:t xml:space="preserve"> a lack of clarity </w:t>
      </w:r>
      <w:r w:rsidR="009E0AE8" w:rsidRPr="00AE7C99">
        <w:t>on</w:t>
      </w:r>
      <w:r w:rsidR="0078232F" w:rsidRPr="00AE7C99">
        <w:t xml:space="preserve"> end of program outcomes</w:t>
      </w:r>
      <w:r w:rsidR="007F56A2" w:rsidRPr="00AE7C99">
        <w:t xml:space="preserve">, </w:t>
      </w:r>
      <w:r w:rsidR="00223197" w:rsidRPr="00AE7C99">
        <w:t>un</w:t>
      </w:r>
      <w:r w:rsidR="007F56A2" w:rsidRPr="00AE7C99">
        <w:t xml:space="preserve">clear </w:t>
      </w:r>
      <w:r w:rsidRPr="00AE7C99">
        <w:t xml:space="preserve">roles and responsibilities </w:t>
      </w:r>
      <w:r w:rsidR="009E0AE8" w:rsidRPr="00AE7C99">
        <w:t xml:space="preserve">of UNICEF, DFAT and the </w:t>
      </w:r>
      <w:r w:rsidRPr="00AE7C99">
        <w:t>M</w:t>
      </w:r>
      <w:r w:rsidR="009E0AE8" w:rsidRPr="00AE7C99">
        <w:t xml:space="preserve">inistry of </w:t>
      </w:r>
      <w:r w:rsidRPr="00AE7C99">
        <w:t>E</w:t>
      </w:r>
      <w:r w:rsidR="009E0AE8" w:rsidRPr="00AE7C99">
        <w:t>ducation</w:t>
      </w:r>
      <w:r w:rsidR="00223197" w:rsidRPr="00AE7C99">
        <w:t xml:space="preserve"> and delays in UNICEF recruitment</w:t>
      </w:r>
      <w:r w:rsidR="009E0AE8" w:rsidRPr="00AE7C99">
        <w:t>.</w:t>
      </w:r>
      <w:r w:rsidR="00223197" w:rsidRPr="00AE7C99">
        <w:t xml:space="preserve"> In response to these challenges, </w:t>
      </w:r>
      <w:r w:rsidR="009E0AE8" w:rsidRPr="00AE7C99">
        <w:t xml:space="preserve">Partners developed an </w:t>
      </w:r>
      <w:r w:rsidRPr="00AE7C99">
        <w:t>operational framework</w:t>
      </w:r>
      <w:r w:rsidR="009E0AE8" w:rsidRPr="00AE7C99">
        <w:t xml:space="preserve"> outlining the delineation of </w:t>
      </w:r>
      <w:r w:rsidR="00E47250">
        <w:t>roles</w:t>
      </w:r>
      <w:r w:rsidRPr="00AE7C99">
        <w:t>.</w:t>
      </w:r>
      <w:r w:rsidR="009E0AE8" w:rsidRPr="00AE7C99">
        <w:t xml:space="preserve"> Regular communication between UNICEF and DFAT has improved since 2012-13, with six-</w:t>
      </w:r>
      <w:r w:rsidR="00C357E3" w:rsidRPr="00AE7C99">
        <w:t>monthly o</w:t>
      </w:r>
      <w:r w:rsidR="009E0AE8" w:rsidRPr="00AE7C99">
        <w:t xml:space="preserve">versight </w:t>
      </w:r>
      <w:r w:rsidR="00C357E3" w:rsidRPr="00AE7C99">
        <w:t>c</w:t>
      </w:r>
      <w:r w:rsidR="009E0AE8" w:rsidRPr="00AE7C99">
        <w:t>ommittee meetings</w:t>
      </w:r>
      <w:r w:rsidR="003E7D28">
        <w:t xml:space="preserve"> </w:t>
      </w:r>
      <w:r w:rsidR="009E0AE8" w:rsidRPr="00AE7C99">
        <w:t>and regular informal discussions</w:t>
      </w:r>
      <w:r w:rsidR="00AE2F41" w:rsidRPr="00AE2F41">
        <w:t xml:space="preserve"> </w:t>
      </w:r>
      <w:r w:rsidR="00AE2F41">
        <w:t>held</w:t>
      </w:r>
      <w:r w:rsidR="00223197" w:rsidRPr="00AE7C99">
        <w:t>.</w:t>
      </w:r>
      <w:r w:rsidRPr="00AE7C99">
        <w:t xml:space="preserve"> </w:t>
      </w:r>
      <w:r w:rsidR="009E0AE8" w:rsidRPr="00AE7C99">
        <w:t>A monitoring and evaluation framework</w:t>
      </w:r>
      <w:r w:rsidR="0078232F" w:rsidRPr="00AE7C99">
        <w:t xml:space="preserve"> and risk management plan</w:t>
      </w:r>
      <w:r w:rsidR="009E0AE8" w:rsidRPr="00AE7C99">
        <w:t xml:space="preserve"> was approved in mid-2014.</w:t>
      </w:r>
      <w:r w:rsidR="00223197" w:rsidRPr="00AE7C99">
        <w:t xml:space="preserve"> T</w:t>
      </w:r>
      <w:r w:rsidR="0078232F" w:rsidRPr="00AE7C99">
        <w:t xml:space="preserve">he three </w:t>
      </w:r>
      <w:r w:rsidR="00223197" w:rsidRPr="00AE7C99">
        <w:t xml:space="preserve">partners </w:t>
      </w:r>
      <w:r w:rsidR="0078232F" w:rsidRPr="00AE7C99">
        <w:t xml:space="preserve">plan to better articulate </w:t>
      </w:r>
      <w:r w:rsidR="00AE2F41">
        <w:t xml:space="preserve">the </w:t>
      </w:r>
      <w:r w:rsidR="0078232F" w:rsidRPr="00AE7C99">
        <w:t xml:space="preserve">end of program outcomes </w:t>
      </w:r>
      <w:r w:rsidR="00E47250">
        <w:t>and further strengthen the program’s monitoring and evaluation framework</w:t>
      </w:r>
      <w:r w:rsidR="0078232F" w:rsidRPr="00AE7C99">
        <w:t xml:space="preserve"> in </w:t>
      </w:r>
      <w:r w:rsidR="00223197" w:rsidRPr="00AE7C99">
        <w:t>2014</w:t>
      </w:r>
      <w:r w:rsidR="00CE3E41">
        <w:t>-15</w:t>
      </w:r>
      <w:r w:rsidR="0078232F" w:rsidRPr="00AE7C99">
        <w:t>.</w:t>
      </w:r>
      <w:r w:rsidR="00310527" w:rsidRPr="00AE7C99">
        <w:t xml:space="preserve"> </w:t>
      </w:r>
    </w:p>
    <w:p w:rsidR="00024C14" w:rsidRPr="00AE7C99" w:rsidRDefault="001C4198" w:rsidP="003528C8">
      <w:pPr>
        <w:widowControl w:val="0"/>
        <w:spacing w:line="276" w:lineRule="auto"/>
        <w:contextualSpacing/>
        <w:jc w:val="both"/>
        <w:rPr>
          <w:rFonts w:ascii="Franklin Gothic Book" w:hAnsi="Franklin Gothic Book" w:cstheme="minorHAnsi"/>
          <w:sz w:val="21"/>
          <w:szCs w:val="21"/>
        </w:rPr>
      </w:pPr>
      <w:r>
        <w:rPr>
          <w:rFonts w:ascii="Franklin Gothic Book" w:hAnsi="Franklin Gothic Book"/>
          <w:sz w:val="21"/>
          <w:szCs w:val="21"/>
        </w:rPr>
        <w:t>DFAT will continue to monitor Government of Tuvalu’s non salary expenditure commitment to primary education, following concern</w:t>
      </w:r>
      <w:r w:rsidR="00E47250">
        <w:rPr>
          <w:rFonts w:ascii="Franklin Gothic Book" w:hAnsi="Franklin Gothic Book"/>
          <w:sz w:val="21"/>
          <w:szCs w:val="21"/>
        </w:rPr>
        <w:t>s</w:t>
      </w:r>
      <w:r>
        <w:rPr>
          <w:rFonts w:ascii="Franklin Gothic Book" w:hAnsi="Franklin Gothic Book"/>
          <w:sz w:val="21"/>
          <w:szCs w:val="21"/>
        </w:rPr>
        <w:t xml:space="preserve"> </w:t>
      </w:r>
      <w:r w:rsidR="00E47250">
        <w:rPr>
          <w:rFonts w:ascii="Franklin Gothic Book" w:hAnsi="Franklin Gothic Book"/>
          <w:sz w:val="21"/>
          <w:szCs w:val="21"/>
        </w:rPr>
        <w:t>of recent decreases</w:t>
      </w:r>
      <w:r>
        <w:rPr>
          <w:rFonts w:ascii="Franklin Gothic Book" w:hAnsi="Franklin Gothic Book"/>
          <w:sz w:val="21"/>
          <w:szCs w:val="21"/>
        </w:rPr>
        <w:t xml:space="preserve">. </w:t>
      </w:r>
      <w:r w:rsidR="0086598B" w:rsidRPr="00AE7C99">
        <w:rPr>
          <w:rFonts w:ascii="Franklin Gothic Book" w:hAnsi="Franklin Gothic Book"/>
          <w:sz w:val="21"/>
          <w:szCs w:val="21"/>
        </w:rPr>
        <w:t>Monitoring data suggest</w:t>
      </w:r>
      <w:r>
        <w:rPr>
          <w:rFonts w:ascii="Franklin Gothic Book" w:hAnsi="Franklin Gothic Book"/>
          <w:sz w:val="21"/>
          <w:szCs w:val="21"/>
        </w:rPr>
        <w:t>s</w:t>
      </w:r>
      <w:r w:rsidR="0086598B" w:rsidRPr="00AE7C99">
        <w:rPr>
          <w:rFonts w:ascii="Franklin Gothic Book" w:hAnsi="Franklin Gothic Book"/>
          <w:sz w:val="21"/>
          <w:szCs w:val="21"/>
        </w:rPr>
        <w:t xml:space="preserve"> that girls outperform boys on all school exam results in</w:t>
      </w:r>
      <w:r w:rsidR="00CE3E41">
        <w:rPr>
          <w:rFonts w:ascii="Franklin Gothic Book" w:hAnsi="Franklin Gothic Book"/>
          <w:sz w:val="21"/>
          <w:szCs w:val="21"/>
        </w:rPr>
        <w:t xml:space="preserve"> primary and</w:t>
      </w:r>
      <w:r w:rsidR="0086598B" w:rsidRPr="00AE7C99">
        <w:rPr>
          <w:rFonts w:ascii="Franklin Gothic Book" w:hAnsi="Franklin Gothic Book"/>
          <w:sz w:val="21"/>
          <w:szCs w:val="21"/>
        </w:rPr>
        <w:t xml:space="preserve"> secondary school</w:t>
      </w:r>
      <w:r w:rsidR="00CE3E41">
        <w:rPr>
          <w:rFonts w:ascii="Franklin Gothic Book" w:hAnsi="Franklin Gothic Book"/>
          <w:sz w:val="21"/>
          <w:szCs w:val="21"/>
        </w:rPr>
        <w:t xml:space="preserve">. </w:t>
      </w:r>
      <w:r w:rsidR="00CE3E41">
        <w:rPr>
          <w:rFonts w:ascii="Franklin Gothic Book" w:hAnsi="Franklin Gothic Book" w:cstheme="minorHAnsi"/>
          <w:sz w:val="21"/>
          <w:szCs w:val="21"/>
        </w:rPr>
        <w:t xml:space="preserve">More </w:t>
      </w:r>
      <w:r w:rsidR="00024C14" w:rsidRPr="00AE7C99">
        <w:rPr>
          <w:rFonts w:ascii="Franklin Gothic Book" w:hAnsi="Franklin Gothic Book" w:cstheme="minorHAnsi"/>
          <w:sz w:val="21"/>
          <w:szCs w:val="21"/>
        </w:rPr>
        <w:t>Tuvaluan girls are attending secondary school than boys</w:t>
      </w:r>
      <w:r w:rsidR="00CC7E94">
        <w:rPr>
          <w:rFonts w:ascii="Franklin Gothic Book" w:hAnsi="Franklin Gothic Book" w:cstheme="minorHAnsi"/>
          <w:sz w:val="21"/>
          <w:szCs w:val="21"/>
        </w:rPr>
        <w:t xml:space="preserve"> with </w:t>
      </w:r>
      <w:r w:rsidR="00024C14" w:rsidRPr="00AE7C99">
        <w:rPr>
          <w:rFonts w:ascii="Franklin Gothic Book" w:hAnsi="Franklin Gothic Book" w:cstheme="minorHAnsi"/>
          <w:sz w:val="21"/>
          <w:szCs w:val="21"/>
        </w:rPr>
        <w:t>more females access</w:t>
      </w:r>
      <w:r w:rsidR="00CC7E94">
        <w:rPr>
          <w:rFonts w:ascii="Franklin Gothic Book" w:hAnsi="Franklin Gothic Book" w:cstheme="minorHAnsi"/>
          <w:sz w:val="21"/>
          <w:szCs w:val="21"/>
        </w:rPr>
        <w:t>ing</w:t>
      </w:r>
      <w:r w:rsidR="00024C14" w:rsidRPr="00AE7C99">
        <w:rPr>
          <w:rFonts w:ascii="Franklin Gothic Book" w:hAnsi="Franklin Gothic Book" w:cstheme="minorHAnsi"/>
          <w:sz w:val="21"/>
          <w:szCs w:val="21"/>
        </w:rPr>
        <w:t xml:space="preserve"> tertiary education than males</w:t>
      </w:r>
      <w:r w:rsidR="00CC7E94" w:rsidRPr="00AE7C99">
        <w:rPr>
          <w:rStyle w:val="FootnoteReference"/>
          <w:rFonts w:ascii="Franklin Gothic Book" w:hAnsi="Franklin Gothic Book"/>
          <w:sz w:val="12"/>
        </w:rPr>
        <w:footnoteReference w:id="11"/>
      </w:r>
      <w:r w:rsidR="00E47250">
        <w:rPr>
          <w:rFonts w:ascii="Franklin Gothic Book" w:hAnsi="Franklin Gothic Book" w:cstheme="minorHAnsi"/>
          <w:sz w:val="21"/>
          <w:szCs w:val="21"/>
        </w:rPr>
        <w:t>.</w:t>
      </w:r>
    </w:p>
    <w:p w:rsidR="003528C8" w:rsidRDefault="003528C8" w:rsidP="003528C8">
      <w:pPr>
        <w:pStyle w:val="ListBullet"/>
        <w:numPr>
          <w:ilvl w:val="0"/>
          <w:numId w:val="0"/>
        </w:numPr>
        <w:tabs>
          <w:tab w:val="clear" w:pos="284"/>
        </w:tabs>
        <w:ind w:left="360" w:hanging="360"/>
        <w:jc w:val="both"/>
        <w:rPr>
          <w:u w:val="single"/>
        </w:rPr>
      </w:pPr>
    </w:p>
    <w:p w:rsidR="00CD1453" w:rsidRPr="00AE7C99" w:rsidRDefault="00CD1453" w:rsidP="003528C8">
      <w:pPr>
        <w:pStyle w:val="ListBullet"/>
        <w:numPr>
          <w:ilvl w:val="0"/>
          <w:numId w:val="0"/>
        </w:numPr>
        <w:tabs>
          <w:tab w:val="clear" w:pos="284"/>
        </w:tabs>
        <w:ind w:left="360" w:hanging="360"/>
        <w:jc w:val="both"/>
        <w:rPr>
          <w:u w:val="single"/>
        </w:rPr>
      </w:pPr>
      <w:r w:rsidRPr="00AE7C99">
        <w:rPr>
          <w:u w:val="single"/>
        </w:rPr>
        <w:lastRenderedPageBreak/>
        <w:t>Tertiary education</w:t>
      </w:r>
    </w:p>
    <w:p w:rsidR="00CD1453" w:rsidRPr="00AE7C99" w:rsidRDefault="00CD1453" w:rsidP="003528C8">
      <w:pPr>
        <w:pStyle w:val="BodyText"/>
        <w:jc w:val="both"/>
        <w:rPr>
          <w:lang w:val="en"/>
        </w:rPr>
      </w:pPr>
      <w:r w:rsidRPr="00AE7C99">
        <w:t>Australia provides support for Tuvaluan students to undertake technical and vocational training and scholarships in Australia and the region, with the aim of contributing</w:t>
      </w:r>
      <w:r w:rsidRPr="00AE7C99">
        <w:rPr>
          <w:lang w:val="en"/>
        </w:rPr>
        <w:t xml:space="preserve"> to Tuvalu’s long-term development needs. </w:t>
      </w:r>
      <w:r w:rsidR="00C1067F" w:rsidRPr="00AE7C99">
        <w:rPr>
          <w:lang w:val="en"/>
        </w:rPr>
        <w:t>This is supported</w:t>
      </w:r>
      <w:r w:rsidR="00812B67" w:rsidRPr="00AE7C99">
        <w:rPr>
          <w:lang w:val="en"/>
        </w:rPr>
        <w:t xml:space="preserve"> through Australia Award Scholarships</w:t>
      </w:r>
      <w:r w:rsidR="00C1067F" w:rsidRPr="00AE7C99">
        <w:rPr>
          <w:lang w:val="en"/>
        </w:rPr>
        <w:t xml:space="preserve"> and the Australian Pacific Technical College initiative.</w:t>
      </w:r>
    </w:p>
    <w:p w:rsidR="007D163D" w:rsidRPr="00502B5C" w:rsidRDefault="00CD1453" w:rsidP="003528C8">
      <w:pPr>
        <w:pStyle w:val="ListBullet"/>
        <w:numPr>
          <w:ilvl w:val="0"/>
          <w:numId w:val="0"/>
        </w:numPr>
        <w:tabs>
          <w:tab w:val="clear" w:pos="284"/>
        </w:tabs>
        <w:jc w:val="both"/>
        <w:rPr>
          <w:rFonts w:eastAsia="Calibri"/>
        </w:rPr>
      </w:pPr>
      <w:r w:rsidRPr="00AE7C99">
        <w:rPr>
          <w:rFonts w:eastAsia="Calibri"/>
        </w:rPr>
        <w:t>In 201</w:t>
      </w:r>
      <w:r w:rsidR="004F77A1" w:rsidRPr="00AE7C99">
        <w:rPr>
          <w:rFonts w:eastAsia="Calibri"/>
        </w:rPr>
        <w:t>3</w:t>
      </w:r>
      <w:r w:rsidRPr="00AE7C99">
        <w:rPr>
          <w:rFonts w:eastAsia="Calibri"/>
        </w:rPr>
        <w:t xml:space="preserve">, </w:t>
      </w:r>
      <w:r w:rsidR="00CA15E0" w:rsidRPr="00AE7C99">
        <w:rPr>
          <w:rFonts w:eastAsia="Calibri"/>
        </w:rPr>
        <w:t>Austra</w:t>
      </w:r>
      <w:r w:rsidR="00D34328" w:rsidRPr="00AE7C99">
        <w:rPr>
          <w:rFonts w:eastAsia="Calibri"/>
        </w:rPr>
        <w:t>l</w:t>
      </w:r>
      <w:r w:rsidR="00CA15E0" w:rsidRPr="00AE7C99">
        <w:rPr>
          <w:rFonts w:eastAsia="Calibri"/>
        </w:rPr>
        <w:t xml:space="preserve">ia provided </w:t>
      </w:r>
      <w:r w:rsidR="007D163D" w:rsidRPr="00AE7C99">
        <w:rPr>
          <w:rFonts w:eastAsia="Calibri"/>
        </w:rPr>
        <w:t>24</w:t>
      </w:r>
      <w:r w:rsidRPr="00AE7C99">
        <w:rPr>
          <w:rFonts w:eastAsia="Calibri"/>
        </w:rPr>
        <w:t xml:space="preserve"> </w:t>
      </w:r>
      <w:r w:rsidR="00CA15E0" w:rsidRPr="00AE7C99">
        <w:rPr>
          <w:rFonts w:eastAsia="Calibri"/>
        </w:rPr>
        <w:t xml:space="preserve">new </w:t>
      </w:r>
      <w:r w:rsidRPr="00AE7C99">
        <w:t xml:space="preserve">Australia Awards </w:t>
      </w:r>
      <w:r w:rsidR="00CA15E0" w:rsidRPr="00AE7C99">
        <w:t>to Tuvaluans to study in Austra</w:t>
      </w:r>
      <w:r w:rsidR="00D34328" w:rsidRPr="00AE7C99">
        <w:t>l</w:t>
      </w:r>
      <w:r w:rsidR="00CA15E0" w:rsidRPr="00AE7C99">
        <w:t xml:space="preserve">ia and the region. </w:t>
      </w:r>
      <w:r w:rsidR="007D163D" w:rsidRPr="00AE7C99">
        <w:t>In 2013, 16 awardees completed their undergraduate and postgraduate courses in health, engineering, education, law, criminology, commerce, construction management and science</w:t>
      </w:r>
      <w:r w:rsidR="009C6854" w:rsidRPr="00AE7C99">
        <w:rPr>
          <w:rStyle w:val="FootnoteReference"/>
          <w:rFonts w:eastAsia="Calibri"/>
        </w:rPr>
        <w:footnoteReference w:id="12"/>
      </w:r>
      <w:r w:rsidR="007D163D" w:rsidRPr="00AE7C99">
        <w:t xml:space="preserve">. </w:t>
      </w:r>
      <w:r w:rsidRPr="00AE7C99">
        <w:rPr>
          <w:rFonts w:eastAsia="Calibri"/>
        </w:rPr>
        <w:t>Over the past six years, 50 per cen</w:t>
      </w:r>
      <w:r w:rsidR="004F77A1" w:rsidRPr="00AE7C99">
        <w:rPr>
          <w:rFonts w:eastAsia="Calibri"/>
        </w:rPr>
        <w:t xml:space="preserve">t of awards went to women and </w:t>
      </w:r>
      <w:r w:rsidRPr="00AE7C99">
        <w:rPr>
          <w:rFonts w:eastAsia="Calibri"/>
        </w:rPr>
        <w:t>5</w:t>
      </w:r>
      <w:r w:rsidR="004F77A1" w:rsidRPr="00AE7C99">
        <w:rPr>
          <w:rFonts w:eastAsia="Calibri"/>
        </w:rPr>
        <w:t>0</w:t>
      </w:r>
      <w:r w:rsidRPr="00AE7C99">
        <w:rPr>
          <w:rFonts w:eastAsia="Calibri"/>
        </w:rPr>
        <w:t xml:space="preserve"> per cent to men. </w:t>
      </w:r>
      <w:r w:rsidR="004F77A1" w:rsidRPr="00AE7C99">
        <w:rPr>
          <w:rFonts w:eastAsia="Calibri"/>
        </w:rPr>
        <w:t xml:space="preserve"> </w:t>
      </w:r>
      <w:r w:rsidR="007371AE" w:rsidRPr="00AE7C99">
        <w:rPr>
          <w:rFonts w:eastAsia="Calibri"/>
        </w:rPr>
        <w:t xml:space="preserve">In 2013-14, DFAT strengthened </w:t>
      </w:r>
      <w:r w:rsidR="00502B5C">
        <w:rPr>
          <w:rFonts w:eastAsia="Calibri"/>
        </w:rPr>
        <w:t xml:space="preserve">the </w:t>
      </w:r>
      <w:r w:rsidR="007371AE" w:rsidRPr="00AE7C99">
        <w:rPr>
          <w:rFonts w:eastAsia="Calibri"/>
        </w:rPr>
        <w:t xml:space="preserve">merit-based selection process for Australia Awards, </w:t>
      </w:r>
      <w:r w:rsidR="00502B5C">
        <w:rPr>
          <w:rFonts w:eastAsia="Calibri"/>
        </w:rPr>
        <w:t xml:space="preserve">by </w:t>
      </w:r>
      <w:r w:rsidR="007371AE" w:rsidRPr="00AE7C99">
        <w:rPr>
          <w:rFonts w:eastAsia="Calibri"/>
        </w:rPr>
        <w:t xml:space="preserve">interviewing applicants on a joint panel comprising officials from Tuvalu, New Zealand and Australia.   </w:t>
      </w:r>
    </w:p>
    <w:p w:rsidR="001E52CC" w:rsidRPr="00AE7C99" w:rsidRDefault="004E484C" w:rsidP="003528C8">
      <w:pPr>
        <w:pStyle w:val="ListBullet"/>
        <w:numPr>
          <w:ilvl w:val="0"/>
          <w:numId w:val="0"/>
        </w:numPr>
        <w:tabs>
          <w:tab w:val="clear" w:pos="284"/>
        </w:tabs>
        <w:jc w:val="both"/>
      </w:pPr>
      <w:r w:rsidRPr="00AE7C99">
        <w:rPr>
          <w:rFonts w:eastAsia="Calibri"/>
        </w:rPr>
        <w:t xml:space="preserve">A 2013 tracer study of Australia Awards </w:t>
      </w:r>
      <w:r w:rsidR="00CA15E0" w:rsidRPr="00AE7C99">
        <w:rPr>
          <w:rFonts w:eastAsia="Calibri"/>
        </w:rPr>
        <w:t>a</w:t>
      </w:r>
      <w:r w:rsidRPr="00AE7C99">
        <w:rPr>
          <w:rFonts w:eastAsia="Calibri"/>
        </w:rPr>
        <w:t xml:space="preserve">lumni </w:t>
      </w:r>
      <w:r w:rsidR="00D67CEC" w:rsidRPr="00AE7C99">
        <w:rPr>
          <w:rFonts w:eastAsia="Calibri"/>
        </w:rPr>
        <w:t>for cohort 2008-2012</w:t>
      </w:r>
      <w:r w:rsidRPr="00AE7C99">
        <w:rPr>
          <w:rFonts w:eastAsia="Calibri"/>
        </w:rPr>
        <w:t xml:space="preserve"> found that 64 </w:t>
      </w:r>
      <w:r w:rsidR="00B86933">
        <w:rPr>
          <w:rFonts w:eastAsia="Calibri"/>
        </w:rPr>
        <w:t xml:space="preserve">Tuvaluan awardees </w:t>
      </w:r>
      <w:r w:rsidRPr="00AE7C99">
        <w:rPr>
          <w:rFonts w:eastAsia="Calibri"/>
        </w:rPr>
        <w:t xml:space="preserve">returned to Tuvalu after completing their studies; 80 per cent are in full time employment, </w:t>
      </w:r>
      <w:r w:rsidR="00CA15E0" w:rsidRPr="00AE7C99">
        <w:rPr>
          <w:rFonts w:eastAsia="Calibri"/>
        </w:rPr>
        <w:t>nine</w:t>
      </w:r>
      <w:r w:rsidRPr="00AE7C99">
        <w:rPr>
          <w:rFonts w:eastAsia="Calibri"/>
        </w:rPr>
        <w:t xml:space="preserve"> per cent are seeking employment, and the remaining alumni have migrated</w:t>
      </w:r>
      <w:r w:rsidRPr="00AE7C99">
        <w:rPr>
          <w:rStyle w:val="FootnoteReference"/>
          <w:rFonts w:eastAsia="Calibri"/>
        </w:rPr>
        <w:footnoteReference w:id="13"/>
      </w:r>
      <w:r w:rsidRPr="00AE7C99">
        <w:rPr>
          <w:rFonts w:eastAsia="Calibri"/>
        </w:rPr>
        <w:t>. Of the respondents, 83 per cent considered their current position was more senior than before their award, 73 per cent</w:t>
      </w:r>
      <w:r w:rsidR="00CA15E0" w:rsidRPr="00AE7C99">
        <w:rPr>
          <w:rFonts w:eastAsia="Calibri"/>
        </w:rPr>
        <w:t xml:space="preserve"> were supervising more staff, h</w:t>
      </w:r>
      <w:r w:rsidRPr="00AE7C99">
        <w:rPr>
          <w:rFonts w:eastAsia="Calibri"/>
        </w:rPr>
        <w:t xml:space="preserve">ad greater technical responsibility, and a greater role in policy development. </w:t>
      </w:r>
      <w:r w:rsidR="008A106E" w:rsidRPr="00AE7C99">
        <w:rPr>
          <w:rFonts w:eastAsia="Calibri"/>
        </w:rPr>
        <w:t>The tracer study noted that alumni who had migrated are likely still contributing to Tuvalu’s development t</w:t>
      </w:r>
      <w:r w:rsidR="008A106E" w:rsidRPr="00AE7C99">
        <w:t>hrough work in regional organisations and the provision of remittances.</w:t>
      </w:r>
      <w:r w:rsidR="001E52CC" w:rsidRPr="00AE7C99">
        <w:t xml:space="preserve"> </w:t>
      </w:r>
    </w:p>
    <w:p w:rsidR="00AF7288" w:rsidRPr="00AE7C99" w:rsidRDefault="008A106E" w:rsidP="003528C8">
      <w:pPr>
        <w:pStyle w:val="ListBullet"/>
        <w:numPr>
          <w:ilvl w:val="0"/>
          <w:numId w:val="0"/>
        </w:numPr>
        <w:tabs>
          <w:tab w:val="clear" w:pos="284"/>
        </w:tabs>
        <w:jc w:val="both"/>
        <w:rPr>
          <w:rFonts w:eastAsia="Calibri"/>
        </w:rPr>
      </w:pPr>
      <w:r w:rsidRPr="00AE7C99">
        <w:rPr>
          <w:rFonts w:eastAsia="Calibri"/>
        </w:rPr>
        <w:t>A key concern raised by the tracer study was the low completion rate of female Australia Award</w:t>
      </w:r>
      <w:r w:rsidR="003E7D28">
        <w:rPr>
          <w:rFonts w:eastAsia="Calibri"/>
        </w:rPr>
        <w:t>ees</w:t>
      </w:r>
      <w:r w:rsidRPr="00AE7C99">
        <w:rPr>
          <w:rFonts w:eastAsia="Calibri"/>
        </w:rPr>
        <w:t xml:space="preserve"> studying in regional universities (70 per cent) </w:t>
      </w:r>
      <w:r w:rsidR="00036EE3" w:rsidRPr="00AE7C99">
        <w:rPr>
          <w:rFonts w:eastAsia="Calibri"/>
        </w:rPr>
        <w:t xml:space="preserve">excluding Australia </w:t>
      </w:r>
      <w:r w:rsidRPr="00AE7C99">
        <w:rPr>
          <w:rFonts w:eastAsia="Calibri"/>
        </w:rPr>
        <w:t xml:space="preserve">compared with their male peers (92 per cent). Post is </w:t>
      </w:r>
      <w:r w:rsidR="007371AE" w:rsidRPr="00AE7C99">
        <w:rPr>
          <w:rFonts w:eastAsia="Calibri"/>
        </w:rPr>
        <w:t>analysing</w:t>
      </w:r>
      <w:r w:rsidRPr="00AE7C99">
        <w:rPr>
          <w:rFonts w:eastAsia="Calibri"/>
        </w:rPr>
        <w:t xml:space="preserve"> the reasons for this poor outcome</w:t>
      </w:r>
      <w:r w:rsidR="007371AE" w:rsidRPr="00AE7C99">
        <w:rPr>
          <w:rFonts w:eastAsia="Calibri"/>
        </w:rPr>
        <w:t xml:space="preserve"> for female students</w:t>
      </w:r>
      <w:r w:rsidRPr="00AE7C99">
        <w:rPr>
          <w:rFonts w:eastAsia="Calibri"/>
        </w:rPr>
        <w:t xml:space="preserve">. </w:t>
      </w:r>
      <w:r w:rsidR="00FC5AF2" w:rsidRPr="00AE7C99">
        <w:t>However, t</w:t>
      </w:r>
      <w:r w:rsidR="00FC5AF2" w:rsidRPr="00AE7C99">
        <w:rPr>
          <w:rFonts w:eastAsia="Calibri"/>
        </w:rPr>
        <w:t xml:space="preserve">he study did find that a higher proportion of female alumni </w:t>
      </w:r>
      <w:r w:rsidR="00CA4621">
        <w:t>worked in higher level positions</w:t>
      </w:r>
      <w:r w:rsidR="00FC5AF2" w:rsidRPr="00AE7C99">
        <w:t xml:space="preserve"> than before their award and </w:t>
      </w:r>
      <w:r w:rsidR="00CA15E0" w:rsidRPr="00AE7C99">
        <w:t xml:space="preserve">they </w:t>
      </w:r>
      <w:r w:rsidR="00FC5AF2" w:rsidRPr="00AE7C99">
        <w:t xml:space="preserve">were more satisfied with their salary. </w:t>
      </w:r>
    </w:p>
    <w:p w:rsidR="001E52CC" w:rsidRPr="00AE7C99" w:rsidRDefault="00FC5AF2" w:rsidP="003528C8">
      <w:pPr>
        <w:pStyle w:val="ListBullet"/>
        <w:numPr>
          <w:ilvl w:val="0"/>
          <w:numId w:val="0"/>
        </w:numPr>
        <w:tabs>
          <w:tab w:val="clear" w:pos="284"/>
        </w:tabs>
        <w:jc w:val="both"/>
        <w:rPr>
          <w:szCs w:val="21"/>
        </w:rPr>
      </w:pPr>
      <w:r w:rsidRPr="00AE7C99">
        <w:t xml:space="preserve">The Tracer study made a number of recommendations that are being </w:t>
      </w:r>
      <w:r w:rsidR="001E52CC" w:rsidRPr="00AE7C99">
        <w:t>implemented</w:t>
      </w:r>
      <w:r w:rsidR="00CA15E0" w:rsidRPr="00AE7C99">
        <w:t xml:space="preserve"> by DFAT</w:t>
      </w:r>
      <w:r w:rsidR="001E52CC" w:rsidRPr="00AE7C99">
        <w:t xml:space="preserve">, including </w:t>
      </w:r>
      <w:r w:rsidR="00CA15E0" w:rsidRPr="00AE7C99">
        <w:t>the</w:t>
      </w:r>
      <w:r w:rsidR="001E52CC" w:rsidRPr="00AE7C99">
        <w:t xml:space="preserve"> targeting </w:t>
      </w:r>
      <w:r w:rsidR="00CA15E0" w:rsidRPr="00AE7C99">
        <w:t>of study areas</w:t>
      </w:r>
      <w:r w:rsidR="001E52CC" w:rsidRPr="00AE7C99">
        <w:t xml:space="preserve"> and levels that are most relevant </w:t>
      </w:r>
      <w:r w:rsidRPr="00AE7C99">
        <w:t xml:space="preserve">to Tuvalu’s human resource </w:t>
      </w:r>
      <w:r w:rsidR="001E52CC" w:rsidRPr="00AE7C99">
        <w:t>needs</w:t>
      </w:r>
      <w:r w:rsidRPr="00AE7C99">
        <w:t xml:space="preserve">, and </w:t>
      </w:r>
      <w:r w:rsidR="006509F8" w:rsidRPr="00AE7C99">
        <w:t>work</w:t>
      </w:r>
      <w:r w:rsidR="003E7D28">
        <w:t>ing</w:t>
      </w:r>
      <w:r w:rsidR="006509F8" w:rsidRPr="00AE7C99">
        <w:t xml:space="preserve"> with G</w:t>
      </w:r>
      <w:r w:rsidR="00502B5C">
        <w:t>overnment of Tuvalu</w:t>
      </w:r>
      <w:r w:rsidR="006509F8" w:rsidRPr="00AE7C99">
        <w:t xml:space="preserve"> on</w:t>
      </w:r>
      <w:r w:rsidRPr="00AE7C99">
        <w:t xml:space="preserve"> a more</w:t>
      </w:r>
      <w:r w:rsidR="00D46B71">
        <w:t xml:space="preserve"> transparent, merit-based selection process. As resources permit, DFAT will reconsider improvements to Australia Awards alumni reintegration and establishing an alumni association.</w:t>
      </w:r>
    </w:p>
    <w:p w:rsidR="00D45FC5" w:rsidRPr="00502B5C" w:rsidRDefault="00CD1453" w:rsidP="003528C8">
      <w:pPr>
        <w:pStyle w:val="BodyText"/>
        <w:jc w:val="both"/>
      </w:pPr>
      <w:r w:rsidRPr="00AE7C99">
        <w:rPr>
          <w:rFonts w:eastAsia="Calibri"/>
        </w:rPr>
        <w:t xml:space="preserve">Over the life of Australia’s support to the </w:t>
      </w:r>
      <w:r w:rsidR="00502B5C" w:rsidRPr="00D43EB3">
        <w:rPr>
          <w:rFonts w:eastAsia="Calibri"/>
        </w:rPr>
        <w:t>Australia – Pacific Technical College</w:t>
      </w:r>
      <w:r w:rsidRPr="00AE7C99">
        <w:rPr>
          <w:rFonts w:eastAsia="Calibri"/>
        </w:rPr>
        <w:t xml:space="preserve">, </w:t>
      </w:r>
      <w:r w:rsidR="00F219B0" w:rsidRPr="00AE7C99">
        <w:rPr>
          <w:rFonts w:eastAsia="Calibri"/>
        </w:rPr>
        <w:t>115</w:t>
      </w:r>
      <w:r w:rsidRPr="00AE7C99">
        <w:rPr>
          <w:rFonts w:eastAsia="Calibri"/>
        </w:rPr>
        <w:t xml:space="preserve"> Tuvaluan women and </w:t>
      </w:r>
      <w:r w:rsidR="00F219B0" w:rsidRPr="00AE7C99">
        <w:rPr>
          <w:rFonts w:eastAsia="Calibri"/>
        </w:rPr>
        <w:t>98</w:t>
      </w:r>
      <w:r w:rsidRPr="00AE7C99">
        <w:rPr>
          <w:rFonts w:eastAsia="Calibri"/>
        </w:rPr>
        <w:t xml:space="preserve"> Tuvaluan men have graduated from </w:t>
      </w:r>
      <w:r w:rsidRPr="00AE7C99">
        <w:t>hospitality and community services, and trades and technology.</w:t>
      </w:r>
      <w:r w:rsidRPr="00AE7C99">
        <w:rPr>
          <w:rStyle w:val="FootnoteReference"/>
        </w:rPr>
        <w:footnoteReference w:id="14"/>
      </w:r>
    </w:p>
    <w:p w:rsidR="001520D1" w:rsidRPr="00A34091" w:rsidRDefault="001520D1" w:rsidP="003528C8">
      <w:pPr>
        <w:pStyle w:val="Heading3"/>
        <w:jc w:val="both"/>
      </w:pPr>
      <w:r>
        <w:rPr>
          <w:color w:val="1F497D" w:themeColor="text2"/>
        </w:rPr>
        <w:t>Objective 3</w:t>
      </w:r>
      <w:r w:rsidRPr="00C26E24">
        <w:rPr>
          <w:color w:val="1F497D" w:themeColor="text2"/>
        </w:rPr>
        <w:t>: Environment and climate change</w:t>
      </w:r>
    </w:p>
    <w:p w:rsidR="001520D1" w:rsidRPr="00D43EB3" w:rsidRDefault="001520D1" w:rsidP="003528C8">
      <w:pPr>
        <w:pStyle w:val="BodyText"/>
        <w:jc w:val="both"/>
      </w:pPr>
      <w:r w:rsidRPr="00D43EB3">
        <w:t xml:space="preserve">Australia’s </w:t>
      </w:r>
      <w:r w:rsidRPr="00D43EB3">
        <w:rPr>
          <w:rFonts w:eastAsia="Calibri"/>
        </w:rPr>
        <w:t xml:space="preserve">commitments to Tuvalu on </w:t>
      </w:r>
      <w:r w:rsidRPr="00D43EB3">
        <w:t>environment and climate change are to:</w:t>
      </w:r>
    </w:p>
    <w:p w:rsidR="001520D1" w:rsidRPr="00D43EB3" w:rsidRDefault="001520D1" w:rsidP="003528C8">
      <w:pPr>
        <w:pStyle w:val="ListBullet"/>
        <w:jc w:val="both"/>
      </w:pPr>
      <w:r w:rsidRPr="00D43EB3">
        <w:t>enhance capacity of public administration, island governments, local communities and non-government organisations to plan for and respond to the adverse effects of climate change</w:t>
      </w:r>
    </w:p>
    <w:p w:rsidR="001520D1" w:rsidRPr="00D43EB3" w:rsidRDefault="001520D1" w:rsidP="003528C8">
      <w:pPr>
        <w:pStyle w:val="ListBullet"/>
        <w:jc w:val="both"/>
      </w:pPr>
      <w:r w:rsidRPr="00D43EB3">
        <w:t>implement priority adaptation measures including:</w:t>
      </w:r>
    </w:p>
    <w:p w:rsidR="001520D1" w:rsidRPr="00D43EB3" w:rsidRDefault="001520D1" w:rsidP="003528C8">
      <w:pPr>
        <w:pStyle w:val="ListBullet2"/>
        <w:jc w:val="both"/>
      </w:pPr>
      <w:r w:rsidRPr="00D43EB3">
        <w:t>water security: an additional 400m3 of fresh water supply and water storage capacity to support agriculture in at least four islands</w:t>
      </w:r>
    </w:p>
    <w:p w:rsidR="001520D1" w:rsidRPr="00D43EB3" w:rsidRDefault="001520D1" w:rsidP="003528C8">
      <w:pPr>
        <w:pStyle w:val="ListBullet2"/>
        <w:jc w:val="both"/>
      </w:pPr>
      <w:r w:rsidRPr="00D43EB3">
        <w:lastRenderedPageBreak/>
        <w:t>coastal protection: an expanded area of demonstration projects of planting mangroves on at least five atolls</w:t>
      </w:r>
    </w:p>
    <w:p w:rsidR="001520D1" w:rsidRPr="00D43EB3" w:rsidRDefault="001520D1" w:rsidP="003528C8">
      <w:pPr>
        <w:pStyle w:val="ListBullet2"/>
        <w:jc w:val="both"/>
      </w:pPr>
      <w:r w:rsidRPr="00D43EB3">
        <w:t xml:space="preserve">food security: an additional 12 plantations of local fruit and vegetables protected from saline groundwater on at least three atolls. </w:t>
      </w:r>
    </w:p>
    <w:p w:rsidR="001520D1" w:rsidRPr="00D43EB3" w:rsidRDefault="001520D1" w:rsidP="003528C8">
      <w:pPr>
        <w:pStyle w:val="BodyText"/>
        <w:jc w:val="both"/>
        <w:rPr>
          <w:szCs w:val="21"/>
        </w:rPr>
      </w:pPr>
      <w:r w:rsidRPr="00D43EB3">
        <w:rPr>
          <w:szCs w:val="21"/>
        </w:rPr>
        <w:t>This objective was rated amber, an improvement on last year’s red rating. Due to earlier slow implementation, in 2013-14 the objectives were recast to make them more realistic for the final year of the program, and good progress was made</w:t>
      </w:r>
      <w:r>
        <w:rPr>
          <w:szCs w:val="21"/>
        </w:rPr>
        <w:t xml:space="preserve">. </w:t>
      </w:r>
      <w:r w:rsidRPr="00D43EB3">
        <w:rPr>
          <w:szCs w:val="21"/>
        </w:rPr>
        <w:t xml:space="preserve">DFAT’s implementing partner, UNDP, and the Government of Tuvalu worked effectively to achieve the water security component of the program on time, but the other two adaptation components have faced severe delays due to inadequate resourcing, transportation delays and other reasons.  </w:t>
      </w:r>
    </w:p>
    <w:p w:rsidR="001520D1" w:rsidRPr="00D43EB3" w:rsidRDefault="001520D1" w:rsidP="003528C8">
      <w:pPr>
        <w:pStyle w:val="BodyText"/>
        <w:jc w:val="both"/>
        <w:rPr>
          <w:szCs w:val="21"/>
        </w:rPr>
      </w:pPr>
      <w:r w:rsidRPr="00D43EB3">
        <w:rPr>
          <w:szCs w:val="21"/>
        </w:rPr>
        <w:t>Tuvalu is vulnerable to the effects of climate change. Tuvalu is experiencing increasing temperatures and ocean acidification, and sea level rise slightly above global average rise. Satellite data indicate that the sea level has risen near Tuvalu by about five millimetres a year since 1993—a total of nine centimetres.</w:t>
      </w:r>
      <w:r w:rsidRPr="00D43EB3">
        <w:rPr>
          <w:rStyle w:val="FootnoteReference"/>
          <w:rFonts w:ascii="Franklin Gothic Book" w:hAnsi="Franklin Gothic Book"/>
          <w:sz w:val="12"/>
        </w:rPr>
        <w:footnoteReference w:id="15"/>
      </w:r>
      <w:r w:rsidRPr="00D43EB3">
        <w:rPr>
          <w:sz w:val="12"/>
          <w:szCs w:val="12"/>
        </w:rPr>
        <w:t xml:space="preserve"> </w:t>
      </w:r>
    </w:p>
    <w:p w:rsidR="001520D1" w:rsidRPr="00D43EB3" w:rsidRDefault="001520D1" w:rsidP="003528C8">
      <w:pPr>
        <w:pStyle w:val="BodyText"/>
        <w:jc w:val="both"/>
        <w:rPr>
          <w:szCs w:val="21"/>
        </w:rPr>
      </w:pPr>
      <w:r w:rsidRPr="00D43EB3">
        <w:rPr>
          <w:szCs w:val="21"/>
        </w:rPr>
        <w:t xml:space="preserve">In 2011, Australia provided $1 million to the UNDP to help Tuvalu implement climate change priorities under the Tuvalu National Adaptation Programme of Action (NAPA). DFAT’s support </w:t>
      </w:r>
      <w:r>
        <w:rPr>
          <w:szCs w:val="21"/>
        </w:rPr>
        <w:t>for NAPA ended</w:t>
      </w:r>
      <w:r w:rsidRPr="00D43EB3">
        <w:rPr>
          <w:szCs w:val="21"/>
        </w:rPr>
        <w:t xml:space="preserve"> in August 2014. The mid-term review of the NAPA </w:t>
      </w:r>
      <w:r>
        <w:rPr>
          <w:szCs w:val="21"/>
        </w:rPr>
        <w:t xml:space="preserve">(in early 2013) </w:t>
      </w:r>
      <w:r w:rsidRPr="00D43EB3">
        <w:rPr>
          <w:szCs w:val="21"/>
        </w:rPr>
        <w:t xml:space="preserve">found slow progress and mixed results, with most progress on the water security component and the longest delays in food security. Accordingly, DFAT recast its objectives for support to this program, prioritising the implementation of the food security component in </w:t>
      </w:r>
      <w:r>
        <w:rPr>
          <w:szCs w:val="21"/>
        </w:rPr>
        <w:t>the final stage</w:t>
      </w:r>
      <w:r w:rsidRPr="00D43EB3">
        <w:rPr>
          <w:szCs w:val="21"/>
        </w:rPr>
        <w:t xml:space="preserve">. </w:t>
      </w:r>
    </w:p>
    <w:p w:rsidR="001520D1" w:rsidRPr="00D43EB3" w:rsidRDefault="001520D1" w:rsidP="003528C8">
      <w:pPr>
        <w:pStyle w:val="BodyText"/>
        <w:jc w:val="both"/>
      </w:pPr>
      <w:r w:rsidRPr="00D43EB3">
        <w:rPr>
          <w:szCs w:val="21"/>
        </w:rPr>
        <w:t xml:space="preserve">A recent </w:t>
      </w:r>
      <w:r>
        <w:rPr>
          <w:szCs w:val="21"/>
        </w:rPr>
        <w:t xml:space="preserve">internal </w:t>
      </w:r>
      <w:r w:rsidRPr="00D43EB3">
        <w:rPr>
          <w:szCs w:val="21"/>
        </w:rPr>
        <w:t xml:space="preserve">review of the food security component found that the key challenges are: </w:t>
      </w:r>
      <w:r w:rsidRPr="00D43EB3">
        <w:t>saltwater intrusion, water inundation, and drought.</w:t>
      </w:r>
      <w:r>
        <w:t xml:space="preserve"> </w:t>
      </w:r>
      <w:r w:rsidRPr="00D43EB3">
        <w:t xml:space="preserve">The review found that progress has been very slow. On two of three islands, the island-specific activities had not yet commenced, and the third was just beginning. More success was reported on the home gardening initiatives, with successful home gardens running on several islands. However, progress is significantly less than what would be expected at this point in time. Progress was hindered by several factors:  shortages and delays in the supply of seeds, shortages in the number of tools provided, inadequate fencing provided, ongoing water shortages, pest damage, lack of information provided to communities on the project, some NAPA island representatives were rarely on Island, and a focus on short-term rather than long-term crops.  </w:t>
      </w:r>
    </w:p>
    <w:p w:rsidR="001520D1" w:rsidRPr="00D43EB3" w:rsidRDefault="001520D1" w:rsidP="003528C8">
      <w:pPr>
        <w:pStyle w:val="BodyText"/>
        <w:jc w:val="both"/>
        <w:rPr>
          <w:szCs w:val="21"/>
        </w:rPr>
      </w:pPr>
      <w:r w:rsidRPr="00D43EB3">
        <w:rPr>
          <w:szCs w:val="21"/>
        </w:rPr>
        <w:t xml:space="preserve">DFAT has also funded the Secretariat of the Pacific Community to undertake a stocktake of the conditions of Tuvalu’s water tanks on Funafuti, the capital of Tuvalu where two-thirds of the population reside. This will inform planning on the need for more water tanks, maintenance and future water security interventions. DFAT is working with the Government of Tuvalu to ensure future Australian support for climate change adaptation and environmental risk reduction does not face the same delays and difficulties experienced in the UNDP program. This is likely to involve capacity supplementation so that Tuvalu is adequately resourced to manage the multitude of climate change activities and donors active in this space.  </w:t>
      </w:r>
    </w:p>
    <w:p w:rsidR="001520D1" w:rsidRPr="00D43EB3" w:rsidRDefault="001520D1" w:rsidP="003528C8">
      <w:pPr>
        <w:pStyle w:val="BodyText"/>
        <w:jc w:val="both"/>
      </w:pPr>
      <w:r w:rsidRPr="00D43EB3">
        <w:t>Australia is managing and supports regional programs working directly with Tuvalu government agencies on weather and climate forecasting to inform decision making in disaster preparedness, agriculture, fishing, and in the tourism industry. Through its Pacific regional climate change program, Australia supported research on major climate drivers in the Pacific and improved climate projections are informing risk assessments and adaptation planning</w:t>
      </w:r>
      <w:r w:rsidR="00902F6A">
        <w:t>. This work also included a Tuvalu-specific set of current and future climate projections</w:t>
      </w:r>
      <w:r w:rsidR="00902F6A" w:rsidRPr="00D43EB3">
        <w:t>.</w:t>
      </w:r>
    </w:p>
    <w:p w:rsidR="001520D1" w:rsidRPr="00D43EB3" w:rsidRDefault="001520D1" w:rsidP="003528C8">
      <w:pPr>
        <w:pStyle w:val="BodyText"/>
        <w:jc w:val="both"/>
        <w:rPr>
          <w:szCs w:val="21"/>
        </w:rPr>
      </w:pPr>
      <w:r w:rsidRPr="00D43EB3">
        <w:rPr>
          <w:szCs w:val="21"/>
        </w:rPr>
        <w:lastRenderedPageBreak/>
        <w:t xml:space="preserve">The Climate and Oceans Support Program (COSPAC) </w:t>
      </w:r>
      <w:r w:rsidRPr="00D43EB3">
        <w:rPr>
          <w:bCs/>
          <w:szCs w:val="21"/>
        </w:rPr>
        <w:t>(approx. $0.7m in 2013/14)</w:t>
      </w:r>
      <w:r w:rsidRPr="00D43EB3">
        <w:rPr>
          <w:szCs w:val="21"/>
        </w:rPr>
        <w:t xml:space="preserve"> works with the Tuvalu Meteorological Service (TMS) to extend its capacity in essential meteorological and climate services.  The program supports a dedicated climate officer for the Tuvalu Meteorological Service for 2 years.  This will improve TMS’s capacity to provide seasonal forecasts for climate-sensitive sectors such as agriculture, fisheries, tourism and public health, enabling them to prepare for droughts and extreme events.  COSPPac also maintains technical equipment in Tuvalu that provides high-quality data on sea level changes and other climate information as well as data on geodetic movements of the earth’s crust.  The data has many applications, including for port management.  </w:t>
      </w:r>
    </w:p>
    <w:p w:rsidR="001520D1" w:rsidRPr="001520D1" w:rsidRDefault="001520D1" w:rsidP="003528C8">
      <w:pPr>
        <w:pStyle w:val="BodyText"/>
        <w:jc w:val="both"/>
        <w:rPr>
          <w:szCs w:val="21"/>
        </w:rPr>
      </w:pPr>
      <w:r w:rsidRPr="00D43EB3">
        <w:rPr>
          <w:szCs w:val="21"/>
        </w:rPr>
        <w:t xml:space="preserve">In terms of gender, the NAPA Mid Term Review </w:t>
      </w:r>
      <w:r>
        <w:rPr>
          <w:szCs w:val="21"/>
        </w:rPr>
        <w:t xml:space="preserve">will inform </w:t>
      </w:r>
      <w:r w:rsidRPr="00D43EB3">
        <w:rPr>
          <w:szCs w:val="21"/>
        </w:rPr>
        <w:t>strategies to be tailored to the different ways that men and women use water and contribute to household food security.</w:t>
      </w:r>
    </w:p>
    <w:p w:rsidR="003407FA" w:rsidRPr="00490A1E" w:rsidRDefault="003407FA" w:rsidP="003528C8">
      <w:pPr>
        <w:pStyle w:val="Heading3"/>
        <w:jc w:val="both"/>
        <w:rPr>
          <w:color w:val="007FAD"/>
          <w:sz w:val="28"/>
          <w:szCs w:val="28"/>
        </w:rPr>
      </w:pPr>
      <w:r w:rsidRPr="00490A1E">
        <w:rPr>
          <w:b w:val="0"/>
          <w:color w:val="007FAD"/>
          <w:sz w:val="28"/>
          <w:szCs w:val="28"/>
          <w:lang w:eastAsia="en-AU"/>
        </w:rPr>
        <w:t>Gender</w:t>
      </w:r>
      <w:r w:rsidR="00024C14" w:rsidRPr="00490A1E">
        <w:rPr>
          <w:b w:val="0"/>
          <w:color w:val="007FAD"/>
          <w:sz w:val="28"/>
          <w:szCs w:val="28"/>
          <w:lang w:eastAsia="en-AU"/>
        </w:rPr>
        <w:t xml:space="preserve"> equality</w:t>
      </w:r>
    </w:p>
    <w:p w:rsidR="009F4D5E" w:rsidRPr="00502B5C" w:rsidRDefault="009F4D5E" w:rsidP="003528C8">
      <w:pPr>
        <w:widowControl w:val="0"/>
        <w:spacing w:line="276" w:lineRule="auto"/>
        <w:contextualSpacing/>
        <w:jc w:val="both"/>
        <w:rPr>
          <w:rFonts w:ascii="Franklin Gothic Book" w:hAnsi="Franklin Gothic Book"/>
          <w:sz w:val="21"/>
          <w:szCs w:val="21"/>
        </w:rPr>
      </w:pPr>
      <w:r w:rsidRPr="00490A1E">
        <w:rPr>
          <w:rFonts w:ascii="Franklin Gothic Book" w:hAnsi="Franklin Gothic Book" w:cstheme="minorHAnsi"/>
          <w:sz w:val="21"/>
          <w:szCs w:val="21"/>
        </w:rPr>
        <w:t xml:space="preserve">Australia is developing a </w:t>
      </w:r>
      <w:r w:rsidR="003E7D28">
        <w:rPr>
          <w:rFonts w:ascii="Franklin Gothic Book" w:hAnsi="Franklin Gothic Book" w:cstheme="minorHAnsi"/>
          <w:sz w:val="21"/>
          <w:szCs w:val="21"/>
        </w:rPr>
        <w:t>country plan (through the</w:t>
      </w:r>
      <w:r w:rsidR="003E7D28" w:rsidRPr="003E7D28">
        <w:rPr>
          <w:rFonts w:ascii="Franklin Gothic Book" w:hAnsi="Franklin Gothic Book"/>
          <w:sz w:val="21"/>
          <w:szCs w:val="21"/>
        </w:rPr>
        <w:t xml:space="preserve"> </w:t>
      </w:r>
      <w:r w:rsidR="003E7D28" w:rsidRPr="00141A81">
        <w:rPr>
          <w:rFonts w:ascii="Franklin Gothic Book" w:hAnsi="Franklin Gothic Book"/>
          <w:sz w:val="21"/>
          <w:szCs w:val="21"/>
        </w:rPr>
        <w:t>Pacific Women Shaping Pacific Development initiative</w:t>
      </w:r>
      <w:r w:rsidR="003E7D28">
        <w:rPr>
          <w:rFonts w:ascii="Franklin Gothic Book" w:hAnsi="Franklin Gothic Book"/>
          <w:sz w:val="21"/>
          <w:szCs w:val="21"/>
        </w:rPr>
        <w:t xml:space="preserve">) </w:t>
      </w:r>
      <w:r w:rsidRPr="00490A1E">
        <w:rPr>
          <w:rFonts w:ascii="Franklin Gothic Book" w:hAnsi="Franklin Gothic Book" w:cstheme="minorHAnsi"/>
          <w:sz w:val="21"/>
          <w:szCs w:val="21"/>
        </w:rPr>
        <w:t xml:space="preserve">to improve gender equality and women’s empowerment in the Tuvalu program. </w:t>
      </w:r>
      <w:r w:rsidR="00024C14" w:rsidRPr="00490A1E">
        <w:rPr>
          <w:rFonts w:ascii="Franklin Gothic Book" w:hAnsi="Franklin Gothic Book" w:cstheme="minorHAnsi"/>
          <w:sz w:val="21"/>
          <w:szCs w:val="21"/>
        </w:rPr>
        <w:t>G</w:t>
      </w:r>
      <w:r w:rsidRPr="00490A1E">
        <w:rPr>
          <w:rFonts w:ascii="Franklin Gothic Book" w:hAnsi="Franklin Gothic Book" w:cstheme="minorHAnsi"/>
          <w:sz w:val="21"/>
          <w:szCs w:val="21"/>
        </w:rPr>
        <w:t>ender equality has been a crosscutting objective, embedded in other</w:t>
      </w:r>
      <w:r w:rsidRPr="00490A1E">
        <w:rPr>
          <w:rFonts w:ascii="Franklin Gothic Book" w:hAnsi="Franklin Gothic Book"/>
          <w:sz w:val="21"/>
          <w:szCs w:val="21"/>
        </w:rPr>
        <w:t xml:space="preserve"> programs and supported by regional gender </w:t>
      </w:r>
      <w:r w:rsidR="00024C14" w:rsidRPr="00490A1E">
        <w:rPr>
          <w:rFonts w:ascii="Franklin Gothic Book" w:hAnsi="Franklin Gothic Book"/>
          <w:sz w:val="21"/>
          <w:szCs w:val="21"/>
        </w:rPr>
        <w:t xml:space="preserve">equality </w:t>
      </w:r>
      <w:r w:rsidRPr="00490A1E">
        <w:rPr>
          <w:rFonts w:ascii="Franklin Gothic Book" w:hAnsi="Franklin Gothic Book"/>
          <w:sz w:val="21"/>
          <w:szCs w:val="21"/>
        </w:rPr>
        <w:t xml:space="preserve">initiatives. The Quality at Implementation (QAI) </w:t>
      </w:r>
      <w:r w:rsidR="007E29D0">
        <w:rPr>
          <w:rFonts w:ascii="Franklin Gothic Book" w:hAnsi="Franklin Gothic Book"/>
          <w:sz w:val="21"/>
          <w:szCs w:val="21"/>
        </w:rPr>
        <w:t>assessments</w:t>
      </w:r>
      <w:r w:rsidRPr="00AE7C99">
        <w:rPr>
          <w:rFonts w:ascii="Franklin Gothic Book" w:hAnsi="Franklin Gothic Book"/>
          <w:sz w:val="21"/>
          <w:szCs w:val="21"/>
        </w:rPr>
        <w:t xml:space="preserve"> found gender equality</w:t>
      </w:r>
      <w:r w:rsidR="00024C14" w:rsidRPr="00AE7C99">
        <w:rPr>
          <w:rFonts w:ascii="Franklin Gothic Book" w:hAnsi="Franklin Gothic Book"/>
          <w:sz w:val="21"/>
          <w:szCs w:val="21"/>
        </w:rPr>
        <w:t xml:space="preserve"> </w:t>
      </w:r>
      <w:r w:rsidRPr="00AE7C99">
        <w:rPr>
          <w:rFonts w:ascii="Franklin Gothic Book" w:hAnsi="Franklin Gothic Book"/>
          <w:sz w:val="21"/>
          <w:szCs w:val="21"/>
        </w:rPr>
        <w:t>to be a</w:t>
      </w:r>
      <w:r w:rsidR="007E29D0">
        <w:rPr>
          <w:rFonts w:ascii="Franklin Gothic Book" w:hAnsi="Franklin Gothic Book"/>
          <w:sz w:val="21"/>
          <w:szCs w:val="21"/>
        </w:rPr>
        <w:t xml:space="preserve"> weakness across the objectives</w:t>
      </w:r>
      <w:r w:rsidRPr="00AE7C99">
        <w:rPr>
          <w:rFonts w:ascii="Franklin Gothic Book" w:hAnsi="Franklin Gothic Book"/>
          <w:sz w:val="21"/>
          <w:szCs w:val="21"/>
        </w:rPr>
        <w:t xml:space="preserve">, with limited sex-disaggregated data available. Therefore, a priority of the Tuvalu program in </w:t>
      </w:r>
      <w:r w:rsidR="00024C14" w:rsidRPr="00AE7C99">
        <w:rPr>
          <w:rFonts w:ascii="Franklin Gothic Book" w:hAnsi="Franklin Gothic Book"/>
          <w:sz w:val="21"/>
          <w:szCs w:val="21"/>
        </w:rPr>
        <w:t xml:space="preserve">the first half of the </w:t>
      </w:r>
      <w:r w:rsidRPr="00AE7C99">
        <w:rPr>
          <w:rFonts w:ascii="Franklin Gothic Book" w:hAnsi="Franklin Gothic Book"/>
          <w:sz w:val="21"/>
          <w:szCs w:val="21"/>
        </w:rPr>
        <w:t xml:space="preserve">2014–15 is finalising DFAT’s </w:t>
      </w:r>
      <w:r w:rsidR="00024C14" w:rsidRPr="00AE7C99">
        <w:rPr>
          <w:rFonts w:ascii="Franklin Gothic Book" w:hAnsi="Franklin Gothic Book"/>
          <w:sz w:val="21"/>
          <w:szCs w:val="21"/>
        </w:rPr>
        <w:t>country plan</w:t>
      </w:r>
      <w:r w:rsidRPr="00AE7C99">
        <w:rPr>
          <w:rFonts w:ascii="Franklin Gothic Book" w:hAnsi="Franklin Gothic Book"/>
          <w:sz w:val="21"/>
          <w:szCs w:val="21"/>
        </w:rPr>
        <w:t xml:space="preserve"> </w:t>
      </w:r>
      <w:r w:rsidR="003E7D28">
        <w:rPr>
          <w:rFonts w:ascii="Franklin Gothic Book" w:hAnsi="Franklin Gothic Book"/>
          <w:sz w:val="21"/>
          <w:szCs w:val="21"/>
        </w:rPr>
        <w:t xml:space="preserve">for Tuvalu </w:t>
      </w:r>
      <w:r w:rsidRPr="00AE7C99">
        <w:rPr>
          <w:rFonts w:ascii="Franklin Gothic Book" w:hAnsi="Franklin Gothic Book"/>
          <w:sz w:val="21"/>
          <w:szCs w:val="21"/>
        </w:rPr>
        <w:t xml:space="preserve">to ensure DFAT’s programs improve gender equality and women’s empowerment. Australia </w:t>
      </w:r>
      <w:r w:rsidR="002103B5" w:rsidRPr="00AE7C99">
        <w:rPr>
          <w:rFonts w:ascii="Franklin Gothic Book" w:hAnsi="Franklin Gothic Book"/>
          <w:sz w:val="21"/>
          <w:szCs w:val="21"/>
        </w:rPr>
        <w:t xml:space="preserve">will also </w:t>
      </w:r>
      <w:r w:rsidRPr="00AE7C99">
        <w:rPr>
          <w:rFonts w:ascii="Franklin Gothic Book" w:hAnsi="Franklin Gothic Book"/>
          <w:sz w:val="21"/>
          <w:szCs w:val="21"/>
        </w:rPr>
        <w:t xml:space="preserve">assist Tuvalu’s Gender Affairs </w:t>
      </w:r>
      <w:r w:rsidR="00D64F65" w:rsidRPr="00AE7C99">
        <w:rPr>
          <w:rFonts w:ascii="Franklin Gothic Book" w:hAnsi="Franklin Gothic Book"/>
          <w:sz w:val="21"/>
          <w:szCs w:val="21"/>
        </w:rPr>
        <w:t xml:space="preserve">Department </w:t>
      </w:r>
      <w:r w:rsidRPr="00AE7C99">
        <w:rPr>
          <w:rFonts w:ascii="Franklin Gothic Book" w:hAnsi="Franklin Gothic Book"/>
          <w:sz w:val="21"/>
          <w:szCs w:val="21"/>
        </w:rPr>
        <w:t>to finalise its national gender workplan and to progress activities identified in the Tuvalu Gender Stocktake and the Tuvalu Gender and Development Policy 2013</w:t>
      </w:r>
      <w:r w:rsidR="005163BF" w:rsidRPr="00AE7C99">
        <w:rPr>
          <w:rFonts w:ascii="Franklin Gothic Book" w:hAnsi="Franklin Gothic Book"/>
          <w:sz w:val="21"/>
          <w:szCs w:val="21"/>
        </w:rPr>
        <w:t>. Any future activities will be</w:t>
      </w:r>
      <w:r w:rsidRPr="00AE7C99">
        <w:rPr>
          <w:rFonts w:ascii="Franklin Gothic Book" w:hAnsi="Franklin Gothic Book"/>
          <w:sz w:val="21"/>
          <w:szCs w:val="21"/>
        </w:rPr>
        <w:t xml:space="preserve"> supported</w:t>
      </w:r>
      <w:r w:rsidR="006035A4" w:rsidRPr="00AE7C99">
        <w:rPr>
          <w:rFonts w:ascii="Franklin Gothic Book" w:hAnsi="Franklin Gothic Book"/>
          <w:sz w:val="21"/>
          <w:szCs w:val="21"/>
        </w:rPr>
        <w:t xml:space="preserve"> </w:t>
      </w:r>
      <w:r w:rsidRPr="00AE7C99">
        <w:rPr>
          <w:rFonts w:ascii="Franklin Gothic Book" w:hAnsi="Franklin Gothic Book"/>
          <w:sz w:val="21"/>
          <w:szCs w:val="21"/>
        </w:rPr>
        <w:t xml:space="preserve">under </w:t>
      </w:r>
      <w:r w:rsidR="0086598B" w:rsidRPr="00AE7C99">
        <w:rPr>
          <w:rFonts w:ascii="Franklin Gothic Book" w:hAnsi="Franklin Gothic Book"/>
          <w:sz w:val="21"/>
          <w:szCs w:val="21"/>
        </w:rPr>
        <w:t>Australia’s Pacific</w:t>
      </w:r>
      <w:r w:rsidRPr="00AE7C99">
        <w:rPr>
          <w:rFonts w:ascii="Franklin Gothic Book" w:hAnsi="Franklin Gothic Book"/>
          <w:sz w:val="21"/>
          <w:szCs w:val="21"/>
        </w:rPr>
        <w:t xml:space="preserve"> Women Shaping Pacific Development initiative.</w:t>
      </w:r>
    </w:p>
    <w:p w:rsidR="000D733F" w:rsidRPr="001375E3" w:rsidRDefault="000D733F" w:rsidP="003528C8">
      <w:pPr>
        <w:pStyle w:val="Heading3"/>
        <w:jc w:val="both"/>
        <w:rPr>
          <w:b w:val="0"/>
          <w:sz w:val="32"/>
          <w:szCs w:val="32"/>
        </w:rPr>
      </w:pPr>
      <w:r w:rsidRPr="009E38C1">
        <w:rPr>
          <w:b w:val="0"/>
          <w:color w:val="007FAD"/>
          <w:sz w:val="28"/>
          <w:szCs w:val="28"/>
          <w:lang w:eastAsia="en-AU"/>
        </w:rPr>
        <w:t>Program Quality and Management</w:t>
      </w:r>
      <w:r w:rsidRPr="009E38C1">
        <w:rPr>
          <w:sz w:val="28"/>
          <w:szCs w:val="28"/>
        </w:rPr>
        <w:t xml:space="preserve"> </w:t>
      </w:r>
      <w:r w:rsidRPr="009E38C1">
        <w:rPr>
          <w:sz w:val="28"/>
          <w:szCs w:val="28"/>
        </w:rPr>
        <w:tab/>
      </w:r>
      <w:r>
        <w:tab/>
      </w:r>
    </w:p>
    <w:p w:rsidR="00B20402" w:rsidRPr="00AE7C99" w:rsidRDefault="006128E2" w:rsidP="003528C8">
      <w:pPr>
        <w:pStyle w:val="ListBullet"/>
        <w:numPr>
          <w:ilvl w:val="0"/>
          <w:numId w:val="0"/>
        </w:numPr>
        <w:jc w:val="both"/>
      </w:pPr>
      <w:r w:rsidRPr="00AE7C99">
        <w:t>DFAT’s aid program to Tuvalu does not have an overarching Performance Assessment Framework, but each program is assessed against objectives set out during design.</w:t>
      </w:r>
      <w:r w:rsidR="002103B5" w:rsidRPr="00AE7C99">
        <w:t xml:space="preserve"> Progress against each objective is assessed and discussed during annual partnership meetings with Government of Tuvalu officials.</w:t>
      </w:r>
      <w:r w:rsidRPr="00AE7C99">
        <w:t xml:space="preserve"> Monitoring and evaluation was assessed as one of the weaker elements of DFAT’s </w:t>
      </w:r>
      <w:r w:rsidR="005163BF" w:rsidRPr="00AE7C99">
        <w:t>support to</w:t>
      </w:r>
      <w:r w:rsidRPr="00AE7C99">
        <w:t xml:space="preserve"> scholarships and basic education in Tuvalu. The Tuvalu program has </w:t>
      </w:r>
      <w:r w:rsidR="00BC0957" w:rsidRPr="00AE7C99">
        <w:t xml:space="preserve">consolidated a number of small value initiatives to streamline program management and provide greater strategic oversight </w:t>
      </w:r>
      <w:r w:rsidR="005163BF" w:rsidRPr="00AE7C99">
        <w:t>through</w:t>
      </w:r>
      <w:r w:rsidR="00BC0957" w:rsidRPr="00AE7C99">
        <w:t xml:space="preserve"> the Partnership for Development. </w:t>
      </w:r>
    </w:p>
    <w:p w:rsidR="00BC0957" w:rsidRPr="00AE7C99" w:rsidRDefault="00EF5F68" w:rsidP="003528C8">
      <w:pPr>
        <w:pStyle w:val="ListBullet"/>
        <w:numPr>
          <w:ilvl w:val="0"/>
          <w:numId w:val="0"/>
        </w:numPr>
        <w:jc w:val="both"/>
      </w:pPr>
      <w:r>
        <w:t xml:space="preserve">Recent and planned evaluations are listed in Annex C.  </w:t>
      </w:r>
    </w:p>
    <w:p w:rsidR="000D733F" w:rsidRPr="00180B19" w:rsidRDefault="000D733F" w:rsidP="003528C8">
      <w:pPr>
        <w:pStyle w:val="Heading3"/>
        <w:jc w:val="both"/>
      </w:pPr>
      <w:r>
        <w:t xml:space="preserve">Analysis of </w:t>
      </w:r>
      <w:r w:rsidRPr="00180B19">
        <w:t>Quality at Implementation</w:t>
      </w:r>
      <w:r w:rsidR="00D64F65">
        <w:t xml:space="preserve"> (QAI)</w:t>
      </w:r>
      <w:r w:rsidRPr="00180B19">
        <w:t xml:space="preserve"> </w:t>
      </w:r>
      <w:r>
        <w:t xml:space="preserve">Reports </w:t>
      </w:r>
    </w:p>
    <w:p w:rsidR="00C26E24" w:rsidRPr="00AE7C99" w:rsidRDefault="00C26E24" w:rsidP="003528C8">
      <w:pPr>
        <w:pStyle w:val="BodyText"/>
        <w:jc w:val="both"/>
      </w:pPr>
      <w:r w:rsidRPr="00AE7C99">
        <w:t>Given the relatively small size of the Tuvalu bilateral aid program, several initiatives, including environment and climate change, do not require QAI reports.</w:t>
      </w:r>
      <w:r w:rsidRPr="00AE7C99">
        <w:rPr>
          <w:rStyle w:val="FootnoteReference"/>
        </w:rPr>
        <w:footnoteReference w:id="16"/>
      </w:r>
      <w:r w:rsidRPr="00AE7C99">
        <w:t xml:space="preserve"> Four QAI reports were completed in 201</w:t>
      </w:r>
      <w:r w:rsidR="00B20402" w:rsidRPr="00AE7C99">
        <w:t>4</w:t>
      </w:r>
      <w:r w:rsidRPr="00AE7C99">
        <w:t>.</w:t>
      </w:r>
      <w:r w:rsidRPr="00AE7C99">
        <w:rPr>
          <w:rStyle w:val="FootnoteReference"/>
        </w:rPr>
        <w:footnoteReference w:id="17"/>
      </w:r>
      <w:r w:rsidRPr="00AE7C99">
        <w:t xml:space="preserve"> </w:t>
      </w:r>
      <w:r w:rsidR="00204CC1">
        <w:t xml:space="preserve">These are included in the table in Annex B. Overall, </w:t>
      </w:r>
      <w:r w:rsidR="00204CC1" w:rsidRPr="00AE7C99">
        <w:t xml:space="preserve">initiatives </w:t>
      </w:r>
      <w:r w:rsidR="00204CC1">
        <w:t xml:space="preserve">were rated highly on </w:t>
      </w:r>
      <w:r w:rsidR="00204CC1" w:rsidRPr="00AE7C99">
        <w:t>relevan</w:t>
      </w:r>
      <w:r w:rsidR="00204CC1">
        <w:t xml:space="preserve">ce, </w:t>
      </w:r>
      <w:r w:rsidR="00204CC1" w:rsidRPr="00AE7C99">
        <w:t xml:space="preserve">effectiveness, efficiency and sustainability. </w:t>
      </w:r>
      <w:r w:rsidRPr="00AE7C99">
        <w:t>Key areas for improvement are in:</w:t>
      </w:r>
    </w:p>
    <w:p w:rsidR="001504E5" w:rsidRPr="00AE7C99" w:rsidRDefault="001504E5" w:rsidP="003528C8">
      <w:pPr>
        <w:pStyle w:val="ListBullet"/>
        <w:jc w:val="both"/>
      </w:pPr>
      <w:r w:rsidRPr="00AE7C99">
        <w:t>gender equality, which was rated ‘less than adequate’ in the initiatives for education,</w:t>
      </w:r>
      <w:r w:rsidR="00EF5F68">
        <w:t xml:space="preserve"> </w:t>
      </w:r>
      <w:r w:rsidRPr="00AE7C99">
        <w:t xml:space="preserve">PACTAM and good governance and economic growth (the same ratings as last year) </w:t>
      </w:r>
    </w:p>
    <w:p w:rsidR="00C26E24" w:rsidRPr="00AE7C99" w:rsidRDefault="00EF5F68" w:rsidP="003528C8">
      <w:pPr>
        <w:pStyle w:val="ListBullet"/>
        <w:jc w:val="both"/>
      </w:pPr>
      <w:r>
        <w:t xml:space="preserve">monitoring and evaluation of the </w:t>
      </w:r>
      <w:r w:rsidR="00C26E24" w:rsidRPr="00AE7C99">
        <w:t>education program, which rated ‘less than adequat</w:t>
      </w:r>
      <w:r w:rsidR="001504E5" w:rsidRPr="00AE7C99">
        <w:t>e’.</w:t>
      </w:r>
    </w:p>
    <w:p w:rsidR="00C26E24" w:rsidRPr="00AE7C99" w:rsidRDefault="00C26E24" w:rsidP="003528C8">
      <w:pPr>
        <w:pStyle w:val="BodyText"/>
        <w:jc w:val="both"/>
      </w:pPr>
      <w:r w:rsidRPr="00AE7C99">
        <w:lastRenderedPageBreak/>
        <w:t xml:space="preserve">These ratings reflect the program management issues discussed in the education section, and the absence of a gender </w:t>
      </w:r>
      <w:r w:rsidR="003E7D28">
        <w:t>country plan</w:t>
      </w:r>
      <w:r w:rsidR="003E7D28" w:rsidRPr="00AE7C99">
        <w:t xml:space="preserve"> </w:t>
      </w:r>
      <w:r w:rsidRPr="00AE7C99">
        <w:t>for the Tuvalu program</w:t>
      </w:r>
      <w:r w:rsidR="001504E5" w:rsidRPr="00AE7C99">
        <w:t xml:space="preserve"> (this is now in the early stages of development)</w:t>
      </w:r>
      <w:r w:rsidRPr="00AE7C99">
        <w:t>. The</w:t>
      </w:r>
      <w:r w:rsidR="001504E5" w:rsidRPr="00AE7C99">
        <w:t xml:space="preserve"> ratings</w:t>
      </w:r>
      <w:r w:rsidRPr="00AE7C99">
        <w:t xml:space="preserve"> also reflect that </w:t>
      </w:r>
      <w:r w:rsidR="005163BF" w:rsidRPr="00AE7C99">
        <w:t>sex</w:t>
      </w:r>
      <w:r w:rsidRPr="00AE7C99">
        <w:t xml:space="preserve">-disaggregated data and other specific gender reporting </w:t>
      </w:r>
      <w:r w:rsidR="00EF5F68">
        <w:t>are</w:t>
      </w:r>
      <w:r w:rsidRPr="00AE7C99">
        <w:t xml:space="preserve"> not included in all initiatives. </w:t>
      </w:r>
    </w:p>
    <w:p w:rsidR="000D733F" w:rsidRDefault="000D733F" w:rsidP="000D733F">
      <w:pPr>
        <w:pStyle w:val="Heading3"/>
      </w:pPr>
      <w:r>
        <w:t>Risks</w:t>
      </w:r>
    </w:p>
    <w:p w:rsidR="000D733F" w:rsidRDefault="000D733F" w:rsidP="000D733F">
      <w:pPr>
        <w:pStyle w:val="Caption"/>
      </w:pPr>
      <w:r>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AE7C99">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r w:rsidR="001D7E98">
              <w:t>?</w:t>
            </w:r>
          </w:p>
        </w:tc>
        <w:tc>
          <w:tcPr>
            <w:tcW w:w="3124"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0D733F" w:rsidRPr="00180B19" w:rsidTr="00AE7C99">
        <w:tc>
          <w:tcPr>
            <w:tcW w:w="2487" w:type="dxa"/>
            <w:hideMark/>
          </w:tcPr>
          <w:p w:rsidR="000E2D76" w:rsidRPr="009916F0" w:rsidRDefault="009916F0" w:rsidP="000D733F">
            <w:pPr>
              <w:pStyle w:val="ListBullet"/>
              <w:numPr>
                <w:ilvl w:val="0"/>
                <w:numId w:val="0"/>
              </w:numPr>
              <w:tabs>
                <w:tab w:val="left" w:pos="0"/>
              </w:tabs>
              <w:spacing w:after="0" w:line="240" w:lineRule="auto"/>
              <w:rPr>
                <w:sz w:val="16"/>
                <w:szCs w:val="16"/>
              </w:rPr>
            </w:pPr>
            <w:r w:rsidRPr="009916F0">
              <w:rPr>
                <w:sz w:val="16"/>
                <w:szCs w:val="16"/>
              </w:rPr>
              <w:t xml:space="preserve">1. </w:t>
            </w:r>
            <w:r w:rsidR="008A6972" w:rsidRPr="009916F0">
              <w:rPr>
                <w:sz w:val="16"/>
                <w:szCs w:val="16"/>
              </w:rPr>
              <w:t>Gender equality and women’s empowerment is not adequately integrated across the progra</w:t>
            </w:r>
            <w:r w:rsidR="00133A80">
              <w:rPr>
                <w:sz w:val="16"/>
                <w:szCs w:val="16"/>
              </w:rPr>
              <w:t>m.</w:t>
            </w:r>
          </w:p>
          <w:p w:rsidR="000E2D76" w:rsidRPr="009916F0" w:rsidRDefault="000E2D76" w:rsidP="000D733F">
            <w:pPr>
              <w:pStyle w:val="ListBullet"/>
              <w:numPr>
                <w:ilvl w:val="0"/>
                <w:numId w:val="0"/>
              </w:numPr>
              <w:tabs>
                <w:tab w:val="left" w:pos="0"/>
              </w:tabs>
              <w:spacing w:after="0" w:line="240" w:lineRule="auto"/>
              <w:rPr>
                <w:sz w:val="16"/>
                <w:szCs w:val="16"/>
              </w:rPr>
            </w:pPr>
          </w:p>
          <w:p w:rsidR="000E2D76" w:rsidRPr="009916F0" w:rsidRDefault="000E2D76" w:rsidP="000E2D76">
            <w:pPr>
              <w:pStyle w:val="ListBullet"/>
              <w:numPr>
                <w:ilvl w:val="0"/>
                <w:numId w:val="0"/>
              </w:numPr>
              <w:tabs>
                <w:tab w:val="left" w:pos="0"/>
              </w:tabs>
              <w:spacing w:after="0" w:line="240" w:lineRule="auto"/>
              <w:rPr>
                <w:sz w:val="16"/>
                <w:szCs w:val="16"/>
              </w:rPr>
            </w:pPr>
          </w:p>
        </w:tc>
        <w:tc>
          <w:tcPr>
            <w:tcW w:w="3054" w:type="dxa"/>
          </w:tcPr>
          <w:p w:rsidR="008A6972" w:rsidRDefault="001E7AE4" w:rsidP="001E7AE4">
            <w:pPr>
              <w:pStyle w:val="TableTextEntries"/>
              <w:rPr>
                <w:sz w:val="16"/>
                <w:szCs w:val="16"/>
              </w:rPr>
            </w:pPr>
            <w:r>
              <w:rPr>
                <w:sz w:val="16"/>
                <w:szCs w:val="16"/>
              </w:rPr>
              <w:t xml:space="preserve">Based on a gender stocktake undertaken by the </w:t>
            </w:r>
            <w:r w:rsidR="008A6972" w:rsidRPr="00AE7C99">
              <w:rPr>
                <w:sz w:val="16"/>
                <w:szCs w:val="16"/>
              </w:rPr>
              <w:t>Secretariat of the Pacific Community</w:t>
            </w:r>
            <w:r>
              <w:rPr>
                <w:sz w:val="16"/>
                <w:szCs w:val="16"/>
              </w:rPr>
              <w:t xml:space="preserve">, </w:t>
            </w:r>
            <w:r w:rsidR="008A6972" w:rsidRPr="00AE7C99">
              <w:rPr>
                <w:sz w:val="16"/>
                <w:szCs w:val="16"/>
              </w:rPr>
              <w:t>DFAT is develop</w:t>
            </w:r>
            <w:r w:rsidR="00646341" w:rsidRPr="00AE7C99">
              <w:rPr>
                <w:sz w:val="16"/>
                <w:szCs w:val="16"/>
              </w:rPr>
              <w:t>ing</w:t>
            </w:r>
            <w:r w:rsidR="008A6972" w:rsidRPr="00AE7C99">
              <w:rPr>
                <w:sz w:val="16"/>
                <w:szCs w:val="16"/>
              </w:rPr>
              <w:t xml:space="preserve"> a gender plan for </w:t>
            </w:r>
            <w:r w:rsidR="00646341" w:rsidRPr="00AE7C99">
              <w:rPr>
                <w:sz w:val="16"/>
                <w:szCs w:val="16"/>
              </w:rPr>
              <w:t xml:space="preserve">the </w:t>
            </w:r>
            <w:r w:rsidR="008A6972" w:rsidRPr="00AE7C99">
              <w:rPr>
                <w:sz w:val="16"/>
                <w:szCs w:val="16"/>
              </w:rPr>
              <w:t>aid program.</w:t>
            </w:r>
            <w:r w:rsidR="009916F0" w:rsidRPr="00AE7C99">
              <w:rPr>
                <w:sz w:val="16"/>
                <w:szCs w:val="16"/>
              </w:rPr>
              <w:t xml:space="preserve"> </w:t>
            </w:r>
            <w:r w:rsidR="008A6972" w:rsidRPr="00AE7C99">
              <w:rPr>
                <w:sz w:val="16"/>
                <w:szCs w:val="16"/>
              </w:rPr>
              <w:t xml:space="preserve">DFAT has </w:t>
            </w:r>
            <w:r>
              <w:rPr>
                <w:sz w:val="16"/>
                <w:szCs w:val="16"/>
              </w:rPr>
              <w:t>asked for</w:t>
            </w:r>
            <w:r w:rsidR="008A6972" w:rsidRPr="00AE7C99">
              <w:rPr>
                <w:sz w:val="16"/>
                <w:szCs w:val="16"/>
              </w:rPr>
              <w:t xml:space="preserve"> sex-disaggregated data from implementing partners to better assess the impact on women.</w:t>
            </w:r>
          </w:p>
          <w:p w:rsidR="00CC7E94" w:rsidRPr="00AE7C99" w:rsidRDefault="00CC7E94" w:rsidP="001E7AE4">
            <w:pPr>
              <w:pStyle w:val="TableTextEntries"/>
              <w:rPr>
                <w:sz w:val="16"/>
                <w:szCs w:val="16"/>
              </w:rPr>
            </w:pPr>
          </w:p>
        </w:tc>
        <w:tc>
          <w:tcPr>
            <w:tcW w:w="3124" w:type="dxa"/>
          </w:tcPr>
          <w:p w:rsidR="000D733F" w:rsidRPr="00AE7C99" w:rsidRDefault="008A6972" w:rsidP="000D733F">
            <w:pPr>
              <w:pStyle w:val="TableTextEntries"/>
              <w:rPr>
                <w:sz w:val="16"/>
                <w:szCs w:val="16"/>
              </w:rPr>
            </w:pPr>
            <w:r w:rsidRPr="00AE7C99">
              <w:rPr>
                <w:sz w:val="16"/>
                <w:szCs w:val="16"/>
              </w:rPr>
              <w:t>DFAT will finalise its Tuvalu program gender plan and integrate recommendations into each program objective.</w:t>
            </w:r>
          </w:p>
        </w:tc>
      </w:tr>
      <w:tr w:rsidR="009916F0" w:rsidRPr="00180B19" w:rsidTr="00133A80">
        <w:tc>
          <w:tcPr>
            <w:tcW w:w="2487" w:type="dxa"/>
          </w:tcPr>
          <w:p w:rsidR="009916F0" w:rsidRPr="009916F0" w:rsidRDefault="009916F0" w:rsidP="009916F0">
            <w:pPr>
              <w:pStyle w:val="ListBullet"/>
              <w:numPr>
                <w:ilvl w:val="0"/>
                <w:numId w:val="0"/>
              </w:numPr>
              <w:tabs>
                <w:tab w:val="left" w:pos="0"/>
              </w:tabs>
              <w:spacing w:after="0" w:line="240" w:lineRule="auto"/>
              <w:rPr>
                <w:sz w:val="16"/>
                <w:szCs w:val="16"/>
              </w:rPr>
            </w:pPr>
            <w:r w:rsidRPr="00DD6ED8">
              <w:rPr>
                <w:sz w:val="16"/>
                <w:szCs w:val="16"/>
              </w:rPr>
              <w:t>2</w:t>
            </w:r>
            <w:r w:rsidRPr="009916F0">
              <w:rPr>
                <w:sz w:val="16"/>
                <w:szCs w:val="16"/>
              </w:rPr>
              <w:t>.</w:t>
            </w:r>
            <w:r w:rsidRPr="00DD6ED8">
              <w:rPr>
                <w:sz w:val="16"/>
                <w:szCs w:val="16"/>
              </w:rPr>
              <w:t xml:space="preserve"> </w:t>
            </w:r>
            <w:r w:rsidRPr="009916F0">
              <w:rPr>
                <w:sz w:val="16"/>
                <w:szCs w:val="16"/>
              </w:rPr>
              <w:t xml:space="preserve">Australia’s investments and program implementation maybe delayed or stagnant if there is </w:t>
            </w:r>
            <w:r>
              <w:rPr>
                <w:sz w:val="16"/>
                <w:szCs w:val="16"/>
              </w:rPr>
              <w:t xml:space="preserve">political </w:t>
            </w:r>
            <w:r w:rsidRPr="009916F0">
              <w:rPr>
                <w:sz w:val="16"/>
                <w:szCs w:val="16"/>
              </w:rPr>
              <w:t xml:space="preserve">instability </w:t>
            </w:r>
            <w:r>
              <w:rPr>
                <w:sz w:val="16"/>
                <w:szCs w:val="16"/>
              </w:rPr>
              <w:t xml:space="preserve"> following </w:t>
            </w:r>
            <w:r w:rsidRPr="009916F0">
              <w:rPr>
                <w:sz w:val="16"/>
                <w:szCs w:val="16"/>
              </w:rPr>
              <w:t>the upcoming elections</w:t>
            </w:r>
          </w:p>
          <w:p w:rsidR="009916F0" w:rsidRPr="009916F0" w:rsidRDefault="009916F0" w:rsidP="00D45FC5">
            <w:pPr>
              <w:pStyle w:val="ListBullet"/>
              <w:numPr>
                <w:ilvl w:val="0"/>
                <w:numId w:val="0"/>
              </w:numPr>
              <w:tabs>
                <w:tab w:val="left" w:pos="0"/>
              </w:tabs>
              <w:spacing w:after="0" w:line="240" w:lineRule="auto"/>
              <w:rPr>
                <w:sz w:val="16"/>
                <w:szCs w:val="16"/>
              </w:rPr>
            </w:pPr>
          </w:p>
        </w:tc>
        <w:tc>
          <w:tcPr>
            <w:tcW w:w="3054" w:type="dxa"/>
          </w:tcPr>
          <w:p w:rsidR="009916F0" w:rsidRPr="003F0FD8" w:rsidRDefault="009916F0" w:rsidP="00AE7C99">
            <w:pPr>
              <w:pStyle w:val="ListBullet"/>
              <w:numPr>
                <w:ilvl w:val="0"/>
                <w:numId w:val="0"/>
              </w:numPr>
              <w:tabs>
                <w:tab w:val="left" w:pos="0"/>
              </w:tabs>
              <w:spacing w:after="0" w:line="240" w:lineRule="auto"/>
              <w:rPr>
                <w:color w:val="000000" w:themeColor="text1" w:themeShade="BF"/>
                <w:sz w:val="16"/>
                <w:szCs w:val="16"/>
              </w:rPr>
            </w:pPr>
            <w:r w:rsidRPr="003F0FD8">
              <w:rPr>
                <w:sz w:val="16"/>
                <w:szCs w:val="16"/>
              </w:rPr>
              <w:t xml:space="preserve">DFAT has been monitoring Government’s commitment to implementing reforms under its Roadmap </w:t>
            </w:r>
            <w:r>
              <w:rPr>
                <w:sz w:val="16"/>
                <w:szCs w:val="16"/>
              </w:rPr>
              <w:t xml:space="preserve">- </w:t>
            </w:r>
            <w:r w:rsidRPr="003F0FD8">
              <w:rPr>
                <w:sz w:val="16"/>
                <w:szCs w:val="16"/>
              </w:rPr>
              <w:t>it is progressing well.</w:t>
            </w:r>
          </w:p>
          <w:p w:rsidR="009916F0" w:rsidRPr="009916F0" w:rsidRDefault="009916F0" w:rsidP="000D733F">
            <w:pPr>
              <w:pStyle w:val="TableTextEntries"/>
              <w:rPr>
                <w:sz w:val="16"/>
                <w:szCs w:val="16"/>
              </w:rPr>
            </w:pPr>
          </w:p>
        </w:tc>
        <w:tc>
          <w:tcPr>
            <w:tcW w:w="3124" w:type="dxa"/>
          </w:tcPr>
          <w:p w:rsidR="009916F0" w:rsidRPr="000142E8" w:rsidRDefault="009916F0" w:rsidP="00AE7C99">
            <w:pPr>
              <w:pStyle w:val="ListBullet"/>
              <w:numPr>
                <w:ilvl w:val="0"/>
                <w:numId w:val="0"/>
              </w:numPr>
              <w:tabs>
                <w:tab w:val="left" w:pos="0"/>
              </w:tabs>
              <w:spacing w:after="0" w:line="240" w:lineRule="auto"/>
              <w:rPr>
                <w:color w:val="000000" w:themeColor="text1" w:themeShade="BF"/>
                <w:sz w:val="16"/>
                <w:szCs w:val="16"/>
              </w:rPr>
            </w:pPr>
            <w:r w:rsidRPr="000142E8">
              <w:rPr>
                <w:sz w:val="16"/>
                <w:szCs w:val="16"/>
              </w:rPr>
              <w:t xml:space="preserve">DFAT to continue monitor the political environment </w:t>
            </w:r>
            <w:r>
              <w:rPr>
                <w:sz w:val="16"/>
                <w:szCs w:val="16"/>
              </w:rPr>
              <w:t xml:space="preserve">for </w:t>
            </w:r>
            <w:r w:rsidR="00133A80">
              <w:rPr>
                <w:sz w:val="16"/>
                <w:szCs w:val="16"/>
              </w:rPr>
              <w:t>emerging risks.</w:t>
            </w:r>
          </w:p>
          <w:p w:rsidR="009916F0" w:rsidRPr="009916F0" w:rsidRDefault="009916F0" w:rsidP="000D733F">
            <w:pPr>
              <w:pStyle w:val="TableTextEntries"/>
              <w:rPr>
                <w:sz w:val="16"/>
                <w:szCs w:val="16"/>
              </w:rPr>
            </w:pPr>
          </w:p>
        </w:tc>
      </w:tr>
      <w:tr w:rsidR="000D733F" w:rsidRPr="00180B19" w:rsidTr="00AE7C99">
        <w:tc>
          <w:tcPr>
            <w:tcW w:w="2487" w:type="dxa"/>
            <w:hideMark/>
          </w:tcPr>
          <w:p w:rsidR="008A6972" w:rsidRPr="00AE7C99" w:rsidRDefault="008A6972" w:rsidP="000D733F">
            <w:pPr>
              <w:pStyle w:val="TableTextEntries"/>
              <w:rPr>
                <w:sz w:val="16"/>
                <w:szCs w:val="16"/>
              </w:rPr>
            </w:pPr>
            <w:r w:rsidRPr="00AE7C99">
              <w:rPr>
                <w:sz w:val="16"/>
                <w:szCs w:val="16"/>
              </w:rPr>
              <w:t>3</w:t>
            </w:r>
            <w:r w:rsidR="009916F0" w:rsidRPr="00AE7C99">
              <w:rPr>
                <w:sz w:val="16"/>
                <w:szCs w:val="16"/>
              </w:rPr>
              <w:t>.</w:t>
            </w:r>
            <w:r w:rsidR="000E2D76" w:rsidRPr="009916F0">
              <w:rPr>
                <w:sz w:val="16"/>
                <w:szCs w:val="16"/>
              </w:rPr>
              <w:t xml:space="preserve"> The sustainability of Tuvalu’s economic reform program and implications on Government</w:t>
            </w:r>
            <w:r w:rsidR="006C7E67" w:rsidRPr="009916F0">
              <w:rPr>
                <w:sz w:val="16"/>
                <w:szCs w:val="16"/>
              </w:rPr>
              <w:t>’s</w:t>
            </w:r>
            <w:r w:rsidR="000E2D76" w:rsidRPr="009916F0">
              <w:rPr>
                <w:sz w:val="16"/>
                <w:szCs w:val="16"/>
              </w:rPr>
              <w:t xml:space="preserve"> resilience to external shocks if TTF </w:t>
            </w:r>
            <w:r w:rsidR="00646341" w:rsidRPr="009916F0">
              <w:rPr>
                <w:sz w:val="16"/>
                <w:szCs w:val="16"/>
              </w:rPr>
              <w:t xml:space="preserve">does not </w:t>
            </w:r>
            <w:r w:rsidR="000E2D76" w:rsidRPr="009916F0">
              <w:rPr>
                <w:sz w:val="16"/>
                <w:szCs w:val="16"/>
              </w:rPr>
              <w:t xml:space="preserve">perform well enough </w:t>
            </w:r>
            <w:r w:rsidR="00646341" w:rsidRPr="009916F0">
              <w:rPr>
                <w:sz w:val="16"/>
                <w:szCs w:val="16"/>
              </w:rPr>
              <w:t xml:space="preserve">and </w:t>
            </w:r>
            <w:r w:rsidR="000E2D76" w:rsidRPr="009916F0">
              <w:rPr>
                <w:sz w:val="16"/>
                <w:szCs w:val="16"/>
              </w:rPr>
              <w:t>Tuvalu enters another fiscal crisis</w:t>
            </w:r>
            <w:r w:rsidR="0028116B" w:rsidRPr="009916F0">
              <w:rPr>
                <w:sz w:val="16"/>
                <w:szCs w:val="16"/>
              </w:rPr>
              <w:t>. Related to this risk, fiduciary risks will need to be taken into account given budget support channelled through partner government system.</w:t>
            </w:r>
          </w:p>
        </w:tc>
        <w:tc>
          <w:tcPr>
            <w:tcW w:w="3054" w:type="dxa"/>
          </w:tcPr>
          <w:p w:rsidR="00C15316" w:rsidRPr="00AE7C99" w:rsidRDefault="006C7E67" w:rsidP="00C15316">
            <w:pPr>
              <w:pStyle w:val="TableTextEntries"/>
              <w:rPr>
                <w:sz w:val="16"/>
                <w:szCs w:val="16"/>
              </w:rPr>
            </w:pPr>
            <w:r w:rsidRPr="00AE7C99">
              <w:rPr>
                <w:sz w:val="16"/>
                <w:szCs w:val="16"/>
              </w:rPr>
              <w:t xml:space="preserve">DFAT has been working closely with the Government of Tuvalu, ADB, New Zealand and World Bank to support Tuvalu’s economic reform program </w:t>
            </w:r>
          </w:p>
          <w:p w:rsidR="00D45FC5" w:rsidRPr="00AE7C99" w:rsidRDefault="00C15316" w:rsidP="0028116B">
            <w:pPr>
              <w:pStyle w:val="TableTextEntries"/>
              <w:rPr>
                <w:sz w:val="16"/>
                <w:szCs w:val="16"/>
              </w:rPr>
            </w:pPr>
            <w:r w:rsidRPr="00AE7C99">
              <w:rPr>
                <w:sz w:val="16"/>
                <w:szCs w:val="16"/>
              </w:rPr>
              <w:t xml:space="preserve">DFAT is also supporting TTF </w:t>
            </w:r>
            <w:r w:rsidR="009916F0">
              <w:rPr>
                <w:sz w:val="16"/>
                <w:szCs w:val="16"/>
              </w:rPr>
              <w:t xml:space="preserve">to </w:t>
            </w:r>
            <w:r w:rsidRPr="00AE7C99">
              <w:rPr>
                <w:sz w:val="16"/>
                <w:szCs w:val="16"/>
              </w:rPr>
              <w:t xml:space="preserve">build the capital of the Fund as a financial asset for Tuvalu and also the implementation of the new investment strategy/ approach for the Fund that resulted in a multi-million return from the Fund to support Tuvalu’s budget priorities. </w:t>
            </w:r>
          </w:p>
          <w:p w:rsidR="00C15316" w:rsidRPr="00AE7C99" w:rsidRDefault="00C15316" w:rsidP="0028116B">
            <w:pPr>
              <w:pStyle w:val="TableTextEntries"/>
              <w:rPr>
                <w:sz w:val="16"/>
                <w:szCs w:val="16"/>
              </w:rPr>
            </w:pPr>
          </w:p>
        </w:tc>
        <w:tc>
          <w:tcPr>
            <w:tcW w:w="3124" w:type="dxa"/>
          </w:tcPr>
          <w:p w:rsidR="0028116B" w:rsidRPr="00AE7C99" w:rsidRDefault="00C15316" w:rsidP="0028116B">
            <w:pPr>
              <w:pStyle w:val="TableTextEntries"/>
              <w:rPr>
                <w:sz w:val="16"/>
                <w:szCs w:val="16"/>
              </w:rPr>
            </w:pPr>
            <w:r w:rsidRPr="00AE7C99">
              <w:rPr>
                <w:sz w:val="16"/>
                <w:szCs w:val="16"/>
              </w:rPr>
              <w:t>DFAT</w:t>
            </w:r>
            <w:r w:rsidR="0028116B" w:rsidRPr="00AE7C99">
              <w:rPr>
                <w:sz w:val="16"/>
                <w:szCs w:val="16"/>
              </w:rPr>
              <w:t xml:space="preserve"> continue</w:t>
            </w:r>
            <w:r w:rsidR="00646341" w:rsidRPr="00AE7C99">
              <w:rPr>
                <w:sz w:val="16"/>
                <w:szCs w:val="16"/>
              </w:rPr>
              <w:t xml:space="preserve"> to</w:t>
            </w:r>
            <w:r w:rsidR="0028116B" w:rsidRPr="00AE7C99">
              <w:rPr>
                <w:sz w:val="16"/>
                <w:szCs w:val="16"/>
              </w:rPr>
              <w:t xml:space="preserve"> engage with other development partners to support Tuvalu institutionalise the reforms on public financial management and social service delivery.</w:t>
            </w:r>
          </w:p>
          <w:p w:rsidR="0028116B" w:rsidRPr="00AE7C99" w:rsidRDefault="0028116B" w:rsidP="0028116B">
            <w:pPr>
              <w:pStyle w:val="TableTextEntries"/>
              <w:rPr>
                <w:sz w:val="16"/>
                <w:szCs w:val="16"/>
              </w:rPr>
            </w:pPr>
            <w:r w:rsidRPr="00AE7C99">
              <w:rPr>
                <w:sz w:val="16"/>
                <w:szCs w:val="16"/>
              </w:rPr>
              <w:t>DFAT continue</w:t>
            </w:r>
            <w:r w:rsidR="00646341" w:rsidRPr="00AE7C99">
              <w:rPr>
                <w:sz w:val="16"/>
                <w:szCs w:val="16"/>
              </w:rPr>
              <w:t xml:space="preserve"> </w:t>
            </w:r>
            <w:r w:rsidRPr="00AE7C99">
              <w:rPr>
                <w:sz w:val="16"/>
                <w:szCs w:val="16"/>
              </w:rPr>
              <w:t xml:space="preserve">to provide technical assistance and </w:t>
            </w:r>
            <w:r w:rsidR="009916F0">
              <w:rPr>
                <w:sz w:val="16"/>
                <w:szCs w:val="16"/>
              </w:rPr>
              <w:t xml:space="preserve">participate in </w:t>
            </w:r>
            <w:r w:rsidRPr="00AE7C99">
              <w:rPr>
                <w:sz w:val="16"/>
                <w:szCs w:val="16"/>
              </w:rPr>
              <w:t>TTF Board to ensure that TTF investments and returns are managed to meet Fund objectives.</w:t>
            </w:r>
          </w:p>
          <w:p w:rsidR="0028116B" w:rsidRPr="00AE7C99" w:rsidRDefault="0028116B" w:rsidP="004D2BCC">
            <w:pPr>
              <w:pStyle w:val="TableTextEntries"/>
              <w:rPr>
                <w:sz w:val="16"/>
                <w:szCs w:val="16"/>
              </w:rPr>
            </w:pPr>
            <w:r w:rsidRPr="00AE7C99">
              <w:rPr>
                <w:sz w:val="16"/>
                <w:szCs w:val="16"/>
              </w:rPr>
              <w:t xml:space="preserve">DFAT to </w:t>
            </w:r>
            <w:r w:rsidR="00646341" w:rsidRPr="00AE7C99">
              <w:rPr>
                <w:sz w:val="16"/>
                <w:szCs w:val="16"/>
              </w:rPr>
              <w:t xml:space="preserve">undertake </w:t>
            </w:r>
            <w:r w:rsidRPr="00AE7C99">
              <w:rPr>
                <w:sz w:val="16"/>
                <w:szCs w:val="16"/>
              </w:rPr>
              <w:t xml:space="preserve">a review and update of the Assessment of National Systems towards end of 2014 </w:t>
            </w:r>
          </w:p>
        </w:tc>
      </w:tr>
      <w:tr w:rsidR="009916F0" w:rsidRPr="00180B19" w:rsidTr="00133A80">
        <w:tc>
          <w:tcPr>
            <w:tcW w:w="2487" w:type="dxa"/>
          </w:tcPr>
          <w:p w:rsidR="009916F0" w:rsidRPr="009916F0" w:rsidDel="009916F0" w:rsidRDefault="009916F0" w:rsidP="000D733F">
            <w:pPr>
              <w:pStyle w:val="TableTextEntries"/>
              <w:rPr>
                <w:sz w:val="16"/>
                <w:szCs w:val="16"/>
              </w:rPr>
            </w:pPr>
            <w:r w:rsidRPr="00D722EC">
              <w:rPr>
                <w:sz w:val="16"/>
                <w:szCs w:val="16"/>
              </w:rPr>
              <w:t>4. Breadth and complexity of work with limited human resources at Post.</w:t>
            </w:r>
          </w:p>
        </w:tc>
        <w:tc>
          <w:tcPr>
            <w:tcW w:w="3054" w:type="dxa"/>
          </w:tcPr>
          <w:p w:rsidR="009916F0" w:rsidRPr="009916F0" w:rsidDel="009916F0" w:rsidRDefault="00133A80" w:rsidP="00C15316">
            <w:pPr>
              <w:pStyle w:val="TableTextEntries"/>
              <w:rPr>
                <w:sz w:val="16"/>
                <w:szCs w:val="16"/>
              </w:rPr>
            </w:pPr>
            <w:r>
              <w:rPr>
                <w:sz w:val="16"/>
                <w:szCs w:val="16"/>
              </w:rPr>
              <w:t>K</w:t>
            </w:r>
            <w:r w:rsidR="009916F0" w:rsidRPr="00C96624">
              <w:rPr>
                <w:sz w:val="16"/>
                <w:szCs w:val="16"/>
              </w:rPr>
              <w:t>ey in</w:t>
            </w:r>
            <w:r>
              <w:rPr>
                <w:sz w:val="16"/>
                <w:szCs w:val="16"/>
              </w:rPr>
              <w:t xml:space="preserve">itiatives are monitored closely, from Suva, </w:t>
            </w:r>
            <w:r w:rsidR="009916F0" w:rsidRPr="00C96624">
              <w:rPr>
                <w:sz w:val="16"/>
                <w:szCs w:val="16"/>
              </w:rPr>
              <w:t>with strategic oversight of other initiatives through engagement with Government of Tuvalu and implementing partners and donors.</w:t>
            </w:r>
          </w:p>
        </w:tc>
        <w:tc>
          <w:tcPr>
            <w:tcW w:w="3124" w:type="dxa"/>
          </w:tcPr>
          <w:p w:rsidR="009916F0" w:rsidRPr="009916F0" w:rsidDel="009916F0" w:rsidRDefault="009916F0" w:rsidP="0028116B">
            <w:pPr>
              <w:pStyle w:val="TableTextEntries"/>
              <w:rPr>
                <w:sz w:val="16"/>
                <w:szCs w:val="16"/>
              </w:rPr>
            </w:pPr>
            <w:r w:rsidRPr="008F3C7F">
              <w:rPr>
                <w:sz w:val="16"/>
                <w:szCs w:val="16"/>
              </w:rPr>
              <w:t>Consider further consolidation of the program through the new Aid Investment Plan developed for Tuvalu in 2015.</w:t>
            </w:r>
          </w:p>
        </w:tc>
      </w:tr>
    </w:tbl>
    <w:p w:rsidR="00B86933" w:rsidRPr="00AE7C99" w:rsidRDefault="00B86933" w:rsidP="00AE7C99">
      <w:pPr>
        <w:pStyle w:val="BodyText"/>
        <w:rPr>
          <w:lang w:eastAsia="zh-CN"/>
        </w:rPr>
      </w:pPr>
    </w:p>
    <w:p w:rsidR="00CC7E94" w:rsidRDefault="00CC7E94" w:rsidP="000D733F">
      <w:pPr>
        <w:pStyle w:val="Heading3"/>
        <w:rPr>
          <w:b w:val="0"/>
          <w:color w:val="007FAD"/>
          <w:sz w:val="32"/>
          <w:szCs w:val="32"/>
          <w:lang w:eastAsia="en-AU"/>
        </w:rPr>
      </w:pPr>
    </w:p>
    <w:p w:rsidR="00CC7E94" w:rsidRDefault="00CC7E94" w:rsidP="000D733F">
      <w:pPr>
        <w:pStyle w:val="Heading3"/>
        <w:rPr>
          <w:b w:val="0"/>
          <w:color w:val="007FAD"/>
          <w:sz w:val="32"/>
          <w:szCs w:val="32"/>
          <w:lang w:eastAsia="en-AU"/>
        </w:rPr>
      </w:pPr>
    </w:p>
    <w:p w:rsidR="00CC7E94" w:rsidRDefault="00CC7E94" w:rsidP="000D733F">
      <w:pPr>
        <w:pStyle w:val="Heading3"/>
        <w:rPr>
          <w:b w:val="0"/>
          <w:color w:val="007FAD"/>
          <w:sz w:val="32"/>
          <w:szCs w:val="32"/>
          <w:lang w:eastAsia="en-AU"/>
        </w:rPr>
      </w:pPr>
    </w:p>
    <w:p w:rsidR="00CC7E94" w:rsidRDefault="00CC7E94" w:rsidP="000D733F">
      <w:pPr>
        <w:pStyle w:val="Heading3"/>
        <w:rPr>
          <w:b w:val="0"/>
          <w:color w:val="007FAD"/>
          <w:sz w:val="32"/>
          <w:szCs w:val="32"/>
          <w:lang w:eastAsia="en-AU"/>
        </w:rPr>
      </w:pPr>
    </w:p>
    <w:p w:rsidR="00CC7E94" w:rsidRDefault="00CC7E94" w:rsidP="000D733F">
      <w:pPr>
        <w:pStyle w:val="Heading3"/>
        <w:rPr>
          <w:b w:val="0"/>
          <w:color w:val="007FAD"/>
          <w:sz w:val="32"/>
          <w:szCs w:val="32"/>
          <w:lang w:eastAsia="en-AU"/>
        </w:rPr>
      </w:pPr>
    </w:p>
    <w:p w:rsidR="00CC7E94" w:rsidRDefault="00CC7E94" w:rsidP="000D733F">
      <w:pPr>
        <w:pStyle w:val="Heading3"/>
        <w:rPr>
          <w:b w:val="0"/>
          <w:color w:val="007FAD"/>
          <w:sz w:val="32"/>
          <w:szCs w:val="32"/>
          <w:lang w:eastAsia="en-AU"/>
        </w:rPr>
      </w:pPr>
    </w:p>
    <w:p w:rsidR="003528C8" w:rsidRDefault="003528C8" w:rsidP="003528C8">
      <w:pPr>
        <w:pStyle w:val="BodyText"/>
      </w:pPr>
    </w:p>
    <w:p w:rsidR="003528C8" w:rsidRPr="003528C8" w:rsidRDefault="003528C8" w:rsidP="003528C8">
      <w:pPr>
        <w:pStyle w:val="BodyText"/>
      </w:pPr>
    </w:p>
    <w:p w:rsidR="000D733F" w:rsidRPr="003275D0" w:rsidRDefault="000D733F" w:rsidP="000D733F">
      <w:pPr>
        <w:pStyle w:val="Heading3"/>
        <w:rPr>
          <w:rStyle w:val="BodyTextChar"/>
          <w:b w:val="0"/>
          <w:color w:val="auto"/>
        </w:rPr>
      </w:pPr>
      <w:r w:rsidRPr="009E38C1">
        <w:rPr>
          <w:b w:val="0"/>
          <w:color w:val="007FAD"/>
          <w:sz w:val="32"/>
          <w:szCs w:val="32"/>
          <w:lang w:eastAsia="en-AU"/>
        </w:rPr>
        <w:lastRenderedPageBreak/>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F869FF" w:rsidRPr="00AE7C99" w:rsidRDefault="00F869FF" w:rsidP="00012F65">
      <w:pPr>
        <w:pStyle w:val="ListBullet"/>
      </w:pPr>
      <w:r w:rsidRPr="00AE7C99">
        <w:t xml:space="preserve">The Tuvalu program </w:t>
      </w:r>
      <w:r w:rsidR="00D277C7" w:rsidRPr="00AE7C99">
        <w:t>in Suva</w:t>
      </w:r>
      <w:r w:rsidR="009C02C2" w:rsidRPr="00AE7C99">
        <w:t xml:space="preserve"> Post</w:t>
      </w:r>
      <w:r w:rsidR="00D277C7" w:rsidRPr="00AE7C99">
        <w:t xml:space="preserve"> to improve </w:t>
      </w:r>
      <w:r w:rsidRPr="00AE7C99">
        <w:t>monitoring and evaluation o</w:t>
      </w:r>
      <w:r w:rsidR="00D277C7" w:rsidRPr="00AE7C99">
        <w:t>f Australia’s investment through joint monitoring visits with implementing partners and address</w:t>
      </w:r>
      <w:r w:rsidR="009C02C2" w:rsidRPr="00AE7C99">
        <w:t>ing</w:t>
      </w:r>
      <w:r w:rsidR="00D277C7" w:rsidRPr="00AE7C99">
        <w:t xml:space="preserve"> issues as they emerge to improve program performance.</w:t>
      </w:r>
      <w:r w:rsidRPr="00AE7C99">
        <w:t xml:space="preserve"> </w:t>
      </w:r>
    </w:p>
    <w:p w:rsidR="00012F65" w:rsidRPr="00AE7C99" w:rsidRDefault="008A6972" w:rsidP="00012F65">
      <w:pPr>
        <w:pStyle w:val="ListBullet"/>
      </w:pPr>
      <w:r w:rsidRPr="00AE7C99">
        <w:t xml:space="preserve">The Tuvalu program </w:t>
      </w:r>
      <w:r w:rsidR="00845E04" w:rsidRPr="00AE7C99">
        <w:t xml:space="preserve">(Desk and Suva Post) </w:t>
      </w:r>
      <w:r w:rsidRPr="00AE7C99">
        <w:t xml:space="preserve">will work with the Government of Tuvalu and other development partners to </w:t>
      </w:r>
      <w:r w:rsidR="00845E04" w:rsidRPr="00AE7C99">
        <w:t>prepare an</w:t>
      </w:r>
      <w:r w:rsidRPr="00AE7C99">
        <w:t xml:space="preserve"> Aid Investment Plan</w:t>
      </w:r>
      <w:r w:rsidR="00D277C7" w:rsidRPr="00AE7C99">
        <w:t xml:space="preserve"> (AIP)</w:t>
      </w:r>
      <w:r w:rsidRPr="00AE7C99">
        <w:t xml:space="preserve">. This plan will set out the context, objectives, issues and performance benchmarks for Australia’s aid program in Tuvalu for the next several years. </w:t>
      </w:r>
      <w:r w:rsidR="00F869FF" w:rsidRPr="00AE7C99">
        <w:t xml:space="preserve">The update </w:t>
      </w:r>
      <w:r w:rsidR="00D277C7" w:rsidRPr="00AE7C99">
        <w:t>of</w:t>
      </w:r>
      <w:r w:rsidR="00F869FF" w:rsidRPr="00AE7C99">
        <w:t xml:space="preserve"> the Assessment of National Systems (ANS) </w:t>
      </w:r>
      <w:r w:rsidR="004D2BCC" w:rsidRPr="00AE7C99">
        <w:t>and review of programs such as the PRM and education initiative</w:t>
      </w:r>
      <w:r w:rsidR="00D277C7" w:rsidRPr="00AE7C99">
        <w:t>s</w:t>
      </w:r>
      <w:r w:rsidR="004C7D43" w:rsidRPr="00AE7C99">
        <w:t xml:space="preserve"> </w:t>
      </w:r>
      <w:r w:rsidR="00133A80">
        <w:t xml:space="preserve">will </w:t>
      </w:r>
      <w:r w:rsidR="00D277C7" w:rsidRPr="00AE7C99">
        <w:t>inform the AIP.</w:t>
      </w:r>
    </w:p>
    <w:p w:rsidR="00845E04" w:rsidRPr="00AE7C99" w:rsidRDefault="00845E04" w:rsidP="00012F65">
      <w:pPr>
        <w:pStyle w:val="ListBullet"/>
        <w:tabs>
          <w:tab w:val="clear" w:pos="284"/>
        </w:tabs>
      </w:pPr>
      <w:r w:rsidRPr="00AE7C99">
        <w:t xml:space="preserve">The Tuvalu program in Suva Post will finalise </w:t>
      </w:r>
      <w:r w:rsidR="001520D1">
        <w:t xml:space="preserve">the </w:t>
      </w:r>
      <w:r w:rsidRPr="00AE7C99">
        <w:t xml:space="preserve">gender </w:t>
      </w:r>
      <w:r w:rsidR="001520D1">
        <w:t xml:space="preserve">country </w:t>
      </w:r>
      <w:r w:rsidRPr="00AE7C99">
        <w:t xml:space="preserve">plan </w:t>
      </w:r>
      <w:r w:rsidR="001520D1">
        <w:t xml:space="preserve">for Tuvalu </w:t>
      </w:r>
      <w:r w:rsidRPr="00AE7C99">
        <w:t xml:space="preserve">and integrate recommendations into each aspect of the Tuvalu aid program. </w:t>
      </w:r>
    </w:p>
    <w:p w:rsidR="00012F65" w:rsidRPr="00AE7C99" w:rsidRDefault="00845E04" w:rsidP="00AE7C99">
      <w:pPr>
        <w:pStyle w:val="ListBullet"/>
        <w:tabs>
          <w:tab w:val="clear" w:pos="284"/>
        </w:tabs>
      </w:pPr>
      <w:r w:rsidRPr="00AE7C99">
        <w:t xml:space="preserve">Suva Post to </w:t>
      </w:r>
      <w:r w:rsidR="00066831" w:rsidRPr="00AE7C99">
        <w:t xml:space="preserve">pursue an outsourcing arrangement for the administration of the </w:t>
      </w:r>
      <w:r w:rsidRPr="00AE7C99">
        <w:t xml:space="preserve">scholarships program. </w:t>
      </w:r>
    </w:p>
    <w:p w:rsidR="00066831" w:rsidRPr="00AE7C99" w:rsidRDefault="00066831" w:rsidP="009C2A6C">
      <w:pPr>
        <w:pStyle w:val="ListBullet"/>
      </w:pPr>
      <w:r w:rsidRPr="00AE7C99">
        <w:t>Suva Post to work with UNICEF and Tuvalu’s Ministry of Education to clarify and agree on end-of-program outcomes</w:t>
      </w:r>
      <w:r w:rsidR="009E409B">
        <w:t xml:space="preserve"> with a clear monitoring and evaluation approach</w:t>
      </w:r>
      <w:r w:rsidRPr="00AE7C99">
        <w:t xml:space="preserve"> for the Achieving Education for All in Tuvalu Program.</w:t>
      </w:r>
    </w:p>
    <w:p w:rsidR="00AE5973" w:rsidRPr="00CC7E94" w:rsidRDefault="00066831" w:rsidP="00CC7E94">
      <w:pPr>
        <w:pStyle w:val="ListBullet"/>
        <w:rPr>
          <w:color w:val="00B050"/>
        </w:rPr>
        <w:sectPr w:rsidR="00AE5973" w:rsidRPr="00CC7E94" w:rsidSect="00722B27">
          <w:headerReference w:type="default" r:id="rId17"/>
          <w:type w:val="continuous"/>
          <w:pgSz w:w="11907" w:h="16840" w:code="9"/>
          <w:pgMar w:top="1276" w:right="1701" w:bottom="567" w:left="1701" w:header="850" w:footer="567" w:gutter="0"/>
          <w:pgNumType w:start="1"/>
          <w:cols w:space="720"/>
          <w:docGrid w:linePitch="326"/>
        </w:sectPr>
      </w:pPr>
      <w:r w:rsidRPr="00AE7C99">
        <w:t>Suva Post and Canberra to work with development partners supporting the Policy Reform Matrix, to encourage greater harmonisation that will reduce transactional burdens on the Government of Tuvalu.</w:t>
      </w:r>
    </w:p>
    <w:p w:rsidR="000D733F" w:rsidRPr="009E38C1" w:rsidRDefault="000D733F" w:rsidP="000D733F">
      <w:pPr>
        <w:pStyle w:val="Heading2"/>
        <w:rPr>
          <w:sz w:val="28"/>
        </w:rPr>
      </w:pPr>
      <w:r w:rsidRPr="009E38C1">
        <w:rPr>
          <w:sz w:val="28"/>
        </w:rPr>
        <w:lastRenderedPageBreak/>
        <w:t xml:space="preserve">Annex A </w:t>
      </w:r>
    </w:p>
    <w:p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707F76"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707F76" w:rsidRDefault="000D733F" w:rsidP="00707F76">
            <w:pPr>
              <w:pStyle w:val="TableTextColumnHeading"/>
              <w:tabs>
                <w:tab w:val="left" w:pos="1185"/>
              </w:tabs>
              <w:spacing w:before="0" w:after="0"/>
            </w:pPr>
            <w:r w:rsidRPr="00707F76">
              <w:t>Management consequences identified in 2012-13 APPR</w:t>
            </w:r>
            <w:r w:rsidRPr="00707F76">
              <w:tab/>
            </w:r>
          </w:p>
        </w:tc>
        <w:tc>
          <w:tcPr>
            <w:tcW w:w="964" w:type="dxa"/>
          </w:tcPr>
          <w:p w:rsidR="000D733F" w:rsidRPr="00707F76" w:rsidRDefault="000D733F" w:rsidP="00707F76">
            <w:pPr>
              <w:pStyle w:val="TableTextColumnHeading"/>
              <w:spacing w:before="0" w:after="0"/>
            </w:pPr>
            <w:r w:rsidRPr="00707F76">
              <w:t>Rating</w:t>
            </w:r>
          </w:p>
        </w:tc>
        <w:tc>
          <w:tcPr>
            <w:tcW w:w="6896" w:type="dxa"/>
          </w:tcPr>
          <w:p w:rsidR="000D733F" w:rsidRPr="00707F76" w:rsidRDefault="000D733F" w:rsidP="00707F76">
            <w:pPr>
              <w:pStyle w:val="TableTextColumnHeading"/>
              <w:spacing w:before="0" w:after="0"/>
            </w:pPr>
            <w:r w:rsidRPr="00707F76">
              <w:t>Progress made in 2013-14</w:t>
            </w:r>
          </w:p>
        </w:tc>
      </w:tr>
      <w:tr w:rsidR="000D733F" w:rsidRPr="00707F76"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C26E24" w:rsidRPr="00707F76" w:rsidRDefault="00C26E24" w:rsidP="00707F76">
            <w:pPr>
              <w:pStyle w:val="Heading3"/>
              <w:spacing w:before="0" w:after="0"/>
              <w:outlineLvl w:val="2"/>
              <w:rPr>
                <w:sz w:val="17"/>
                <w:szCs w:val="17"/>
              </w:rPr>
            </w:pPr>
            <w:r w:rsidRPr="00707F76">
              <w:rPr>
                <w:sz w:val="17"/>
                <w:szCs w:val="17"/>
              </w:rPr>
              <w:t>Objective 1</w:t>
            </w:r>
          </w:p>
          <w:p w:rsidR="00C26E24" w:rsidRPr="00707F76" w:rsidRDefault="00C26E24" w:rsidP="00707F76">
            <w:pPr>
              <w:pStyle w:val="BodyText"/>
              <w:spacing w:after="0"/>
              <w:rPr>
                <w:sz w:val="17"/>
                <w:szCs w:val="17"/>
              </w:rPr>
            </w:pPr>
            <w:r w:rsidRPr="00707F76">
              <w:rPr>
                <w:sz w:val="17"/>
                <w:szCs w:val="17"/>
              </w:rPr>
              <w:t>The Tuvalu Program will:</w:t>
            </w:r>
          </w:p>
          <w:p w:rsidR="000D733F" w:rsidRPr="00707F76" w:rsidRDefault="00C26E24" w:rsidP="00707F76">
            <w:pPr>
              <w:pStyle w:val="ListBullet"/>
              <w:spacing w:after="0"/>
              <w:rPr>
                <w:sz w:val="17"/>
                <w:szCs w:val="17"/>
              </w:rPr>
            </w:pPr>
            <w:r w:rsidRPr="00707F76">
              <w:rPr>
                <w:sz w:val="17"/>
                <w:szCs w:val="17"/>
              </w:rPr>
              <w:t xml:space="preserve">contribute to the Pacific Division review of incentive-based budget support programs; continue regular discussion with the Government of Tuvalu and other donors; and closely monitor progress under the policy reform matrix, particularly in light of current political uncertainty </w:t>
            </w:r>
          </w:p>
        </w:tc>
        <w:tc>
          <w:tcPr>
            <w:tcW w:w="964" w:type="dxa"/>
            <w:shd w:val="clear" w:color="auto" w:fill="72AF2F"/>
          </w:tcPr>
          <w:p w:rsidR="000D733F" w:rsidRPr="00707F76" w:rsidRDefault="000D733F" w:rsidP="00707F76">
            <w:pPr>
              <w:pStyle w:val="TableTextEntries"/>
              <w:spacing w:before="0" w:after="0"/>
              <w:jc w:val="center"/>
              <w:rPr>
                <w:color w:val="FFFFFF" w:themeColor="background1"/>
              </w:rPr>
            </w:pPr>
            <w:r w:rsidRPr="00707F76">
              <w:rPr>
                <w:color w:val="FFFFFF" w:themeColor="background1"/>
              </w:rPr>
              <w:t>Achieved</w:t>
            </w:r>
          </w:p>
        </w:tc>
        <w:tc>
          <w:tcPr>
            <w:tcW w:w="6896" w:type="dxa"/>
          </w:tcPr>
          <w:p w:rsidR="000D733F" w:rsidRPr="000834DF" w:rsidRDefault="000D733F" w:rsidP="00707F76">
            <w:pPr>
              <w:pStyle w:val="TableTextEntries"/>
              <w:spacing w:before="0" w:after="0"/>
            </w:pPr>
          </w:p>
          <w:p w:rsidR="00707F76" w:rsidRPr="000834DF" w:rsidRDefault="00707F76" w:rsidP="00707F76">
            <w:pPr>
              <w:pStyle w:val="TableTextEntries"/>
              <w:spacing w:before="0" w:after="0"/>
            </w:pPr>
          </w:p>
          <w:p w:rsidR="00707F76" w:rsidRPr="000834DF" w:rsidRDefault="000834DF" w:rsidP="00A020B6">
            <w:pPr>
              <w:pStyle w:val="ListBullet"/>
              <w:numPr>
                <w:ilvl w:val="0"/>
                <w:numId w:val="0"/>
              </w:numPr>
              <w:tabs>
                <w:tab w:val="clear" w:pos="284"/>
              </w:tabs>
              <w:spacing w:after="0" w:line="240" w:lineRule="auto"/>
              <w:rPr>
                <w:sz w:val="17"/>
                <w:szCs w:val="17"/>
              </w:rPr>
            </w:pPr>
            <w:r w:rsidRPr="000834DF">
              <w:rPr>
                <w:sz w:val="17"/>
                <w:szCs w:val="17"/>
              </w:rPr>
              <w:t xml:space="preserve">The Tuvalu program contributed to the Pacific Division review of incentive-based budget support programs and continues to participate in follow-up discussions with other donors on progressing the recommendations. The Tuvalu program plays a leading role in discussions with the Government of Tuvalu and other donors in monitoring and planning the policy reform matrix. The political uncertainty of 2013 did not lead to any slowdown in progressing Tuvalu’s reform agenda. </w:t>
            </w:r>
          </w:p>
        </w:tc>
      </w:tr>
      <w:tr w:rsidR="00707F76" w:rsidRPr="00707F76" w:rsidTr="00707F76">
        <w:trPr>
          <w:cnfStyle w:val="000000010000" w:firstRow="0" w:lastRow="0" w:firstColumn="0" w:lastColumn="0" w:oddVBand="0" w:evenVBand="0" w:oddHBand="0" w:evenHBand="1" w:firstRowFirstColumn="0" w:firstRowLastColumn="0" w:lastRowFirstColumn="0" w:lastRowLastColumn="0"/>
        </w:trPr>
        <w:tc>
          <w:tcPr>
            <w:tcW w:w="6473" w:type="dxa"/>
          </w:tcPr>
          <w:p w:rsidR="00707F76" w:rsidRPr="008744BF" w:rsidRDefault="00707F76" w:rsidP="00707F76">
            <w:pPr>
              <w:pStyle w:val="ListBullet"/>
              <w:spacing w:after="0"/>
              <w:rPr>
                <w:sz w:val="17"/>
                <w:szCs w:val="17"/>
              </w:rPr>
            </w:pPr>
            <w:r w:rsidRPr="00707F76">
              <w:rPr>
                <w:sz w:val="17"/>
                <w:szCs w:val="17"/>
              </w:rPr>
              <w:t>in designing the next phase of support for the policy reform matrix, discuss with other donors the need to: reduce the burden on the Government of Tuvalu (limiting planning and monitoring missions); ensure reforms are government-initiated, realistic and contribute to reducing the fiscal deficit; and improve alignment of budget expenditure with development priorities</w:t>
            </w:r>
          </w:p>
        </w:tc>
        <w:tc>
          <w:tcPr>
            <w:tcW w:w="964" w:type="dxa"/>
            <w:shd w:val="clear" w:color="auto" w:fill="F79646" w:themeFill="accent6"/>
          </w:tcPr>
          <w:p w:rsidR="00707F76" w:rsidRPr="00707F76" w:rsidRDefault="00707F76" w:rsidP="00707F76">
            <w:pPr>
              <w:pStyle w:val="TableTextEntries"/>
              <w:spacing w:before="0" w:after="0"/>
              <w:jc w:val="center"/>
              <w:rPr>
                <w:color w:val="FFFFFF" w:themeColor="background1"/>
              </w:rPr>
            </w:pPr>
            <w:r w:rsidRPr="00707F76">
              <w:rPr>
                <w:color w:val="FFFFFF" w:themeColor="background1"/>
              </w:rPr>
              <w:t>Partly achieved</w:t>
            </w:r>
          </w:p>
        </w:tc>
        <w:tc>
          <w:tcPr>
            <w:tcW w:w="6896" w:type="dxa"/>
          </w:tcPr>
          <w:p w:rsidR="00707F76" w:rsidRPr="000834DF" w:rsidRDefault="000834DF" w:rsidP="000834DF">
            <w:pPr>
              <w:pStyle w:val="TableTextEntries"/>
              <w:spacing w:before="0" w:after="0"/>
            </w:pPr>
            <w:r>
              <w:t xml:space="preserve">The </w:t>
            </w:r>
            <w:r w:rsidRPr="000834DF">
              <w:t xml:space="preserve">Tuvalu program has highlighted the need for </w:t>
            </w:r>
            <w:r>
              <w:t xml:space="preserve">a </w:t>
            </w:r>
            <w:r w:rsidRPr="000834DF">
              <w:t xml:space="preserve">harmonised approach by donors to reduce the burden on the low-capacity Government of Tuvalu. However, </w:t>
            </w:r>
            <w:r>
              <w:t xml:space="preserve">the </w:t>
            </w:r>
            <w:r w:rsidRPr="000834DF">
              <w:t xml:space="preserve">organisational requirements of the </w:t>
            </w:r>
            <w:r>
              <w:t>multilateral d</w:t>
            </w:r>
            <w:r w:rsidRPr="000834DF">
              <w:t xml:space="preserve">evelopment </w:t>
            </w:r>
            <w:r>
              <w:t>b</w:t>
            </w:r>
            <w:r w:rsidRPr="000834DF">
              <w:t xml:space="preserve">anks </w:t>
            </w:r>
            <w:r>
              <w:t>limits the flexibility of these programs and imposes additional monitoring, timing and designing restrictions on the PRM. These issues have been discussed at the mul</w:t>
            </w:r>
            <w:r w:rsidR="00204CC1">
              <w:t>t</w:t>
            </w:r>
            <w:r>
              <w:t xml:space="preserve">i-donor discussions </w:t>
            </w:r>
            <w:r w:rsidR="009C02C2">
              <w:t xml:space="preserve">on </w:t>
            </w:r>
            <w:r w:rsidR="009C02C2" w:rsidRPr="000834DF">
              <w:t>Pacific</w:t>
            </w:r>
            <w:r>
              <w:t xml:space="preserve"> island </w:t>
            </w:r>
            <w:r w:rsidRPr="000834DF">
              <w:t>incentive-based budget support programs</w:t>
            </w:r>
            <w:r>
              <w:t xml:space="preserve">, and DFAT will continue to advocate for donor coordination and harmonisation or reforms. </w:t>
            </w:r>
          </w:p>
        </w:tc>
      </w:tr>
      <w:tr w:rsidR="00707F76" w:rsidRPr="00707F76"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707F76" w:rsidRPr="00707F76" w:rsidRDefault="00707F76" w:rsidP="00707F76">
            <w:pPr>
              <w:pStyle w:val="ListBullet"/>
              <w:spacing w:after="0"/>
              <w:rPr>
                <w:sz w:val="17"/>
                <w:szCs w:val="17"/>
              </w:rPr>
            </w:pPr>
            <w:r w:rsidRPr="00707F76">
              <w:rPr>
                <w:sz w:val="17"/>
                <w:szCs w:val="17"/>
              </w:rPr>
              <w:t>in Canberra, with Post’s support, undertake a budget analysis of Tuvalu’s National Budget to inform discussion on the policy reform matrix and future budget support, and supplement the information provided in Tuvalu Trust Fund Advisory Committee reports</w:t>
            </w:r>
          </w:p>
          <w:p w:rsidR="00707F76" w:rsidRPr="00707F76" w:rsidRDefault="00707F76" w:rsidP="00707F76">
            <w:pPr>
              <w:pStyle w:val="Heading3"/>
              <w:spacing w:before="0" w:after="0"/>
              <w:outlineLvl w:val="2"/>
              <w:rPr>
                <w:sz w:val="17"/>
                <w:szCs w:val="17"/>
              </w:rPr>
            </w:pPr>
          </w:p>
        </w:tc>
        <w:tc>
          <w:tcPr>
            <w:tcW w:w="964" w:type="dxa"/>
            <w:shd w:val="clear" w:color="auto" w:fill="72AF2F"/>
          </w:tcPr>
          <w:p w:rsidR="00707F76" w:rsidRPr="00707F76" w:rsidRDefault="00707F76" w:rsidP="00707F76">
            <w:pPr>
              <w:pStyle w:val="TableTextEntries"/>
              <w:spacing w:before="0" w:after="0"/>
              <w:jc w:val="center"/>
              <w:rPr>
                <w:color w:val="FFFFFF" w:themeColor="background1"/>
              </w:rPr>
            </w:pPr>
            <w:r w:rsidRPr="00707F76">
              <w:rPr>
                <w:color w:val="FFFFFF" w:themeColor="background1"/>
              </w:rPr>
              <w:t>Achieved</w:t>
            </w:r>
          </w:p>
        </w:tc>
        <w:tc>
          <w:tcPr>
            <w:tcW w:w="6896" w:type="dxa"/>
          </w:tcPr>
          <w:p w:rsidR="00707F76" w:rsidRPr="00707F76" w:rsidRDefault="000834DF" w:rsidP="00707F76">
            <w:pPr>
              <w:pStyle w:val="TableTextEntries"/>
              <w:spacing w:before="0" w:after="0"/>
              <w:rPr>
                <w:color w:val="92D050"/>
              </w:rPr>
            </w:pPr>
            <w:r w:rsidRPr="000834DF">
              <w:t xml:space="preserve">DFAT Desk has undertaken a budget analysis on the 2013 and 2014 national budgets. These </w:t>
            </w:r>
            <w:r w:rsidR="00A020B6" w:rsidRPr="000834DF">
              <w:t>analyses</w:t>
            </w:r>
            <w:r w:rsidRPr="000834DF">
              <w:t xml:space="preserve"> have informed high level discussions and the selection and prioritisation of th</w:t>
            </w:r>
            <w:r w:rsidR="00A020B6">
              <w:t>e</w:t>
            </w:r>
            <w:r w:rsidRPr="000834DF">
              <w:t xml:space="preserve"> reforms to be included in the PRM. </w:t>
            </w:r>
          </w:p>
        </w:tc>
      </w:tr>
      <w:tr w:rsidR="00707F76" w:rsidRPr="00707F76" w:rsidTr="00707F76">
        <w:trPr>
          <w:cnfStyle w:val="000000010000" w:firstRow="0" w:lastRow="0" w:firstColumn="0" w:lastColumn="0" w:oddVBand="0" w:evenVBand="0" w:oddHBand="0" w:evenHBand="1" w:firstRowFirstColumn="0" w:firstRowLastColumn="0" w:lastRowFirstColumn="0" w:lastRowLastColumn="0"/>
        </w:trPr>
        <w:tc>
          <w:tcPr>
            <w:tcW w:w="6473" w:type="dxa"/>
          </w:tcPr>
          <w:p w:rsidR="00707F76" w:rsidRPr="00707F76" w:rsidRDefault="00707F76" w:rsidP="00707F76">
            <w:pPr>
              <w:pStyle w:val="ListBullet"/>
              <w:spacing w:after="0"/>
              <w:rPr>
                <w:sz w:val="17"/>
                <w:szCs w:val="17"/>
              </w:rPr>
            </w:pPr>
            <w:r w:rsidRPr="00707F76">
              <w:rPr>
                <w:sz w:val="17"/>
                <w:szCs w:val="17"/>
              </w:rPr>
              <w:t>in Canberra, with Post’s support, undertake a brief stocktake of progress in implementing the recommendations of the 2012 Tuvalu Assessment of National Systems</w:t>
            </w:r>
            <w:r w:rsidRPr="00707F76">
              <w:rPr>
                <w:rStyle w:val="FootnoteReference"/>
                <w:sz w:val="17"/>
                <w:szCs w:val="17"/>
              </w:rPr>
              <w:footnoteReference w:id="18"/>
            </w:r>
            <w:r w:rsidRPr="00707F76">
              <w:rPr>
                <w:sz w:val="17"/>
                <w:szCs w:val="17"/>
              </w:rPr>
              <w:t xml:space="preserve">, noting the progress of the economic reform program at reducing fiduciary risk. </w:t>
            </w:r>
          </w:p>
          <w:p w:rsidR="00707F76" w:rsidRPr="00707F76" w:rsidRDefault="00707F76" w:rsidP="00707F76">
            <w:pPr>
              <w:pStyle w:val="Heading3"/>
              <w:spacing w:before="0" w:after="0"/>
              <w:outlineLvl w:val="2"/>
              <w:rPr>
                <w:sz w:val="17"/>
                <w:szCs w:val="17"/>
              </w:rPr>
            </w:pPr>
          </w:p>
        </w:tc>
        <w:tc>
          <w:tcPr>
            <w:tcW w:w="964" w:type="dxa"/>
            <w:shd w:val="clear" w:color="auto" w:fill="F79646" w:themeFill="accent6"/>
          </w:tcPr>
          <w:p w:rsidR="00707F76" w:rsidRPr="00707F76" w:rsidRDefault="00707F76" w:rsidP="00707F76">
            <w:pPr>
              <w:pStyle w:val="TableTextEntries"/>
              <w:spacing w:before="0" w:after="0"/>
              <w:jc w:val="center"/>
              <w:rPr>
                <w:color w:val="FFFFFF" w:themeColor="background1"/>
              </w:rPr>
            </w:pPr>
            <w:r w:rsidRPr="00707F76">
              <w:rPr>
                <w:color w:val="FFFFFF" w:themeColor="background1"/>
              </w:rPr>
              <w:t>Partly achieved</w:t>
            </w:r>
          </w:p>
        </w:tc>
        <w:tc>
          <w:tcPr>
            <w:tcW w:w="6896" w:type="dxa"/>
          </w:tcPr>
          <w:p w:rsidR="00707F76" w:rsidRPr="00707F76" w:rsidRDefault="00707F76" w:rsidP="00707F76">
            <w:pPr>
              <w:pStyle w:val="TableTextEntries"/>
              <w:spacing w:before="0" w:after="0"/>
              <w:rPr>
                <w:color w:val="92D050"/>
              </w:rPr>
            </w:pPr>
            <w:r w:rsidRPr="00707F76">
              <w:t xml:space="preserve">This review and update of DFAT’s Assessment of National Systems will be undertaken in accordance with DFAT policy, two years after the first policy was endorsed. In October 2014, the Pacific Division’s Public Financial Management Specialist is expected to undertake the ANS update. </w:t>
            </w:r>
          </w:p>
        </w:tc>
      </w:tr>
      <w:tr w:rsidR="000D733F" w:rsidRPr="00707F76" w:rsidTr="00707F76">
        <w:trPr>
          <w:cnfStyle w:val="000000010000" w:firstRow="0" w:lastRow="0" w:firstColumn="0" w:lastColumn="0" w:oddVBand="0" w:evenVBand="0" w:oddHBand="0" w:evenHBand="1" w:firstRowFirstColumn="0" w:firstRowLastColumn="0" w:lastRowFirstColumn="0" w:lastRowLastColumn="0"/>
        </w:trPr>
        <w:tc>
          <w:tcPr>
            <w:tcW w:w="6473" w:type="dxa"/>
          </w:tcPr>
          <w:p w:rsidR="00707F76" w:rsidRPr="00707F76" w:rsidRDefault="00707F76" w:rsidP="00707F76">
            <w:pPr>
              <w:pStyle w:val="Heading3"/>
              <w:spacing w:before="0" w:after="0"/>
              <w:outlineLvl w:val="2"/>
              <w:rPr>
                <w:sz w:val="17"/>
                <w:szCs w:val="17"/>
              </w:rPr>
            </w:pPr>
            <w:r w:rsidRPr="00707F76">
              <w:rPr>
                <w:sz w:val="17"/>
                <w:szCs w:val="17"/>
              </w:rPr>
              <w:lastRenderedPageBreak/>
              <w:t>Objective 2</w:t>
            </w:r>
          </w:p>
          <w:p w:rsidR="00707F76" w:rsidRPr="00707F76" w:rsidRDefault="00707F76" w:rsidP="00707F76">
            <w:pPr>
              <w:pStyle w:val="BodyText"/>
              <w:spacing w:after="0"/>
              <w:rPr>
                <w:b/>
                <w:sz w:val="17"/>
                <w:szCs w:val="17"/>
              </w:rPr>
            </w:pPr>
            <w:r w:rsidRPr="00707F76">
              <w:rPr>
                <w:sz w:val="17"/>
                <w:szCs w:val="17"/>
              </w:rPr>
              <w:t>The Tuvalu Program will:</w:t>
            </w:r>
            <w:r w:rsidRPr="00707F76">
              <w:rPr>
                <w:b/>
                <w:sz w:val="17"/>
                <w:szCs w:val="17"/>
              </w:rPr>
              <w:tab/>
            </w:r>
          </w:p>
          <w:p w:rsidR="000D733F" w:rsidRPr="00707F76" w:rsidRDefault="00707F76" w:rsidP="00AE7C99">
            <w:pPr>
              <w:pStyle w:val="ListBullet"/>
              <w:spacing w:after="0" w:line="240" w:lineRule="auto"/>
              <w:ind w:left="357" w:hanging="357"/>
            </w:pPr>
            <w:r w:rsidRPr="00707F76">
              <w:rPr>
                <w:sz w:val="17"/>
                <w:szCs w:val="17"/>
              </w:rPr>
              <w:t xml:space="preserve">subject </w:t>
            </w:r>
            <w:r w:rsidRPr="00AE7C99">
              <w:rPr>
                <w:iCs/>
                <w:sz w:val="17"/>
                <w:szCs w:val="17"/>
                <w:lang w:eastAsia="en-US"/>
              </w:rPr>
              <w:t>to the outsourcing of scholarships administration, develop and implement an Australia Awards alumni association to strengthen ties between Australia and Tuvalu, support networks of alumni and foster a new generation of leaders working in Tuvalu’s public and private sectors</w:t>
            </w:r>
          </w:p>
        </w:tc>
        <w:tc>
          <w:tcPr>
            <w:tcW w:w="964" w:type="dxa"/>
            <w:shd w:val="clear" w:color="auto" w:fill="FF0000"/>
          </w:tcPr>
          <w:p w:rsidR="000D733F" w:rsidRPr="00707F76" w:rsidRDefault="00707F76" w:rsidP="00707F76">
            <w:pPr>
              <w:pStyle w:val="TableTextEntries"/>
              <w:spacing w:before="0" w:after="0"/>
              <w:jc w:val="center"/>
              <w:rPr>
                <w:color w:val="FFFFFF" w:themeColor="background1"/>
              </w:rPr>
            </w:pPr>
            <w:r>
              <w:rPr>
                <w:color w:val="FFFFFF" w:themeColor="background1"/>
              </w:rPr>
              <w:t>Not achieved</w:t>
            </w:r>
            <w:r w:rsidR="000D733F" w:rsidRPr="00707F76">
              <w:rPr>
                <w:color w:val="FFFFFF" w:themeColor="background1"/>
              </w:rPr>
              <w:fldChar w:fldCharType="begin"/>
            </w:r>
            <w:r w:rsidR="000D733F" w:rsidRPr="00707F76">
              <w:rPr>
                <w:color w:val="FFFFFF" w:themeColor="background1"/>
              </w:rPr>
              <w:instrText xml:space="preserve"> AUTOTEXTLIST  \s "Rating bullet"\t "Right click to choose a rating" \* MERGEFORMAT </w:instrText>
            </w:r>
            <w:r w:rsidR="000D733F" w:rsidRPr="00707F76">
              <w:rPr>
                <w:color w:val="FFFFFF" w:themeColor="background1"/>
              </w:rPr>
              <w:fldChar w:fldCharType="end"/>
            </w:r>
          </w:p>
        </w:tc>
        <w:tc>
          <w:tcPr>
            <w:tcW w:w="6896" w:type="dxa"/>
          </w:tcPr>
          <w:p w:rsidR="00666B95" w:rsidRPr="00707F76" w:rsidRDefault="00707F76" w:rsidP="00AE7C99">
            <w:pPr>
              <w:pStyle w:val="TableTextEntries"/>
              <w:spacing w:before="0" w:after="0"/>
            </w:pPr>
            <w:r w:rsidRPr="00707F76">
              <w:t>Due to resourcing constraints</w:t>
            </w:r>
            <w:r w:rsidR="00A020B6">
              <w:t xml:space="preserve"> and the heavy administrative burden of scholarships management</w:t>
            </w:r>
            <w:r w:rsidRPr="00707F76">
              <w:t xml:space="preserve">, this has not been achieved. </w:t>
            </w:r>
            <w:r>
              <w:t xml:space="preserve">It is unlikely that current resources will increase, thus making progress on this objective slow. </w:t>
            </w:r>
            <w:r w:rsidR="00A020B6">
              <w:t>The focus for the scholarships program is implementing the enhanced transparent, merit-based selection process in 2014. As the scholarships timeframe allows, staff will reconsider their ability to improve Australia Awards alumni reintegration and establish an alumni association.</w:t>
            </w:r>
          </w:p>
        </w:tc>
      </w:tr>
      <w:tr w:rsidR="000D733F" w:rsidRPr="00707F76"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BC0957" w:rsidRDefault="00C26E24" w:rsidP="00AE7C99">
            <w:pPr>
              <w:pStyle w:val="ListBullet"/>
              <w:spacing w:after="0" w:line="240" w:lineRule="auto"/>
              <w:ind w:left="357" w:hanging="357"/>
              <w:rPr>
                <w:sz w:val="17"/>
                <w:szCs w:val="17"/>
              </w:rPr>
            </w:pPr>
            <w:r w:rsidRPr="00BC0957">
              <w:rPr>
                <w:sz w:val="17"/>
                <w:szCs w:val="17"/>
              </w:rPr>
              <w:t xml:space="preserve">in Canberra and at Post, work with DFAT’s Pacific regional branch to ensure that the next phase of Australia’s Seasonal Worker Program capacity building activities consider the specific needs of the Tuvalu program, to increase the number of Tuvaluans taking up opportunities under the Program. </w:t>
            </w:r>
          </w:p>
          <w:p w:rsidR="00BC0957" w:rsidRPr="00707F76" w:rsidRDefault="00BC0957" w:rsidP="00707F76">
            <w:pPr>
              <w:pStyle w:val="ListBullet"/>
              <w:numPr>
                <w:ilvl w:val="0"/>
                <w:numId w:val="0"/>
              </w:numPr>
              <w:spacing w:after="0"/>
              <w:ind w:left="360"/>
              <w:rPr>
                <w:sz w:val="17"/>
                <w:szCs w:val="17"/>
              </w:rPr>
            </w:pPr>
          </w:p>
        </w:tc>
        <w:tc>
          <w:tcPr>
            <w:tcW w:w="964" w:type="dxa"/>
            <w:shd w:val="clear" w:color="auto" w:fill="72AF2F"/>
          </w:tcPr>
          <w:p w:rsidR="000D733F" w:rsidRPr="00707F76" w:rsidRDefault="000D733F" w:rsidP="00707F76">
            <w:pPr>
              <w:pStyle w:val="TableTextEntries"/>
              <w:spacing w:before="0" w:after="0"/>
              <w:jc w:val="center"/>
              <w:rPr>
                <w:color w:val="FFFFFF" w:themeColor="background1"/>
              </w:rPr>
            </w:pPr>
            <w:r w:rsidRPr="00707F76">
              <w:rPr>
                <w:color w:val="FFFFFF" w:themeColor="background1"/>
              </w:rPr>
              <w:t>Achieved</w:t>
            </w:r>
          </w:p>
        </w:tc>
        <w:tc>
          <w:tcPr>
            <w:tcW w:w="6896" w:type="dxa"/>
          </w:tcPr>
          <w:p w:rsidR="000D733F" w:rsidRPr="00707F76" w:rsidRDefault="00707F76" w:rsidP="009C02C2">
            <w:pPr>
              <w:pStyle w:val="TableTextEntries"/>
              <w:spacing w:before="0" w:after="0"/>
              <w:rPr>
                <w:color w:val="92D050"/>
              </w:rPr>
            </w:pPr>
            <w:r w:rsidRPr="00707F76">
              <w:t xml:space="preserve">The draft design of the next phase of </w:t>
            </w:r>
            <w:r>
              <w:t xml:space="preserve">development-focused </w:t>
            </w:r>
            <w:r w:rsidRPr="00707F76">
              <w:t>support for the Seasonal Worker Program is likely to allow  Tuvalu first access to</w:t>
            </w:r>
            <w:r w:rsidR="00247759">
              <w:t xml:space="preserve"> more opportunities to work under the program, increasing Tuvaluans participation </w:t>
            </w:r>
            <w:r w:rsidR="009C02C2">
              <w:t xml:space="preserve">by </w:t>
            </w:r>
            <w:r w:rsidR="00247759">
              <w:t>more than 10</w:t>
            </w:r>
            <w:r w:rsidR="009C02C2">
              <w:t xml:space="preserve"> Tuvaluans</w:t>
            </w:r>
            <w:r w:rsidR="00247759">
              <w:t xml:space="preserve"> per </w:t>
            </w:r>
            <w:r w:rsidR="009C02C2">
              <w:t xml:space="preserve">annual </w:t>
            </w:r>
            <w:r w:rsidR="00247759">
              <w:t>intake</w:t>
            </w:r>
          </w:p>
        </w:tc>
      </w:tr>
      <w:tr w:rsidR="00707F76" w:rsidRPr="00707F76"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707F76" w:rsidRPr="00707F76" w:rsidRDefault="00707F76" w:rsidP="00707F76">
            <w:pPr>
              <w:pStyle w:val="Heading3"/>
              <w:spacing w:before="0" w:after="0"/>
              <w:outlineLvl w:val="2"/>
              <w:rPr>
                <w:sz w:val="17"/>
                <w:szCs w:val="17"/>
              </w:rPr>
            </w:pPr>
            <w:r w:rsidRPr="00707F76">
              <w:rPr>
                <w:sz w:val="17"/>
                <w:szCs w:val="17"/>
              </w:rPr>
              <w:t>Objectives 2 and 3</w:t>
            </w:r>
          </w:p>
          <w:p w:rsidR="00707F76" w:rsidRPr="00707F76" w:rsidRDefault="00707F76" w:rsidP="00707F76">
            <w:pPr>
              <w:pStyle w:val="BodyText"/>
              <w:spacing w:after="0"/>
              <w:rPr>
                <w:b/>
                <w:sz w:val="17"/>
                <w:szCs w:val="17"/>
              </w:rPr>
            </w:pPr>
            <w:r w:rsidRPr="00707F76">
              <w:rPr>
                <w:sz w:val="17"/>
                <w:szCs w:val="17"/>
              </w:rPr>
              <w:t>The Tuvalu Program will:</w:t>
            </w:r>
          </w:p>
          <w:p w:rsidR="00707F76" w:rsidRPr="00707F76" w:rsidRDefault="00707F76" w:rsidP="00AE7C99">
            <w:pPr>
              <w:pStyle w:val="ListBullet"/>
              <w:spacing w:after="0" w:line="240" w:lineRule="auto"/>
              <w:ind w:left="357" w:hanging="357"/>
              <w:rPr>
                <w:sz w:val="17"/>
                <w:szCs w:val="17"/>
              </w:rPr>
            </w:pPr>
            <w:r w:rsidRPr="00707F76">
              <w:rPr>
                <w:sz w:val="17"/>
                <w:szCs w:val="17"/>
              </w:rPr>
              <w:t xml:space="preserve">hold regular, high-level discussions with UNICEF and UNDP on program performance and impress the importance of the timely recruitment of skilled staff to the Pacific. </w:t>
            </w:r>
          </w:p>
        </w:tc>
        <w:tc>
          <w:tcPr>
            <w:tcW w:w="964" w:type="dxa"/>
            <w:shd w:val="clear" w:color="auto" w:fill="72AF2F"/>
          </w:tcPr>
          <w:p w:rsidR="00707F76" w:rsidRPr="00707F76" w:rsidRDefault="00707F76" w:rsidP="00707F76">
            <w:pPr>
              <w:pStyle w:val="TableTextEntries"/>
              <w:spacing w:before="0" w:after="0"/>
              <w:jc w:val="center"/>
              <w:rPr>
                <w:color w:val="FFFFFF" w:themeColor="background1"/>
              </w:rPr>
            </w:pPr>
            <w:r>
              <w:rPr>
                <w:color w:val="FFFFFF" w:themeColor="background1"/>
              </w:rPr>
              <w:t>Achieved</w:t>
            </w:r>
          </w:p>
        </w:tc>
        <w:tc>
          <w:tcPr>
            <w:tcW w:w="6896" w:type="dxa"/>
          </w:tcPr>
          <w:p w:rsidR="00707F76" w:rsidRPr="00707F76" w:rsidRDefault="00707F76" w:rsidP="00A020B6">
            <w:pPr>
              <w:pStyle w:val="TableTextEntries"/>
              <w:spacing w:before="0" w:after="0"/>
            </w:pPr>
            <w:r>
              <w:t xml:space="preserve">Regular meetings are now held between DFAT and UNICEF and UNDP to assess progress in implementing the basic education and climate change programs. </w:t>
            </w:r>
            <w:r w:rsidR="00A020B6">
              <w:t>This has improved communication, monitoring and planning for these two programs.</w:t>
            </w:r>
          </w:p>
        </w:tc>
      </w:tr>
      <w:tr w:rsidR="000D733F" w:rsidRPr="00707F76" w:rsidTr="00707F76">
        <w:trPr>
          <w:cnfStyle w:val="000000010000" w:firstRow="0" w:lastRow="0" w:firstColumn="0" w:lastColumn="0" w:oddVBand="0" w:evenVBand="0" w:oddHBand="0" w:evenHBand="1" w:firstRowFirstColumn="0" w:firstRowLastColumn="0" w:lastRowFirstColumn="0" w:lastRowLastColumn="0"/>
        </w:trPr>
        <w:tc>
          <w:tcPr>
            <w:tcW w:w="6473" w:type="dxa"/>
          </w:tcPr>
          <w:p w:rsidR="00C26E24" w:rsidRPr="00707F76" w:rsidRDefault="00C26E24" w:rsidP="00707F76">
            <w:pPr>
              <w:pStyle w:val="Heading3"/>
              <w:spacing w:before="0" w:after="0"/>
              <w:outlineLvl w:val="2"/>
              <w:rPr>
                <w:sz w:val="17"/>
                <w:szCs w:val="17"/>
              </w:rPr>
            </w:pPr>
            <w:r w:rsidRPr="00707F76">
              <w:rPr>
                <w:sz w:val="17"/>
                <w:szCs w:val="17"/>
              </w:rPr>
              <w:t>Objective 3</w:t>
            </w:r>
          </w:p>
          <w:p w:rsidR="00C26E24" w:rsidRPr="00707F76" w:rsidRDefault="00C26E24" w:rsidP="00707F76">
            <w:pPr>
              <w:pStyle w:val="BodyText"/>
              <w:spacing w:after="0"/>
              <w:rPr>
                <w:b/>
                <w:sz w:val="17"/>
                <w:szCs w:val="17"/>
              </w:rPr>
            </w:pPr>
            <w:r w:rsidRPr="00707F76">
              <w:rPr>
                <w:sz w:val="17"/>
                <w:szCs w:val="17"/>
              </w:rPr>
              <w:t>The Tuvalu Program will:</w:t>
            </w:r>
          </w:p>
          <w:p w:rsidR="00C26E24" w:rsidRPr="00707F76" w:rsidRDefault="00C26E24" w:rsidP="00AE7C99">
            <w:pPr>
              <w:pStyle w:val="ListBullet"/>
              <w:spacing w:after="0" w:line="240" w:lineRule="auto"/>
              <w:ind w:left="357" w:hanging="357"/>
              <w:rPr>
                <w:sz w:val="17"/>
                <w:szCs w:val="17"/>
              </w:rPr>
            </w:pPr>
            <w:r w:rsidRPr="00707F76">
              <w:rPr>
                <w:sz w:val="17"/>
                <w:szCs w:val="17"/>
              </w:rPr>
              <w:t xml:space="preserve">implement appropriate measures recommended in the NAPA mid-term review, and design the next stage of support on climate change and disaster risk reduction/preparedness to reduce the risk of future delays. </w:t>
            </w:r>
          </w:p>
          <w:p w:rsidR="000D733F" w:rsidRPr="00707F76" w:rsidRDefault="000D733F" w:rsidP="00707F76">
            <w:pPr>
              <w:pStyle w:val="TableTextEntries"/>
              <w:spacing w:before="0" w:after="0"/>
            </w:pPr>
          </w:p>
        </w:tc>
        <w:tc>
          <w:tcPr>
            <w:tcW w:w="964" w:type="dxa"/>
            <w:shd w:val="clear" w:color="auto" w:fill="92D050"/>
          </w:tcPr>
          <w:p w:rsidR="000D733F" w:rsidRPr="00707F76" w:rsidRDefault="00707F76" w:rsidP="00707F76">
            <w:pPr>
              <w:pStyle w:val="TableTextEntries"/>
              <w:spacing w:before="0" w:after="0"/>
              <w:jc w:val="center"/>
              <w:rPr>
                <w:color w:val="FFFFFF" w:themeColor="background1"/>
              </w:rPr>
            </w:pPr>
            <w:r>
              <w:rPr>
                <w:color w:val="FFFFFF" w:themeColor="background1"/>
              </w:rPr>
              <w:t>Achieved</w:t>
            </w:r>
          </w:p>
        </w:tc>
        <w:tc>
          <w:tcPr>
            <w:tcW w:w="6896" w:type="dxa"/>
          </w:tcPr>
          <w:p w:rsidR="000D733F" w:rsidRPr="00707F76" w:rsidRDefault="00BC0957" w:rsidP="00A020B6">
            <w:pPr>
              <w:pStyle w:val="TableTextEntries"/>
              <w:spacing w:before="0" w:after="0"/>
              <w:rPr>
                <w:color w:val="F79646" w:themeColor="accent6"/>
              </w:rPr>
            </w:pPr>
            <w:r w:rsidRPr="00BC0957">
              <w:t>The program objectives under DFAT’s support for the NAPA were recast to focus on water and food security. This has ensured an appropriate focus on these components by UNDP, and helped improve the rate of progress under this initiative</w:t>
            </w:r>
          </w:p>
        </w:tc>
      </w:tr>
      <w:tr w:rsidR="000D733F" w:rsidRPr="00707F76" w:rsidTr="00A020B6">
        <w:trPr>
          <w:cnfStyle w:val="000000010000" w:firstRow="0" w:lastRow="0" w:firstColumn="0" w:lastColumn="0" w:oddVBand="0" w:evenVBand="0" w:oddHBand="0" w:evenHBand="1" w:firstRowFirstColumn="0" w:firstRowLastColumn="0" w:lastRowFirstColumn="0" w:lastRowLastColumn="0"/>
        </w:trPr>
        <w:tc>
          <w:tcPr>
            <w:tcW w:w="6473" w:type="dxa"/>
          </w:tcPr>
          <w:p w:rsidR="00C26E24" w:rsidRPr="00707F76" w:rsidRDefault="00C26E24" w:rsidP="00707F76">
            <w:pPr>
              <w:pStyle w:val="Heading3"/>
              <w:spacing w:before="0" w:after="0"/>
              <w:outlineLvl w:val="2"/>
              <w:rPr>
                <w:sz w:val="17"/>
                <w:szCs w:val="17"/>
              </w:rPr>
            </w:pPr>
            <w:r w:rsidRPr="00707F76">
              <w:rPr>
                <w:sz w:val="17"/>
                <w:szCs w:val="17"/>
              </w:rPr>
              <w:t>Crosscutting</w:t>
            </w:r>
          </w:p>
          <w:p w:rsidR="00C26E24" w:rsidRPr="00707F76" w:rsidRDefault="00C26E24" w:rsidP="00707F76">
            <w:pPr>
              <w:pStyle w:val="BodyText"/>
              <w:spacing w:after="0"/>
              <w:rPr>
                <w:b/>
                <w:sz w:val="17"/>
                <w:szCs w:val="17"/>
              </w:rPr>
            </w:pPr>
            <w:r w:rsidRPr="00707F76">
              <w:rPr>
                <w:sz w:val="17"/>
                <w:szCs w:val="17"/>
              </w:rPr>
              <w:t>The Tuvalu Program will:</w:t>
            </w:r>
          </w:p>
          <w:p w:rsidR="000D733F" w:rsidRDefault="00C26E24" w:rsidP="00AE7C99">
            <w:pPr>
              <w:pStyle w:val="ListBullet"/>
              <w:spacing w:after="0" w:line="240" w:lineRule="auto"/>
              <w:ind w:left="357" w:hanging="357"/>
              <w:rPr>
                <w:sz w:val="17"/>
                <w:szCs w:val="17"/>
              </w:rPr>
            </w:pPr>
            <w:r w:rsidRPr="00707F76">
              <w:rPr>
                <w:sz w:val="17"/>
                <w:szCs w:val="17"/>
              </w:rPr>
              <w:t>bid for one extra full-time resource, to be based in Funafuti or Suva, to help deal with the resource-intensity, risk and technical complexity of the sectors and methods of working in the Tuvalu aid program</w:t>
            </w:r>
          </w:p>
          <w:p w:rsidR="0074100E" w:rsidRPr="00707F76" w:rsidRDefault="0074100E" w:rsidP="00AE7C99">
            <w:pPr>
              <w:pStyle w:val="ListBullet"/>
              <w:numPr>
                <w:ilvl w:val="0"/>
                <w:numId w:val="0"/>
              </w:numPr>
              <w:spacing w:after="0"/>
              <w:ind w:left="360"/>
              <w:rPr>
                <w:sz w:val="17"/>
                <w:szCs w:val="17"/>
              </w:rPr>
            </w:pPr>
          </w:p>
        </w:tc>
        <w:tc>
          <w:tcPr>
            <w:tcW w:w="964" w:type="dxa"/>
            <w:shd w:val="clear" w:color="auto" w:fill="F79646" w:themeFill="accent6"/>
          </w:tcPr>
          <w:p w:rsidR="000D733F" w:rsidRPr="00707F76" w:rsidRDefault="00A020B6" w:rsidP="00707F76">
            <w:pPr>
              <w:pStyle w:val="TableTextEntries"/>
              <w:spacing w:before="0" w:after="0"/>
              <w:jc w:val="center"/>
              <w:rPr>
                <w:color w:val="FFFFFF" w:themeColor="background1"/>
              </w:rPr>
            </w:pPr>
            <w:r>
              <w:rPr>
                <w:color w:val="FFFFFF" w:themeColor="background1"/>
              </w:rPr>
              <w:t>Partly achieved</w:t>
            </w:r>
          </w:p>
        </w:tc>
        <w:tc>
          <w:tcPr>
            <w:tcW w:w="6896" w:type="dxa"/>
          </w:tcPr>
          <w:p w:rsidR="000D733F" w:rsidRPr="00707F76" w:rsidRDefault="00C511B2" w:rsidP="00A020B6">
            <w:pPr>
              <w:pStyle w:val="TableTextEntries"/>
              <w:spacing w:before="0" w:after="0"/>
              <w:rPr>
                <w:color w:val="F79646" w:themeColor="accent6"/>
              </w:rPr>
            </w:pPr>
            <w:r>
              <w:t>Due to budget constraints, an additional staff member for Tuvalu was not realised. Focus will be on identifying efficiencies and ways to consolidate the program to streamline administration.</w:t>
            </w:r>
          </w:p>
        </w:tc>
      </w:tr>
      <w:tr w:rsidR="009A1AAC" w:rsidRPr="00707F76" w:rsidTr="009A1AAC">
        <w:trPr>
          <w:cnfStyle w:val="000000010000" w:firstRow="0" w:lastRow="0" w:firstColumn="0" w:lastColumn="0" w:oddVBand="0" w:evenVBand="0" w:oddHBand="0" w:evenHBand="1" w:firstRowFirstColumn="0" w:firstRowLastColumn="0" w:lastRowFirstColumn="0" w:lastRowLastColumn="0"/>
        </w:trPr>
        <w:tc>
          <w:tcPr>
            <w:tcW w:w="6473" w:type="dxa"/>
          </w:tcPr>
          <w:p w:rsidR="009A1AAC" w:rsidRPr="00707F76" w:rsidRDefault="009A1AAC" w:rsidP="00AE7C99">
            <w:pPr>
              <w:pStyle w:val="ListBullet"/>
              <w:spacing w:after="0" w:line="240" w:lineRule="auto"/>
              <w:ind w:left="357" w:hanging="357"/>
              <w:rPr>
                <w:sz w:val="17"/>
                <w:szCs w:val="17"/>
              </w:rPr>
            </w:pPr>
            <w:r w:rsidRPr="00707F76">
              <w:rPr>
                <w:sz w:val="17"/>
                <w:szCs w:val="17"/>
              </w:rPr>
              <w:t>develop and implement a gender strategy for the Tuvalu program, which could be jointly undertaken with a country poverty analysis and strategy.</w:t>
            </w:r>
          </w:p>
          <w:p w:rsidR="009A1AAC" w:rsidRPr="00707F76" w:rsidRDefault="009A1AAC" w:rsidP="00707F76">
            <w:pPr>
              <w:pStyle w:val="Heading3"/>
              <w:spacing w:before="0" w:after="0"/>
              <w:outlineLvl w:val="2"/>
              <w:rPr>
                <w:sz w:val="17"/>
                <w:szCs w:val="17"/>
              </w:rPr>
            </w:pPr>
          </w:p>
        </w:tc>
        <w:tc>
          <w:tcPr>
            <w:tcW w:w="964" w:type="dxa"/>
            <w:shd w:val="clear" w:color="auto" w:fill="F79646" w:themeFill="accent6"/>
          </w:tcPr>
          <w:p w:rsidR="009A1AAC" w:rsidRPr="00707F76" w:rsidRDefault="009A1AAC" w:rsidP="00707F76">
            <w:pPr>
              <w:pStyle w:val="TableTextEntries"/>
              <w:spacing w:before="0" w:after="0"/>
              <w:jc w:val="center"/>
              <w:rPr>
                <w:color w:val="FFFFFF" w:themeColor="background1"/>
              </w:rPr>
            </w:pPr>
            <w:r>
              <w:rPr>
                <w:color w:val="FFFFFF" w:themeColor="background1"/>
              </w:rPr>
              <w:t>Partly achieved</w:t>
            </w:r>
          </w:p>
        </w:tc>
        <w:tc>
          <w:tcPr>
            <w:tcW w:w="6896" w:type="dxa"/>
          </w:tcPr>
          <w:p w:rsidR="009A1AAC" w:rsidRPr="0074100E" w:rsidRDefault="0074100E" w:rsidP="00AE7C99">
            <w:pPr>
              <w:pStyle w:val="ListBullet"/>
              <w:numPr>
                <w:ilvl w:val="0"/>
                <w:numId w:val="0"/>
              </w:numPr>
              <w:tabs>
                <w:tab w:val="clear" w:pos="284"/>
              </w:tabs>
              <w:spacing w:after="0" w:line="240" w:lineRule="auto"/>
              <w:rPr>
                <w:color w:val="F79646" w:themeColor="accent6"/>
                <w:sz w:val="17"/>
                <w:szCs w:val="17"/>
              </w:rPr>
            </w:pPr>
            <w:r w:rsidRPr="00AE7C99">
              <w:rPr>
                <w:iCs/>
                <w:sz w:val="17"/>
                <w:szCs w:val="17"/>
                <w:lang w:eastAsia="en-US"/>
              </w:rPr>
              <w:t xml:space="preserve">DFAT </w:t>
            </w:r>
            <w:r w:rsidR="0086598B" w:rsidRPr="00AE7C99">
              <w:rPr>
                <w:iCs/>
                <w:sz w:val="17"/>
                <w:szCs w:val="17"/>
                <w:lang w:eastAsia="en-US"/>
              </w:rPr>
              <w:t>is developing</w:t>
            </w:r>
            <w:r w:rsidRPr="00AE7C99">
              <w:rPr>
                <w:iCs/>
                <w:sz w:val="17"/>
                <w:szCs w:val="17"/>
                <w:lang w:eastAsia="en-US"/>
              </w:rPr>
              <w:t xml:space="preserve"> a gender strategy which will be finalised in 2014. This strategy </w:t>
            </w:r>
            <w:r w:rsidR="0086598B" w:rsidRPr="00AE7C99">
              <w:rPr>
                <w:iCs/>
                <w:sz w:val="17"/>
                <w:szCs w:val="17"/>
                <w:lang w:eastAsia="en-US"/>
              </w:rPr>
              <w:t>will recommend</w:t>
            </w:r>
            <w:r w:rsidRPr="00AE7C99">
              <w:rPr>
                <w:iCs/>
                <w:sz w:val="17"/>
                <w:szCs w:val="17"/>
                <w:lang w:eastAsia="en-US"/>
              </w:rPr>
              <w:t xml:space="preserve"> ways DFAT can integrate gender objectives into its existing and</w:t>
            </w:r>
            <w:r w:rsidR="00247759" w:rsidRPr="00AE7C99">
              <w:rPr>
                <w:iCs/>
                <w:sz w:val="17"/>
                <w:szCs w:val="17"/>
                <w:lang w:eastAsia="en-US"/>
              </w:rPr>
              <w:t xml:space="preserve"> any</w:t>
            </w:r>
            <w:r w:rsidRPr="00AE7C99">
              <w:rPr>
                <w:iCs/>
                <w:sz w:val="17"/>
                <w:szCs w:val="17"/>
                <w:lang w:eastAsia="en-US"/>
              </w:rPr>
              <w:t xml:space="preserve"> future programs, and will advise on how DFAT can monitor and assess the impact of its programs</w:t>
            </w:r>
            <w:r w:rsidRPr="0074100E">
              <w:rPr>
                <w:sz w:val="17"/>
                <w:szCs w:val="17"/>
              </w:rPr>
              <w:t xml:space="preserve"> on women and men. </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rsidR="000D733F" w:rsidRPr="009E38C1" w:rsidRDefault="000D733F" w:rsidP="000D733F">
      <w:pPr>
        <w:pStyle w:val="Heading2"/>
        <w:rPr>
          <w:sz w:val="28"/>
        </w:rPr>
      </w:pPr>
      <w:r w:rsidRPr="009E38C1">
        <w:rPr>
          <w:sz w:val="28"/>
        </w:rPr>
        <w:t>Quality at Implementation ratings</w:t>
      </w:r>
    </w:p>
    <w:tbl>
      <w:tblPr>
        <w:tblStyle w:val="APPR"/>
        <w:tblW w:w="4244" w:type="pct"/>
        <w:tblLayout w:type="fixed"/>
        <w:tblLook w:val="0000" w:firstRow="0" w:lastRow="0" w:firstColumn="0" w:lastColumn="0" w:noHBand="0" w:noVBand="0"/>
      </w:tblPr>
      <w:tblGrid>
        <w:gridCol w:w="2519"/>
        <w:gridCol w:w="1835"/>
        <w:gridCol w:w="1168"/>
        <w:gridCol w:w="420"/>
        <w:gridCol w:w="1173"/>
        <w:gridCol w:w="970"/>
        <w:gridCol w:w="1099"/>
        <w:gridCol w:w="1094"/>
        <w:gridCol w:w="951"/>
        <w:gridCol w:w="1032"/>
      </w:tblGrid>
      <w:tr w:rsidR="000D733F" w:rsidRPr="009D53C4" w:rsidTr="00E824BD">
        <w:trPr>
          <w:cnfStyle w:val="000000010000" w:firstRow="0" w:lastRow="0" w:firstColumn="0" w:lastColumn="0" w:oddVBand="0" w:evenVBand="0" w:oddHBand="0" w:evenHBand="1" w:firstRowFirstColumn="0" w:firstRowLastColumn="0" w:lastRowFirstColumn="0" w:lastRowLastColumn="0"/>
          <w:trHeight w:val="1413"/>
        </w:trPr>
        <w:tc>
          <w:tcPr>
            <w:tcW w:w="1013" w:type="pct"/>
          </w:tcPr>
          <w:p w:rsidR="000D733F" w:rsidRPr="00FE4491" w:rsidRDefault="000D733F" w:rsidP="000D733F">
            <w:pPr>
              <w:pStyle w:val="TableTextColumnHeading"/>
            </w:pPr>
            <w:r w:rsidRPr="00FE4491">
              <w:rPr>
                <w:noProof/>
                <w:lang w:eastAsia="en-AU"/>
              </w:rPr>
              <w:drawing>
                <wp:anchor distT="0" distB="0" distL="114300" distR="114300" simplePos="0" relativeHeight="251665408" behindDoc="0" locked="0" layoutInCell="1" allowOverlap="1" wp14:anchorId="25113756" wp14:editId="2084A850">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CD2">
              <w:t>Investment</w:t>
            </w:r>
            <w:r w:rsidRPr="00FE4491">
              <w:t xml:space="preserve"> name</w:t>
            </w:r>
          </w:p>
        </w:tc>
        <w:tc>
          <w:tcPr>
            <w:tcW w:w="739" w:type="pct"/>
            <w:textDirection w:val="btLr"/>
          </w:tcPr>
          <w:p w:rsidR="000D733F" w:rsidRPr="00FE4491" w:rsidRDefault="000D733F" w:rsidP="000D733F">
            <w:pPr>
              <w:pStyle w:val="TableTextColumnHeading"/>
            </w:pPr>
            <w:r w:rsidRPr="00FE4491">
              <w:t>Approved budget and duration</w:t>
            </w:r>
          </w:p>
        </w:tc>
        <w:tc>
          <w:tcPr>
            <w:tcW w:w="466" w:type="pct"/>
            <w:textDirection w:val="btLr"/>
          </w:tcPr>
          <w:p w:rsidR="000D733F" w:rsidRPr="00FE4491" w:rsidRDefault="000D733F" w:rsidP="000D733F">
            <w:pPr>
              <w:pStyle w:val="TableTextColumnHeading"/>
            </w:pPr>
            <w:r w:rsidRPr="00FE4491">
              <w:t>QaI year</w:t>
            </w:r>
          </w:p>
        </w:tc>
        <w:tc>
          <w:tcPr>
            <w:tcW w:w="628" w:type="pct"/>
            <w:gridSpan w:val="2"/>
            <w:textDirection w:val="btLr"/>
          </w:tcPr>
          <w:p w:rsidR="000D733F" w:rsidRPr="00FE4491" w:rsidRDefault="000D733F" w:rsidP="000D733F">
            <w:pPr>
              <w:pStyle w:val="TableTextColumnHeading"/>
            </w:pPr>
            <w:r w:rsidRPr="00FE4491">
              <w:t>Relevance</w:t>
            </w:r>
          </w:p>
        </w:tc>
        <w:tc>
          <w:tcPr>
            <w:tcW w:w="385" w:type="pct"/>
            <w:textDirection w:val="btLr"/>
          </w:tcPr>
          <w:p w:rsidR="000D733F" w:rsidRPr="00FE4491" w:rsidRDefault="000D733F" w:rsidP="000D733F">
            <w:pPr>
              <w:pStyle w:val="TableTextColumnHeading"/>
            </w:pPr>
            <w:r w:rsidRPr="00FE4491">
              <w:t>Effectiveness</w:t>
            </w:r>
          </w:p>
        </w:tc>
        <w:tc>
          <w:tcPr>
            <w:tcW w:w="438" w:type="pct"/>
            <w:textDirection w:val="btLr"/>
          </w:tcPr>
          <w:p w:rsidR="000D733F" w:rsidRPr="00FE4491" w:rsidRDefault="000D733F" w:rsidP="000D733F">
            <w:pPr>
              <w:pStyle w:val="TableTextColumnHeading"/>
            </w:pPr>
            <w:r w:rsidRPr="00FE4491">
              <w:t>Efficiency</w:t>
            </w:r>
          </w:p>
        </w:tc>
        <w:tc>
          <w:tcPr>
            <w:tcW w:w="436" w:type="pct"/>
            <w:textDirection w:val="btLr"/>
          </w:tcPr>
          <w:p w:rsidR="000D733F" w:rsidRPr="00FE4491" w:rsidRDefault="000D733F" w:rsidP="000D733F">
            <w:pPr>
              <w:pStyle w:val="TableTextColumnHeading"/>
            </w:pPr>
            <w:r w:rsidRPr="00FE4491">
              <w:t>Monitoring and Evaluation</w:t>
            </w:r>
          </w:p>
        </w:tc>
        <w:tc>
          <w:tcPr>
            <w:tcW w:w="377" w:type="pct"/>
            <w:textDirection w:val="btLr"/>
          </w:tcPr>
          <w:p w:rsidR="000D733F" w:rsidRPr="00FE4491" w:rsidRDefault="000D733F" w:rsidP="000D733F">
            <w:pPr>
              <w:pStyle w:val="TableTextColumnHeading"/>
            </w:pPr>
            <w:r w:rsidRPr="00FE4491">
              <w:t>Sustainability</w:t>
            </w:r>
          </w:p>
        </w:tc>
        <w:tc>
          <w:tcPr>
            <w:tcW w:w="405" w:type="pct"/>
            <w:textDirection w:val="btLr"/>
          </w:tcPr>
          <w:p w:rsidR="000D733F" w:rsidRPr="00FE4491" w:rsidRDefault="000D733F" w:rsidP="000D733F">
            <w:pPr>
              <w:pStyle w:val="TableTextColumnHeading"/>
            </w:pPr>
            <w:r w:rsidRPr="00FE4491">
              <w:t>Gender equality</w:t>
            </w:r>
          </w:p>
        </w:tc>
      </w:tr>
      <w:tr w:rsidR="000D733F" w:rsidRPr="009D53C4" w:rsidTr="00E824BD">
        <w:trPr>
          <w:cnfStyle w:val="000000010000" w:firstRow="0" w:lastRow="0" w:firstColumn="0" w:lastColumn="0" w:oddVBand="0" w:evenVBand="0" w:oddHBand="0" w:evenHBand="1" w:firstRowFirstColumn="0" w:firstRowLastColumn="0" w:lastRowFirstColumn="0" w:lastRowLastColumn="0"/>
          <w:trHeight w:val="284"/>
        </w:trPr>
        <w:tc>
          <w:tcPr>
            <w:tcW w:w="1013" w:type="pct"/>
            <w:vMerge w:val="restart"/>
          </w:tcPr>
          <w:p w:rsidR="00E824BD" w:rsidRPr="00FE4491" w:rsidRDefault="00BC0B8D" w:rsidP="00E824BD">
            <w:pPr>
              <w:pStyle w:val="TableTextEntries"/>
            </w:pPr>
            <w:r>
              <w:t>Objective</w:t>
            </w:r>
            <w:r w:rsidR="000D733F" w:rsidRPr="00FE4491">
              <w:t xml:space="preserve"> 1</w:t>
            </w:r>
            <w:r w:rsidR="00E824BD">
              <w:t>: Good governance and economic growth</w:t>
            </w:r>
          </w:p>
        </w:tc>
        <w:tc>
          <w:tcPr>
            <w:tcW w:w="739" w:type="pct"/>
            <w:vMerge w:val="restart"/>
          </w:tcPr>
          <w:p w:rsidR="000D733F" w:rsidRPr="00FE4491" w:rsidRDefault="000D733F" w:rsidP="000D733F">
            <w:pPr>
              <w:pStyle w:val="TableTextEntries"/>
            </w:pPr>
          </w:p>
        </w:tc>
        <w:tc>
          <w:tcPr>
            <w:tcW w:w="626" w:type="pct"/>
            <w:gridSpan w:val="2"/>
          </w:tcPr>
          <w:p w:rsidR="000D733F" w:rsidRPr="00FE4491" w:rsidRDefault="000D733F" w:rsidP="000D733F">
            <w:pPr>
              <w:pStyle w:val="TableTextEntries"/>
            </w:pPr>
            <w:r w:rsidRPr="00FE4491">
              <w:t>201</w:t>
            </w:r>
            <w:r>
              <w:t>3</w:t>
            </w:r>
          </w:p>
        </w:tc>
        <w:tc>
          <w:tcPr>
            <w:tcW w:w="468" w:type="pct"/>
            <w:shd w:val="clear" w:color="auto" w:fill="92D050"/>
            <w:noWrap/>
          </w:tcPr>
          <w:p w:rsidR="000D733F" w:rsidRPr="00FE4491" w:rsidRDefault="00E824BD" w:rsidP="000D733F">
            <w:pPr>
              <w:pStyle w:val="TableTextEntries"/>
              <w:jc w:val="center"/>
            </w:pPr>
            <w:r>
              <w:t>6</w:t>
            </w:r>
          </w:p>
        </w:tc>
        <w:tc>
          <w:tcPr>
            <w:tcW w:w="385" w:type="pct"/>
            <w:shd w:val="clear" w:color="auto" w:fill="92D050"/>
            <w:noWrap/>
          </w:tcPr>
          <w:p w:rsidR="000D733F" w:rsidRPr="00FE4491" w:rsidRDefault="00E824BD" w:rsidP="000D733F">
            <w:pPr>
              <w:pStyle w:val="TableTextEntries"/>
              <w:jc w:val="center"/>
            </w:pPr>
            <w:r>
              <w:t>5</w:t>
            </w:r>
          </w:p>
        </w:tc>
        <w:tc>
          <w:tcPr>
            <w:tcW w:w="438" w:type="pct"/>
            <w:shd w:val="clear" w:color="auto" w:fill="92D050"/>
            <w:noWrap/>
          </w:tcPr>
          <w:p w:rsidR="000D733F" w:rsidRPr="00FE4491" w:rsidRDefault="00E824BD" w:rsidP="000D733F">
            <w:pPr>
              <w:pStyle w:val="TableTextEntries"/>
              <w:jc w:val="center"/>
            </w:pPr>
            <w:r>
              <w:t>5</w:t>
            </w:r>
          </w:p>
        </w:tc>
        <w:tc>
          <w:tcPr>
            <w:tcW w:w="436" w:type="pct"/>
            <w:shd w:val="clear" w:color="auto" w:fill="92D050"/>
            <w:noWrap/>
          </w:tcPr>
          <w:p w:rsidR="000D733F" w:rsidRPr="00FE4491" w:rsidRDefault="00E824BD" w:rsidP="000D733F">
            <w:pPr>
              <w:pStyle w:val="TableTextEntries"/>
              <w:jc w:val="center"/>
            </w:pPr>
            <w:r>
              <w:t>5</w:t>
            </w:r>
          </w:p>
        </w:tc>
        <w:tc>
          <w:tcPr>
            <w:tcW w:w="377" w:type="pct"/>
            <w:shd w:val="clear" w:color="auto" w:fill="92D050"/>
            <w:noWrap/>
          </w:tcPr>
          <w:p w:rsidR="000D733F" w:rsidRPr="00FE4491" w:rsidRDefault="00E824BD" w:rsidP="000D733F">
            <w:pPr>
              <w:pStyle w:val="TableTextEntries"/>
              <w:jc w:val="center"/>
            </w:pPr>
            <w:r>
              <w:t>5</w:t>
            </w:r>
          </w:p>
        </w:tc>
        <w:tc>
          <w:tcPr>
            <w:tcW w:w="405" w:type="pct"/>
            <w:shd w:val="clear" w:color="auto" w:fill="F79646" w:themeFill="accent6"/>
            <w:noWrap/>
          </w:tcPr>
          <w:p w:rsidR="000D733F" w:rsidRPr="00FE4491" w:rsidRDefault="00E824BD" w:rsidP="000D733F">
            <w:pPr>
              <w:pStyle w:val="TableTextEntries"/>
              <w:jc w:val="center"/>
            </w:pPr>
            <w:r>
              <w:t>3</w:t>
            </w:r>
          </w:p>
        </w:tc>
      </w:tr>
      <w:tr w:rsidR="000D733F" w:rsidRPr="009D53C4" w:rsidTr="00CE64BA">
        <w:trPr>
          <w:cnfStyle w:val="000000010000" w:firstRow="0" w:lastRow="0" w:firstColumn="0" w:lastColumn="0" w:oddVBand="0" w:evenVBand="0" w:oddHBand="0" w:evenHBand="1" w:firstRowFirstColumn="0" w:firstRowLastColumn="0" w:lastRowFirstColumn="0" w:lastRowLastColumn="0"/>
          <w:trHeight w:val="284"/>
        </w:trPr>
        <w:tc>
          <w:tcPr>
            <w:tcW w:w="1013" w:type="pct"/>
            <w:vMerge/>
          </w:tcPr>
          <w:p w:rsidR="000D733F" w:rsidRPr="00FE4491" w:rsidRDefault="000D733F" w:rsidP="000D733F">
            <w:pPr>
              <w:pStyle w:val="TableTextEntries"/>
            </w:pPr>
          </w:p>
        </w:tc>
        <w:tc>
          <w:tcPr>
            <w:tcW w:w="739" w:type="pct"/>
            <w:vMerge/>
          </w:tcPr>
          <w:p w:rsidR="000D733F" w:rsidRPr="00FE4491" w:rsidRDefault="000D733F" w:rsidP="000D733F">
            <w:pPr>
              <w:pStyle w:val="TableTextEntries"/>
            </w:pPr>
          </w:p>
        </w:tc>
        <w:tc>
          <w:tcPr>
            <w:tcW w:w="626" w:type="pct"/>
            <w:gridSpan w:val="2"/>
          </w:tcPr>
          <w:p w:rsidR="000D733F" w:rsidRPr="00FE4491" w:rsidRDefault="000D733F" w:rsidP="000D733F">
            <w:pPr>
              <w:pStyle w:val="TableTextEntries"/>
            </w:pPr>
            <w:r w:rsidRPr="00FE4491">
              <w:t>201</w:t>
            </w:r>
            <w:r>
              <w:t>2</w:t>
            </w:r>
          </w:p>
        </w:tc>
        <w:tc>
          <w:tcPr>
            <w:tcW w:w="468" w:type="pct"/>
            <w:shd w:val="clear" w:color="auto" w:fill="92D050"/>
            <w:noWrap/>
          </w:tcPr>
          <w:p w:rsidR="000D733F" w:rsidRPr="00FE4491" w:rsidRDefault="00CE64BA" w:rsidP="000D733F">
            <w:pPr>
              <w:pStyle w:val="TableTextEntries"/>
              <w:jc w:val="center"/>
            </w:pPr>
            <w:r>
              <w:t>6</w:t>
            </w:r>
          </w:p>
        </w:tc>
        <w:tc>
          <w:tcPr>
            <w:tcW w:w="385" w:type="pct"/>
            <w:shd w:val="clear" w:color="auto" w:fill="FFFF00"/>
            <w:noWrap/>
          </w:tcPr>
          <w:p w:rsidR="000D733F" w:rsidRPr="00FE4491" w:rsidRDefault="00CE64BA" w:rsidP="000D733F">
            <w:pPr>
              <w:pStyle w:val="TableTextEntries"/>
              <w:jc w:val="center"/>
            </w:pPr>
            <w:r>
              <w:t>4</w:t>
            </w:r>
          </w:p>
        </w:tc>
        <w:tc>
          <w:tcPr>
            <w:tcW w:w="438" w:type="pct"/>
            <w:shd w:val="clear" w:color="auto" w:fill="92D050"/>
            <w:noWrap/>
          </w:tcPr>
          <w:p w:rsidR="000D733F" w:rsidRPr="00FE4491" w:rsidRDefault="00CE64BA" w:rsidP="000D733F">
            <w:pPr>
              <w:pStyle w:val="TableTextEntries"/>
              <w:jc w:val="center"/>
            </w:pPr>
            <w:r>
              <w:t>5</w:t>
            </w:r>
          </w:p>
        </w:tc>
        <w:tc>
          <w:tcPr>
            <w:tcW w:w="436" w:type="pct"/>
            <w:shd w:val="clear" w:color="auto" w:fill="92D050"/>
            <w:noWrap/>
          </w:tcPr>
          <w:p w:rsidR="000D733F" w:rsidRPr="00FE4491" w:rsidRDefault="00CE64BA" w:rsidP="000D733F">
            <w:pPr>
              <w:pStyle w:val="TableTextEntries"/>
              <w:jc w:val="center"/>
            </w:pPr>
            <w:r>
              <w:t>6</w:t>
            </w:r>
          </w:p>
        </w:tc>
        <w:tc>
          <w:tcPr>
            <w:tcW w:w="377" w:type="pct"/>
            <w:shd w:val="clear" w:color="auto" w:fill="92D050"/>
            <w:noWrap/>
          </w:tcPr>
          <w:p w:rsidR="000D733F" w:rsidRPr="00FE4491" w:rsidRDefault="00CE64BA" w:rsidP="000D733F">
            <w:pPr>
              <w:pStyle w:val="TableTextEntries"/>
              <w:jc w:val="center"/>
            </w:pPr>
            <w:r>
              <w:t>5</w:t>
            </w:r>
          </w:p>
        </w:tc>
        <w:tc>
          <w:tcPr>
            <w:tcW w:w="405" w:type="pct"/>
            <w:shd w:val="clear" w:color="auto" w:fill="F79646" w:themeFill="accent6"/>
            <w:noWrap/>
          </w:tcPr>
          <w:p w:rsidR="000D733F" w:rsidRPr="00FE4491" w:rsidRDefault="00CE64BA" w:rsidP="000D733F">
            <w:pPr>
              <w:pStyle w:val="TableTextEntries"/>
              <w:jc w:val="center"/>
            </w:pPr>
            <w:r>
              <w:t>3</w:t>
            </w:r>
          </w:p>
        </w:tc>
      </w:tr>
      <w:tr w:rsidR="00E824BD" w:rsidRPr="009D53C4" w:rsidTr="00E824BD">
        <w:trPr>
          <w:cnfStyle w:val="000000010000" w:firstRow="0" w:lastRow="0" w:firstColumn="0" w:lastColumn="0" w:oddVBand="0" w:evenVBand="0" w:oddHBand="0" w:evenHBand="1" w:firstRowFirstColumn="0" w:firstRowLastColumn="0" w:lastRowFirstColumn="0" w:lastRowLastColumn="0"/>
          <w:trHeight w:val="284"/>
        </w:trPr>
        <w:tc>
          <w:tcPr>
            <w:tcW w:w="1013" w:type="pct"/>
          </w:tcPr>
          <w:p w:rsidR="00E824BD" w:rsidRPr="00FE4491" w:rsidRDefault="00E824BD" w:rsidP="000D733F">
            <w:pPr>
              <w:pStyle w:val="TableTextEntries"/>
            </w:pPr>
            <w:r>
              <w:t>Objective</w:t>
            </w:r>
            <w:r w:rsidRPr="00FE4491">
              <w:t xml:space="preserve"> 1</w:t>
            </w:r>
            <w:r>
              <w:t>: PACTAM</w:t>
            </w:r>
          </w:p>
        </w:tc>
        <w:tc>
          <w:tcPr>
            <w:tcW w:w="739" w:type="pct"/>
          </w:tcPr>
          <w:p w:rsidR="00E824BD" w:rsidRPr="00FE4491" w:rsidRDefault="00E824BD" w:rsidP="000D733F">
            <w:pPr>
              <w:pStyle w:val="TableTextEntries"/>
            </w:pPr>
          </w:p>
        </w:tc>
        <w:tc>
          <w:tcPr>
            <w:tcW w:w="626" w:type="pct"/>
            <w:gridSpan w:val="2"/>
          </w:tcPr>
          <w:p w:rsidR="00E824BD" w:rsidRPr="00FE4491" w:rsidRDefault="00E824BD" w:rsidP="000D733F">
            <w:pPr>
              <w:pStyle w:val="TableTextEntries"/>
            </w:pPr>
            <w:r>
              <w:t>2013</w:t>
            </w:r>
          </w:p>
        </w:tc>
        <w:tc>
          <w:tcPr>
            <w:tcW w:w="468" w:type="pct"/>
            <w:shd w:val="clear" w:color="auto" w:fill="92D050"/>
            <w:noWrap/>
          </w:tcPr>
          <w:p w:rsidR="00E824BD" w:rsidRPr="00FE4491" w:rsidRDefault="00E824BD" w:rsidP="000D733F">
            <w:pPr>
              <w:pStyle w:val="TableTextEntries"/>
              <w:jc w:val="center"/>
            </w:pPr>
            <w:r>
              <w:t>5</w:t>
            </w:r>
          </w:p>
        </w:tc>
        <w:tc>
          <w:tcPr>
            <w:tcW w:w="385" w:type="pct"/>
            <w:shd w:val="clear" w:color="auto" w:fill="92D050"/>
            <w:noWrap/>
          </w:tcPr>
          <w:p w:rsidR="00E824BD" w:rsidRPr="00FE4491" w:rsidRDefault="00E824BD" w:rsidP="000D733F">
            <w:pPr>
              <w:pStyle w:val="TableTextEntries"/>
              <w:jc w:val="center"/>
            </w:pPr>
            <w:r>
              <w:t>5</w:t>
            </w:r>
          </w:p>
        </w:tc>
        <w:tc>
          <w:tcPr>
            <w:tcW w:w="438" w:type="pct"/>
            <w:shd w:val="clear" w:color="auto" w:fill="92D050"/>
            <w:noWrap/>
          </w:tcPr>
          <w:p w:rsidR="00E824BD" w:rsidRPr="00FE4491" w:rsidRDefault="00E824BD" w:rsidP="000D733F">
            <w:pPr>
              <w:pStyle w:val="TableTextEntries"/>
              <w:jc w:val="center"/>
            </w:pPr>
            <w:r>
              <w:t>5</w:t>
            </w:r>
          </w:p>
        </w:tc>
        <w:tc>
          <w:tcPr>
            <w:tcW w:w="436" w:type="pct"/>
            <w:shd w:val="clear" w:color="auto" w:fill="92D050"/>
            <w:noWrap/>
          </w:tcPr>
          <w:p w:rsidR="00E824BD" w:rsidRPr="00FE4491" w:rsidRDefault="00E824BD" w:rsidP="000D733F">
            <w:pPr>
              <w:pStyle w:val="TableTextEntries"/>
              <w:jc w:val="center"/>
            </w:pPr>
            <w:r>
              <w:t>5</w:t>
            </w:r>
          </w:p>
        </w:tc>
        <w:tc>
          <w:tcPr>
            <w:tcW w:w="377" w:type="pct"/>
            <w:shd w:val="clear" w:color="auto" w:fill="92D050"/>
            <w:noWrap/>
          </w:tcPr>
          <w:p w:rsidR="00E824BD" w:rsidRPr="00FE4491" w:rsidRDefault="00E824BD" w:rsidP="000D733F">
            <w:pPr>
              <w:pStyle w:val="TableTextEntries"/>
              <w:jc w:val="center"/>
            </w:pPr>
            <w:r>
              <w:t>5</w:t>
            </w:r>
          </w:p>
        </w:tc>
        <w:tc>
          <w:tcPr>
            <w:tcW w:w="405" w:type="pct"/>
            <w:shd w:val="clear" w:color="auto" w:fill="F79646" w:themeFill="accent6"/>
            <w:noWrap/>
          </w:tcPr>
          <w:p w:rsidR="00E824BD" w:rsidRPr="00FE4491" w:rsidRDefault="00E824BD" w:rsidP="000D733F">
            <w:pPr>
              <w:pStyle w:val="TableTextEntries"/>
              <w:jc w:val="center"/>
            </w:pPr>
            <w:r>
              <w:t>3</w:t>
            </w:r>
          </w:p>
        </w:tc>
      </w:tr>
      <w:tr w:rsidR="00E824BD" w:rsidRPr="009D53C4" w:rsidTr="00CE64BA">
        <w:trPr>
          <w:cnfStyle w:val="000000010000" w:firstRow="0" w:lastRow="0" w:firstColumn="0" w:lastColumn="0" w:oddVBand="0" w:evenVBand="0" w:oddHBand="0" w:evenHBand="1" w:firstRowFirstColumn="0" w:firstRowLastColumn="0" w:lastRowFirstColumn="0" w:lastRowLastColumn="0"/>
          <w:trHeight w:val="284"/>
        </w:trPr>
        <w:tc>
          <w:tcPr>
            <w:tcW w:w="1013" w:type="pct"/>
          </w:tcPr>
          <w:p w:rsidR="00E824BD" w:rsidRPr="00FE4491" w:rsidRDefault="00E824BD" w:rsidP="000D733F">
            <w:pPr>
              <w:pStyle w:val="TableTextEntries"/>
            </w:pPr>
          </w:p>
        </w:tc>
        <w:tc>
          <w:tcPr>
            <w:tcW w:w="739" w:type="pct"/>
          </w:tcPr>
          <w:p w:rsidR="00E824BD" w:rsidRPr="00FE4491" w:rsidRDefault="00E824BD" w:rsidP="000D733F">
            <w:pPr>
              <w:pStyle w:val="TableTextEntries"/>
            </w:pPr>
          </w:p>
        </w:tc>
        <w:tc>
          <w:tcPr>
            <w:tcW w:w="626" w:type="pct"/>
            <w:gridSpan w:val="2"/>
          </w:tcPr>
          <w:p w:rsidR="00E824BD" w:rsidRPr="00FE4491" w:rsidRDefault="00E824BD" w:rsidP="000D733F">
            <w:pPr>
              <w:pStyle w:val="TableTextEntries"/>
            </w:pPr>
            <w:r>
              <w:t>2012</w:t>
            </w:r>
          </w:p>
        </w:tc>
        <w:tc>
          <w:tcPr>
            <w:tcW w:w="468" w:type="pct"/>
            <w:shd w:val="clear" w:color="auto" w:fill="92D050"/>
            <w:noWrap/>
          </w:tcPr>
          <w:p w:rsidR="00E824BD" w:rsidRPr="00FE4491" w:rsidRDefault="00CE64BA" w:rsidP="000D733F">
            <w:pPr>
              <w:pStyle w:val="TableTextEntries"/>
              <w:jc w:val="center"/>
            </w:pPr>
            <w:r>
              <w:t>5</w:t>
            </w:r>
          </w:p>
        </w:tc>
        <w:tc>
          <w:tcPr>
            <w:tcW w:w="385" w:type="pct"/>
            <w:shd w:val="clear" w:color="auto" w:fill="FFFF00"/>
            <w:noWrap/>
          </w:tcPr>
          <w:p w:rsidR="00E824BD" w:rsidRPr="00FE4491" w:rsidRDefault="00CE64BA" w:rsidP="000D733F">
            <w:pPr>
              <w:pStyle w:val="TableTextEntries"/>
              <w:jc w:val="center"/>
            </w:pPr>
            <w:r>
              <w:t>4</w:t>
            </w:r>
          </w:p>
        </w:tc>
        <w:tc>
          <w:tcPr>
            <w:tcW w:w="438" w:type="pct"/>
            <w:shd w:val="clear" w:color="auto" w:fill="92D050"/>
            <w:noWrap/>
          </w:tcPr>
          <w:p w:rsidR="00E824BD" w:rsidRPr="00FE4491" w:rsidRDefault="00CE64BA" w:rsidP="000D733F">
            <w:pPr>
              <w:pStyle w:val="TableTextEntries"/>
              <w:jc w:val="center"/>
            </w:pPr>
            <w:r>
              <w:t>5</w:t>
            </w:r>
          </w:p>
        </w:tc>
        <w:tc>
          <w:tcPr>
            <w:tcW w:w="436" w:type="pct"/>
            <w:shd w:val="clear" w:color="auto" w:fill="FFFF00"/>
            <w:noWrap/>
          </w:tcPr>
          <w:p w:rsidR="00E824BD" w:rsidRPr="00FE4491" w:rsidRDefault="00CE64BA" w:rsidP="000D733F">
            <w:pPr>
              <w:pStyle w:val="TableTextEntries"/>
              <w:jc w:val="center"/>
            </w:pPr>
            <w:r>
              <w:t>4</w:t>
            </w:r>
          </w:p>
        </w:tc>
        <w:tc>
          <w:tcPr>
            <w:tcW w:w="377" w:type="pct"/>
            <w:shd w:val="clear" w:color="auto" w:fill="FFFF00"/>
            <w:noWrap/>
          </w:tcPr>
          <w:p w:rsidR="00E824BD" w:rsidRPr="00FE4491" w:rsidRDefault="00CE64BA" w:rsidP="000D733F">
            <w:pPr>
              <w:pStyle w:val="TableTextEntries"/>
              <w:jc w:val="center"/>
            </w:pPr>
            <w:r>
              <w:t>4</w:t>
            </w:r>
          </w:p>
        </w:tc>
        <w:tc>
          <w:tcPr>
            <w:tcW w:w="405" w:type="pct"/>
            <w:shd w:val="clear" w:color="auto" w:fill="F79646" w:themeFill="accent6"/>
            <w:noWrap/>
          </w:tcPr>
          <w:p w:rsidR="00E824BD" w:rsidRPr="00FE4491" w:rsidRDefault="00CE64BA" w:rsidP="000D733F">
            <w:pPr>
              <w:pStyle w:val="TableTextEntries"/>
              <w:jc w:val="center"/>
            </w:pPr>
            <w:r>
              <w:t>3</w:t>
            </w:r>
          </w:p>
        </w:tc>
      </w:tr>
      <w:tr w:rsidR="00E824BD" w:rsidRPr="009D53C4" w:rsidTr="00E824BD">
        <w:trPr>
          <w:cnfStyle w:val="000000010000" w:firstRow="0" w:lastRow="0" w:firstColumn="0" w:lastColumn="0" w:oddVBand="0" w:evenVBand="0" w:oddHBand="0" w:evenHBand="1" w:firstRowFirstColumn="0" w:firstRowLastColumn="0" w:lastRowFirstColumn="0" w:lastRowLastColumn="0"/>
          <w:trHeight w:val="284"/>
        </w:trPr>
        <w:tc>
          <w:tcPr>
            <w:tcW w:w="1013" w:type="pct"/>
            <w:vMerge w:val="restart"/>
          </w:tcPr>
          <w:p w:rsidR="00E824BD" w:rsidRPr="00FE4491" w:rsidRDefault="00E824BD" w:rsidP="00E824BD">
            <w:pPr>
              <w:pStyle w:val="TableTextEntries"/>
            </w:pPr>
            <w:r>
              <w:t>Objective</w:t>
            </w:r>
            <w:r w:rsidRPr="00FE4491">
              <w:t xml:space="preserve"> 2</w:t>
            </w:r>
            <w:r>
              <w:t>: Basic education</w:t>
            </w:r>
          </w:p>
        </w:tc>
        <w:tc>
          <w:tcPr>
            <w:tcW w:w="739" w:type="pct"/>
            <w:vMerge w:val="restart"/>
          </w:tcPr>
          <w:p w:rsidR="00E824BD" w:rsidRPr="00FE4491" w:rsidRDefault="00E824BD" w:rsidP="00EC3314">
            <w:pPr>
              <w:pStyle w:val="TableTextEntries"/>
            </w:pPr>
          </w:p>
        </w:tc>
        <w:tc>
          <w:tcPr>
            <w:tcW w:w="626" w:type="pct"/>
            <w:gridSpan w:val="2"/>
          </w:tcPr>
          <w:p w:rsidR="00E824BD" w:rsidRPr="00FE4491" w:rsidRDefault="00E824BD" w:rsidP="00EC3314">
            <w:pPr>
              <w:pStyle w:val="TableTextEntries"/>
            </w:pPr>
            <w:r w:rsidRPr="00FE4491">
              <w:t>201</w:t>
            </w:r>
            <w:r>
              <w:t>3</w:t>
            </w:r>
          </w:p>
        </w:tc>
        <w:tc>
          <w:tcPr>
            <w:tcW w:w="468" w:type="pct"/>
            <w:shd w:val="clear" w:color="auto" w:fill="92D050"/>
            <w:noWrap/>
          </w:tcPr>
          <w:p w:rsidR="00E824BD" w:rsidRPr="00FE4491" w:rsidRDefault="00E824BD" w:rsidP="00EC3314">
            <w:pPr>
              <w:pStyle w:val="TableTextEntries"/>
              <w:jc w:val="center"/>
            </w:pPr>
            <w:r w:rsidRPr="00FE4491">
              <w:t>5</w:t>
            </w:r>
          </w:p>
        </w:tc>
        <w:tc>
          <w:tcPr>
            <w:tcW w:w="385" w:type="pct"/>
            <w:shd w:val="clear" w:color="auto" w:fill="FFFF00"/>
            <w:noWrap/>
          </w:tcPr>
          <w:p w:rsidR="00E824BD" w:rsidRPr="00FE4491" w:rsidRDefault="00E824BD" w:rsidP="00EC3314">
            <w:pPr>
              <w:pStyle w:val="TableTextEntries"/>
              <w:jc w:val="center"/>
            </w:pPr>
            <w:r>
              <w:t>4</w:t>
            </w:r>
          </w:p>
        </w:tc>
        <w:tc>
          <w:tcPr>
            <w:tcW w:w="438" w:type="pct"/>
            <w:shd w:val="clear" w:color="auto" w:fill="FFFF00"/>
            <w:noWrap/>
          </w:tcPr>
          <w:p w:rsidR="00E824BD" w:rsidRPr="00FE4491" w:rsidRDefault="00E824BD" w:rsidP="00EC3314">
            <w:pPr>
              <w:pStyle w:val="TableTextEntries"/>
              <w:jc w:val="center"/>
            </w:pPr>
            <w:r w:rsidRPr="00FE4491">
              <w:t>4</w:t>
            </w:r>
          </w:p>
        </w:tc>
        <w:tc>
          <w:tcPr>
            <w:tcW w:w="436" w:type="pct"/>
            <w:shd w:val="clear" w:color="auto" w:fill="F79646" w:themeFill="accent6"/>
            <w:noWrap/>
          </w:tcPr>
          <w:p w:rsidR="00E824BD" w:rsidRPr="00FE4491" w:rsidRDefault="00E824BD" w:rsidP="00EC3314">
            <w:pPr>
              <w:pStyle w:val="TableTextEntries"/>
              <w:jc w:val="center"/>
            </w:pPr>
            <w:r>
              <w:t>3</w:t>
            </w:r>
          </w:p>
        </w:tc>
        <w:tc>
          <w:tcPr>
            <w:tcW w:w="377" w:type="pct"/>
            <w:shd w:val="clear" w:color="auto" w:fill="FFFF00"/>
            <w:noWrap/>
          </w:tcPr>
          <w:p w:rsidR="00E824BD" w:rsidRPr="00FE4491" w:rsidRDefault="00E824BD" w:rsidP="00EC3314">
            <w:pPr>
              <w:pStyle w:val="TableTextEntries"/>
              <w:jc w:val="center"/>
            </w:pPr>
            <w:r>
              <w:t>4</w:t>
            </w:r>
          </w:p>
        </w:tc>
        <w:tc>
          <w:tcPr>
            <w:tcW w:w="405" w:type="pct"/>
            <w:shd w:val="clear" w:color="auto" w:fill="F79646" w:themeFill="accent6"/>
            <w:noWrap/>
          </w:tcPr>
          <w:p w:rsidR="00E824BD" w:rsidRPr="00FE4491" w:rsidRDefault="00E824BD" w:rsidP="00EC3314">
            <w:pPr>
              <w:pStyle w:val="TableTextEntries"/>
              <w:jc w:val="center"/>
            </w:pPr>
            <w:r>
              <w:t>3</w:t>
            </w:r>
          </w:p>
        </w:tc>
      </w:tr>
      <w:tr w:rsidR="00E824BD" w:rsidRPr="009D53C4" w:rsidTr="00CE64BA">
        <w:trPr>
          <w:cnfStyle w:val="000000010000" w:firstRow="0" w:lastRow="0" w:firstColumn="0" w:lastColumn="0" w:oddVBand="0" w:evenVBand="0" w:oddHBand="0" w:evenHBand="1" w:firstRowFirstColumn="0" w:firstRowLastColumn="0" w:lastRowFirstColumn="0" w:lastRowLastColumn="0"/>
          <w:trHeight w:val="284"/>
        </w:trPr>
        <w:tc>
          <w:tcPr>
            <w:tcW w:w="1013" w:type="pct"/>
            <w:vMerge/>
          </w:tcPr>
          <w:p w:rsidR="00E824BD" w:rsidRPr="00FE4491" w:rsidRDefault="00E824BD" w:rsidP="000D733F">
            <w:pPr>
              <w:pStyle w:val="TableTextEntries"/>
            </w:pPr>
          </w:p>
        </w:tc>
        <w:tc>
          <w:tcPr>
            <w:tcW w:w="739" w:type="pct"/>
            <w:vMerge/>
          </w:tcPr>
          <w:p w:rsidR="00E824BD" w:rsidRPr="00FE4491" w:rsidRDefault="00E824BD" w:rsidP="000D733F">
            <w:pPr>
              <w:pStyle w:val="TableTextEntries"/>
            </w:pPr>
          </w:p>
        </w:tc>
        <w:tc>
          <w:tcPr>
            <w:tcW w:w="626" w:type="pct"/>
            <w:gridSpan w:val="2"/>
          </w:tcPr>
          <w:p w:rsidR="00E824BD" w:rsidRPr="00FE4491" w:rsidRDefault="00E824BD" w:rsidP="000D733F">
            <w:pPr>
              <w:pStyle w:val="TableTextEntries"/>
            </w:pPr>
            <w:r w:rsidRPr="00FE4491">
              <w:t>201</w:t>
            </w:r>
            <w:r>
              <w:t>2</w:t>
            </w:r>
          </w:p>
        </w:tc>
        <w:tc>
          <w:tcPr>
            <w:tcW w:w="468" w:type="pct"/>
            <w:shd w:val="clear" w:color="auto" w:fill="92D050"/>
            <w:noWrap/>
          </w:tcPr>
          <w:p w:rsidR="00E824BD" w:rsidRPr="00FE4491" w:rsidRDefault="00CE64BA" w:rsidP="000D733F">
            <w:pPr>
              <w:pStyle w:val="TableTextEntries"/>
              <w:jc w:val="center"/>
            </w:pPr>
            <w:r>
              <w:t>5</w:t>
            </w:r>
          </w:p>
        </w:tc>
        <w:tc>
          <w:tcPr>
            <w:tcW w:w="385" w:type="pct"/>
            <w:shd w:val="clear" w:color="auto" w:fill="FFFF00"/>
            <w:noWrap/>
          </w:tcPr>
          <w:p w:rsidR="00E824BD" w:rsidRPr="00FE4491" w:rsidRDefault="00CE64BA" w:rsidP="000D733F">
            <w:pPr>
              <w:pStyle w:val="TableTextEntries"/>
              <w:jc w:val="center"/>
            </w:pPr>
            <w:r>
              <w:t>4</w:t>
            </w:r>
          </w:p>
        </w:tc>
        <w:tc>
          <w:tcPr>
            <w:tcW w:w="438" w:type="pct"/>
            <w:shd w:val="clear" w:color="auto" w:fill="F79646" w:themeFill="accent6"/>
            <w:noWrap/>
          </w:tcPr>
          <w:p w:rsidR="00E824BD" w:rsidRPr="00FE4491" w:rsidRDefault="00CE64BA" w:rsidP="000D733F">
            <w:pPr>
              <w:pStyle w:val="TableTextEntries"/>
              <w:jc w:val="center"/>
            </w:pPr>
            <w:r>
              <w:t>3</w:t>
            </w:r>
          </w:p>
        </w:tc>
        <w:tc>
          <w:tcPr>
            <w:tcW w:w="436" w:type="pct"/>
            <w:shd w:val="clear" w:color="auto" w:fill="F79646" w:themeFill="accent6"/>
            <w:noWrap/>
          </w:tcPr>
          <w:p w:rsidR="00E824BD" w:rsidRPr="00FE4491" w:rsidRDefault="00CE64BA" w:rsidP="000D733F">
            <w:pPr>
              <w:pStyle w:val="TableTextEntries"/>
              <w:jc w:val="center"/>
            </w:pPr>
            <w:r>
              <w:t>3</w:t>
            </w:r>
          </w:p>
        </w:tc>
        <w:tc>
          <w:tcPr>
            <w:tcW w:w="377" w:type="pct"/>
            <w:shd w:val="clear" w:color="auto" w:fill="FFFF00"/>
            <w:noWrap/>
          </w:tcPr>
          <w:p w:rsidR="00E824BD" w:rsidRPr="00FE4491" w:rsidRDefault="00CE64BA" w:rsidP="000D733F">
            <w:pPr>
              <w:pStyle w:val="TableTextEntries"/>
              <w:jc w:val="center"/>
            </w:pPr>
            <w:r>
              <w:t>4</w:t>
            </w:r>
          </w:p>
        </w:tc>
        <w:tc>
          <w:tcPr>
            <w:tcW w:w="405" w:type="pct"/>
            <w:shd w:val="clear" w:color="auto" w:fill="F79646" w:themeFill="accent6"/>
            <w:noWrap/>
          </w:tcPr>
          <w:p w:rsidR="00E824BD" w:rsidRPr="00FE4491" w:rsidRDefault="00CE64BA" w:rsidP="000D733F">
            <w:pPr>
              <w:pStyle w:val="TableTextEntries"/>
              <w:jc w:val="center"/>
            </w:pPr>
            <w:r>
              <w:t>3</w:t>
            </w:r>
          </w:p>
        </w:tc>
      </w:tr>
      <w:tr w:rsidR="00E824BD" w:rsidRPr="009D53C4" w:rsidTr="00E824BD">
        <w:trPr>
          <w:cnfStyle w:val="000000010000" w:firstRow="0" w:lastRow="0" w:firstColumn="0" w:lastColumn="0" w:oddVBand="0" w:evenVBand="0" w:oddHBand="0" w:evenHBand="1" w:firstRowFirstColumn="0" w:firstRowLastColumn="0" w:lastRowFirstColumn="0" w:lastRowLastColumn="0"/>
          <w:trHeight w:val="284"/>
        </w:trPr>
        <w:tc>
          <w:tcPr>
            <w:tcW w:w="1013" w:type="pct"/>
          </w:tcPr>
          <w:p w:rsidR="00E824BD" w:rsidRPr="00FE4491" w:rsidRDefault="00E824BD" w:rsidP="00E824BD">
            <w:pPr>
              <w:pStyle w:val="TableTextEntries"/>
            </w:pPr>
            <w:r>
              <w:t>Objective</w:t>
            </w:r>
            <w:r w:rsidRPr="00FE4491">
              <w:t xml:space="preserve"> 2</w:t>
            </w:r>
            <w:r>
              <w:t>: Scholarships</w:t>
            </w:r>
          </w:p>
        </w:tc>
        <w:tc>
          <w:tcPr>
            <w:tcW w:w="739" w:type="pct"/>
          </w:tcPr>
          <w:p w:rsidR="00E824BD" w:rsidRPr="00FE4491" w:rsidRDefault="00E824BD" w:rsidP="000D733F">
            <w:pPr>
              <w:pStyle w:val="TableTextEntries"/>
            </w:pPr>
          </w:p>
        </w:tc>
        <w:tc>
          <w:tcPr>
            <w:tcW w:w="626" w:type="pct"/>
            <w:gridSpan w:val="2"/>
          </w:tcPr>
          <w:p w:rsidR="00E824BD" w:rsidRPr="00FE4491" w:rsidRDefault="00E824BD" w:rsidP="000D733F">
            <w:pPr>
              <w:pStyle w:val="TableTextEntries"/>
            </w:pPr>
            <w:r>
              <w:t>2013</w:t>
            </w:r>
          </w:p>
        </w:tc>
        <w:tc>
          <w:tcPr>
            <w:tcW w:w="468" w:type="pct"/>
            <w:shd w:val="clear" w:color="auto" w:fill="92D050"/>
            <w:noWrap/>
          </w:tcPr>
          <w:p w:rsidR="00E824BD" w:rsidRPr="00FE4491" w:rsidRDefault="00E824BD" w:rsidP="000D733F">
            <w:pPr>
              <w:pStyle w:val="TableTextEntries"/>
              <w:jc w:val="center"/>
            </w:pPr>
            <w:r>
              <w:t>6</w:t>
            </w:r>
          </w:p>
        </w:tc>
        <w:tc>
          <w:tcPr>
            <w:tcW w:w="385" w:type="pct"/>
            <w:shd w:val="clear" w:color="auto" w:fill="FFFF00"/>
            <w:noWrap/>
          </w:tcPr>
          <w:p w:rsidR="00E824BD" w:rsidRPr="00FE4491" w:rsidRDefault="00E824BD" w:rsidP="000D733F">
            <w:pPr>
              <w:pStyle w:val="TableTextEntries"/>
              <w:jc w:val="center"/>
            </w:pPr>
            <w:r>
              <w:t>4</w:t>
            </w:r>
          </w:p>
        </w:tc>
        <w:tc>
          <w:tcPr>
            <w:tcW w:w="438" w:type="pct"/>
            <w:shd w:val="clear" w:color="auto" w:fill="FFFF00"/>
            <w:noWrap/>
          </w:tcPr>
          <w:p w:rsidR="00E824BD" w:rsidRPr="00FE4491" w:rsidRDefault="00E824BD" w:rsidP="000D733F">
            <w:pPr>
              <w:pStyle w:val="TableTextEntries"/>
              <w:jc w:val="center"/>
            </w:pPr>
            <w:r>
              <w:t>4</w:t>
            </w:r>
          </w:p>
        </w:tc>
        <w:tc>
          <w:tcPr>
            <w:tcW w:w="436" w:type="pct"/>
            <w:shd w:val="clear" w:color="auto" w:fill="FFFF00"/>
            <w:noWrap/>
          </w:tcPr>
          <w:p w:rsidR="00E824BD" w:rsidRPr="00FE4491" w:rsidRDefault="00E824BD" w:rsidP="000D733F">
            <w:pPr>
              <w:pStyle w:val="TableTextEntries"/>
              <w:jc w:val="center"/>
            </w:pPr>
            <w:r>
              <w:t>4</w:t>
            </w:r>
          </w:p>
        </w:tc>
        <w:tc>
          <w:tcPr>
            <w:tcW w:w="377" w:type="pct"/>
            <w:shd w:val="clear" w:color="auto" w:fill="FFFF00"/>
            <w:noWrap/>
          </w:tcPr>
          <w:p w:rsidR="00E824BD" w:rsidRPr="00FE4491" w:rsidRDefault="00E824BD" w:rsidP="000D733F">
            <w:pPr>
              <w:pStyle w:val="TableTextEntries"/>
              <w:jc w:val="center"/>
            </w:pPr>
            <w:r>
              <w:t>4</w:t>
            </w:r>
          </w:p>
        </w:tc>
        <w:tc>
          <w:tcPr>
            <w:tcW w:w="405" w:type="pct"/>
            <w:shd w:val="clear" w:color="auto" w:fill="92D050"/>
            <w:noWrap/>
          </w:tcPr>
          <w:p w:rsidR="00E824BD" w:rsidRDefault="00E824BD" w:rsidP="00EC3314">
            <w:pPr>
              <w:pStyle w:val="TableTextEntries"/>
              <w:jc w:val="center"/>
            </w:pPr>
            <w:r>
              <w:t>5</w:t>
            </w:r>
          </w:p>
        </w:tc>
      </w:tr>
      <w:tr w:rsidR="00E824BD" w:rsidRPr="009D53C4" w:rsidTr="00CE64BA">
        <w:trPr>
          <w:cnfStyle w:val="000000010000" w:firstRow="0" w:lastRow="0" w:firstColumn="0" w:lastColumn="0" w:oddVBand="0" w:evenVBand="0" w:oddHBand="0" w:evenHBand="1" w:firstRowFirstColumn="0" w:firstRowLastColumn="0" w:lastRowFirstColumn="0" w:lastRowLastColumn="0"/>
          <w:trHeight w:val="284"/>
        </w:trPr>
        <w:tc>
          <w:tcPr>
            <w:tcW w:w="1013" w:type="pct"/>
          </w:tcPr>
          <w:p w:rsidR="00E824BD" w:rsidRPr="00FE4491" w:rsidRDefault="00E824BD" w:rsidP="000D733F">
            <w:pPr>
              <w:pStyle w:val="TableTextEntries"/>
            </w:pPr>
          </w:p>
        </w:tc>
        <w:tc>
          <w:tcPr>
            <w:tcW w:w="739" w:type="pct"/>
          </w:tcPr>
          <w:p w:rsidR="00E824BD" w:rsidRPr="00FE4491" w:rsidRDefault="00E824BD" w:rsidP="000D733F">
            <w:pPr>
              <w:pStyle w:val="TableTextEntries"/>
            </w:pPr>
          </w:p>
        </w:tc>
        <w:tc>
          <w:tcPr>
            <w:tcW w:w="626" w:type="pct"/>
            <w:gridSpan w:val="2"/>
          </w:tcPr>
          <w:p w:rsidR="00E824BD" w:rsidRPr="00FE4491" w:rsidRDefault="00E824BD" w:rsidP="000D733F">
            <w:pPr>
              <w:pStyle w:val="TableTextEntries"/>
            </w:pPr>
            <w:r>
              <w:t>2012</w:t>
            </w:r>
          </w:p>
        </w:tc>
        <w:tc>
          <w:tcPr>
            <w:tcW w:w="468" w:type="pct"/>
            <w:shd w:val="clear" w:color="auto" w:fill="92D050"/>
            <w:noWrap/>
          </w:tcPr>
          <w:p w:rsidR="00E824BD" w:rsidRPr="00FE4491" w:rsidRDefault="00CE64BA" w:rsidP="000D733F">
            <w:pPr>
              <w:pStyle w:val="TableTextEntries"/>
              <w:jc w:val="center"/>
            </w:pPr>
            <w:r>
              <w:t>5</w:t>
            </w:r>
          </w:p>
        </w:tc>
        <w:tc>
          <w:tcPr>
            <w:tcW w:w="385" w:type="pct"/>
            <w:shd w:val="clear" w:color="auto" w:fill="92D050"/>
            <w:noWrap/>
          </w:tcPr>
          <w:p w:rsidR="00E824BD" w:rsidRPr="00FE4491" w:rsidRDefault="00CE64BA" w:rsidP="000D733F">
            <w:pPr>
              <w:pStyle w:val="TableTextEntries"/>
              <w:jc w:val="center"/>
            </w:pPr>
            <w:r>
              <w:t>5</w:t>
            </w:r>
          </w:p>
        </w:tc>
        <w:tc>
          <w:tcPr>
            <w:tcW w:w="438" w:type="pct"/>
            <w:shd w:val="clear" w:color="auto" w:fill="92D050"/>
            <w:noWrap/>
          </w:tcPr>
          <w:p w:rsidR="00E824BD" w:rsidRPr="00FE4491" w:rsidRDefault="00CE64BA" w:rsidP="000D733F">
            <w:pPr>
              <w:pStyle w:val="TableTextEntries"/>
              <w:jc w:val="center"/>
            </w:pPr>
            <w:r>
              <w:t>5</w:t>
            </w:r>
          </w:p>
        </w:tc>
        <w:tc>
          <w:tcPr>
            <w:tcW w:w="436" w:type="pct"/>
            <w:shd w:val="clear" w:color="auto" w:fill="92D050"/>
            <w:noWrap/>
          </w:tcPr>
          <w:p w:rsidR="00E824BD" w:rsidRPr="00FE4491" w:rsidRDefault="00CE64BA" w:rsidP="000D733F">
            <w:pPr>
              <w:pStyle w:val="TableTextEntries"/>
              <w:jc w:val="center"/>
            </w:pPr>
            <w:r>
              <w:t>5</w:t>
            </w:r>
          </w:p>
        </w:tc>
        <w:tc>
          <w:tcPr>
            <w:tcW w:w="377" w:type="pct"/>
            <w:shd w:val="clear" w:color="auto" w:fill="FFFF00"/>
            <w:noWrap/>
          </w:tcPr>
          <w:p w:rsidR="00E824BD" w:rsidRPr="00FE4491" w:rsidRDefault="00CE64BA" w:rsidP="000D733F">
            <w:pPr>
              <w:pStyle w:val="TableTextEntries"/>
              <w:jc w:val="center"/>
            </w:pPr>
            <w:r>
              <w:t>4</w:t>
            </w:r>
          </w:p>
        </w:tc>
        <w:tc>
          <w:tcPr>
            <w:tcW w:w="405" w:type="pct"/>
            <w:shd w:val="clear" w:color="auto" w:fill="FFFF00"/>
            <w:noWrap/>
          </w:tcPr>
          <w:p w:rsidR="00E824BD" w:rsidRDefault="00CE64BA" w:rsidP="00EC3314">
            <w:pPr>
              <w:pStyle w:val="TableTextEntries"/>
              <w:jc w:val="center"/>
            </w:pPr>
            <w:r>
              <w:t>4</w:t>
            </w:r>
          </w:p>
        </w:tc>
      </w:tr>
    </w:tbl>
    <w:p w:rsidR="000D733F" w:rsidRDefault="000D733F" w:rsidP="000D733F">
      <w:pPr>
        <w:pStyle w:val="Note"/>
      </w:pPr>
      <w:r>
        <w:t>Definitions of rating scale:</w:t>
      </w:r>
      <w:r>
        <w:tab/>
      </w:r>
    </w:p>
    <w:p w:rsidR="000D733F" w:rsidRDefault="000D733F" w:rsidP="000D733F">
      <w:pPr>
        <w:pStyle w:val="Note"/>
      </w:pPr>
      <w:r>
        <w:t>Satisfactory (4, 5 and 6)</w:t>
      </w:r>
    </w:p>
    <w:p w:rsidR="000D733F" w:rsidRDefault="000D733F" w:rsidP="000D733F">
      <w:pPr>
        <w:pStyle w:val="Note"/>
      </w:pPr>
      <w:r w:rsidRPr="00593946">
        <w:rPr>
          <w:color w:val="72AF2F"/>
        </w:rPr>
        <w:sym w:font="Webdings" w:char="F067"/>
      </w:r>
      <w:r>
        <w:t xml:space="preserve"> = 6 = Very high quality</w:t>
      </w:r>
    </w:p>
    <w:p w:rsidR="000D733F" w:rsidRDefault="000D733F" w:rsidP="000D733F">
      <w:pPr>
        <w:pStyle w:val="Note"/>
      </w:pPr>
      <w:r w:rsidRPr="00593946">
        <w:rPr>
          <w:color w:val="72AF2F"/>
        </w:rPr>
        <w:sym w:font="Webdings" w:char="F067"/>
      </w:r>
      <w:r>
        <w:t xml:space="preserve"> = 5 = Good quality</w:t>
      </w:r>
    </w:p>
    <w:p w:rsidR="000D733F" w:rsidRDefault="000D733F" w:rsidP="000D733F">
      <w:pPr>
        <w:pStyle w:val="Note"/>
      </w:pPr>
      <w:r w:rsidRPr="000774FD">
        <w:rPr>
          <w:color w:val="FFFF00"/>
        </w:rPr>
        <w:sym w:font="Webdings" w:char="F067"/>
      </w:r>
      <w:r>
        <w:t xml:space="preserve"> = 4 = Adequate quality, needs some work</w:t>
      </w:r>
    </w:p>
    <w:p w:rsidR="000D733F" w:rsidRDefault="000D733F" w:rsidP="000D733F">
      <w:pPr>
        <w:pStyle w:val="Note"/>
      </w:pPr>
      <w:r>
        <w:t>Less than satisfactory (1, 2 and 3)</w:t>
      </w:r>
    </w:p>
    <w:p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rsidR="000D733F" w:rsidRDefault="000D733F" w:rsidP="000D733F">
      <w:pPr>
        <w:pStyle w:val="Note"/>
      </w:pPr>
      <w:r w:rsidRPr="000774FD">
        <w:rPr>
          <w:color w:val="FF0000"/>
        </w:rPr>
        <w:sym w:font="Webdings" w:char="F067"/>
      </w:r>
      <w:r>
        <w:t xml:space="preserve"> = 2 = Poor quality; needs major work to improve</w:t>
      </w:r>
    </w:p>
    <w:p w:rsidR="000D733F" w:rsidRDefault="000D733F" w:rsidP="000D733F">
      <w:pPr>
        <w:pStyle w:val="Note"/>
      </w:pPr>
      <w:r w:rsidRPr="000774FD">
        <w:rPr>
          <w:color w:val="FF0000"/>
        </w:rPr>
        <w:sym w:font="Webdings" w:char="F067"/>
      </w:r>
      <w:r>
        <w:t xml:space="preserve"> = 1 = Very poor quality; needs major overhaul</w:t>
      </w:r>
    </w:p>
    <w:p w:rsidR="000D733F" w:rsidRDefault="000D733F" w:rsidP="000D733F">
      <w:pPr>
        <w:pStyle w:val="Note"/>
      </w:pP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0D733F">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rsidR="000D733F" w:rsidRPr="00071B95" w:rsidRDefault="000D733F" w:rsidP="000D733F">
            <w:pPr>
              <w:pStyle w:val="TableTextColumnHeading"/>
              <w:rPr>
                <w:b/>
              </w:rPr>
            </w:pPr>
            <w:r w:rsidRPr="00071B95">
              <w:rPr>
                <w:b/>
              </w:rPr>
              <w:t>Aidworks number</w:t>
            </w:r>
          </w:p>
        </w:tc>
        <w:tc>
          <w:tcPr>
            <w:tcW w:w="2031" w:type="dxa"/>
          </w:tcPr>
          <w:p w:rsidR="000D733F" w:rsidRPr="00071B95" w:rsidRDefault="000D733F" w:rsidP="000D733F">
            <w:pPr>
              <w:pStyle w:val="TableTextColumnHeading"/>
              <w:rPr>
                <w:b/>
              </w:rPr>
            </w:pPr>
            <w:r>
              <w:rPr>
                <w:b/>
              </w:rPr>
              <w:t>Name of evaluation</w:t>
            </w:r>
          </w:p>
        </w:tc>
        <w:tc>
          <w:tcPr>
            <w:tcW w:w="1939" w:type="dxa"/>
          </w:tcPr>
          <w:p w:rsidR="000D733F" w:rsidRPr="00071B95" w:rsidRDefault="000D733F" w:rsidP="000D733F">
            <w:pPr>
              <w:pStyle w:val="TableTextColumnHeading"/>
              <w:rPr>
                <w:b/>
              </w:rPr>
            </w:pPr>
            <w:r w:rsidRPr="00071B95">
              <w:rPr>
                <w:b/>
              </w:rPr>
              <w:t xml:space="preserve">Date </w:t>
            </w:r>
            <w:r>
              <w:rPr>
                <w:b/>
              </w:rPr>
              <w:t>finalised</w:t>
            </w:r>
          </w:p>
        </w:tc>
        <w:tc>
          <w:tcPr>
            <w:tcW w:w="1921" w:type="dxa"/>
          </w:tcPr>
          <w:p w:rsidR="000D733F" w:rsidRPr="00071B95" w:rsidRDefault="000D733F" w:rsidP="000D733F">
            <w:pPr>
              <w:pStyle w:val="TableTextColumnHeading"/>
              <w:rPr>
                <w:b/>
              </w:rPr>
            </w:pPr>
            <w:r w:rsidRPr="00071B95">
              <w:rPr>
                <w:b/>
              </w:rPr>
              <w:t>Date Evaluation report Uploaded into Aidworks</w:t>
            </w:r>
          </w:p>
        </w:tc>
        <w:tc>
          <w:tcPr>
            <w:tcW w:w="1743" w:type="dxa"/>
          </w:tcPr>
          <w:p w:rsidR="000D733F" w:rsidRPr="00071B95" w:rsidRDefault="000D733F" w:rsidP="000D733F">
            <w:pPr>
              <w:pStyle w:val="TableTextColumnHeading"/>
              <w:rPr>
                <w:b/>
              </w:rPr>
            </w:pPr>
            <w:r w:rsidRPr="00071B95">
              <w:rPr>
                <w:b/>
              </w:rPr>
              <w:t>Date Management response uploaded into Aidworks</w:t>
            </w:r>
          </w:p>
        </w:tc>
        <w:tc>
          <w:tcPr>
            <w:tcW w:w="1503" w:type="dxa"/>
          </w:tcPr>
          <w:p w:rsidR="000D733F" w:rsidRPr="00071B95" w:rsidRDefault="000D733F" w:rsidP="000D733F">
            <w:pPr>
              <w:pStyle w:val="TableTextColumnHeading"/>
              <w:rPr>
                <w:b/>
              </w:rPr>
            </w:pPr>
            <w:r w:rsidRPr="00071B95">
              <w:rPr>
                <w:b/>
              </w:rPr>
              <w:t>Published on website</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FF2C1C" w:rsidRDefault="00FF2C1C" w:rsidP="00FF2C1C">
            <w:pPr>
              <w:pStyle w:val="TableTextEntries"/>
              <w:rPr>
                <w:b w:val="0"/>
              </w:rPr>
            </w:pPr>
            <w:r w:rsidRPr="00FF2C1C">
              <w:rPr>
                <w:b w:val="0"/>
              </w:rPr>
              <w:t>Tuvalu Australia Awards initiatives</w:t>
            </w:r>
          </w:p>
        </w:tc>
        <w:tc>
          <w:tcPr>
            <w:tcW w:w="1933" w:type="dxa"/>
          </w:tcPr>
          <w:p w:rsidR="000D733F" w:rsidRPr="00FF2C1C" w:rsidRDefault="00FF2C1C" w:rsidP="000D733F">
            <w:pPr>
              <w:pStyle w:val="TableTextEntries"/>
              <w:rPr>
                <w:b w:val="0"/>
              </w:rPr>
            </w:pPr>
            <w:r w:rsidRPr="00FF2C1C">
              <w:rPr>
                <w:b w:val="0"/>
              </w:rPr>
              <w:t>Several initiatives in the Tuvalu program</w:t>
            </w:r>
          </w:p>
        </w:tc>
        <w:tc>
          <w:tcPr>
            <w:tcW w:w="2031" w:type="dxa"/>
          </w:tcPr>
          <w:p w:rsidR="000D733F" w:rsidRPr="00FF2C1C" w:rsidRDefault="00FF2C1C" w:rsidP="000D733F">
            <w:pPr>
              <w:pStyle w:val="TableTextEntries"/>
              <w:rPr>
                <w:b w:val="0"/>
              </w:rPr>
            </w:pPr>
            <w:r w:rsidRPr="00FF2C1C">
              <w:rPr>
                <w:b w:val="0"/>
              </w:rPr>
              <w:t>Tuvalu scholarships alumni tracer study</w:t>
            </w: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FF2C1C" w:rsidP="00850A87">
            <w:pPr>
              <w:pStyle w:val="TableTextEntries"/>
              <w:rPr>
                <w:b w:val="0"/>
              </w:rPr>
            </w:pPr>
            <w:r>
              <w:rPr>
                <w:b w:val="0"/>
              </w:rPr>
              <w:t>N/A</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EF5F68" w:rsidRPr="00AE7C99" w:rsidRDefault="00EF5F68" w:rsidP="000D733F">
            <w:pPr>
              <w:pStyle w:val="TableTextEntries"/>
              <w:rPr>
                <w:b w:val="0"/>
              </w:rPr>
            </w:pPr>
          </w:p>
        </w:tc>
        <w:tc>
          <w:tcPr>
            <w:tcW w:w="1933" w:type="dxa"/>
          </w:tcPr>
          <w:p w:rsidR="000D733F" w:rsidRPr="00071B95" w:rsidRDefault="000D733F" w:rsidP="000D733F">
            <w:pPr>
              <w:pStyle w:val="TableTextEntries"/>
            </w:pPr>
          </w:p>
        </w:tc>
        <w:tc>
          <w:tcPr>
            <w:tcW w:w="2031" w:type="dxa"/>
          </w:tcPr>
          <w:p w:rsidR="000D733F" w:rsidRPr="00071B95" w:rsidRDefault="000D733F" w:rsidP="000D733F">
            <w:pPr>
              <w:pStyle w:val="TableTextEntries"/>
            </w:pPr>
          </w:p>
        </w:tc>
        <w:tc>
          <w:tcPr>
            <w:tcW w:w="1939" w:type="dxa"/>
          </w:tcPr>
          <w:p w:rsidR="000D733F" w:rsidRPr="00071B95" w:rsidRDefault="000D733F" w:rsidP="000D733F">
            <w:pPr>
              <w:pStyle w:val="TableTextEntries"/>
            </w:pPr>
          </w:p>
        </w:tc>
        <w:tc>
          <w:tcPr>
            <w:tcW w:w="1921" w:type="dxa"/>
          </w:tcPr>
          <w:p w:rsidR="000D733F" w:rsidRPr="00071B95" w:rsidRDefault="000D733F" w:rsidP="000D733F">
            <w:pPr>
              <w:pStyle w:val="TableTextEntries"/>
            </w:pPr>
          </w:p>
        </w:tc>
        <w:tc>
          <w:tcPr>
            <w:tcW w:w="1743" w:type="dxa"/>
          </w:tcPr>
          <w:p w:rsidR="000D733F" w:rsidRPr="00071B95" w:rsidRDefault="000D733F" w:rsidP="000D733F">
            <w:pPr>
              <w:pStyle w:val="TableTextEntries"/>
            </w:pPr>
          </w:p>
        </w:tc>
        <w:tc>
          <w:tcPr>
            <w:tcW w:w="1503" w:type="dxa"/>
          </w:tcPr>
          <w:p w:rsidR="000D733F" w:rsidRPr="00071B95" w:rsidRDefault="000D733F" w:rsidP="000D733F">
            <w:pPr>
              <w:pStyle w:val="TableTextEntries"/>
            </w:pPr>
          </w:p>
        </w:tc>
      </w:tr>
    </w:tbl>
    <w:p w:rsidR="000D733F" w:rsidRPr="00071B95" w:rsidRDefault="000D733F" w:rsidP="000D733F">
      <w:pPr>
        <w:rPr>
          <w:b/>
        </w:rPr>
      </w:pPr>
    </w:p>
    <w:p w:rsidR="000D733F" w:rsidRPr="00071B95" w:rsidRDefault="000D733F" w:rsidP="000D733F">
      <w:pPr>
        <w:pStyle w:val="Caption"/>
      </w:pPr>
      <w:r w:rsidRPr="00071B95">
        <w:t xml:space="preserve">List of evaluations planned in the next 12 months </w:t>
      </w:r>
    </w:p>
    <w:p w:rsidR="000D733F" w:rsidRDefault="000D733F" w:rsidP="000D733F">
      <w:pPr>
        <w:pStyle w:val="TableTextColumnHeading"/>
        <w:sectPr w:rsidR="000D733F" w:rsidSect="00CD061B">
          <w:headerReference w:type="even" r:id="rId18"/>
          <w:footerReference w:type="first" r:id="rId19"/>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071B95" w:rsidRDefault="000D733F" w:rsidP="000D733F">
            <w:pPr>
              <w:pStyle w:val="TableTextColumnHeading"/>
            </w:pPr>
            <w:r w:rsidRPr="00071B95">
              <w:lastRenderedPageBreak/>
              <w:t xml:space="preserve">Name of </w:t>
            </w:r>
            <w:r w:rsidR="00501CD2">
              <w:t>Investment</w:t>
            </w:r>
          </w:p>
        </w:tc>
        <w:tc>
          <w:tcPr>
            <w:tcW w:w="2530" w:type="dxa"/>
          </w:tcPr>
          <w:p w:rsidR="000D733F" w:rsidRPr="00071B95" w:rsidRDefault="000D733F" w:rsidP="000D733F">
            <w:pPr>
              <w:pStyle w:val="TableTextColumnHeading"/>
            </w:pPr>
            <w:r w:rsidRPr="00071B95">
              <w:t>Aidworks number</w:t>
            </w:r>
          </w:p>
        </w:tc>
        <w:tc>
          <w:tcPr>
            <w:tcW w:w="2612" w:type="dxa"/>
          </w:tcPr>
          <w:p w:rsidR="000D733F" w:rsidRPr="00071B95" w:rsidRDefault="000D733F" w:rsidP="000D733F">
            <w:pPr>
              <w:pStyle w:val="TableTextColumnHeading"/>
            </w:pPr>
            <w:r w:rsidRPr="00071B95">
              <w:t>Type of evaluation</w:t>
            </w:r>
          </w:p>
        </w:tc>
        <w:tc>
          <w:tcPr>
            <w:tcW w:w="2612" w:type="dxa"/>
          </w:tcPr>
          <w:p w:rsidR="000D733F" w:rsidRPr="00071B95" w:rsidRDefault="000D733F" w:rsidP="000D733F">
            <w:pPr>
              <w:pStyle w:val="TableTextColumnHeading"/>
            </w:pPr>
            <w:r w:rsidRPr="00071B95">
              <w:t>Purpose of evaluation</w:t>
            </w:r>
          </w:p>
        </w:tc>
        <w:tc>
          <w:tcPr>
            <w:tcW w:w="2617" w:type="dxa"/>
          </w:tcPr>
          <w:p w:rsidR="000D733F" w:rsidRPr="00071B95" w:rsidRDefault="000D733F" w:rsidP="000D733F">
            <w:pPr>
              <w:pStyle w:val="TableTextColumnHeading"/>
            </w:pPr>
            <w:r w:rsidRPr="00071B95">
              <w:t>Expected completion date</w:t>
            </w:r>
          </w:p>
        </w:tc>
      </w:tr>
      <w:tr w:rsidR="000D733F" w:rsidRPr="00071B95" w:rsidTr="000D733F">
        <w:tc>
          <w:tcPr>
            <w:tcW w:w="2601" w:type="dxa"/>
          </w:tcPr>
          <w:p w:rsidR="000D733F" w:rsidRDefault="008744BF" w:rsidP="008744BF">
            <w:pPr>
              <w:pStyle w:val="TableTextEntries"/>
            </w:pPr>
            <w:r>
              <w:t>Good governance and economic stability: Policy Reform Matrix</w:t>
            </w:r>
            <w:r w:rsidR="009C02C2">
              <w:t xml:space="preserve"> – Incentive Budget Support Program</w:t>
            </w:r>
          </w:p>
          <w:p w:rsidR="009C02C2" w:rsidRDefault="009C02C2" w:rsidP="008744BF">
            <w:pPr>
              <w:pStyle w:val="TableTextEntries"/>
            </w:pPr>
          </w:p>
          <w:p w:rsidR="009C02C2" w:rsidRDefault="009C02C2" w:rsidP="008744BF">
            <w:pPr>
              <w:pStyle w:val="TableTextEntries"/>
            </w:pPr>
            <w:r>
              <w:t>Assessment of National Systems (ANS)</w:t>
            </w:r>
          </w:p>
          <w:p w:rsidR="008744BF" w:rsidRDefault="008744BF" w:rsidP="008744BF">
            <w:pPr>
              <w:pStyle w:val="TableTextEntries"/>
            </w:pPr>
          </w:p>
          <w:p w:rsidR="008744BF" w:rsidRDefault="008744BF" w:rsidP="008744BF">
            <w:pPr>
              <w:pStyle w:val="TableTextEntries"/>
            </w:pPr>
            <w:r>
              <w:t xml:space="preserve">Achieving education for all in Tuvalu </w:t>
            </w:r>
          </w:p>
          <w:p w:rsidR="009C02C2" w:rsidRDefault="009C02C2" w:rsidP="008744BF">
            <w:pPr>
              <w:pStyle w:val="TableTextEntries"/>
            </w:pPr>
          </w:p>
          <w:p w:rsidR="009C02C2" w:rsidRPr="003275D0" w:rsidRDefault="009C02C2" w:rsidP="008744BF">
            <w:pPr>
              <w:pStyle w:val="TableTextEntries"/>
            </w:pPr>
          </w:p>
        </w:tc>
        <w:tc>
          <w:tcPr>
            <w:tcW w:w="2530" w:type="dxa"/>
          </w:tcPr>
          <w:p w:rsidR="000D733F" w:rsidRDefault="009C02C2" w:rsidP="003275D0">
            <w:pPr>
              <w:pStyle w:val="TableTextEntries"/>
            </w:pPr>
            <w:r>
              <w:t>INJ899</w:t>
            </w:r>
          </w:p>
          <w:p w:rsidR="009C02C2" w:rsidRDefault="009C02C2" w:rsidP="003275D0">
            <w:pPr>
              <w:pStyle w:val="TableTextEntries"/>
            </w:pPr>
          </w:p>
          <w:p w:rsidR="009C02C2" w:rsidRDefault="009C02C2" w:rsidP="003275D0">
            <w:pPr>
              <w:pStyle w:val="TableTextEntries"/>
            </w:pPr>
          </w:p>
          <w:p w:rsidR="009C02C2" w:rsidRDefault="009C02C2" w:rsidP="003275D0">
            <w:pPr>
              <w:pStyle w:val="TableTextEntries"/>
            </w:pPr>
          </w:p>
          <w:p w:rsidR="009C02C2" w:rsidRDefault="009C02C2" w:rsidP="003275D0">
            <w:pPr>
              <w:pStyle w:val="TableTextEntries"/>
            </w:pPr>
          </w:p>
          <w:p w:rsidR="0086598B" w:rsidRDefault="0086598B" w:rsidP="003275D0">
            <w:pPr>
              <w:pStyle w:val="TableTextEntries"/>
            </w:pPr>
          </w:p>
          <w:p w:rsidR="009C02C2" w:rsidRDefault="009C02C2" w:rsidP="003275D0">
            <w:pPr>
              <w:pStyle w:val="TableTextEntries"/>
            </w:pPr>
          </w:p>
          <w:p w:rsidR="009C02C2" w:rsidRDefault="009C02C2" w:rsidP="003275D0">
            <w:pPr>
              <w:pStyle w:val="TableTextEntries"/>
            </w:pPr>
          </w:p>
          <w:p w:rsidR="009C02C2" w:rsidRPr="003275D0" w:rsidRDefault="009C02C2" w:rsidP="003275D0">
            <w:pPr>
              <w:pStyle w:val="TableTextEntries"/>
            </w:pPr>
            <w:r>
              <w:t>INJ878</w:t>
            </w:r>
          </w:p>
        </w:tc>
        <w:tc>
          <w:tcPr>
            <w:tcW w:w="2612" w:type="dxa"/>
          </w:tcPr>
          <w:p w:rsidR="000D733F" w:rsidRDefault="008744BF" w:rsidP="003275D0">
            <w:pPr>
              <w:pStyle w:val="TableTextEntries"/>
            </w:pPr>
            <w:r>
              <w:t>Mid-term review</w:t>
            </w:r>
          </w:p>
          <w:p w:rsidR="009C02C2" w:rsidRDefault="009C02C2" w:rsidP="003275D0">
            <w:pPr>
              <w:pStyle w:val="TableTextEntries"/>
            </w:pPr>
          </w:p>
          <w:p w:rsidR="009C02C2" w:rsidRDefault="009C02C2" w:rsidP="003275D0">
            <w:pPr>
              <w:pStyle w:val="TableTextEntries"/>
            </w:pPr>
          </w:p>
          <w:p w:rsidR="009C02C2" w:rsidRDefault="009C02C2" w:rsidP="003275D0">
            <w:pPr>
              <w:pStyle w:val="TableTextEntries"/>
            </w:pPr>
          </w:p>
          <w:p w:rsidR="009C02C2" w:rsidRDefault="009C02C2" w:rsidP="003275D0">
            <w:pPr>
              <w:pStyle w:val="TableTextEntries"/>
            </w:pPr>
            <w:r>
              <w:t>Review and update of ANS</w:t>
            </w:r>
          </w:p>
          <w:p w:rsidR="0086598B" w:rsidRDefault="0086598B" w:rsidP="003275D0">
            <w:pPr>
              <w:pStyle w:val="TableTextEntries"/>
            </w:pPr>
          </w:p>
          <w:p w:rsidR="009C02C2" w:rsidRDefault="009C02C2" w:rsidP="003275D0">
            <w:pPr>
              <w:pStyle w:val="TableTextEntries"/>
            </w:pPr>
          </w:p>
          <w:p w:rsidR="009C02C2" w:rsidRDefault="009C02C2" w:rsidP="003275D0">
            <w:pPr>
              <w:pStyle w:val="TableTextEntries"/>
            </w:pPr>
          </w:p>
          <w:p w:rsidR="009C02C2" w:rsidRPr="003275D0" w:rsidRDefault="009C02C2" w:rsidP="003275D0">
            <w:pPr>
              <w:pStyle w:val="TableTextEntries"/>
            </w:pPr>
            <w:r>
              <w:t>Mid-term review</w:t>
            </w:r>
          </w:p>
        </w:tc>
        <w:tc>
          <w:tcPr>
            <w:tcW w:w="2612" w:type="dxa"/>
          </w:tcPr>
          <w:p w:rsidR="000D733F" w:rsidRDefault="000D733F" w:rsidP="008744BF">
            <w:pPr>
              <w:pStyle w:val="TableTextEntries"/>
            </w:pPr>
            <w:r w:rsidRPr="003275D0">
              <w:t xml:space="preserve">To inform a future phase of </w:t>
            </w:r>
            <w:r w:rsidR="008744BF">
              <w:t xml:space="preserve">the </w:t>
            </w:r>
            <w:r w:rsidRPr="003275D0">
              <w:t>program</w:t>
            </w:r>
          </w:p>
          <w:p w:rsidR="009C02C2" w:rsidRDefault="009C02C2" w:rsidP="008744BF">
            <w:pPr>
              <w:pStyle w:val="TableTextEntries"/>
            </w:pPr>
          </w:p>
          <w:p w:rsidR="009C02C2" w:rsidRDefault="009C02C2" w:rsidP="008744BF">
            <w:pPr>
              <w:pStyle w:val="TableTextEntries"/>
            </w:pPr>
          </w:p>
          <w:p w:rsidR="009C02C2" w:rsidRDefault="0086598B" w:rsidP="008744BF">
            <w:pPr>
              <w:pStyle w:val="TableTextEntries"/>
            </w:pPr>
            <w:r>
              <w:t xml:space="preserve">To inform and update mitigation strategies on fiduciary risks working through partner </w:t>
            </w:r>
            <w:r w:rsidR="003528C8">
              <w:t xml:space="preserve">government </w:t>
            </w:r>
            <w:r>
              <w:t>systems</w:t>
            </w:r>
          </w:p>
          <w:p w:rsidR="009C02C2" w:rsidRDefault="009C02C2" w:rsidP="008744BF">
            <w:pPr>
              <w:pStyle w:val="TableTextEntries"/>
            </w:pPr>
          </w:p>
          <w:p w:rsidR="009C02C2" w:rsidRPr="003275D0" w:rsidRDefault="009C02C2" w:rsidP="008744BF">
            <w:pPr>
              <w:pStyle w:val="TableTextEntries"/>
              <w:rPr>
                <w:color w:val="000000" w:themeColor="text1" w:themeShade="BF"/>
              </w:rPr>
            </w:pPr>
            <w:r>
              <w:t>To inform future programming</w:t>
            </w:r>
          </w:p>
        </w:tc>
        <w:tc>
          <w:tcPr>
            <w:tcW w:w="2617" w:type="dxa"/>
          </w:tcPr>
          <w:p w:rsidR="000D733F" w:rsidRDefault="008744BF" w:rsidP="009C02C2">
            <w:pPr>
              <w:pStyle w:val="TableTextEntries"/>
            </w:pPr>
            <w:r>
              <w:t xml:space="preserve">April 2015 </w:t>
            </w:r>
            <w:r w:rsidR="009C02C2">
              <w:t>(tbc)</w:t>
            </w:r>
          </w:p>
          <w:p w:rsidR="009C02C2" w:rsidRDefault="009C02C2" w:rsidP="009C02C2">
            <w:pPr>
              <w:pStyle w:val="TableTextEntries"/>
            </w:pPr>
          </w:p>
          <w:p w:rsidR="009C02C2" w:rsidRDefault="009C02C2" w:rsidP="009C02C2">
            <w:pPr>
              <w:pStyle w:val="TableTextEntries"/>
            </w:pPr>
          </w:p>
          <w:p w:rsidR="009C02C2" w:rsidRDefault="009C02C2" w:rsidP="009C02C2">
            <w:pPr>
              <w:pStyle w:val="TableTextEntries"/>
            </w:pPr>
          </w:p>
          <w:p w:rsidR="0086598B" w:rsidRDefault="0086598B" w:rsidP="009C02C2">
            <w:pPr>
              <w:pStyle w:val="TableTextEntries"/>
            </w:pPr>
            <w:r>
              <w:t>October 2014 (tbc)</w:t>
            </w:r>
          </w:p>
          <w:p w:rsidR="009C02C2" w:rsidRDefault="009C02C2" w:rsidP="009C02C2">
            <w:pPr>
              <w:pStyle w:val="TableTextEntries"/>
            </w:pPr>
          </w:p>
          <w:p w:rsidR="009C02C2" w:rsidRDefault="009C02C2" w:rsidP="009C02C2">
            <w:pPr>
              <w:pStyle w:val="TableTextEntries"/>
            </w:pPr>
          </w:p>
          <w:p w:rsidR="009C02C2" w:rsidRDefault="009C02C2" w:rsidP="009C02C2">
            <w:pPr>
              <w:pStyle w:val="TableTextEntries"/>
            </w:pPr>
          </w:p>
          <w:p w:rsidR="009C02C2" w:rsidRDefault="009C02C2" w:rsidP="009C02C2">
            <w:pPr>
              <w:pStyle w:val="TableTextEntries"/>
            </w:pPr>
            <w:r>
              <w:t>October 2014</w:t>
            </w:r>
          </w:p>
          <w:p w:rsidR="009C02C2" w:rsidRPr="003275D0" w:rsidRDefault="009C02C2" w:rsidP="009C02C2">
            <w:pPr>
              <w:pStyle w:val="TableTextEntries"/>
            </w:pPr>
          </w:p>
        </w:tc>
      </w:tr>
    </w:tbl>
    <w:p w:rsidR="000D733F" w:rsidRDefault="000D733F" w:rsidP="000D733F">
      <w:pPr>
        <w:rPr>
          <w:b/>
        </w:rPr>
        <w:sectPr w:rsidR="000D733F"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lastRenderedPageBreak/>
        <w:t>Annex D</w:t>
      </w:r>
    </w:p>
    <w:p w:rsidR="000D733F" w:rsidRDefault="00680B8B" w:rsidP="00AE7C99">
      <w:pPr>
        <w:pStyle w:val="Heading2"/>
      </w:pPr>
      <w:r>
        <w:rPr>
          <w:sz w:val="28"/>
        </w:rPr>
        <w:t xml:space="preserve">Tuvalu </w:t>
      </w:r>
      <w:r w:rsidR="00D31710">
        <w:rPr>
          <w:sz w:val="28"/>
        </w:rPr>
        <w:t xml:space="preserve">- </w:t>
      </w:r>
      <w:r w:rsidR="000D733F" w:rsidRPr="009E38C1">
        <w:rPr>
          <w:sz w:val="28"/>
        </w:rPr>
        <w:t>Performance Benchmarks 2014 -15</w:t>
      </w:r>
    </w:p>
    <w:tbl>
      <w:tblPr>
        <w:tblStyle w:val="DFATTable"/>
        <w:tblW w:w="5000" w:type="pct"/>
        <w:tblLook w:val="04A0" w:firstRow="1" w:lastRow="0" w:firstColumn="1" w:lastColumn="0" w:noHBand="0" w:noVBand="1"/>
      </w:tblPr>
      <w:tblGrid>
        <w:gridCol w:w="3301"/>
        <w:gridCol w:w="3301"/>
        <w:gridCol w:w="7279"/>
      </w:tblGrid>
      <w:tr w:rsidR="000D733F" w:rsidRPr="004F7D80" w:rsidTr="000D733F">
        <w:trPr>
          <w:tblHeader/>
        </w:trPr>
        <w:tc>
          <w:tcPr>
            <w:tcW w:w="1189" w:type="pct"/>
            <w:tcMar>
              <w:top w:w="57" w:type="dxa"/>
              <w:bottom w:w="57" w:type="dxa"/>
            </w:tcMar>
          </w:tcPr>
          <w:p w:rsidR="000D733F" w:rsidRPr="002749B6" w:rsidRDefault="00736D2D">
            <w:pPr>
              <w:pStyle w:val="TableHeading1"/>
            </w:pPr>
            <w:r>
              <w:t>Aid</w:t>
            </w:r>
            <w:r w:rsidR="000D733F" w:rsidRPr="002749B6">
              <w:t xml:space="preserve"> objective</w:t>
            </w:r>
          </w:p>
        </w:tc>
        <w:tc>
          <w:tcPr>
            <w:tcW w:w="1189" w:type="pct"/>
          </w:tcPr>
          <w:p w:rsidR="000D733F" w:rsidRPr="002749B6" w:rsidRDefault="000D733F" w:rsidP="000D733F">
            <w:pPr>
              <w:pStyle w:val="TableHeading1"/>
            </w:pPr>
            <w:r w:rsidRPr="002749B6">
              <w:t xml:space="preserve">2014-15 benchmark </w:t>
            </w:r>
          </w:p>
        </w:tc>
        <w:tc>
          <w:tcPr>
            <w:tcW w:w="2622" w:type="pct"/>
          </w:tcPr>
          <w:p w:rsidR="000D733F" w:rsidRPr="002749B6" w:rsidRDefault="000D733F" w:rsidP="000D733F">
            <w:pPr>
              <w:pStyle w:val="TableHeading1"/>
            </w:pPr>
            <w:r w:rsidRPr="002749B6">
              <w:t>Rationale for selecting this performance benchmark</w:t>
            </w:r>
          </w:p>
        </w:tc>
      </w:tr>
      <w:tr w:rsidR="000D733F" w:rsidRPr="004F7D80" w:rsidTr="000D733F">
        <w:tc>
          <w:tcPr>
            <w:tcW w:w="1189" w:type="pct"/>
            <w:tcMar>
              <w:top w:w="57" w:type="dxa"/>
              <w:bottom w:w="57" w:type="dxa"/>
            </w:tcMar>
          </w:tcPr>
          <w:p w:rsidR="000D733F" w:rsidRDefault="00B932EA" w:rsidP="000D733F">
            <w:pPr>
              <w:pStyle w:val="TableTextEntries"/>
            </w:pPr>
            <w:r>
              <w:t>Good governance, economic growth and stability</w:t>
            </w:r>
          </w:p>
          <w:p w:rsidR="00B932EA" w:rsidRDefault="00B932EA" w:rsidP="000D733F">
            <w:pPr>
              <w:pStyle w:val="TableTextEntries"/>
            </w:pPr>
          </w:p>
          <w:p w:rsidR="00B932EA" w:rsidRDefault="00B932EA" w:rsidP="000D733F">
            <w:pPr>
              <w:pStyle w:val="TableTextEntries"/>
            </w:pPr>
          </w:p>
          <w:p w:rsidR="00B932EA" w:rsidRDefault="00B932EA" w:rsidP="000D733F">
            <w:pPr>
              <w:pStyle w:val="TableTextEntries"/>
            </w:pPr>
          </w:p>
          <w:p w:rsidR="00FA6CA4" w:rsidRDefault="00FA6CA4" w:rsidP="000D733F">
            <w:pPr>
              <w:pStyle w:val="TableTextEntries"/>
            </w:pPr>
          </w:p>
          <w:p w:rsidR="00FA6CA4" w:rsidRDefault="00FA6CA4" w:rsidP="000D733F">
            <w:pPr>
              <w:pStyle w:val="TableTextEntries"/>
            </w:pPr>
          </w:p>
          <w:p w:rsidR="00FA6CA4" w:rsidRDefault="00FA6CA4" w:rsidP="000D733F">
            <w:pPr>
              <w:pStyle w:val="TableTextEntries"/>
            </w:pPr>
          </w:p>
          <w:p w:rsidR="00D97232" w:rsidRPr="002749B6" w:rsidRDefault="00D97232" w:rsidP="000D733F">
            <w:pPr>
              <w:pStyle w:val="TableTextEntries"/>
            </w:pPr>
          </w:p>
        </w:tc>
        <w:tc>
          <w:tcPr>
            <w:tcW w:w="1189" w:type="pct"/>
          </w:tcPr>
          <w:p w:rsidR="00B932EA" w:rsidRDefault="00B932EA" w:rsidP="000D733F">
            <w:pPr>
              <w:pStyle w:val="TableTextEntries"/>
            </w:pPr>
            <w:r>
              <w:t xml:space="preserve">Australia’s technical assistance </w:t>
            </w:r>
            <w:r w:rsidR="00D83711">
              <w:t xml:space="preserve">achieves </w:t>
            </w:r>
            <w:r>
              <w:t>measurable improvements in key performance outcomes of the Government of Tuvalu</w:t>
            </w:r>
            <w:r w:rsidR="004D4D8A">
              <w:t xml:space="preserve"> on budget, Treasury, procurement</w:t>
            </w:r>
            <w:r w:rsidR="00204CC1">
              <w:t>, audits</w:t>
            </w:r>
            <w:r w:rsidR="004D4D8A">
              <w:t xml:space="preserve"> and reporting.</w:t>
            </w:r>
          </w:p>
          <w:p w:rsidR="00FA6CA4" w:rsidRDefault="00FA6CA4" w:rsidP="000D733F">
            <w:pPr>
              <w:pStyle w:val="TableTextEntries"/>
            </w:pPr>
          </w:p>
          <w:p w:rsidR="00FA6CA4" w:rsidRDefault="00FA6CA4" w:rsidP="000D733F">
            <w:pPr>
              <w:pStyle w:val="TableTextEntries"/>
            </w:pPr>
            <w:r>
              <w:t xml:space="preserve">A set of targets are agreed for Policy Reform Matrix phase 3 </w:t>
            </w:r>
            <w:r w:rsidR="00726F85">
              <w:t>and expected progress is made against these by June 2015.</w:t>
            </w:r>
          </w:p>
          <w:p w:rsidR="00B5093D" w:rsidRPr="002749B6" w:rsidRDefault="00B5093D" w:rsidP="00AE7C99">
            <w:pPr>
              <w:pStyle w:val="TableTextEntries"/>
            </w:pPr>
          </w:p>
        </w:tc>
        <w:tc>
          <w:tcPr>
            <w:tcW w:w="2622" w:type="pct"/>
          </w:tcPr>
          <w:p w:rsidR="00B932EA" w:rsidRDefault="00B932EA" w:rsidP="000D733F">
            <w:pPr>
              <w:pStyle w:val="TableTextEntries"/>
            </w:pPr>
            <w:r>
              <w:t xml:space="preserve">Australia is providing five technical advisers to Tuvalu to support a range of areas that are important for good governance and economic growth. </w:t>
            </w:r>
            <w:r w:rsidR="00FA6CA4">
              <w:t>The performance of the advisers as well as the actions of the Government of Tuvalu are key to maximising this investment and ensuring that technical assistance translates into better performance in budgeting, auditing, tax collection, financial management and public sector performance.</w:t>
            </w:r>
          </w:p>
          <w:p w:rsidR="00FA6CA4" w:rsidRDefault="00FA6CA4" w:rsidP="000D733F">
            <w:pPr>
              <w:pStyle w:val="TableTextEntries"/>
            </w:pPr>
          </w:p>
          <w:p w:rsidR="00D97232" w:rsidRDefault="00FA6CA4" w:rsidP="000D733F">
            <w:pPr>
              <w:pStyle w:val="TableTextEntries"/>
            </w:pPr>
            <w:r>
              <w:t>Through the Policy Reform Matrix program, donors incentive reforms that are led and implemented by the Government of Tuvalu. Agreeing on the next key set of reforms to be achieved by the end of 2015 is the next step in this critical program</w:t>
            </w:r>
            <w:r w:rsidR="00680B8B">
              <w:t>.</w:t>
            </w:r>
          </w:p>
          <w:p w:rsidR="00D97232" w:rsidRPr="002749B6" w:rsidRDefault="00D97232" w:rsidP="000D733F">
            <w:pPr>
              <w:pStyle w:val="TableTextEntries"/>
            </w:pPr>
          </w:p>
        </w:tc>
      </w:tr>
      <w:tr w:rsidR="00680B8B" w:rsidRPr="004F7D80" w:rsidTr="000D733F">
        <w:tc>
          <w:tcPr>
            <w:tcW w:w="1189" w:type="pct"/>
            <w:tcMar>
              <w:top w:w="57" w:type="dxa"/>
              <w:bottom w:w="57" w:type="dxa"/>
            </w:tcMar>
          </w:tcPr>
          <w:p w:rsidR="00680B8B" w:rsidRDefault="00680B8B" w:rsidP="00680B8B">
            <w:pPr>
              <w:pStyle w:val="TableTextEntries"/>
            </w:pPr>
            <w:r>
              <w:t>Improved education outcomes at early learning and primary school levels</w:t>
            </w:r>
          </w:p>
          <w:p w:rsidR="00680B8B" w:rsidRDefault="00680B8B" w:rsidP="000D733F">
            <w:pPr>
              <w:pStyle w:val="TableTextEntries"/>
            </w:pPr>
          </w:p>
        </w:tc>
        <w:tc>
          <w:tcPr>
            <w:tcW w:w="1189" w:type="pct"/>
          </w:tcPr>
          <w:p w:rsidR="00680B8B" w:rsidRDefault="00680B8B" w:rsidP="00680B8B">
            <w:pPr>
              <w:pStyle w:val="TableTextEntries"/>
            </w:pPr>
            <w:r>
              <w:t>All primary schools and early learning centres in Tuvalu have</w:t>
            </w:r>
            <w:r w:rsidR="004D4D8A">
              <w:t xml:space="preserve"> progressed</w:t>
            </w:r>
            <w:r>
              <w:t xml:space="preserve"> </w:t>
            </w:r>
            <w:r w:rsidR="004D4D8A">
              <w:t xml:space="preserve">implementation of </w:t>
            </w:r>
            <w:r>
              <w:t>their school improvement plans.</w:t>
            </w:r>
          </w:p>
          <w:p w:rsidR="00680B8B" w:rsidDel="00726F85" w:rsidRDefault="00680B8B" w:rsidP="000D733F">
            <w:pPr>
              <w:pStyle w:val="TableTextEntries"/>
            </w:pPr>
          </w:p>
        </w:tc>
        <w:tc>
          <w:tcPr>
            <w:tcW w:w="2622" w:type="pct"/>
          </w:tcPr>
          <w:p w:rsidR="00680B8B" w:rsidRDefault="00680B8B" w:rsidP="00680B8B">
            <w:pPr>
              <w:pStyle w:val="TableTextEntries"/>
            </w:pPr>
            <w:r>
              <w:t>Australia is providing funds to early learning centres and primary schools in Tuvalu, which are designed to help schools identify what improvements need to be made to these schools and centres and use the funds to implement activities that will achieve some of these improvements.</w:t>
            </w:r>
          </w:p>
          <w:p w:rsidR="00680B8B" w:rsidDel="00680B8B" w:rsidRDefault="00680B8B" w:rsidP="000D733F">
            <w:pPr>
              <w:pStyle w:val="TableTextEntries"/>
            </w:pPr>
          </w:p>
        </w:tc>
      </w:tr>
      <w:tr w:rsidR="00680B8B" w:rsidRPr="004F7D80" w:rsidTr="000D733F">
        <w:tc>
          <w:tcPr>
            <w:tcW w:w="1189" w:type="pct"/>
            <w:tcMar>
              <w:top w:w="57" w:type="dxa"/>
              <w:bottom w:w="57" w:type="dxa"/>
            </w:tcMar>
          </w:tcPr>
          <w:p w:rsidR="00680B8B" w:rsidRDefault="00680B8B" w:rsidP="00680B8B">
            <w:pPr>
              <w:pStyle w:val="TableTextEntries"/>
            </w:pPr>
            <w:r>
              <w:t>Increased technical skills in key areas required to support national development and public sector performance</w:t>
            </w:r>
          </w:p>
          <w:p w:rsidR="00680B8B" w:rsidRDefault="00680B8B" w:rsidP="000D733F">
            <w:pPr>
              <w:pStyle w:val="TableTextEntries"/>
            </w:pPr>
          </w:p>
        </w:tc>
        <w:tc>
          <w:tcPr>
            <w:tcW w:w="1189" w:type="pct"/>
          </w:tcPr>
          <w:p w:rsidR="00680B8B" w:rsidRDefault="00680B8B" w:rsidP="00680B8B">
            <w:pPr>
              <w:pStyle w:val="TableTextEntries"/>
            </w:pPr>
            <w:r>
              <w:t>At least 16 scholarships provided through the Australia Awards</w:t>
            </w:r>
          </w:p>
          <w:p w:rsidR="00680B8B" w:rsidDel="00726F85" w:rsidRDefault="00680B8B" w:rsidP="000D733F">
            <w:pPr>
              <w:pStyle w:val="TableTextEntries"/>
            </w:pPr>
          </w:p>
        </w:tc>
        <w:tc>
          <w:tcPr>
            <w:tcW w:w="2622" w:type="pct"/>
          </w:tcPr>
          <w:p w:rsidR="00680B8B" w:rsidRDefault="00680B8B" w:rsidP="00680B8B">
            <w:pPr>
              <w:pStyle w:val="TableTextEntries"/>
            </w:pPr>
            <w:r>
              <w:t>Australia will continue to support skills development in Tuvalu in both public and private sectors through the scholarships program. With no tertiary institution of its own, Tuvalu relies on sending its scholars overseas and Australia is the largest provider of scholarships.</w:t>
            </w:r>
          </w:p>
          <w:p w:rsidR="00680B8B" w:rsidDel="00680B8B" w:rsidRDefault="00680B8B" w:rsidP="000D733F">
            <w:pPr>
              <w:pStyle w:val="TableTextEntries"/>
            </w:pPr>
          </w:p>
        </w:tc>
      </w:tr>
      <w:bookmarkEnd w:id="2"/>
    </w:tbl>
    <w:p w:rsidR="008744BF" w:rsidRPr="00D97232" w:rsidRDefault="008744BF" w:rsidP="00D97232">
      <w:pPr>
        <w:rPr>
          <w:color w:val="00B050"/>
          <w:highlight w:val="yellow"/>
        </w:rPr>
      </w:pPr>
    </w:p>
    <w:sectPr w:rsidR="008744BF" w:rsidRPr="00D97232" w:rsidSect="001C745A">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15" w:rsidRDefault="00071A15" w:rsidP="0050529F">
      <w:r>
        <w:separator/>
      </w:r>
    </w:p>
    <w:p w:rsidR="00071A15" w:rsidRDefault="00071A15"/>
    <w:p w:rsidR="00071A15" w:rsidRDefault="00071A15"/>
    <w:p w:rsidR="00071A15" w:rsidRDefault="00071A15"/>
    <w:p w:rsidR="00071A15" w:rsidRDefault="00071A15"/>
    <w:p w:rsidR="00071A15" w:rsidRDefault="00071A15"/>
    <w:p w:rsidR="00071A15" w:rsidRDefault="00071A15"/>
  </w:endnote>
  <w:endnote w:type="continuationSeparator" w:id="0">
    <w:p w:rsidR="00071A15" w:rsidRDefault="00071A15" w:rsidP="0050529F">
      <w:r>
        <w:continuationSeparator/>
      </w:r>
    </w:p>
    <w:p w:rsidR="00071A15" w:rsidRDefault="00071A15"/>
    <w:p w:rsidR="00071A15" w:rsidRDefault="00071A15"/>
    <w:p w:rsidR="00071A15" w:rsidRDefault="00071A15"/>
    <w:p w:rsidR="00071A15" w:rsidRDefault="00071A15"/>
    <w:p w:rsidR="00071A15" w:rsidRDefault="00071A15"/>
    <w:p w:rsidR="00071A15" w:rsidRDefault="00071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C8" w:rsidRPr="0091071F" w:rsidRDefault="003528C8" w:rsidP="000D733F">
    <w:pPr>
      <w:pStyle w:val="Footer"/>
    </w:pPr>
    <w:r w:rsidRPr="0091071F">
      <w:fldChar w:fldCharType="begin"/>
    </w:r>
    <w:r w:rsidRPr="0091071F">
      <w:instrText xml:space="preserve"> PAGE </w:instrText>
    </w:r>
    <w:r w:rsidRPr="0091071F">
      <w:fldChar w:fldCharType="separate"/>
    </w:r>
    <w:r>
      <w:rPr>
        <w:noProof/>
      </w:rPr>
      <w:t>24</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C8" w:rsidRPr="0091071F" w:rsidRDefault="003528C8" w:rsidP="000D733F">
    <w:pPr>
      <w:pStyle w:val="Footer"/>
    </w:pPr>
    <w:r>
      <w:tab/>
    </w:r>
    <w:r>
      <w:tab/>
    </w:r>
    <w:r w:rsidR="00D1514D">
      <w:fldChar w:fldCharType="begin"/>
    </w:r>
    <w:r w:rsidR="00D1514D">
      <w:instrText xml:space="preserve"> STYLEREF Title \* MERGEFORMAT </w:instrText>
    </w:r>
    <w:r w:rsidR="00D1514D">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D1514D">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4D" w:rsidRDefault="00D151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C8" w:rsidRPr="004C4A3E" w:rsidRDefault="003528C8"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269F24F1" wp14:editId="4258F057">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24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69091BAF" wp14:editId="1D77FFDD">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1F9F7B5B" wp14:editId="444C2322">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15" w:rsidRDefault="00071A15" w:rsidP="00396E05">
      <w:r>
        <w:separator/>
      </w:r>
    </w:p>
  </w:footnote>
  <w:footnote w:type="continuationSeparator" w:id="0">
    <w:p w:rsidR="00071A15" w:rsidRDefault="00071A15" w:rsidP="0050529F">
      <w:r>
        <w:continuationSeparator/>
      </w:r>
    </w:p>
    <w:p w:rsidR="00071A15" w:rsidRDefault="00071A15"/>
    <w:p w:rsidR="00071A15" w:rsidRDefault="00071A15"/>
    <w:p w:rsidR="00071A15" w:rsidRDefault="00071A15"/>
    <w:p w:rsidR="00071A15" w:rsidRDefault="00071A15"/>
    <w:p w:rsidR="00071A15" w:rsidRDefault="00071A15"/>
    <w:p w:rsidR="00071A15" w:rsidRDefault="00071A15"/>
  </w:footnote>
  <w:footnote w:id="1">
    <w:p w:rsidR="003528C8" w:rsidRDefault="003528C8" w:rsidP="00F0095A">
      <w:pPr>
        <w:pStyle w:val="FootnoteText"/>
      </w:pPr>
      <w:r>
        <w:rPr>
          <w:rStyle w:val="FootnoteReference"/>
        </w:rPr>
        <w:footnoteRef/>
      </w:r>
      <w:r>
        <w:t xml:space="preserve"> Bureau of Meteorology and Commonwealth Scientific and Industrial Research Organisation 2011, ‘Climate Change in the Pacific Scientific Assessment and New Research Volume 2: Country Reports’, Canberra.</w:t>
      </w:r>
    </w:p>
  </w:footnote>
  <w:footnote w:id="2">
    <w:p w:rsidR="003528C8" w:rsidRDefault="003528C8" w:rsidP="00F0095A">
      <w:pPr>
        <w:pStyle w:val="FootnoteText"/>
      </w:pPr>
      <w:r>
        <w:rPr>
          <w:rStyle w:val="FootnoteReference"/>
        </w:rPr>
        <w:footnoteRef/>
      </w:r>
      <w:r>
        <w:t xml:space="preserve"> Tuvalu Government 2013, ‘National Budget 2013’; Pacific Islands Forum Secretariat (PIFS) 2012, ‘Pacific Regional MDG Tracking Report’.</w:t>
      </w:r>
    </w:p>
  </w:footnote>
  <w:footnote w:id="3">
    <w:p w:rsidR="003528C8" w:rsidRDefault="003528C8" w:rsidP="009111EE">
      <w:pPr>
        <w:pStyle w:val="FootnoteText"/>
      </w:pPr>
      <w:r>
        <w:rPr>
          <w:rStyle w:val="FootnoteReference"/>
        </w:rPr>
        <w:footnoteRef/>
      </w:r>
      <w:r>
        <w:t xml:space="preserve"> </w:t>
      </w:r>
      <w:r>
        <w:rPr>
          <w:szCs w:val="14"/>
        </w:rPr>
        <w:t>PIFS 2014, ‘Pacific Regional MDG Tracking Report’.</w:t>
      </w:r>
    </w:p>
  </w:footnote>
  <w:footnote w:id="4">
    <w:p w:rsidR="003528C8" w:rsidRDefault="003528C8" w:rsidP="00674CB8">
      <w:pPr>
        <w:pStyle w:val="FootnoteText"/>
        <w:rPr>
          <w:szCs w:val="14"/>
          <w:highlight w:val="yellow"/>
        </w:rPr>
      </w:pPr>
      <w:r>
        <w:rPr>
          <w:rStyle w:val="FootnoteReference"/>
        </w:rPr>
        <w:footnoteRef/>
      </w:r>
      <w:r>
        <w:rPr>
          <w:rStyle w:val="FootnoteReference"/>
        </w:rPr>
        <w:t xml:space="preserve"> </w:t>
      </w:r>
      <w:r>
        <w:t xml:space="preserve">PIFS, 30 November 2011, ‘Tuvalu calls for harmonisation of development cooperation’, </w:t>
      </w:r>
      <w:hyperlink r:id="rId1" w:history="1">
        <w:r w:rsidRPr="00E17F5E">
          <w:rPr>
            <w:rStyle w:val="Hyperlink"/>
            <w:sz w:val="16"/>
            <w:szCs w:val="16"/>
          </w:rPr>
          <w:t>www.forumsec.org/pages.cfm/  newsroom/press-statements/2011/tuvalu-calls-for-harmonisation-of-</w:t>
        </w:r>
      </w:hyperlink>
      <w:r w:rsidRPr="003017D4">
        <w:rPr>
          <w:color w:val="1F497D" w:themeColor="text2"/>
          <w:szCs w:val="16"/>
        </w:rPr>
        <w:t>development-cooperation.html</w:t>
      </w:r>
    </w:p>
  </w:footnote>
  <w:footnote w:id="5">
    <w:p w:rsidR="003528C8" w:rsidRDefault="003528C8" w:rsidP="00674CB8">
      <w:pPr>
        <w:pStyle w:val="FootnoteText"/>
      </w:pPr>
      <w:r>
        <w:rPr>
          <w:rStyle w:val="FootnoteReference"/>
        </w:rPr>
        <w:footnoteRef/>
      </w:r>
      <w:r>
        <w:t xml:space="preserve"> OECD Development Assistance Committee 2014. </w:t>
      </w:r>
    </w:p>
  </w:footnote>
  <w:footnote w:id="6">
    <w:p w:rsidR="003528C8" w:rsidRDefault="003528C8" w:rsidP="00F0095A">
      <w:pPr>
        <w:pStyle w:val="FootnoteText"/>
        <w:jc w:val="both"/>
        <w:rPr>
          <w:szCs w:val="14"/>
        </w:rPr>
      </w:pPr>
      <w:r>
        <w:rPr>
          <w:rStyle w:val="FootnoteReference"/>
        </w:rPr>
        <w:footnoteRef/>
      </w:r>
      <w:r>
        <w:rPr>
          <w:rStyle w:val="FootnoteReference"/>
        </w:rPr>
        <w:t xml:space="preserve"> </w:t>
      </w:r>
      <w:r>
        <w:rPr>
          <w:szCs w:val="14"/>
        </w:rPr>
        <w:t>PIFS 2014, ‘Pacific Regional MDG Tracking Report’.</w:t>
      </w:r>
    </w:p>
  </w:footnote>
  <w:footnote w:id="7">
    <w:p w:rsidR="003528C8" w:rsidRDefault="003528C8" w:rsidP="00F0095A">
      <w:pPr>
        <w:pStyle w:val="FootnoteText"/>
        <w:jc w:val="both"/>
        <w:rPr>
          <w:szCs w:val="14"/>
        </w:rPr>
      </w:pPr>
      <w:r>
        <w:rPr>
          <w:rStyle w:val="FootnoteReference"/>
        </w:rPr>
        <w:footnoteRef/>
      </w:r>
      <w:r>
        <w:rPr>
          <w:rStyle w:val="FootnoteReference"/>
        </w:rPr>
        <w:t xml:space="preserve"> </w:t>
      </w:r>
      <w:r>
        <w:rPr>
          <w:szCs w:val="14"/>
        </w:rPr>
        <w:t>PIFS 2014, ‘Pacific Regional MDG Tracking Report’; ‘Tuvalu MDGs Progress Report 2011–12’.</w:t>
      </w:r>
    </w:p>
  </w:footnote>
  <w:footnote w:id="8">
    <w:p w:rsidR="003528C8" w:rsidRDefault="003528C8" w:rsidP="00822A95">
      <w:pPr>
        <w:pStyle w:val="FootnoteText"/>
      </w:pPr>
      <w:r>
        <w:rPr>
          <w:rStyle w:val="FootnoteReference"/>
        </w:rPr>
        <w:footnoteRef/>
      </w:r>
      <w:r>
        <w:t xml:space="preserve"> In addition, the Tuvalu Trust Fund Advisory Committee </w:t>
      </w:r>
      <w:r w:rsidRPr="00405072">
        <w:t xml:space="preserve">provides independent economic and financial advice to the board and government with members appointed by countries represented on the board. Australia also funds an adviser for the Australian Director to the Tuvalu Trust Fund board and another to the </w:t>
      </w:r>
      <w:r w:rsidRPr="00405072">
        <w:rPr>
          <w:lang w:val="en-US"/>
        </w:rPr>
        <w:t>Tuvalu Trust Fund Advisory Committee.</w:t>
      </w:r>
    </w:p>
  </w:footnote>
  <w:footnote w:id="9">
    <w:p w:rsidR="003528C8" w:rsidRDefault="003528C8" w:rsidP="00260D4A">
      <w:pPr>
        <w:pStyle w:val="FootnoteText"/>
      </w:pPr>
      <w:r>
        <w:rPr>
          <w:rStyle w:val="FootnoteReference"/>
        </w:rPr>
        <w:footnoteRef/>
      </w:r>
      <w:r>
        <w:t xml:space="preserve"> </w:t>
      </w:r>
      <w:r w:rsidRPr="00E42133">
        <w:rPr>
          <w:szCs w:val="14"/>
        </w:rPr>
        <w:t>UNICEF 2011, ‘Achievin</w:t>
      </w:r>
      <w:r>
        <w:rPr>
          <w:szCs w:val="14"/>
        </w:rPr>
        <w:t>g Education for All in Tuvalu’.</w:t>
      </w:r>
    </w:p>
  </w:footnote>
  <w:footnote w:id="10">
    <w:p w:rsidR="003528C8" w:rsidRDefault="003528C8">
      <w:pPr>
        <w:pStyle w:val="FootnoteText"/>
      </w:pPr>
      <w:r>
        <w:rPr>
          <w:rStyle w:val="FootnoteReference"/>
        </w:rPr>
        <w:footnoteRef/>
      </w:r>
      <w:r>
        <w:t xml:space="preserve"> DFAT Quality at Implementation Reports; UNICEF data and DFAT/UNICEF/Ministry of Education monitoring missions</w:t>
      </w:r>
    </w:p>
  </w:footnote>
  <w:footnote w:id="11">
    <w:p w:rsidR="003528C8" w:rsidRDefault="003528C8" w:rsidP="00CC7E94">
      <w:pPr>
        <w:pStyle w:val="FootnoteText"/>
      </w:pPr>
      <w:r>
        <w:rPr>
          <w:rStyle w:val="FootnoteReference"/>
        </w:rPr>
        <w:footnoteRef/>
      </w:r>
      <w:r>
        <w:t xml:space="preserve"> Tuvalu Education Information Management System Statistical digest, 2013</w:t>
      </w:r>
    </w:p>
  </w:footnote>
  <w:footnote w:id="12">
    <w:p w:rsidR="003528C8" w:rsidRDefault="003528C8" w:rsidP="009C6854">
      <w:pPr>
        <w:pStyle w:val="FootnoteText"/>
      </w:pPr>
      <w:r>
        <w:rPr>
          <w:rStyle w:val="FootnoteReference"/>
        </w:rPr>
        <w:footnoteRef/>
      </w:r>
      <w:r>
        <w:t xml:space="preserve"> DFAT scholarships database.</w:t>
      </w:r>
    </w:p>
  </w:footnote>
  <w:footnote w:id="13">
    <w:p w:rsidR="003528C8" w:rsidRDefault="003528C8">
      <w:pPr>
        <w:pStyle w:val="FootnoteText"/>
      </w:pPr>
      <w:r>
        <w:rPr>
          <w:rStyle w:val="FootnoteReference"/>
        </w:rPr>
        <w:footnoteRef/>
      </w:r>
      <w:r>
        <w:t xml:space="preserve"> DFAT Australia Awards Alumni Tracer study for the microstates, 2013. </w:t>
      </w:r>
    </w:p>
  </w:footnote>
  <w:footnote w:id="14">
    <w:p w:rsidR="003528C8" w:rsidRDefault="003528C8" w:rsidP="00CD1453">
      <w:pPr>
        <w:pStyle w:val="FootnoteText"/>
      </w:pPr>
      <w:r>
        <w:rPr>
          <w:rStyle w:val="FootnoteReference"/>
        </w:rPr>
        <w:footnoteRef/>
      </w:r>
      <w:r>
        <w:t xml:space="preserve"> </w:t>
      </w:r>
      <w:r>
        <w:rPr>
          <w:rFonts w:eastAsia="Calibri"/>
        </w:rPr>
        <w:t>Australia – Pacific Technical College</w:t>
      </w:r>
      <w:r>
        <w:t xml:space="preserve"> Country Update, 2013. </w:t>
      </w:r>
    </w:p>
  </w:footnote>
  <w:footnote w:id="15">
    <w:p w:rsidR="003528C8" w:rsidRDefault="003528C8" w:rsidP="001520D1">
      <w:pPr>
        <w:pStyle w:val="FootnoteText"/>
      </w:pPr>
      <w:r>
        <w:rPr>
          <w:rStyle w:val="FootnoteReference"/>
        </w:rPr>
        <w:footnoteRef/>
      </w:r>
      <w:r>
        <w:t xml:space="preserve"> Bureau of Meteorology and CSIRO 2011, ‘Climate Change in the Pacific Scientific Assessment and New Research Volume 1, Regional Overview Volume 2: Country Reports’, Canberra.</w:t>
      </w:r>
    </w:p>
  </w:footnote>
  <w:footnote w:id="16">
    <w:p w:rsidR="003528C8" w:rsidRDefault="003528C8" w:rsidP="00C26E24">
      <w:pPr>
        <w:pStyle w:val="FootnoteText"/>
      </w:pPr>
      <w:r>
        <w:rPr>
          <w:rStyle w:val="FootnoteReference"/>
        </w:rPr>
        <w:footnoteRef/>
      </w:r>
      <w:r>
        <w:t xml:space="preserve"> DFAT policy requires all initiatives with a value of $3 million or over to undertake annual QAI reviews. DFAT’s climate change support in Tuvalu is under this value. </w:t>
      </w:r>
    </w:p>
  </w:footnote>
  <w:footnote w:id="17">
    <w:p w:rsidR="003528C8" w:rsidRDefault="003528C8" w:rsidP="00C26E24">
      <w:pPr>
        <w:pStyle w:val="FootnoteText"/>
      </w:pPr>
      <w:r>
        <w:rPr>
          <w:rStyle w:val="FootnoteReference"/>
        </w:rPr>
        <w:footnoteRef/>
      </w:r>
      <w:r>
        <w:t xml:space="preserve"> See QAI ratings table, Annex B. </w:t>
      </w:r>
    </w:p>
  </w:footnote>
  <w:footnote w:id="18">
    <w:p w:rsidR="003528C8" w:rsidRDefault="003528C8" w:rsidP="00707F76">
      <w:pPr>
        <w:pStyle w:val="FootnoteText"/>
        <w:rPr>
          <w:szCs w:val="14"/>
        </w:rPr>
      </w:pPr>
      <w:r>
        <w:rPr>
          <w:rStyle w:val="FootnoteReference"/>
        </w:rPr>
        <w:footnoteRef/>
      </w:r>
      <w:r>
        <w:rPr>
          <w:rStyle w:val="FootnoteReference"/>
        </w:rPr>
        <w:t xml:space="preserve"> </w:t>
      </w:r>
      <w:r>
        <w:t>In 2011, Australia undertook an assessment of national systems to determine the level of risk associated with using Tuvalu’s government systems to deliver Australian aid and identify opportunities to strengthen those systems and manage risks. See the 2011 Tuvalu APPR for more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4D" w:rsidRDefault="00D15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4D" w:rsidRDefault="00D15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4D" w:rsidRDefault="00D151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C8" w:rsidRDefault="003528C8"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C8" w:rsidRDefault="003528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2691EB0"/>
    <w:multiLevelType w:val="hybridMultilevel"/>
    <w:tmpl w:val="E75C4A8C"/>
    <w:lvl w:ilvl="0" w:tplc="135E8154">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337AFB"/>
    <w:multiLevelType w:val="hybridMultilevel"/>
    <w:tmpl w:val="1AEE87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C3122"/>
    <w:multiLevelType w:val="hybridMultilevel"/>
    <w:tmpl w:val="21565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16B3585"/>
    <w:multiLevelType w:val="hybridMultilevel"/>
    <w:tmpl w:val="53241152"/>
    <w:lvl w:ilvl="0" w:tplc="D64E272E">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6AB1A21"/>
    <w:multiLevelType w:val="hybridMultilevel"/>
    <w:tmpl w:val="27F660A4"/>
    <w:lvl w:ilvl="0" w:tplc="0C09000B">
      <w:start w:val="46"/>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29864443"/>
    <w:multiLevelType w:val="multilevel"/>
    <w:tmpl w:val="5088FCE6"/>
    <w:lvl w:ilvl="0">
      <w:start w:val="1"/>
      <w:numFmt w:val="decimal"/>
      <w:lvlRestart w:val="0"/>
      <w:pStyle w:val="BriefBackground"/>
      <w:lvlText w:val="%1."/>
      <w:lvlJc w:val="left"/>
      <w:pPr>
        <w:ind w:left="360" w:hanging="360"/>
      </w:pPr>
      <w:rPr>
        <w:rFonts w:hint="default"/>
        <w:i w:val="0"/>
      </w:rPr>
    </w:lvl>
    <w:lvl w:ilvl="1">
      <w:start w:val="1"/>
      <w:numFmt w:val="lowerLetter"/>
      <w:lvlRestart w:val="0"/>
      <w:lvlText w:val="%2."/>
      <w:lvlJc w:val="left"/>
      <w:pPr>
        <w:ind w:left="720" w:hanging="360"/>
      </w:pPr>
      <w:rPr>
        <w:rFonts w:hint="default"/>
      </w:rPr>
    </w:lvl>
    <w:lvl w:ilvl="2">
      <w:start w:val="1"/>
      <w:numFmt w:val="lowerRoman"/>
      <w:lvlRestart w:val="0"/>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7E4E7D"/>
    <w:multiLevelType w:val="hybridMultilevel"/>
    <w:tmpl w:val="CEB818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335C00E8"/>
    <w:multiLevelType w:val="hybridMultilevel"/>
    <w:tmpl w:val="D33C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3603F5"/>
    <w:multiLevelType w:val="hybridMultilevel"/>
    <w:tmpl w:val="1BCA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3917FC"/>
    <w:multiLevelType w:val="hybridMultilevel"/>
    <w:tmpl w:val="2BCEFE7A"/>
    <w:lvl w:ilvl="0" w:tplc="84A07AC4">
      <w:start w:val="2"/>
      <w:numFmt w:val="bullet"/>
      <w:lvlText w:val="-"/>
      <w:lvlJc w:val="left"/>
      <w:pPr>
        <w:ind w:left="720" w:hanging="360"/>
      </w:pPr>
      <w:rPr>
        <w:rFonts w:ascii="Franklin Gothic Book" w:eastAsia="Times New Roman" w:hAnsi="Franklin Gothic Book" w:cs="Times New Roman" w:hint="default"/>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8E12812"/>
    <w:multiLevelType w:val="hybridMultilevel"/>
    <w:tmpl w:val="95AA0530"/>
    <w:lvl w:ilvl="0" w:tplc="135E8154">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A528B"/>
    <w:multiLevelType w:val="hybridMultilevel"/>
    <w:tmpl w:val="F2E6185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7"/>
  </w:num>
  <w:num w:numId="4">
    <w:abstractNumId w:val="22"/>
  </w:num>
  <w:num w:numId="5">
    <w:abstractNumId w:val="21"/>
  </w:num>
  <w:num w:numId="6">
    <w:abstractNumId w:val="20"/>
  </w:num>
  <w:num w:numId="7">
    <w:abstractNumId w:val="26"/>
  </w:num>
  <w:num w:numId="8">
    <w:abstractNumId w:val="5"/>
  </w:num>
  <w:num w:numId="9">
    <w:abstractNumId w:val="9"/>
  </w:num>
  <w:num w:numId="10">
    <w:abstractNumId w:val="28"/>
  </w:num>
  <w:num w:numId="11">
    <w:abstractNumId w:val="29"/>
  </w:num>
  <w:num w:numId="12">
    <w:abstractNumId w:val="0"/>
  </w:num>
  <w:num w:numId="13">
    <w:abstractNumId w:val="4"/>
  </w:num>
  <w:num w:numId="14">
    <w:abstractNumId w:val="25"/>
  </w:num>
  <w:num w:numId="15">
    <w:abstractNumId w:val="1"/>
  </w:num>
  <w:num w:numId="16">
    <w:abstractNumId w:val="14"/>
  </w:num>
  <w:num w:numId="17">
    <w:abstractNumId w:val="11"/>
  </w:num>
  <w:num w:numId="18">
    <w:abstractNumId w:val="8"/>
  </w:num>
  <w:num w:numId="19">
    <w:abstractNumId w:val="2"/>
  </w:num>
  <w:num w:numId="20">
    <w:abstractNumId w:val="18"/>
  </w:num>
  <w:num w:numId="21">
    <w:abstractNumId w:val="6"/>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5"/>
  </w:num>
  <w:num w:numId="27">
    <w:abstractNumId w:val="3"/>
  </w:num>
  <w:num w:numId="28">
    <w:abstractNumId w:val="12"/>
  </w:num>
  <w:num w:numId="29">
    <w:abstractNumId w:val="19"/>
  </w:num>
  <w:num w:numId="30">
    <w:abstractNumId w:val="29"/>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50B0"/>
    <w:rsid w:val="00007E94"/>
    <w:rsid w:val="00012F65"/>
    <w:rsid w:val="000142A2"/>
    <w:rsid w:val="000143D9"/>
    <w:rsid w:val="0001556E"/>
    <w:rsid w:val="00020121"/>
    <w:rsid w:val="00021A9E"/>
    <w:rsid w:val="00024C14"/>
    <w:rsid w:val="00027629"/>
    <w:rsid w:val="00030111"/>
    <w:rsid w:val="00031100"/>
    <w:rsid w:val="00031EB5"/>
    <w:rsid w:val="0003231A"/>
    <w:rsid w:val="00036EE3"/>
    <w:rsid w:val="00040AF6"/>
    <w:rsid w:val="000426DF"/>
    <w:rsid w:val="00047CC9"/>
    <w:rsid w:val="000529AD"/>
    <w:rsid w:val="0005506B"/>
    <w:rsid w:val="000550B0"/>
    <w:rsid w:val="00055E78"/>
    <w:rsid w:val="00057001"/>
    <w:rsid w:val="00057589"/>
    <w:rsid w:val="00057AB0"/>
    <w:rsid w:val="00057D09"/>
    <w:rsid w:val="0006375D"/>
    <w:rsid w:val="00066831"/>
    <w:rsid w:val="000701D3"/>
    <w:rsid w:val="00071A15"/>
    <w:rsid w:val="00071B95"/>
    <w:rsid w:val="0007395B"/>
    <w:rsid w:val="000745E2"/>
    <w:rsid w:val="0007703B"/>
    <w:rsid w:val="000774FD"/>
    <w:rsid w:val="00081F4E"/>
    <w:rsid w:val="000834DF"/>
    <w:rsid w:val="0008709D"/>
    <w:rsid w:val="000905A8"/>
    <w:rsid w:val="00091878"/>
    <w:rsid w:val="000956C3"/>
    <w:rsid w:val="000957FC"/>
    <w:rsid w:val="000979A0"/>
    <w:rsid w:val="00097B02"/>
    <w:rsid w:val="000A1618"/>
    <w:rsid w:val="000A4247"/>
    <w:rsid w:val="000B3121"/>
    <w:rsid w:val="000B68F6"/>
    <w:rsid w:val="000B6BE5"/>
    <w:rsid w:val="000B6FEA"/>
    <w:rsid w:val="000B75E8"/>
    <w:rsid w:val="000C0FAC"/>
    <w:rsid w:val="000C258A"/>
    <w:rsid w:val="000C29BF"/>
    <w:rsid w:val="000C6080"/>
    <w:rsid w:val="000C60A8"/>
    <w:rsid w:val="000D151B"/>
    <w:rsid w:val="000D1993"/>
    <w:rsid w:val="000D733F"/>
    <w:rsid w:val="000D7952"/>
    <w:rsid w:val="000E1CBA"/>
    <w:rsid w:val="000E2D76"/>
    <w:rsid w:val="000E4573"/>
    <w:rsid w:val="000E7297"/>
    <w:rsid w:val="000E7A8D"/>
    <w:rsid w:val="000F2D94"/>
    <w:rsid w:val="00100485"/>
    <w:rsid w:val="00100AA2"/>
    <w:rsid w:val="00106185"/>
    <w:rsid w:val="00106BDC"/>
    <w:rsid w:val="0010729C"/>
    <w:rsid w:val="001110A2"/>
    <w:rsid w:val="00112C4A"/>
    <w:rsid w:val="00112E97"/>
    <w:rsid w:val="001139DE"/>
    <w:rsid w:val="00113D0C"/>
    <w:rsid w:val="00114751"/>
    <w:rsid w:val="001154CA"/>
    <w:rsid w:val="001171DE"/>
    <w:rsid w:val="00120FC7"/>
    <w:rsid w:val="00122038"/>
    <w:rsid w:val="001227C3"/>
    <w:rsid w:val="0012429A"/>
    <w:rsid w:val="001248AE"/>
    <w:rsid w:val="001258C6"/>
    <w:rsid w:val="0012793C"/>
    <w:rsid w:val="00131FF0"/>
    <w:rsid w:val="00132003"/>
    <w:rsid w:val="00133A80"/>
    <w:rsid w:val="00133AAD"/>
    <w:rsid w:val="00135806"/>
    <w:rsid w:val="001366B4"/>
    <w:rsid w:val="001375E3"/>
    <w:rsid w:val="00141A30"/>
    <w:rsid w:val="00142459"/>
    <w:rsid w:val="00142E59"/>
    <w:rsid w:val="00143053"/>
    <w:rsid w:val="0014411B"/>
    <w:rsid w:val="001448E7"/>
    <w:rsid w:val="001453B9"/>
    <w:rsid w:val="00146B36"/>
    <w:rsid w:val="00147846"/>
    <w:rsid w:val="0015043E"/>
    <w:rsid w:val="001504E5"/>
    <w:rsid w:val="001520D1"/>
    <w:rsid w:val="00152DFD"/>
    <w:rsid w:val="00154EF9"/>
    <w:rsid w:val="00157858"/>
    <w:rsid w:val="00157E58"/>
    <w:rsid w:val="001612CE"/>
    <w:rsid w:val="001624FB"/>
    <w:rsid w:val="0016544D"/>
    <w:rsid w:val="001657F1"/>
    <w:rsid w:val="00167331"/>
    <w:rsid w:val="0016740F"/>
    <w:rsid w:val="00171BB2"/>
    <w:rsid w:val="00173C6E"/>
    <w:rsid w:val="00176307"/>
    <w:rsid w:val="00176E7F"/>
    <w:rsid w:val="00180B19"/>
    <w:rsid w:val="0018196F"/>
    <w:rsid w:val="001828DE"/>
    <w:rsid w:val="001829BB"/>
    <w:rsid w:val="0018305E"/>
    <w:rsid w:val="0018353A"/>
    <w:rsid w:val="00192498"/>
    <w:rsid w:val="001943B6"/>
    <w:rsid w:val="00194806"/>
    <w:rsid w:val="001A374B"/>
    <w:rsid w:val="001A3E0B"/>
    <w:rsid w:val="001B1A0C"/>
    <w:rsid w:val="001B2948"/>
    <w:rsid w:val="001B41CD"/>
    <w:rsid w:val="001B714C"/>
    <w:rsid w:val="001C1255"/>
    <w:rsid w:val="001C1EA0"/>
    <w:rsid w:val="001C31B9"/>
    <w:rsid w:val="001C4198"/>
    <w:rsid w:val="001C507E"/>
    <w:rsid w:val="001C700E"/>
    <w:rsid w:val="001C7117"/>
    <w:rsid w:val="001C745A"/>
    <w:rsid w:val="001C7DDD"/>
    <w:rsid w:val="001D20FC"/>
    <w:rsid w:val="001D210A"/>
    <w:rsid w:val="001D6059"/>
    <w:rsid w:val="001D7E98"/>
    <w:rsid w:val="001E2132"/>
    <w:rsid w:val="001E4BDE"/>
    <w:rsid w:val="001E52CC"/>
    <w:rsid w:val="001E6635"/>
    <w:rsid w:val="001E6804"/>
    <w:rsid w:val="001E7AE4"/>
    <w:rsid w:val="001F12A2"/>
    <w:rsid w:val="001F5CB1"/>
    <w:rsid w:val="001F61A8"/>
    <w:rsid w:val="001F651A"/>
    <w:rsid w:val="001F7480"/>
    <w:rsid w:val="00201174"/>
    <w:rsid w:val="00202880"/>
    <w:rsid w:val="00202E4E"/>
    <w:rsid w:val="00203BCC"/>
    <w:rsid w:val="00204CC1"/>
    <w:rsid w:val="00205E0B"/>
    <w:rsid w:val="00205F2B"/>
    <w:rsid w:val="002103B5"/>
    <w:rsid w:val="002115BD"/>
    <w:rsid w:val="002126BA"/>
    <w:rsid w:val="00212B27"/>
    <w:rsid w:val="0021515C"/>
    <w:rsid w:val="002227A9"/>
    <w:rsid w:val="00223197"/>
    <w:rsid w:val="00225566"/>
    <w:rsid w:val="00226DEE"/>
    <w:rsid w:val="00231D45"/>
    <w:rsid w:val="002335A9"/>
    <w:rsid w:val="002343CF"/>
    <w:rsid w:val="00235D29"/>
    <w:rsid w:val="002363D9"/>
    <w:rsid w:val="00236B8C"/>
    <w:rsid w:val="00237C4B"/>
    <w:rsid w:val="00240D59"/>
    <w:rsid w:val="002441D5"/>
    <w:rsid w:val="00245916"/>
    <w:rsid w:val="00245FAF"/>
    <w:rsid w:val="00246E5F"/>
    <w:rsid w:val="00247759"/>
    <w:rsid w:val="00257577"/>
    <w:rsid w:val="00260D4A"/>
    <w:rsid w:val="00261BC1"/>
    <w:rsid w:val="00261E78"/>
    <w:rsid w:val="00263F5F"/>
    <w:rsid w:val="00264ABD"/>
    <w:rsid w:val="00270898"/>
    <w:rsid w:val="00272AF0"/>
    <w:rsid w:val="00273C6F"/>
    <w:rsid w:val="00275C42"/>
    <w:rsid w:val="0028116B"/>
    <w:rsid w:val="002849B4"/>
    <w:rsid w:val="002905FB"/>
    <w:rsid w:val="002911A4"/>
    <w:rsid w:val="00291F1C"/>
    <w:rsid w:val="002965E4"/>
    <w:rsid w:val="00296D05"/>
    <w:rsid w:val="00297FA7"/>
    <w:rsid w:val="002A15F4"/>
    <w:rsid w:val="002A1935"/>
    <w:rsid w:val="002A1A79"/>
    <w:rsid w:val="002A21D1"/>
    <w:rsid w:val="002A22F7"/>
    <w:rsid w:val="002A4D70"/>
    <w:rsid w:val="002B1CB1"/>
    <w:rsid w:val="002B1F66"/>
    <w:rsid w:val="002B31B3"/>
    <w:rsid w:val="002B433A"/>
    <w:rsid w:val="002B61A8"/>
    <w:rsid w:val="002B6EBE"/>
    <w:rsid w:val="002B79D4"/>
    <w:rsid w:val="002C1E00"/>
    <w:rsid w:val="002C613B"/>
    <w:rsid w:val="002C639B"/>
    <w:rsid w:val="002C7D67"/>
    <w:rsid w:val="002D1328"/>
    <w:rsid w:val="002D17E7"/>
    <w:rsid w:val="002D5D7B"/>
    <w:rsid w:val="002D6914"/>
    <w:rsid w:val="002D6DF0"/>
    <w:rsid w:val="002D7FFA"/>
    <w:rsid w:val="002E55EA"/>
    <w:rsid w:val="002E5604"/>
    <w:rsid w:val="002F11BD"/>
    <w:rsid w:val="002F479A"/>
    <w:rsid w:val="002F54F3"/>
    <w:rsid w:val="002F5A14"/>
    <w:rsid w:val="002F6766"/>
    <w:rsid w:val="002F7962"/>
    <w:rsid w:val="003017D4"/>
    <w:rsid w:val="00303038"/>
    <w:rsid w:val="0030318A"/>
    <w:rsid w:val="00306734"/>
    <w:rsid w:val="00310426"/>
    <w:rsid w:val="00310527"/>
    <w:rsid w:val="00310974"/>
    <w:rsid w:val="00315135"/>
    <w:rsid w:val="00315D13"/>
    <w:rsid w:val="003167E5"/>
    <w:rsid w:val="00320FCE"/>
    <w:rsid w:val="003223F8"/>
    <w:rsid w:val="0032292A"/>
    <w:rsid w:val="00322D92"/>
    <w:rsid w:val="0032486D"/>
    <w:rsid w:val="003260C0"/>
    <w:rsid w:val="003266E1"/>
    <w:rsid w:val="00326B5A"/>
    <w:rsid w:val="003275D0"/>
    <w:rsid w:val="003279FD"/>
    <w:rsid w:val="003305E3"/>
    <w:rsid w:val="00331526"/>
    <w:rsid w:val="00331D0B"/>
    <w:rsid w:val="003326BE"/>
    <w:rsid w:val="003327F8"/>
    <w:rsid w:val="00335F19"/>
    <w:rsid w:val="003363C7"/>
    <w:rsid w:val="0034022C"/>
    <w:rsid w:val="003407FA"/>
    <w:rsid w:val="00341177"/>
    <w:rsid w:val="00341311"/>
    <w:rsid w:val="00342BF7"/>
    <w:rsid w:val="00343B25"/>
    <w:rsid w:val="00344BE4"/>
    <w:rsid w:val="00345B8E"/>
    <w:rsid w:val="00351ACA"/>
    <w:rsid w:val="003528C8"/>
    <w:rsid w:val="00352AE5"/>
    <w:rsid w:val="0035585A"/>
    <w:rsid w:val="00356497"/>
    <w:rsid w:val="00357648"/>
    <w:rsid w:val="00357AF7"/>
    <w:rsid w:val="00360662"/>
    <w:rsid w:val="00371F53"/>
    <w:rsid w:val="00372E1B"/>
    <w:rsid w:val="003743C8"/>
    <w:rsid w:val="00383294"/>
    <w:rsid w:val="00383F3F"/>
    <w:rsid w:val="00384342"/>
    <w:rsid w:val="003849ED"/>
    <w:rsid w:val="00385A4C"/>
    <w:rsid w:val="00392981"/>
    <w:rsid w:val="003932D1"/>
    <w:rsid w:val="00395CFA"/>
    <w:rsid w:val="00396E05"/>
    <w:rsid w:val="003A16A6"/>
    <w:rsid w:val="003A27D2"/>
    <w:rsid w:val="003A2D7B"/>
    <w:rsid w:val="003A74BF"/>
    <w:rsid w:val="003B122C"/>
    <w:rsid w:val="003B2756"/>
    <w:rsid w:val="003C288C"/>
    <w:rsid w:val="003C31EE"/>
    <w:rsid w:val="003C6335"/>
    <w:rsid w:val="003C7721"/>
    <w:rsid w:val="003D081D"/>
    <w:rsid w:val="003D2E2F"/>
    <w:rsid w:val="003D44F4"/>
    <w:rsid w:val="003E0E66"/>
    <w:rsid w:val="003E4982"/>
    <w:rsid w:val="003E5BF3"/>
    <w:rsid w:val="003E63B3"/>
    <w:rsid w:val="003E7AA9"/>
    <w:rsid w:val="003E7D28"/>
    <w:rsid w:val="003F0FA3"/>
    <w:rsid w:val="003F46A6"/>
    <w:rsid w:val="00401346"/>
    <w:rsid w:val="00403152"/>
    <w:rsid w:val="00403AAA"/>
    <w:rsid w:val="00404F91"/>
    <w:rsid w:val="00405072"/>
    <w:rsid w:val="00406000"/>
    <w:rsid w:val="00412707"/>
    <w:rsid w:val="00413539"/>
    <w:rsid w:val="0041396D"/>
    <w:rsid w:val="00415532"/>
    <w:rsid w:val="00415A92"/>
    <w:rsid w:val="00416EF8"/>
    <w:rsid w:val="0041730D"/>
    <w:rsid w:val="00420E02"/>
    <w:rsid w:val="00420F68"/>
    <w:rsid w:val="00421A59"/>
    <w:rsid w:val="004228CD"/>
    <w:rsid w:val="0042527A"/>
    <w:rsid w:val="00426354"/>
    <w:rsid w:val="004309E9"/>
    <w:rsid w:val="00437C95"/>
    <w:rsid w:val="00441E77"/>
    <w:rsid w:val="00443639"/>
    <w:rsid w:val="004450BD"/>
    <w:rsid w:val="004453CE"/>
    <w:rsid w:val="00445A3B"/>
    <w:rsid w:val="00445C4E"/>
    <w:rsid w:val="004466F0"/>
    <w:rsid w:val="00446742"/>
    <w:rsid w:val="00451EEC"/>
    <w:rsid w:val="0045475F"/>
    <w:rsid w:val="00462000"/>
    <w:rsid w:val="00466C98"/>
    <w:rsid w:val="00467000"/>
    <w:rsid w:val="00467C3F"/>
    <w:rsid w:val="00467CE4"/>
    <w:rsid w:val="004770AB"/>
    <w:rsid w:val="0047710F"/>
    <w:rsid w:val="00481777"/>
    <w:rsid w:val="0048246B"/>
    <w:rsid w:val="004909BD"/>
    <w:rsid w:val="00490A1E"/>
    <w:rsid w:val="00490BDE"/>
    <w:rsid w:val="00493705"/>
    <w:rsid w:val="00494504"/>
    <w:rsid w:val="004957EC"/>
    <w:rsid w:val="00496F8D"/>
    <w:rsid w:val="00497C76"/>
    <w:rsid w:val="004A568F"/>
    <w:rsid w:val="004A7400"/>
    <w:rsid w:val="004B201A"/>
    <w:rsid w:val="004B41B9"/>
    <w:rsid w:val="004B4A44"/>
    <w:rsid w:val="004B64F3"/>
    <w:rsid w:val="004B7958"/>
    <w:rsid w:val="004B79F1"/>
    <w:rsid w:val="004C33EA"/>
    <w:rsid w:val="004C36CF"/>
    <w:rsid w:val="004C4A3E"/>
    <w:rsid w:val="004C59EA"/>
    <w:rsid w:val="004C65C6"/>
    <w:rsid w:val="004C660D"/>
    <w:rsid w:val="004C7D43"/>
    <w:rsid w:val="004C7E92"/>
    <w:rsid w:val="004D0699"/>
    <w:rsid w:val="004D1529"/>
    <w:rsid w:val="004D19CE"/>
    <w:rsid w:val="004D23F6"/>
    <w:rsid w:val="004D2BCC"/>
    <w:rsid w:val="004D2ED0"/>
    <w:rsid w:val="004D38CA"/>
    <w:rsid w:val="004D4522"/>
    <w:rsid w:val="004D4D8A"/>
    <w:rsid w:val="004D6A42"/>
    <w:rsid w:val="004D7E6E"/>
    <w:rsid w:val="004E01E9"/>
    <w:rsid w:val="004E24A3"/>
    <w:rsid w:val="004E3E40"/>
    <w:rsid w:val="004E484C"/>
    <w:rsid w:val="004E570D"/>
    <w:rsid w:val="004E6400"/>
    <w:rsid w:val="004E642E"/>
    <w:rsid w:val="004E6924"/>
    <w:rsid w:val="004E6A61"/>
    <w:rsid w:val="004E6E33"/>
    <w:rsid w:val="004E702A"/>
    <w:rsid w:val="004F09A9"/>
    <w:rsid w:val="004F0C2D"/>
    <w:rsid w:val="004F3D7E"/>
    <w:rsid w:val="004F4630"/>
    <w:rsid w:val="004F521E"/>
    <w:rsid w:val="004F6FEE"/>
    <w:rsid w:val="004F77A1"/>
    <w:rsid w:val="00500EB4"/>
    <w:rsid w:val="00501CD2"/>
    <w:rsid w:val="00502B5C"/>
    <w:rsid w:val="00503974"/>
    <w:rsid w:val="0050439B"/>
    <w:rsid w:val="0050529F"/>
    <w:rsid w:val="00506A51"/>
    <w:rsid w:val="005110C3"/>
    <w:rsid w:val="00512736"/>
    <w:rsid w:val="00514927"/>
    <w:rsid w:val="005149BE"/>
    <w:rsid w:val="00514B5E"/>
    <w:rsid w:val="005157C1"/>
    <w:rsid w:val="00515954"/>
    <w:rsid w:val="00515E3D"/>
    <w:rsid w:val="005163BF"/>
    <w:rsid w:val="005208AC"/>
    <w:rsid w:val="0052286C"/>
    <w:rsid w:val="00522AB9"/>
    <w:rsid w:val="005253F5"/>
    <w:rsid w:val="00526023"/>
    <w:rsid w:val="005265B9"/>
    <w:rsid w:val="0052717C"/>
    <w:rsid w:val="005307E8"/>
    <w:rsid w:val="00530C5A"/>
    <w:rsid w:val="0053175E"/>
    <w:rsid w:val="00533533"/>
    <w:rsid w:val="00534CCB"/>
    <w:rsid w:val="00535C99"/>
    <w:rsid w:val="00535E24"/>
    <w:rsid w:val="00537E02"/>
    <w:rsid w:val="00542718"/>
    <w:rsid w:val="00543224"/>
    <w:rsid w:val="005440F6"/>
    <w:rsid w:val="00544CCD"/>
    <w:rsid w:val="0054557A"/>
    <w:rsid w:val="00546DD6"/>
    <w:rsid w:val="005472D1"/>
    <w:rsid w:val="0055172C"/>
    <w:rsid w:val="0055771D"/>
    <w:rsid w:val="00557DC8"/>
    <w:rsid w:val="00565055"/>
    <w:rsid w:val="00565635"/>
    <w:rsid w:val="00567FCF"/>
    <w:rsid w:val="00570765"/>
    <w:rsid w:val="00570FC2"/>
    <w:rsid w:val="00571521"/>
    <w:rsid w:val="005732BD"/>
    <w:rsid w:val="005733F9"/>
    <w:rsid w:val="00573E59"/>
    <w:rsid w:val="00575295"/>
    <w:rsid w:val="00581C01"/>
    <w:rsid w:val="0058242D"/>
    <w:rsid w:val="005845CB"/>
    <w:rsid w:val="0058498A"/>
    <w:rsid w:val="00586350"/>
    <w:rsid w:val="0059461A"/>
    <w:rsid w:val="00597520"/>
    <w:rsid w:val="005A18C5"/>
    <w:rsid w:val="005A3196"/>
    <w:rsid w:val="005A3ED5"/>
    <w:rsid w:val="005A511C"/>
    <w:rsid w:val="005A5160"/>
    <w:rsid w:val="005A7CF6"/>
    <w:rsid w:val="005B42EE"/>
    <w:rsid w:val="005B4F7A"/>
    <w:rsid w:val="005B537E"/>
    <w:rsid w:val="005B7C71"/>
    <w:rsid w:val="005C4A6B"/>
    <w:rsid w:val="005C661F"/>
    <w:rsid w:val="005D2A2F"/>
    <w:rsid w:val="005D2A59"/>
    <w:rsid w:val="005F0C00"/>
    <w:rsid w:val="005F1136"/>
    <w:rsid w:val="005F15ED"/>
    <w:rsid w:val="005F2116"/>
    <w:rsid w:val="005F33F2"/>
    <w:rsid w:val="005F460C"/>
    <w:rsid w:val="005F51F6"/>
    <w:rsid w:val="005F74D0"/>
    <w:rsid w:val="00600404"/>
    <w:rsid w:val="0060117A"/>
    <w:rsid w:val="00601F78"/>
    <w:rsid w:val="006035A4"/>
    <w:rsid w:val="00611B30"/>
    <w:rsid w:val="006128E2"/>
    <w:rsid w:val="00612E14"/>
    <w:rsid w:val="0061353A"/>
    <w:rsid w:val="00617F30"/>
    <w:rsid w:val="0062598A"/>
    <w:rsid w:val="00625A52"/>
    <w:rsid w:val="0062686B"/>
    <w:rsid w:val="00633A74"/>
    <w:rsid w:val="00633AEE"/>
    <w:rsid w:val="00635067"/>
    <w:rsid w:val="00637549"/>
    <w:rsid w:val="00642A6F"/>
    <w:rsid w:val="00642E50"/>
    <w:rsid w:val="00646049"/>
    <w:rsid w:val="00646341"/>
    <w:rsid w:val="00647FBA"/>
    <w:rsid w:val="006509F8"/>
    <w:rsid w:val="0065268F"/>
    <w:rsid w:val="0065391A"/>
    <w:rsid w:val="0065679C"/>
    <w:rsid w:val="00657108"/>
    <w:rsid w:val="00663306"/>
    <w:rsid w:val="00663909"/>
    <w:rsid w:val="00663E95"/>
    <w:rsid w:val="006659FF"/>
    <w:rsid w:val="00666B95"/>
    <w:rsid w:val="00666FDD"/>
    <w:rsid w:val="006671BC"/>
    <w:rsid w:val="00667B33"/>
    <w:rsid w:val="0067299B"/>
    <w:rsid w:val="00673287"/>
    <w:rsid w:val="00674CB8"/>
    <w:rsid w:val="00680679"/>
    <w:rsid w:val="00680B8B"/>
    <w:rsid w:val="0068146D"/>
    <w:rsid w:val="00682DB1"/>
    <w:rsid w:val="00683FFB"/>
    <w:rsid w:val="00684932"/>
    <w:rsid w:val="0068768A"/>
    <w:rsid w:val="00690BEA"/>
    <w:rsid w:val="006940F9"/>
    <w:rsid w:val="00695279"/>
    <w:rsid w:val="00697C69"/>
    <w:rsid w:val="006A3FDF"/>
    <w:rsid w:val="006A7395"/>
    <w:rsid w:val="006B0F12"/>
    <w:rsid w:val="006B1679"/>
    <w:rsid w:val="006B17E1"/>
    <w:rsid w:val="006B33A7"/>
    <w:rsid w:val="006C1260"/>
    <w:rsid w:val="006C2232"/>
    <w:rsid w:val="006C2C3C"/>
    <w:rsid w:val="006C36E8"/>
    <w:rsid w:val="006C6800"/>
    <w:rsid w:val="006C7E67"/>
    <w:rsid w:val="006D0BC5"/>
    <w:rsid w:val="006D2CF2"/>
    <w:rsid w:val="006D2E37"/>
    <w:rsid w:val="006D34C3"/>
    <w:rsid w:val="006E29F5"/>
    <w:rsid w:val="006E327C"/>
    <w:rsid w:val="006E657F"/>
    <w:rsid w:val="006E7795"/>
    <w:rsid w:val="006E7E9F"/>
    <w:rsid w:val="006E7FA8"/>
    <w:rsid w:val="006F00DB"/>
    <w:rsid w:val="006F4623"/>
    <w:rsid w:val="006F4B40"/>
    <w:rsid w:val="00701FEA"/>
    <w:rsid w:val="007040D1"/>
    <w:rsid w:val="00705A00"/>
    <w:rsid w:val="007069F7"/>
    <w:rsid w:val="00706DE1"/>
    <w:rsid w:val="00707F76"/>
    <w:rsid w:val="00710059"/>
    <w:rsid w:val="00710337"/>
    <w:rsid w:val="007110C9"/>
    <w:rsid w:val="00712349"/>
    <w:rsid w:val="00712FCE"/>
    <w:rsid w:val="007131CA"/>
    <w:rsid w:val="00714BA3"/>
    <w:rsid w:val="0071537B"/>
    <w:rsid w:val="007167AE"/>
    <w:rsid w:val="00716CFD"/>
    <w:rsid w:val="007204EA"/>
    <w:rsid w:val="00721098"/>
    <w:rsid w:val="00722B27"/>
    <w:rsid w:val="0072452E"/>
    <w:rsid w:val="0072495B"/>
    <w:rsid w:val="00726F85"/>
    <w:rsid w:val="007311E0"/>
    <w:rsid w:val="0073264E"/>
    <w:rsid w:val="007360D3"/>
    <w:rsid w:val="0073644C"/>
    <w:rsid w:val="00736D2D"/>
    <w:rsid w:val="007371AE"/>
    <w:rsid w:val="00737641"/>
    <w:rsid w:val="00737C72"/>
    <w:rsid w:val="0074100E"/>
    <w:rsid w:val="007452F9"/>
    <w:rsid w:val="0074560D"/>
    <w:rsid w:val="0074660C"/>
    <w:rsid w:val="00747B69"/>
    <w:rsid w:val="00750E77"/>
    <w:rsid w:val="00751449"/>
    <w:rsid w:val="00755D95"/>
    <w:rsid w:val="00756B0E"/>
    <w:rsid w:val="007574BE"/>
    <w:rsid w:val="00757BAA"/>
    <w:rsid w:val="00762B9C"/>
    <w:rsid w:val="00764606"/>
    <w:rsid w:val="00766493"/>
    <w:rsid w:val="00766BCF"/>
    <w:rsid w:val="00767C2C"/>
    <w:rsid w:val="00767F39"/>
    <w:rsid w:val="007705BC"/>
    <w:rsid w:val="00771BB1"/>
    <w:rsid w:val="007726E1"/>
    <w:rsid w:val="00774F4B"/>
    <w:rsid w:val="0078232F"/>
    <w:rsid w:val="0079256F"/>
    <w:rsid w:val="0079307B"/>
    <w:rsid w:val="007941CF"/>
    <w:rsid w:val="00796F48"/>
    <w:rsid w:val="007A1F00"/>
    <w:rsid w:val="007A2A5E"/>
    <w:rsid w:val="007A3C6A"/>
    <w:rsid w:val="007A5821"/>
    <w:rsid w:val="007A6B87"/>
    <w:rsid w:val="007B0EBF"/>
    <w:rsid w:val="007B12EF"/>
    <w:rsid w:val="007B51E2"/>
    <w:rsid w:val="007B6F81"/>
    <w:rsid w:val="007C08B4"/>
    <w:rsid w:val="007D042C"/>
    <w:rsid w:val="007D04B0"/>
    <w:rsid w:val="007D163D"/>
    <w:rsid w:val="007D5D8D"/>
    <w:rsid w:val="007D608D"/>
    <w:rsid w:val="007E10A5"/>
    <w:rsid w:val="007E29D0"/>
    <w:rsid w:val="007E2A95"/>
    <w:rsid w:val="007E3D71"/>
    <w:rsid w:val="007F0036"/>
    <w:rsid w:val="007F2841"/>
    <w:rsid w:val="007F29D1"/>
    <w:rsid w:val="007F3E30"/>
    <w:rsid w:val="007F56A2"/>
    <w:rsid w:val="0080096B"/>
    <w:rsid w:val="00800B90"/>
    <w:rsid w:val="00802A66"/>
    <w:rsid w:val="00802EF5"/>
    <w:rsid w:val="00805A67"/>
    <w:rsid w:val="00805ADD"/>
    <w:rsid w:val="008103A0"/>
    <w:rsid w:val="00810DE3"/>
    <w:rsid w:val="00812B67"/>
    <w:rsid w:val="00821541"/>
    <w:rsid w:val="00821A06"/>
    <w:rsid w:val="008220F3"/>
    <w:rsid w:val="00822273"/>
    <w:rsid w:val="00822A95"/>
    <w:rsid w:val="008235DB"/>
    <w:rsid w:val="00826FE4"/>
    <w:rsid w:val="00830647"/>
    <w:rsid w:val="00830E80"/>
    <w:rsid w:val="00832911"/>
    <w:rsid w:val="00833071"/>
    <w:rsid w:val="00833EB7"/>
    <w:rsid w:val="008400A0"/>
    <w:rsid w:val="0084092F"/>
    <w:rsid w:val="008410D9"/>
    <w:rsid w:val="00843893"/>
    <w:rsid w:val="00844C87"/>
    <w:rsid w:val="0084581B"/>
    <w:rsid w:val="00845D49"/>
    <w:rsid w:val="00845E04"/>
    <w:rsid w:val="008509A3"/>
    <w:rsid w:val="00850A87"/>
    <w:rsid w:val="008532FB"/>
    <w:rsid w:val="008540F0"/>
    <w:rsid w:val="008568C0"/>
    <w:rsid w:val="00864874"/>
    <w:rsid w:val="0086598B"/>
    <w:rsid w:val="00871CA1"/>
    <w:rsid w:val="008727F5"/>
    <w:rsid w:val="008744BF"/>
    <w:rsid w:val="00874F47"/>
    <w:rsid w:val="00877D87"/>
    <w:rsid w:val="00880255"/>
    <w:rsid w:val="008810FA"/>
    <w:rsid w:val="00884878"/>
    <w:rsid w:val="00885B9C"/>
    <w:rsid w:val="00886D18"/>
    <w:rsid w:val="00892303"/>
    <w:rsid w:val="0089235D"/>
    <w:rsid w:val="008948E0"/>
    <w:rsid w:val="00896927"/>
    <w:rsid w:val="00897E16"/>
    <w:rsid w:val="008A09A5"/>
    <w:rsid w:val="008A106E"/>
    <w:rsid w:val="008A144E"/>
    <w:rsid w:val="008A310A"/>
    <w:rsid w:val="008A54B0"/>
    <w:rsid w:val="008A6603"/>
    <w:rsid w:val="008A6972"/>
    <w:rsid w:val="008B5F65"/>
    <w:rsid w:val="008B61E6"/>
    <w:rsid w:val="008C0FBD"/>
    <w:rsid w:val="008C4903"/>
    <w:rsid w:val="008C5617"/>
    <w:rsid w:val="008C5B3E"/>
    <w:rsid w:val="008C6687"/>
    <w:rsid w:val="008C70BD"/>
    <w:rsid w:val="008C79C7"/>
    <w:rsid w:val="008C7AC8"/>
    <w:rsid w:val="008D0242"/>
    <w:rsid w:val="008D27EF"/>
    <w:rsid w:val="008D28DF"/>
    <w:rsid w:val="008D2DC8"/>
    <w:rsid w:val="008D34F9"/>
    <w:rsid w:val="008D745E"/>
    <w:rsid w:val="008E29AB"/>
    <w:rsid w:val="008E44A5"/>
    <w:rsid w:val="008E4EF2"/>
    <w:rsid w:val="008F06F2"/>
    <w:rsid w:val="008F1E28"/>
    <w:rsid w:val="008F3F7D"/>
    <w:rsid w:val="008F4024"/>
    <w:rsid w:val="008F452E"/>
    <w:rsid w:val="008F4C4B"/>
    <w:rsid w:val="008F5D80"/>
    <w:rsid w:val="008F7B8C"/>
    <w:rsid w:val="009006D2"/>
    <w:rsid w:val="00901925"/>
    <w:rsid w:val="00902F6A"/>
    <w:rsid w:val="009037E5"/>
    <w:rsid w:val="00906E5E"/>
    <w:rsid w:val="009103F3"/>
    <w:rsid w:val="009111EE"/>
    <w:rsid w:val="009126A4"/>
    <w:rsid w:val="009163AF"/>
    <w:rsid w:val="00916D52"/>
    <w:rsid w:val="00920391"/>
    <w:rsid w:val="00923D3D"/>
    <w:rsid w:val="00924CCB"/>
    <w:rsid w:val="0092520A"/>
    <w:rsid w:val="00927978"/>
    <w:rsid w:val="00932FAD"/>
    <w:rsid w:val="009362FD"/>
    <w:rsid w:val="00936ECF"/>
    <w:rsid w:val="00937307"/>
    <w:rsid w:val="00940795"/>
    <w:rsid w:val="00942DEB"/>
    <w:rsid w:val="009445BA"/>
    <w:rsid w:val="00945130"/>
    <w:rsid w:val="00945B0A"/>
    <w:rsid w:val="00946F68"/>
    <w:rsid w:val="00947570"/>
    <w:rsid w:val="009475F3"/>
    <w:rsid w:val="009501A0"/>
    <w:rsid w:val="00951562"/>
    <w:rsid w:val="00951651"/>
    <w:rsid w:val="00953CAB"/>
    <w:rsid w:val="00954EF3"/>
    <w:rsid w:val="00955E52"/>
    <w:rsid w:val="0095603B"/>
    <w:rsid w:val="00957673"/>
    <w:rsid w:val="00957948"/>
    <w:rsid w:val="009668EF"/>
    <w:rsid w:val="009713CF"/>
    <w:rsid w:val="00971F32"/>
    <w:rsid w:val="0097261C"/>
    <w:rsid w:val="009728C9"/>
    <w:rsid w:val="009729A9"/>
    <w:rsid w:val="009761F8"/>
    <w:rsid w:val="00976AF1"/>
    <w:rsid w:val="00976FB3"/>
    <w:rsid w:val="0098030D"/>
    <w:rsid w:val="00981E62"/>
    <w:rsid w:val="009916F0"/>
    <w:rsid w:val="009928E1"/>
    <w:rsid w:val="0099488A"/>
    <w:rsid w:val="00994D57"/>
    <w:rsid w:val="00996460"/>
    <w:rsid w:val="0099677B"/>
    <w:rsid w:val="009A0BFA"/>
    <w:rsid w:val="009A1AAC"/>
    <w:rsid w:val="009A1E07"/>
    <w:rsid w:val="009A25EB"/>
    <w:rsid w:val="009A2706"/>
    <w:rsid w:val="009A290D"/>
    <w:rsid w:val="009A5926"/>
    <w:rsid w:val="009A7C86"/>
    <w:rsid w:val="009B5190"/>
    <w:rsid w:val="009B5381"/>
    <w:rsid w:val="009B654F"/>
    <w:rsid w:val="009B750F"/>
    <w:rsid w:val="009C02C2"/>
    <w:rsid w:val="009C16DF"/>
    <w:rsid w:val="009C1FDC"/>
    <w:rsid w:val="009C2A6C"/>
    <w:rsid w:val="009C4804"/>
    <w:rsid w:val="009C6854"/>
    <w:rsid w:val="009C7DB0"/>
    <w:rsid w:val="009D104E"/>
    <w:rsid w:val="009D1FDF"/>
    <w:rsid w:val="009D3524"/>
    <w:rsid w:val="009D5236"/>
    <w:rsid w:val="009D551C"/>
    <w:rsid w:val="009D77A7"/>
    <w:rsid w:val="009E0AE8"/>
    <w:rsid w:val="009E1667"/>
    <w:rsid w:val="009E1CA8"/>
    <w:rsid w:val="009E28E1"/>
    <w:rsid w:val="009E38C1"/>
    <w:rsid w:val="009E409B"/>
    <w:rsid w:val="009E4A9A"/>
    <w:rsid w:val="009E6780"/>
    <w:rsid w:val="009E79EC"/>
    <w:rsid w:val="009F2038"/>
    <w:rsid w:val="009F4D5E"/>
    <w:rsid w:val="009F4D99"/>
    <w:rsid w:val="009F50F0"/>
    <w:rsid w:val="00A01327"/>
    <w:rsid w:val="00A018E7"/>
    <w:rsid w:val="00A020B6"/>
    <w:rsid w:val="00A0325B"/>
    <w:rsid w:val="00A03911"/>
    <w:rsid w:val="00A05140"/>
    <w:rsid w:val="00A06FC9"/>
    <w:rsid w:val="00A10DE1"/>
    <w:rsid w:val="00A11D59"/>
    <w:rsid w:val="00A123C7"/>
    <w:rsid w:val="00A13029"/>
    <w:rsid w:val="00A14E44"/>
    <w:rsid w:val="00A14E66"/>
    <w:rsid w:val="00A20730"/>
    <w:rsid w:val="00A22538"/>
    <w:rsid w:val="00A27E2B"/>
    <w:rsid w:val="00A33B7B"/>
    <w:rsid w:val="00A34039"/>
    <w:rsid w:val="00A34091"/>
    <w:rsid w:val="00A3552E"/>
    <w:rsid w:val="00A417FA"/>
    <w:rsid w:val="00A42316"/>
    <w:rsid w:val="00A42760"/>
    <w:rsid w:val="00A443C7"/>
    <w:rsid w:val="00A458B3"/>
    <w:rsid w:val="00A45B60"/>
    <w:rsid w:val="00A45E73"/>
    <w:rsid w:val="00A5551F"/>
    <w:rsid w:val="00A61B0C"/>
    <w:rsid w:val="00A61F1C"/>
    <w:rsid w:val="00A62E17"/>
    <w:rsid w:val="00A65CAA"/>
    <w:rsid w:val="00A662CF"/>
    <w:rsid w:val="00A766FD"/>
    <w:rsid w:val="00A80353"/>
    <w:rsid w:val="00A820E7"/>
    <w:rsid w:val="00A82DF8"/>
    <w:rsid w:val="00A84C1A"/>
    <w:rsid w:val="00A854AF"/>
    <w:rsid w:val="00A857FD"/>
    <w:rsid w:val="00A869D6"/>
    <w:rsid w:val="00A9333E"/>
    <w:rsid w:val="00A94EC5"/>
    <w:rsid w:val="00A9554E"/>
    <w:rsid w:val="00AA2E99"/>
    <w:rsid w:val="00AA31F2"/>
    <w:rsid w:val="00AA32A0"/>
    <w:rsid w:val="00AA406C"/>
    <w:rsid w:val="00AA4F9F"/>
    <w:rsid w:val="00AA5E1B"/>
    <w:rsid w:val="00AA7256"/>
    <w:rsid w:val="00AB0987"/>
    <w:rsid w:val="00AB3900"/>
    <w:rsid w:val="00AB4F64"/>
    <w:rsid w:val="00AB7215"/>
    <w:rsid w:val="00AC005D"/>
    <w:rsid w:val="00AC14DE"/>
    <w:rsid w:val="00AC56C2"/>
    <w:rsid w:val="00AC5E19"/>
    <w:rsid w:val="00AC6F49"/>
    <w:rsid w:val="00AD2723"/>
    <w:rsid w:val="00AD2CAE"/>
    <w:rsid w:val="00AD445D"/>
    <w:rsid w:val="00AD4EA7"/>
    <w:rsid w:val="00AD6F47"/>
    <w:rsid w:val="00AE2781"/>
    <w:rsid w:val="00AE2F41"/>
    <w:rsid w:val="00AE5973"/>
    <w:rsid w:val="00AE5C52"/>
    <w:rsid w:val="00AE6D76"/>
    <w:rsid w:val="00AE6E0A"/>
    <w:rsid w:val="00AE7BCD"/>
    <w:rsid w:val="00AE7C99"/>
    <w:rsid w:val="00AF045F"/>
    <w:rsid w:val="00AF0FA2"/>
    <w:rsid w:val="00AF0FDD"/>
    <w:rsid w:val="00AF5A70"/>
    <w:rsid w:val="00AF5C5C"/>
    <w:rsid w:val="00AF7288"/>
    <w:rsid w:val="00B03FB1"/>
    <w:rsid w:val="00B15829"/>
    <w:rsid w:val="00B16559"/>
    <w:rsid w:val="00B17A9D"/>
    <w:rsid w:val="00B17ED9"/>
    <w:rsid w:val="00B20402"/>
    <w:rsid w:val="00B206FA"/>
    <w:rsid w:val="00B21C2F"/>
    <w:rsid w:val="00B249B7"/>
    <w:rsid w:val="00B2764E"/>
    <w:rsid w:val="00B30E77"/>
    <w:rsid w:val="00B33F27"/>
    <w:rsid w:val="00B34B88"/>
    <w:rsid w:val="00B37A25"/>
    <w:rsid w:val="00B44032"/>
    <w:rsid w:val="00B456CC"/>
    <w:rsid w:val="00B478EF"/>
    <w:rsid w:val="00B5093D"/>
    <w:rsid w:val="00B51B7D"/>
    <w:rsid w:val="00B51BAD"/>
    <w:rsid w:val="00B53206"/>
    <w:rsid w:val="00B55BE4"/>
    <w:rsid w:val="00B564A3"/>
    <w:rsid w:val="00B56514"/>
    <w:rsid w:val="00B56551"/>
    <w:rsid w:val="00B568DF"/>
    <w:rsid w:val="00B57AE9"/>
    <w:rsid w:val="00B57CA2"/>
    <w:rsid w:val="00B62472"/>
    <w:rsid w:val="00B638BD"/>
    <w:rsid w:val="00B65EB5"/>
    <w:rsid w:val="00B66555"/>
    <w:rsid w:val="00B71672"/>
    <w:rsid w:val="00B72CEC"/>
    <w:rsid w:val="00B73156"/>
    <w:rsid w:val="00B74929"/>
    <w:rsid w:val="00B7716B"/>
    <w:rsid w:val="00B777E6"/>
    <w:rsid w:val="00B80134"/>
    <w:rsid w:val="00B80707"/>
    <w:rsid w:val="00B81B4E"/>
    <w:rsid w:val="00B829CB"/>
    <w:rsid w:val="00B83B0B"/>
    <w:rsid w:val="00B861D4"/>
    <w:rsid w:val="00B86933"/>
    <w:rsid w:val="00B8737A"/>
    <w:rsid w:val="00B87675"/>
    <w:rsid w:val="00B910DF"/>
    <w:rsid w:val="00B922B9"/>
    <w:rsid w:val="00B92B42"/>
    <w:rsid w:val="00B932EA"/>
    <w:rsid w:val="00B95043"/>
    <w:rsid w:val="00B9749F"/>
    <w:rsid w:val="00BA3026"/>
    <w:rsid w:val="00BA3EFF"/>
    <w:rsid w:val="00BA4972"/>
    <w:rsid w:val="00BA578B"/>
    <w:rsid w:val="00BA5FE7"/>
    <w:rsid w:val="00BA6E87"/>
    <w:rsid w:val="00BB1C24"/>
    <w:rsid w:val="00BB2580"/>
    <w:rsid w:val="00BB27EC"/>
    <w:rsid w:val="00BB37EE"/>
    <w:rsid w:val="00BB530B"/>
    <w:rsid w:val="00BB58D3"/>
    <w:rsid w:val="00BC0957"/>
    <w:rsid w:val="00BC0B8D"/>
    <w:rsid w:val="00BC179B"/>
    <w:rsid w:val="00BC432E"/>
    <w:rsid w:val="00BC6774"/>
    <w:rsid w:val="00BC6C8B"/>
    <w:rsid w:val="00BC6EEF"/>
    <w:rsid w:val="00BC7980"/>
    <w:rsid w:val="00BD28C5"/>
    <w:rsid w:val="00BD2978"/>
    <w:rsid w:val="00BD2FEE"/>
    <w:rsid w:val="00BD4D43"/>
    <w:rsid w:val="00BD7695"/>
    <w:rsid w:val="00BE0D5C"/>
    <w:rsid w:val="00BE0EE1"/>
    <w:rsid w:val="00BE4BDF"/>
    <w:rsid w:val="00BE5FED"/>
    <w:rsid w:val="00BE65E4"/>
    <w:rsid w:val="00BE6C36"/>
    <w:rsid w:val="00BE6E83"/>
    <w:rsid w:val="00BE7D81"/>
    <w:rsid w:val="00BF0AA7"/>
    <w:rsid w:val="00BF2F97"/>
    <w:rsid w:val="00BF5FB9"/>
    <w:rsid w:val="00C00765"/>
    <w:rsid w:val="00C00E26"/>
    <w:rsid w:val="00C03A2E"/>
    <w:rsid w:val="00C05B2A"/>
    <w:rsid w:val="00C06287"/>
    <w:rsid w:val="00C075AA"/>
    <w:rsid w:val="00C10117"/>
    <w:rsid w:val="00C1067F"/>
    <w:rsid w:val="00C12309"/>
    <w:rsid w:val="00C12D72"/>
    <w:rsid w:val="00C15316"/>
    <w:rsid w:val="00C1656A"/>
    <w:rsid w:val="00C20D5E"/>
    <w:rsid w:val="00C23422"/>
    <w:rsid w:val="00C23583"/>
    <w:rsid w:val="00C2405F"/>
    <w:rsid w:val="00C26E24"/>
    <w:rsid w:val="00C30336"/>
    <w:rsid w:val="00C312CC"/>
    <w:rsid w:val="00C357E3"/>
    <w:rsid w:val="00C36C67"/>
    <w:rsid w:val="00C4066A"/>
    <w:rsid w:val="00C40D0E"/>
    <w:rsid w:val="00C469FC"/>
    <w:rsid w:val="00C511B2"/>
    <w:rsid w:val="00C51DF7"/>
    <w:rsid w:val="00C5255D"/>
    <w:rsid w:val="00C56BAB"/>
    <w:rsid w:val="00C57E14"/>
    <w:rsid w:val="00C602B7"/>
    <w:rsid w:val="00C60D92"/>
    <w:rsid w:val="00C65930"/>
    <w:rsid w:val="00C70828"/>
    <w:rsid w:val="00C7086F"/>
    <w:rsid w:val="00C75AB0"/>
    <w:rsid w:val="00C804B7"/>
    <w:rsid w:val="00C82AA4"/>
    <w:rsid w:val="00C8305C"/>
    <w:rsid w:val="00C844D6"/>
    <w:rsid w:val="00C85259"/>
    <w:rsid w:val="00C85FF6"/>
    <w:rsid w:val="00C9326B"/>
    <w:rsid w:val="00C95691"/>
    <w:rsid w:val="00C96A47"/>
    <w:rsid w:val="00C970CE"/>
    <w:rsid w:val="00CA15E0"/>
    <w:rsid w:val="00CA1ECD"/>
    <w:rsid w:val="00CA4621"/>
    <w:rsid w:val="00CA4C7F"/>
    <w:rsid w:val="00CA55B7"/>
    <w:rsid w:val="00CB13B7"/>
    <w:rsid w:val="00CB7087"/>
    <w:rsid w:val="00CB723D"/>
    <w:rsid w:val="00CC41EE"/>
    <w:rsid w:val="00CC6AB3"/>
    <w:rsid w:val="00CC7E94"/>
    <w:rsid w:val="00CD061B"/>
    <w:rsid w:val="00CD0993"/>
    <w:rsid w:val="00CD0BF5"/>
    <w:rsid w:val="00CD0FA4"/>
    <w:rsid w:val="00CD1089"/>
    <w:rsid w:val="00CD1453"/>
    <w:rsid w:val="00CD164C"/>
    <w:rsid w:val="00CD1BCD"/>
    <w:rsid w:val="00CD41F8"/>
    <w:rsid w:val="00CD6D61"/>
    <w:rsid w:val="00CD7D66"/>
    <w:rsid w:val="00CD7FFC"/>
    <w:rsid w:val="00CE2C6E"/>
    <w:rsid w:val="00CE2D75"/>
    <w:rsid w:val="00CE3E41"/>
    <w:rsid w:val="00CE4A9E"/>
    <w:rsid w:val="00CE53AC"/>
    <w:rsid w:val="00CE5D4F"/>
    <w:rsid w:val="00CE64BA"/>
    <w:rsid w:val="00CE6C66"/>
    <w:rsid w:val="00CE799B"/>
    <w:rsid w:val="00CF046A"/>
    <w:rsid w:val="00CF321C"/>
    <w:rsid w:val="00CF4FE6"/>
    <w:rsid w:val="00CF556F"/>
    <w:rsid w:val="00CF5974"/>
    <w:rsid w:val="00D0030F"/>
    <w:rsid w:val="00D01DC4"/>
    <w:rsid w:val="00D02C16"/>
    <w:rsid w:val="00D0445F"/>
    <w:rsid w:val="00D0608D"/>
    <w:rsid w:val="00D061D5"/>
    <w:rsid w:val="00D06E87"/>
    <w:rsid w:val="00D06EFC"/>
    <w:rsid w:val="00D074BF"/>
    <w:rsid w:val="00D1197E"/>
    <w:rsid w:val="00D122E5"/>
    <w:rsid w:val="00D1514D"/>
    <w:rsid w:val="00D15C8B"/>
    <w:rsid w:val="00D1619E"/>
    <w:rsid w:val="00D206B3"/>
    <w:rsid w:val="00D219C1"/>
    <w:rsid w:val="00D22C33"/>
    <w:rsid w:val="00D27373"/>
    <w:rsid w:val="00D277C7"/>
    <w:rsid w:val="00D31710"/>
    <w:rsid w:val="00D32833"/>
    <w:rsid w:val="00D33DA7"/>
    <w:rsid w:val="00D34328"/>
    <w:rsid w:val="00D3507E"/>
    <w:rsid w:val="00D352B9"/>
    <w:rsid w:val="00D354D0"/>
    <w:rsid w:val="00D41D9A"/>
    <w:rsid w:val="00D43A45"/>
    <w:rsid w:val="00D45FC5"/>
    <w:rsid w:val="00D46B71"/>
    <w:rsid w:val="00D472D8"/>
    <w:rsid w:val="00D5255B"/>
    <w:rsid w:val="00D52B1A"/>
    <w:rsid w:val="00D538F6"/>
    <w:rsid w:val="00D5457D"/>
    <w:rsid w:val="00D54688"/>
    <w:rsid w:val="00D54EF5"/>
    <w:rsid w:val="00D56FF4"/>
    <w:rsid w:val="00D61E55"/>
    <w:rsid w:val="00D6213A"/>
    <w:rsid w:val="00D64F65"/>
    <w:rsid w:val="00D66433"/>
    <w:rsid w:val="00D67CEC"/>
    <w:rsid w:val="00D70223"/>
    <w:rsid w:val="00D73760"/>
    <w:rsid w:val="00D74036"/>
    <w:rsid w:val="00D802BD"/>
    <w:rsid w:val="00D808EE"/>
    <w:rsid w:val="00D83711"/>
    <w:rsid w:val="00D877F3"/>
    <w:rsid w:val="00D87FE7"/>
    <w:rsid w:val="00D91885"/>
    <w:rsid w:val="00D93663"/>
    <w:rsid w:val="00D94097"/>
    <w:rsid w:val="00D95DDC"/>
    <w:rsid w:val="00D9602C"/>
    <w:rsid w:val="00D96B60"/>
    <w:rsid w:val="00D97232"/>
    <w:rsid w:val="00DA0634"/>
    <w:rsid w:val="00DA3E6F"/>
    <w:rsid w:val="00DA62C5"/>
    <w:rsid w:val="00DA7CB8"/>
    <w:rsid w:val="00DA7DA7"/>
    <w:rsid w:val="00DB0871"/>
    <w:rsid w:val="00DB0CB2"/>
    <w:rsid w:val="00DB0F7B"/>
    <w:rsid w:val="00DB365C"/>
    <w:rsid w:val="00DC08BC"/>
    <w:rsid w:val="00DC1F63"/>
    <w:rsid w:val="00DD1011"/>
    <w:rsid w:val="00DE221F"/>
    <w:rsid w:val="00DE3A2A"/>
    <w:rsid w:val="00DE55E6"/>
    <w:rsid w:val="00DE5DBB"/>
    <w:rsid w:val="00DE7204"/>
    <w:rsid w:val="00DF169D"/>
    <w:rsid w:val="00DF7AE1"/>
    <w:rsid w:val="00E014E1"/>
    <w:rsid w:val="00E0241F"/>
    <w:rsid w:val="00E04482"/>
    <w:rsid w:val="00E04D37"/>
    <w:rsid w:val="00E05840"/>
    <w:rsid w:val="00E07968"/>
    <w:rsid w:val="00E10BA8"/>
    <w:rsid w:val="00E112AE"/>
    <w:rsid w:val="00E12448"/>
    <w:rsid w:val="00E13035"/>
    <w:rsid w:val="00E14683"/>
    <w:rsid w:val="00E17F5E"/>
    <w:rsid w:val="00E207DB"/>
    <w:rsid w:val="00E21EFB"/>
    <w:rsid w:val="00E2267F"/>
    <w:rsid w:val="00E235D4"/>
    <w:rsid w:val="00E25FBA"/>
    <w:rsid w:val="00E270B7"/>
    <w:rsid w:val="00E27C9F"/>
    <w:rsid w:val="00E30505"/>
    <w:rsid w:val="00E36A50"/>
    <w:rsid w:val="00E41B22"/>
    <w:rsid w:val="00E43C87"/>
    <w:rsid w:val="00E44BDB"/>
    <w:rsid w:val="00E47250"/>
    <w:rsid w:val="00E528EB"/>
    <w:rsid w:val="00E5370B"/>
    <w:rsid w:val="00E56811"/>
    <w:rsid w:val="00E56A3E"/>
    <w:rsid w:val="00E6139F"/>
    <w:rsid w:val="00E61E1E"/>
    <w:rsid w:val="00E62387"/>
    <w:rsid w:val="00E64B3B"/>
    <w:rsid w:val="00E66437"/>
    <w:rsid w:val="00E67D97"/>
    <w:rsid w:val="00E7045C"/>
    <w:rsid w:val="00E71A05"/>
    <w:rsid w:val="00E742BC"/>
    <w:rsid w:val="00E80AB0"/>
    <w:rsid w:val="00E824BD"/>
    <w:rsid w:val="00E8435E"/>
    <w:rsid w:val="00E90B9D"/>
    <w:rsid w:val="00E923F1"/>
    <w:rsid w:val="00E94FF0"/>
    <w:rsid w:val="00E96448"/>
    <w:rsid w:val="00E96A6F"/>
    <w:rsid w:val="00EA1B79"/>
    <w:rsid w:val="00EA3372"/>
    <w:rsid w:val="00EA34E0"/>
    <w:rsid w:val="00EA42B1"/>
    <w:rsid w:val="00EA4BDE"/>
    <w:rsid w:val="00EA6D03"/>
    <w:rsid w:val="00EB1D3D"/>
    <w:rsid w:val="00EB3D8A"/>
    <w:rsid w:val="00EB4AF9"/>
    <w:rsid w:val="00EB6139"/>
    <w:rsid w:val="00EB711D"/>
    <w:rsid w:val="00EC0476"/>
    <w:rsid w:val="00EC1AB3"/>
    <w:rsid w:val="00EC3314"/>
    <w:rsid w:val="00EC71ED"/>
    <w:rsid w:val="00EC7486"/>
    <w:rsid w:val="00ED04F4"/>
    <w:rsid w:val="00ED2536"/>
    <w:rsid w:val="00ED27A5"/>
    <w:rsid w:val="00ED7B38"/>
    <w:rsid w:val="00EE0057"/>
    <w:rsid w:val="00EE0E84"/>
    <w:rsid w:val="00EE120A"/>
    <w:rsid w:val="00EE208F"/>
    <w:rsid w:val="00EE308D"/>
    <w:rsid w:val="00EE44C9"/>
    <w:rsid w:val="00EF087C"/>
    <w:rsid w:val="00EF2769"/>
    <w:rsid w:val="00EF366A"/>
    <w:rsid w:val="00EF433A"/>
    <w:rsid w:val="00EF4DF3"/>
    <w:rsid w:val="00EF5F68"/>
    <w:rsid w:val="00EF60EA"/>
    <w:rsid w:val="00F0095A"/>
    <w:rsid w:val="00F02F28"/>
    <w:rsid w:val="00F0799D"/>
    <w:rsid w:val="00F12744"/>
    <w:rsid w:val="00F13F24"/>
    <w:rsid w:val="00F1419E"/>
    <w:rsid w:val="00F1472A"/>
    <w:rsid w:val="00F209D8"/>
    <w:rsid w:val="00F219B0"/>
    <w:rsid w:val="00F224F1"/>
    <w:rsid w:val="00F27ECF"/>
    <w:rsid w:val="00F27ED1"/>
    <w:rsid w:val="00F30CF8"/>
    <w:rsid w:val="00F31315"/>
    <w:rsid w:val="00F33495"/>
    <w:rsid w:val="00F3430E"/>
    <w:rsid w:val="00F35AE9"/>
    <w:rsid w:val="00F40408"/>
    <w:rsid w:val="00F42301"/>
    <w:rsid w:val="00F42F5E"/>
    <w:rsid w:val="00F43BA3"/>
    <w:rsid w:val="00F46297"/>
    <w:rsid w:val="00F46ABC"/>
    <w:rsid w:val="00F5172B"/>
    <w:rsid w:val="00F53655"/>
    <w:rsid w:val="00F53C1E"/>
    <w:rsid w:val="00F55290"/>
    <w:rsid w:val="00F55956"/>
    <w:rsid w:val="00F56CA9"/>
    <w:rsid w:val="00F6071E"/>
    <w:rsid w:val="00F614AD"/>
    <w:rsid w:val="00F616C5"/>
    <w:rsid w:val="00F62CFC"/>
    <w:rsid w:val="00F639E2"/>
    <w:rsid w:val="00F65284"/>
    <w:rsid w:val="00F711FF"/>
    <w:rsid w:val="00F71512"/>
    <w:rsid w:val="00F74363"/>
    <w:rsid w:val="00F74FA5"/>
    <w:rsid w:val="00F7658C"/>
    <w:rsid w:val="00F769FF"/>
    <w:rsid w:val="00F76C89"/>
    <w:rsid w:val="00F77E6A"/>
    <w:rsid w:val="00F81D93"/>
    <w:rsid w:val="00F831FB"/>
    <w:rsid w:val="00F869FF"/>
    <w:rsid w:val="00F86C62"/>
    <w:rsid w:val="00F907B5"/>
    <w:rsid w:val="00F9206B"/>
    <w:rsid w:val="00F926FD"/>
    <w:rsid w:val="00F92DB3"/>
    <w:rsid w:val="00F93164"/>
    <w:rsid w:val="00F93332"/>
    <w:rsid w:val="00F940A3"/>
    <w:rsid w:val="00F9413F"/>
    <w:rsid w:val="00F94A2D"/>
    <w:rsid w:val="00F94D21"/>
    <w:rsid w:val="00FA11D0"/>
    <w:rsid w:val="00FA14EB"/>
    <w:rsid w:val="00FA344A"/>
    <w:rsid w:val="00FA39DE"/>
    <w:rsid w:val="00FA406D"/>
    <w:rsid w:val="00FA44DE"/>
    <w:rsid w:val="00FA4570"/>
    <w:rsid w:val="00FA690F"/>
    <w:rsid w:val="00FA6CA4"/>
    <w:rsid w:val="00FB3748"/>
    <w:rsid w:val="00FB5056"/>
    <w:rsid w:val="00FB53FC"/>
    <w:rsid w:val="00FB74DC"/>
    <w:rsid w:val="00FC015B"/>
    <w:rsid w:val="00FC019D"/>
    <w:rsid w:val="00FC19A6"/>
    <w:rsid w:val="00FC3C87"/>
    <w:rsid w:val="00FC5AF2"/>
    <w:rsid w:val="00FD0CB0"/>
    <w:rsid w:val="00FD1315"/>
    <w:rsid w:val="00FD19F3"/>
    <w:rsid w:val="00FD7BD8"/>
    <w:rsid w:val="00FE1536"/>
    <w:rsid w:val="00FE25EE"/>
    <w:rsid w:val="00FE28FB"/>
    <w:rsid w:val="00FE4491"/>
    <w:rsid w:val="00FE5718"/>
    <w:rsid w:val="00FE68CD"/>
    <w:rsid w:val="00FE7ECF"/>
    <w:rsid w:val="00FF061A"/>
    <w:rsid w:val="00FF2137"/>
    <w:rsid w:val="00FF2C1C"/>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uiPriority w:val="99"/>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1">
    <w:name w:val="st1"/>
    <w:basedOn w:val="DefaultParagraphFont"/>
    <w:rsid w:val="00B17ED9"/>
  </w:style>
  <w:style w:type="paragraph" w:customStyle="1" w:styleId="BriefBackground">
    <w:name w:val="Brief Background"/>
    <w:basedOn w:val="ListBullet"/>
    <w:qFormat/>
    <w:rsid w:val="00B16559"/>
    <w:pPr>
      <w:numPr>
        <w:numId w:val="26"/>
      </w:numPr>
      <w:tabs>
        <w:tab w:val="clear" w:pos="284"/>
      </w:tabs>
      <w:spacing w:line="240" w:lineRule="auto"/>
      <w:ind w:left="0" w:firstLine="0"/>
    </w:pPr>
    <w:rPr>
      <w:rFonts w:asciiTheme="minorHAnsi" w:eastAsia="Calibri" w:hAnsiTheme="minorHAnsi" w:cstheme="minorHAnsi"/>
      <w:color w:val="000000" w:themeColor="text1"/>
      <w:sz w:val="24"/>
      <w:lang w:eastAsia="en-US"/>
    </w:rPr>
  </w:style>
  <w:style w:type="paragraph" w:customStyle="1" w:styleId="Default">
    <w:name w:val="Default"/>
    <w:rsid w:val="006B17E1"/>
    <w:pPr>
      <w:autoSpaceDE w:val="0"/>
      <w:autoSpaceDN w:val="0"/>
      <w:adjustRightInd w:val="0"/>
      <w:spacing w:after="0" w:line="240" w:lineRule="auto"/>
    </w:pPr>
    <w:rPr>
      <w:rFonts w:ascii="Tw Cen MT" w:hAnsi="Tw Cen MT" w:cs="Tw Cen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uiPriority w:val="99"/>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st1">
    <w:name w:val="st1"/>
    <w:basedOn w:val="DefaultParagraphFont"/>
    <w:rsid w:val="00B17ED9"/>
  </w:style>
  <w:style w:type="paragraph" w:customStyle="1" w:styleId="BriefBackground">
    <w:name w:val="Brief Background"/>
    <w:basedOn w:val="ListBullet"/>
    <w:qFormat/>
    <w:rsid w:val="00B16559"/>
    <w:pPr>
      <w:numPr>
        <w:numId w:val="26"/>
      </w:numPr>
      <w:tabs>
        <w:tab w:val="clear" w:pos="284"/>
      </w:tabs>
      <w:spacing w:line="240" w:lineRule="auto"/>
      <w:ind w:left="0" w:firstLine="0"/>
    </w:pPr>
    <w:rPr>
      <w:rFonts w:asciiTheme="minorHAnsi" w:eastAsia="Calibri" w:hAnsiTheme="minorHAnsi" w:cstheme="minorHAnsi"/>
      <w:color w:val="000000" w:themeColor="text1"/>
      <w:sz w:val="24"/>
      <w:lang w:eastAsia="en-US"/>
    </w:rPr>
  </w:style>
  <w:style w:type="paragraph" w:customStyle="1" w:styleId="Default">
    <w:name w:val="Default"/>
    <w:rsid w:val="006B17E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1416">
      <w:bodyDiv w:val="1"/>
      <w:marLeft w:val="0"/>
      <w:marRight w:val="0"/>
      <w:marTop w:val="0"/>
      <w:marBottom w:val="0"/>
      <w:divBdr>
        <w:top w:val="none" w:sz="0" w:space="0" w:color="auto"/>
        <w:left w:val="none" w:sz="0" w:space="0" w:color="auto"/>
        <w:bottom w:val="none" w:sz="0" w:space="0" w:color="auto"/>
        <w:right w:val="none" w:sz="0" w:space="0" w:color="auto"/>
      </w:divBdr>
    </w:div>
    <w:div w:id="121387956">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73155918">
      <w:bodyDiv w:val="1"/>
      <w:marLeft w:val="0"/>
      <w:marRight w:val="0"/>
      <w:marTop w:val="0"/>
      <w:marBottom w:val="0"/>
      <w:divBdr>
        <w:top w:val="none" w:sz="0" w:space="0" w:color="auto"/>
        <w:left w:val="none" w:sz="0" w:space="0" w:color="auto"/>
        <w:bottom w:val="none" w:sz="0" w:space="0" w:color="auto"/>
        <w:right w:val="none" w:sz="0" w:space="0" w:color="auto"/>
      </w:divBdr>
    </w:div>
    <w:div w:id="193278351">
      <w:bodyDiv w:val="1"/>
      <w:marLeft w:val="0"/>
      <w:marRight w:val="0"/>
      <w:marTop w:val="0"/>
      <w:marBottom w:val="0"/>
      <w:divBdr>
        <w:top w:val="none" w:sz="0" w:space="0" w:color="auto"/>
        <w:left w:val="none" w:sz="0" w:space="0" w:color="auto"/>
        <w:bottom w:val="none" w:sz="0" w:space="0" w:color="auto"/>
        <w:right w:val="none" w:sz="0" w:space="0" w:color="auto"/>
      </w:divBdr>
    </w:div>
    <w:div w:id="30312186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20953254">
      <w:bodyDiv w:val="1"/>
      <w:marLeft w:val="0"/>
      <w:marRight w:val="0"/>
      <w:marTop w:val="0"/>
      <w:marBottom w:val="0"/>
      <w:divBdr>
        <w:top w:val="none" w:sz="0" w:space="0" w:color="auto"/>
        <w:left w:val="none" w:sz="0" w:space="0" w:color="auto"/>
        <w:bottom w:val="none" w:sz="0" w:space="0" w:color="auto"/>
        <w:right w:val="none" w:sz="0" w:space="0" w:color="auto"/>
      </w:divBdr>
    </w:div>
    <w:div w:id="436868613">
      <w:bodyDiv w:val="1"/>
      <w:marLeft w:val="0"/>
      <w:marRight w:val="0"/>
      <w:marTop w:val="0"/>
      <w:marBottom w:val="0"/>
      <w:divBdr>
        <w:top w:val="none" w:sz="0" w:space="0" w:color="auto"/>
        <w:left w:val="none" w:sz="0" w:space="0" w:color="auto"/>
        <w:bottom w:val="none" w:sz="0" w:space="0" w:color="auto"/>
        <w:right w:val="none" w:sz="0" w:space="0" w:color="auto"/>
      </w:divBdr>
    </w:div>
    <w:div w:id="473521344">
      <w:bodyDiv w:val="1"/>
      <w:marLeft w:val="0"/>
      <w:marRight w:val="0"/>
      <w:marTop w:val="0"/>
      <w:marBottom w:val="0"/>
      <w:divBdr>
        <w:top w:val="none" w:sz="0" w:space="0" w:color="auto"/>
        <w:left w:val="none" w:sz="0" w:space="0" w:color="auto"/>
        <w:bottom w:val="none" w:sz="0" w:space="0" w:color="auto"/>
        <w:right w:val="none" w:sz="0" w:space="0" w:color="auto"/>
      </w:divBdr>
    </w:div>
    <w:div w:id="668563724">
      <w:bodyDiv w:val="1"/>
      <w:marLeft w:val="0"/>
      <w:marRight w:val="0"/>
      <w:marTop w:val="0"/>
      <w:marBottom w:val="0"/>
      <w:divBdr>
        <w:top w:val="none" w:sz="0" w:space="0" w:color="auto"/>
        <w:left w:val="none" w:sz="0" w:space="0" w:color="auto"/>
        <w:bottom w:val="none" w:sz="0" w:space="0" w:color="auto"/>
        <w:right w:val="none" w:sz="0" w:space="0" w:color="auto"/>
      </w:divBdr>
    </w:div>
    <w:div w:id="717431535">
      <w:bodyDiv w:val="1"/>
      <w:marLeft w:val="0"/>
      <w:marRight w:val="0"/>
      <w:marTop w:val="0"/>
      <w:marBottom w:val="0"/>
      <w:divBdr>
        <w:top w:val="none" w:sz="0" w:space="0" w:color="auto"/>
        <w:left w:val="none" w:sz="0" w:space="0" w:color="auto"/>
        <w:bottom w:val="none" w:sz="0" w:space="0" w:color="auto"/>
        <w:right w:val="none" w:sz="0" w:space="0" w:color="auto"/>
      </w:divBdr>
    </w:div>
    <w:div w:id="728068243">
      <w:bodyDiv w:val="1"/>
      <w:marLeft w:val="0"/>
      <w:marRight w:val="0"/>
      <w:marTop w:val="0"/>
      <w:marBottom w:val="0"/>
      <w:divBdr>
        <w:top w:val="none" w:sz="0" w:space="0" w:color="auto"/>
        <w:left w:val="none" w:sz="0" w:space="0" w:color="auto"/>
        <w:bottom w:val="none" w:sz="0" w:space="0" w:color="auto"/>
        <w:right w:val="none" w:sz="0" w:space="0" w:color="auto"/>
      </w:divBdr>
    </w:div>
    <w:div w:id="739788822">
      <w:bodyDiv w:val="1"/>
      <w:marLeft w:val="0"/>
      <w:marRight w:val="0"/>
      <w:marTop w:val="0"/>
      <w:marBottom w:val="0"/>
      <w:divBdr>
        <w:top w:val="none" w:sz="0" w:space="0" w:color="auto"/>
        <w:left w:val="none" w:sz="0" w:space="0" w:color="auto"/>
        <w:bottom w:val="none" w:sz="0" w:space="0" w:color="auto"/>
        <w:right w:val="none" w:sz="0" w:space="0" w:color="auto"/>
      </w:divBdr>
    </w:div>
    <w:div w:id="78446909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5215137">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627570">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65512346">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58252597">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299728263">
      <w:bodyDiv w:val="1"/>
      <w:marLeft w:val="0"/>
      <w:marRight w:val="0"/>
      <w:marTop w:val="0"/>
      <w:marBottom w:val="0"/>
      <w:divBdr>
        <w:top w:val="none" w:sz="0" w:space="0" w:color="auto"/>
        <w:left w:val="none" w:sz="0" w:space="0" w:color="auto"/>
        <w:bottom w:val="none" w:sz="0" w:space="0" w:color="auto"/>
        <w:right w:val="none" w:sz="0" w:space="0" w:color="auto"/>
      </w:divBdr>
    </w:div>
    <w:div w:id="1311130648">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18214434">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83446414">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582968">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68857338">
      <w:bodyDiv w:val="1"/>
      <w:marLeft w:val="0"/>
      <w:marRight w:val="0"/>
      <w:marTop w:val="0"/>
      <w:marBottom w:val="0"/>
      <w:divBdr>
        <w:top w:val="none" w:sz="0" w:space="0" w:color="auto"/>
        <w:left w:val="none" w:sz="0" w:space="0" w:color="auto"/>
        <w:bottom w:val="none" w:sz="0" w:space="0" w:color="auto"/>
        <w:right w:val="none" w:sz="0" w:space="0" w:color="auto"/>
      </w:divBdr>
    </w:div>
    <w:div w:id="2036689942">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forumsec.org/pages.cfm/%20%20newsroom/press-statements/2011/tuvalu-calls-for-harmonisation-o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F885FE-79B5-40E2-ABF1-6A39AF6FC2AA}"/>
</file>

<file path=customXml/itemProps2.xml><?xml version="1.0" encoding="utf-8"?>
<ds:datastoreItem xmlns:ds="http://schemas.openxmlformats.org/officeDocument/2006/customXml" ds:itemID="{506989D3-1341-4704-9A1B-2F536A648E2A}"/>
</file>

<file path=customXml/itemProps3.xml><?xml version="1.0" encoding="utf-8"?>
<ds:datastoreItem xmlns:ds="http://schemas.openxmlformats.org/officeDocument/2006/customXml" ds:itemID="{B000212D-EC1C-4BB6-A2E9-E4D561576C15}"/>
</file>

<file path=customXml/itemProps4.xml><?xml version="1.0" encoding="utf-8"?>
<ds:datastoreItem xmlns:ds="http://schemas.openxmlformats.org/officeDocument/2006/customXml" ds:itemID="{85D5E04B-634D-43EC-920F-1FBB2C1193C2}"/>
</file>

<file path=docProps/app.xml><?xml version="1.0" encoding="utf-8"?>
<Properties xmlns="http://schemas.openxmlformats.org/officeDocument/2006/extended-properties" xmlns:vt="http://schemas.openxmlformats.org/officeDocument/2006/docPropsVTypes">
  <Template>7B0C2E9E</Template>
  <TotalTime>0</TotalTime>
  <Pages>17</Pages>
  <Words>6536</Words>
  <Characters>37257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2014-10-29T00:06:00Z</dcterms:created>
  <dcterms:modified xsi:type="dcterms:W3CDTF">2014-10-29T00:06:00Z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