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D1CDA" w14:textId="5163C3B3" w:rsidR="00A8B934" w:rsidRDefault="00A8B934" w:rsidP="4A3BA5E0">
      <w:pPr>
        <w:spacing w:after="0" w:line="240" w:lineRule="auto"/>
        <w:contextualSpacing/>
        <w:jc w:val="center"/>
        <w:rPr>
          <w:rFonts w:ascii="Arial" w:eastAsia="Arial" w:hAnsi="Arial" w:cs="Arial"/>
          <w:color w:val="000000" w:themeColor="text1"/>
        </w:rPr>
      </w:pPr>
      <w:r w:rsidRPr="373A6FF3">
        <w:rPr>
          <w:rFonts w:ascii="Arial" w:eastAsia="Arial" w:hAnsi="Arial" w:cs="Arial"/>
          <w:b/>
          <w:bCs/>
          <w:color w:val="000000" w:themeColor="text1"/>
          <w:lang w:val="en-US"/>
        </w:rPr>
        <w:t xml:space="preserve">ANNEX </w:t>
      </w:r>
      <w:r w:rsidR="00B81592">
        <w:rPr>
          <w:rFonts w:ascii="Arial" w:eastAsia="Arial" w:hAnsi="Arial" w:cs="Arial"/>
          <w:b/>
          <w:bCs/>
          <w:color w:val="000000" w:themeColor="text1"/>
          <w:lang w:val="en-US"/>
        </w:rPr>
        <w:t>2A</w:t>
      </w:r>
      <w:r w:rsidRPr="4A3BA5E0">
        <w:rPr>
          <w:rFonts w:ascii="Arial" w:eastAsia="Arial" w:hAnsi="Arial" w:cs="Arial"/>
          <w:b/>
          <w:bCs/>
          <w:color w:val="000000" w:themeColor="text1"/>
          <w:lang w:val="en-US"/>
        </w:rPr>
        <w:t>SCHEDULES OF TARIFF COMMITMENTS</w:t>
      </w:r>
    </w:p>
    <w:p w14:paraId="44836196" w14:textId="7057B270" w:rsidR="4A3BA5E0" w:rsidRDefault="4A3BA5E0" w:rsidP="4A3BA5E0">
      <w:pPr>
        <w:spacing w:after="0" w:line="240" w:lineRule="auto"/>
        <w:contextualSpacing/>
        <w:jc w:val="center"/>
        <w:rPr>
          <w:rFonts w:ascii="Arial" w:eastAsia="Arial" w:hAnsi="Arial" w:cs="Arial"/>
          <w:b/>
          <w:bCs/>
          <w:color w:val="000000" w:themeColor="text1"/>
          <w:lang w:val="en-US"/>
        </w:rPr>
      </w:pPr>
    </w:p>
    <w:p w14:paraId="66788330" w14:textId="77777777" w:rsidR="00A21437" w:rsidRPr="000A4B38" w:rsidRDefault="00A21437" w:rsidP="00A21437">
      <w:pPr>
        <w:spacing w:after="0" w:line="240" w:lineRule="auto"/>
        <w:contextualSpacing/>
        <w:jc w:val="center"/>
        <w:rPr>
          <w:rFonts w:ascii="Arial" w:eastAsia="Arial" w:hAnsi="Arial" w:cs="Arial"/>
          <w:b/>
          <w:bCs/>
          <w:color w:val="000000" w:themeColor="text1"/>
        </w:rPr>
      </w:pPr>
      <w:r w:rsidRPr="000A4B38">
        <w:rPr>
          <w:rFonts w:ascii="Arial" w:eastAsia="Arial" w:hAnsi="Arial" w:cs="Arial"/>
          <w:b/>
          <w:bCs/>
          <w:color w:val="000000" w:themeColor="text1"/>
        </w:rPr>
        <w:t>PART A</w:t>
      </w:r>
    </w:p>
    <w:p w14:paraId="42536579" w14:textId="484F6335" w:rsidR="4A3BA5E0" w:rsidRDefault="4A3BA5E0" w:rsidP="4A3BA5E0">
      <w:pPr>
        <w:spacing w:after="0" w:line="240" w:lineRule="auto"/>
        <w:contextualSpacing/>
        <w:jc w:val="center"/>
        <w:rPr>
          <w:rFonts w:ascii="Arial" w:eastAsia="Arial" w:hAnsi="Arial" w:cs="Arial"/>
          <w:i/>
          <w:iCs/>
          <w:color w:val="000000" w:themeColor="text1"/>
          <w:lang w:val="en-US"/>
        </w:rPr>
      </w:pPr>
    </w:p>
    <w:p w14:paraId="1963D7BB" w14:textId="3EA894BB" w:rsidR="00A8B934" w:rsidRDefault="00A8B934" w:rsidP="4A3BA5E0">
      <w:pPr>
        <w:spacing w:after="0" w:line="240" w:lineRule="auto"/>
        <w:contextualSpacing/>
        <w:jc w:val="center"/>
        <w:rPr>
          <w:rFonts w:ascii="Arial" w:eastAsia="Arial" w:hAnsi="Arial" w:cs="Arial"/>
          <w:i/>
          <w:iCs/>
          <w:color w:val="000000" w:themeColor="text1"/>
          <w:lang w:val="en-US"/>
        </w:rPr>
      </w:pPr>
      <w:r w:rsidRPr="4A3BA5E0">
        <w:rPr>
          <w:rFonts w:ascii="Arial" w:eastAsia="Arial" w:hAnsi="Arial" w:cs="Arial"/>
          <w:i/>
          <w:iCs/>
          <w:color w:val="000000" w:themeColor="text1"/>
          <w:lang w:val="en-US"/>
        </w:rPr>
        <w:t>General Notes</w:t>
      </w:r>
    </w:p>
    <w:p w14:paraId="42B443AF" w14:textId="54DB7F38" w:rsidR="00BD391C" w:rsidRDefault="00BD391C" w:rsidP="002450F7">
      <w:pPr>
        <w:spacing w:after="0" w:line="240" w:lineRule="auto"/>
        <w:contextualSpacing/>
        <w:rPr>
          <w:rFonts w:ascii="Arial" w:eastAsia="Arial" w:hAnsi="Arial" w:cs="Arial"/>
          <w:color w:val="000000" w:themeColor="text1"/>
        </w:rPr>
      </w:pPr>
    </w:p>
    <w:p w14:paraId="760677F8" w14:textId="1541FD67" w:rsidR="00BD391C" w:rsidRDefault="00BD391C" w:rsidP="373A6FF3">
      <w:pPr>
        <w:spacing w:after="0" w:line="240" w:lineRule="auto"/>
        <w:contextualSpacing/>
        <w:rPr>
          <w:rFonts w:ascii="Arial" w:eastAsia="Arial" w:hAnsi="Arial" w:cs="Arial"/>
          <w:color w:val="000000" w:themeColor="text1"/>
        </w:rPr>
      </w:pPr>
    </w:p>
    <w:p w14:paraId="59EF665D" w14:textId="4E506F57" w:rsidR="00BD391C" w:rsidRPr="00B72784" w:rsidRDefault="00A8B934" w:rsidP="00B72784">
      <w:pPr>
        <w:spacing w:after="0" w:line="276" w:lineRule="auto"/>
        <w:jc w:val="both"/>
        <w:rPr>
          <w:rFonts w:ascii="Arial" w:eastAsia="Arial" w:hAnsi="Arial" w:cs="Arial"/>
          <w:color w:val="000000" w:themeColor="text1"/>
        </w:rPr>
      </w:pPr>
      <w:r w:rsidRPr="00B72784">
        <w:rPr>
          <w:rFonts w:ascii="Arial" w:eastAsia="Arial" w:hAnsi="Arial" w:cs="Arial"/>
          <w:color w:val="000000" w:themeColor="text1"/>
          <w:lang w:val="en-US"/>
        </w:rPr>
        <w:t xml:space="preserve">For the </w:t>
      </w:r>
      <w:r w:rsidR="00FB28E7" w:rsidRPr="00B72784">
        <w:rPr>
          <w:rFonts w:ascii="Arial" w:eastAsia="Arial" w:hAnsi="Arial" w:cs="Arial"/>
          <w:color w:val="000000" w:themeColor="text1"/>
          <w:lang w:val="en-US"/>
        </w:rPr>
        <w:t>purpose</w:t>
      </w:r>
      <w:r w:rsidRPr="00B72784">
        <w:rPr>
          <w:rFonts w:ascii="Arial" w:eastAsia="Arial" w:hAnsi="Arial" w:cs="Arial"/>
          <w:color w:val="000000" w:themeColor="text1"/>
          <w:lang w:val="en-US"/>
        </w:rPr>
        <w:t xml:space="preserve"> of this Annex: </w:t>
      </w:r>
    </w:p>
    <w:p w14:paraId="05A35544" w14:textId="3E73A01C" w:rsidR="00BD391C" w:rsidRDefault="00BD391C" w:rsidP="00066ED2">
      <w:pPr>
        <w:spacing w:after="0" w:line="276" w:lineRule="auto"/>
        <w:contextualSpacing/>
        <w:jc w:val="both"/>
        <w:rPr>
          <w:rFonts w:ascii="Arial" w:eastAsia="Arial" w:hAnsi="Arial" w:cs="Arial"/>
          <w:color w:val="000000" w:themeColor="text1"/>
          <w:lang w:val="en-US"/>
        </w:rPr>
      </w:pPr>
    </w:p>
    <w:p w14:paraId="1B04C8B7" w14:textId="6A5AE200" w:rsidR="00BD391C" w:rsidRDefault="00A8B934" w:rsidP="00A21437">
      <w:pPr>
        <w:spacing w:after="0" w:line="276" w:lineRule="auto"/>
        <w:ind w:left="567"/>
        <w:contextualSpacing/>
        <w:jc w:val="both"/>
        <w:rPr>
          <w:rFonts w:ascii="Arial" w:eastAsia="Arial" w:hAnsi="Arial" w:cs="Arial"/>
          <w:color w:val="000000" w:themeColor="text1"/>
          <w:lang w:val="en-US"/>
        </w:rPr>
      </w:pPr>
      <w:r w:rsidRPr="32DA2A7E">
        <w:rPr>
          <w:rFonts w:ascii="Arial" w:eastAsia="Arial" w:hAnsi="Arial" w:cs="Arial"/>
          <w:b/>
          <w:bCs/>
          <w:color w:val="000000" w:themeColor="text1"/>
          <w:lang w:val="en-US"/>
        </w:rPr>
        <w:t xml:space="preserve">HS Code </w:t>
      </w:r>
      <w:r w:rsidRPr="32DA2A7E">
        <w:rPr>
          <w:rFonts w:ascii="Arial" w:eastAsia="Arial" w:hAnsi="Arial" w:cs="Arial"/>
          <w:color w:val="000000" w:themeColor="text1"/>
          <w:lang w:val="en-US"/>
        </w:rPr>
        <w:t xml:space="preserve">and </w:t>
      </w:r>
      <w:r w:rsidRPr="32DA2A7E">
        <w:rPr>
          <w:rFonts w:ascii="Arial" w:eastAsia="Arial" w:hAnsi="Arial" w:cs="Arial"/>
          <w:b/>
          <w:bCs/>
          <w:color w:val="000000" w:themeColor="text1"/>
          <w:lang w:val="en-US"/>
        </w:rPr>
        <w:t xml:space="preserve">Description </w:t>
      </w:r>
      <w:r w:rsidRPr="32DA2A7E">
        <w:rPr>
          <w:rFonts w:ascii="Arial" w:eastAsia="Arial" w:hAnsi="Arial" w:cs="Arial"/>
          <w:color w:val="000000" w:themeColor="text1"/>
          <w:lang w:val="en-US"/>
        </w:rPr>
        <w:t xml:space="preserve">refer to the relevant </w:t>
      </w:r>
      <w:r w:rsidR="734B61B4" w:rsidRPr="32DA2A7E">
        <w:rPr>
          <w:rFonts w:ascii="Arial" w:eastAsia="Arial" w:hAnsi="Arial" w:cs="Arial"/>
          <w:color w:val="000000" w:themeColor="text1"/>
          <w:lang w:val="en-US"/>
        </w:rPr>
        <w:t xml:space="preserve">national tariff line of </w:t>
      </w:r>
      <w:r w:rsidR="00E831A5">
        <w:rPr>
          <w:rFonts w:ascii="Arial" w:eastAsia="Arial" w:hAnsi="Arial" w:cs="Arial"/>
          <w:color w:val="000000" w:themeColor="text1"/>
          <w:lang w:val="en-US"/>
        </w:rPr>
        <w:t>each</w:t>
      </w:r>
      <w:r w:rsidR="734B61B4" w:rsidRPr="32DA2A7E">
        <w:rPr>
          <w:rFonts w:ascii="Arial" w:eastAsia="Arial" w:hAnsi="Arial" w:cs="Arial"/>
          <w:color w:val="000000" w:themeColor="text1"/>
          <w:lang w:val="en-US"/>
        </w:rPr>
        <w:t xml:space="preserve"> Party and its corresponding description as they existed in that Party’s national tariff schedule as of </w:t>
      </w:r>
      <w:r w:rsidR="00590333">
        <w:rPr>
          <w:rFonts w:ascii="Arial" w:eastAsia="Arial" w:hAnsi="Arial" w:cs="Arial"/>
          <w:color w:val="000000" w:themeColor="text1"/>
          <w:lang w:val="en-US"/>
        </w:rPr>
        <w:t>1 January 202</w:t>
      </w:r>
      <w:r w:rsidR="00EA4E1D">
        <w:rPr>
          <w:rFonts w:ascii="Arial" w:eastAsia="Arial" w:hAnsi="Arial" w:cs="Arial"/>
          <w:color w:val="000000" w:themeColor="text1"/>
          <w:lang w:val="en-US"/>
        </w:rPr>
        <w:t>4</w:t>
      </w:r>
      <w:r w:rsidR="00B5496D">
        <w:rPr>
          <w:rFonts w:ascii="Arial" w:eastAsia="Arial" w:hAnsi="Arial" w:cs="Arial"/>
          <w:lang w:val="en-US"/>
        </w:rPr>
        <w:t>.</w:t>
      </w:r>
      <w:r w:rsidR="0071772C" w:rsidRPr="00B5496D">
        <w:rPr>
          <w:rFonts w:ascii="Arial" w:eastAsia="Arial" w:hAnsi="Arial" w:cs="Arial"/>
          <w:lang w:val="en-US"/>
        </w:rPr>
        <w:t xml:space="preserve"> </w:t>
      </w:r>
    </w:p>
    <w:p w14:paraId="2FBED1B3" w14:textId="77777777" w:rsidR="0071772C" w:rsidRPr="003F47B5" w:rsidRDefault="0071772C" w:rsidP="00A21437">
      <w:pPr>
        <w:spacing w:after="0" w:line="276" w:lineRule="auto"/>
        <w:ind w:left="567"/>
        <w:contextualSpacing/>
        <w:jc w:val="both"/>
        <w:rPr>
          <w:rFonts w:ascii="Arial" w:eastAsia="Arial" w:hAnsi="Arial" w:cs="Arial"/>
          <w:color w:val="000000" w:themeColor="text1"/>
          <w:lang w:val="en-AU"/>
        </w:rPr>
      </w:pPr>
    </w:p>
    <w:p w14:paraId="36D0BBCB" w14:textId="3EBBA476" w:rsidR="00BD391C" w:rsidRDefault="002C1856" w:rsidP="00A21437">
      <w:pPr>
        <w:spacing w:after="0" w:line="276" w:lineRule="auto"/>
        <w:ind w:left="567"/>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Base </w:t>
      </w:r>
      <w:r w:rsidR="002450F7">
        <w:rPr>
          <w:rFonts w:ascii="Arial" w:eastAsia="Arial" w:hAnsi="Arial" w:cs="Arial"/>
          <w:b/>
          <w:bCs/>
          <w:color w:val="000000" w:themeColor="text1"/>
          <w:lang w:val="en-US"/>
        </w:rPr>
        <w:t>Rate</w:t>
      </w:r>
      <w:r w:rsidR="006C56F4">
        <w:rPr>
          <w:rFonts w:ascii="Arial" w:eastAsia="Arial" w:hAnsi="Arial" w:cs="Arial"/>
          <w:b/>
          <w:bCs/>
          <w:color w:val="000000" w:themeColor="text1"/>
          <w:lang w:val="en-US"/>
        </w:rPr>
        <w:t xml:space="preserve"> </w:t>
      </w:r>
      <w:r w:rsidR="006C56F4">
        <w:rPr>
          <w:rFonts w:ascii="Arial" w:eastAsia="Arial" w:hAnsi="Arial" w:cs="Arial"/>
          <w:color w:val="000000" w:themeColor="text1"/>
          <w:lang w:val="en-US"/>
        </w:rPr>
        <w:t xml:space="preserve">refers to the applied most-favoured-nation (MFN) rate of duty in effect </w:t>
      </w:r>
      <w:r w:rsidR="007B6630">
        <w:rPr>
          <w:rFonts w:ascii="Arial" w:eastAsia="Arial" w:hAnsi="Arial" w:cs="Arial"/>
          <w:color w:val="000000" w:themeColor="text1"/>
          <w:lang w:val="en-US"/>
        </w:rPr>
        <w:t>as of</w:t>
      </w:r>
      <w:r w:rsidR="006C56F4">
        <w:rPr>
          <w:rFonts w:ascii="Arial" w:eastAsia="Arial" w:hAnsi="Arial" w:cs="Arial"/>
          <w:color w:val="000000" w:themeColor="text1"/>
          <w:lang w:val="en-US"/>
        </w:rPr>
        <w:t xml:space="preserve"> 1 January 202</w:t>
      </w:r>
      <w:r w:rsidR="006916E0">
        <w:rPr>
          <w:rFonts w:ascii="Arial" w:eastAsia="Arial" w:hAnsi="Arial" w:cs="Arial"/>
          <w:color w:val="000000" w:themeColor="text1"/>
          <w:lang w:val="en-US"/>
        </w:rPr>
        <w:t>4</w:t>
      </w:r>
      <w:r w:rsidR="006C56F4">
        <w:rPr>
          <w:rFonts w:ascii="Arial" w:eastAsia="Arial" w:hAnsi="Arial" w:cs="Arial"/>
          <w:color w:val="000000" w:themeColor="text1"/>
          <w:lang w:val="en-US"/>
        </w:rPr>
        <w:t xml:space="preserve"> </w:t>
      </w:r>
      <w:r w:rsidR="00385C52">
        <w:rPr>
          <w:rFonts w:ascii="Arial" w:eastAsia="Arial" w:hAnsi="Arial" w:cs="Arial"/>
          <w:color w:val="000000" w:themeColor="text1"/>
          <w:lang w:val="en-US"/>
        </w:rPr>
        <w:t>for</w:t>
      </w:r>
      <w:r w:rsidR="006C56F4">
        <w:rPr>
          <w:rFonts w:ascii="Arial" w:eastAsia="Arial" w:hAnsi="Arial" w:cs="Arial"/>
          <w:color w:val="000000" w:themeColor="text1"/>
          <w:lang w:val="en-US"/>
        </w:rPr>
        <w:t xml:space="preserve"> </w:t>
      </w:r>
      <w:r w:rsidR="00E831A5">
        <w:rPr>
          <w:rFonts w:ascii="Arial" w:eastAsia="Arial" w:hAnsi="Arial" w:cs="Arial"/>
          <w:color w:val="000000" w:themeColor="text1"/>
          <w:lang w:val="en-US"/>
        </w:rPr>
        <w:t>each</w:t>
      </w:r>
      <w:r w:rsidR="006C56F4">
        <w:rPr>
          <w:rFonts w:ascii="Arial" w:eastAsia="Arial" w:hAnsi="Arial" w:cs="Arial"/>
          <w:color w:val="000000" w:themeColor="text1"/>
          <w:lang w:val="en-US"/>
        </w:rPr>
        <w:t xml:space="preserve"> Party</w:t>
      </w:r>
      <w:r w:rsidR="00B72784">
        <w:rPr>
          <w:rFonts w:ascii="Arial" w:eastAsia="Arial" w:hAnsi="Arial" w:cs="Arial"/>
          <w:color w:val="000000" w:themeColor="text1"/>
          <w:lang w:val="en-US"/>
        </w:rPr>
        <w:t xml:space="preserve"> as indicated in </w:t>
      </w:r>
      <w:r w:rsidR="00720275">
        <w:rPr>
          <w:rFonts w:ascii="Arial" w:eastAsia="Arial" w:hAnsi="Arial" w:cs="Arial"/>
          <w:color w:val="000000" w:themeColor="text1"/>
          <w:lang w:val="en-US"/>
        </w:rPr>
        <w:t xml:space="preserve">Part B </w:t>
      </w:r>
      <w:r w:rsidR="00B72784">
        <w:rPr>
          <w:rFonts w:ascii="Arial" w:eastAsia="Arial" w:hAnsi="Arial" w:cs="Arial"/>
          <w:color w:val="000000" w:themeColor="text1"/>
          <w:lang w:val="en-US"/>
        </w:rPr>
        <w:t xml:space="preserve">(Schedule of Australia) and </w:t>
      </w:r>
      <w:r w:rsidR="00D40FB8">
        <w:rPr>
          <w:rFonts w:ascii="Arial" w:eastAsia="Arial" w:hAnsi="Arial" w:cs="Arial"/>
          <w:color w:val="000000" w:themeColor="text1"/>
          <w:lang w:val="en-US"/>
        </w:rPr>
        <w:t>Part C</w:t>
      </w:r>
      <w:r w:rsidR="00B72784">
        <w:rPr>
          <w:rFonts w:ascii="Arial" w:eastAsia="Arial" w:hAnsi="Arial" w:cs="Arial"/>
          <w:color w:val="000000" w:themeColor="text1"/>
          <w:lang w:val="en-US"/>
        </w:rPr>
        <w:t xml:space="preserve"> (Schedule of the United Arab Emirates)</w:t>
      </w:r>
      <w:r w:rsidR="006C56F4">
        <w:rPr>
          <w:rFonts w:ascii="Arial" w:eastAsia="Arial" w:hAnsi="Arial" w:cs="Arial"/>
          <w:color w:val="000000" w:themeColor="text1"/>
          <w:lang w:val="en-US"/>
        </w:rPr>
        <w:t xml:space="preserve">. </w:t>
      </w:r>
    </w:p>
    <w:p w14:paraId="1962BDAA" w14:textId="77777777" w:rsidR="00D0582E" w:rsidRDefault="00D0582E" w:rsidP="00A21437">
      <w:pPr>
        <w:spacing w:after="0" w:line="276" w:lineRule="auto"/>
        <w:ind w:left="567"/>
        <w:contextualSpacing/>
        <w:jc w:val="both"/>
        <w:rPr>
          <w:rFonts w:ascii="Arial" w:eastAsia="Arial" w:hAnsi="Arial" w:cs="Arial"/>
          <w:color w:val="000000" w:themeColor="text1"/>
          <w:lang w:val="en-US"/>
        </w:rPr>
      </w:pPr>
    </w:p>
    <w:p w14:paraId="0246188C" w14:textId="77777777" w:rsidR="00D0582E" w:rsidRDefault="00D0582E" w:rsidP="00A21437">
      <w:pPr>
        <w:pStyle w:val="ListParagraph"/>
        <w:spacing w:after="0" w:line="276" w:lineRule="auto"/>
        <w:ind w:left="567"/>
        <w:jc w:val="both"/>
        <w:rPr>
          <w:rFonts w:ascii="Arial" w:eastAsia="Arial" w:hAnsi="Arial" w:cs="Arial"/>
          <w:color w:val="000000" w:themeColor="text1"/>
          <w:lang w:val="en-US"/>
        </w:rPr>
      </w:pPr>
      <w:r w:rsidRPr="00322CEA">
        <w:rPr>
          <w:rFonts w:ascii="Arial" w:eastAsia="Arial" w:hAnsi="Arial" w:cs="Arial"/>
          <w:b/>
          <w:bCs/>
          <w:color w:val="000000" w:themeColor="text1"/>
          <w:lang w:val="en-US"/>
        </w:rPr>
        <w:t xml:space="preserve">Entry into force (EIF) </w:t>
      </w:r>
      <w:r w:rsidRPr="00A666F1">
        <w:rPr>
          <w:rFonts w:ascii="Arial" w:eastAsia="Arial" w:hAnsi="Arial" w:cs="Arial"/>
          <w:color w:val="000000" w:themeColor="text1"/>
          <w:lang w:val="en-US"/>
        </w:rPr>
        <w:t>shall refer to the date of entry into force of this Agreement</w:t>
      </w:r>
      <w:r>
        <w:rPr>
          <w:rFonts w:ascii="Arial" w:eastAsia="Arial" w:hAnsi="Arial" w:cs="Arial"/>
          <w:color w:val="000000" w:themeColor="text1"/>
          <w:lang w:val="en-US"/>
        </w:rPr>
        <w:t xml:space="preserve">. </w:t>
      </w:r>
    </w:p>
    <w:p w14:paraId="6AA083C1" w14:textId="77777777" w:rsidR="00D0582E" w:rsidRDefault="00D0582E" w:rsidP="00A21437">
      <w:pPr>
        <w:pStyle w:val="ListParagraph"/>
        <w:spacing w:after="0" w:line="276" w:lineRule="auto"/>
        <w:ind w:left="567"/>
        <w:jc w:val="both"/>
        <w:rPr>
          <w:rFonts w:ascii="Arial" w:eastAsia="Arial" w:hAnsi="Arial" w:cs="Arial"/>
          <w:color w:val="000000" w:themeColor="text1"/>
          <w:lang w:val="en-US"/>
        </w:rPr>
      </w:pPr>
    </w:p>
    <w:p w14:paraId="793BB2C5" w14:textId="66B96575" w:rsidR="00D0582E" w:rsidRDefault="00D0582E" w:rsidP="00A21437">
      <w:pPr>
        <w:pStyle w:val="ListParagraph"/>
        <w:spacing w:after="0" w:line="276" w:lineRule="auto"/>
        <w:ind w:left="567"/>
        <w:jc w:val="both"/>
        <w:rPr>
          <w:rFonts w:ascii="Arial" w:eastAsia="Arial" w:hAnsi="Arial" w:cs="Arial"/>
          <w:color w:val="000000" w:themeColor="text1"/>
          <w:lang w:val="en-US"/>
        </w:rPr>
      </w:pPr>
      <w:r w:rsidRPr="00A666F1">
        <w:rPr>
          <w:rFonts w:ascii="Arial" w:eastAsia="Arial" w:hAnsi="Arial" w:cs="Arial"/>
          <w:color w:val="000000" w:themeColor="text1"/>
          <w:lang w:val="en-US"/>
        </w:rPr>
        <w:t>The term</w:t>
      </w:r>
      <w:r w:rsidRPr="00A666F1">
        <w:rPr>
          <w:rFonts w:ascii="Arial" w:eastAsia="Arial" w:hAnsi="Arial" w:cs="Arial"/>
          <w:b/>
          <w:bCs/>
          <w:color w:val="000000" w:themeColor="text1"/>
          <w:lang w:val="en-US"/>
        </w:rPr>
        <w:t xml:space="preserve"> ‘year’</w:t>
      </w:r>
      <w:r w:rsidRPr="00A666F1">
        <w:rPr>
          <w:rFonts w:ascii="Arial" w:eastAsia="Arial" w:hAnsi="Arial" w:cs="Arial"/>
          <w:color w:val="000000" w:themeColor="text1"/>
          <w:lang w:val="en-US"/>
        </w:rPr>
        <w:t xml:space="preserve"> means, with respect to the first year (‘Year 1’), the period from the date of entry into force of this Agreement until 31 December of the same year and, with respect to each subsequent year, the twelve-month period which starts on 1 January of that year. </w:t>
      </w:r>
    </w:p>
    <w:p w14:paraId="4A86BB84" w14:textId="77777777" w:rsidR="002D7AD0" w:rsidRDefault="002D7AD0" w:rsidP="00066ED2">
      <w:pPr>
        <w:spacing w:after="0" w:line="276" w:lineRule="auto"/>
        <w:contextualSpacing/>
        <w:jc w:val="both"/>
        <w:rPr>
          <w:rFonts w:ascii="Arial" w:eastAsia="Arial" w:hAnsi="Arial" w:cs="Arial"/>
          <w:b/>
          <w:bCs/>
          <w:color w:val="000000" w:themeColor="text1"/>
          <w:lang w:val="en-US"/>
        </w:rPr>
      </w:pPr>
    </w:p>
    <w:p w14:paraId="0BE5D5BA" w14:textId="77777777" w:rsidR="00186092" w:rsidRPr="00B72784" w:rsidRDefault="00186092" w:rsidP="00066ED2">
      <w:pPr>
        <w:spacing w:after="0" w:line="276" w:lineRule="auto"/>
        <w:contextualSpacing/>
        <w:jc w:val="center"/>
        <w:rPr>
          <w:rFonts w:ascii="Arial" w:eastAsia="Arial" w:hAnsi="Arial" w:cs="Arial"/>
          <w:color w:val="000000" w:themeColor="text1"/>
          <w:lang w:val="en-US"/>
        </w:rPr>
      </w:pPr>
    </w:p>
    <w:p w14:paraId="44BA089F" w14:textId="77777777" w:rsidR="00B810B7" w:rsidRDefault="00B810B7" w:rsidP="00066ED2">
      <w:pPr>
        <w:spacing w:after="0" w:line="276" w:lineRule="auto"/>
        <w:contextualSpacing/>
        <w:jc w:val="center"/>
        <w:rPr>
          <w:rFonts w:ascii="Arial" w:eastAsia="Arial" w:hAnsi="Arial" w:cs="Arial"/>
          <w:i/>
          <w:iCs/>
          <w:color w:val="000000" w:themeColor="text1"/>
          <w:lang w:val="en-US"/>
        </w:rPr>
      </w:pPr>
    </w:p>
    <w:p w14:paraId="2F9E6C43" w14:textId="77777777" w:rsidR="00B810B7" w:rsidRDefault="00B810B7" w:rsidP="00066ED2">
      <w:pPr>
        <w:spacing w:after="0" w:line="276" w:lineRule="auto"/>
        <w:contextualSpacing/>
        <w:jc w:val="center"/>
        <w:rPr>
          <w:rFonts w:ascii="Arial" w:eastAsia="Arial" w:hAnsi="Arial" w:cs="Arial"/>
          <w:i/>
          <w:iCs/>
          <w:color w:val="000000" w:themeColor="text1"/>
          <w:lang w:val="en-US"/>
        </w:rPr>
      </w:pPr>
    </w:p>
    <w:p w14:paraId="450ADA01" w14:textId="77777777" w:rsidR="00B810B7" w:rsidRDefault="00B810B7" w:rsidP="00066ED2">
      <w:pPr>
        <w:spacing w:after="0" w:line="276" w:lineRule="auto"/>
        <w:contextualSpacing/>
        <w:jc w:val="center"/>
        <w:rPr>
          <w:rFonts w:ascii="Arial" w:eastAsia="Arial" w:hAnsi="Arial" w:cs="Arial"/>
          <w:i/>
          <w:iCs/>
          <w:color w:val="000000" w:themeColor="text1"/>
          <w:lang w:val="en-US"/>
        </w:rPr>
      </w:pPr>
    </w:p>
    <w:p w14:paraId="461BEA57" w14:textId="77777777" w:rsidR="00B810B7" w:rsidRDefault="00B810B7" w:rsidP="00066ED2">
      <w:pPr>
        <w:spacing w:after="0" w:line="276" w:lineRule="auto"/>
        <w:contextualSpacing/>
        <w:rPr>
          <w:rFonts w:ascii="Arial" w:eastAsia="Arial" w:hAnsi="Arial" w:cs="Arial"/>
          <w:i/>
          <w:iCs/>
          <w:color w:val="000000" w:themeColor="text1"/>
          <w:lang w:val="en-US"/>
        </w:rPr>
      </w:pPr>
    </w:p>
    <w:p w14:paraId="63B02808" w14:textId="77777777" w:rsidR="00A21437" w:rsidRDefault="00A21437">
      <w:pPr>
        <w:rPr>
          <w:rFonts w:ascii="Arial" w:eastAsia="Arial" w:hAnsi="Arial" w:cs="Arial"/>
          <w:i/>
          <w:iCs/>
          <w:color w:val="000000" w:themeColor="text1"/>
          <w:lang w:val="en-US"/>
        </w:rPr>
      </w:pPr>
      <w:r>
        <w:rPr>
          <w:rFonts w:ascii="Arial" w:eastAsia="Arial" w:hAnsi="Arial" w:cs="Arial"/>
          <w:i/>
          <w:iCs/>
          <w:color w:val="000000" w:themeColor="text1"/>
          <w:lang w:val="en-US"/>
        </w:rPr>
        <w:br w:type="page"/>
      </w:r>
    </w:p>
    <w:p w14:paraId="232D10CC" w14:textId="65400296" w:rsidR="0068628D" w:rsidRPr="0030274E" w:rsidRDefault="003911BB" w:rsidP="00066ED2">
      <w:pPr>
        <w:spacing w:after="0" w:line="276" w:lineRule="auto"/>
        <w:contextualSpacing/>
        <w:jc w:val="center"/>
        <w:rPr>
          <w:rFonts w:ascii="Arial" w:eastAsia="Arial" w:hAnsi="Arial" w:cs="Arial"/>
          <w:b/>
          <w:bCs/>
          <w:i/>
          <w:iCs/>
          <w:color w:val="000000" w:themeColor="text1"/>
          <w:lang w:val="en-US"/>
        </w:rPr>
      </w:pPr>
      <w:r w:rsidRPr="0030274E">
        <w:rPr>
          <w:rFonts w:ascii="Arial" w:eastAsia="Arial" w:hAnsi="Arial" w:cs="Arial"/>
          <w:b/>
          <w:bCs/>
          <w:i/>
          <w:iCs/>
          <w:color w:val="000000" w:themeColor="text1"/>
          <w:lang w:val="en-US"/>
        </w:rPr>
        <w:lastRenderedPageBreak/>
        <w:t xml:space="preserve">Additional </w:t>
      </w:r>
      <w:r w:rsidR="0068628D" w:rsidRPr="0030274E">
        <w:rPr>
          <w:rFonts w:ascii="Arial" w:eastAsia="Arial" w:hAnsi="Arial" w:cs="Arial"/>
          <w:b/>
          <w:bCs/>
          <w:i/>
          <w:iCs/>
          <w:color w:val="000000" w:themeColor="text1"/>
          <w:lang w:val="en-US"/>
        </w:rPr>
        <w:t>Notes for Schedule of Australia</w:t>
      </w:r>
    </w:p>
    <w:p w14:paraId="38B7CD07" w14:textId="77777777" w:rsidR="00A948A7" w:rsidRDefault="00A948A7" w:rsidP="00066ED2">
      <w:pPr>
        <w:spacing w:after="0" w:line="276" w:lineRule="auto"/>
        <w:contextualSpacing/>
        <w:rPr>
          <w:rFonts w:ascii="Arial" w:eastAsia="Arial" w:hAnsi="Arial" w:cs="Arial"/>
          <w:i/>
          <w:iCs/>
          <w:color w:val="000000" w:themeColor="text1"/>
          <w:lang w:val="en-US"/>
        </w:rPr>
      </w:pPr>
    </w:p>
    <w:p w14:paraId="0C07D072" w14:textId="374BA99F" w:rsidR="00A948A7" w:rsidRPr="008D1AE8" w:rsidRDefault="00A948A7" w:rsidP="008D1AE8">
      <w:pPr>
        <w:spacing w:after="0" w:line="276" w:lineRule="auto"/>
        <w:jc w:val="both"/>
        <w:rPr>
          <w:rFonts w:ascii="Arial" w:eastAsia="Arial" w:hAnsi="Arial" w:cs="Arial"/>
          <w:color w:val="000000" w:themeColor="text1"/>
          <w:lang w:val="en-US"/>
        </w:rPr>
      </w:pPr>
      <w:r w:rsidRPr="00385C52">
        <w:rPr>
          <w:rFonts w:ascii="Arial" w:eastAsia="Arial" w:hAnsi="Arial" w:cs="Arial"/>
          <w:color w:val="000000" w:themeColor="text1"/>
          <w:lang w:val="en-US"/>
        </w:rPr>
        <w:t xml:space="preserve">The provisions of this </w:t>
      </w:r>
      <w:r w:rsidR="003911BB" w:rsidRPr="00385C52">
        <w:rPr>
          <w:rFonts w:ascii="Arial" w:eastAsia="Arial" w:hAnsi="Arial" w:cs="Arial"/>
          <w:color w:val="000000" w:themeColor="text1"/>
          <w:lang w:val="en-US"/>
        </w:rPr>
        <w:t>Annex</w:t>
      </w:r>
      <w:r w:rsidRPr="00385C52">
        <w:rPr>
          <w:rFonts w:ascii="Arial" w:eastAsia="Arial" w:hAnsi="Arial" w:cs="Arial"/>
          <w:color w:val="000000" w:themeColor="text1"/>
          <w:lang w:val="en-US"/>
        </w:rPr>
        <w:t xml:space="preserve">, as they apply to Part </w:t>
      </w:r>
      <w:r w:rsidR="000274F8">
        <w:rPr>
          <w:rFonts w:ascii="Arial" w:eastAsia="Arial" w:hAnsi="Arial" w:cs="Arial"/>
          <w:color w:val="000000" w:themeColor="text1"/>
          <w:lang w:val="en-US"/>
        </w:rPr>
        <w:t>B</w:t>
      </w:r>
      <w:r w:rsidRPr="00385C52">
        <w:rPr>
          <w:rFonts w:ascii="Arial" w:eastAsia="Arial" w:hAnsi="Arial" w:cs="Arial"/>
          <w:color w:val="000000" w:themeColor="text1"/>
          <w:lang w:val="en-US"/>
        </w:rPr>
        <w:t xml:space="preserve"> (Schedule of Australia)</w:t>
      </w:r>
      <w:r w:rsidR="004B4A0C" w:rsidRPr="00385C52">
        <w:rPr>
          <w:rFonts w:ascii="Arial" w:eastAsia="Arial" w:hAnsi="Arial" w:cs="Arial"/>
          <w:color w:val="000000" w:themeColor="text1"/>
          <w:lang w:val="en-US"/>
        </w:rPr>
        <w:t>,</w:t>
      </w:r>
      <w:r w:rsidRPr="00385C52">
        <w:rPr>
          <w:rFonts w:ascii="Arial" w:eastAsia="Arial" w:hAnsi="Arial" w:cs="Arial"/>
          <w:color w:val="000000" w:themeColor="text1"/>
          <w:lang w:val="en-US"/>
        </w:rPr>
        <w:t xml:space="preserve"> are generally expressed in terms of the corresponding items in Schedule 3 to the </w:t>
      </w:r>
      <w:r w:rsidRPr="00A21437">
        <w:rPr>
          <w:rFonts w:ascii="Arial" w:eastAsia="Arial" w:hAnsi="Arial" w:cs="Arial"/>
          <w:i/>
          <w:iCs/>
          <w:color w:val="000000" w:themeColor="text1"/>
          <w:lang w:val="en-US"/>
        </w:rPr>
        <w:t>Customs Tariff Act 1995</w:t>
      </w:r>
      <w:r w:rsidRPr="00385C52">
        <w:rPr>
          <w:rFonts w:ascii="Arial" w:eastAsia="Arial" w:hAnsi="Arial" w:cs="Arial"/>
          <w:color w:val="000000" w:themeColor="text1"/>
          <w:lang w:val="en-US"/>
        </w:rPr>
        <w:t xml:space="preserve"> (Cth) (“Tariff Act”), and the interpretation of the provisions of this </w:t>
      </w:r>
      <w:r w:rsidR="00385C52" w:rsidRPr="00385C52">
        <w:rPr>
          <w:rFonts w:ascii="Arial" w:eastAsia="Arial" w:hAnsi="Arial" w:cs="Arial"/>
          <w:color w:val="000000" w:themeColor="text1"/>
          <w:lang w:val="en-US"/>
        </w:rPr>
        <w:t>Annex</w:t>
      </w:r>
      <w:r w:rsidRPr="00385C52">
        <w:rPr>
          <w:rFonts w:ascii="Arial" w:eastAsia="Arial" w:hAnsi="Arial" w:cs="Arial"/>
          <w:color w:val="000000" w:themeColor="text1"/>
          <w:lang w:val="en-US"/>
        </w:rPr>
        <w:t xml:space="preserve">, including the product coverage of subheadings of this </w:t>
      </w:r>
      <w:r w:rsidR="00385C52" w:rsidRPr="00385C52">
        <w:rPr>
          <w:rFonts w:ascii="Arial" w:eastAsia="Arial" w:hAnsi="Arial" w:cs="Arial"/>
          <w:color w:val="000000" w:themeColor="text1"/>
          <w:lang w:val="en-US"/>
        </w:rPr>
        <w:t>Annex</w:t>
      </w:r>
      <w:r w:rsidRPr="00385C52">
        <w:rPr>
          <w:rFonts w:ascii="Arial" w:eastAsia="Arial" w:hAnsi="Arial" w:cs="Arial"/>
          <w:color w:val="000000" w:themeColor="text1"/>
          <w:lang w:val="en-US"/>
        </w:rPr>
        <w:t xml:space="preserve">, shall be governed by the Tariff Act. To the extent that provisions of this </w:t>
      </w:r>
      <w:r w:rsidR="00385C52" w:rsidRPr="00385C52">
        <w:rPr>
          <w:rFonts w:ascii="Arial" w:eastAsia="Arial" w:hAnsi="Arial" w:cs="Arial"/>
          <w:color w:val="000000" w:themeColor="text1"/>
          <w:lang w:val="en-US"/>
        </w:rPr>
        <w:t xml:space="preserve">Annex </w:t>
      </w:r>
      <w:r w:rsidRPr="00385C52">
        <w:rPr>
          <w:rFonts w:ascii="Arial" w:eastAsia="Arial" w:hAnsi="Arial" w:cs="Arial"/>
          <w:color w:val="000000" w:themeColor="text1"/>
          <w:lang w:val="en-US"/>
        </w:rPr>
        <w:t xml:space="preserve">are identical to the corresponding provisions of the Tariff Act, the provisions of this </w:t>
      </w:r>
      <w:r w:rsidR="00385C52" w:rsidRPr="00385C52">
        <w:rPr>
          <w:rFonts w:ascii="Arial" w:eastAsia="Arial" w:hAnsi="Arial" w:cs="Arial"/>
          <w:color w:val="000000" w:themeColor="text1"/>
          <w:lang w:val="en-US"/>
        </w:rPr>
        <w:t xml:space="preserve">Annex </w:t>
      </w:r>
      <w:r w:rsidRPr="00385C52">
        <w:rPr>
          <w:rFonts w:ascii="Arial" w:eastAsia="Arial" w:hAnsi="Arial" w:cs="Arial"/>
          <w:color w:val="000000" w:themeColor="text1"/>
          <w:lang w:val="en-US"/>
        </w:rPr>
        <w:t>shall have the same meaning as the corresponding provisions of the Tariff Act.</w:t>
      </w:r>
    </w:p>
    <w:p w14:paraId="7D36D75D" w14:textId="77777777" w:rsidR="0068628D" w:rsidRDefault="0068628D" w:rsidP="00066ED2">
      <w:pPr>
        <w:spacing w:line="276" w:lineRule="auto"/>
      </w:pPr>
    </w:p>
    <w:p w14:paraId="1C96AF7F" w14:textId="12F81799" w:rsidR="004B4A0C" w:rsidRPr="0030274E" w:rsidRDefault="004B4A0C" w:rsidP="00385C52">
      <w:pPr>
        <w:spacing w:after="0" w:line="276" w:lineRule="auto"/>
        <w:contextualSpacing/>
        <w:jc w:val="center"/>
        <w:rPr>
          <w:rFonts w:ascii="Arial" w:eastAsia="Arial" w:hAnsi="Arial" w:cs="Arial"/>
          <w:b/>
          <w:bCs/>
          <w:i/>
          <w:iCs/>
          <w:color w:val="000000" w:themeColor="text1"/>
          <w:lang w:val="en-US"/>
        </w:rPr>
      </w:pPr>
      <w:r w:rsidRPr="0030274E">
        <w:rPr>
          <w:rFonts w:ascii="Arial" w:eastAsia="Arial" w:hAnsi="Arial" w:cs="Arial"/>
          <w:b/>
          <w:bCs/>
          <w:i/>
          <w:iCs/>
          <w:color w:val="000000" w:themeColor="text1"/>
          <w:lang w:val="en-US"/>
        </w:rPr>
        <w:t>Additional Notes for Schedule of the United Arab Emirates</w:t>
      </w:r>
    </w:p>
    <w:p w14:paraId="7A5D7E14" w14:textId="77777777" w:rsidR="00385C52" w:rsidRPr="00385C52" w:rsidRDefault="00385C52" w:rsidP="00385C52">
      <w:pPr>
        <w:spacing w:after="0" w:line="276" w:lineRule="auto"/>
        <w:contextualSpacing/>
        <w:jc w:val="center"/>
        <w:rPr>
          <w:rFonts w:ascii="Arial" w:eastAsia="Arial" w:hAnsi="Arial" w:cs="Arial"/>
          <w:i/>
          <w:iCs/>
          <w:color w:val="000000" w:themeColor="text1"/>
          <w:lang w:val="en-US"/>
        </w:rPr>
      </w:pPr>
    </w:p>
    <w:p w14:paraId="64D97772" w14:textId="6473A847" w:rsidR="00BD391C" w:rsidRDefault="00C67272" w:rsidP="00A21437">
      <w:pPr>
        <w:jc w:val="both"/>
      </w:pPr>
      <w:r w:rsidRPr="007D6D9A">
        <w:rPr>
          <w:rFonts w:ascii="Arial" w:eastAsia="Arial" w:hAnsi="Arial" w:cs="Arial"/>
          <w:lang w:val="en-US"/>
        </w:rPr>
        <w:t>The provisions of this Annex</w:t>
      </w:r>
      <w:r w:rsidR="00300DF2" w:rsidRPr="007D6D9A">
        <w:rPr>
          <w:rFonts w:ascii="Arial" w:eastAsia="Arial" w:hAnsi="Arial" w:cs="Arial"/>
          <w:lang w:val="en-US"/>
        </w:rPr>
        <w:t xml:space="preserve">, as they apply to Part </w:t>
      </w:r>
      <w:r w:rsidR="006D3645">
        <w:rPr>
          <w:rFonts w:ascii="Arial" w:eastAsia="Arial" w:hAnsi="Arial" w:cs="Arial"/>
          <w:lang w:val="en-US"/>
        </w:rPr>
        <w:t xml:space="preserve">C </w:t>
      </w:r>
      <w:r w:rsidR="00300DF2" w:rsidRPr="007D6D9A">
        <w:rPr>
          <w:rFonts w:ascii="Arial" w:eastAsia="Arial" w:hAnsi="Arial" w:cs="Arial"/>
          <w:lang w:val="en-US"/>
        </w:rPr>
        <w:t>(Schedule of the U</w:t>
      </w:r>
      <w:r w:rsidR="006D3645">
        <w:rPr>
          <w:rFonts w:ascii="Arial" w:eastAsia="Arial" w:hAnsi="Arial" w:cs="Arial"/>
          <w:lang w:val="en-US"/>
        </w:rPr>
        <w:t>nited Arab Emirates</w:t>
      </w:r>
      <w:r w:rsidR="00D42708">
        <w:rPr>
          <w:rFonts w:ascii="Arial" w:eastAsia="Arial" w:hAnsi="Arial" w:cs="Arial"/>
          <w:lang w:val="en-US"/>
        </w:rPr>
        <w:t>)</w:t>
      </w:r>
      <w:r w:rsidR="007D6D9A" w:rsidRPr="007D6D9A">
        <w:rPr>
          <w:rFonts w:ascii="Arial" w:eastAsia="Arial" w:hAnsi="Arial" w:cs="Arial"/>
          <w:lang w:val="en-US"/>
        </w:rPr>
        <w:t xml:space="preserve">, </w:t>
      </w:r>
      <w:r w:rsidRPr="007D6D9A">
        <w:rPr>
          <w:rFonts w:ascii="Arial" w:eastAsia="Arial" w:hAnsi="Arial" w:cs="Arial"/>
          <w:lang w:val="en-US"/>
        </w:rPr>
        <w:t xml:space="preserve">are generally expressed in terms of the corresponding items in the Unified </w:t>
      </w:r>
      <w:r w:rsidRPr="007D6D9A">
        <w:rPr>
          <w:rFonts w:ascii="Arial" w:eastAsia="Arial" w:hAnsi="Arial" w:cs="Arial"/>
          <w:i/>
          <w:iCs/>
          <w:lang w:val="en-US"/>
        </w:rPr>
        <w:t>Customs Tariff  of the United Arab Emirates (Unified Customs Tariff)</w:t>
      </w:r>
      <w:r w:rsidRPr="007D6D9A">
        <w:rPr>
          <w:rFonts w:ascii="Arial" w:eastAsia="Arial" w:hAnsi="Arial" w:cs="Arial"/>
          <w:lang w:val="en-US"/>
        </w:rPr>
        <w:t xml:space="preserve">, set out in </w:t>
      </w:r>
      <w:r w:rsidRPr="007D6D9A">
        <w:rPr>
          <w:rFonts w:ascii="Arial" w:eastAsia="Arial" w:hAnsi="Arial" w:cs="Arial"/>
          <w:i/>
          <w:iCs/>
          <w:lang w:val="en-US"/>
        </w:rPr>
        <w:t>Cabinet Resolution N°17</w:t>
      </w:r>
      <w:r w:rsidRPr="007D6D9A">
        <w:rPr>
          <w:rFonts w:ascii="Arial" w:eastAsia="Arial" w:hAnsi="Arial" w:cs="Arial"/>
          <w:lang w:val="en-US"/>
        </w:rPr>
        <w:t xml:space="preserve"> for the year 2022 in force at</w:t>
      </w:r>
      <w:r w:rsidR="00035E04" w:rsidRPr="007D6D9A">
        <w:rPr>
          <w:rFonts w:ascii="Arial" w:eastAsia="Arial" w:hAnsi="Arial" w:cs="Arial"/>
          <w:lang w:val="en-US"/>
        </w:rPr>
        <w:t xml:space="preserve"> 1 January 2023</w:t>
      </w:r>
      <w:r w:rsidRPr="007D6D9A">
        <w:rPr>
          <w:rFonts w:ascii="Arial" w:eastAsia="Arial" w:hAnsi="Arial" w:cs="Arial"/>
          <w:lang w:val="en-US"/>
        </w:rPr>
        <w:t xml:space="preserve">, amended by </w:t>
      </w:r>
      <w:r w:rsidRPr="007D6D9A">
        <w:rPr>
          <w:rFonts w:ascii="Arial" w:eastAsia="Arial" w:hAnsi="Arial" w:cs="Arial"/>
          <w:i/>
          <w:iCs/>
          <w:lang w:val="en-US"/>
        </w:rPr>
        <w:t>Cabinet Resolution N°123</w:t>
      </w:r>
      <w:r w:rsidRPr="007D6D9A">
        <w:rPr>
          <w:rFonts w:ascii="Arial" w:eastAsia="Arial" w:hAnsi="Arial" w:cs="Arial"/>
          <w:lang w:val="en-US"/>
        </w:rPr>
        <w:t xml:space="preserve"> for the year 2023 in force at</w:t>
      </w:r>
      <w:r w:rsidR="00035E04" w:rsidRPr="007D6D9A">
        <w:rPr>
          <w:rFonts w:ascii="Arial" w:eastAsia="Arial" w:hAnsi="Arial" w:cs="Arial"/>
          <w:lang w:val="en-US"/>
        </w:rPr>
        <w:t xml:space="preserve"> 1 January 20</w:t>
      </w:r>
      <w:r w:rsidR="003D25AD" w:rsidRPr="007D6D9A">
        <w:rPr>
          <w:rFonts w:ascii="Arial" w:eastAsia="Arial" w:hAnsi="Arial" w:cs="Arial"/>
          <w:lang w:val="en-US"/>
        </w:rPr>
        <w:t>24</w:t>
      </w:r>
      <w:r w:rsidRPr="007D6D9A">
        <w:rPr>
          <w:rFonts w:ascii="Arial" w:eastAsia="Arial" w:hAnsi="Arial" w:cs="Arial"/>
          <w:lang w:val="en-US"/>
        </w:rPr>
        <w:t>,  and the interpretation of the provisions of this Annex, including the coverage of goods, shall be governed by the General Notes, Explanatory Notes, Section Notes, Chapter Notes, Heading Notes, Subheading Notes, and the additional Notes of the said Unified Customs Tariff. To the extent that provisions of this Annex are identical to the corresponding provisions of the Unified Customs Tariff, the provisions of this Annex shall have the same meaning as the corresponding provisions of the said Unified Customs Tariff</w:t>
      </w:r>
      <w:r w:rsidR="00A21437">
        <w:rPr>
          <w:rFonts w:ascii="Arial" w:eastAsia="Arial" w:hAnsi="Arial" w:cs="Arial"/>
          <w:lang w:val="en-US"/>
        </w:rPr>
        <w:t>.</w:t>
      </w:r>
    </w:p>
    <w:sectPr w:rsidR="00BD391C" w:rsidSect="002C1856">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D4DEB" w14:textId="77777777" w:rsidR="00967800" w:rsidRDefault="00967800" w:rsidP="008D13D1">
      <w:pPr>
        <w:spacing w:after="0" w:line="240" w:lineRule="auto"/>
      </w:pPr>
      <w:r>
        <w:separator/>
      </w:r>
    </w:p>
  </w:endnote>
  <w:endnote w:type="continuationSeparator" w:id="0">
    <w:p w14:paraId="6978D6ED" w14:textId="77777777" w:rsidR="00967800" w:rsidRDefault="00967800" w:rsidP="008D13D1">
      <w:pPr>
        <w:spacing w:after="0" w:line="240" w:lineRule="auto"/>
      </w:pPr>
      <w:r>
        <w:continuationSeparator/>
      </w:r>
    </w:p>
  </w:endnote>
  <w:endnote w:type="continuationNotice" w:id="1">
    <w:p w14:paraId="5D346C68" w14:textId="77777777" w:rsidR="00967800" w:rsidRDefault="00967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FD58" w14:textId="77777777" w:rsidR="00967800" w:rsidRDefault="00967800" w:rsidP="008D13D1">
      <w:pPr>
        <w:spacing w:after="0" w:line="240" w:lineRule="auto"/>
      </w:pPr>
      <w:r>
        <w:separator/>
      </w:r>
    </w:p>
  </w:footnote>
  <w:footnote w:type="continuationSeparator" w:id="0">
    <w:p w14:paraId="5EA1AF48" w14:textId="77777777" w:rsidR="00967800" w:rsidRDefault="00967800" w:rsidP="008D13D1">
      <w:pPr>
        <w:spacing w:after="0" w:line="240" w:lineRule="auto"/>
      </w:pPr>
      <w:r>
        <w:continuationSeparator/>
      </w:r>
    </w:p>
  </w:footnote>
  <w:footnote w:type="continuationNotice" w:id="1">
    <w:p w14:paraId="334E4D38" w14:textId="77777777" w:rsidR="00967800" w:rsidRDefault="009678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707F"/>
    <w:multiLevelType w:val="hybridMultilevel"/>
    <w:tmpl w:val="29B8F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7D53D6"/>
    <w:multiLevelType w:val="hybridMultilevel"/>
    <w:tmpl w:val="9E6AC118"/>
    <w:lvl w:ilvl="0" w:tplc="FFFFFFFF">
      <w:start w:val="1"/>
      <w:numFmt w:val="decimal"/>
      <w:lvlText w:val="%1."/>
      <w:lvlJc w:val="left"/>
      <w:pPr>
        <w:ind w:left="360" w:hanging="360"/>
      </w:p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FFD399F"/>
    <w:multiLevelType w:val="hybridMultilevel"/>
    <w:tmpl w:val="E40E76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27264514">
    <w:abstractNumId w:val="2"/>
  </w:num>
  <w:num w:numId="2" w16cid:durableId="2073313727">
    <w:abstractNumId w:val="0"/>
  </w:num>
  <w:num w:numId="3" w16cid:durableId="1847479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ED22E5"/>
    <w:rsid w:val="00001A7C"/>
    <w:rsid w:val="000059CB"/>
    <w:rsid w:val="000274F8"/>
    <w:rsid w:val="000302D8"/>
    <w:rsid w:val="00035E04"/>
    <w:rsid w:val="00066ED2"/>
    <w:rsid w:val="000C482A"/>
    <w:rsid w:val="000D3BD5"/>
    <w:rsid w:val="000E321F"/>
    <w:rsid w:val="000F415C"/>
    <w:rsid w:val="0012301C"/>
    <w:rsid w:val="001558D5"/>
    <w:rsid w:val="00163B59"/>
    <w:rsid w:val="00186092"/>
    <w:rsid w:val="00187088"/>
    <w:rsid w:val="00190FAF"/>
    <w:rsid w:val="001C6FCD"/>
    <w:rsid w:val="001D2CD7"/>
    <w:rsid w:val="001F6F10"/>
    <w:rsid w:val="00213786"/>
    <w:rsid w:val="0021417D"/>
    <w:rsid w:val="0024117E"/>
    <w:rsid w:val="002450F7"/>
    <w:rsid w:val="002460CD"/>
    <w:rsid w:val="0025465A"/>
    <w:rsid w:val="00296B67"/>
    <w:rsid w:val="002C1856"/>
    <w:rsid w:val="002D7AD0"/>
    <w:rsid w:val="00300DF2"/>
    <w:rsid w:val="0030274E"/>
    <w:rsid w:val="00322CEA"/>
    <w:rsid w:val="00360DF2"/>
    <w:rsid w:val="003738B9"/>
    <w:rsid w:val="00385C52"/>
    <w:rsid w:val="003911BB"/>
    <w:rsid w:val="0039499C"/>
    <w:rsid w:val="003A2FE8"/>
    <w:rsid w:val="003A52ED"/>
    <w:rsid w:val="003D203F"/>
    <w:rsid w:val="003D25AD"/>
    <w:rsid w:val="003F47B5"/>
    <w:rsid w:val="004059F0"/>
    <w:rsid w:val="004102F1"/>
    <w:rsid w:val="004254F3"/>
    <w:rsid w:val="00440CBA"/>
    <w:rsid w:val="00441803"/>
    <w:rsid w:val="00475263"/>
    <w:rsid w:val="00476147"/>
    <w:rsid w:val="004778AA"/>
    <w:rsid w:val="004A41F6"/>
    <w:rsid w:val="004B4A0C"/>
    <w:rsid w:val="004D3AF7"/>
    <w:rsid w:val="004D452D"/>
    <w:rsid w:val="004E329E"/>
    <w:rsid w:val="00522B6B"/>
    <w:rsid w:val="00542CD9"/>
    <w:rsid w:val="00562562"/>
    <w:rsid w:val="00562DCE"/>
    <w:rsid w:val="0058113D"/>
    <w:rsid w:val="00590333"/>
    <w:rsid w:val="005D536D"/>
    <w:rsid w:val="00602568"/>
    <w:rsid w:val="00613952"/>
    <w:rsid w:val="00621E75"/>
    <w:rsid w:val="00651815"/>
    <w:rsid w:val="00666B56"/>
    <w:rsid w:val="0068628D"/>
    <w:rsid w:val="006916E0"/>
    <w:rsid w:val="006A2510"/>
    <w:rsid w:val="006B3F39"/>
    <w:rsid w:val="006C337A"/>
    <w:rsid w:val="006C56F4"/>
    <w:rsid w:val="006D3645"/>
    <w:rsid w:val="006D4289"/>
    <w:rsid w:val="0071772C"/>
    <w:rsid w:val="00720275"/>
    <w:rsid w:val="007377AE"/>
    <w:rsid w:val="00743B9D"/>
    <w:rsid w:val="00757924"/>
    <w:rsid w:val="007614D5"/>
    <w:rsid w:val="00783812"/>
    <w:rsid w:val="007A1528"/>
    <w:rsid w:val="007B6630"/>
    <w:rsid w:val="007D6D9A"/>
    <w:rsid w:val="007E44AA"/>
    <w:rsid w:val="00802038"/>
    <w:rsid w:val="00813370"/>
    <w:rsid w:val="00816255"/>
    <w:rsid w:val="00860330"/>
    <w:rsid w:val="008A0142"/>
    <w:rsid w:val="008B24CA"/>
    <w:rsid w:val="008D13D1"/>
    <w:rsid w:val="008D1AE8"/>
    <w:rsid w:val="00913A3C"/>
    <w:rsid w:val="009144BF"/>
    <w:rsid w:val="00920CFC"/>
    <w:rsid w:val="0092343D"/>
    <w:rsid w:val="00953D77"/>
    <w:rsid w:val="00967800"/>
    <w:rsid w:val="00972457"/>
    <w:rsid w:val="009879A0"/>
    <w:rsid w:val="009B7460"/>
    <w:rsid w:val="009C3546"/>
    <w:rsid w:val="009C3D33"/>
    <w:rsid w:val="009C47A7"/>
    <w:rsid w:val="009D4522"/>
    <w:rsid w:val="009F37F4"/>
    <w:rsid w:val="00A13426"/>
    <w:rsid w:val="00A21437"/>
    <w:rsid w:val="00A470F8"/>
    <w:rsid w:val="00A5034E"/>
    <w:rsid w:val="00A666F1"/>
    <w:rsid w:val="00A8B934"/>
    <w:rsid w:val="00A948A7"/>
    <w:rsid w:val="00AF737F"/>
    <w:rsid w:val="00B10997"/>
    <w:rsid w:val="00B11054"/>
    <w:rsid w:val="00B225D0"/>
    <w:rsid w:val="00B23F87"/>
    <w:rsid w:val="00B5496D"/>
    <w:rsid w:val="00B70981"/>
    <w:rsid w:val="00B72784"/>
    <w:rsid w:val="00B810B7"/>
    <w:rsid w:val="00B81592"/>
    <w:rsid w:val="00B91ED3"/>
    <w:rsid w:val="00BC0453"/>
    <w:rsid w:val="00BC6636"/>
    <w:rsid w:val="00BD302B"/>
    <w:rsid w:val="00BD391C"/>
    <w:rsid w:val="00BF2719"/>
    <w:rsid w:val="00C621FA"/>
    <w:rsid w:val="00C67272"/>
    <w:rsid w:val="00C677D1"/>
    <w:rsid w:val="00CA61DE"/>
    <w:rsid w:val="00CC7A0D"/>
    <w:rsid w:val="00D00C73"/>
    <w:rsid w:val="00D0582E"/>
    <w:rsid w:val="00D10D34"/>
    <w:rsid w:val="00D26A15"/>
    <w:rsid w:val="00D40FB8"/>
    <w:rsid w:val="00D42708"/>
    <w:rsid w:val="00D574DF"/>
    <w:rsid w:val="00D9583A"/>
    <w:rsid w:val="00E46E10"/>
    <w:rsid w:val="00E52C3D"/>
    <w:rsid w:val="00E53D1B"/>
    <w:rsid w:val="00E831A5"/>
    <w:rsid w:val="00E848D2"/>
    <w:rsid w:val="00E91DF4"/>
    <w:rsid w:val="00EA4E1D"/>
    <w:rsid w:val="00EA7A64"/>
    <w:rsid w:val="00EE1FD7"/>
    <w:rsid w:val="00F76EE8"/>
    <w:rsid w:val="00FA3DD4"/>
    <w:rsid w:val="00FA7B9B"/>
    <w:rsid w:val="00FB28E7"/>
    <w:rsid w:val="32DA2A7E"/>
    <w:rsid w:val="373A6FF3"/>
    <w:rsid w:val="3B72EDD1"/>
    <w:rsid w:val="4A3BA5E0"/>
    <w:rsid w:val="5EED22E5"/>
    <w:rsid w:val="734B6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D22E5"/>
  <w15:chartTrackingRefBased/>
  <w15:docId w15:val="{E2988BD5-BEE1-4D39-94CA-0A00A5E5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8D1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3D1"/>
  </w:style>
  <w:style w:type="paragraph" w:styleId="Footer">
    <w:name w:val="footer"/>
    <w:basedOn w:val="Normal"/>
    <w:link w:val="FooterChar"/>
    <w:uiPriority w:val="99"/>
    <w:unhideWhenUsed/>
    <w:rsid w:val="008D1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3D1"/>
  </w:style>
  <w:style w:type="character" w:customStyle="1" w:styleId="normaltextrun">
    <w:name w:val="normaltextrun"/>
    <w:basedOn w:val="DefaultParagraphFont"/>
    <w:rsid w:val="000302D8"/>
  </w:style>
  <w:style w:type="paragraph" w:styleId="ListParagraph">
    <w:name w:val="List Paragraph"/>
    <w:basedOn w:val="Normal"/>
    <w:uiPriority w:val="34"/>
    <w:qFormat/>
    <w:rsid w:val="00B11054"/>
    <w:pPr>
      <w:ind w:left="720"/>
      <w:contextualSpacing/>
    </w:pPr>
  </w:style>
  <w:style w:type="character" w:styleId="CommentReference">
    <w:name w:val="annotation reference"/>
    <w:basedOn w:val="DefaultParagraphFont"/>
    <w:uiPriority w:val="99"/>
    <w:semiHidden/>
    <w:unhideWhenUsed/>
    <w:rsid w:val="003911BB"/>
    <w:rPr>
      <w:sz w:val="16"/>
      <w:szCs w:val="16"/>
    </w:rPr>
  </w:style>
  <w:style w:type="paragraph" w:styleId="CommentText">
    <w:name w:val="annotation text"/>
    <w:basedOn w:val="Normal"/>
    <w:link w:val="CommentTextChar"/>
    <w:uiPriority w:val="99"/>
    <w:unhideWhenUsed/>
    <w:rsid w:val="003911BB"/>
    <w:pPr>
      <w:spacing w:line="240" w:lineRule="auto"/>
    </w:pPr>
    <w:rPr>
      <w:sz w:val="20"/>
      <w:szCs w:val="20"/>
    </w:rPr>
  </w:style>
  <w:style w:type="character" w:customStyle="1" w:styleId="CommentTextChar">
    <w:name w:val="Comment Text Char"/>
    <w:basedOn w:val="DefaultParagraphFont"/>
    <w:link w:val="CommentText"/>
    <w:uiPriority w:val="99"/>
    <w:rsid w:val="003911BB"/>
    <w:rPr>
      <w:sz w:val="20"/>
      <w:szCs w:val="20"/>
    </w:rPr>
  </w:style>
  <w:style w:type="paragraph" w:styleId="CommentSubject">
    <w:name w:val="annotation subject"/>
    <w:basedOn w:val="CommentText"/>
    <w:next w:val="CommentText"/>
    <w:link w:val="CommentSubjectChar"/>
    <w:uiPriority w:val="99"/>
    <w:semiHidden/>
    <w:unhideWhenUsed/>
    <w:rsid w:val="003911BB"/>
    <w:rPr>
      <w:b/>
      <w:bCs/>
    </w:rPr>
  </w:style>
  <w:style w:type="character" w:customStyle="1" w:styleId="CommentSubjectChar">
    <w:name w:val="Comment Subject Char"/>
    <w:basedOn w:val="CommentTextChar"/>
    <w:link w:val="CommentSubject"/>
    <w:uiPriority w:val="99"/>
    <w:semiHidden/>
    <w:rsid w:val="003911BB"/>
    <w:rPr>
      <w:b/>
      <w:bCs/>
      <w:sz w:val="20"/>
      <w:szCs w:val="20"/>
    </w:rPr>
  </w:style>
  <w:style w:type="paragraph" w:styleId="Revision">
    <w:name w:val="Revision"/>
    <w:hidden/>
    <w:uiPriority w:val="99"/>
    <w:semiHidden/>
    <w:rsid w:val="00A503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08702">
      <w:bodyDiv w:val="1"/>
      <w:marLeft w:val="0"/>
      <w:marRight w:val="0"/>
      <w:marTop w:val="0"/>
      <w:marBottom w:val="0"/>
      <w:divBdr>
        <w:top w:val="none" w:sz="0" w:space="0" w:color="auto"/>
        <w:left w:val="none" w:sz="0" w:space="0" w:color="auto"/>
        <w:bottom w:val="none" w:sz="0" w:space="0" w:color="auto"/>
        <w:right w:val="none" w:sz="0" w:space="0" w:color="auto"/>
      </w:divBdr>
    </w:div>
    <w:div w:id="19492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e1d7913-2b48-4fb4-9e5c-239c7c65333c">
      <UserInfo>
        <DisplayName>Liam Watson</DisplayName>
        <AccountId>58</AccountId>
        <AccountType/>
      </UserInfo>
      <UserInfo>
        <DisplayName>Matthew Page</DisplayName>
        <AccountId>662</AccountId>
        <AccountType/>
      </UserInfo>
      <UserInfo>
        <DisplayName>Pierre Grobler</DisplayName>
        <AccountId>38</AccountId>
        <AccountType/>
      </UserInfo>
    </SharedWithUsers>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2817E-4B90-4CDF-B441-78864B45AA14}">
  <ds:schemaRefs>
    <ds:schemaRef ds:uri="http://schemas.microsoft.com/sharepoint/v3/contenttype/forms"/>
  </ds:schemaRefs>
</ds:datastoreItem>
</file>

<file path=customXml/itemProps2.xml><?xml version="1.0" encoding="utf-8"?>
<ds:datastoreItem xmlns:ds="http://schemas.openxmlformats.org/officeDocument/2006/customXml" ds:itemID="{7B12E444-47AB-449E-8642-005C6E776900}">
  <ds:schemaRefs>
    <ds:schemaRef ds:uri="http://schemas.openxmlformats.org/officeDocument/2006/bibliography"/>
  </ds:schemaRefs>
</ds:datastoreItem>
</file>

<file path=customXml/itemProps3.xml><?xml version="1.0" encoding="utf-8"?>
<ds:datastoreItem xmlns:ds="http://schemas.openxmlformats.org/officeDocument/2006/customXml" ds:itemID="{34888926-E773-4FE3-BD47-AA84BDB9F9F0}">
  <ds:schemaRefs>
    <ds:schemaRef ds:uri="http://schemas.microsoft.com/office/2006/metadata/properties"/>
    <ds:schemaRef ds:uri="http://schemas.microsoft.com/office/infopath/2007/PartnerControls"/>
    <ds:schemaRef ds:uri="2bde8ee6-a70e-49fb-a598-8e5e58b44569"/>
  </ds:schemaRefs>
</ds:datastoreItem>
</file>

<file path=customXml/itemProps4.xml><?xml version="1.0" encoding="utf-8"?>
<ds:datastoreItem xmlns:ds="http://schemas.openxmlformats.org/officeDocument/2006/customXml" ds:itemID="{8183B7F7-81D4-4EE1-93E6-2E75904BF34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2067</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2 – Trade in Goods - Annex 2a: Schedules Of Tariff Commitments</dc:title>
  <dc:subject/>
  <dc:creator>DFAT</dc:creator>
  <cp:keywords>[SEC=OFFICIAL:Sensitive]</cp:keywords>
  <dc:description/>
  <cp:lastModifiedBy> UAE</cp:lastModifiedBy>
  <cp:revision>3</cp:revision>
  <dcterms:created xsi:type="dcterms:W3CDTF">2024-09-19T09:37:00Z</dcterms:created>
  <dcterms:modified xsi:type="dcterms:W3CDTF">2024-09-19T09:39:00Z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v=2022.1;a=SHA256;h=EB5C84046755A1BF52123D49CAFC6EC7ABE48D36C13B685E0B9B8F26E814793D</vt:lpwstr>
  </property>
  <property fmtid="{D5CDD505-2E9C-101B-9397-08002B2CF9AE}" pid="9" name="PM_Qualifier">
    <vt:lpwstr/>
  </property>
  <property fmtid="{D5CDD505-2E9C-101B-9397-08002B2CF9AE}" pid="10" name="PM_SecurityClassification">
    <vt:lpwstr>OFFICIAL:Sensitive</vt:lpwstr>
  </property>
  <property fmtid="{D5CDD505-2E9C-101B-9397-08002B2CF9AE}" pid="11" name="PM_ProtectiveMarkingValue_Header">
    <vt:lpwstr>OFFICIAL: Sensitive</vt:lpwstr>
  </property>
  <property fmtid="{D5CDD505-2E9C-101B-9397-08002B2CF9AE}" pid="12" name="PM_OriginationTimeStamp">
    <vt:lpwstr>2024-07-05T04:46:39Z</vt:lpwstr>
  </property>
  <property fmtid="{D5CDD505-2E9C-101B-9397-08002B2CF9AE}" pid="13" name="PM_Markers">
    <vt:lpwstr/>
  </property>
  <property fmtid="{D5CDD505-2E9C-101B-9397-08002B2CF9AE}" pid="14" name="PM_InsertionValue">
    <vt:lpwstr>OFFICIAL: Sensitive</vt:lpwstr>
  </property>
  <property fmtid="{D5CDD505-2E9C-101B-9397-08002B2CF9AE}" pid="15" name="PM_Originator_Hash_SHA1">
    <vt:lpwstr>BE0798CF55D785EC913A14B8449C91E3C59BC075</vt:lpwstr>
  </property>
  <property fmtid="{D5CDD505-2E9C-101B-9397-08002B2CF9AE}" pid="16" name="PM_DisplayValueSecClassificationWithQualifier">
    <vt:lpwstr>OFFICIAL: Sensitive</vt:lpwstr>
  </property>
  <property fmtid="{D5CDD505-2E9C-101B-9397-08002B2CF9AE}" pid="17" name="PM_Originating_FileId">
    <vt:lpwstr>BF9E801C77F441789E9CF45CDB8261BD</vt:lpwstr>
  </property>
  <property fmtid="{D5CDD505-2E9C-101B-9397-08002B2CF9AE}" pid="18" name="PM_ProtectiveMarkingValue_Footer">
    <vt:lpwstr>OFFICIAL: Sensitive</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Display">
    <vt:lpwstr>OFFICIAL: Sensitive</vt:lpwstr>
  </property>
  <property fmtid="{D5CDD505-2E9C-101B-9397-08002B2CF9AE}" pid="22" name="PM_OriginatorUserAccountName_SHA256">
    <vt:lpwstr>CD35A0F3192511A25551DF6A04E266BF28C61CF457ABA1D436173773BD35E4F6</vt:lpwstr>
  </property>
  <property fmtid="{D5CDD505-2E9C-101B-9397-08002B2CF9AE}" pid="23" name="PM_OriginatorDomainName_SHA256">
    <vt:lpwstr>6F3591835F3B2A8A025B00B5BA6418010DA3A17C9C26EA9C049FFD28039489A2</vt:lpwstr>
  </property>
  <property fmtid="{D5CDD505-2E9C-101B-9397-08002B2CF9AE}" pid="24" name="PMUuid">
    <vt:lpwstr>v=2022.2;d=gov.au;g=ABA70C08-925C-5FA3-8765-3178156983AC</vt:lpwstr>
  </property>
  <property fmtid="{D5CDD505-2E9C-101B-9397-08002B2CF9AE}" pid="25" name="PM_Hash_Version">
    <vt:lpwstr>2022.1</vt:lpwstr>
  </property>
  <property fmtid="{D5CDD505-2E9C-101B-9397-08002B2CF9AE}" pid="26" name="PM_Hash_Salt_Prev">
    <vt:lpwstr>91B3C7E0BA766903212023EC6AA42380</vt:lpwstr>
  </property>
  <property fmtid="{D5CDD505-2E9C-101B-9397-08002B2CF9AE}" pid="27" name="PM_Hash_Salt">
    <vt:lpwstr>C7B0EFB553AA2194EF79C9A088D92869</vt:lpwstr>
  </property>
  <property fmtid="{D5CDD505-2E9C-101B-9397-08002B2CF9AE}" pid="28" name="PM_Hash_SHA1">
    <vt:lpwstr>2FAF2F4B8A0594A3F053E6BC3284BF211F1ECDA4</vt:lpwstr>
  </property>
  <property fmtid="{D5CDD505-2E9C-101B-9397-08002B2CF9AE}" pid="29" name="PM_SecurityClassification_Prev">
    <vt:lpwstr>OFFICIAL:Sensitive</vt:lpwstr>
  </property>
  <property fmtid="{D5CDD505-2E9C-101B-9397-08002B2CF9AE}" pid="30" name="PM_Qualifier_Prev">
    <vt:lpwstr/>
  </property>
  <property fmtid="{D5CDD505-2E9C-101B-9397-08002B2CF9AE}" pid="31" name="GrammarlyDocumentId">
    <vt:lpwstr>065940a713e26a624d06f6114ee04a9daa275fdf12438a98b32856563c1d5a62</vt:lpwstr>
  </property>
</Properties>
</file>