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53B2" w14:textId="77777777" w:rsidR="009712E9" w:rsidRPr="00CC2443" w:rsidRDefault="009712E9" w:rsidP="00070920">
      <w:pPr>
        <w:spacing w:line="259" w:lineRule="auto"/>
        <w:ind w:left="0" w:right="2" w:firstLine="0"/>
        <w:rPr>
          <w:b/>
          <w:sz w:val="16"/>
          <w:szCs w:val="18"/>
        </w:rPr>
      </w:pPr>
    </w:p>
    <w:p w14:paraId="5CD0B100" w14:textId="17800D46" w:rsidR="00F40325" w:rsidRPr="005B40E0" w:rsidRDefault="003E33BA">
      <w:pPr>
        <w:spacing w:line="259" w:lineRule="auto"/>
        <w:ind w:left="10" w:right="2" w:hanging="10"/>
        <w:jc w:val="center"/>
        <w:rPr>
          <w:b/>
        </w:rPr>
      </w:pPr>
      <w:r w:rsidRPr="005B40E0">
        <w:rPr>
          <w:b/>
        </w:rPr>
        <w:t xml:space="preserve">ANNEX </w:t>
      </w:r>
      <w:r w:rsidR="005B4109" w:rsidRPr="005B40E0">
        <w:rPr>
          <w:b/>
        </w:rPr>
        <w:t>10A</w:t>
      </w:r>
    </w:p>
    <w:p w14:paraId="59376AB9" w14:textId="77777777" w:rsidR="00313EF2" w:rsidRPr="005B40E0" w:rsidRDefault="00313EF2">
      <w:pPr>
        <w:spacing w:line="259" w:lineRule="auto"/>
        <w:ind w:left="10" w:right="2" w:hanging="10"/>
        <w:jc w:val="center"/>
      </w:pPr>
    </w:p>
    <w:p w14:paraId="4D2342DD" w14:textId="1D53AA08" w:rsidR="00F40325" w:rsidRPr="005B40E0" w:rsidRDefault="007A2231">
      <w:pPr>
        <w:spacing w:line="259" w:lineRule="auto"/>
        <w:ind w:left="10" w:right="3" w:hanging="10"/>
        <w:jc w:val="center"/>
      </w:pPr>
      <w:r w:rsidRPr="005B40E0">
        <w:rPr>
          <w:b/>
        </w:rPr>
        <w:t xml:space="preserve">SCHEDULE OF </w:t>
      </w:r>
      <w:r w:rsidR="003E33BA" w:rsidRPr="005B40E0">
        <w:rPr>
          <w:b/>
        </w:rPr>
        <w:t xml:space="preserve">SPECIFIC COMMITMENTS ON  </w:t>
      </w:r>
    </w:p>
    <w:p w14:paraId="072F64C2" w14:textId="27ACE495" w:rsidR="00A302D9" w:rsidRPr="005B40E0" w:rsidRDefault="1C8E828D" w:rsidP="00A302D9">
      <w:pPr>
        <w:spacing w:line="259" w:lineRule="auto"/>
        <w:ind w:left="10" w:right="7" w:hanging="10"/>
        <w:jc w:val="center"/>
        <w:rPr>
          <w:b/>
          <w:bCs/>
        </w:rPr>
      </w:pPr>
      <w:r w:rsidRPr="005B40E0">
        <w:rPr>
          <w:b/>
          <w:bCs/>
        </w:rPr>
        <w:t xml:space="preserve">ENTRY </w:t>
      </w:r>
      <w:r w:rsidR="00C742D0" w:rsidRPr="005B40E0">
        <w:rPr>
          <w:b/>
          <w:bCs/>
        </w:rPr>
        <w:t xml:space="preserve">AND TEMPORARY STAY </w:t>
      </w:r>
      <w:r w:rsidRPr="005B40E0">
        <w:rPr>
          <w:b/>
          <w:bCs/>
        </w:rPr>
        <w:t>FOR</w:t>
      </w:r>
      <w:r w:rsidR="003E33BA" w:rsidRPr="005B40E0">
        <w:rPr>
          <w:b/>
          <w:bCs/>
        </w:rPr>
        <w:t xml:space="preserve"> </w:t>
      </w:r>
      <w:proofErr w:type="gramStart"/>
      <w:r w:rsidR="345801DD" w:rsidRPr="005B40E0">
        <w:rPr>
          <w:b/>
          <w:bCs/>
        </w:rPr>
        <w:t>BUSINESS</w:t>
      </w:r>
      <w:r w:rsidR="003E33BA" w:rsidRPr="005B40E0">
        <w:rPr>
          <w:b/>
          <w:bCs/>
        </w:rPr>
        <w:t xml:space="preserve"> PERSONS</w:t>
      </w:r>
      <w:proofErr w:type="gramEnd"/>
      <w:r w:rsidR="00A302D9" w:rsidRPr="005B40E0">
        <w:rPr>
          <w:b/>
          <w:bCs/>
        </w:rPr>
        <w:t xml:space="preserve"> </w:t>
      </w:r>
    </w:p>
    <w:p w14:paraId="1029B7F5" w14:textId="77777777" w:rsidR="004417FE" w:rsidRPr="005B40E0" w:rsidRDefault="004417FE" w:rsidP="00A302D9">
      <w:pPr>
        <w:spacing w:line="259" w:lineRule="auto"/>
        <w:ind w:left="10" w:right="7" w:hanging="10"/>
        <w:jc w:val="center"/>
        <w:rPr>
          <w:b/>
        </w:rPr>
      </w:pPr>
    </w:p>
    <w:p w14:paraId="36E721A3" w14:textId="7C63D79D" w:rsidR="00F40325" w:rsidRPr="005B40E0" w:rsidRDefault="003E33BA" w:rsidP="00A302D9">
      <w:pPr>
        <w:spacing w:line="259" w:lineRule="auto"/>
        <w:ind w:left="10" w:right="7" w:hanging="10"/>
        <w:jc w:val="center"/>
      </w:pPr>
      <w:r w:rsidRPr="005B40E0">
        <w:rPr>
          <w:b/>
        </w:rPr>
        <w:t xml:space="preserve">AUSTRALIA </w:t>
      </w:r>
    </w:p>
    <w:p w14:paraId="59F48D0E" w14:textId="15520A46" w:rsidR="00F40325" w:rsidRDefault="003E33BA">
      <w:pPr>
        <w:spacing w:line="259" w:lineRule="auto"/>
        <w:ind w:left="0" w:firstLine="0"/>
        <w:jc w:val="left"/>
      </w:pPr>
      <w:r>
        <w:t xml:space="preserve"> </w:t>
      </w:r>
    </w:p>
    <w:p w14:paraId="15D43D03" w14:textId="0760D7EE" w:rsidR="00F40325" w:rsidRPr="005B40E0" w:rsidRDefault="637A4C48" w:rsidP="00CC2443">
      <w:pPr>
        <w:numPr>
          <w:ilvl w:val="0"/>
          <w:numId w:val="1"/>
        </w:numPr>
        <w:ind w:right="-13" w:hanging="566"/>
      </w:pPr>
      <w:r w:rsidRPr="005B40E0">
        <w:t>The following</w:t>
      </w:r>
      <w:r w:rsidR="003E33BA" w:rsidRPr="005B40E0">
        <w:t xml:space="preserve"> sets out Australia’s commitments in accordance with Chapter </w:t>
      </w:r>
      <w:r w:rsidR="00623C02" w:rsidRPr="005B40E0">
        <w:t>10</w:t>
      </w:r>
      <w:r w:rsidR="003E33BA" w:rsidRPr="005B40E0">
        <w:t xml:space="preserve"> (</w:t>
      </w:r>
      <w:r w:rsidR="45FE5274" w:rsidRPr="005B40E0">
        <w:t xml:space="preserve">Entry </w:t>
      </w:r>
      <w:r w:rsidR="00C742D0" w:rsidRPr="005B40E0">
        <w:t xml:space="preserve">and Temporary Stay </w:t>
      </w:r>
      <w:r w:rsidR="45FE5274" w:rsidRPr="005B40E0">
        <w:t xml:space="preserve">for </w:t>
      </w:r>
      <w:proofErr w:type="gramStart"/>
      <w:r w:rsidR="45FE5274" w:rsidRPr="005B40E0">
        <w:t xml:space="preserve">Business </w:t>
      </w:r>
      <w:r w:rsidR="003E33BA" w:rsidRPr="005B40E0">
        <w:t>Persons</w:t>
      </w:r>
      <w:proofErr w:type="gramEnd"/>
      <w:r w:rsidR="003E33BA" w:rsidRPr="005B40E0">
        <w:t xml:space="preserve">) </w:t>
      </w:r>
      <w:r w:rsidR="004E5652" w:rsidRPr="005B40E0">
        <w:t xml:space="preserve">in </w:t>
      </w:r>
      <w:r w:rsidR="003E33BA" w:rsidRPr="005B40E0">
        <w:t>respect of the</w:t>
      </w:r>
      <w:r w:rsidR="00454D3C" w:rsidRPr="005B40E0">
        <w:t xml:space="preserve"> </w:t>
      </w:r>
      <w:r w:rsidR="003E33BA" w:rsidRPr="005B40E0">
        <w:t xml:space="preserve">entry </w:t>
      </w:r>
      <w:r w:rsidR="00C742D0" w:rsidRPr="005B40E0">
        <w:t xml:space="preserve">and temporary stay </w:t>
      </w:r>
      <w:r w:rsidR="003E33BA" w:rsidRPr="005B40E0">
        <w:t xml:space="preserve">of </w:t>
      </w:r>
      <w:r w:rsidR="006F0BFE" w:rsidRPr="005B40E0">
        <w:t xml:space="preserve">business </w:t>
      </w:r>
      <w:r w:rsidR="003E33BA" w:rsidRPr="005B40E0">
        <w:t xml:space="preserve">persons. </w:t>
      </w:r>
    </w:p>
    <w:p w14:paraId="45F1AD76" w14:textId="25C39756" w:rsidR="00F40325" w:rsidRDefault="00F40325">
      <w:pPr>
        <w:spacing w:line="259" w:lineRule="auto"/>
        <w:ind w:left="0" w:firstLine="0"/>
        <w:jc w:val="left"/>
      </w:pPr>
    </w:p>
    <w:tbl>
      <w:tblPr>
        <w:tblStyle w:val="TableGrid1"/>
        <w:tblW w:w="9088" w:type="dxa"/>
        <w:tblInd w:w="5" w:type="dxa"/>
        <w:tblCellMar>
          <w:top w:w="42" w:type="dxa"/>
          <w:left w:w="108" w:type="dxa"/>
          <w:right w:w="54" w:type="dxa"/>
        </w:tblCellMar>
        <w:tblLook w:val="04A0" w:firstRow="1" w:lastRow="0" w:firstColumn="1" w:lastColumn="0" w:noHBand="0" w:noVBand="1"/>
      </w:tblPr>
      <w:tblGrid>
        <w:gridCol w:w="4544"/>
        <w:gridCol w:w="4544"/>
      </w:tblGrid>
      <w:tr w:rsidR="00F40325" w14:paraId="7DD8059A" w14:textId="77777777" w:rsidTr="007600C7">
        <w:trPr>
          <w:trHeight w:val="470"/>
        </w:trPr>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85651" w14:textId="77777777" w:rsidR="00F40325" w:rsidRDefault="003E33BA">
            <w:pPr>
              <w:spacing w:line="259" w:lineRule="auto"/>
              <w:ind w:left="0" w:right="59" w:firstLine="0"/>
              <w:jc w:val="center"/>
            </w:pPr>
            <w:r>
              <w:rPr>
                <w:b/>
              </w:rPr>
              <w:t xml:space="preserve">Description of Category </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44215" w14:textId="77777777" w:rsidR="00F40325" w:rsidRDefault="003E33BA">
            <w:pPr>
              <w:spacing w:line="259" w:lineRule="auto"/>
              <w:ind w:left="397" w:right="399" w:firstLine="0"/>
              <w:jc w:val="center"/>
            </w:pPr>
            <w:r>
              <w:rPr>
                <w:b/>
              </w:rPr>
              <w:t xml:space="preserve">Conditions and Limitations (including length of stay) </w:t>
            </w:r>
          </w:p>
        </w:tc>
      </w:tr>
      <w:tr w:rsidR="00F40325" w14:paraId="58AC0661" w14:textId="77777777" w:rsidTr="008B1887">
        <w:trPr>
          <w:trHeight w:val="283"/>
        </w:trPr>
        <w:tc>
          <w:tcPr>
            <w:tcW w:w="90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BED50" w14:textId="4DB45051" w:rsidR="00F40325" w:rsidRDefault="003E33BA" w:rsidP="00CC2443">
            <w:pPr>
              <w:spacing w:line="259" w:lineRule="auto"/>
              <w:jc w:val="left"/>
            </w:pPr>
            <w:r>
              <w:rPr>
                <w:b/>
              </w:rPr>
              <w:t xml:space="preserve">A. Business Visitors </w:t>
            </w:r>
          </w:p>
        </w:tc>
      </w:tr>
      <w:tr w:rsidR="00F40325" w14:paraId="17F1C94A" w14:textId="77777777" w:rsidTr="007600C7">
        <w:trPr>
          <w:trHeight w:val="2540"/>
        </w:trPr>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F0D1E" w14:textId="2F35BA37" w:rsidR="003E33BA" w:rsidRPr="00E645D4" w:rsidRDefault="2B6B6ADA" w:rsidP="00637080">
            <w:pPr>
              <w:spacing w:line="259" w:lineRule="auto"/>
              <w:ind w:left="0" w:firstLine="0"/>
              <w:rPr>
                <w:u w:val="single"/>
              </w:rPr>
            </w:pPr>
            <w:r w:rsidRPr="00E645D4">
              <w:rPr>
                <w:u w:val="single"/>
              </w:rPr>
              <w:t>Definition:</w:t>
            </w:r>
          </w:p>
          <w:p w14:paraId="359CAD11" w14:textId="77777777" w:rsidR="00EC4512" w:rsidRDefault="00EC4512" w:rsidP="00637080">
            <w:pPr>
              <w:spacing w:line="259" w:lineRule="auto"/>
              <w:ind w:left="0" w:firstLine="0"/>
            </w:pPr>
          </w:p>
          <w:p w14:paraId="363560AC" w14:textId="0E7B91FF" w:rsidR="2B6B6ADA" w:rsidRDefault="2B6B6ADA" w:rsidP="00637080">
            <w:pPr>
              <w:spacing w:line="259" w:lineRule="auto"/>
              <w:ind w:left="0" w:firstLine="0"/>
            </w:pPr>
            <w:r>
              <w:t xml:space="preserve">Business visitors being </w:t>
            </w:r>
            <w:proofErr w:type="gramStart"/>
            <w:r w:rsidR="00E002E8">
              <w:t>business</w:t>
            </w:r>
            <w:r>
              <w:t xml:space="preserve"> persons</w:t>
            </w:r>
            <w:proofErr w:type="gramEnd"/>
            <w:r>
              <w:t xml:space="preserve"> seeking to travel to Australia for business purposes whose remuneration and financial support for the duration of the visit must be derived from sources outside Australia, and who must not engage in making direct sales to the general public or in supplying the goods or services themselves.</w:t>
            </w:r>
          </w:p>
          <w:p w14:paraId="748F0580" w14:textId="19632AD9" w:rsidR="587D6979" w:rsidRDefault="587D6979" w:rsidP="00637080">
            <w:pPr>
              <w:spacing w:line="259" w:lineRule="auto"/>
              <w:ind w:left="0" w:firstLine="0"/>
            </w:pPr>
          </w:p>
          <w:p w14:paraId="468F19CB" w14:textId="3B7F9B0C" w:rsidR="00F40325" w:rsidRDefault="000E3685" w:rsidP="00637080">
            <w:pPr>
              <w:spacing w:line="259" w:lineRule="auto"/>
              <w:ind w:left="0" w:firstLine="0"/>
            </w:pPr>
            <w:r w:rsidRPr="00DF41BF">
              <w:rPr>
                <w:bCs/>
              </w:rPr>
              <w:t>Business visitors</w:t>
            </w:r>
            <w:r w:rsidRPr="000E3685">
              <w:rPr>
                <w:bCs/>
              </w:rPr>
              <w:t xml:space="preserve"> comprise: </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EE1CA" w14:textId="77777777" w:rsidR="00E57B97" w:rsidRPr="00260989" w:rsidRDefault="00E57B97">
            <w:pPr>
              <w:spacing w:line="259" w:lineRule="auto"/>
              <w:ind w:left="0" w:firstLine="0"/>
              <w:jc w:val="left"/>
            </w:pPr>
          </w:p>
          <w:p w14:paraId="3EB7AFEF" w14:textId="77777777" w:rsidR="00E57B97" w:rsidRPr="00260989" w:rsidRDefault="00E57B97">
            <w:pPr>
              <w:spacing w:line="259" w:lineRule="auto"/>
              <w:ind w:left="0" w:firstLine="0"/>
              <w:jc w:val="left"/>
            </w:pPr>
          </w:p>
          <w:p w14:paraId="47AF1762" w14:textId="77777777" w:rsidR="00E57B97" w:rsidRPr="00260989" w:rsidRDefault="00E57B97">
            <w:pPr>
              <w:spacing w:line="259" w:lineRule="auto"/>
              <w:ind w:left="0" w:firstLine="0"/>
              <w:jc w:val="left"/>
            </w:pPr>
          </w:p>
          <w:p w14:paraId="4E809253" w14:textId="51F5FC35" w:rsidR="001B3597" w:rsidRPr="00260989" w:rsidRDefault="001B3597" w:rsidP="353E61FE">
            <w:pPr>
              <w:spacing w:line="259" w:lineRule="auto"/>
              <w:ind w:left="0" w:firstLine="0"/>
              <w:jc w:val="left"/>
            </w:pPr>
          </w:p>
          <w:p w14:paraId="088B7383" w14:textId="77777777" w:rsidR="001B3597" w:rsidRPr="00260989" w:rsidRDefault="001B3597" w:rsidP="001B3597">
            <w:pPr>
              <w:spacing w:line="259" w:lineRule="auto"/>
              <w:jc w:val="left"/>
              <w:rPr>
                <w:szCs w:val="20"/>
              </w:rPr>
            </w:pPr>
          </w:p>
          <w:p w14:paraId="506AC41D" w14:textId="77777777" w:rsidR="001B3597" w:rsidRPr="00260989" w:rsidRDefault="001B3597" w:rsidP="001B3597">
            <w:pPr>
              <w:spacing w:line="259" w:lineRule="auto"/>
              <w:jc w:val="left"/>
              <w:rPr>
                <w:szCs w:val="20"/>
              </w:rPr>
            </w:pPr>
          </w:p>
          <w:p w14:paraId="3C98DB46" w14:textId="77777777" w:rsidR="001B3597" w:rsidRPr="00260989" w:rsidRDefault="001B3597" w:rsidP="001B3597">
            <w:pPr>
              <w:spacing w:line="259" w:lineRule="auto"/>
              <w:jc w:val="left"/>
              <w:rPr>
                <w:szCs w:val="20"/>
              </w:rPr>
            </w:pPr>
          </w:p>
          <w:p w14:paraId="57FB5A1C" w14:textId="77777777" w:rsidR="001B3597" w:rsidRPr="00260989" w:rsidRDefault="001B3597" w:rsidP="001B3597">
            <w:pPr>
              <w:spacing w:line="259" w:lineRule="auto"/>
              <w:jc w:val="left"/>
              <w:rPr>
                <w:szCs w:val="20"/>
              </w:rPr>
            </w:pPr>
          </w:p>
          <w:p w14:paraId="7ADD5423" w14:textId="5508B383" w:rsidR="00921A5D" w:rsidRPr="00921A5D" w:rsidRDefault="00921A5D" w:rsidP="00B238A7">
            <w:pPr>
              <w:spacing w:line="259" w:lineRule="auto"/>
              <w:ind w:left="0" w:firstLine="0"/>
              <w:jc w:val="left"/>
              <w:rPr>
                <w:szCs w:val="20"/>
              </w:rPr>
            </w:pPr>
          </w:p>
        </w:tc>
      </w:tr>
      <w:tr w:rsidR="00F40325" w14:paraId="00687FEC" w14:textId="333F9A05" w:rsidTr="007600C7">
        <w:trPr>
          <w:trHeight w:val="1850"/>
        </w:trPr>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3D80D" w14:textId="24383D0C" w:rsidR="00F40325" w:rsidRDefault="003E33BA" w:rsidP="000353A1">
            <w:pPr>
              <w:spacing w:line="240" w:lineRule="auto"/>
              <w:ind w:left="0" w:right="62" w:firstLine="0"/>
            </w:pPr>
            <w:r>
              <w:t>(</w:t>
            </w:r>
            <w:r w:rsidR="00B238A7">
              <w:t>a</w:t>
            </w:r>
            <w:r>
              <w:t xml:space="preserve">) Service sellers, being </w:t>
            </w:r>
            <w:proofErr w:type="gramStart"/>
            <w:r w:rsidR="00E002E8">
              <w:t>business</w:t>
            </w:r>
            <w:r>
              <w:t xml:space="preserve"> persons</w:t>
            </w:r>
            <w:proofErr w:type="gramEnd"/>
            <w:r>
              <w:t xml:space="preserve"> </w:t>
            </w:r>
            <w:r w:rsidR="007D4059">
              <w:t>who</w:t>
            </w:r>
            <w:r w:rsidR="000353A1">
              <w:t xml:space="preserve"> </w:t>
            </w:r>
            <w:r w:rsidR="007D4059">
              <w:t xml:space="preserve">are </w:t>
            </w:r>
            <w:r>
              <w:t xml:space="preserve">not based in Australia who are sales representatives of a service supplier and are seeking temporary entry for the purpose of negotiating for the sale of services or entering into agreements to sell services for that service supplier. </w:t>
            </w:r>
          </w:p>
          <w:p w14:paraId="41443F18" w14:textId="2AC040EF" w:rsidR="00F40325" w:rsidRDefault="003E33BA">
            <w:pPr>
              <w:spacing w:line="259" w:lineRule="auto"/>
              <w:ind w:left="0" w:firstLine="0"/>
              <w:jc w:val="left"/>
            </w:pPr>
            <w:r>
              <w:t xml:space="preserve">  </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5436C" w14:textId="73DAFD98" w:rsidR="00F40325" w:rsidRDefault="003E33BA">
            <w:pPr>
              <w:spacing w:line="259" w:lineRule="auto"/>
              <w:ind w:left="0" w:firstLine="0"/>
            </w:pPr>
            <w:r>
              <w:t xml:space="preserve">Temporary entry is for an initial stay of six months and up to a maximum of 12 months. </w:t>
            </w:r>
          </w:p>
        </w:tc>
      </w:tr>
      <w:tr w:rsidR="00F40325" w14:paraId="4B3FD634" w14:textId="78473310" w:rsidTr="007600C7">
        <w:trPr>
          <w:trHeight w:val="1160"/>
        </w:trPr>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0339C" w14:textId="31C9695D" w:rsidR="00F40325" w:rsidRDefault="003E33BA" w:rsidP="00637080">
            <w:pPr>
              <w:spacing w:line="242" w:lineRule="auto"/>
              <w:ind w:left="0" w:right="62" w:firstLine="0"/>
            </w:pPr>
            <w:r>
              <w:t>(</w:t>
            </w:r>
            <w:r w:rsidR="00B238A7">
              <w:t>b</w:t>
            </w:r>
            <w:r>
              <w:t xml:space="preserve">) Business visitors, being </w:t>
            </w:r>
            <w:proofErr w:type="gramStart"/>
            <w:r w:rsidR="7F6C677C">
              <w:t>business</w:t>
            </w:r>
            <w:r>
              <w:t xml:space="preserve"> persons</w:t>
            </w:r>
            <w:proofErr w:type="gramEnd"/>
            <w:r>
              <w:t xml:space="preserve"> seeking to travel to Australia for the purpose of participating in business negotiations or meetings. </w:t>
            </w:r>
          </w:p>
          <w:p w14:paraId="56C8CE53" w14:textId="7D02E5C5" w:rsidR="00F40325" w:rsidRDefault="003E33BA">
            <w:pPr>
              <w:spacing w:line="259" w:lineRule="auto"/>
              <w:ind w:left="0" w:firstLine="0"/>
              <w:jc w:val="left"/>
            </w:pPr>
            <w:r>
              <w:t xml:space="preserve">  </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02888" w14:textId="6B27FDF9" w:rsidR="00F40325" w:rsidRDefault="003E33BA">
            <w:pPr>
              <w:spacing w:line="259" w:lineRule="auto"/>
              <w:ind w:left="0" w:firstLine="0"/>
            </w:pPr>
            <w:r>
              <w:t xml:space="preserve">Temporary entry is for periods of stay up to a maximum of three months. </w:t>
            </w:r>
          </w:p>
        </w:tc>
      </w:tr>
      <w:tr w:rsidR="00F40325" w14:paraId="334BA63B" w14:textId="44D4DD71" w:rsidTr="007600C7">
        <w:trPr>
          <w:trHeight w:val="931"/>
        </w:trPr>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958D6" w14:textId="3F323554" w:rsidR="00F40325" w:rsidRDefault="003E33BA" w:rsidP="00637080">
            <w:pPr>
              <w:spacing w:line="240" w:lineRule="auto"/>
              <w:ind w:left="0" w:right="57" w:firstLine="0"/>
            </w:pPr>
            <w:r>
              <w:t>(</w:t>
            </w:r>
            <w:r w:rsidR="00B238A7">
              <w:t>c</w:t>
            </w:r>
            <w:r>
              <w:t xml:space="preserve">) Business visitors, being </w:t>
            </w:r>
            <w:proofErr w:type="gramStart"/>
            <w:r w:rsidR="00637080">
              <w:t>business</w:t>
            </w:r>
            <w:r>
              <w:t xml:space="preserve"> persons</w:t>
            </w:r>
            <w:proofErr w:type="gramEnd"/>
            <w:r>
              <w:t xml:space="preserve"> who are seeking to travel to Australia for business purposes, including investment purposes.  </w:t>
            </w:r>
          </w:p>
          <w:p w14:paraId="60A202AD" w14:textId="7C8BB5B8" w:rsidR="00F40325" w:rsidRDefault="003E33BA">
            <w:pPr>
              <w:spacing w:line="259" w:lineRule="auto"/>
              <w:ind w:left="0" w:firstLine="0"/>
              <w:jc w:val="left"/>
            </w:pPr>
            <w:r>
              <w:t xml:space="preserve"> </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D8748" w14:textId="685FF8B3" w:rsidR="00F40325" w:rsidRDefault="003E33BA">
            <w:pPr>
              <w:spacing w:line="259" w:lineRule="auto"/>
              <w:ind w:left="0" w:firstLine="0"/>
            </w:pPr>
            <w:r>
              <w:t xml:space="preserve">Temporary entry is for periods of stay up to a maximum of three months. </w:t>
            </w:r>
          </w:p>
        </w:tc>
      </w:tr>
      <w:tr w:rsidR="00F40325" w14:paraId="51BABBB7" w14:textId="35B24568" w:rsidTr="007600C7">
        <w:trPr>
          <w:trHeight w:val="1220"/>
        </w:trPr>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C013C" w14:textId="77777777" w:rsidR="00F40325" w:rsidRDefault="003E33BA" w:rsidP="00C96E58">
            <w:pPr>
              <w:spacing w:after="1" w:line="240" w:lineRule="auto"/>
              <w:ind w:left="0" w:right="62" w:firstLine="0"/>
            </w:pPr>
            <w:r>
              <w:t>(</w:t>
            </w:r>
            <w:r w:rsidR="00B238A7">
              <w:t>d</w:t>
            </w:r>
            <w:r>
              <w:t xml:space="preserve">) Business visitors, being </w:t>
            </w:r>
            <w:proofErr w:type="gramStart"/>
            <w:r w:rsidR="00C96E58">
              <w:t>business</w:t>
            </w:r>
            <w:r>
              <w:t xml:space="preserve"> persons</w:t>
            </w:r>
            <w:proofErr w:type="gramEnd"/>
            <w:r>
              <w:t xml:space="preserve"> who are seeking entry for the purposes of negotiating the sale of goods where such negotiations do not involve direct sale to the general public. </w:t>
            </w:r>
          </w:p>
          <w:p w14:paraId="727C3151" w14:textId="3AA149F3" w:rsidR="00C742D0" w:rsidRDefault="00C742D0" w:rsidP="00C96E58">
            <w:pPr>
              <w:spacing w:after="1" w:line="240" w:lineRule="auto"/>
              <w:ind w:left="0" w:right="62" w:firstLine="0"/>
            </w:pP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CF474" w14:textId="3E253D6D" w:rsidR="00F40325" w:rsidRDefault="003E33BA">
            <w:pPr>
              <w:spacing w:line="259" w:lineRule="auto"/>
              <w:ind w:left="0" w:firstLine="0"/>
            </w:pPr>
            <w:r>
              <w:t xml:space="preserve">Temporary entry is for periods of stay up to a maximum of three months. </w:t>
            </w:r>
          </w:p>
        </w:tc>
      </w:tr>
    </w:tbl>
    <w:p w14:paraId="03C03074" w14:textId="77777777" w:rsidR="00F40325" w:rsidRDefault="00F40325">
      <w:pPr>
        <w:spacing w:line="259" w:lineRule="auto"/>
        <w:ind w:left="-1440" w:right="10470" w:firstLine="0"/>
        <w:jc w:val="left"/>
      </w:pPr>
    </w:p>
    <w:p w14:paraId="6E68EA81" w14:textId="77777777" w:rsidR="00B238A7" w:rsidRDefault="00B238A7">
      <w:r>
        <w:br w:type="page"/>
      </w:r>
    </w:p>
    <w:tbl>
      <w:tblPr>
        <w:tblStyle w:val="TableGrid1"/>
        <w:tblW w:w="9088" w:type="dxa"/>
        <w:tblInd w:w="5" w:type="dxa"/>
        <w:tblCellMar>
          <w:top w:w="5" w:type="dxa"/>
          <w:left w:w="72" w:type="dxa"/>
          <w:right w:w="53" w:type="dxa"/>
        </w:tblCellMar>
        <w:tblLook w:val="04A0" w:firstRow="1" w:lastRow="0" w:firstColumn="1" w:lastColumn="0" w:noHBand="0" w:noVBand="1"/>
      </w:tblPr>
      <w:tblGrid>
        <w:gridCol w:w="4544"/>
        <w:gridCol w:w="4544"/>
      </w:tblGrid>
      <w:tr w:rsidR="00F40325" w14:paraId="2B3A8D00" w14:textId="77777777" w:rsidTr="008B1887">
        <w:trPr>
          <w:trHeight w:val="283"/>
        </w:trPr>
        <w:tc>
          <w:tcPr>
            <w:tcW w:w="9088" w:type="dxa"/>
            <w:gridSpan w:val="2"/>
            <w:tcBorders>
              <w:top w:val="single" w:sz="4" w:space="0" w:color="000000"/>
              <w:left w:val="single" w:sz="4" w:space="0" w:color="000000"/>
              <w:bottom w:val="single" w:sz="4" w:space="0" w:color="000000"/>
              <w:right w:val="single" w:sz="4" w:space="0" w:color="000000"/>
            </w:tcBorders>
          </w:tcPr>
          <w:p w14:paraId="5A1D25A8" w14:textId="685B3B2F" w:rsidR="00F40325" w:rsidRDefault="006E4710" w:rsidP="00CC2443">
            <w:pPr>
              <w:spacing w:line="259" w:lineRule="auto"/>
              <w:jc w:val="left"/>
            </w:pPr>
            <w:r>
              <w:rPr>
                <w:b/>
              </w:rPr>
              <w:lastRenderedPageBreak/>
              <w:t>B</w:t>
            </w:r>
            <w:r w:rsidRPr="009A17EC">
              <w:rPr>
                <w:b/>
              </w:rPr>
              <w:t>.</w:t>
            </w:r>
            <w:r>
              <w:rPr>
                <w:szCs w:val="20"/>
              </w:rPr>
              <w:t xml:space="preserve"> </w:t>
            </w:r>
            <w:r w:rsidRPr="009A17EC">
              <w:rPr>
                <w:b/>
                <w:bCs/>
                <w:szCs w:val="20"/>
              </w:rPr>
              <w:t>Installers and Servicers</w:t>
            </w:r>
            <w:r>
              <w:rPr>
                <w:b/>
              </w:rPr>
              <w:t xml:space="preserve"> </w:t>
            </w:r>
          </w:p>
        </w:tc>
      </w:tr>
      <w:tr w:rsidR="000E4F48" w14:paraId="0D7322A0" w14:textId="77777777" w:rsidTr="008B1887">
        <w:trPr>
          <w:trHeight w:val="2324"/>
        </w:trPr>
        <w:tc>
          <w:tcPr>
            <w:tcW w:w="4544" w:type="dxa"/>
            <w:tcBorders>
              <w:top w:val="single" w:sz="4" w:space="0" w:color="000000"/>
              <w:left w:val="single" w:sz="4" w:space="0" w:color="000000"/>
              <w:bottom w:val="single" w:sz="4" w:space="0" w:color="000000"/>
              <w:right w:val="single" w:sz="4" w:space="0" w:color="000000"/>
            </w:tcBorders>
          </w:tcPr>
          <w:p w14:paraId="0007EF9E" w14:textId="77777777" w:rsidR="006E4710" w:rsidRPr="009A17EC" w:rsidRDefault="006E4710" w:rsidP="006E4710">
            <w:pPr>
              <w:pStyle w:val="Default"/>
              <w:jc w:val="both"/>
              <w:rPr>
                <w:sz w:val="20"/>
                <w:szCs w:val="20"/>
                <w:u w:val="single"/>
              </w:rPr>
            </w:pPr>
            <w:r w:rsidRPr="009A17EC">
              <w:rPr>
                <w:sz w:val="20"/>
                <w:szCs w:val="20"/>
                <w:u w:val="single"/>
              </w:rPr>
              <w:t>Definition:</w:t>
            </w:r>
          </w:p>
          <w:p w14:paraId="4B803D2A" w14:textId="77777777" w:rsidR="006E4710" w:rsidRDefault="006E4710" w:rsidP="006E4710">
            <w:pPr>
              <w:pStyle w:val="Default"/>
              <w:jc w:val="both"/>
              <w:rPr>
                <w:sz w:val="20"/>
                <w:szCs w:val="20"/>
              </w:rPr>
            </w:pPr>
          </w:p>
          <w:p w14:paraId="11B75A04" w14:textId="77777777" w:rsidR="006E4710" w:rsidRDefault="006E4710" w:rsidP="006E4710">
            <w:pPr>
              <w:pStyle w:val="Default"/>
              <w:jc w:val="both"/>
              <w:rPr>
                <w:rFonts w:eastAsia="Arial"/>
                <w:kern w:val="2"/>
                <w:sz w:val="20"/>
                <w:szCs w:val="22"/>
              </w:rPr>
            </w:pPr>
            <w:r w:rsidRPr="009A17EC">
              <w:rPr>
                <w:rFonts w:eastAsia="Arial"/>
                <w:kern w:val="2"/>
                <w:sz w:val="20"/>
                <w:szCs w:val="22"/>
              </w:rPr>
              <w:t xml:space="preserve">A </w:t>
            </w:r>
            <w:proofErr w:type="gramStart"/>
            <w:r w:rsidRPr="009A17EC">
              <w:rPr>
                <w:rFonts w:eastAsia="Arial"/>
                <w:kern w:val="2"/>
                <w:sz w:val="20"/>
                <w:szCs w:val="22"/>
              </w:rPr>
              <w:t>business person</w:t>
            </w:r>
            <w:proofErr w:type="gramEnd"/>
            <w:r w:rsidRPr="009A17EC">
              <w:rPr>
                <w:rFonts w:eastAsia="Arial"/>
                <w:kern w:val="2"/>
                <w:sz w:val="20"/>
                <w:szCs w:val="22"/>
              </w:rPr>
              <w:t xml:space="preserve"> who is an Installer or Servicer of machinery or equipment, where such installation or servicing by the supplying enterprise is a condition of purchase under contract of the said machinery or equipment, and who must not perform services which are not related to the service activity which is the subject of the contract.</w:t>
            </w:r>
          </w:p>
          <w:p w14:paraId="36B9FF97" w14:textId="77777777" w:rsidR="006E4710" w:rsidRPr="004C18E3" w:rsidRDefault="006E4710" w:rsidP="006E4710">
            <w:pPr>
              <w:spacing w:line="259" w:lineRule="auto"/>
              <w:ind w:left="0" w:firstLine="0"/>
              <w:rPr>
                <w:u w:val="single"/>
              </w:rPr>
            </w:pPr>
          </w:p>
        </w:tc>
        <w:tc>
          <w:tcPr>
            <w:tcW w:w="4544" w:type="dxa"/>
            <w:tcBorders>
              <w:top w:val="single" w:sz="4" w:space="0" w:color="000000"/>
              <w:left w:val="single" w:sz="4" w:space="0" w:color="000000"/>
              <w:bottom w:val="single" w:sz="4" w:space="0" w:color="000000"/>
              <w:right w:val="single" w:sz="4" w:space="0" w:color="000000"/>
            </w:tcBorders>
          </w:tcPr>
          <w:p w14:paraId="4204FFD4" w14:textId="77777777" w:rsidR="006E4710" w:rsidRDefault="006E4710" w:rsidP="006E4710">
            <w:pPr>
              <w:pStyle w:val="Default"/>
              <w:jc w:val="both"/>
              <w:rPr>
                <w:sz w:val="20"/>
                <w:szCs w:val="20"/>
              </w:rPr>
            </w:pPr>
          </w:p>
          <w:p w14:paraId="54D74094" w14:textId="77777777" w:rsidR="006E4710" w:rsidRDefault="006E4710" w:rsidP="006E4710">
            <w:pPr>
              <w:pStyle w:val="Default"/>
              <w:jc w:val="both"/>
              <w:rPr>
                <w:sz w:val="20"/>
                <w:szCs w:val="20"/>
              </w:rPr>
            </w:pPr>
          </w:p>
          <w:p w14:paraId="188F19E0" w14:textId="60D5626D" w:rsidR="006E4710" w:rsidRDefault="006E4710" w:rsidP="00CC2443">
            <w:pPr>
              <w:spacing w:line="259" w:lineRule="auto"/>
              <w:ind w:left="0" w:firstLine="0"/>
            </w:pPr>
            <w:r w:rsidRPr="00C742D0">
              <w:rPr>
                <w:szCs w:val="20"/>
              </w:rPr>
              <w:t>Entry is for periods of stay up to a maximum of three months.</w:t>
            </w:r>
          </w:p>
        </w:tc>
      </w:tr>
      <w:tr w:rsidR="000E4F48" w14:paraId="74C18E53" w14:textId="77777777" w:rsidTr="008B1887">
        <w:trPr>
          <w:trHeight w:val="283"/>
        </w:trPr>
        <w:tc>
          <w:tcPr>
            <w:tcW w:w="9088" w:type="dxa"/>
            <w:gridSpan w:val="2"/>
            <w:tcBorders>
              <w:top w:val="single" w:sz="4" w:space="0" w:color="000000"/>
              <w:left w:val="single" w:sz="4" w:space="0" w:color="000000"/>
              <w:bottom w:val="single" w:sz="4" w:space="0" w:color="000000"/>
              <w:right w:val="single" w:sz="4" w:space="0" w:color="000000"/>
            </w:tcBorders>
          </w:tcPr>
          <w:p w14:paraId="4C4838AD" w14:textId="41DA1CF2" w:rsidR="006E4710" w:rsidRDefault="000E4F48" w:rsidP="00CC2443">
            <w:pPr>
              <w:spacing w:line="259" w:lineRule="auto"/>
              <w:jc w:val="left"/>
            </w:pPr>
            <w:r>
              <w:rPr>
                <w:b/>
              </w:rPr>
              <w:t>C</w:t>
            </w:r>
            <w:r w:rsidR="006E4710">
              <w:rPr>
                <w:b/>
              </w:rPr>
              <w:t>. Intra-Corporate Transferees</w:t>
            </w:r>
          </w:p>
        </w:tc>
      </w:tr>
      <w:tr w:rsidR="006E4710" w14:paraId="22745833" w14:textId="77777777" w:rsidTr="007600C7">
        <w:trPr>
          <w:trHeight w:val="7794"/>
        </w:trPr>
        <w:tc>
          <w:tcPr>
            <w:tcW w:w="4544" w:type="dxa"/>
            <w:tcBorders>
              <w:top w:val="single" w:sz="4" w:space="0" w:color="000000"/>
              <w:left w:val="single" w:sz="4" w:space="0" w:color="000000"/>
              <w:bottom w:val="single" w:sz="4" w:space="0" w:color="000000"/>
              <w:right w:val="single" w:sz="4" w:space="0" w:color="000000"/>
            </w:tcBorders>
          </w:tcPr>
          <w:p w14:paraId="06C90C35" w14:textId="0F6C1FC4" w:rsidR="006E4710" w:rsidRPr="004C18E3" w:rsidRDefault="006E4710" w:rsidP="006E4710">
            <w:pPr>
              <w:spacing w:line="259" w:lineRule="auto"/>
              <w:ind w:left="0" w:firstLine="0"/>
              <w:rPr>
                <w:u w:val="single"/>
              </w:rPr>
            </w:pPr>
            <w:r w:rsidRPr="004C18E3">
              <w:rPr>
                <w:u w:val="single"/>
              </w:rPr>
              <w:t>Definition:</w:t>
            </w:r>
          </w:p>
          <w:p w14:paraId="69E5F56A" w14:textId="77777777" w:rsidR="006E4710" w:rsidRPr="007728A5" w:rsidRDefault="006E4710" w:rsidP="006E4710">
            <w:pPr>
              <w:pStyle w:val="TableParagraph"/>
              <w:spacing w:before="6"/>
              <w:jc w:val="both"/>
              <w:rPr>
                <w:rFonts w:ascii="Arial" w:hAnsi="Arial" w:cs="Arial"/>
                <w:sz w:val="20"/>
                <w:szCs w:val="20"/>
              </w:rPr>
            </w:pPr>
          </w:p>
          <w:p w14:paraId="41EF3010" w14:textId="47D97A34" w:rsidR="006E4710" w:rsidRPr="004C18E3" w:rsidRDefault="006E4710" w:rsidP="006E4710">
            <w:pPr>
              <w:spacing w:line="259" w:lineRule="auto"/>
              <w:ind w:left="0" w:firstLine="0"/>
            </w:pPr>
            <w:r w:rsidRPr="004C18E3">
              <w:t xml:space="preserve">A </w:t>
            </w:r>
            <w:proofErr w:type="gramStart"/>
            <w:r w:rsidRPr="004C18E3">
              <w:t>business person</w:t>
            </w:r>
            <w:proofErr w:type="gramEnd"/>
            <w:r w:rsidRPr="004C18E3">
              <w:t xml:space="preserve"> employed by an enterprise of the U</w:t>
            </w:r>
            <w:r w:rsidR="00A67FBD">
              <w:t>AE</w:t>
            </w:r>
            <w:r w:rsidRPr="004C18E3">
              <w:t xml:space="preserve"> established and lawfully and actively operating in Australia, who is transferred to fill a position in the parent, branch, subsidiary or affiliate of that enterprise in Australia, and who is:</w:t>
            </w:r>
          </w:p>
          <w:p w14:paraId="0657679F" w14:textId="77777777" w:rsidR="006E4710" w:rsidRDefault="006E4710" w:rsidP="006E4710">
            <w:pPr>
              <w:pStyle w:val="TableParagraph"/>
              <w:ind w:left="110" w:right="134"/>
              <w:jc w:val="both"/>
              <w:rPr>
                <w:rFonts w:ascii="Arial" w:hAnsi="Arial" w:cs="Arial"/>
                <w:sz w:val="20"/>
                <w:szCs w:val="20"/>
              </w:rPr>
            </w:pPr>
          </w:p>
          <w:p w14:paraId="3C0791D3" w14:textId="0750A42E" w:rsidR="006E4710" w:rsidRPr="004C18E3" w:rsidRDefault="006E4710" w:rsidP="006E4710">
            <w:pPr>
              <w:spacing w:line="259" w:lineRule="auto"/>
              <w:ind w:left="0" w:firstLine="0"/>
            </w:pPr>
            <w:r w:rsidRPr="004C18E3">
              <w:t>(a) an executive or a senior manager, who is a business person responsible for the entire or a substantial part of the operations of the enterprise in Australia, receiving general supervision or direction principally from higher-level executives, the board of directors or stockholders of the enterprise, including directing the enterprise or a department or subdivision of it; supervising and controlling the work of other supervisory, professional or managerial employees; and having the authority to establish goals and policies of the department or subdivision of the enterprise; or</w:t>
            </w:r>
          </w:p>
          <w:p w14:paraId="227ED02E" w14:textId="77777777" w:rsidR="006E4710" w:rsidRPr="004C18E3" w:rsidRDefault="006E4710" w:rsidP="006E4710">
            <w:pPr>
              <w:spacing w:line="259" w:lineRule="auto"/>
              <w:ind w:left="0" w:firstLine="0"/>
            </w:pPr>
          </w:p>
          <w:p w14:paraId="7F579758" w14:textId="05AB2B43" w:rsidR="006E4710" w:rsidRPr="004C18E3" w:rsidRDefault="006E4710" w:rsidP="006E4710">
            <w:pPr>
              <w:spacing w:line="259" w:lineRule="auto"/>
              <w:ind w:left="0" w:firstLine="0"/>
            </w:pPr>
            <w:r w:rsidRPr="004C18E3">
              <w:t xml:space="preserve">(b) a specialist, who is a </w:t>
            </w:r>
            <w:proofErr w:type="gramStart"/>
            <w:r w:rsidRPr="004C18E3">
              <w:t>business person</w:t>
            </w:r>
            <w:proofErr w:type="gramEnd"/>
            <w:r w:rsidRPr="004C18E3">
              <w:t xml:space="preserve"> with     advanced trade, technical or professional skills and experience who is assessed as having the necessary qualifications, or alternative credentials accepted as meeting Australia’s domestic standards for the relevant occupation, and who must have been employed by the employer for not less than two years immediately preceding the date of the application for temporary entry.</w:t>
            </w:r>
          </w:p>
          <w:p w14:paraId="3ED52423" w14:textId="69B1BD9C" w:rsidR="006E4710" w:rsidRPr="00E645D4" w:rsidRDefault="006E4710" w:rsidP="006E4710">
            <w:pPr>
              <w:pStyle w:val="TableParagraph"/>
              <w:ind w:left="67" w:hanging="67"/>
              <w:rPr>
                <w:rFonts w:ascii="Arial" w:hAnsi="Arial" w:cs="Arial"/>
                <w:sz w:val="20"/>
                <w:szCs w:val="20"/>
              </w:rPr>
            </w:pPr>
          </w:p>
        </w:tc>
        <w:tc>
          <w:tcPr>
            <w:tcW w:w="4544" w:type="dxa"/>
            <w:tcBorders>
              <w:top w:val="single" w:sz="4" w:space="0" w:color="000000"/>
              <w:left w:val="single" w:sz="4" w:space="0" w:color="000000"/>
              <w:bottom w:val="single" w:sz="4" w:space="0" w:color="000000"/>
              <w:right w:val="single" w:sz="4" w:space="0" w:color="000000"/>
            </w:tcBorders>
          </w:tcPr>
          <w:p w14:paraId="11D83134" w14:textId="77777777" w:rsidR="006E4710" w:rsidRDefault="006E4710" w:rsidP="006E4710">
            <w:pPr>
              <w:spacing w:line="259" w:lineRule="auto"/>
              <w:ind w:left="0" w:firstLine="0"/>
              <w:jc w:val="left"/>
            </w:pPr>
            <w:r>
              <w:t xml:space="preserve"> </w:t>
            </w:r>
          </w:p>
          <w:p w14:paraId="7EF2367A" w14:textId="77777777" w:rsidR="006E4710" w:rsidRDefault="006E4710" w:rsidP="006E4710">
            <w:pPr>
              <w:spacing w:after="1" w:line="240" w:lineRule="auto"/>
              <w:ind w:left="0" w:right="62" w:firstLine="0"/>
            </w:pPr>
          </w:p>
          <w:p w14:paraId="3FBA76F2" w14:textId="2C548582" w:rsidR="006E4710" w:rsidRDefault="006E4710" w:rsidP="006E4710">
            <w:pPr>
              <w:spacing w:after="1" w:line="240" w:lineRule="auto"/>
              <w:ind w:left="0" w:right="62" w:firstLine="0"/>
            </w:pPr>
            <w:r>
              <w:t xml:space="preserve">Temporary entry of </w:t>
            </w:r>
            <w:proofErr w:type="gramStart"/>
            <w:r>
              <w:t>business persons</w:t>
            </w:r>
            <w:proofErr w:type="gramEnd"/>
            <w:r>
              <w:t xml:space="preserve"> is subject to employer sponsorship. Full details of employer sponsorship requirements, including eligible occupations for sponsorship, are available on the website of the Australian government department responsible for immigration matters (as at entry into force, the address of that website was: </w:t>
            </w:r>
          </w:p>
          <w:p w14:paraId="1D7E7D33" w14:textId="14DB015D" w:rsidR="006E4710" w:rsidRDefault="00000000" w:rsidP="006E4710">
            <w:pPr>
              <w:spacing w:line="259" w:lineRule="auto"/>
              <w:ind w:left="0" w:firstLine="0"/>
              <w:jc w:val="left"/>
              <w:rPr>
                <w:color w:val="0563C1"/>
                <w:u w:val="single" w:color="0563C1"/>
              </w:rPr>
            </w:pPr>
            <w:hyperlink r:id="rId11" w:history="1">
              <w:r w:rsidR="006E4710" w:rsidRPr="00173584">
                <w:rPr>
                  <w:rStyle w:val="Hyperlink"/>
                </w:rPr>
                <w:t>http://www.homeaffairs.gov.au</w:t>
              </w:r>
            </w:hyperlink>
            <w:r w:rsidR="006E4710" w:rsidRPr="005F6454">
              <w:rPr>
                <w:szCs w:val="20"/>
              </w:rPr>
              <w:t>).</w:t>
            </w:r>
          </w:p>
          <w:p w14:paraId="22FBBC5A" w14:textId="77777777" w:rsidR="006E4710" w:rsidRDefault="006E4710" w:rsidP="006E4710">
            <w:pPr>
              <w:spacing w:line="259" w:lineRule="auto"/>
              <w:ind w:left="0" w:firstLine="0"/>
              <w:jc w:val="left"/>
              <w:rPr>
                <w:szCs w:val="20"/>
              </w:rPr>
            </w:pPr>
          </w:p>
          <w:p w14:paraId="027DB0AB" w14:textId="57423BC4" w:rsidR="006E4710" w:rsidRPr="005C325F" w:rsidRDefault="006E4710" w:rsidP="00CC2443">
            <w:pPr>
              <w:spacing w:line="240" w:lineRule="auto"/>
              <w:ind w:left="0" w:firstLine="0"/>
              <w:rPr>
                <w:szCs w:val="20"/>
              </w:rPr>
            </w:pPr>
            <w:r w:rsidRPr="005C325F">
              <w:rPr>
                <w:szCs w:val="20"/>
              </w:rPr>
              <w:t>Sponsorship</w:t>
            </w:r>
            <w:r w:rsidRPr="005C325F">
              <w:rPr>
                <w:spacing w:val="1"/>
                <w:szCs w:val="20"/>
              </w:rPr>
              <w:t xml:space="preserve"> </w:t>
            </w:r>
            <w:r w:rsidRPr="005C325F">
              <w:rPr>
                <w:szCs w:val="20"/>
              </w:rPr>
              <w:t>requirements, including the eligible occupations for specialists, may change</w:t>
            </w:r>
            <w:r w:rsidRPr="005C325F">
              <w:rPr>
                <w:spacing w:val="1"/>
                <w:szCs w:val="20"/>
              </w:rPr>
              <w:t xml:space="preserve"> </w:t>
            </w:r>
            <w:r w:rsidRPr="005C325F">
              <w:rPr>
                <w:szCs w:val="20"/>
              </w:rPr>
              <w:t>from</w:t>
            </w:r>
            <w:r w:rsidRPr="005C325F">
              <w:rPr>
                <w:spacing w:val="-3"/>
                <w:szCs w:val="20"/>
              </w:rPr>
              <w:t xml:space="preserve"> </w:t>
            </w:r>
            <w:r w:rsidRPr="005C325F">
              <w:rPr>
                <w:szCs w:val="20"/>
              </w:rPr>
              <w:t>time</w:t>
            </w:r>
            <w:r w:rsidRPr="005C325F">
              <w:rPr>
                <w:spacing w:val="1"/>
                <w:szCs w:val="20"/>
              </w:rPr>
              <w:t xml:space="preserve"> </w:t>
            </w:r>
            <w:r w:rsidRPr="005C325F">
              <w:rPr>
                <w:szCs w:val="20"/>
              </w:rPr>
              <w:t>to</w:t>
            </w:r>
            <w:r w:rsidRPr="005C325F">
              <w:rPr>
                <w:spacing w:val="-4"/>
                <w:szCs w:val="20"/>
              </w:rPr>
              <w:t xml:space="preserve"> </w:t>
            </w:r>
            <w:r w:rsidRPr="005C325F">
              <w:rPr>
                <w:szCs w:val="20"/>
              </w:rPr>
              <w:t>time.</w:t>
            </w:r>
            <w:r w:rsidRPr="005C325F">
              <w:rPr>
                <w:rStyle w:val="FootnoteReference"/>
                <w:szCs w:val="20"/>
              </w:rPr>
              <w:footnoteReference w:id="2"/>
            </w:r>
          </w:p>
          <w:p w14:paraId="2A2868DD" w14:textId="77777777" w:rsidR="006E4710" w:rsidRPr="005C325F" w:rsidRDefault="006E4710" w:rsidP="006E4710">
            <w:pPr>
              <w:spacing w:line="259" w:lineRule="auto"/>
              <w:ind w:left="0" w:firstLine="0"/>
              <w:jc w:val="left"/>
              <w:rPr>
                <w:szCs w:val="20"/>
              </w:rPr>
            </w:pPr>
          </w:p>
          <w:p w14:paraId="37796FFC" w14:textId="65D27F5F" w:rsidR="006E4710" w:rsidRPr="005C325F" w:rsidRDefault="006E4710" w:rsidP="001F1487">
            <w:pPr>
              <w:pStyle w:val="TableParagraph"/>
              <w:ind w:right="219"/>
              <w:jc w:val="both"/>
              <w:rPr>
                <w:rFonts w:ascii="Arial" w:hAnsi="Arial" w:cs="Arial"/>
                <w:sz w:val="20"/>
                <w:szCs w:val="20"/>
              </w:rPr>
            </w:pPr>
            <w:r>
              <w:rPr>
                <w:rFonts w:ascii="Arial" w:hAnsi="Arial" w:cs="Arial"/>
                <w:sz w:val="20"/>
                <w:szCs w:val="20"/>
              </w:rPr>
              <w:t>Temporary e</w:t>
            </w:r>
            <w:r w:rsidRPr="005C325F">
              <w:rPr>
                <w:rFonts w:ascii="Arial" w:hAnsi="Arial" w:cs="Arial"/>
                <w:sz w:val="20"/>
                <w:szCs w:val="20"/>
              </w:rPr>
              <w:t>ntry for executives and senior managers is for a</w:t>
            </w:r>
            <w:r w:rsidRPr="005C325F">
              <w:rPr>
                <w:rFonts w:ascii="Arial" w:hAnsi="Arial" w:cs="Arial"/>
                <w:spacing w:val="-6"/>
                <w:sz w:val="20"/>
                <w:szCs w:val="20"/>
              </w:rPr>
              <w:t xml:space="preserve"> </w:t>
            </w:r>
            <w:r w:rsidRPr="005C325F">
              <w:rPr>
                <w:rFonts w:ascii="Arial" w:hAnsi="Arial" w:cs="Arial"/>
                <w:sz w:val="20"/>
                <w:szCs w:val="20"/>
              </w:rPr>
              <w:t>period</w:t>
            </w:r>
            <w:r w:rsidRPr="005C325F">
              <w:rPr>
                <w:rFonts w:ascii="Arial" w:hAnsi="Arial" w:cs="Arial"/>
                <w:spacing w:val="-1"/>
                <w:sz w:val="20"/>
                <w:szCs w:val="20"/>
              </w:rPr>
              <w:t xml:space="preserve"> </w:t>
            </w:r>
            <w:r w:rsidRPr="005C325F">
              <w:rPr>
                <w:rFonts w:ascii="Arial" w:hAnsi="Arial" w:cs="Arial"/>
                <w:sz w:val="20"/>
                <w:szCs w:val="20"/>
              </w:rPr>
              <w:t>of stay</w:t>
            </w:r>
            <w:r w:rsidRPr="005C325F">
              <w:rPr>
                <w:rFonts w:ascii="Arial" w:hAnsi="Arial" w:cs="Arial"/>
                <w:spacing w:val="-1"/>
                <w:sz w:val="20"/>
                <w:szCs w:val="20"/>
              </w:rPr>
              <w:t xml:space="preserve"> </w:t>
            </w:r>
            <w:r w:rsidRPr="005C325F">
              <w:rPr>
                <w:rFonts w:ascii="Arial" w:hAnsi="Arial" w:cs="Arial"/>
                <w:sz w:val="20"/>
                <w:szCs w:val="20"/>
              </w:rPr>
              <w:t>up</w:t>
            </w:r>
            <w:r w:rsidRPr="005C325F">
              <w:rPr>
                <w:rFonts w:ascii="Arial" w:hAnsi="Arial" w:cs="Arial"/>
                <w:spacing w:val="-3"/>
                <w:sz w:val="20"/>
                <w:szCs w:val="20"/>
              </w:rPr>
              <w:t xml:space="preserve"> </w:t>
            </w:r>
            <w:r w:rsidRPr="005C325F">
              <w:rPr>
                <w:rFonts w:ascii="Arial" w:hAnsi="Arial" w:cs="Arial"/>
                <w:sz w:val="20"/>
                <w:szCs w:val="20"/>
              </w:rPr>
              <w:t>to</w:t>
            </w:r>
            <w:r w:rsidRPr="005C325F">
              <w:rPr>
                <w:rFonts w:ascii="Arial" w:hAnsi="Arial" w:cs="Arial"/>
                <w:spacing w:val="-13"/>
                <w:sz w:val="20"/>
                <w:szCs w:val="20"/>
              </w:rPr>
              <w:t xml:space="preserve"> </w:t>
            </w:r>
            <w:r w:rsidRPr="005C325F">
              <w:rPr>
                <w:rFonts w:ascii="Arial" w:hAnsi="Arial" w:cs="Arial"/>
                <w:sz w:val="20"/>
                <w:szCs w:val="20"/>
              </w:rPr>
              <w:t>four</w:t>
            </w:r>
            <w:r w:rsidRPr="005C325F">
              <w:rPr>
                <w:rFonts w:ascii="Arial" w:hAnsi="Arial" w:cs="Arial"/>
                <w:spacing w:val="-4"/>
                <w:sz w:val="20"/>
                <w:szCs w:val="20"/>
              </w:rPr>
              <w:t xml:space="preserve"> </w:t>
            </w:r>
            <w:r w:rsidRPr="005C325F">
              <w:rPr>
                <w:rFonts w:ascii="Arial" w:hAnsi="Arial" w:cs="Arial"/>
                <w:sz w:val="20"/>
                <w:szCs w:val="20"/>
              </w:rPr>
              <w:t>years,</w:t>
            </w:r>
            <w:r w:rsidRPr="005C325F">
              <w:rPr>
                <w:rFonts w:ascii="Arial" w:hAnsi="Arial" w:cs="Arial"/>
                <w:spacing w:val="1"/>
                <w:sz w:val="20"/>
                <w:szCs w:val="20"/>
              </w:rPr>
              <w:t xml:space="preserve"> </w:t>
            </w:r>
            <w:r w:rsidRPr="005C325F">
              <w:rPr>
                <w:rFonts w:ascii="Arial" w:hAnsi="Arial" w:cs="Arial"/>
                <w:sz w:val="20"/>
                <w:szCs w:val="20"/>
              </w:rPr>
              <w:t>with the possibility</w:t>
            </w:r>
            <w:r w:rsidRPr="005C325F">
              <w:rPr>
                <w:rFonts w:ascii="Arial" w:hAnsi="Arial" w:cs="Arial"/>
                <w:spacing w:val="1"/>
                <w:sz w:val="20"/>
                <w:szCs w:val="20"/>
              </w:rPr>
              <w:t xml:space="preserve"> </w:t>
            </w:r>
            <w:r w:rsidRPr="005C325F">
              <w:rPr>
                <w:rFonts w:ascii="Arial" w:hAnsi="Arial" w:cs="Arial"/>
                <w:sz w:val="20"/>
                <w:szCs w:val="20"/>
              </w:rPr>
              <w:t>of</w:t>
            </w:r>
            <w:r w:rsidRPr="005C325F">
              <w:rPr>
                <w:rFonts w:ascii="Arial" w:hAnsi="Arial" w:cs="Arial"/>
                <w:spacing w:val="3"/>
                <w:sz w:val="20"/>
                <w:szCs w:val="20"/>
              </w:rPr>
              <w:t xml:space="preserve"> </w:t>
            </w:r>
            <w:r w:rsidRPr="005C325F">
              <w:rPr>
                <w:rFonts w:ascii="Arial" w:hAnsi="Arial" w:cs="Arial"/>
                <w:sz w:val="20"/>
                <w:szCs w:val="20"/>
              </w:rPr>
              <w:t>further stay.</w:t>
            </w:r>
          </w:p>
          <w:p w14:paraId="74EF8FD7" w14:textId="77777777" w:rsidR="006E4710" w:rsidRPr="005C325F" w:rsidRDefault="006E4710" w:rsidP="006E4710">
            <w:pPr>
              <w:spacing w:line="259" w:lineRule="auto"/>
              <w:ind w:left="0" w:firstLine="0"/>
              <w:jc w:val="left"/>
              <w:rPr>
                <w:szCs w:val="20"/>
              </w:rPr>
            </w:pPr>
          </w:p>
          <w:p w14:paraId="3F633071" w14:textId="767322FA" w:rsidR="006E4710" w:rsidRPr="005C325F" w:rsidRDefault="006E4710" w:rsidP="00CC2443">
            <w:pPr>
              <w:spacing w:line="259" w:lineRule="auto"/>
              <w:ind w:left="0" w:firstLine="0"/>
              <w:rPr>
                <w:szCs w:val="20"/>
              </w:rPr>
            </w:pPr>
            <w:r>
              <w:rPr>
                <w:szCs w:val="20"/>
              </w:rPr>
              <w:t>Temporary e</w:t>
            </w:r>
            <w:r w:rsidRPr="005C325F">
              <w:rPr>
                <w:szCs w:val="20"/>
              </w:rPr>
              <w:t>ntry</w:t>
            </w:r>
            <w:r w:rsidRPr="005C325F">
              <w:rPr>
                <w:spacing w:val="-6"/>
                <w:szCs w:val="20"/>
              </w:rPr>
              <w:t xml:space="preserve"> </w:t>
            </w:r>
            <w:r w:rsidRPr="005C325F">
              <w:rPr>
                <w:szCs w:val="20"/>
              </w:rPr>
              <w:t>for</w:t>
            </w:r>
            <w:r w:rsidRPr="005C325F">
              <w:rPr>
                <w:spacing w:val="-3"/>
                <w:szCs w:val="20"/>
              </w:rPr>
              <w:t xml:space="preserve"> </w:t>
            </w:r>
            <w:r w:rsidRPr="005C325F">
              <w:rPr>
                <w:szCs w:val="20"/>
              </w:rPr>
              <w:t>specialists</w:t>
            </w:r>
            <w:r w:rsidRPr="005C325F">
              <w:rPr>
                <w:spacing w:val="-2"/>
                <w:szCs w:val="20"/>
              </w:rPr>
              <w:t xml:space="preserve"> </w:t>
            </w:r>
            <w:r w:rsidRPr="005C325F">
              <w:rPr>
                <w:szCs w:val="20"/>
              </w:rPr>
              <w:t>is</w:t>
            </w:r>
            <w:r w:rsidRPr="005C325F">
              <w:rPr>
                <w:spacing w:val="-3"/>
                <w:szCs w:val="20"/>
              </w:rPr>
              <w:t xml:space="preserve"> </w:t>
            </w:r>
            <w:r w:rsidRPr="005C325F">
              <w:rPr>
                <w:szCs w:val="20"/>
              </w:rPr>
              <w:t>for</w:t>
            </w:r>
            <w:r w:rsidRPr="005C325F">
              <w:rPr>
                <w:spacing w:val="1"/>
                <w:szCs w:val="20"/>
              </w:rPr>
              <w:t xml:space="preserve"> </w:t>
            </w:r>
            <w:r w:rsidRPr="005C325F">
              <w:rPr>
                <w:szCs w:val="20"/>
              </w:rPr>
              <w:t>a</w:t>
            </w:r>
            <w:r w:rsidRPr="005C325F">
              <w:rPr>
                <w:spacing w:val="-1"/>
                <w:szCs w:val="20"/>
              </w:rPr>
              <w:t xml:space="preserve"> </w:t>
            </w:r>
            <w:r w:rsidRPr="005C325F">
              <w:rPr>
                <w:szCs w:val="20"/>
              </w:rPr>
              <w:t>period</w:t>
            </w:r>
            <w:r w:rsidRPr="005C325F">
              <w:rPr>
                <w:spacing w:val="4"/>
                <w:szCs w:val="20"/>
              </w:rPr>
              <w:t xml:space="preserve"> </w:t>
            </w:r>
            <w:r w:rsidRPr="005C325F">
              <w:rPr>
                <w:szCs w:val="20"/>
              </w:rPr>
              <w:t>of</w:t>
            </w:r>
            <w:r w:rsidRPr="005C325F">
              <w:rPr>
                <w:spacing w:val="-13"/>
                <w:szCs w:val="20"/>
              </w:rPr>
              <w:t xml:space="preserve"> </w:t>
            </w:r>
            <w:r w:rsidRPr="005C325F">
              <w:rPr>
                <w:szCs w:val="20"/>
              </w:rPr>
              <w:t>stay</w:t>
            </w:r>
            <w:r w:rsidRPr="005C325F">
              <w:rPr>
                <w:spacing w:val="-1"/>
                <w:szCs w:val="20"/>
              </w:rPr>
              <w:t xml:space="preserve"> </w:t>
            </w:r>
            <w:r>
              <w:rPr>
                <w:spacing w:val="-1"/>
                <w:szCs w:val="20"/>
              </w:rPr>
              <w:t>up to four years, with the possibility of further stay.</w:t>
            </w:r>
          </w:p>
          <w:p w14:paraId="68A652BE" w14:textId="77777777" w:rsidR="006E4710" w:rsidRDefault="006E4710" w:rsidP="006E4710">
            <w:pPr>
              <w:spacing w:line="259" w:lineRule="auto"/>
              <w:ind w:left="0" w:firstLine="0"/>
              <w:jc w:val="left"/>
            </w:pPr>
          </w:p>
          <w:p w14:paraId="302A3B86" w14:textId="0BC0285D" w:rsidR="006E4710" w:rsidRDefault="006E4710" w:rsidP="006E4710">
            <w:pPr>
              <w:spacing w:line="259" w:lineRule="auto"/>
              <w:ind w:left="0" w:firstLine="0"/>
              <w:jc w:val="left"/>
            </w:pPr>
          </w:p>
          <w:p w14:paraId="286016CD" w14:textId="77777777" w:rsidR="006E4710" w:rsidRDefault="006E4710" w:rsidP="006E4710">
            <w:pPr>
              <w:spacing w:line="259" w:lineRule="auto"/>
              <w:ind w:left="0" w:firstLine="0"/>
              <w:jc w:val="left"/>
            </w:pPr>
          </w:p>
          <w:p w14:paraId="31E5AB01" w14:textId="77777777" w:rsidR="006E4710" w:rsidRDefault="006E4710" w:rsidP="006E4710">
            <w:pPr>
              <w:spacing w:line="259" w:lineRule="auto"/>
              <w:ind w:left="0" w:firstLine="0"/>
              <w:jc w:val="left"/>
            </w:pPr>
          </w:p>
          <w:p w14:paraId="7C2D82EC" w14:textId="77777777" w:rsidR="006E4710" w:rsidRDefault="006E4710" w:rsidP="006E4710">
            <w:pPr>
              <w:spacing w:line="259" w:lineRule="auto"/>
              <w:ind w:left="0" w:firstLine="0"/>
              <w:jc w:val="left"/>
            </w:pPr>
          </w:p>
          <w:p w14:paraId="27CEE938" w14:textId="77777777" w:rsidR="006E4710" w:rsidRDefault="006E4710" w:rsidP="006E4710">
            <w:pPr>
              <w:spacing w:line="259" w:lineRule="auto"/>
              <w:ind w:left="0" w:firstLine="0"/>
              <w:jc w:val="left"/>
            </w:pPr>
          </w:p>
          <w:p w14:paraId="3937884A" w14:textId="4A4A11EF" w:rsidR="006E4710" w:rsidRDefault="006E4710" w:rsidP="006E4710">
            <w:pPr>
              <w:spacing w:line="259" w:lineRule="auto"/>
              <w:ind w:left="0" w:firstLine="0"/>
              <w:jc w:val="left"/>
            </w:pPr>
          </w:p>
        </w:tc>
      </w:tr>
    </w:tbl>
    <w:p w14:paraId="57A62836" w14:textId="77777777" w:rsidR="00D84594" w:rsidRDefault="00D84594">
      <w:r>
        <w:br w:type="page"/>
      </w:r>
    </w:p>
    <w:tbl>
      <w:tblPr>
        <w:tblStyle w:val="TableGrid1"/>
        <w:tblW w:w="9088" w:type="dxa"/>
        <w:tblInd w:w="5" w:type="dxa"/>
        <w:tblCellMar>
          <w:top w:w="5" w:type="dxa"/>
          <w:left w:w="72" w:type="dxa"/>
          <w:right w:w="53" w:type="dxa"/>
        </w:tblCellMar>
        <w:tblLook w:val="04A0" w:firstRow="1" w:lastRow="0" w:firstColumn="1" w:lastColumn="0" w:noHBand="0" w:noVBand="1"/>
      </w:tblPr>
      <w:tblGrid>
        <w:gridCol w:w="4544"/>
        <w:gridCol w:w="4544"/>
      </w:tblGrid>
      <w:tr w:rsidR="00493EF3" w14:paraId="257E9C1D" w14:textId="77777777" w:rsidTr="005514B3">
        <w:trPr>
          <w:trHeight w:val="283"/>
        </w:trPr>
        <w:tc>
          <w:tcPr>
            <w:tcW w:w="9088" w:type="dxa"/>
            <w:gridSpan w:val="2"/>
            <w:tcBorders>
              <w:top w:val="single" w:sz="4" w:space="0" w:color="000000"/>
              <w:left w:val="single" w:sz="4" w:space="0" w:color="000000"/>
              <w:bottom w:val="single" w:sz="4" w:space="0" w:color="000000"/>
              <w:right w:val="single" w:sz="4" w:space="0" w:color="000000"/>
            </w:tcBorders>
          </w:tcPr>
          <w:p w14:paraId="5A87C432" w14:textId="324426D1" w:rsidR="00493EF3" w:rsidRDefault="000E4F48" w:rsidP="00CC2443">
            <w:pPr>
              <w:spacing w:line="259" w:lineRule="auto"/>
              <w:jc w:val="left"/>
            </w:pPr>
            <w:r>
              <w:rPr>
                <w:b/>
              </w:rPr>
              <w:lastRenderedPageBreak/>
              <w:t>D</w:t>
            </w:r>
            <w:r w:rsidR="00493EF3" w:rsidRPr="00C07794">
              <w:rPr>
                <w:b/>
              </w:rPr>
              <w:t>. Independent Executives</w:t>
            </w:r>
          </w:p>
        </w:tc>
      </w:tr>
      <w:tr w:rsidR="00493EF3" w14:paraId="32196405" w14:textId="77777777" w:rsidTr="007600C7">
        <w:trPr>
          <w:trHeight w:val="1134"/>
        </w:trPr>
        <w:tc>
          <w:tcPr>
            <w:tcW w:w="4544" w:type="dxa"/>
            <w:tcBorders>
              <w:top w:val="single" w:sz="4" w:space="0" w:color="000000"/>
              <w:left w:val="single" w:sz="4" w:space="0" w:color="000000"/>
              <w:bottom w:val="single" w:sz="4" w:space="0" w:color="000000"/>
              <w:right w:val="single" w:sz="4" w:space="0" w:color="000000"/>
            </w:tcBorders>
          </w:tcPr>
          <w:p w14:paraId="3DE839D4" w14:textId="77777777" w:rsidR="00493EF3" w:rsidRPr="00396C47" w:rsidRDefault="00493EF3" w:rsidP="00493EF3">
            <w:pPr>
              <w:pStyle w:val="Default"/>
              <w:jc w:val="both"/>
              <w:rPr>
                <w:sz w:val="20"/>
                <w:szCs w:val="20"/>
                <w:u w:val="single"/>
              </w:rPr>
            </w:pPr>
            <w:r w:rsidRPr="00396C47">
              <w:rPr>
                <w:sz w:val="20"/>
                <w:szCs w:val="20"/>
                <w:u w:val="single"/>
              </w:rPr>
              <w:t>Definition</w:t>
            </w:r>
            <w:r>
              <w:rPr>
                <w:sz w:val="20"/>
                <w:szCs w:val="20"/>
                <w:u w:val="single"/>
              </w:rPr>
              <w:t>:</w:t>
            </w:r>
          </w:p>
          <w:p w14:paraId="10FF5D86" w14:textId="77777777" w:rsidR="00493EF3" w:rsidRDefault="00493EF3" w:rsidP="00493EF3">
            <w:pPr>
              <w:pStyle w:val="Default"/>
              <w:jc w:val="both"/>
              <w:rPr>
                <w:b/>
                <w:bCs/>
                <w:sz w:val="20"/>
                <w:szCs w:val="20"/>
              </w:rPr>
            </w:pPr>
          </w:p>
          <w:p w14:paraId="2FB3998C" w14:textId="079F650E" w:rsidR="00493EF3" w:rsidRDefault="00493EF3" w:rsidP="00493EF3">
            <w:pPr>
              <w:pStyle w:val="Default"/>
              <w:jc w:val="both"/>
              <w:rPr>
                <w:sz w:val="20"/>
                <w:szCs w:val="20"/>
              </w:rPr>
            </w:pPr>
            <w:proofErr w:type="gramStart"/>
            <w:r w:rsidRPr="00396C47">
              <w:rPr>
                <w:sz w:val="20"/>
                <w:szCs w:val="20"/>
              </w:rPr>
              <w:t>Business</w:t>
            </w:r>
            <w:r w:rsidR="000E4F48">
              <w:rPr>
                <w:sz w:val="20"/>
                <w:szCs w:val="20"/>
              </w:rPr>
              <w:t xml:space="preserve"> </w:t>
            </w:r>
            <w:r w:rsidRPr="00396C47">
              <w:rPr>
                <w:sz w:val="20"/>
                <w:szCs w:val="20"/>
              </w:rPr>
              <w:t>persons</w:t>
            </w:r>
            <w:proofErr w:type="gramEnd"/>
            <w:r>
              <w:rPr>
                <w:b/>
                <w:bCs/>
                <w:sz w:val="20"/>
                <w:szCs w:val="20"/>
              </w:rPr>
              <w:t xml:space="preserve"> </w:t>
            </w:r>
            <w:r>
              <w:rPr>
                <w:sz w:val="20"/>
                <w:szCs w:val="20"/>
              </w:rPr>
              <w:t>whose work responsibilities match the description set out below and who intend, or are responsible for, the establishment in Australia, of a new branch or subsidiary of an enterprise which has its head of operations in the territory of the U</w:t>
            </w:r>
            <w:r w:rsidR="0017356B">
              <w:rPr>
                <w:sz w:val="20"/>
                <w:szCs w:val="20"/>
              </w:rPr>
              <w:t>AE</w:t>
            </w:r>
            <w:r w:rsidR="008102E7">
              <w:rPr>
                <w:sz w:val="20"/>
                <w:szCs w:val="20"/>
              </w:rPr>
              <w:t>,</w:t>
            </w:r>
            <w:r>
              <w:rPr>
                <w:sz w:val="20"/>
                <w:szCs w:val="20"/>
              </w:rPr>
              <w:t xml:space="preserve"> and which has no other representative, branch or subsidiary in Australia.</w:t>
            </w:r>
          </w:p>
          <w:p w14:paraId="18166EB9" w14:textId="77777777" w:rsidR="00493EF3" w:rsidRDefault="00493EF3" w:rsidP="00493EF3">
            <w:pPr>
              <w:pStyle w:val="Default"/>
              <w:jc w:val="both"/>
              <w:rPr>
                <w:sz w:val="20"/>
                <w:szCs w:val="20"/>
              </w:rPr>
            </w:pPr>
          </w:p>
          <w:p w14:paraId="7B57D2AE" w14:textId="77777777" w:rsidR="00493EF3" w:rsidRDefault="00493EF3" w:rsidP="00E864CF">
            <w:pPr>
              <w:pStyle w:val="Default"/>
              <w:jc w:val="both"/>
              <w:rPr>
                <w:sz w:val="20"/>
                <w:szCs w:val="20"/>
              </w:rPr>
            </w:pPr>
            <w:r>
              <w:rPr>
                <w:sz w:val="20"/>
                <w:szCs w:val="20"/>
              </w:rPr>
              <w:t xml:space="preserve">Independent executives will be responsible for the entire or a substantial part of the enterprise’s operations in Australia, receiving general supervision or direction principally from higher level executives, the board of directors or stockholders of the enterprise, including directing the enterprise or a department or subdivision of it; supervising and controlling the work of other supervisory, professional or managerial employees; and having the authority to establish goals and policies of the department or subdivision of the enterprise. </w:t>
            </w:r>
          </w:p>
          <w:p w14:paraId="23301DB6" w14:textId="1B456FC3" w:rsidR="00C742D0" w:rsidRPr="007728A5" w:rsidRDefault="00C742D0" w:rsidP="00E864CF">
            <w:pPr>
              <w:pStyle w:val="Default"/>
              <w:jc w:val="both"/>
              <w:rPr>
                <w:sz w:val="20"/>
                <w:szCs w:val="20"/>
                <w:u w:val="single"/>
              </w:rPr>
            </w:pPr>
          </w:p>
        </w:tc>
        <w:tc>
          <w:tcPr>
            <w:tcW w:w="4544" w:type="dxa"/>
            <w:tcBorders>
              <w:top w:val="single" w:sz="4" w:space="0" w:color="000000"/>
              <w:left w:val="single" w:sz="4" w:space="0" w:color="000000"/>
              <w:bottom w:val="single" w:sz="4" w:space="0" w:color="000000"/>
              <w:right w:val="single" w:sz="4" w:space="0" w:color="000000"/>
            </w:tcBorders>
          </w:tcPr>
          <w:p w14:paraId="784C1F80" w14:textId="77777777" w:rsidR="007600C7" w:rsidRDefault="007600C7" w:rsidP="00493EF3">
            <w:pPr>
              <w:pStyle w:val="Default"/>
              <w:jc w:val="both"/>
              <w:rPr>
                <w:sz w:val="20"/>
                <w:szCs w:val="20"/>
              </w:rPr>
            </w:pPr>
          </w:p>
          <w:p w14:paraId="0647152A" w14:textId="77777777" w:rsidR="007600C7" w:rsidRDefault="007600C7" w:rsidP="00493EF3">
            <w:pPr>
              <w:pStyle w:val="Default"/>
              <w:jc w:val="both"/>
              <w:rPr>
                <w:sz w:val="20"/>
                <w:szCs w:val="20"/>
              </w:rPr>
            </w:pPr>
          </w:p>
          <w:p w14:paraId="03716818" w14:textId="7481122A" w:rsidR="00493EF3" w:rsidRDefault="00493EF3" w:rsidP="00493EF3">
            <w:pPr>
              <w:pStyle w:val="Default"/>
              <w:jc w:val="both"/>
              <w:rPr>
                <w:sz w:val="20"/>
                <w:szCs w:val="20"/>
              </w:rPr>
            </w:pPr>
            <w:r>
              <w:rPr>
                <w:sz w:val="20"/>
                <w:szCs w:val="20"/>
              </w:rPr>
              <w:t xml:space="preserve">Temporary entry of </w:t>
            </w:r>
            <w:proofErr w:type="gramStart"/>
            <w:r>
              <w:rPr>
                <w:sz w:val="20"/>
                <w:szCs w:val="20"/>
              </w:rPr>
              <w:t>business persons</w:t>
            </w:r>
            <w:proofErr w:type="gramEnd"/>
            <w:r>
              <w:rPr>
                <w:sz w:val="20"/>
                <w:szCs w:val="20"/>
              </w:rPr>
              <w:t xml:space="preserve"> is subject to employer sponsorship. </w:t>
            </w:r>
          </w:p>
          <w:p w14:paraId="30B321AF" w14:textId="77777777" w:rsidR="00493EF3" w:rsidRDefault="00493EF3" w:rsidP="00493EF3">
            <w:pPr>
              <w:pStyle w:val="Default"/>
              <w:jc w:val="both"/>
              <w:rPr>
                <w:sz w:val="20"/>
                <w:szCs w:val="20"/>
              </w:rPr>
            </w:pPr>
          </w:p>
          <w:p w14:paraId="631FFC8E" w14:textId="0A9AD49E" w:rsidR="00493EF3" w:rsidRDefault="00493EF3" w:rsidP="00493EF3">
            <w:pPr>
              <w:pStyle w:val="Default"/>
              <w:jc w:val="both"/>
              <w:rPr>
                <w:sz w:val="20"/>
                <w:szCs w:val="20"/>
              </w:rPr>
            </w:pPr>
            <w:r>
              <w:rPr>
                <w:sz w:val="20"/>
                <w:szCs w:val="20"/>
              </w:rPr>
              <w:t xml:space="preserve">Employer sponsorship requirements, </w:t>
            </w:r>
            <w:r w:rsidR="007916E0">
              <w:rPr>
                <w:sz w:val="20"/>
                <w:szCs w:val="20"/>
              </w:rPr>
              <w:t>including the</w:t>
            </w:r>
            <w:r>
              <w:rPr>
                <w:sz w:val="20"/>
                <w:szCs w:val="20"/>
              </w:rPr>
              <w:t xml:space="preserve"> list of eligible occupations for sponsorship, are available on the website of the Australian government department responsible for immigration matters (as at entry into force, that website was: </w:t>
            </w:r>
            <w:hyperlink r:id="rId12" w:history="1">
              <w:r w:rsidRPr="002D65DE">
                <w:rPr>
                  <w:rStyle w:val="Hyperlink"/>
                  <w:sz w:val="20"/>
                  <w:szCs w:val="20"/>
                </w:rPr>
                <w:t>http://www.homeaffairs.gov.au</w:t>
              </w:r>
            </w:hyperlink>
            <w:r w:rsidR="005F6454">
              <w:rPr>
                <w:sz w:val="20"/>
                <w:szCs w:val="20"/>
              </w:rPr>
              <w:t>”).</w:t>
            </w:r>
          </w:p>
          <w:p w14:paraId="5D28C673" w14:textId="77777777" w:rsidR="00493EF3" w:rsidRDefault="00493EF3" w:rsidP="00493EF3">
            <w:pPr>
              <w:spacing w:line="259" w:lineRule="auto"/>
              <w:ind w:left="0" w:firstLine="0"/>
              <w:rPr>
                <w:szCs w:val="20"/>
              </w:rPr>
            </w:pPr>
          </w:p>
          <w:p w14:paraId="07F08B37" w14:textId="5AE608F5" w:rsidR="00493EF3" w:rsidRDefault="0038382B" w:rsidP="00CC2443">
            <w:pPr>
              <w:spacing w:line="259" w:lineRule="auto"/>
              <w:ind w:left="0" w:firstLine="0"/>
            </w:pPr>
            <w:r>
              <w:rPr>
                <w:szCs w:val="20"/>
              </w:rPr>
              <w:t>Temporary e</w:t>
            </w:r>
            <w:r w:rsidR="00493EF3">
              <w:rPr>
                <w:szCs w:val="20"/>
              </w:rPr>
              <w:t xml:space="preserve">ntry is for periods of stay up to a maximum of two years. </w:t>
            </w:r>
          </w:p>
        </w:tc>
      </w:tr>
      <w:tr w:rsidR="00933EB4" w14:paraId="24FE3C03" w14:textId="77777777" w:rsidTr="005514B3">
        <w:trPr>
          <w:trHeight w:val="283"/>
        </w:trPr>
        <w:tc>
          <w:tcPr>
            <w:tcW w:w="9088" w:type="dxa"/>
            <w:gridSpan w:val="2"/>
            <w:tcBorders>
              <w:top w:val="single" w:sz="4" w:space="0" w:color="000000"/>
              <w:left w:val="single" w:sz="4" w:space="0" w:color="000000"/>
              <w:bottom w:val="single" w:sz="4" w:space="0" w:color="000000"/>
              <w:right w:val="single" w:sz="4" w:space="0" w:color="000000"/>
            </w:tcBorders>
          </w:tcPr>
          <w:p w14:paraId="036DC3D4" w14:textId="0E844689" w:rsidR="00933EB4" w:rsidRDefault="006E4710" w:rsidP="00CC2443">
            <w:pPr>
              <w:spacing w:line="259" w:lineRule="auto"/>
              <w:jc w:val="left"/>
              <w:rPr>
                <w:szCs w:val="20"/>
              </w:rPr>
            </w:pPr>
            <w:r>
              <w:rPr>
                <w:b/>
              </w:rPr>
              <w:t>E</w:t>
            </w:r>
            <w:r w:rsidR="00933EB4" w:rsidRPr="00933EB4">
              <w:rPr>
                <w:b/>
              </w:rPr>
              <w:t>. Contractual Service Suppliers</w:t>
            </w:r>
          </w:p>
        </w:tc>
      </w:tr>
      <w:tr w:rsidR="00026AC0" w14:paraId="65E49186" w14:textId="77777777" w:rsidTr="007600C7">
        <w:trPr>
          <w:trHeight w:val="1134"/>
        </w:trPr>
        <w:tc>
          <w:tcPr>
            <w:tcW w:w="4544" w:type="dxa"/>
            <w:tcBorders>
              <w:top w:val="single" w:sz="4" w:space="0" w:color="000000"/>
              <w:left w:val="single" w:sz="4" w:space="0" w:color="000000"/>
              <w:bottom w:val="single" w:sz="4" w:space="0" w:color="000000"/>
              <w:right w:val="single" w:sz="4" w:space="0" w:color="000000"/>
            </w:tcBorders>
          </w:tcPr>
          <w:p w14:paraId="280AE0A2" w14:textId="77777777" w:rsidR="00026AC0" w:rsidRPr="004C4F78" w:rsidRDefault="00026AC0" w:rsidP="00026AC0">
            <w:pPr>
              <w:pStyle w:val="Default"/>
              <w:jc w:val="both"/>
              <w:rPr>
                <w:sz w:val="20"/>
                <w:szCs w:val="20"/>
                <w:u w:val="single"/>
              </w:rPr>
            </w:pPr>
            <w:r w:rsidRPr="004C4F78">
              <w:rPr>
                <w:sz w:val="20"/>
                <w:szCs w:val="20"/>
                <w:u w:val="single"/>
              </w:rPr>
              <w:t>Definition:</w:t>
            </w:r>
          </w:p>
          <w:p w14:paraId="44586A70" w14:textId="77777777" w:rsidR="00026AC0" w:rsidRDefault="00026AC0" w:rsidP="00026AC0">
            <w:pPr>
              <w:pStyle w:val="Default"/>
              <w:jc w:val="both"/>
              <w:rPr>
                <w:b/>
                <w:bCs/>
                <w:sz w:val="20"/>
                <w:szCs w:val="20"/>
              </w:rPr>
            </w:pPr>
          </w:p>
          <w:p w14:paraId="5ACBFAD6" w14:textId="6786DEAE" w:rsidR="00026AC0" w:rsidRDefault="00026AC0" w:rsidP="00026AC0">
            <w:pPr>
              <w:pStyle w:val="Default"/>
              <w:jc w:val="both"/>
              <w:rPr>
                <w:sz w:val="20"/>
                <w:szCs w:val="20"/>
              </w:rPr>
            </w:pPr>
            <w:proofErr w:type="gramStart"/>
            <w:r>
              <w:rPr>
                <w:sz w:val="20"/>
                <w:szCs w:val="20"/>
              </w:rPr>
              <w:t>Business persons</w:t>
            </w:r>
            <w:proofErr w:type="gramEnd"/>
            <w:r>
              <w:rPr>
                <w:sz w:val="20"/>
                <w:szCs w:val="20"/>
              </w:rPr>
              <w:t xml:space="preserve"> with trade, technical or professional skills and experience who are assessed as having the necessary qualifications, skills and work experience accepted as meeting the domestic standard in Australia for their nominated occupation, and who are: </w:t>
            </w:r>
          </w:p>
          <w:p w14:paraId="5E62B99C" w14:textId="77777777" w:rsidR="00026AC0" w:rsidRDefault="00026AC0" w:rsidP="00026AC0">
            <w:pPr>
              <w:pStyle w:val="Default"/>
              <w:jc w:val="both"/>
              <w:rPr>
                <w:sz w:val="20"/>
                <w:szCs w:val="20"/>
              </w:rPr>
            </w:pPr>
          </w:p>
          <w:p w14:paraId="0C7775A9" w14:textId="715CEA87" w:rsidR="00026AC0" w:rsidRDefault="00026AC0" w:rsidP="00026AC0">
            <w:pPr>
              <w:pStyle w:val="Default"/>
              <w:jc w:val="both"/>
              <w:rPr>
                <w:sz w:val="20"/>
                <w:szCs w:val="20"/>
              </w:rPr>
            </w:pPr>
            <w:r>
              <w:rPr>
                <w:sz w:val="20"/>
                <w:szCs w:val="20"/>
              </w:rPr>
              <w:t xml:space="preserve">(a) employees of an enterprise of the </w:t>
            </w:r>
            <w:r w:rsidR="001F1487">
              <w:rPr>
                <w:sz w:val="20"/>
                <w:szCs w:val="20"/>
              </w:rPr>
              <w:t xml:space="preserve">UAE </w:t>
            </w:r>
            <w:r>
              <w:rPr>
                <w:sz w:val="20"/>
                <w:szCs w:val="20"/>
              </w:rPr>
              <w:t xml:space="preserve">that has concluded a contract for the supply of a service within Australia and that does not have a commercial presence within Australia; or </w:t>
            </w:r>
          </w:p>
          <w:p w14:paraId="5DE97BA8" w14:textId="77777777" w:rsidR="00026AC0" w:rsidRDefault="00026AC0" w:rsidP="00026AC0">
            <w:pPr>
              <w:pStyle w:val="Default"/>
              <w:jc w:val="both"/>
              <w:rPr>
                <w:sz w:val="20"/>
                <w:szCs w:val="20"/>
              </w:rPr>
            </w:pPr>
          </w:p>
          <w:p w14:paraId="6139BCC3" w14:textId="2E60CE00" w:rsidR="00026AC0" w:rsidRDefault="00026AC0" w:rsidP="00026AC0">
            <w:pPr>
              <w:pStyle w:val="Default"/>
              <w:jc w:val="both"/>
              <w:rPr>
                <w:sz w:val="20"/>
                <w:szCs w:val="20"/>
              </w:rPr>
            </w:pPr>
            <w:r>
              <w:rPr>
                <w:sz w:val="20"/>
                <w:szCs w:val="20"/>
              </w:rPr>
              <w:t xml:space="preserve">(b) engaged by an enterprise lawfully and actively operating in Australia in order to supply a service under </w:t>
            </w:r>
            <w:r w:rsidR="004C4F78">
              <w:rPr>
                <w:sz w:val="20"/>
                <w:szCs w:val="20"/>
              </w:rPr>
              <w:t xml:space="preserve">a </w:t>
            </w:r>
            <w:r>
              <w:rPr>
                <w:sz w:val="20"/>
                <w:szCs w:val="20"/>
              </w:rPr>
              <w:t>contract within Australia.</w:t>
            </w:r>
          </w:p>
          <w:p w14:paraId="7BC4F3CF" w14:textId="77777777" w:rsidR="00026AC0" w:rsidRPr="00396C47" w:rsidRDefault="00026AC0" w:rsidP="00026AC0">
            <w:pPr>
              <w:pStyle w:val="Default"/>
              <w:jc w:val="both"/>
              <w:rPr>
                <w:sz w:val="20"/>
                <w:szCs w:val="20"/>
                <w:u w:val="single"/>
              </w:rPr>
            </w:pPr>
          </w:p>
        </w:tc>
        <w:tc>
          <w:tcPr>
            <w:tcW w:w="4544" w:type="dxa"/>
            <w:tcBorders>
              <w:top w:val="single" w:sz="4" w:space="0" w:color="000000"/>
              <w:left w:val="single" w:sz="4" w:space="0" w:color="000000"/>
              <w:bottom w:val="single" w:sz="4" w:space="0" w:color="000000"/>
              <w:right w:val="single" w:sz="4" w:space="0" w:color="000000"/>
            </w:tcBorders>
          </w:tcPr>
          <w:p w14:paraId="7F71D584" w14:textId="77777777" w:rsidR="00D84594" w:rsidRDefault="00D84594" w:rsidP="00026AC0">
            <w:pPr>
              <w:pStyle w:val="Default"/>
              <w:jc w:val="both"/>
              <w:rPr>
                <w:sz w:val="20"/>
                <w:szCs w:val="20"/>
              </w:rPr>
            </w:pPr>
          </w:p>
          <w:p w14:paraId="61AFDC1E" w14:textId="77777777" w:rsidR="009E6CB8" w:rsidRDefault="009E6CB8" w:rsidP="00026AC0">
            <w:pPr>
              <w:pStyle w:val="Default"/>
              <w:jc w:val="both"/>
              <w:rPr>
                <w:sz w:val="20"/>
                <w:szCs w:val="20"/>
              </w:rPr>
            </w:pPr>
          </w:p>
          <w:p w14:paraId="5C8F3D95" w14:textId="77777777" w:rsidR="009E6CB8" w:rsidRDefault="00026AC0" w:rsidP="00026AC0">
            <w:pPr>
              <w:pStyle w:val="Default"/>
              <w:jc w:val="both"/>
              <w:rPr>
                <w:sz w:val="20"/>
                <w:szCs w:val="20"/>
              </w:rPr>
            </w:pPr>
            <w:r>
              <w:rPr>
                <w:sz w:val="20"/>
                <w:szCs w:val="20"/>
              </w:rPr>
              <w:t xml:space="preserve">Temporary entry of </w:t>
            </w:r>
            <w:proofErr w:type="gramStart"/>
            <w:r>
              <w:rPr>
                <w:sz w:val="20"/>
                <w:szCs w:val="20"/>
              </w:rPr>
              <w:t>business persons</w:t>
            </w:r>
            <w:proofErr w:type="gramEnd"/>
            <w:r>
              <w:rPr>
                <w:sz w:val="20"/>
                <w:szCs w:val="20"/>
              </w:rPr>
              <w:t xml:space="preserve"> is subject to employer sponsorship.</w:t>
            </w:r>
            <w:r w:rsidR="00FC3519">
              <w:rPr>
                <w:sz w:val="20"/>
                <w:szCs w:val="20"/>
              </w:rPr>
              <w:t xml:space="preserve"> </w:t>
            </w:r>
            <w:r>
              <w:rPr>
                <w:sz w:val="20"/>
                <w:szCs w:val="20"/>
              </w:rPr>
              <w:t xml:space="preserve">Full details of employer sponsorship requirements, including the list of eligible occupations for sponsorship, are available on the website of the Australian government department responsible for immigration matters (as of entry into force, that website was </w:t>
            </w:r>
            <w:hyperlink r:id="rId13" w:history="1">
              <w:r w:rsidRPr="00E34943">
                <w:rPr>
                  <w:rStyle w:val="Hyperlink"/>
                  <w:sz w:val="20"/>
                  <w:szCs w:val="20"/>
                </w:rPr>
                <w:t>http://www.homeaffairs.gov.au</w:t>
              </w:r>
            </w:hyperlink>
            <w:r>
              <w:rPr>
                <w:sz w:val="20"/>
                <w:szCs w:val="20"/>
              </w:rPr>
              <w:t>).</w:t>
            </w:r>
            <w:r w:rsidR="00FC3519">
              <w:rPr>
                <w:sz w:val="20"/>
                <w:szCs w:val="20"/>
              </w:rPr>
              <w:t xml:space="preserve"> </w:t>
            </w:r>
          </w:p>
          <w:p w14:paraId="1925CCD6" w14:textId="77777777" w:rsidR="009E6CB8" w:rsidRDefault="009E6CB8" w:rsidP="00026AC0">
            <w:pPr>
              <w:pStyle w:val="Default"/>
              <w:jc w:val="both"/>
              <w:rPr>
                <w:sz w:val="20"/>
                <w:szCs w:val="20"/>
              </w:rPr>
            </w:pPr>
          </w:p>
          <w:p w14:paraId="70F46D9B" w14:textId="6ED2697D" w:rsidR="00026AC0" w:rsidRDefault="00026AC0" w:rsidP="00026AC0">
            <w:pPr>
              <w:pStyle w:val="Default"/>
              <w:jc w:val="both"/>
              <w:rPr>
                <w:sz w:val="20"/>
                <w:szCs w:val="20"/>
              </w:rPr>
            </w:pPr>
            <w:r>
              <w:rPr>
                <w:sz w:val="20"/>
                <w:szCs w:val="20"/>
              </w:rPr>
              <w:t>Sponsorship requirements, including eligible occupations, may change from time to time.</w:t>
            </w:r>
          </w:p>
          <w:p w14:paraId="6C1DC353" w14:textId="77777777" w:rsidR="00026AC0" w:rsidRDefault="00026AC0" w:rsidP="00026AC0">
            <w:pPr>
              <w:pStyle w:val="Default"/>
              <w:jc w:val="both"/>
              <w:rPr>
                <w:sz w:val="20"/>
                <w:szCs w:val="20"/>
              </w:rPr>
            </w:pPr>
          </w:p>
          <w:p w14:paraId="4CDB3645" w14:textId="44AB01CB" w:rsidR="00026AC0" w:rsidRDefault="00026AC0" w:rsidP="00026AC0">
            <w:pPr>
              <w:pStyle w:val="Default"/>
              <w:jc w:val="both"/>
              <w:rPr>
                <w:sz w:val="20"/>
                <w:szCs w:val="20"/>
              </w:rPr>
            </w:pPr>
            <w:r>
              <w:rPr>
                <w:sz w:val="20"/>
                <w:szCs w:val="20"/>
              </w:rPr>
              <w:t>Labour market testing may be required, to the extent that this is not inconsistent with Australia’s WTO</w:t>
            </w:r>
            <w:r w:rsidR="00A57AA6">
              <w:rPr>
                <w:sz w:val="20"/>
                <w:szCs w:val="20"/>
              </w:rPr>
              <w:t xml:space="preserve"> commitments</w:t>
            </w:r>
            <w:r>
              <w:rPr>
                <w:sz w:val="20"/>
                <w:szCs w:val="20"/>
              </w:rPr>
              <w:t xml:space="preserve">. </w:t>
            </w:r>
          </w:p>
          <w:p w14:paraId="10BDDD4B" w14:textId="77777777" w:rsidR="00026AC0" w:rsidRDefault="00026AC0" w:rsidP="00026AC0">
            <w:pPr>
              <w:pStyle w:val="Default"/>
              <w:jc w:val="both"/>
              <w:rPr>
                <w:sz w:val="20"/>
                <w:szCs w:val="20"/>
              </w:rPr>
            </w:pPr>
          </w:p>
          <w:p w14:paraId="5EDF531F" w14:textId="77777777" w:rsidR="00026AC0" w:rsidRDefault="00026AC0" w:rsidP="00026AC0">
            <w:pPr>
              <w:pStyle w:val="Default"/>
              <w:jc w:val="both"/>
              <w:rPr>
                <w:sz w:val="20"/>
                <w:szCs w:val="20"/>
              </w:rPr>
            </w:pPr>
            <w:r>
              <w:rPr>
                <w:sz w:val="20"/>
                <w:szCs w:val="20"/>
              </w:rPr>
              <w:t xml:space="preserve">Temporary entry is for periods of stay up to 12 months, with the possibility of further stay. </w:t>
            </w:r>
          </w:p>
          <w:p w14:paraId="4DCA5325" w14:textId="77777777" w:rsidR="00026AC0" w:rsidRDefault="00026AC0" w:rsidP="00026AC0">
            <w:pPr>
              <w:pStyle w:val="Default"/>
              <w:jc w:val="both"/>
              <w:rPr>
                <w:sz w:val="20"/>
                <w:szCs w:val="20"/>
              </w:rPr>
            </w:pPr>
          </w:p>
        </w:tc>
      </w:tr>
      <w:tr w:rsidR="00BD2867" w14:paraId="3A778D12" w14:textId="77777777" w:rsidTr="005514B3">
        <w:trPr>
          <w:trHeight w:val="283"/>
        </w:trPr>
        <w:tc>
          <w:tcPr>
            <w:tcW w:w="9088" w:type="dxa"/>
            <w:gridSpan w:val="2"/>
            <w:tcBorders>
              <w:top w:val="single" w:sz="4" w:space="0" w:color="000000"/>
              <w:left w:val="single" w:sz="4" w:space="0" w:color="000000"/>
              <w:bottom w:val="single" w:sz="4" w:space="0" w:color="000000"/>
              <w:right w:val="single" w:sz="4" w:space="0" w:color="000000"/>
            </w:tcBorders>
          </w:tcPr>
          <w:p w14:paraId="163CEDB2" w14:textId="109364AF" w:rsidR="00BD2867" w:rsidRDefault="00C742D0" w:rsidP="00CC2443">
            <w:pPr>
              <w:spacing w:line="259" w:lineRule="auto"/>
              <w:jc w:val="left"/>
              <w:rPr>
                <w:szCs w:val="20"/>
              </w:rPr>
            </w:pPr>
            <w:r>
              <w:rPr>
                <w:b/>
              </w:rPr>
              <w:t>F</w:t>
            </w:r>
            <w:r w:rsidR="00BD2867" w:rsidRPr="00BD2867">
              <w:rPr>
                <w:b/>
              </w:rPr>
              <w:t>. Spouses and Dependants</w:t>
            </w:r>
          </w:p>
        </w:tc>
      </w:tr>
      <w:tr w:rsidR="00096E38" w14:paraId="166FCAED" w14:textId="77777777" w:rsidTr="000A7C2D">
        <w:trPr>
          <w:trHeight w:val="170"/>
        </w:trPr>
        <w:tc>
          <w:tcPr>
            <w:tcW w:w="9088" w:type="dxa"/>
            <w:gridSpan w:val="2"/>
            <w:tcBorders>
              <w:top w:val="single" w:sz="4" w:space="0" w:color="000000"/>
              <w:left w:val="single" w:sz="4" w:space="0" w:color="000000"/>
              <w:bottom w:val="single" w:sz="4" w:space="0" w:color="000000"/>
              <w:right w:val="single" w:sz="4" w:space="0" w:color="000000"/>
            </w:tcBorders>
          </w:tcPr>
          <w:p w14:paraId="64AD746A" w14:textId="4DE3F608" w:rsidR="00096E38" w:rsidRDefault="00096E38" w:rsidP="00026AC0">
            <w:pPr>
              <w:pStyle w:val="Default"/>
              <w:jc w:val="both"/>
              <w:rPr>
                <w:sz w:val="20"/>
                <w:szCs w:val="20"/>
              </w:rPr>
            </w:pPr>
            <w:r>
              <w:rPr>
                <w:sz w:val="20"/>
                <w:szCs w:val="20"/>
              </w:rPr>
              <w:t xml:space="preserve">For a business person of the </w:t>
            </w:r>
            <w:r w:rsidR="00F86B43">
              <w:rPr>
                <w:sz w:val="20"/>
                <w:szCs w:val="20"/>
              </w:rPr>
              <w:t>UAE</w:t>
            </w:r>
            <w:r>
              <w:rPr>
                <w:sz w:val="20"/>
                <w:szCs w:val="20"/>
              </w:rPr>
              <w:t xml:space="preserve"> who has been granted temporary entry or an extension of temporary stay under the commitments set out in </w:t>
            </w:r>
            <w:r w:rsidRPr="00250900">
              <w:rPr>
                <w:sz w:val="20"/>
                <w:szCs w:val="20"/>
              </w:rPr>
              <w:t>sections (</w:t>
            </w:r>
            <w:r w:rsidR="000A052F">
              <w:rPr>
                <w:sz w:val="20"/>
                <w:szCs w:val="20"/>
              </w:rPr>
              <w:t>C</w:t>
            </w:r>
            <w:r w:rsidRPr="00250900">
              <w:rPr>
                <w:sz w:val="20"/>
                <w:szCs w:val="20"/>
              </w:rPr>
              <w:t>),</w:t>
            </w:r>
            <w:r>
              <w:rPr>
                <w:sz w:val="20"/>
                <w:szCs w:val="20"/>
              </w:rPr>
              <w:t xml:space="preserve"> (</w:t>
            </w:r>
            <w:r w:rsidR="000A052F">
              <w:rPr>
                <w:sz w:val="20"/>
                <w:szCs w:val="20"/>
              </w:rPr>
              <w:t>D</w:t>
            </w:r>
            <w:r>
              <w:rPr>
                <w:sz w:val="20"/>
                <w:szCs w:val="20"/>
              </w:rPr>
              <w:t>) and (</w:t>
            </w:r>
            <w:r w:rsidR="000A052F">
              <w:rPr>
                <w:sz w:val="20"/>
                <w:szCs w:val="20"/>
              </w:rPr>
              <w:t>E</w:t>
            </w:r>
            <w:r>
              <w:rPr>
                <w:sz w:val="20"/>
                <w:szCs w:val="20"/>
              </w:rPr>
              <w:t>) of this Annex for a period of 12 months or longer and who has a spouse or dependant, Australia shall, upon application, grant the accompanying spouse or dependant the right of entry and temporary stay, movement and work for an equal period to that of the business person.</w:t>
            </w:r>
          </w:p>
          <w:p w14:paraId="11B98D56" w14:textId="77777777" w:rsidR="00096E38" w:rsidRDefault="00096E38" w:rsidP="00026AC0">
            <w:pPr>
              <w:pStyle w:val="Default"/>
              <w:jc w:val="both"/>
              <w:rPr>
                <w:sz w:val="20"/>
                <w:szCs w:val="20"/>
              </w:rPr>
            </w:pPr>
          </w:p>
        </w:tc>
      </w:tr>
    </w:tbl>
    <w:p w14:paraId="77F541AF" w14:textId="77777777" w:rsidR="00D22D36" w:rsidRDefault="00D22D36">
      <w:pPr>
        <w:spacing w:line="259" w:lineRule="auto"/>
        <w:ind w:left="0" w:firstLine="0"/>
      </w:pPr>
    </w:p>
    <w:sectPr w:rsidR="00D22D36" w:rsidSect="00CC2443">
      <w:footerReference w:type="even" r:id="rId14"/>
      <w:footerReference w:type="default" r:id="rId15"/>
      <w:footerReference w:type="first" r:id="rId16"/>
      <w:pgSz w:w="11909" w:h="16834"/>
      <w:pgMar w:top="1440" w:right="1440" w:bottom="1440" w:left="1440" w:header="851"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576E" w14:textId="77777777" w:rsidR="000B0976" w:rsidRDefault="000B0976">
      <w:pPr>
        <w:spacing w:line="240" w:lineRule="auto"/>
      </w:pPr>
      <w:r>
        <w:separator/>
      </w:r>
    </w:p>
  </w:endnote>
  <w:endnote w:type="continuationSeparator" w:id="0">
    <w:p w14:paraId="2D5FA7A5" w14:textId="77777777" w:rsidR="000B0976" w:rsidRDefault="000B0976">
      <w:pPr>
        <w:spacing w:line="240" w:lineRule="auto"/>
      </w:pPr>
      <w:r>
        <w:continuationSeparator/>
      </w:r>
    </w:p>
  </w:endnote>
  <w:endnote w:type="continuationNotice" w:id="1">
    <w:p w14:paraId="61F17CDF" w14:textId="77777777" w:rsidR="000B0976" w:rsidRDefault="000B09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04" w14:textId="77777777" w:rsidR="00F40325" w:rsidRDefault="003E33BA">
    <w:pPr>
      <w:tabs>
        <w:tab w:val="center" w:pos="4298"/>
      </w:tabs>
      <w:spacing w:line="259" w:lineRule="auto"/>
      <w:ind w:left="0" w:firstLine="0"/>
      <w:jc w:val="left"/>
    </w:pPr>
    <w:r>
      <w:t xml:space="preserve"> </w:t>
    </w:r>
    <w:r>
      <w:tab/>
      <w:t xml:space="preserve">ANNEX IV – AUSTRALIA –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83AB" w14:textId="072E260E" w:rsidR="00F40325" w:rsidRDefault="003E33BA">
    <w:pPr>
      <w:tabs>
        <w:tab w:val="center" w:pos="4298"/>
      </w:tabs>
      <w:spacing w:line="259" w:lineRule="auto"/>
      <w:ind w:left="0" w:firstLine="0"/>
      <w:jc w:val="left"/>
    </w:pPr>
    <w:r>
      <w:t xml:space="preserve"> </w:t>
    </w:r>
    <w:r>
      <w:tab/>
    </w:r>
    <w:r w:rsidRPr="00DA5EA6">
      <w:t xml:space="preserve">ANNEX </w:t>
    </w:r>
    <w:r w:rsidR="00DA5EA6">
      <w:t>10A</w:t>
    </w:r>
    <w:r w:rsidR="00291841">
      <w:t xml:space="preserve"> </w:t>
    </w:r>
    <w:r>
      <w:t xml:space="preserve">– AUSTRALIA – </w:t>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D830" w14:textId="77777777" w:rsidR="00F40325" w:rsidRDefault="003E33BA">
    <w:pPr>
      <w:tabs>
        <w:tab w:val="center" w:pos="4298"/>
      </w:tabs>
      <w:spacing w:line="259" w:lineRule="auto"/>
      <w:ind w:left="0" w:firstLine="0"/>
      <w:jc w:val="left"/>
    </w:pPr>
    <w:r>
      <w:t xml:space="preserve"> </w:t>
    </w:r>
    <w:r>
      <w:tab/>
      <w:t xml:space="preserve">ANNEX IV – AUSTRALIA –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0AED" w14:textId="77777777" w:rsidR="000B0976" w:rsidRDefault="000B0976">
      <w:pPr>
        <w:spacing w:line="240" w:lineRule="auto"/>
      </w:pPr>
      <w:r>
        <w:separator/>
      </w:r>
    </w:p>
  </w:footnote>
  <w:footnote w:type="continuationSeparator" w:id="0">
    <w:p w14:paraId="0017CE52" w14:textId="77777777" w:rsidR="000B0976" w:rsidRDefault="000B0976">
      <w:pPr>
        <w:spacing w:line="240" w:lineRule="auto"/>
      </w:pPr>
      <w:r>
        <w:continuationSeparator/>
      </w:r>
    </w:p>
  </w:footnote>
  <w:footnote w:type="continuationNotice" w:id="1">
    <w:p w14:paraId="00AAC771" w14:textId="77777777" w:rsidR="000B0976" w:rsidRDefault="000B0976">
      <w:pPr>
        <w:spacing w:line="240" w:lineRule="auto"/>
      </w:pPr>
    </w:p>
  </w:footnote>
  <w:footnote w:id="2">
    <w:p w14:paraId="243A351F" w14:textId="67882131" w:rsidR="006E4710" w:rsidRPr="00E645D4" w:rsidRDefault="006E4710" w:rsidP="00CC2443">
      <w:pPr>
        <w:pStyle w:val="FootnoteText"/>
        <w:ind w:left="567" w:hanging="567"/>
        <w:jc w:val="both"/>
        <w:rPr>
          <w:rFonts w:ascii="Arial" w:hAnsi="Arial" w:cs="Arial"/>
        </w:rPr>
      </w:pPr>
      <w:r w:rsidRPr="00396C47">
        <w:rPr>
          <w:rStyle w:val="FootnoteReference"/>
          <w:rFonts w:ascii="Arial" w:hAnsi="Arial" w:cs="Arial"/>
        </w:rPr>
        <w:footnoteRef/>
      </w:r>
      <w:r w:rsidRPr="00E645D4">
        <w:rPr>
          <w:rFonts w:ascii="Arial" w:hAnsi="Arial" w:cs="Arial"/>
        </w:rPr>
        <w:t xml:space="preserve"> </w:t>
      </w:r>
      <w:r w:rsidR="00F42597">
        <w:rPr>
          <w:rFonts w:ascii="Arial" w:hAnsi="Arial" w:cs="Arial"/>
        </w:rPr>
        <w:tab/>
      </w:r>
      <w:r w:rsidRPr="00E645D4">
        <w:rPr>
          <w:rFonts w:ascii="Arial" w:hAnsi="Arial" w:cs="Arial"/>
        </w:rPr>
        <w:t xml:space="preserve">Changes to eligible occupations must not be inconsistent with Australia’s </w:t>
      </w:r>
      <w:r w:rsidR="00F86B43">
        <w:rPr>
          <w:rFonts w:ascii="Arial" w:hAnsi="Arial" w:cs="Arial"/>
        </w:rPr>
        <w:t>WTO commitments</w:t>
      </w:r>
      <w:r w:rsidR="003455DA">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F69"/>
    <w:multiLevelType w:val="hybridMultilevel"/>
    <w:tmpl w:val="9D4C072A"/>
    <w:lvl w:ilvl="0" w:tplc="A18ABE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BE7F57"/>
    <w:multiLevelType w:val="hybridMultilevel"/>
    <w:tmpl w:val="1B4C7426"/>
    <w:lvl w:ilvl="0" w:tplc="567402A4">
      <w:start w:val="1"/>
      <w:numFmt w:val="lowerRoman"/>
      <w:lvlText w:val="(%1)"/>
      <w:lvlJc w:val="left"/>
      <w:pPr>
        <w:ind w:left="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0EB668">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A6BBE4">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D48F1A">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B4BD12">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560E30">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DC2DEE">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0ABBAA">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0453C2">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8E1BA8"/>
    <w:multiLevelType w:val="hybridMultilevel"/>
    <w:tmpl w:val="82EC1382"/>
    <w:lvl w:ilvl="0" w:tplc="9FCAB2FE">
      <w:start w:val="1"/>
      <w:numFmt w:val="lowerLetter"/>
      <w:lvlText w:val="(%1)"/>
      <w:lvlJc w:val="left"/>
      <w:pPr>
        <w:ind w:left="830" w:hanging="721"/>
      </w:pPr>
      <w:rPr>
        <w:rFonts w:ascii="Times New Roman" w:eastAsia="Times New Roman" w:hAnsi="Times New Roman" w:cs="Times New Roman" w:hint="default"/>
        <w:b w:val="0"/>
        <w:bCs w:val="0"/>
        <w:i w:val="0"/>
        <w:iCs w:val="0"/>
        <w:spacing w:val="-6"/>
        <w:w w:val="94"/>
        <w:sz w:val="24"/>
        <w:szCs w:val="24"/>
        <w:lang w:val="en-AU" w:eastAsia="en-US" w:bidi="ar-SA"/>
      </w:rPr>
    </w:lvl>
    <w:lvl w:ilvl="1" w:tplc="2D161304">
      <w:numFmt w:val="bullet"/>
      <w:lvlText w:val="•"/>
      <w:lvlJc w:val="left"/>
      <w:pPr>
        <w:ind w:left="1217" w:hanging="721"/>
      </w:pPr>
      <w:rPr>
        <w:rFonts w:hint="default"/>
        <w:lang w:val="en-AU" w:eastAsia="en-US" w:bidi="ar-SA"/>
      </w:rPr>
    </w:lvl>
    <w:lvl w:ilvl="2" w:tplc="DE76DACC">
      <w:numFmt w:val="bullet"/>
      <w:lvlText w:val="•"/>
      <w:lvlJc w:val="left"/>
      <w:pPr>
        <w:ind w:left="1594" w:hanging="721"/>
      </w:pPr>
      <w:rPr>
        <w:rFonts w:hint="default"/>
        <w:lang w:val="en-AU" w:eastAsia="en-US" w:bidi="ar-SA"/>
      </w:rPr>
    </w:lvl>
    <w:lvl w:ilvl="3" w:tplc="4B60F04E">
      <w:numFmt w:val="bullet"/>
      <w:lvlText w:val="•"/>
      <w:lvlJc w:val="left"/>
      <w:pPr>
        <w:ind w:left="1971" w:hanging="721"/>
      </w:pPr>
      <w:rPr>
        <w:rFonts w:hint="default"/>
        <w:lang w:val="en-AU" w:eastAsia="en-US" w:bidi="ar-SA"/>
      </w:rPr>
    </w:lvl>
    <w:lvl w:ilvl="4" w:tplc="5F5A8074">
      <w:numFmt w:val="bullet"/>
      <w:lvlText w:val="•"/>
      <w:lvlJc w:val="left"/>
      <w:pPr>
        <w:ind w:left="2348" w:hanging="721"/>
      </w:pPr>
      <w:rPr>
        <w:rFonts w:hint="default"/>
        <w:lang w:val="en-AU" w:eastAsia="en-US" w:bidi="ar-SA"/>
      </w:rPr>
    </w:lvl>
    <w:lvl w:ilvl="5" w:tplc="45D2E3EC">
      <w:numFmt w:val="bullet"/>
      <w:lvlText w:val="•"/>
      <w:lvlJc w:val="left"/>
      <w:pPr>
        <w:ind w:left="2725" w:hanging="721"/>
      </w:pPr>
      <w:rPr>
        <w:rFonts w:hint="default"/>
        <w:lang w:val="en-AU" w:eastAsia="en-US" w:bidi="ar-SA"/>
      </w:rPr>
    </w:lvl>
    <w:lvl w:ilvl="6" w:tplc="7ACAFAC2">
      <w:numFmt w:val="bullet"/>
      <w:lvlText w:val="•"/>
      <w:lvlJc w:val="left"/>
      <w:pPr>
        <w:ind w:left="3102" w:hanging="721"/>
      </w:pPr>
      <w:rPr>
        <w:rFonts w:hint="default"/>
        <w:lang w:val="en-AU" w:eastAsia="en-US" w:bidi="ar-SA"/>
      </w:rPr>
    </w:lvl>
    <w:lvl w:ilvl="7" w:tplc="B0AAF3C2">
      <w:numFmt w:val="bullet"/>
      <w:lvlText w:val="•"/>
      <w:lvlJc w:val="left"/>
      <w:pPr>
        <w:ind w:left="3479" w:hanging="721"/>
      </w:pPr>
      <w:rPr>
        <w:rFonts w:hint="default"/>
        <w:lang w:val="en-AU" w:eastAsia="en-US" w:bidi="ar-SA"/>
      </w:rPr>
    </w:lvl>
    <w:lvl w:ilvl="8" w:tplc="EFDA2618">
      <w:numFmt w:val="bullet"/>
      <w:lvlText w:val="•"/>
      <w:lvlJc w:val="left"/>
      <w:pPr>
        <w:ind w:left="3856" w:hanging="721"/>
      </w:pPr>
      <w:rPr>
        <w:rFonts w:hint="default"/>
        <w:lang w:val="en-AU" w:eastAsia="en-US" w:bidi="ar-SA"/>
      </w:rPr>
    </w:lvl>
  </w:abstractNum>
  <w:abstractNum w:abstractNumId="3" w15:restartNumberingAfterBreak="0">
    <w:nsid w:val="159C3D00"/>
    <w:multiLevelType w:val="hybridMultilevel"/>
    <w:tmpl w:val="E0FEEA62"/>
    <w:lvl w:ilvl="0" w:tplc="B5ECB944">
      <w:start w:val="1"/>
      <w:numFmt w:val="lowerLetter"/>
      <w:lvlText w:val="(%1)"/>
      <w:lvlJc w:val="left"/>
      <w:pPr>
        <w:ind w:left="470" w:hanging="360"/>
      </w:pPr>
      <w:rPr>
        <w:rFonts w:hint="default"/>
      </w:rPr>
    </w:lvl>
    <w:lvl w:ilvl="1" w:tplc="0C090019" w:tentative="1">
      <w:start w:val="1"/>
      <w:numFmt w:val="lowerLetter"/>
      <w:lvlText w:val="%2."/>
      <w:lvlJc w:val="left"/>
      <w:pPr>
        <w:ind w:left="1190" w:hanging="360"/>
      </w:pPr>
    </w:lvl>
    <w:lvl w:ilvl="2" w:tplc="0C09001B" w:tentative="1">
      <w:start w:val="1"/>
      <w:numFmt w:val="lowerRoman"/>
      <w:lvlText w:val="%3."/>
      <w:lvlJc w:val="right"/>
      <w:pPr>
        <w:ind w:left="1910" w:hanging="180"/>
      </w:pPr>
    </w:lvl>
    <w:lvl w:ilvl="3" w:tplc="0C09000F" w:tentative="1">
      <w:start w:val="1"/>
      <w:numFmt w:val="decimal"/>
      <w:lvlText w:val="%4."/>
      <w:lvlJc w:val="left"/>
      <w:pPr>
        <w:ind w:left="2630" w:hanging="360"/>
      </w:pPr>
    </w:lvl>
    <w:lvl w:ilvl="4" w:tplc="0C090019" w:tentative="1">
      <w:start w:val="1"/>
      <w:numFmt w:val="lowerLetter"/>
      <w:lvlText w:val="%5."/>
      <w:lvlJc w:val="left"/>
      <w:pPr>
        <w:ind w:left="3350" w:hanging="360"/>
      </w:pPr>
    </w:lvl>
    <w:lvl w:ilvl="5" w:tplc="0C09001B" w:tentative="1">
      <w:start w:val="1"/>
      <w:numFmt w:val="lowerRoman"/>
      <w:lvlText w:val="%6."/>
      <w:lvlJc w:val="right"/>
      <w:pPr>
        <w:ind w:left="4070" w:hanging="180"/>
      </w:pPr>
    </w:lvl>
    <w:lvl w:ilvl="6" w:tplc="0C09000F" w:tentative="1">
      <w:start w:val="1"/>
      <w:numFmt w:val="decimal"/>
      <w:lvlText w:val="%7."/>
      <w:lvlJc w:val="left"/>
      <w:pPr>
        <w:ind w:left="4790" w:hanging="360"/>
      </w:pPr>
    </w:lvl>
    <w:lvl w:ilvl="7" w:tplc="0C090019" w:tentative="1">
      <w:start w:val="1"/>
      <w:numFmt w:val="lowerLetter"/>
      <w:lvlText w:val="%8."/>
      <w:lvlJc w:val="left"/>
      <w:pPr>
        <w:ind w:left="5510" w:hanging="360"/>
      </w:pPr>
    </w:lvl>
    <w:lvl w:ilvl="8" w:tplc="0C09001B" w:tentative="1">
      <w:start w:val="1"/>
      <w:numFmt w:val="lowerRoman"/>
      <w:lvlText w:val="%9."/>
      <w:lvlJc w:val="right"/>
      <w:pPr>
        <w:ind w:left="6230" w:hanging="180"/>
      </w:pPr>
    </w:lvl>
  </w:abstractNum>
  <w:abstractNum w:abstractNumId="4" w15:restartNumberingAfterBreak="0">
    <w:nsid w:val="1AA96FFE"/>
    <w:multiLevelType w:val="hybridMultilevel"/>
    <w:tmpl w:val="735AE1D4"/>
    <w:lvl w:ilvl="0" w:tplc="0C090017">
      <w:start w:val="1"/>
      <w:numFmt w:val="lowerLetter"/>
      <w:lvlText w:val="%1)"/>
      <w:lvlJc w:val="left"/>
      <w:pPr>
        <w:ind w:left="830" w:hanging="360"/>
      </w:pPr>
    </w:lvl>
    <w:lvl w:ilvl="1" w:tplc="0C090019" w:tentative="1">
      <w:start w:val="1"/>
      <w:numFmt w:val="lowerLetter"/>
      <w:lvlText w:val="%2."/>
      <w:lvlJc w:val="left"/>
      <w:pPr>
        <w:ind w:left="1550" w:hanging="360"/>
      </w:pPr>
    </w:lvl>
    <w:lvl w:ilvl="2" w:tplc="0C09001B" w:tentative="1">
      <w:start w:val="1"/>
      <w:numFmt w:val="lowerRoman"/>
      <w:lvlText w:val="%3."/>
      <w:lvlJc w:val="right"/>
      <w:pPr>
        <w:ind w:left="2270" w:hanging="180"/>
      </w:pPr>
    </w:lvl>
    <w:lvl w:ilvl="3" w:tplc="0C09000F" w:tentative="1">
      <w:start w:val="1"/>
      <w:numFmt w:val="decimal"/>
      <w:lvlText w:val="%4."/>
      <w:lvlJc w:val="left"/>
      <w:pPr>
        <w:ind w:left="2990" w:hanging="360"/>
      </w:pPr>
    </w:lvl>
    <w:lvl w:ilvl="4" w:tplc="0C090019" w:tentative="1">
      <w:start w:val="1"/>
      <w:numFmt w:val="lowerLetter"/>
      <w:lvlText w:val="%5."/>
      <w:lvlJc w:val="left"/>
      <w:pPr>
        <w:ind w:left="3710" w:hanging="360"/>
      </w:pPr>
    </w:lvl>
    <w:lvl w:ilvl="5" w:tplc="0C09001B" w:tentative="1">
      <w:start w:val="1"/>
      <w:numFmt w:val="lowerRoman"/>
      <w:lvlText w:val="%6."/>
      <w:lvlJc w:val="right"/>
      <w:pPr>
        <w:ind w:left="4430" w:hanging="180"/>
      </w:pPr>
    </w:lvl>
    <w:lvl w:ilvl="6" w:tplc="0C09000F" w:tentative="1">
      <w:start w:val="1"/>
      <w:numFmt w:val="decimal"/>
      <w:lvlText w:val="%7."/>
      <w:lvlJc w:val="left"/>
      <w:pPr>
        <w:ind w:left="5150" w:hanging="360"/>
      </w:pPr>
    </w:lvl>
    <w:lvl w:ilvl="7" w:tplc="0C090019" w:tentative="1">
      <w:start w:val="1"/>
      <w:numFmt w:val="lowerLetter"/>
      <w:lvlText w:val="%8."/>
      <w:lvlJc w:val="left"/>
      <w:pPr>
        <w:ind w:left="5870" w:hanging="360"/>
      </w:pPr>
    </w:lvl>
    <w:lvl w:ilvl="8" w:tplc="0C09001B" w:tentative="1">
      <w:start w:val="1"/>
      <w:numFmt w:val="lowerRoman"/>
      <w:lvlText w:val="%9."/>
      <w:lvlJc w:val="right"/>
      <w:pPr>
        <w:ind w:left="6590" w:hanging="180"/>
      </w:pPr>
    </w:lvl>
  </w:abstractNum>
  <w:abstractNum w:abstractNumId="5" w15:restartNumberingAfterBreak="0">
    <w:nsid w:val="25932075"/>
    <w:multiLevelType w:val="hybridMultilevel"/>
    <w:tmpl w:val="CFF0BABE"/>
    <w:lvl w:ilvl="0" w:tplc="53986004">
      <w:start w:val="3"/>
      <w:numFmt w:val="bullet"/>
      <w:lvlText w:val="-"/>
      <w:lvlJc w:val="left"/>
      <w:pPr>
        <w:ind w:left="476" w:hanging="360"/>
      </w:pPr>
      <w:rPr>
        <w:rFonts w:ascii="Arial" w:eastAsia="Arial" w:hAnsi="Arial" w:cs="Arial" w:hint="default"/>
      </w:rPr>
    </w:lvl>
    <w:lvl w:ilvl="1" w:tplc="0C090003" w:tentative="1">
      <w:start w:val="1"/>
      <w:numFmt w:val="bullet"/>
      <w:lvlText w:val="o"/>
      <w:lvlJc w:val="left"/>
      <w:pPr>
        <w:ind w:left="1196" w:hanging="360"/>
      </w:pPr>
      <w:rPr>
        <w:rFonts w:ascii="Courier New" w:hAnsi="Courier New" w:cs="Courier New" w:hint="default"/>
      </w:rPr>
    </w:lvl>
    <w:lvl w:ilvl="2" w:tplc="0C090005" w:tentative="1">
      <w:start w:val="1"/>
      <w:numFmt w:val="bullet"/>
      <w:lvlText w:val=""/>
      <w:lvlJc w:val="left"/>
      <w:pPr>
        <w:ind w:left="1916" w:hanging="360"/>
      </w:pPr>
      <w:rPr>
        <w:rFonts w:ascii="Wingdings" w:hAnsi="Wingdings" w:hint="default"/>
      </w:rPr>
    </w:lvl>
    <w:lvl w:ilvl="3" w:tplc="0C090001" w:tentative="1">
      <w:start w:val="1"/>
      <w:numFmt w:val="bullet"/>
      <w:lvlText w:val=""/>
      <w:lvlJc w:val="left"/>
      <w:pPr>
        <w:ind w:left="2636" w:hanging="360"/>
      </w:pPr>
      <w:rPr>
        <w:rFonts w:ascii="Symbol" w:hAnsi="Symbol" w:hint="default"/>
      </w:rPr>
    </w:lvl>
    <w:lvl w:ilvl="4" w:tplc="0C090003" w:tentative="1">
      <w:start w:val="1"/>
      <w:numFmt w:val="bullet"/>
      <w:lvlText w:val="o"/>
      <w:lvlJc w:val="left"/>
      <w:pPr>
        <w:ind w:left="3356" w:hanging="360"/>
      </w:pPr>
      <w:rPr>
        <w:rFonts w:ascii="Courier New" w:hAnsi="Courier New" w:cs="Courier New" w:hint="default"/>
      </w:rPr>
    </w:lvl>
    <w:lvl w:ilvl="5" w:tplc="0C090005" w:tentative="1">
      <w:start w:val="1"/>
      <w:numFmt w:val="bullet"/>
      <w:lvlText w:val=""/>
      <w:lvlJc w:val="left"/>
      <w:pPr>
        <w:ind w:left="4076" w:hanging="360"/>
      </w:pPr>
      <w:rPr>
        <w:rFonts w:ascii="Wingdings" w:hAnsi="Wingdings" w:hint="default"/>
      </w:rPr>
    </w:lvl>
    <w:lvl w:ilvl="6" w:tplc="0C090001" w:tentative="1">
      <w:start w:val="1"/>
      <w:numFmt w:val="bullet"/>
      <w:lvlText w:val=""/>
      <w:lvlJc w:val="left"/>
      <w:pPr>
        <w:ind w:left="4796" w:hanging="360"/>
      </w:pPr>
      <w:rPr>
        <w:rFonts w:ascii="Symbol" w:hAnsi="Symbol" w:hint="default"/>
      </w:rPr>
    </w:lvl>
    <w:lvl w:ilvl="7" w:tplc="0C090003" w:tentative="1">
      <w:start w:val="1"/>
      <w:numFmt w:val="bullet"/>
      <w:lvlText w:val="o"/>
      <w:lvlJc w:val="left"/>
      <w:pPr>
        <w:ind w:left="5516" w:hanging="360"/>
      </w:pPr>
      <w:rPr>
        <w:rFonts w:ascii="Courier New" w:hAnsi="Courier New" w:cs="Courier New" w:hint="default"/>
      </w:rPr>
    </w:lvl>
    <w:lvl w:ilvl="8" w:tplc="0C090005" w:tentative="1">
      <w:start w:val="1"/>
      <w:numFmt w:val="bullet"/>
      <w:lvlText w:val=""/>
      <w:lvlJc w:val="left"/>
      <w:pPr>
        <w:ind w:left="6236" w:hanging="360"/>
      </w:pPr>
      <w:rPr>
        <w:rFonts w:ascii="Wingdings" w:hAnsi="Wingdings" w:hint="default"/>
      </w:rPr>
    </w:lvl>
  </w:abstractNum>
  <w:abstractNum w:abstractNumId="6" w15:restartNumberingAfterBreak="0">
    <w:nsid w:val="38926995"/>
    <w:multiLevelType w:val="hybridMultilevel"/>
    <w:tmpl w:val="7A44294E"/>
    <w:lvl w:ilvl="0" w:tplc="869CA64E">
      <w:start w:val="1"/>
      <w:numFmt w:val="lowerLetter"/>
      <w:lvlText w:val="(%1)"/>
      <w:lvlJc w:val="left"/>
      <w:pPr>
        <w:ind w:left="720" w:hanging="6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15:restartNumberingAfterBreak="0">
    <w:nsid w:val="507976E3"/>
    <w:multiLevelType w:val="hybridMultilevel"/>
    <w:tmpl w:val="54081A44"/>
    <w:lvl w:ilvl="0" w:tplc="037C2BF0">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FE8F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F221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C8BFB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564FD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A8B2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5855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DEF7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E6B4C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3082FD6"/>
    <w:multiLevelType w:val="hybridMultilevel"/>
    <w:tmpl w:val="F334D1B4"/>
    <w:lvl w:ilvl="0" w:tplc="71621F82">
      <w:start w:val="1"/>
      <w:numFmt w:val="lowerLetter"/>
      <w:lvlText w:val="(%1)"/>
      <w:lvlJc w:val="left"/>
      <w:pPr>
        <w:ind w:left="830" w:hanging="360"/>
      </w:pPr>
      <w:rPr>
        <w:rFonts w:ascii="Arial" w:eastAsia="Times New Roman" w:hAnsi="Arial" w:cs="Arial" w:hint="default"/>
        <w:b w:val="0"/>
        <w:bCs w:val="0"/>
        <w:i w:val="0"/>
        <w:iCs w:val="0"/>
        <w:spacing w:val="-1"/>
        <w:w w:val="99"/>
        <w:sz w:val="20"/>
        <w:szCs w:val="20"/>
        <w:lang w:val="en-AU" w:eastAsia="en-US" w:bidi="ar-SA"/>
      </w:rPr>
    </w:lvl>
    <w:lvl w:ilvl="1" w:tplc="0C090019" w:tentative="1">
      <w:start w:val="1"/>
      <w:numFmt w:val="lowerLetter"/>
      <w:lvlText w:val="%2."/>
      <w:lvlJc w:val="left"/>
      <w:pPr>
        <w:ind w:left="1550" w:hanging="360"/>
      </w:pPr>
    </w:lvl>
    <w:lvl w:ilvl="2" w:tplc="0C09001B" w:tentative="1">
      <w:start w:val="1"/>
      <w:numFmt w:val="lowerRoman"/>
      <w:lvlText w:val="%3."/>
      <w:lvlJc w:val="right"/>
      <w:pPr>
        <w:ind w:left="2270" w:hanging="180"/>
      </w:pPr>
    </w:lvl>
    <w:lvl w:ilvl="3" w:tplc="0C09000F" w:tentative="1">
      <w:start w:val="1"/>
      <w:numFmt w:val="decimal"/>
      <w:lvlText w:val="%4."/>
      <w:lvlJc w:val="left"/>
      <w:pPr>
        <w:ind w:left="2990" w:hanging="360"/>
      </w:pPr>
    </w:lvl>
    <w:lvl w:ilvl="4" w:tplc="0C090019" w:tentative="1">
      <w:start w:val="1"/>
      <w:numFmt w:val="lowerLetter"/>
      <w:lvlText w:val="%5."/>
      <w:lvlJc w:val="left"/>
      <w:pPr>
        <w:ind w:left="3710" w:hanging="360"/>
      </w:pPr>
    </w:lvl>
    <w:lvl w:ilvl="5" w:tplc="0C09001B" w:tentative="1">
      <w:start w:val="1"/>
      <w:numFmt w:val="lowerRoman"/>
      <w:lvlText w:val="%6."/>
      <w:lvlJc w:val="right"/>
      <w:pPr>
        <w:ind w:left="4430" w:hanging="180"/>
      </w:pPr>
    </w:lvl>
    <w:lvl w:ilvl="6" w:tplc="0C09000F" w:tentative="1">
      <w:start w:val="1"/>
      <w:numFmt w:val="decimal"/>
      <w:lvlText w:val="%7."/>
      <w:lvlJc w:val="left"/>
      <w:pPr>
        <w:ind w:left="5150" w:hanging="360"/>
      </w:pPr>
    </w:lvl>
    <w:lvl w:ilvl="7" w:tplc="0C090019" w:tentative="1">
      <w:start w:val="1"/>
      <w:numFmt w:val="lowerLetter"/>
      <w:lvlText w:val="%8."/>
      <w:lvlJc w:val="left"/>
      <w:pPr>
        <w:ind w:left="5870" w:hanging="360"/>
      </w:pPr>
    </w:lvl>
    <w:lvl w:ilvl="8" w:tplc="0C09001B" w:tentative="1">
      <w:start w:val="1"/>
      <w:numFmt w:val="lowerRoman"/>
      <w:lvlText w:val="%9."/>
      <w:lvlJc w:val="right"/>
      <w:pPr>
        <w:ind w:left="6590" w:hanging="180"/>
      </w:pPr>
    </w:lvl>
  </w:abstractNum>
  <w:abstractNum w:abstractNumId="9" w15:restartNumberingAfterBreak="0">
    <w:nsid w:val="7E527382"/>
    <w:multiLevelType w:val="hybridMultilevel"/>
    <w:tmpl w:val="8C7634E0"/>
    <w:lvl w:ilvl="0" w:tplc="EDB02C3A">
      <w:start w:val="1"/>
      <w:numFmt w:val="lowerLetter"/>
      <w:lvlText w:val="(%1)"/>
      <w:lvlJc w:val="left"/>
      <w:pPr>
        <w:ind w:left="720" w:hanging="360"/>
      </w:pPr>
      <w:rPr>
        <w:rFonts w:ascii="Arial" w:eastAsia="Times New Roman" w:hAnsi="Arial" w:cs="Arial" w:hint="default"/>
        <w:b w:val="0"/>
        <w:bCs w:val="0"/>
        <w:i w:val="0"/>
        <w:iCs w:val="0"/>
        <w:spacing w:val="-4"/>
        <w:w w:val="94"/>
        <w:sz w:val="24"/>
        <w:szCs w:val="24"/>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564112">
    <w:abstractNumId w:val="7"/>
  </w:num>
  <w:num w:numId="2" w16cid:durableId="284040618">
    <w:abstractNumId w:val="1"/>
  </w:num>
  <w:num w:numId="3" w16cid:durableId="1095857047">
    <w:abstractNumId w:val="6"/>
  </w:num>
  <w:num w:numId="4" w16cid:durableId="394553783">
    <w:abstractNumId w:val="0"/>
  </w:num>
  <w:num w:numId="5" w16cid:durableId="825247043">
    <w:abstractNumId w:val="2"/>
  </w:num>
  <w:num w:numId="6" w16cid:durableId="170801893">
    <w:abstractNumId w:val="4"/>
  </w:num>
  <w:num w:numId="7" w16cid:durableId="920916644">
    <w:abstractNumId w:val="8"/>
  </w:num>
  <w:num w:numId="8" w16cid:durableId="2098164454">
    <w:abstractNumId w:val="9"/>
  </w:num>
  <w:num w:numId="9" w16cid:durableId="530920789">
    <w:abstractNumId w:val="5"/>
  </w:num>
  <w:num w:numId="10" w16cid:durableId="1795517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25"/>
    <w:rsid w:val="0000162F"/>
    <w:rsid w:val="00010AF7"/>
    <w:rsid w:val="00012036"/>
    <w:rsid w:val="0001423A"/>
    <w:rsid w:val="00026AC0"/>
    <w:rsid w:val="00034D1D"/>
    <w:rsid w:val="000353A1"/>
    <w:rsid w:val="000423A5"/>
    <w:rsid w:val="000444CC"/>
    <w:rsid w:val="000452E1"/>
    <w:rsid w:val="000515BC"/>
    <w:rsid w:val="00055B2F"/>
    <w:rsid w:val="0006690A"/>
    <w:rsid w:val="00070920"/>
    <w:rsid w:val="00076EA5"/>
    <w:rsid w:val="00082231"/>
    <w:rsid w:val="00085345"/>
    <w:rsid w:val="00096E38"/>
    <w:rsid w:val="000A052F"/>
    <w:rsid w:val="000A7C2D"/>
    <w:rsid w:val="000B0976"/>
    <w:rsid w:val="000B210A"/>
    <w:rsid w:val="000B266B"/>
    <w:rsid w:val="000B6BF2"/>
    <w:rsid w:val="000C0273"/>
    <w:rsid w:val="000C7C05"/>
    <w:rsid w:val="000D0512"/>
    <w:rsid w:val="000E3685"/>
    <w:rsid w:val="000E4F48"/>
    <w:rsid w:val="000E6470"/>
    <w:rsid w:val="000F3074"/>
    <w:rsid w:val="000F6944"/>
    <w:rsid w:val="00103B36"/>
    <w:rsid w:val="00103D52"/>
    <w:rsid w:val="0010555E"/>
    <w:rsid w:val="00105C4C"/>
    <w:rsid w:val="00112262"/>
    <w:rsid w:val="00112384"/>
    <w:rsid w:val="00112E99"/>
    <w:rsid w:val="001255FF"/>
    <w:rsid w:val="0012692D"/>
    <w:rsid w:val="001272DA"/>
    <w:rsid w:val="00131627"/>
    <w:rsid w:val="001416F0"/>
    <w:rsid w:val="00145904"/>
    <w:rsid w:val="00146B49"/>
    <w:rsid w:val="0015263E"/>
    <w:rsid w:val="00157DB3"/>
    <w:rsid w:val="00162972"/>
    <w:rsid w:val="00163888"/>
    <w:rsid w:val="00173339"/>
    <w:rsid w:val="0017356B"/>
    <w:rsid w:val="00174872"/>
    <w:rsid w:val="001772A4"/>
    <w:rsid w:val="00187677"/>
    <w:rsid w:val="001900DD"/>
    <w:rsid w:val="00193941"/>
    <w:rsid w:val="001A2583"/>
    <w:rsid w:val="001A7AF6"/>
    <w:rsid w:val="001B07E7"/>
    <w:rsid w:val="001B1D86"/>
    <w:rsid w:val="001B3597"/>
    <w:rsid w:val="001C483C"/>
    <w:rsid w:val="001D64BE"/>
    <w:rsid w:val="001E7287"/>
    <w:rsid w:val="001F1487"/>
    <w:rsid w:val="001F4D89"/>
    <w:rsid w:val="001F6174"/>
    <w:rsid w:val="002067D7"/>
    <w:rsid w:val="002139C9"/>
    <w:rsid w:val="00220431"/>
    <w:rsid w:val="0024181F"/>
    <w:rsid w:val="00242DCA"/>
    <w:rsid w:val="00243E70"/>
    <w:rsid w:val="00250900"/>
    <w:rsid w:val="0025538F"/>
    <w:rsid w:val="00260989"/>
    <w:rsid w:val="00265E42"/>
    <w:rsid w:val="00266101"/>
    <w:rsid w:val="0027474A"/>
    <w:rsid w:val="00281AC4"/>
    <w:rsid w:val="002860AB"/>
    <w:rsid w:val="00291841"/>
    <w:rsid w:val="00294E03"/>
    <w:rsid w:val="002A53B3"/>
    <w:rsid w:val="002B615F"/>
    <w:rsid w:val="002B7FD9"/>
    <w:rsid w:val="002C4702"/>
    <w:rsid w:val="002D5DEA"/>
    <w:rsid w:val="002D65DE"/>
    <w:rsid w:val="002F4870"/>
    <w:rsid w:val="002F64B8"/>
    <w:rsid w:val="002F752E"/>
    <w:rsid w:val="00313EF2"/>
    <w:rsid w:val="00317BB6"/>
    <w:rsid w:val="003203FA"/>
    <w:rsid w:val="00322EFB"/>
    <w:rsid w:val="003241A7"/>
    <w:rsid w:val="003247E0"/>
    <w:rsid w:val="00332644"/>
    <w:rsid w:val="003455DA"/>
    <w:rsid w:val="00345EFD"/>
    <w:rsid w:val="0038382B"/>
    <w:rsid w:val="00390C7F"/>
    <w:rsid w:val="00396C47"/>
    <w:rsid w:val="003A686E"/>
    <w:rsid w:val="003C6D84"/>
    <w:rsid w:val="003D0664"/>
    <w:rsid w:val="003E0E8C"/>
    <w:rsid w:val="003E25FC"/>
    <w:rsid w:val="003E33BA"/>
    <w:rsid w:val="003E4639"/>
    <w:rsid w:val="003F4A70"/>
    <w:rsid w:val="003F7770"/>
    <w:rsid w:val="00415B9D"/>
    <w:rsid w:val="004162DA"/>
    <w:rsid w:val="00424693"/>
    <w:rsid w:val="00431582"/>
    <w:rsid w:val="00432AF8"/>
    <w:rsid w:val="00433486"/>
    <w:rsid w:val="004417FE"/>
    <w:rsid w:val="00444EDD"/>
    <w:rsid w:val="00447580"/>
    <w:rsid w:val="00454D3C"/>
    <w:rsid w:val="00460CCA"/>
    <w:rsid w:val="00467289"/>
    <w:rsid w:val="0047176F"/>
    <w:rsid w:val="00472EC5"/>
    <w:rsid w:val="00492F31"/>
    <w:rsid w:val="00493EF3"/>
    <w:rsid w:val="004A1F7A"/>
    <w:rsid w:val="004B463A"/>
    <w:rsid w:val="004C18E3"/>
    <w:rsid w:val="004C3508"/>
    <w:rsid w:val="004C4F78"/>
    <w:rsid w:val="004D6D6F"/>
    <w:rsid w:val="004E3F7B"/>
    <w:rsid w:val="004E5652"/>
    <w:rsid w:val="004F3A0D"/>
    <w:rsid w:val="00501408"/>
    <w:rsid w:val="00501967"/>
    <w:rsid w:val="00502E7F"/>
    <w:rsid w:val="005252BE"/>
    <w:rsid w:val="00527854"/>
    <w:rsid w:val="005352DE"/>
    <w:rsid w:val="00542414"/>
    <w:rsid w:val="00547BE3"/>
    <w:rsid w:val="005514B3"/>
    <w:rsid w:val="00577895"/>
    <w:rsid w:val="00577FC9"/>
    <w:rsid w:val="00587B4A"/>
    <w:rsid w:val="005926D3"/>
    <w:rsid w:val="005B37FA"/>
    <w:rsid w:val="005B40E0"/>
    <w:rsid w:val="005B4109"/>
    <w:rsid w:val="005B4FE0"/>
    <w:rsid w:val="005B6D64"/>
    <w:rsid w:val="005C325F"/>
    <w:rsid w:val="005D1221"/>
    <w:rsid w:val="005D6464"/>
    <w:rsid w:val="005E1F23"/>
    <w:rsid w:val="005F6454"/>
    <w:rsid w:val="006026E6"/>
    <w:rsid w:val="00611E5D"/>
    <w:rsid w:val="00614F29"/>
    <w:rsid w:val="00623731"/>
    <w:rsid w:val="00623C02"/>
    <w:rsid w:val="00637080"/>
    <w:rsid w:val="00637586"/>
    <w:rsid w:val="00675DBB"/>
    <w:rsid w:val="00675E0E"/>
    <w:rsid w:val="00681D3F"/>
    <w:rsid w:val="006825E1"/>
    <w:rsid w:val="006956CB"/>
    <w:rsid w:val="006B1BE5"/>
    <w:rsid w:val="006C54EF"/>
    <w:rsid w:val="006E0BF5"/>
    <w:rsid w:val="006E1917"/>
    <w:rsid w:val="006E4406"/>
    <w:rsid w:val="006E4710"/>
    <w:rsid w:val="006F0BFE"/>
    <w:rsid w:val="006F5EBE"/>
    <w:rsid w:val="00710F4C"/>
    <w:rsid w:val="0071240F"/>
    <w:rsid w:val="0072176A"/>
    <w:rsid w:val="0075087C"/>
    <w:rsid w:val="00753011"/>
    <w:rsid w:val="00757E71"/>
    <w:rsid w:val="007600C7"/>
    <w:rsid w:val="007707C2"/>
    <w:rsid w:val="007728A5"/>
    <w:rsid w:val="007807C2"/>
    <w:rsid w:val="0078575F"/>
    <w:rsid w:val="00790F08"/>
    <w:rsid w:val="007916E0"/>
    <w:rsid w:val="007A2231"/>
    <w:rsid w:val="007B52CF"/>
    <w:rsid w:val="007D4059"/>
    <w:rsid w:val="007D4CF6"/>
    <w:rsid w:val="007E5E75"/>
    <w:rsid w:val="007F0EE2"/>
    <w:rsid w:val="007F11C9"/>
    <w:rsid w:val="008102E7"/>
    <w:rsid w:val="00817FC6"/>
    <w:rsid w:val="00821DA1"/>
    <w:rsid w:val="00835C8B"/>
    <w:rsid w:val="008717DE"/>
    <w:rsid w:val="0088488F"/>
    <w:rsid w:val="008B030A"/>
    <w:rsid w:val="008B08FA"/>
    <w:rsid w:val="008B1887"/>
    <w:rsid w:val="008B1A89"/>
    <w:rsid w:val="008B3AD8"/>
    <w:rsid w:val="008C0DB1"/>
    <w:rsid w:val="008C25BF"/>
    <w:rsid w:val="00902EA8"/>
    <w:rsid w:val="009045AC"/>
    <w:rsid w:val="00921A5D"/>
    <w:rsid w:val="009245D3"/>
    <w:rsid w:val="00933EB4"/>
    <w:rsid w:val="009635CC"/>
    <w:rsid w:val="00964CA6"/>
    <w:rsid w:val="00970B07"/>
    <w:rsid w:val="00970F6E"/>
    <w:rsid w:val="009712E9"/>
    <w:rsid w:val="00977BE5"/>
    <w:rsid w:val="00987D12"/>
    <w:rsid w:val="009A26D8"/>
    <w:rsid w:val="009A57D3"/>
    <w:rsid w:val="009A7C6F"/>
    <w:rsid w:val="009B70BE"/>
    <w:rsid w:val="009B723A"/>
    <w:rsid w:val="009C28E2"/>
    <w:rsid w:val="009E6CB8"/>
    <w:rsid w:val="009E795A"/>
    <w:rsid w:val="00A00F3B"/>
    <w:rsid w:val="00A02596"/>
    <w:rsid w:val="00A302D9"/>
    <w:rsid w:val="00A4238D"/>
    <w:rsid w:val="00A46D8A"/>
    <w:rsid w:val="00A57AA6"/>
    <w:rsid w:val="00A65D87"/>
    <w:rsid w:val="00A67FBD"/>
    <w:rsid w:val="00A70FBC"/>
    <w:rsid w:val="00A75F36"/>
    <w:rsid w:val="00A77201"/>
    <w:rsid w:val="00A85D55"/>
    <w:rsid w:val="00A90FEF"/>
    <w:rsid w:val="00AA62F1"/>
    <w:rsid w:val="00AB66A8"/>
    <w:rsid w:val="00AB6D05"/>
    <w:rsid w:val="00AC1767"/>
    <w:rsid w:val="00AE1136"/>
    <w:rsid w:val="00AE2BF0"/>
    <w:rsid w:val="00AE32F9"/>
    <w:rsid w:val="00AF2138"/>
    <w:rsid w:val="00AF78E6"/>
    <w:rsid w:val="00B0523F"/>
    <w:rsid w:val="00B06678"/>
    <w:rsid w:val="00B22791"/>
    <w:rsid w:val="00B238A7"/>
    <w:rsid w:val="00B2757F"/>
    <w:rsid w:val="00B508AD"/>
    <w:rsid w:val="00B57B92"/>
    <w:rsid w:val="00B63FB9"/>
    <w:rsid w:val="00B6642F"/>
    <w:rsid w:val="00B70368"/>
    <w:rsid w:val="00B87793"/>
    <w:rsid w:val="00B93108"/>
    <w:rsid w:val="00BA1B04"/>
    <w:rsid w:val="00BC0453"/>
    <w:rsid w:val="00BD2867"/>
    <w:rsid w:val="00BF522C"/>
    <w:rsid w:val="00BF71AB"/>
    <w:rsid w:val="00C07794"/>
    <w:rsid w:val="00C07E87"/>
    <w:rsid w:val="00C150B8"/>
    <w:rsid w:val="00C32099"/>
    <w:rsid w:val="00C44CB4"/>
    <w:rsid w:val="00C54C28"/>
    <w:rsid w:val="00C64799"/>
    <w:rsid w:val="00C66DFC"/>
    <w:rsid w:val="00C6778C"/>
    <w:rsid w:val="00C7060D"/>
    <w:rsid w:val="00C742D0"/>
    <w:rsid w:val="00C767C9"/>
    <w:rsid w:val="00C96E58"/>
    <w:rsid w:val="00CA3B97"/>
    <w:rsid w:val="00CC2443"/>
    <w:rsid w:val="00CD6238"/>
    <w:rsid w:val="00CE68AC"/>
    <w:rsid w:val="00CF1A10"/>
    <w:rsid w:val="00CF4073"/>
    <w:rsid w:val="00D0597F"/>
    <w:rsid w:val="00D12805"/>
    <w:rsid w:val="00D22D36"/>
    <w:rsid w:val="00D57EEA"/>
    <w:rsid w:val="00D84594"/>
    <w:rsid w:val="00D862C9"/>
    <w:rsid w:val="00D87194"/>
    <w:rsid w:val="00D97A00"/>
    <w:rsid w:val="00DA5318"/>
    <w:rsid w:val="00DA5EA6"/>
    <w:rsid w:val="00DC23E6"/>
    <w:rsid w:val="00DC42CF"/>
    <w:rsid w:val="00DE5EDF"/>
    <w:rsid w:val="00DF0CC1"/>
    <w:rsid w:val="00DF3BC7"/>
    <w:rsid w:val="00DF41BF"/>
    <w:rsid w:val="00DF6E8E"/>
    <w:rsid w:val="00E002E8"/>
    <w:rsid w:val="00E11E68"/>
    <w:rsid w:val="00E21ED3"/>
    <w:rsid w:val="00E22DA8"/>
    <w:rsid w:val="00E305D1"/>
    <w:rsid w:val="00E34943"/>
    <w:rsid w:val="00E42835"/>
    <w:rsid w:val="00E54038"/>
    <w:rsid w:val="00E546DF"/>
    <w:rsid w:val="00E55BCF"/>
    <w:rsid w:val="00E564FD"/>
    <w:rsid w:val="00E57B97"/>
    <w:rsid w:val="00E600DC"/>
    <w:rsid w:val="00E61FEB"/>
    <w:rsid w:val="00E645D4"/>
    <w:rsid w:val="00E648A3"/>
    <w:rsid w:val="00E67266"/>
    <w:rsid w:val="00E7153E"/>
    <w:rsid w:val="00E75D4F"/>
    <w:rsid w:val="00E75D58"/>
    <w:rsid w:val="00E7707B"/>
    <w:rsid w:val="00E801A6"/>
    <w:rsid w:val="00E82AF7"/>
    <w:rsid w:val="00E864CF"/>
    <w:rsid w:val="00E92C1A"/>
    <w:rsid w:val="00E95228"/>
    <w:rsid w:val="00E95706"/>
    <w:rsid w:val="00EA47CC"/>
    <w:rsid w:val="00EB0E89"/>
    <w:rsid w:val="00EB2C1E"/>
    <w:rsid w:val="00EB59EF"/>
    <w:rsid w:val="00EB6061"/>
    <w:rsid w:val="00EB6681"/>
    <w:rsid w:val="00EC4512"/>
    <w:rsid w:val="00EC6879"/>
    <w:rsid w:val="00ED0482"/>
    <w:rsid w:val="00EE3671"/>
    <w:rsid w:val="00EF38D5"/>
    <w:rsid w:val="00F00E93"/>
    <w:rsid w:val="00F03E53"/>
    <w:rsid w:val="00F12EFC"/>
    <w:rsid w:val="00F13889"/>
    <w:rsid w:val="00F17652"/>
    <w:rsid w:val="00F24DE0"/>
    <w:rsid w:val="00F26170"/>
    <w:rsid w:val="00F31BFC"/>
    <w:rsid w:val="00F40325"/>
    <w:rsid w:val="00F42597"/>
    <w:rsid w:val="00F45AD1"/>
    <w:rsid w:val="00F47DD5"/>
    <w:rsid w:val="00F62474"/>
    <w:rsid w:val="00F63744"/>
    <w:rsid w:val="00F66759"/>
    <w:rsid w:val="00F864F1"/>
    <w:rsid w:val="00F86B43"/>
    <w:rsid w:val="00F95E92"/>
    <w:rsid w:val="00F96EF1"/>
    <w:rsid w:val="00FA04F7"/>
    <w:rsid w:val="00FA1456"/>
    <w:rsid w:val="00FA519A"/>
    <w:rsid w:val="00FB1EF2"/>
    <w:rsid w:val="00FB2D62"/>
    <w:rsid w:val="00FB5314"/>
    <w:rsid w:val="00FC3519"/>
    <w:rsid w:val="00FC45F2"/>
    <w:rsid w:val="00FD1700"/>
    <w:rsid w:val="00FE2F43"/>
    <w:rsid w:val="00FE3F00"/>
    <w:rsid w:val="00FF2906"/>
    <w:rsid w:val="00FF549E"/>
    <w:rsid w:val="01B14E46"/>
    <w:rsid w:val="02A1E41E"/>
    <w:rsid w:val="0EBB5206"/>
    <w:rsid w:val="127B00C1"/>
    <w:rsid w:val="17699235"/>
    <w:rsid w:val="1947918B"/>
    <w:rsid w:val="1C5434AE"/>
    <w:rsid w:val="1C8E828D"/>
    <w:rsid w:val="213F088A"/>
    <w:rsid w:val="2B6B6ADA"/>
    <w:rsid w:val="2C2F22ED"/>
    <w:rsid w:val="303F84E7"/>
    <w:rsid w:val="32E504A0"/>
    <w:rsid w:val="339BD139"/>
    <w:rsid w:val="345801DD"/>
    <w:rsid w:val="353E61FE"/>
    <w:rsid w:val="421D9A70"/>
    <w:rsid w:val="445AC63E"/>
    <w:rsid w:val="45FE5274"/>
    <w:rsid w:val="4E96FD8A"/>
    <w:rsid w:val="50427452"/>
    <w:rsid w:val="570AC88D"/>
    <w:rsid w:val="587D6979"/>
    <w:rsid w:val="5C5B5E21"/>
    <w:rsid w:val="637A4C48"/>
    <w:rsid w:val="664127C3"/>
    <w:rsid w:val="6B226E11"/>
    <w:rsid w:val="76989B59"/>
    <w:rsid w:val="79E04000"/>
    <w:rsid w:val="7C5F0327"/>
    <w:rsid w:val="7F6C67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60AA8"/>
  <w15:docId w15:val="{FD0B2820-C148-4501-A08F-ED7A24A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1" w:lineRule="auto"/>
      <w:ind w:left="576" w:hanging="576"/>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241A7"/>
    <w:rPr>
      <w:sz w:val="16"/>
      <w:szCs w:val="16"/>
    </w:rPr>
  </w:style>
  <w:style w:type="paragraph" w:styleId="CommentText">
    <w:name w:val="annotation text"/>
    <w:basedOn w:val="Normal"/>
    <w:link w:val="CommentTextChar"/>
    <w:uiPriority w:val="99"/>
    <w:unhideWhenUsed/>
    <w:rsid w:val="003241A7"/>
    <w:pPr>
      <w:spacing w:line="240" w:lineRule="auto"/>
    </w:pPr>
    <w:rPr>
      <w:szCs w:val="20"/>
    </w:rPr>
  </w:style>
  <w:style w:type="character" w:customStyle="1" w:styleId="CommentTextChar">
    <w:name w:val="Comment Text Char"/>
    <w:basedOn w:val="DefaultParagraphFont"/>
    <w:link w:val="CommentText"/>
    <w:uiPriority w:val="99"/>
    <w:rsid w:val="003241A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241A7"/>
    <w:rPr>
      <w:b/>
      <w:bCs/>
    </w:rPr>
  </w:style>
  <w:style w:type="character" w:customStyle="1" w:styleId="CommentSubjectChar">
    <w:name w:val="Comment Subject Char"/>
    <w:basedOn w:val="CommentTextChar"/>
    <w:link w:val="CommentSubject"/>
    <w:uiPriority w:val="99"/>
    <w:semiHidden/>
    <w:rsid w:val="003241A7"/>
    <w:rPr>
      <w:rFonts w:ascii="Arial" w:eastAsia="Arial" w:hAnsi="Arial" w:cs="Arial"/>
      <w:b/>
      <w:bCs/>
      <w:color w:val="000000"/>
      <w:sz w:val="20"/>
      <w:szCs w:val="20"/>
    </w:rPr>
  </w:style>
  <w:style w:type="paragraph" w:styleId="Revision">
    <w:name w:val="Revision"/>
    <w:hidden/>
    <w:uiPriority w:val="99"/>
    <w:semiHidden/>
    <w:rsid w:val="00131627"/>
    <w:pPr>
      <w:spacing w:after="0" w:line="240" w:lineRule="auto"/>
    </w:pPr>
    <w:rPr>
      <w:rFonts w:ascii="Arial" w:eastAsia="Arial" w:hAnsi="Arial" w:cs="Arial"/>
      <w:color w:val="000000"/>
      <w:sz w:val="20"/>
    </w:rPr>
  </w:style>
  <w:style w:type="paragraph" w:styleId="ListParagraph">
    <w:name w:val="List Paragraph"/>
    <w:basedOn w:val="Normal"/>
    <w:uiPriority w:val="34"/>
    <w:qFormat/>
    <w:rsid w:val="001B3597"/>
    <w:pPr>
      <w:ind w:left="720"/>
      <w:contextualSpacing/>
    </w:pPr>
  </w:style>
  <w:style w:type="character" w:styleId="Hyperlink">
    <w:name w:val="Hyperlink"/>
    <w:basedOn w:val="DefaultParagraphFont"/>
    <w:uiPriority w:val="99"/>
    <w:unhideWhenUsed/>
    <w:rsid w:val="001B07E7"/>
    <w:rPr>
      <w:color w:val="0563C1" w:themeColor="hyperlink"/>
      <w:u w:val="single"/>
    </w:rPr>
  </w:style>
  <w:style w:type="character" w:styleId="UnresolvedMention">
    <w:name w:val="Unresolved Mention"/>
    <w:basedOn w:val="DefaultParagraphFont"/>
    <w:uiPriority w:val="99"/>
    <w:semiHidden/>
    <w:unhideWhenUsed/>
    <w:rsid w:val="001B07E7"/>
    <w:rPr>
      <w:color w:val="605E5C"/>
      <w:shd w:val="clear" w:color="auto" w:fill="E1DFDD"/>
    </w:rPr>
  </w:style>
  <w:style w:type="paragraph" w:styleId="FootnoteText">
    <w:name w:val="footnote text"/>
    <w:basedOn w:val="Normal"/>
    <w:link w:val="FootnoteTextChar"/>
    <w:uiPriority w:val="99"/>
    <w:semiHidden/>
    <w:unhideWhenUsed/>
    <w:rsid w:val="003203FA"/>
    <w:pPr>
      <w:widowControl w:val="0"/>
      <w:autoSpaceDE w:val="0"/>
      <w:autoSpaceDN w:val="0"/>
      <w:spacing w:line="240" w:lineRule="auto"/>
      <w:ind w:left="0" w:firstLine="0"/>
      <w:jc w:val="left"/>
    </w:pPr>
    <w:rPr>
      <w:rFonts w:ascii="Times New Roman" w:eastAsia="Times New Roman" w:hAnsi="Times New Roman" w:cs="Times New Roman"/>
      <w:color w:val="auto"/>
      <w:kern w:val="0"/>
      <w:szCs w:val="20"/>
      <w:lang w:eastAsia="en-US"/>
      <w14:ligatures w14:val="none"/>
    </w:rPr>
  </w:style>
  <w:style w:type="character" w:customStyle="1" w:styleId="FootnoteTextChar">
    <w:name w:val="Footnote Text Char"/>
    <w:basedOn w:val="DefaultParagraphFont"/>
    <w:link w:val="FootnoteText"/>
    <w:uiPriority w:val="99"/>
    <w:semiHidden/>
    <w:rsid w:val="003203FA"/>
    <w:rPr>
      <w:rFonts w:ascii="Times New Roman" w:eastAsia="Times New Roman" w:hAnsi="Times New Roman" w:cs="Times New Roman"/>
      <w:kern w:val="0"/>
      <w:sz w:val="20"/>
      <w:szCs w:val="20"/>
      <w:lang w:eastAsia="en-US"/>
      <w14:ligatures w14:val="none"/>
    </w:rPr>
  </w:style>
  <w:style w:type="character" w:styleId="FootnoteReference">
    <w:name w:val="footnote reference"/>
    <w:basedOn w:val="DefaultParagraphFont"/>
    <w:uiPriority w:val="99"/>
    <w:semiHidden/>
    <w:unhideWhenUsed/>
    <w:rsid w:val="003203FA"/>
    <w:rPr>
      <w:vertAlign w:val="superscript"/>
    </w:rPr>
  </w:style>
  <w:style w:type="paragraph" w:customStyle="1" w:styleId="TableParagraph">
    <w:name w:val="Table Paragraph"/>
    <w:basedOn w:val="Normal"/>
    <w:uiPriority w:val="1"/>
    <w:qFormat/>
    <w:rsid w:val="00444EDD"/>
    <w:pPr>
      <w:widowControl w:val="0"/>
      <w:autoSpaceDE w:val="0"/>
      <w:autoSpaceDN w:val="0"/>
      <w:spacing w:line="240" w:lineRule="auto"/>
      <w:ind w:left="0" w:firstLine="0"/>
      <w:jc w:val="left"/>
    </w:pPr>
    <w:rPr>
      <w:rFonts w:ascii="Times New Roman" w:eastAsia="Times New Roman" w:hAnsi="Times New Roman" w:cs="Times New Roman"/>
      <w:color w:val="auto"/>
      <w:kern w:val="0"/>
      <w:sz w:val="22"/>
      <w:lang w:eastAsia="en-US"/>
      <w14:ligatures w14:val="none"/>
    </w:rPr>
  </w:style>
  <w:style w:type="table" w:customStyle="1" w:styleId="TableGrid0">
    <w:name w:val="Table Grid0"/>
    <w:basedOn w:val="TableNormal"/>
    <w:uiPriority w:val="39"/>
    <w:rsid w:val="00D22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7C6F"/>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nhideWhenUsed/>
    <w:rsid w:val="00291841"/>
    <w:pPr>
      <w:tabs>
        <w:tab w:val="center" w:pos="4513"/>
        <w:tab w:val="right" w:pos="9026"/>
      </w:tabs>
      <w:spacing w:line="240" w:lineRule="auto"/>
    </w:pPr>
  </w:style>
  <w:style w:type="character" w:customStyle="1" w:styleId="HeaderChar">
    <w:name w:val="Header Char"/>
    <w:basedOn w:val="DefaultParagraphFont"/>
    <w:link w:val="Header"/>
    <w:rsid w:val="00291841"/>
    <w:rPr>
      <w:rFonts w:ascii="Arial" w:eastAsia="Arial" w:hAnsi="Arial" w:cs="Arial"/>
      <w:color w:val="000000"/>
      <w:sz w:val="20"/>
    </w:rPr>
  </w:style>
  <w:style w:type="paragraph" w:styleId="Footer">
    <w:name w:val="footer"/>
    <w:basedOn w:val="Normal"/>
    <w:link w:val="FooterChar"/>
    <w:uiPriority w:val="99"/>
    <w:semiHidden/>
    <w:unhideWhenUsed/>
    <w:rsid w:val="00294E03"/>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94E03"/>
    <w:rPr>
      <w:rFonts w:ascii="Arial" w:eastAsia="Arial" w:hAnsi="Arial" w:cs="Arial"/>
      <w:color w:val="000000"/>
      <w:sz w:val="20"/>
    </w:rPr>
  </w:style>
  <w:style w:type="character" w:styleId="Mention">
    <w:name w:val="Mention"/>
    <w:basedOn w:val="DefaultParagraphFont"/>
    <w:uiPriority w:val="99"/>
    <w:unhideWhenUsed/>
    <w:rsid w:val="003D06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meaffair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meaffair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meaffair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9693F-9916-419F-9623-DE964ED108F8}">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2.xml><?xml version="1.0" encoding="utf-8"?>
<ds:datastoreItem xmlns:ds="http://schemas.openxmlformats.org/officeDocument/2006/customXml" ds:itemID="{10D48F32-5E1D-4A10-A9AD-A001A4854E99}">
  <ds:schemaRefs>
    <ds:schemaRef ds:uri="http://schemas.openxmlformats.org/officeDocument/2006/bibliography"/>
  </ds:schemaRefs>
</ds:datastoreItem>
</file>

<file path=customXml/itemProps3.xml><?xml version="1.0" encoding="utf-8"?>
<ds:datastoreItem xmlns:ds="http://schemas.openxmlformats.org/officeDocument/2006/customXml" ds:itemID="{596E1887-1C78-47C8-BDBD-8FBAB6F83B85}">
  <ds:schemaRefs>
    <ds:schemaRef ds:uri="http://schemas.microsoft.com/sharepoint/v3/contenttype/forms"/>
  </ds:schemaRefs>
</ds:datastoreItem>
</file>

<file path=customXml/itemProps4.xml><?xml version="1.0" encoding="utf-8"?>
<ds:datastoreItem xmlns:ds="http://schemas.openxmlformats.org/officeDocument/2006/customXml" ds:itemID="{FD1CFB66-FD90-461F-9B49-21A145CA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1166</Words>
  <Characters>6466</Characters>
  <Application>Microsoft Office Word</Application>
  <DocSecurity>0</DocSecurity>
  <Lines>239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Links>
    <vt:vector size="24" baseType="variant">
      <vt:variant>
        <vt:i4>7077941</vt:i4>
      </vt:variant>
      <vt:variant>
        <vt:i4>6</vt:i4>
      </vt:variant>
      <vt:variant>
        <vt:i4>0</vt:i4>
      </vt:variant>
      <vt:variant>
        <vt:i4>5</vt:i4>
      </vt:variant>
      <vt:variant>
        <vt:lpwstr>http://www.homeaffairs.gov.au/</vt:lpwstr>
      </vt:variant>
      <vt:variant>
        <vt:lpwstr/>
      </vt:variant>
      <vt:variant>
        <vt:i4>2949160</vt:i4>
      </vt:variant>
      <vt:variant>
        <vt:i4>3</vt:i4>
      </vt:variant>
      <vt:variant>
        <vt:i4>0</vt:i4>
      </vt:variant>
      <vt:variant>
        <vt:i4>5</vt:i4>
      </vt:variant>
      <vt:variant>
        <vt:lpwstr>https://www.homeaffairs.gov.au/</vt:lpwstr>
      </vt:variant>
      <vt:variant>
        <vt:lpwstr/>
      </vt:variant>
      <vt:variant>
        <vt:i4>7077941</vt:i4>
      </vt:variant>
      <vt:variant>
        <vt:i4>0</vt:i4>
      </vt:variant>
      <vt:variant>
        <vt:i4>0</vt:i4>
      </vt:variant>
      <vt:variant>
        <vt:i4>5</vt:i4>
      </vt:variant>
      <vt:variant>
        <vt:lpwstr>http://www.homeaffairs.gov.au/</vt:lpwstr>
      </vt:variant>
      <vt:variant>
        <vt:lpwstr/>
      </vt:variant>
      <vt:variant>
        <vt:i4>7995463</vt:i4>
      </vt:variant>
      <vt:variant>
        <vt:i4>0</vt:i4>
      </vt:variant>
      <vt:variant>
        <vt:i4>0</vt:i4>
      </vt:variant>
      <vt:variant>
        <vt:i4>5</vt:i4>
      </vt:variant>
      <vt:variant>
        <vt:lpwstr>mailto:henry.galbraith@dfat.gov.au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10 – Annex 10a - Australia’s Schedule of Commitments on Entry and Temporary Stay for Business Persons</dc:title>
  <dc:subject/>
  <dc:creator>DFAT</dc:creator>
  <cp:keywords>[SEC=OFFICIAL]</cp:keywords>
  <cp:lastModifiedBy>Celina Smith</cp:lastModifiedBy>
  <cp:revision>5</cp:revision>
  <dcterms:created xsi:type="dcterms:W3CDTF">2024-09-19T07:11:00Z</dcterms:created>
  <dcterms:modified xsi:type="dcterms:W3CDTF">2024-10-25T04:40:00Z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v=2022.1;a=SHA256;h=C58DA92B4BF16F8241F624F8A025D3090500D2118D0FA989E8B19DBB47DC72B6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2024-07-15T00:19:47Z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B3A1186F4978345946544015E517FB0499668B44</vt:lpwstr>
  </property>
  <property fmtid="{D5CDD505-2E9C-101B-9397-08002B2CF9AE}" pid="14" name="PM_DisplayValueSecClassificationWithQualifier">
    <vt:lpwstr>OFFICIAL</vt:lpwstr>
  </property>
  <property fmtid="{D5CDD505-2E9C-101B-9397-08002B2CF9AE}" pid="15" name="PM_Originating_FileId">
    <vt:lpwstr>CECD8C944C984357831F3DB771164F41</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A02462710D17FD77D6A022C0296FB354F4F7D46DA5E5C9DA7D0DD8D115649B84</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05C87778FC60F53B816214EC9A85F0CB</vt:lpwstr>
  </property>
  <property fmtid="{D5CDD505-2E9C-101B-9397-08002B2CF9AE}" pid="25" name="PM_Hash_Salt">
    <vt:lpwstr>91D8DBD8B13C46F7C34F8E1A5A6E8615</vt:lpwstr>
  </property>
  <property fmtid="{D5CDD505-2E9C-101B-9397-08002B2CF9AE}" pid="26" name="PM_Hash_SHA1">
    <vt:lpwstr>1AAFE59E0E7B7C3DB56AD85E2F0E66CF2A13949C</vt:lpwstr>
  </property>
  <property fmtid="{D5CDD505-2E9C-101B-9397-08002B2CF9AE}" pid="27" name="ContentTypeId">
    <vt:lpwstr>0x010100A1DDFAC6AB8B644A99DC8F89F51DDD4D</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GrammarlyDocumentId">
    <vt:lpwstr>aed4dcb721d2b2952082d69997f3bc0056478db9dfecca6e3a0b7c97cffe41de</vt:lpwstr>
  </property>
</Properties>
</file>