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81"/>
        <w:ind w:left="1" w:right="2" w:firstLine="0"/>
        <w:jc w:val="center"/>
        <w:rPr>
          <w:b/>
          <w:sz w:val="19"/>
        </w:rPr>
      </w:pPr>
      <w:r>
        <w:rPr>
          <w:b/>
          <w:sz w:val="19"/>
        </w:rPr>
        <w:t>ANNEX</w:t>
      </w:r>
      <w:r>
        <w:rPr>
          <w:b/>
          <w:spacing w:val="9"/>
          <w:sz w:val="19"/>
        </w:rPr>
        <w:t> </w:t>
      </w:r>
      <w:r>
        <w:rPr>
          <w:b/>
          <w:spacing w:val="-5"/>
          <w:sz w:val="19"/>
        </w:rPr>
        <w:t>10A</w:t>
      </w:r>
    </w:p>
    <w:p>
      <w:pPr>
        <w:pStyle w:val="BodyText"/>
        <w:spacing w:before="9"/>
        <w:rPr>
          <w:b/>
        </w:rPr>
      </w:pPr>
    </w:p>
    <w:p>
      <w:pPr>
        <w:spacing w:line="247" w:lineRule="auto" w:before="0"/>
        <w:ind w:left="1889" w:right="1866" w:firstLine="654"/>
        <w:jc w:val="left"/>
        <w:rPr>
          <w:b/>
          <w:sz w:val="19"/>
        </w:rPr>
      </w:pPr>
      <w:r>
        <w:rPr>
          <w:b/>
          <w:sz w:val="19"/>
        </w:rPr>
        <w:t>SCHEDULE</w:t>
      </w:r>
      <w:r>
        <w:rPr>
          <w:b/>
          <w:spacing w:val="40"/>
          <w:sz w:val="19"/>
        </w:rPr>
        <w:t> </w:t>
      </w:r>
      <w:r>
        <w:rPr>
          <w:b/>
          <w:sz w:val="19"/>
        </w:rPr>
        <w:t>OF</w:t>
      </w:r>
      <w:r>
        <w:rPr>
          <w:b/>
          <w:spacing w:val="40"/>
          <w:sz w:val="19"/>
        </w:rPr>
        <w:t> </w:t>
      </w:r>
      <w:r>
        <w:rPr>
          <w:b/>
          <w:sz w:val="19"/>
        </w:rPr>
        <w:t>SPECIFIC</w:t>
      </w:r>
      <w:r>
        <w:rPr>
          <w:b/>
          <w:spacing w:val="40"/>
          <w:sz w:val="19"/>
        </w:rPr>
        <w:t> </w:t>
      </w:r>
      <w:r>
        <w:rPr>
          <w:b/>
          <w:sz w:val="19"/>
        </w:rPr>
        <w:t>COMMITMENTS</w:t>
      </w:r>
      <w:r>
        <w:rPr>
          <w:b/>
          <w:spacing w:val="40"/>
          <w:sz w:val="19"/>
        </w:rPr>
        <w:t> </w:t>
      </w:r>
      <w:r>
        <w:rPr>
          <w:b/>
          <w:sz w:val="19"/>
        </w:rPr>
        <w:t>ON ENTRY AND TEMPORARY STAY FOR BUSINESS PERSONS</w:t>
      </w:r>
    </w:p>
    <w:p>
      <w:pPr>
        <w:pStyle w:val="BodyText"/>
        <w:spacing w:before="2"/>
        <w:rPr>
          <w:b/>
        </w:rPr>
      </w:pPr>
    </w:p>
    <w:p>
      <w:pPr>
        <w:spacing w:before="0"/>
        <w:ind w:left="2" w:right="1" w:firstLine="0"/>
        <w:jc w:val="center"/>
        <w:rPr>
          <w:b/>
          <w:sz w:val="19"/>
        </w:rPr>
      </w:pPr>
      <w:r>
        <w:rPr>
          <w:b/>
          <w:spacing w:val="-5"/>
          <w:sz w:val="19"/>
        </w:rPr>
        <w:t>UAE</w:t>
      </w:r>
    </w:p>
    <w:p>
      <w:pPr>
        <w:pStyle w:val="BodyText"/>
        <w:spacing w:before="11"/>
        <w:rPr>
          <w:b/>
        </w:rPr>
      </w:pPr>
    </w:p>
    <w:p>
      <w:pPr>
        <w:pStyle w:val="ListParagraph"/>
        <w:numPr>
          <w:ilvl w:val="0"/>
          <w:numId w:val="1"/>
        </w:numPr>
        <w:tabs>
          <w:tab w:pos="652" w:val="left" w:leader="none"/>
        </w:tabs>
        <w:spacing w:line="244" w:lineRule="auto" w:before="0" w:after="0"/>
        <w:ind w:left="652" w:right="99" w:hanging="552"/>
        <w:jc w:val="both"/>
        <w:rPr>
          <w:sz w:val="19"/>
        </w:rPr>
      </w:pPr>
      <w:r>
        <w:rPr>
          <w:sz w:val="19"/>
        </w:rPr>
        <w:t>This</w:t>
      </w:r>
      <w:r>
        <w:rPr>
          <w:spacing w:val="-2"/>
          <w:sz w:val="19"/>
        </w:rPr>
        <w:t> </w:t>
      </w:r>
      <w:r>
        <w:rPr>
          <w:sz w:val="19"/>
        </w:rPr>
        <w:t>Schedule</w:t>
      </w:r>
      <w:r>
        <w:rPr>
          <w:spacing w:val="-2"/>
          <w:sz w:val="19"/>
        </w:rPr>
        <w:t> </w:t>
      </w:r>
      <w:r>
        <w:rPr>
          <w:sz w:val="19"/>
        </w:rPr>
        <w:t>sets out</w:t>
      </w:r>
      <w:r>
        <w:rPr>
          <w:spacing w:val="-2"/>
          <w:sz w:val="19"/>
        </w:rPr>
        <w:t> </w:t>
      </w:r>
      <w:r>
        <w:rPr>
          <w:sz w:val="19"/>
        </w:rPr>
        <w:t>the UAE’s</w:t>
      </w:r>
      <w:r>
        <w:rPr>
          <w:spacing w:val="-2"/>
          <w:sz w:val="19"/>
        </w:rPr>
        <w:t> </w:t>
      </w:r>
      <w:r>
        <w:rPr>
          <w:sz w:val="19"/>
        </w:rPr>
        <w:t>commitments in accordance</w:t>
      </w:r>
      <w:r>
        <w:rPr>
          <w:spacing w:val="-2"/>
          <w:sz w:val="19"/>
        </w:rPr>
        <w:t> </w:t>
      </w:r>
      <w:r>
        <w:rPr>
          <w:sz w:val="19"/>
        </w:rPr>
        <w:t>with Chapter 10 (Entry</w:t>
      </w:r>
      <w:r>
        <w:rPr>
          <w:spacing w:val="-2"/>
          <w:sz w:val="19"/>
        </w:rPr>
        <w:t> </w:t>
      </w:r>
      <w:r>
        <w:rPr>
          <w:sz w:val="19"/>
        </w:rPr>
        <w:t>and Temporary Stay for Business Persons) with respect to the entry and temporary stay of business persons of the other Party covered under Article 10.2 (Scope).</w:t>
      </w:r>
    </w:p>
    <w:p>
      <w:pPr>
        <w:pStyle w:val="BodyText"/>
        <w:spacing w:before="8"/>
      </w:pPr>
    </w:p>
    <w:p>
      <w:pPr>
        <w:pStyle w:val="ListParagraph"/>
        <w:numPr>
          <w:ilvl w:val="0"/>
          <w:numId w:val="1"/>
        </w:numPr>
        <w:tabs>
          <w:tab w:pos="652" w:val="left" w:leader="none"/>
        </w:tabs>
        <w:spacing w:line="244" w:lineRule="auto" w:before="0" w:after="0"/>
        <w:ind w:left="652" w:right="98" w:hanging="552"/>
        <w:jc w:val="both"/>
        <w:rPr>
          <w:sz w:val="19"/>
        </w:rPr>
      </w:pPr>
      <w:r>
        <w:rPr>
          <w:sz w:val="19"/>
        </w:rPr>
        <w:t>The commitments in this Schedule only apply to services sub-sectors in which the UAE has taken commitments in its Schedule in Annex 9D (Schedule of Specific Commitments for Services) of Chapter 9 (Trade in Services). For greater certainty, any sub-sectors in which the UAE has not taken commitments in Annex 9D (Schedule of Specific Commitments for Services) of Chapter 9 (Trade in Services) are not subject to the commitments in this Schedule.</w:t>
      </w:r>
    </w:p>
    <w:p>
      <w:pPr>
        <w:pStyle w:val="BodyText"/>
        <w:spacing w:before="9"/>
      </w:pPr>
    </w:p>
    <w:p>
      <w:pPr>
        <w:pStyle w:val="ListParagraph"/>
        <w:numPr>
          <w:ilvl w:val="0"/>
          <w:numId w:val="1"/>
        </w:numPr>
        <w:tabs>
          <w:tab w:pos="652" w:val="left" w:leader="none"/>
        </w:tabs>
        <w:spacing w:line="244" w:lineRule="auto" w:before="0" w:after="0"/>
        <w:ind w:left="652" w:right="100" w:hanging="552"/>
        <w:jc w:val="both"/>
        <w:rPr>
          <w:sz w:val="19"/>
        </w:rPr>
      </w:pPr>
      <w:r>
        <w:rPr>
          <w:sz w:val="19"/>
        </w:rPr>
        <w:t>The UAE reserves the right to require a business person of the other Party to obtain a visa or its equivalent prior to entry and to take any measure related to the conditions attached to entry and temporary stay under such visa for each of the categories specified below.</w:t>
      </w:r>
    </w:p>
    <w:p>
      <w:pPr>
        <w:pStyle w:val="BodyText"/>
        <w:spacing w:before="7"/>
      </w:pPr>
    </w:p>
    <w:p>
      <w:pPr>
        <w:pStyle w:val="ListParagraph"/>
        <w:numPr>
          <w:ilvl w:val="0"/>
          <w:numId w:val="1"/>
        </w:numPr>
        <w:tabs>
          <w:tab w:pos="652" w:val="left" w:leader="none"/>
        </w:tabs>
        <w:spacing w:line="247" w:lineRule="auto" w:before="0" w:after="0"/>
        <w:ind w:left="652" w:right="99" w:hanging="552"/>
        <w:jc w:val="both"/>
        <w:rPr>
          <w:sz w:val="19"/>
        </w:rPr>
      </w:pPr>
      <w:r>
        <w:rPr>
          <w:sz w:val="19"/>
        </w:rPr>
        <w:t>Australia’s schedule shall not be used to interpret the UAE’s commitments or obligations under Chapter 10 (Entry and Temporary Stay for Business Persons).</w:t>
      </w:r>
    </w:p>
    <w:p>
      <w:pPr>
        <w:pStyle w:val="BodyText"/>
        <w:spacing w:before="10"/>
        <w:rPr>
          <w:sz w:val="18"/>
        </w:rPr>
      </w:pPr>
    </w:p>
    <w:tbl>
      <w:tblPr>
        <w:tblW w:w="0" w:type="auto"/>
        <w:jc w:val="left"/>
        <w:tblInd w:w="110" w:type="dxa"/>
        <w:tblBorders>
          <w:top w:val="single" w:sz="4" w:space="0" w:color="233545"/>
          <w:left w:val="single" w:sz="4" w:space="0" w:color="233545"/>
          <w:bottom w:val="single" w:sz="4" w:space="0" w:color="233545"/>
          <w:right w:val="single" w:sz="4" w:space="0" w:color="233545"/>
          <w:insideH w:val="single" w:sz="4" w:space="0" w:color="233545"/>
          <w:insideV w:val="single" w:sz="4" w:space="0" w:color="233545"/>
        </w:tblBorders>
        <w:tblLayout w:type="fixed"/>
        <w:tblCellMar>
          <w:top w:w="0" w:type="dxa"/>
          <w:left w:w="0" w:type="dxa"/>
          <w:bottom w:w="0" w:type="dxa"/>
          <w:right w:w="0" w:type="dxa"/>
        </w:tblCellMar>
        <w:tblLook w:val="01E0"/>
      </w:tblPr>
      <w:tblGrid>
        <w:gridCol w:w="4547"/>
        <w:gridCol w:w="4547"/>
      </w:tblGrid>
      <w:tr>
        <w:trPr>
          <w:trHeight w:val="456" w:hRule="atLeast"/>
        </w:trPr>
        <w:tc>
          <w:tcPr>
            <w:tcW w:w="4547" w:type="dxa"/>
          </w:tcPr>
          <w:p>
            <w:pPr>
              <w:pStyle w:val="TableParagraph"/>
              <w:spacing w:before="4"/>
              <w:ind w:right="1159"/>
              <w:jc w:val="right"/>
              <w:rPr>
                <w:b/>
                <w:sz w:val="19"/>
              </w:rPr>
            </w:pPr>
            <w:r>
              <w:rPr>
                <w:b/>
                <w:sz w:val="19"/>
              </w:rPr>
              <w:t>Description</w:t>
            </w:r>
            <w:r>
              <w:rPr>
                <w:b/>
                <w:spacing w:val="7"/>
                <w:sz w:val="19"/>
              </w:rPr>
              <w:t> </w:t>
            </w:r>
            <w:r>
              <w:rPr>
                <w:b/>
                <w:sz w:val="19"/>
              </w:rPr>
              <w:t>of</w:t>
            </w:r>
            <w:r>
              <w:rPr>
                <w:b/>
                <w:spacing w:val="9"/>
                <w:sz w:val="19"/>
              </w:rPr>
              <w:t> </w:t>
            </w:r>
            <w:r>
              <w:rPr>
                <w:b/>
                <w:spacing w:val="-2"/>
                <w:sz w:val="19"/>
              </w:rPr>
              <w:t>Category</w:t>
            </w:r>
          </w:p>
        </w:tc>
        <w:tc>
          <w:tcPr>
            <w:tcW w:w="4547" w:type="dxa"/>
          </w:tcPr>
          <w:p>
            <w:pPr>
              <w:pStyle w:val="TableParagraph"/>
              <w:spacing w:before="4"/>
              <w:ind w:left="1019"/>
              <w:rPr>
                <w:b/>
                <w:sz w:val="19"/>
              </w:rPr>
            </w:pPr>
            <w:r>
              <w:rPr>
                <w:b/>
                <w:sz w:val="19"/>
              </w:rPr>
              <w:t>Conditions</w:t>
            </w:r>
            <w:r>
              <w:rPr>
                <w:b/>
                <w:spacing w:val="9"/>
                <w:sz w:val="19"/>
              </w:rPr>
              <w:t> </w:t>
            </w:r>
            <w:r>
              <w:rPr>
                <w:b/>
                <w:sz w:val="19"/>
              </w:rPr>
              <w:t>and</w:t>
            </w:r>
            <w:r>
              <w:rPr>
                <w:b/>
                <w:spacing w:val="7"/>
                <w:sz w:val="19"/>
              </w:rPr>
              <w:t> </w:t>
            </w:r>
            <w:r>
              <w:rPr>
                <w:b/>
                <w:spacing w:val="-2"/>
                <w:sz w:val="19"/>
              </w:rPr>
              <w:t>Limitations</w:t>
            </w:r>
          </w:p>
        </w:tc>
      </w:tr>
      <w:tr>
        <w:trPr>
          <w:trHeight w:val="240" w:hRule="atLeast"/>
        </w:trPr>
        <w:tc>
          <w:tcPr>
            <w:tcW w:w="9094" w:type="dxa"/>
            <w:gridSpan w:val="2"/>
          </w:tcPr>
          <w:p>
            <w:pPr>
              <w:pStyle w:val="TableParagraph"/>
              <w:spacing w:line="216" w:lineRule="exact" w:before="4"/>
              <w:ind w:left="454"/>
              <w:rPr>
                <w:b/>
                <w:sz w:val="19"/>
              </w:rPr>
            </w:pPr>
            <w:r>
              <w:rPr>
                <w:b/>
                <w:sz w:val="19"/>
              </w:rPr>
              <w:t>A.</w:t>
            </w:r>
            <w:r>
              <w:rPr>
                <w:b/>
                <w:spacing w:val="29"/>
                <w:sz w:val="19"/>
              </w:rPr>
              <w:t>  </w:t>
            </w:r>
            <w:r>
              <w:rPr>
                <w:b/>
                <w:sz w:val="19"/>
              </w:rPr>
              <w:t>Business</w:t>
            </w:r>
            <w:r>
              <w:rPr>
                <w:b/>
                <w:spacing w:val="4"/>
                <w:sz w:val="19"/>
              </w:rPr>
              <w:t> </w:t>
            </w:r>
            <w:r>
              <w:rPr>
                <w:b/>
                <w:spacing w:val="-2"/>
                <w:sz w:val="19"/>
              </w:rPr>
              <w:t>Visitors</w:t>
            </w:r>
          </w:p>
        </w:tc>
      </w:tr>
      <w:tr>
        <w:trPr>
          <w:trHeight w:val="2435" w:hRule="atLeast"/>
        </w:trPr>
        <w:tc>
          <w:tcPr>
            <w:tcW w:w="4547" w:type="dxa"/>
          </w:tcPr>
          <w:p>
            <w:pPr>
              <w:pStyle w:val="TableParagraph"/>
              <w:spacing w:line="266" w:lineRule="auto" w:before="4"/>
              <w:ind w:left="104" w:right="221"/>
              <w:rPr>
                <w:sz w:val="19"/>
              </w:rPr>
            </w:pPr>
            <w:r>
              <w:rPr>
                <w:w w:val="105"/>
                <w:sz w:val="19"/>
              </w:rPr>
              <w:t>A natural person who stays in the UAE, without acquiring remuneration from within the UAE</w:t>
            </w:r>
            <w:r>
              <w:rPr>
                <w:spacing w:val="80"/>
                <w:w w:val="105"/>
                <w:sz w:val="19"/>
              </w:rPr>
              <w:t> </w:t>
            </w:r>
            <w:r>
              <w:rPr>
                <w:w w:val="105"/>
                <w:sz w:val="19"/>
              </w:rPr>
              <w:t>and without engaging in making direct sales to the general public or supplying services, for the purposes of participating in business meetings, business contacts including negotiations for the sale of services and/or other similar activities including those to prepare for establishing a commercial presence in the UAE.</w:t>
            </w:r>
          </w:p>
        </w:tc>
        <w:tc>
          <w:tcPr>
            <w:tcW w:w="4547" w:type="dxa"/>
          </w:tcPr>
          <w:p>
            <w:pPr>
              <w:pStyle w:val="TableParagraph"/>
              <w:spacing w:line="244" w:lineRule="auto" w:before="4"/>
              <w:ind w:left="104"/>
              <w:rPr>
                <w:sz w:val="19"/>
              </w:rPr>
            </w:pPr>
            <w:r>
              <w:rPr>
                <w:w w:val="105"/>
                <w:sz w:val="19"/>
              </w:rPr>
              <w:t>Entry and stay for persons in this category shall not be for more than 90 days in any 12-month </w:t>
            </w:r>
            <w:r>
              <w:rPr>
                <w:spacing w:val="-2"/>
                <w:w w:val="105"/>
                <w:sz w:val="19"/>
              </w:rPr>
              <w:t>period</w:t>
            </w:r>
          </w:p>
        </w:tc>
      </w:tr>
      <w:tr>
        <w:trPr>
          <w:trHeight w:val="456" w:hRule="atLeast"/>
        </w:trPr>
        <w:tc>
          <w:tcPr>
            <w:tcW w:w="4547" w:type="dxa"/>
          </w:tcPr>
          <w:p>
            <w:pPr>
              <w:pStyle w:val="TableParagraph"/>
              <w:spacing w:before="4"/>
              <w:ind w:right="1188"/>
              <w:jc w:val="right"/>
              <w:rPr>
                <w:b/>
                <w:sz w:val="19"/>
              </w:rPr>
            </w:pPr>
            <w:r>
              <w:rPr>
                <w:b/>
                <w:sz w:val="19"/>
              </w:rPr>
              <w:t>B.</w:t>
            </w:r>
            <w:r>
              <w:rPr>
                <w:b/>
                <w:spacing w:val="32"/>
                <w:sz w:val="19"/>
              </w:rPr>
              <w:t>  </w:t>
            </w:r>
            <w:r>
              <w:rPr>
                <w:b/>
                <w:sz w:val="19"/>
              </w:rPr>
              <w:t>Intra-corporate</w:t>
            </w:r>
            <w:r>
              <w:rPr>
                <w:b/>
                <w:spacing w:val="4"/>
                <w:sz w:val="19"/>
              </w:rPr>
              <w:t> </w:t>
            </w:r>
            <w:r>
              <w:rPr>
                <w:b/>
                <w:spacing w:val="-2"/>
                <w:sz w:val="19"/>
              </w:rPr>
              <w:t>Transferees</w:t>
            </w:r>
          </w:p>
        </w:tc>
        <w:tc>
          <w:tcPr>
            <w:tcW w:w="4547" w:type="dxa"/>
          </w:tcPr>
          <w:p>
            <w:pPr>
              <w:pStyle w:val="TableParagraph"/>
              <w:rPr>
                <w:rFonts w:ascii="Times New Roman"/>
                <w:sz w:val="18"/>
              </w:rPr>
            </w:pPr>
          </w:p>
        </w:tc>
      </w:tr>
      <w:tr>
        <w:trPr>
          <w:trHeight w:val="3467" w:hRule="atLeast"/>
        </w:trPr>
        <w:tc>
          <w:tcPr>
            <w:tcW w:w="4547" w:type="dxa"/>
          </w:tcPr>
          <w:p>
            <w:pPr>
              <w:pStyle w:val="TableParagraph"/>
              <w:spacing w:line="254" w:lineRule="auto" w:before="36"/>
              <w:ind w:left="104" w:right="318"/>
              <w:rPr>
                <w:sz w:val="19"/>
              </w:rPr>
            </w:pPr>
            <w:r>
              <w:rPr>
                <w:w w:val="105"/>
                <w:sz w:val="19"/>
              </w:rPr>
              <w:t>Managers, executives and specialists (as defined below) who have been in the employment of a juridical person of another Party outside the UAE, for a period of not less than one year prior to the date of application for entry into the UAE and are being transferred to a branch or affiliate in the UAE</w:t>
            </w:r>
            <w:r>
              <w:rPr>
                <w:spacing w:val="40"/>
                <w:w w:val="105"/>
                <w:sz w:val="19"/>
              </w:rPr>
              <w:t> </w:t>
            </w:r>
            <w:r>
              <w:rPr>
                <w:w w:val="105"/>
                <w:sz w:val="19"/>
              </w:rPr>
              <w:t>of the aforesaid juridical person.</w:t>
            </w:r>
          </w:p>
          <w:p>
            <w:pPr>
              <w:pStyle w:val="TableParagraph"/>
              <w:spacing w:before="18"/>
              <w:rPr>
                <w:sz w:val="19"/>
              </w:rPr>
            </w:pPr>
          </w:p>
          <w:p>
            <w:pPr>
              <w:pStyle w:val="TableParagraph"/>
              <w:ind w:left="104"/>
              <w:rPr>
                <w:sz w:val="19"/>
              </w:rPr>
            </w:pPr>
            <w:r>
              <w:rPr>
                <w:spacing w:val="-2"/>
                <w:w w:val="105"/>
                <w:sz w:val="19"/>
                <w:u w:val="single"/>
              </w:rPr>
              <w:t>Definitions</w:t>
            </w:r>
            <w:r>
              <w:rPr>
                <w:spacing w:val="-2"/>
                <w:w w:val="105"/>
                <w:sz w:val="19"/>
                <w:u w:val="none"/>
              </w:rPr>
              <w:t>:</w:t>
            </w:r>
          </w:p>
          <w:p>
            <w:pPr>
              <w:pStyle w:val="TableParagraph"/>
              <w:spacing w:line="244" w:lineRule="auto" w:before="10"/>
              <w:ind w:left="104" w:right="152"/>
              <w:rPr>
                <w:sz w:val="19"/>
              </w:rPr>
            </w:pPr>
            <w:r>
              <w:rPr>
                <w:w w:val="105"/>
                <w:sz w:val="19"/>
              </w:rPr>
              <w:t>Managers: persons within an organization who primarily direct the organization or a department or sub-division of the organization, supervise</w:t>
            </w:r>
            <w:r>
              <w:rPr>
                <w:spacing w:val="80"/>
                <w:w w:val="105"/>
                <w:sz w:val="19"/>
              </w:rPr>
              <w:t> </w:t>
            </w:r>
            <w:r>
              <w:rPr>
                <w:w w:val="105"/>
                <w:sz w:val="19"/>
              </w:rPr>
              <w:t>and control the work of other supervisory,</w:t>
            </w:r>
          </w:p>
          <w:p>
            <w:pPr>
              <w:pStyle w:val="TableParagraph"/>
              <w:spacing w:line="199" w:lineRule="exact" w:before="3"/>
              <w:ind w:left="104"/>
              <w:rPr>
                <w:sz w:val="19"/>
              </w:rPr>
            </w:pPr>
            <w:r>
              <w:rPr>
                <w:w w:val="105"/>
                <w:sz w:val="19"/>
              </w:rPr>
              <w:t>professional</w:t>
            </w:r>
            <w:r>
              <w:rPr>
                <w:spacing w:val="15"/>
                <w:w w:val="105"/>
                <w:sz w:val="19"/>
              </w:rPr>
              <w:t> </w:t>
            </w:r>
            <w:r>
              <w:rPr>
                <w:w w:val="105"/>
                <w:sz w:val="19"/>
              </w:rPr>
              <w:t>or</w:t>
            </w:r>
            <w:r>
              <w:rPr>
                <w:spacing w:val="16"/>
                <w:w w:val="105"/>
                <w:sz w:val="19"/>
              </w:rPr>
              <w:t> </w:t>
            </w:r>
            <w:r>
              <w:rPr>
                <w:w w:val="105"/>
                <w:sz w:val="19"/>
              </w:rPr>
              <w:t>managerial</w:t>
            </w:r>
            <w:r>
              <w:rPr>
                <w:spacing w:val="13"/>
                <w:w w:val="105"/>
                <w:sz w:val="19"/>
              </w:rPr>
              <w:t> </w:t>
            </w:r>
            <w:r>
              <w:rPr>
                <w:w w:val="105"/>
                <w:sz w:val="19"/>
              </w:rPr>
              <w:t>employees,</w:t>
            </w:r>
            <w:r>
              <w:rPr>
                <w:spacing w:val="14"/>
                <w:w w:val="105"/>
                <w:sz w:val="19"/>
              </w:rPr>
              <w:t> </w:t>
            </w:r>
            <w:r>
              <w:rPr>
                <w:spacing w:val="-4"/>
                <w:w w:val="105"/>
                <w:sz w:val="19"/>
              </w:rPr>
              <w:t>have</w:t>
            </w:r>
          </w:p>
        </w:tc>
        <w:tc>
          <w:tcPr>
            <w:tcW w:w="4547" w:type="dxa"/>
          </w:tcPr>
          <w:p>
            <w:pPr>
              <w:pStyle w:val="TableParagraph"/>
              <w:spacing w:line="254" w:lineRule="auto" w:before="36"/>
              <w:ind w:left="104" w:right="372"/>
              <w:rPr>
                <w:sz w:val="19"/>
              </w:rPr>
            </w:pPr>
            <w:r>
              <w:rPr>
                <w:w w:val="105"/>
                <w:sz w:val="19"/>
              </w:rPr>
              <w:t>Entry will be subject to the following </w:t>
            </w:r>
            <w:r>
              <w:rPr>
                <w:spacing w:val="-2"/>
                <w:w w:val="105"/>
                <w:sz w:val="19"/>
              </w:rPr>
              <w:t>conditions:</w:t>
            </w:r>
          </w:p>
          <w:p>
            <w:pPr>
              <w:pStyle w:val="TableParagraph"/>
              <w:spacing w:before="7"/>
              <w:rPr>
                <w:sz w:val="19"/>
              </w:rPr>
            </w:pPr>
          </w:p>
          <w:p>
            <w:pPr>
              <w:pStyle w:val="TableParagraph"/>
              <w:numPr>
                <w:ilvl w:val="0"/>
                <w:numId w:val="2"/>
              </w:numPr>
              <w:tabs>
                <w:tab w:pos="566" w:val="left" w:leader="none"/>
                <w:tab w:pos="569" w:val="left" w:leader="none"/>
              </w:tabs>
              <w:spacing w:line="252" w:lineRule="auto" w:before="0" w:after="0"/>
              <w:ind w:left="569" w:right="301" w:hanging="362"/>
              <w:jc w:val="left"/>
              <w:rPr>
                <w:sz w:val="19"/>
              </w:rPr>
            </w:pPr>
            <w:r>
              <w:rPr>
                <w:w w:val="105"/>
                <w:sz w:val="19"/>
              </w:rPr>
              <w:t>The number of managers, executives</w:t>
            </w:r>
            <w:r>
              <w:rPr>
                <w:spacing w:val="40"/>
                <w:w w:val="105"/>
                <w:sz w:val="19"/>
              </w:rPr>
              <w:t> </w:t>
            </w:r>
            <w:r>
              <w:rPr>
                <w:w w:val="105"/>
                <w:sz w:val="19"/>
              </w:rPr>
              <w:t>and specialists shall be limited to 50% of the total number of managers,</w:t>
            </w:r>
            <w:r>
              <w:rPr>
                <w:spacing w:val="80"/>
                <w:w w:val="105"/>
                <w:sz w:val="19"/>
              </w:rPr>
              <w:t> </w:t>
            </w:r>
            <w:r>
              <w:rPr>
                <w:w w:val="105"/>
                <w:sz w:val="19"/>
              </w:rPr>
              <w:t>executives and specialists of each</w:t>
            </w:r>
            <w:r>
              <w:rPr>
                <w:spacing w:val="40"/>
                <w:w w:val="105"/>
                <w:sz w:val="19"/>
              </w:rPr>
              <w:t> </w:t>
            </w:r>
            <w:r>
              <w:rPr>
                <w:w w:val="105"/>
                <w:sz w:val="19"/>
              </w:rPr>
              <w:t>service supplier.</w:t>
            </w:r>
          </w:p>
          <w:p>
            <w:pPr>
              <w:pStyle w:val="TableParagraph"/>
              <w:spacing w:before="11"/>
              <w:rPr>
                <w:sz w:val="19"/>
              </w:rPr>
            </w:pPr>
          </w:p>
          <w:p>
            <w:pPr>
              <w:pStyle w:val="TableParagraph"/>
              <w:numPr>
                <w:ilvl w:val="0"/>
                <w:numId w:val="2"/>
              </w:numPr>
              <w:tabs>
                <w:tab w:pos="566" w:val="left" w:leader="none"/>
                <w:tab w:pos="569" w:val="left" w:leader="none"/>
              </w:tabs>
              <w:spacing w:line="254" w:lineRule="auto" w:before="0" w:after="0"/>
              <w:ind w:left="569" w:right="312" w:hanging="362"/>
              <w:jc w:val="left"/>
              <w:rPr>
                <w:sz w:val="19"/>
              </w:rPr>
            </w:pPr>
            <w:r>
              <w:rPr>
                <w:w w:val="105"/>
                <w:sz w:val="19"/>
              </w:rPr>
              <w:t>Their entry shall be for a period of three years subject to renewable for additional </w:t>
            </w:r>
            <w:r>
              <w:rPr>
                <w:spacing w:val="-2"/>
                <w:w w:val="105"/>
                <w:sz w:val="19"/>
              </w:rPr>
              <w:t>years.</w:t>
            </w:r>
          </w:p>
        </w:tc>
      </w:tr>
    </w:tbl>
    <w:p>
      <w:pPr>
        <w:spacing w:after="0" w:line="254" w:lineRule="auto"/>
        <w:jc w:val="left"/>
        <w:rPr>
          <w:sz w:val="19"/>
        </w:rPr>
        <w:sectPr>
          <w:type w:val="continuous"/>
          <w:pgSz w:w="11910" w:h="16840"/>
          <w:pgMar w:top="1940" w:bottom="280" w:left="1300" w:right="1300"/>
        </w:sectPr>
      </w:pPr>
    </w:p>
    <w:p>
      <w:pPr>
        <w:pStyle w:val="BodyText"/>
        <w:spacing w:before="3"/>
        <w:rPr>
          <w:sz w:val="15"/>
        </w:rPr>
      </w:pPr>
    </w:p>
    <w:tbl>
      <w:tblPr>
        <w:tblW w:w="0" w:type="auto"/>
        <w:jc w:val="left"/>
        <w:tblInd w:w="110" w:type="dxa"/>
        <w:tblBorders>
          <w:top w:val="single" w:sz="4" w:space="0" w:color="233545"/>
          <w:left w:val="single" w:sz="4" w:space="0" w:color="233545"/>
          <w:bottom w:val="single" w:sz="4" w:space="0" w:color="233545"/>
          <w:right w:val="single" w:sz="4" w:space="0" w:color="233545"/>
          <w:insideH w:val="single" w:sz="4" w:space="0" w:color="233545"/>
          <w:insideV w:val="single" w:sz="4" w:space="0" w:color="233545"/>
        </w:tblBorders>
        <w:tblLayout w:type="fixed"/>
        <w:tblCellMar>
          <w:top w:w="0" w:type="dxa"/>
          <w:left w:w="0" w:type="dxa"/>
          <w:bottom w:w="0" w:type="dxa"/>
          <w:right w:w="0" w:type="dxa"/>
        </w:tblCellMar>
        <w:tblLook w:val="01E0"/>
      </w:tblPr>
      <w:tblGrid>
        <w:gridCol w:w="4547"/>
        <w:gridCol w:w="4547"/>
      </w:tblGrid>
      <w:tr>
        <w:trPr>
          <w:trHeight w:val="6509" w:hRule="atLeast"/>
        </w:trPr>
        <w:tc>
          <w:tcPr>
            <w:tcW w:w="4547" w:type="dxa"/>
          </w:tcPr>
          <w:p>
            <w:pPr>
              <w:pStyle w:val="TableParagraph"/>
              <w:spacing w:line="244" w:lineRule="auto" w:before="4"/>
              <w:ind w:left="104" w:right="174"/>
              <w:rPr>
                <w:sz w:val="19"/>
              </w:rPr>
            </w:pPr>
            <w:r>
              <w:rPr>
                <w:w w:val="105"/>
                <w:sz w:val="19"/>
              </w:rPr>
              <w:t>the authority to hire or fire or recommend hiring, firing, or other personnel action (such as promotion or leave authorization), and exercise discretionary authority over day to day</w:t>
            </w:r>
            <w:r>
              <w:rPr>
                <w:spacing w:val="80"/>
                <w:w w:val="105"/>
                <w:sz w:val="19"/>
              </w:rPr>
              <w:t> </w:t>
            </w:r>
            <w:r>
              <w:rPr>
                <w:w w:val="105"/>
                <w:sz w:val="19"/>
              </w:rPr>
              <w:t>operation, doesn’t include first-line supervisor unless the employees supervised are professional, nor does include employees who primarily perform tasks necessary for the provision of the service.</w:t>
            </w:r>
          </w:p>
          <w:p>
            <w:pPr>
              <w:pStyle w:val="TableParagraph"/>
              <w:spacing w:before="23"/>
              <w:rPr>
                <w:sz w:val="19"/>
              </w:rPr>
            </w:pPr>
          </w:p>
          <w:p>
            <w:pPr>
              <w:pStyle w:val="TableParagraph"/>
              <w:spacing w:line="244" w:lineRule="auto"/>
              <w:ind w:left="104" w:right="152"/>
              <w:rPr>
                <w:sz w:val="19"/>
              </w:rPr>
            </w:pPr>
            <w:r>
              <w:rPr>
                <w:w w:val="105"/>
                <w:sz w:val="19"/>
              </w:rPr>
              <w:t>Executives: Persons within an organization,</w:t>
            </w:r>
            <w:r>
              <w:rPr>
                <w:spacing w:val="80"/>
                <w:w w:val="105"/>
                <w:sz w:val="19"/>
              </w:rPr>
              <w:t> </w:t>
            </w:r>
            <w:r>
              <w:rPr>
                <w:w w:val="105"/>
                <w:sz w:val="19"/>
              </w:rPr>
              <w:t>who primarily direct the management of the organization, establish the goals and policies of the organization, exercise wide latitude in decision-making, and receive only general supervision or direction from higher-level executives, the board of directors or stockholders of the business. Executives would not directly perform tasks related to the actual provision of service or services of the </w:t>
            </w:r>
            <w:r>
              <w:rPr>
                <w:spacing w:val="-2"/>
                <w:w w:val="105"/>
                <w:sz w:val="19"/>
              </w:rPr>
              <w:t>organization.</w:t>
            </w:r>
          </w:p>
          <w:p>
            <w:pPr>
              <w:pStyle w:val="TableParagraph"/>
              <w:spacing w:before="23"/>
              <w:rPr>
                <w:sz w:val="19"/>
              </w:rPr>
            </w:pPr>
          </w:p>
          <w:p>
            <w:pPr>
              <w:pStyle w:val="TableParagraph"/>
              <w:spacing w:line="244" w:lineRule="auto"/>
              <w:ind w:left="104" w:right="152"/>
              <w:rPr>
                <w:sz w:val="19"/>
              </w:rPr>
            </w:pPr>
            <w:r>
              <w:rPr>
                <w:w w:val="105"/>
                <w:sz w:val="19"/>
              </w:rPr>
              <w:t>Specialists: persons within an organization who possess knowledge at an advanced level of expertise and who possess proprietary knowledge of the organization’s services, research, equipment, techniques or </w:t>
            </w:r>
            <w:r>
              <w:rPr>
                <w:spacing w:val="-2"/>
                <w:w w:val="105"/>
                <w:sz w:val="19"/>
              </w:rPr>
              <w:t>management.</w:t>
            </w:r>
          </w:p>
        </w:tc>
        <w:tc>
          <w:tcPr>
            <w:tcW w:w="4547" w:type="dxa"/>
          </w:tcPr>
          <w:p>
            <w:pPr>
              <w:pStyle w:val="TableParagraph"/>
              <w:spacing w:line="247" w:lineRule="auto" w:before="4"/>
              <w:ind w:left="104" w:right="318"/>
              <w:rPr>
                <w:sz w:val="19"/>
              </w:rPr>
            </w:pPr>
            <w:r>
              <w:rPr>
                <w:w w:val="105"/>
                <w:sz w:val="19"/>
              </w:rPr>
              <w:t>Their stay in the UAE will be subject to UAE labour and immigration laws.</w:t>
            </w:r>
          </w:p>
          <w:p>
            <w:pPr>
              <w:pStyle w:val="TableParagraph"/>
              <w:spacing w:before="11"/>
              <w:rPr>
                <w:sz w:val="19"/>
              </w:rPr>
            </w:pPr>
          </w:p>
          <w:p>
            <w:pPr>
              <w:pStyle w:val="TableParagraph"/>
              <w:spacing w:line="247" w:lineRule="auto"/>
              <w:ind w:left="104" w:right="318"/>
              <w:rPr>
                <w:sz w:val="19"/>
              </w:rPr>
            </w:pPr>
            <w:r>
              <w:rPr>
                <w:w w:val="105"/>
                <w:sz w:val="19"/>
              </w:rPr>
              <w:t>The work right for the spouses of intra- corporate transferees is granted according to the UAE labour laws.</w:t>
            </w:r>
          </w:p>
        </w:tc>
      </w:tr>
      <w:tr>
        <w:trPr>
          <w:trHeight w:val="263" w:hRule="atLeast"/>
        </w:trPr>
        <w:tc>
          <w:tcPr>
            <w:tcW w:w="9094" w:type="dxa"/>
            <w:gridSpan w:val="2"/>
          </w:tcPr>
          <w:p>
            <w:pPr>
              <w:pStyle w:val="TableParagraph"/>
              <w:spacing w:line="207" w:lineRule="exact" w:before="36"/>
              <w:ind w:left="454"/>
              <w:rPr>
                <w:b/>
                <w:sz w:val="19"/>
              </w:rPr>
            </w:pPr>
            <w:r>
              <w:rPr>
                <w:b/>
                <w:w w:val="105"/>
                <w:sz w:val="19"/>
              </w:rPr>
              <w:t>C.</w:t>
            </w:r>
            <w:r>
              <w:rPr>
                <w:b/>
                <w:spacing w:val="46"/>
                <w:w w:val="105"/>
                <w:sz w:val="19"/>
              </w:rPr>
              <w:t> </w:t>
            </w:r>
            <w:r>
              <w:rPr>
                <w:b/>
                <w:w w:val="105"/>
                <w:sz w:val="19"/>
              </w:rPr>
              <w:t>Contractual</w:t>
            </w:r>
            <w:r>
              <w:rPr>
                <w:b/>
                <w:spacing w:val="-14"/>
                <w:w w:val="105"/>
                <w:sz w:val="19"/>
              </w:rPr>
              <w:t> </w:t>
            </w:r>
            <w:r>
              <w:rPr>
                <w:b/>
                <w:w w:val="105"/>
                <w:sz w:val="19"/>
              </w:rPr>
              <w:t>Services</w:t>
            </w:r>
            <w:r>
              <w:rPr>
                <w:b/>
                <w:spacing w:val="-14"/>
                <w:w w:val="105"/>
                <w:sz w:val="19"/>
              </w:rPr>
              <w:t> </w:t>
            </w:r>
            <w:r>
              <w:rPr>
                <w:b/>
                <w:spacing w:val="-2"/>
                <w:w w:val="105"/>
                <w:sz w:val="19"/>
              </w:rPr>
              <w:t>Suppliers</w:t>
            </w:r>
          </w:p>
        </w:tc>
      </w:tr>
      <w:tr>
        <w:trPr>
          <w:trHeight w:val="5679" w:hRule="atLeast"/>
        </w:trPr>
        <w:tc>
          <w:tcPr>
            <w:tcW w:w="4547" w:type="dxa"/>
          </w:tcPr>
          <w:p>
            <w:pPr>
              <w:pStyle w:val="TableParagraph"/>
              <w:spacing w:line="254" w:lineRule="auto" w:before="36"/>
              <w:ind w:left="104" w:right="318"/>
              <w:rPr>
                <w:sz w:val="19"/>
              </w:rPr>
            </w:pPr>
            <w:r>
              <w:rPr>
                <w:w w:val="105"/>
                <w:sz w:val="19"/>
              </w:rPr>
              <w:t>This visa is issued to an applicant who is entering the UAE on a temporary mission connected with a private or public company or corporation operating in the UAE on condition that she or he is sponsored by one of its competent staff or by an official body and is a member of any of the following professions:</w:t>
            </w:r>
          </w:p>
          <w:p>
            <w:pPr>
              <w:pStyle w:val="TableParagraph"/>
              <w:spacing w:before="78"/>
              <w:rPr>
                <w:sz w:val="19"/>
              </w:rPr>
            </w:pPr>
          </w:p>
          <w:p>
            <w:pPr>
              <w:pStyle w:val="TableParagraph"/>
              <w:numPr>
                <w:ilvl w:val="0"/>
                <w:numId w:val="3"/>
              </w:numPr>
              <w:tabs>
                <w:tab w:pos="1041" w:val="left" w:leader="none"/>
              </w:tabs>
              <w:spacing w:line="240" w:lineRule="auto" w:before="0" w:after="0"/>
              <w:ind w:left="1041" w:right="0" w:hanging="236"/>
              <w:jc w:val="both"/>
              <w:rPr>
                <w:sz w:val="19"/>
              </w:rPr>
            </w:pPr>
            <w:r>
              <w:rPr>
                <w:w w:val="105"/>
                <w:sz w:val="19"/>
              </w:rPr>
              <w:t>Business</w:t>
            </w:r>
            <w:r>
              <w:rPr>
                <w:spacing w:val="16"/>
                <w:w w:val="105"/>
                <w:sz w:val="19"/>
              </w:rPr>
              <w:t> </w:t>
            </w:r>
            <w:r>
              <w:rPr>
                <w:spacing w:val="-2"/>
                <w:w w:val="105"/>
                <w:sz w:val="19"/>
              </w:rPr>
              <w:t>persons;</w:t>
            </w:r>
          </w:p>
          <w:p>
            <w:pPr>
              <w:pStyle w:val="TableParagraph"/>
              <w:spacing w:before="90"/>
              <w:rPr>
                <w:sz w:val="19"/>
              </w:rPr>
            </w:pPr>
          </w:p>
          <w:p>
            <w:pPr>
              <w:pStyle w:val="TableParagraph"/>
              <w:numPr>
                <w:ilvl w:val="0"/>
                <w:numId w:val="3"/>
              </w:numPr>
              <w:tabs>
                <w:tab w:pos="1085" w:val="left" w:leader="none"/>
              </w:tabs>
              <w:spacing w:line="256" w:lineRule="auto" w:before="0" w:after="0"/>
              <w:ind w:left="805" w:right="316" w:firstLine="0"/>
              <w:jc w:val="both"/>
              <w:rPr>
                <w:sz w:val="19"/>
              </w:rPr>
            </w:pPr>
            <w:r>
              <w:rPr>
                <w:w w:val="105"/>
                <w:sz w:val="19"/>
              </w:rPr>
              <w:t>Directors, Representatives, Sale Managers of companies and auditors;</w:t>
            </w:r>
          </w:p>
          <w:p>
            <w:pPr>
              <w:pStyle w:val="TableParagraph"/>
              <w:spacing w:before="72"/>
              <w:rPr>
                <w:sz w:val="19"/>
              </w:rPr>
            </w:pPr>
          </w:p>
          <w:p>
            <w:pPr>
              <w:pStyle w:val="TableParagraph"/>
              <w:numPr>
                <w:ilvl w:val="0"/>
                <w:numId w:val="3"/>
              </w:numPr>
              <w:tabs>
                <w:tab w:pos="1131" w:val="left" w:leader="none"/>
              </w:tabs>
              <w:spacing w:line="254" w:lineRule="auto" w:before="0" w:after="0"/>
              <w:ind w:left="805" w:right="212" w:firstLine="0"/>
              <w:jc w:val="both"/>
              <w:rPr>
                <w:sz w:val="19"/>
              </w:rPr>
            </w:pPr>
            <w:r>
              <w:rPr>
                <w:w w:val="105"/>
                <w:sz w:val="19"/>
              </w:rPr>
              <w:t>Representatives of companies and commercial enterprises delegated on a mission connected with a trade activity in the UAE.</w:t>
            </w:r>
          </w:p>
          <w:p>
            <w:pPr>
              <w:pStyle w:val="TableParagraph"/>
              <w:spacing w:before="78"/>
              <w:rPr>
                <w:sz w:val="19"/>
              </w:rPr>
            </w:pPr>
          </w:p>
          <w:p>
            <w:pPr>
              <w:pStyle w:val="TableParagraph"/>
              <w:numPr>
                <w:ilvl w:val="0"/>
                <w:numId w:val="3"/>
              </w:numPr>
              <w:tabs>
                <w:tab w:pos="1145" w:val="left" w:leader="none"/>
              </w:tabs>
              <w:spacing w:line="254" w:lineRule="auto" w:before="0" w:after="0"/>
              <w:ind w:left="805" w:right="506" w:firstLine="0"/>
              <w:jc w:val="left"/>
              <w:rPr>
                <w:sz w:val="19"/>
              </w:rPr>
            </w:pPr>
            <w:r>
              <w:rPr>
                <w:w w:val="105"/>
                <w:sz w:val="19"/>
              </w:rPr>
              <w:t>Engineers, Physicians, Lawyers and Qualified Technicians;</w:t>
            </w:r>
          </w:p>
          <w:p>
            <w:pPr>
              <w:pStyle w:val="TableParagraph"/>
              <w:spacing w:before="56"/>
              <w:rPr>
                <w:sz w:val="19"/>
              </w:rPr>
            </w:pPr>
          </w:p>
          <w:p>
            <w:pPr>
              <w:pStyle w:val="TableParagraph"/>
              <w:numPr>
                <w:ilvl w:val="0"/>
                <w:numId w:val="3"/>
              </w:numPr>
              <w:tabs>
                <w:tab w:pos="1096" w:val="left" w:leader="none"/>
              </w:tabs>
              <w:spacing w:line="230" w:lineRule="atLeast" w:before="0" w:after="0"/>
              <w:ind w:left="804" w:right="297" w:firstLine="0"/>
              <w:jc w:val="left"/>
              <w:rPr>
                <w:sz w:val="19"/>
              </w:rPr>
            </w:pPr>
            <w:r>
              <w:rPr>
                <w:w w:val="105"/>
                <w:sz w:val="19"/>
              </w:rPr>
              <w:t>Spouses and children of the above </w:t>
            </w:r>
            <w:r>
              <w:rPr>
                <w:spacing w:val="-2"/>
                <w:w w:val="105"/>
                <w:sz w:val="19"/>
              </w:rPr>
              <w:t>professionals.</w:t>
            </w:r>
          </w:p>
        </w:tc>
        <w:tc>
          <w:tcPr>
            <w:tcW w:w="4547" w:type="dxa"/>
          </w:tcPr>
          <w:p>
            <w:pPr>
              <w:pStyle w:val="TableParagraph"/>
              <w:spacing w:line="244" w:lineRule="auto" w:before="4"/>
              <w:ind w:left="103" w:right="152"/>
              <w:rPr>
                <w:sz w:val="19"/>
              </w:rPr>
            </w:pPr>
            <w:r>
              <w:rPr>
                <w:w w:val="105"/>
                <w:sz w:val="19"/>
              </w:rPr>
              <w:t>The Federal Authority for Identity, Citizenship, Customs &amp; Ports Security of in the UAE is authorized to issue a 90 (ninety) day visa renewable for a further equal period to enter the UAE subject to approval by the Ministry of Human Resources and Emiratization.</w:t>
            </w:r>
          </w:p>
        </w:tc>
      </w:tr>
    </w:tbl>
    <w:sectPr>
      <w:pgSz w:w="11910" w:h="16840"/>
      <w:pgMar w:top="19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1042" w:hanging="238"/>
        <w:jc w:val="left"/>
      </w:pPr>
      <w:rPr>
        <w:rFonts w:hint="default" w:ascii="Arial" w:hAnsi="Arial" w:eastAsia="Arial" w:cs="Arial"/>
        <w:b w:val="0"/>
        <w:bCs w:val="0"/>
        <w:i w:val="0"/>
        <w:iCs w:val="0"/>
        <w:spacing w:val="-1"/>
        <w:w w:val="107"/>
        <w:sz w:val="19"/>
        <w:szCs w:val="19"/>
        <w:lang w:val="en-US" w:eastAsia="en-US" w:bidi="ar-SA"/>
      </w:rPr>
    </w:lvl>
    <w:lvl w:ilvl="1">
      <w:start w:val="0"/>
      <w:numFmt w:val="bullet"/>
      <w:lvlText w:val="•"/>
      <w:lvlJc w:val="left"/>
      <w:pPr>
        <w:ind w:left="1389" w:hanging="238"/>
      </w:pPr>
      <w:rPr>
        <w:rFonts w:hint="default"/>
        <w:lang w:val="en-US" w:eastAsia="en-US" w:bidi="ar-SA"/>
      </w:rPr>
    </w:lvl>
    <w:lvl w:ilvl="2">
      <w:start w:val="0"/>
      <w:numFmt w:val="bullet"/>
      <w:lvlText w:val="•"/>
      <w:lvlJc w:val="left"/>
      <w:pPr>
        <w:ind w:left="1739" w:hanging="238"/>
      </w:pPr>
      <w:rPr>
        <w:rFonts w:hint="default"/>
        <w:lang w:val="en-US" w:eastAsia="en-US" w:bidi="ar-SA"/>
      </w:rPr>
    </w:lvl>
    <w:lvl w:ilvl="3">
      <w:start w:val="0"/>
      <w:numFmt w:val="bullet"/>
      <w:lvlText w:val="•"/>
      <w:lvlJc w:val="left"/>
      <w:pPr>
        <w:ind w:left="2089" w:hanging="238"/>
      </w:pPr>
      <w:rPr>
        <w:rFonts w:hint="default"/>
        <w:lang w:val="en-US" w:eastAsia="en-US" w:bidi="ar-SA"/>
      </w:rPr>
    </w:lvl>
    <w:lvl w:ilvl="4">
      <w:start w:val="0"/>
      <w:numFmt w:val="bullet"/>
      <w:lvlText w:val="•"/>
      <w:lvlJc w:val="left"/>
      <w:pPr>
        <w:ind w:left="2438" w:hanging="238"/>
      </w:pPr>
      <w:rPr>
        <w:rFonts w:hint="default"/>
        <w:lang w:val="en-US" w:eastAsia="en-US" w:bidi="ar-SA"/>
      </w:rPr>
    </w:lvl>
    <w:lvl w:ilvl="5">
      <w:start w:val="0"/>
      <w:numFmt w:val="bullet"/>
      <w:lvlText w:val="•"/>
      <w:lvlJc w:val="left"/>
      <w:pPr>
        <w:ind w:left="2788" w:hanging="238"/>
      </w:pPr>
      <w:rPr>
        <w:rFonts w:hint="default"/>
        <w:lang w:val="en-US" w:eastAsia="en-US" w:bidi="ar-SA"/>
      </w:rPr>
    </w:lvl>
    <w:lvl w:ilvl="6">
      <w:start w:val="0"/>
      <w:numFmt w:val="bullet"/>
      <w:lvlText w:val="•"/>
      <w:lvlJc w:val="left"/>
      <w:pPr>
        <w:ind w:left="3138" w:hanging="238"/>
      </w:pPr>
      <w:rPr>
        <w:rFonts w:hint="default"/>
        <w:lang w:val="en-US" w:eastAsia="en-US" w:bidi="ar-SA"/>
      </w:rPr>
    </w:lvl>
    <w:lvl w:ilvl="7">
      <w:start w:val="0"/>
      <w:numFmt w:val="bullet"/>
      <w:lvlText w:val="•"/>
      <w:lvlJc w:val="left"/>
      <w:pPr>
        <w:ind w:left="3487" w:hanging="238"/>
      </w:pPr>
      <w:rPr>
        <w:rFonts w:hint="default"/>
        <w:lang w:val="en-US" w:eastAsia="en-US" w:bidi="ar-SA"/>
      </w:rPr>
    </w:lvl>
    <w:lvl w:ilvl="8">
      <w:start w:val="0"/>
      <w:numFmt w:val="bullet"/>
      <w:lvlText w:val="•"/>
      <w:lvlJc w:val="left"/>
      <w:pPr>
        <w:ind w:left="3837" w:hanging="238"/>
      </w:pPr>
      <w:rPr>
        <w:rFonts w:hint="default"/>
        <w:lang w:val="en-US" w:eastAsia="en-US" w:bidi="ar-SA"/>
      </w:rPr>
    </w:lvl>
  </w:abstractNum>
  <w:abstractNum w:abstractNumId="1">
    <w:multiLevelType w:val="hybridMultilevel"/>
    <w:lvl w:ilvl="0">
      <w:start w:val="1"/>
      <w:numFmt w:val="lowerRoman"/>
      <w:lvlText w:val="(%1)"/>
      <w:lvlJc w:val="left"/>
      <w:pPr>
        <w:ind w:left="569" w:hanging="362"/>
        <w:jc w:val="left"/>
      </w:pPr>
      <w:rPr>
        <w:rFonts w:hint="default" w:ascii="Arial" w:hAnsi="Arial" w:eastAsia="Arial" w:cs="Arial"/>
        <w:b w:val="0"/>
        <w:bCs w:val="0"/>
        <w:i w:val="0"/>
        <w:iCs w:val="0"/>
        <w:spacing w:val="-3"/>
        <w:w w:val="105"/>
        <w:sz w:val="19"/>
        <w:szCs w:val="19"/>
        <w:lang w:val="en-US" w:eastAsia="en-US" w:bidi="ar-SA"/>
      </w:rPr>
    </w:lvl>
    <w:lvl w:ilvl="1">
      <w:start w:val="0"/>
      <w:numFmt w:val="bullet"/>
      <w:lvlText w:val="•"/>
      <w:lvlJc w:val="left"/>
      <w:pPr>
        <w:ind w:left="957" w:hanging="362"/>
      </w:pPr>
      <w:rPr>
        <w:rFonts w:hint="default"/>
        <w:lang w:val="en-US" w:eastAsia="en-US" w:bidi="ar-SA"/>
      </w:rPr>
    </w:lvl>
    <w:lvl w:ilvl="2">
      <w:start w:val="0"/>
      <w:numFmt w:val="bullet"/>
      <w:lvlText w:val="•"/>
      <w:lvlJc w:val="left"/>
      <w:pPr>
        <w:ind w:left="1355" w:hanging="362"/>
      </w:pPr>
      <w:rPr>
        <w:rFonts w:hint="default"/>
        <w:lang w:val="en-US" w:eastAsia="en-US" w:bidi="ar-SA"/>
      </w:rPr>
    </w:lvl>
    <w:lvl w:ilvl="3">
      <w:start w:val="0"/>
      <w:numFmt w:val="bullet"/>
      <w:lvlText w:val="•"/>
      <w:lvlJc w:val="left"/>
      <w:pPr>
        <w:ind w:left="1753" w:hanging="362"/>
      </w:pPr>
      <w:rPr>
        <w:rFonts w:hint="default"/>
        <w:lang w:val="en-US" w:eastAsia="en-US" w:bidi="ar-SA"/>
      </w:rPr>
    </w:lvl>
    <w:lvl w:ilvl="4">
      <w:start w:val="0"/>
      <w:numFmt w:val="bullet"/>
      <w:lvlText w:val="•"/>
      <w:lvlJc w:val="left"/>
      <w:pPr>
        <w:ind w:left="2150" w:hanging="362"/>
      </w:pPr>
      <w:rPr>
        <w:rFonts w:hint="default"/>
        <w:lang w:val="en-US" w:eastAsia="en-US" w:bidi="ar-SA"/>
      </w:rPr>
    </w:lvl>
    <w:lvl w:ilvl="5">
      <w:start w:val="0"/>
      <w:numFmt w:val="bullet"/>
      <w:lvlText w:val="•"/>
      <w:lvlJc w:val="left"/>
      <w:pPr>
        <w:ind w:left="2548" w:hanging="362"/>
      </w:pPr>
      <w:rPr>
        <w:rFonts w:hint="default"/>
        <w:lang w:val="en-US" w:eastAsia="en-US" w:bidi="ar-SA"/>
      </w:rPr>
    </w:lvl>
    <w:lvl w:ilvl="6">
      <w:start w:val="0"/>
      <w:numFmt w:val="bullet"/>
      <w:lvlText w:val="•"/>
      <w:lvlJc w:val="left"/>
      <w:pPr>
        <w:ind w:left="2946" w:hanging="362"/>
      </w:pPr>
      <w:rPr>
        <w:rFonts w:hint="default"/>
        <w:lang w:val="en-US" w:eastAsia="en-US" w:bidi="ar-SA"/>
      </w:rPr>
    </w:lvl>
    <w:lvl w:ilvl="7">
      <w:start w:val="0"/>
      <w:numFmt w:val="bullet"/>
      <w:lvlText w:val="•"/>
      <w:lvlJc w:val="left"/>
      <w:pPr>
        <w:ind w:left="3343" w:hanging="362"/>
      </w:pPr>
      <w:rPr>
        <w:rFonts w:hint="default"/>
        <w:lang w:val="en-US" w:eastAsia="en-US" w:bidi="ar-SA"/>
      </w:rPr>
    </w:lvl>
    <w:lvl w:ilvl="8">
      <w:start w:val="0"/>
      <w:numFmt w:val="bullet"/>
      <w:lvlText w:val="•"/>
      <w:lvlJc w:val="left"/>
      <w:pPr>
        <w:ind w:left="3741" w:hanging="362"/>
      </w:pPr>
      <w:rPr>
        <w:rFonts w:hint="default"/>
        <w:lang w:val="en-US" w:eastAsia="en-US" w:bidi="ar-SA"/>
      </w:rPr>
    </w:lvl>
  </w:abstractNum>
  <w:abstractNum w:abstractNumId="0">
    <w:multiLevelType w:val="hybridMultilevel"/>
    <w:lvl w:ilvl="0">
      <w:start w:val="1"/>
      <w:numFmt w:val="decimal"/>
      <w:lvlText w:val="%1."/>
      <w:lvlJc w:val="left"/>
      <w:pPr>
        <w:ind w:left="652" w:hanging="552"/>
        <w:jc w:val="left"/>
      </w:pPr>
      <w:rPr>
        <w:rFonts w:hint="default" w:ascii="Arial" w:hAnsi="Arial" w:eastAsia="Arial" w:cs="Arial"/>
        <w:b w:val="0"/>
        <w:bCs w:val="0"/>
        <w:i w:val="0"/>
        <w:iCs w:val="0"/>
        <w:spacing w:val="-1"/>
        <w:w w:val="102"/>
        <w:sz w:val="19"/>
        <w:szCs w:val="19"/>
        <w:lang w:val="en-US" w:eastAsia="en-US" w:bidi="ar-SA"/>
      </w:rPr>
    </w:lvl>
    <w:lvl w:ilvl="1">
      <w:start w:val="0"/>
      <w:numFmt w:val="bullet"/>
      <w:lvlText w:val="•"/>
      <w:lvlJc w:val="left"/>
      <w:pPr>
        <w:ind w:left="1524" w:hanging="552"/>
      </w:pPr>
      <w:rPr>
        <w:rFonts w:hint="default"/>
        <w:lang w:val="en-US" w:eastAsia="en-US" w:bidi="ar-SA"/>
      </w:rPr>
    </w:lvl>
    <w:lvl w:ilvl="2">
      <w:start w:val="0"/>
      <w:numFmt w:val="bullet"/>
      <w:lvlText w:val="•"/>
      <w:lvlJc w:val="left"/>
      <w:pPr>
        <w:ind w:left="2388" w:hanging="552"/>
      </w:pPr>
      <w:rPr>
        <w:rFonts w:hint="default"/>
        <w:lang w:val="en-US" w:eastAsia="en-US" w:bidi="ar-SA"/>
      </w:rPr>
    </w:lvl>
    <w:lvl w:ilvl="3">
      <w:start w:val="0"/>
      <w:numFmt w:val="bullet"/>
      <w:lvlText w:val="•"/>
      <w:lvlJc w:val="left"/>
      <w:pPr>
        <w:ind w:left="3253" w:hanging="552"/>
      </w:pPr>
      <w:rPr>
        <w:rFonts w:hint="default"/>
        <w:lang w:val="en-US" w:eastAsia="en-US" w:bidi="ar-SA"/>
      </w:rPr>
    </w:lvl>
    <w:lvl w:ilvl="4">
      <w:start w:val="0"/>
      <w:numFmt w:val="bullet"/>
      <w:lvlText w:val="•"/>
      <w:lvlJc w:val="left"/>
      <w:pPr>
        <w:ind w:left="4117" w:hanging="552"/>
      </w:pPr>
      <w:rPr>
        <w:rFonts w:hint="default"/>
        <w:lang w:val="en-US" w:eastAsia="en-US" w:bidi="ar-SA"/>
      </w:rPr>
    </w:lvl>
    <w:lvl w:ilvl="5">
      <w:start w:val="0"/>
      <w:numFmt w:val="bullet"/>
      <w:lvlText w:val="•"/>
      <w:lvlJc w:val="left"/>
      <w:pPr>
        <w:ind w:left="4982" w:hanging="552"/>
      </w:pPr>
      <w:rPr>
        <w:rFonts w:hint="default"/>
        <w:lang w:val="en-US" w:eastAsia="en-US" w:bidi="ar-SA"/>
      </w:rPr>
    </w:lvl>
    <w:lvl w:ilvl="6">
      <w:start w:val="0"/>
      <w:numFmt w:val="bullet"/>
      <w:lvlText w:val="•"/>
      <w:lvlJc w:val="left"/>
      <w:pPr>
        <w:ind w:left="5846" w:hanging="552"/>
      </w:pPr>
      <w:rPr>
        <w:rFonts w:hint="default"/>
        <w:lang w:val="en-US" w:eastAsia="en-US" w:bidi="ar-SA"/>
      </w:rPr>
    </w:lvl>
    <w:lvl w:ilvl="7">
      <w:start w:val="0"/>
      <w:numFmt w:val="bullet"/>
      <w:lvlText w:val="•"/>
      <w:lvlJc w:val="left"/>
      <w:pPr>
        <w:ind w:left="6711" w:hanging="552"/>
      </w:pPr>
      <w:rPr>
        <w:rFonts w:hint="default"/>
        <w:lang w:val="en-US" w:eastAsia="en-US" w:bidi="ar-SA"/>
      </w:rPr>
    </w:lvl>
    <w:lvl w:ilvl="8">
      <w:start w:val="0"/>
      <w:numFmt w:val="bullet"/>
      <w:lvlText w:val="•"/>
      <w:lvlJc w:val="left"/>
      <w:pPr>
        <w:ind w:left="7575" w:hanging="55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ListParagraph" w:type="paragraph">
    <w:name w:val="List Paragraph"/>
    <w:basedOn w:val="Normal"/>
    <w:uiPriority w:val="1"/>
    <w:qFormat/>
    <w:pPr>
      <w:ind w:left="652" w:right="99" w:hanging="552"/>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10 – Annex 10a - UAE’s Schedule of Commitments on Entry and Temporary Stay for Business Persons</dc:title>
  <dc:creator>DFAT</dc:creator>
  <dcterms:created xsi:type="dcterms:W3CDTF">2024-11-04T06:10:09Z</dcterms:created>
  <dcterms:modified xsi:type="dcterms:W3CDTF">2024-11-04T06:10:09Z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PScript5.dll Version 5.2.2</vt:lpwstr>
  </property>
  <property fmtid="{D5CDD505-2E9C-101B-9397-08002B2CF9AE}" pid="4" name="LastSaved">
    <vt:filetime>2024-11-04T00:00:00Z</vt:filetime>
  </property>
  <property fmtid="{D5CDD505-2E9C-101B-9397-08002B2CF9AE}" pid="5" name="Producer">
    <vt:lpwstr>Acrobat Distiller 24.0 (Windows)</vt:lpwstr>
  </property>
</Properties>
</file>