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B7059" w14:textId="77777777" w:rsidR="006520CB" w:rsidRPr="00085F4F" w:rsidRDefault="006520CB" w:rsidP="00F44D38">
      <w:pPr>
        <w:spacing w:after="0" w:line="240" w:lineRule="auto"/>
        <w:rPr>
          <w:rFonts w:ascii="Arial" w:hAnsi="Arial" w:cs="Arial"/>
        </w:rPr>
      </w:pPr>
    </w:p>
    <w:p w14:paraId="68E2DD55" w14:textId="77777777" w:rsidR="000A68E3" w:rsidRDefault="006520CB" w:rsidP="000A68E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42B6">
        <w:rPr>
          <w:rFonts w:ascii="Arial" w:hAnsi="Arial" w:cs="Arial"/>
          <w:b/>
          <w:bCs/>
          <w:sz w:val="24"/>
          <w:szCs w:val="24"/>
        </w:rPr>
        <w:t xml:space="preserve">CHAPTER </w:t>
      </w:r>
      <w:r w:rsidR="006F4F21">
        <w:rPr>
          <w:rFonts w:ascii="Arial" w:hAnsi="Arial" w:cs="Arial"/>
          <w:b/>
          <w:bCs/>
          <w:sz w:val="24"/>
          <w:szCs w:val="24"/>
        </w:rPr>
        <w:t>11</w:t>
      </w:r>
    </w:p>
    <w:p w14:paraId="19BFA929" w14:textId="0F676C68" w:rsidR="006520CB" w:rsidRPr="00A942B6" w:rsidRDefault="006520CB" w:rsidP="00A942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42B6">
        <w:rPr>
          <w:rFonts w:ascii="Arial" w:hAnsi="Arial" w:cs="Arial"/>
          <w:b/>
          <w:bCs/>
          <w:sz w:val="24"/>
          <w:szCs w:val="24"/>
        </w:rPr>
        <w:br/>
      </w:r>
      <w:r w:rsidR="004B5A67" w:rsidRPr="00A942B6">
        <w:rPr>
          <w:rFonts w:ascii="Arial" w:hAnsi="Arial" w:cs="Arial"/>
          <w:b/>
          <w:bCs/>
          <w:sz w:val="24"/>
          <w:szCs w:val="24"/>
        </w:rPr>
        <w:t>INVESTMENT FACILITATION</w:t>
      </w:r>
    </w:p>
    <w:p w14:paraId="78428FDF" w14:textId="77777777" w:rsidR="004B5A67" w:rsidRDefault="004B5A67" w:rsidP="00A942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F96D16" w14:textId="77777777" w:rsidR="00AC10A8" w:rsidRPr="00A942B6" w:rsidRDefault="00AC10A8" w:rsidP="00A942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C94DB4" w14:textId="1B7DEB1C" w:rsidR="006520CB" w:rsidRPr="00A942B6" w:rsidRDefault="00FA16FE" w:rsidP="00A942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42B6">
        <w:rPr>
          <w:rFonts w:ascii="Arial" w:hAnsi="Arial" w:cs="Arial"/>
          <w:b/>
          <w:bCs/>
          <w:sz w:val="24"/>
          <w:szCs w:val="24"/>
        </w:rPr>
        <w:t xml:space="preserve">Article </w:t>
      </w:r>
      <w:r w:rsidR="006F4F21">
        <w:rPr>
          <w:rFonts w:ascii="Arial" w:hAnsi="Arial" w:cs="Arial"/>
          <w:b/>
          <w:bCs/>
          <w:sz w:val="24"/>
          <w:szCs w:val="24"/>
        </w:rPr>
        <w:t>11</w:t>
      </w:r>
      <w:r w:rsidR="006520CB" w:rsidRPr="00A942B6">
        <w:rPr>
          <w:rFonts w:ascii="Arial" w:hAnsi="Arial" w:cs="Arial"/>
          <w:b/>
          <w:bCs/>
          <w:sz w:val="24"/>
          <w:szCs w:val="24"/>
        </w:rPr>
        <w:t>.1</w:t>
      </w:r>
    </w:p>
    <w:p w14:paraId="47E79243" w14:textId="19E2FAD8" w:rsidR="0084765C" w:rsidRPr="00A942B6" w:rsidRDefault="0084765C" w:rsidP="00A942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42B6">
        <w:rPr>
          <w:rFonts w:ascii="Arial" w:hAnsi="Arial" w:cs="Arial"/>
          <w:b/>
          <w:bCs/>
          <w:sz w:val="24"/>
          <w:szCs w:val="24"/>
          <w:lang w:val="en-AE"/>
        </w:rPr>
        <w:t>Australia-UAE Investment Agreement</w:t>
      </w:r>
    </w:p>
    <w:p w14:paraId="6C871E67" w14:textId="77777777" w:rsidR="006D72DC" w:rsidRPr="00A942B6" w:rsidRDefault="006D72DC" w:rsidP="00A942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E262C7" w14:textId="4172AA22" w:rsidR="006D72DC" w:rsidRPr="00A942B6" w:rsidRDefault="006D72DC" w:rsidP="00A942B6">
      <w:pPr>
        <w:spacing w:after="0" w:line="240" w:lineRule="auto"/>
        <w:jc w:val="both"/>
        <w:rPr>
          <w:rFonts w:ascii="Arial" w:eastAsia="Times New Roman" w:hAnsi="Arial" w:cs="Arial"/>
          <w:kern w:val="24"/>
          <w:sz w:val="24"/>
          <w:szCs w:val="24"/>
          <w14:ligatures w14:val="none"/>
        </w:rPr>
      </w:pPr>
      <w:r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>The Parties acknowledge</w:t>
      </w:r>
      <w:r w:rsidR="0084765C"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 xml:space="preserve"> </w:t>
      </w:r>
      <w:r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>that</w:t>
      </w:r>
      <w:r w:rsidR="00A55366">
        <w:rPr>
          <w:rFonts w:ascii="Arial" w:eastAsia="Times New Roman" w:hAnsi="Arial" w:cs="Arial"/>
          <w:kern w:val="24"/>
          <w:sz w:val="24"/>
          <w:szCs w:val="24"/>
          <w14:ligatures w14:val="none"/>
        </w:rPr>
        <w:t>,</w:t>
      </w:r>
      <w:r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 xml:space="preserve"> in addition to the provisions </w:t>
      </w:r>
      <w:r w:rsidR="00C774CE">
        <w:rPr>
          <w:rFonts w:ascii="Arial" w:eastAsia="Times New Roman" w:hAnsi="Arial" w:cs="Arial"/>
          <w:kern w:val="24"/>
          <w:sz w:val="24"/>
          <w:szCs w:val="24"/>
          <w14:ligatures w14:val="none"/>
        </w:rPr>
        <w:t>of</w:t>
      </w:r>
      <w:r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 xml:space="preserve"> this Chapter</w:t>
      </w:r>
      <w:r w:rsidR="00A55366">
        <w:rPr>
          <w:rFonts w:ascii="Arial" w:eastAsia="Times New Roman" w:hAnsi="Arial" w:cs="Arial"/>
          <w:kern w:val="24"/>
          <w:sz w:val="24"/>
          <w:szCs w:val="24"/>
          <w14:ligatures w14:val="none"/>
        </w:rPr>
        <w:t>,</w:t>
      </w:r>
      <w:r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 xml:space="preserve"> they have concluded</w:t>
      </w:r>
      <w:r w:rsidR="003F3E97"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>,</w:t>
      </w:r>
      <w:r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 xml:space="preserve"> </w:t>
      </w:r>
      <w:r w:rsidR="0084765C"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>concurrently with this Agreement</w:t>
      </w:r>
      <w:r w:rsidR="003F3E97"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>,</w:t>
      </w:r>
      <w:r w:rsidR="0084765C"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 xml:space="preserve"> </w:t>
      </w:r>
      <w:r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 xml:space="preserve">a separate </w:t>
      </w:r>
      <w:r w:rsidR="00574CE8" w:rsidRPr="00A942B6">
        <w:rPr>
          <w:rFonts w:ascii="Arial" w:eastAsia="Times New Roman" w:hAnsi="Arial" w:cs="Arial"/>
          <w:i/>
          <w:iCs/>
          <w:kern w:val="24"/>
          <w:sz w:val="24"/>
          <w:szCs w:val="24"/>
          <w14:ligatures w14:val="none"/>
        </w:rPr>
        <w:t>A</w:t>
      </w:r>
      <w:r w:rsidRPr="00A942B6">
        <w:rPr>
          <w:rFonts w:ascii="Arial" w:eastAsia="Times New Roman" w:hAnsi="Arial" w:cs="Arial"/>
          <w:i/>
          <w:iCs/>
          <w:kern w:val="24"/>
          <w:sz w:val="24"/>
          <w:szCs w:val="24"/>
          <w14:ligatures w14:val="none"/>
        </w:rPr>
        <w:t xml:space="preserve">greement </w:t>
      </w:r>
      <w:r w:rsidR="00574CE8">
        <w:rPr>
          <w:rFonts w:ascii="Arial" w:eastAsia="Times New Roman" w:hAnsi="Arial" w:cs="Arial"/>
          <w:i/>
          <w:iCs/>
          <w:kern w:val="24"/>
          <w:sz w:val="24"/>
          <w:szCs w:val="24"/>
          <w14:ligatures w14:val="none"/>
        </w:rPr>
        <w:t>b</w:t>
      </w:r>
      <w:r w:rsidRPr="00A942B6">
        <w:rPr>
          <w:rFonts w:ascii="Arial" w:eastAsia="Times New Roman" w:hAnsi="Arial" w:cs="Arial"/>
          <w:i/>
          <w:iCs/>
          <w:kern w:val="24"/>
          <w:sz w:val="24"/>
          <w:szCs w:val="24"/>
          <w14:ligatures w14:val="none"/>
        </w:rPr>
        <w:t xml:space="preserve">etween the </w:t>
      </w:r>
      <w:r w:rsidR="004543CB">
        <w:rPr>
          <w:rFonts w:ascii="Arial" w:eastAsia="Times New Roman" w:hAnsi="Arial" w:cs="Arial"/>
          <w:i/>
          <w:iCs/>
          <w:kern w:val="24"/>
          <w:sz w:val="24"/>
          <w:szCs w:val="24"/>
          <w14:ligatures w14:val="none"/>
        </w:rPr>
        <w:t xml:space="preserve">Government of the United Arab Emirates and the </w:t>
      </w:r>
      <w:r w:rsidRPr="00A942B6">
        <w:rPr>
          <w:rFonts w:ascii="Arial" w:eastAsia="Times New Roman" w:hAnsi="Arial" w:cs="Arial"/>
          <w:i/>
          <w:iCs/>
          <w:kern w:val="24"/>
          <w:sz w:val="24"/>
          <w:szCs w:val="24"/>
          <w14:ligatures w14:val="none"/>
        </w:rPr>
        <w:t xml:space="preserve">Government of Australia </w:t>
      </w:r>
      <w:r w:rsidR="00AB49AD">
        <w:rPr>
          <w:rFonts w:ascii="Arial" w:eastAsia="Times New Roman" w:hAnsi="Arial" w:cs="Arial"/>
          <w:i/>
          <w:iCs/>
          <w:kern w:val="24"/>
          <w:sz w:val="24"/>
          <w:szCs w:val="24"/>
          <w14:ligatures w14:val="none"/>
        </w:rPr>
        <w:t xml:space="preserve">on </w:t>
      </w:r>
      <w:r w:rsidR="00186CDD">
        <w:rPr>
          <w:rFonts w:ascii="Arial" w:eastAsia="Times New Roman" w:hAnsi="Arial" w:cs="Arial"/>
          <w:i/>
          <w:iCs/>
          <w:kern w:val="24"/>
          <w:sz w:val="24"/>
          <w:szCs w:val="24"/>
          <w14:ligatures w14:val="none"/>
        </w:rPr>
        <w:t xml:space="preserve">the </w:t>
      </w:r>
      <w:r w:rsidRPr="00A942B6">
        <w:rPr>
          <w:rFonts w:ascii="Arial" w:eastAsia="Times New Roman" w:hAnsi="Arial" w:cs="Arial"/>
          <w:i/>
          <w:iCs/>
          <w:kern w:val="24"/>
          <w:sz w:val="24"/>
          <w:szCs w:val="24"/>
          <w14:ligatures w14:val="none"/>
        </w:rPr>
        <w:t>Promotion and Protection of Investments</w:t>
      </w:r>
      <w:r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 xml:space="preserve"> (“Australia-UAE Investment Agreement”)</w:t>
      </w:r>
      <w:r w:rsidR="00C0152B"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>.</w:t>
      </w:r>
    </w:p>
    <w:p w14:paraId="5641D545" w14:textId="77777777" w:rsidR="00A7081F" w:rsidRPr="00A942B6" w:rsidRDefault="00A7081F" w:rsidP="00A942B6">
      <w:pPr>
        <w:spacing w:after="0" w:line="240" w:lineRule="auto"/>
        <w:jc w:val="both"/>
        <w:rPr>
          <w:rFonts w:ascii="Arial" w:hAnsi="Arial" w:cs="Arial"/>
          <w:color w:val="4472C4" w:themeColor="accent5"/>
          <w:sz w:val="24"/>
          <w:szCs w:val="24"/>
        </w:rPr>
      </w:pPr>
    </w:p>
    <w:p w14:paraId="012C36F3" w14:textId="77777777" w:rsidR="006520CB" w:rsidRPr="00F44D38" w:rsidRDefault="006520CB" w:rsidP="00A942B6">
      <w:pPr>
        <w:spacing w:after="0" w:line="240" w:lineRule="auto"/>
        <w:rPr>
          <w:rFonts w:ascii="Arial" w:hAnsi="Arial" w:cs="Arial"/>
          <w:color w:val="5B9BD5" w:themeColor="accent1"/>
          <w:sz w:val="24"/>
          <w:szCs w:val="24"/>
        </w:rPr>
      </w:pPr>
    </w:p>
    <w:p w14:paraId="5585E801" w14:textId="3DC0F9A5" w:rsidR="006520CB" w:rsidRPr="00A942B6" w:rsidRDefault="006520CB" w:rsidP="00A942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42B6">
        <w:rPr>
          <w:rFonts w:ascii="Arial" w:hAnsi="Arial" w:cs="Arial"/>
          <w:b/>
          <w:bCs/>
          <w:sz w:val="24"/>
          <w:szCs w:val="24"/>
        </w:rPr>
        <w:t xml:space="preserve">Article </w:t>
      </w:r>
      <w:r w:rsidR="006F4F21">
        <w:rPr>
          <w:rFonts w:ascii="Arial" w:hAnsi="Arial" w:cs="Arial"/>
          <w:b/>
          <w:bCs/>
          <w:sz w:val="24"/>
          <w:szCs w:val="24"/>
        </w:rPr>
        <w:t>11</w:t>
      </w:r>
      <w:r w:rsidR="004B5A67" w:rsidRPr="00A942B6">
        <w:rPr>
          <w:rFonts w:ascii="Arial" w:hAnsi="Arial" w:cs="Arial"/>
          <w:b/>
          <w:bCs/>
          <w:sz w:val="24"/>
          <w:szCs w:val="24"/>
        </w:rPr>
        <w:t>.2</w:t>
      </w:r>
    </w:p>
    <w:p w14:paraId="0D22559E" w14:textId="77777777" w:rsidR="006520CB" w:rsidRPr="00A942B6" w:rsidRDefault="006520CB" w:rsidP="00A942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42B6">
        <w:rPr>
          <w:rFonts w:ascii="Arial" w:hAnsi="Arial" w:cs="Arial"/>
          <w:b/>
          <w:bCs/>
          <w:sz w:val="24"/>
          <w:szCs w:val="24"/>
        </w:rPr>
        <w:t>Promotion of Investment</w:t>
      </w:r>
    </w:p>
    <w:p w14:paraId="793B4D69" w14:textId="77777777" w:rsidR="006520CB" w:rsidRPr="00A942B6" w:rsidRDefault="006520CB" w:rsidP="00A942B6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highlight w:val="yellow"/>
        </w:rPr>
      </w:pPr>
    </w:p>
    <w:p w14:paraId="7315AC21" w14:textId="239A15D3" w:rsidR="006520CB" w:rsidRPr="00A942B6" w:rsidRDefault="00233F07" w:rsidP="00F44D3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kern w:val="24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24"/>
          <w:sz w:val="24"/>
          <w:szCs w:val="24"/>
          <w14:ligatures w14:val="none"/>
        </w:rPr>
        <w:t>1.</w:t>
      </w:r>
      <w:r>
        <w:rPr>
          <w:rFonts w:ascii="Arial" w:eastAsia="Times New Roman" w:hAnsi="Arial" w:cs="Arial"/>
          <w:kern w:val="24"/>
          <w:sz w:val="24"/>
          <w:szCs w:val="24"/>
          <w14:ligatures w14:val="none"/>
        </w:rPr>
        <w:tab/>
      </w:r>
      <w:r w:rsidR="006520CB"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>The Parties affirm their desire to promote an attractive investment climate and expand trade in products and services.</w:t>
      </w:r>
      <w:r w:rsid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 xml:space="preserve"> In this regard, </w:t>
      </w:r>
      <w:r w:rsidR="006520CB"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>the Parties shall take appropriate measures to</w:t>
      </w:r>
      <w:r w:rsidR="00140657" w:rsidRPr="00A942B6">
        <w:rPr>
          <w:rFonts w:ascii="Arial" w:eastAsia="Times New Roman" w:hAnsi="Arial" w:cs="Arial"/>
          <w:kern w:val="24"/>
          <w:sz w:val="24"/>
          <w:szCs w:val="24"/>
          <w14:ligatures w14:val="none"/>
        </w:rPr>
        <w:t xml:space="preserve"> </w:t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promote an attractive investment climate, including by:</w:t>
      </w:r>
    </w:p>
    <w:p w14:paraId="460A80B8" w14:textId="77777777" w:rsidR="00AC10A8" w:rsidRPr="00A942B6" w:rsidRDefault="00AC10A8" w:rsidP="00F44D38">
      <w:pPr>
        <w:spacing w:after="0" w:line="240" w:lineRule="auto"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</w:p>
    <w:p w14:paraId="217958EA" w14:textId="4A727457" w:rsidR="006520CB" w:rsidRDefault="00780BC2" w:rsidP="00A942B6">
      <w:pPr>
        <w:tabs>
          <w:tab w:val="left" w:pos="567"/>
        </w:tabs>
        <w:spacing w:after="0" w:line="240" w:lineRule="auto"/>
        <w:ind w:left="1130" w:hanging="1130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AC10A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(a)</w:t>
      </w:r>
      <w:r w:rsidR="00AC10A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encouraging investments between the Parties, especially those that will support decarbonisation efforts and the development of clean technologies;</w:t>
      </w:r>
    </w:p>
    <w:p w14:paraId="48179941" w14:textId="77777777" w:rsidR="00AC10A8" w:rsidRPr="00A942B6" w:rsidRDefault="00AC10A8" w:rsidP="00A942B6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</w:p>
    <w:p w14:paraId="4754C447" w14:textId="17CB885E" w:rsidR="006520CB" w:rsidRPr="00A942B6" w:rsidRDefault="00780BC2" w:rsidP="00A942B6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AC10A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(b)</w:t>
      </w:r>
      <w:r w:rsidR="00AC10A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encouraging investment in partnership with First Nations people</w:t>
      </w:r>
      <w:r w:rsidR="002E2CE2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;</w:t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 </w:t>
      </w:r>
    </w:p>
    <w:p w14:paraId="4F1E149B" w14:textId="77777777" w:rsidR="00AC10A8" w:rsidRDefault="00AC10A8" w:rsidP="000A68E3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</w:p>
    <w:p w14:paraId="19FAA545" w14:textId="25D37F57" w:rsidR="006520CB" w:rsidRPr="00A942B6" w:rsidRDefault="00780BC2" w:rsidP="00A942B6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AC10A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(c)</w:t>
      </w:r>
      <w:r w:rsidR="00AC10A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organising joint investment promotion activities;</w:t>
      </w:r>
    </w:p>
    <w:p w14:paraId="69B0A5EB" w14:textId="77777777" w:rsidR="00AC10A8" w:rsidRDefault="00AC10A8" w:rsidP="000A68E3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</w:p>
    <w:p w14:paraId="3FA31ADD" w14:textId="5FB9EEF5" w:rsidR="006520CB" w:rsidRPr="00A942B6" w:rsidRDefault="00780BC2" w:rsidP="00A942B6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AC10A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(d)</w:t>
      </w:r>
      <w:r w:rsidR="00AC10A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promoting business matching events;</w:t>
      </w:r>
    </w:p>
    <w:p w14:paraId="283152B1" w14:textId="77777777" w:rsidR="00AC10A8" w:rsidRDefault="00AC10A8" w:rsidP="000A68E3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</w:p>
    <w:p w14:paraId="6F4A5F1B" w14:textId="1A29A2CC" w:rsidR="006520CB" w:rsidRPr="00A942B6" w:rsidRDefault="00780BC2" w:rsidP="00A942B6">
      <w:pPr>
        <w:tabs>
          <w:tab w:val="left" w:pos="567"/>
        </w:tabs>
        <w:spacing w:after="0" w:line="240" w:lineRule="auto"/>
        <w:ind w:left="1130" w:hanging="1130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AC10A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(e)</w:t>
      </w:r>
      <w:r w:rsidR="00AC10A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promoting cooperation with relevant government agencies to expand opportunities for business and industry; and</w:t>
      </w:r>
    </w:p>
    <w:p w14:paraId="50795471" w14:textId="77777777" w:rsidR="00AC10A8" w:rsidRDefault="00AC10A8" w:rsidP="000A68E3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</w:p>
    <w:p w14:paraId="132F9250" w14:textId="65A0ECD6" w:rsidR="006520CB" w:rsidRPr="00A942B6" w:rsidRDefault="00780BC2" w:rsidP="00A942B6">
      <w:pPr>
        <w:tabs>
          <w:tab w:val="left" w:pos="567"/>
        </w:tabs>
        <w:spacing w:after="0" w:line="240" w:lineRule="auto"/>
        <w:ind w:left="1130" w:hanging="1130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AC10A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(f)</w:t>
      </w:r>
      <w:r w:rsidR="00AC10A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conducting information exchanges on other issues of mutual </w:t>
      </w:r>
      <w:r w:rsidR="00140657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interest</w:t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 relating to investment </w:t>
      </w:r>
      <w:r w:rsidR="00140657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opportunities </w:t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between the Parties.</w:t>
      </w:r>
    </w:p>
    <w:p w14:paraId="230CB226" w14:textId="77777777" w:rsidR="006520CB" w:rsidRDefault="006520CB" w:rsidP="00F44D38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9E82EBF" w14:textId="77777777" w:rsidR="00827ED2" w:rsidRPr="00A942B6" w:rsidRDefault="00827ED2" w:rsidP="00A942B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91B204A" w14:textId="02068EA4" w:rsidR="006520CB" w:rsidRPr="00A942B6" w:rsidRDefault="006520CB" w:rsidP="00A942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42B6">
        <w:rPr>
          <w:rFonts w:ascii="Arial" w:hAnsi="Arial" w:cs="Arial"/>
          <w:b/>
          <w:bCs/>
          <w:sz w:val="24"/>
          <w:szCs w:val="24"/>
        </w:rPr>
        <w:t xml:space="preserve">Article </w:t>
      </w:r>
      <w:r w:rsidR="006F4F21">
        <w:rPr>
          <w:rFonts w:ascii="Arial" w:hAnsi="Arial" w:cs="Arial"/>
          <w:b/>
          <w:bCs/>
          <w:sz w:val="24"/>
          <w:szCs w:val="24"/>
        </w:rPr>
        <w:t>11</w:t>
      </w:r>
      <w:r w:rsidR="00A268E3" w:rsidRPr="00A942B6">
        <w:rPr>
          <w:rFonts w:ascii="Arial" w:hAnsi="Arial" w:cs="Arial"/>
          <w:b/>
          <w:bCs/>
          <w:sz w:val="24"/>
          <w:szCs w:val="24"/>
        </w:rPr>
        <w:t>.3</w:t>
      </w:r>
    </w:p>
    <w:p w14:paraId="60B29178" w14:textId="77777777" w:rsidR="006520CB" w:rsidRPr="00A942B6" w:rsidRDefault="006520CB" w:rsidP="00A942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42B6">
        <w:rPr>
          <w:rFonts w:ascii="Arial" w:hAnsi="Arial" w:cs="Arial"/>
          <w:b/>
          <w:bCs/>
          <w:sz w:val="24"/>
          <w:szCs w:val="24"/>
        </w:rPr>
        <w:t>Facilitation of Investment</w:t>
      </w:r>
    </w:p>
    <w:p w14:paraId="3D839996" w14:textId="77777777" w:rsidR="006520CB" w:rsidRPr="00A942B6" w:rsidRDefault="006520CB" w:rsidP="00A942B6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7CA7E608" w14:textId="38F927D5" w:rsidR="006520CB" w:rsidRPr="00A942B6" w:rsidRDefault="00AC10A8" w:rsidP="00A942B6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1.</w:t>
      </w: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Subject to its laws and regulations, each Party shall endeavour to secure favourable conditions necessary to facilitate long-term investment relationships between the Parties, including by:</w:t>
      </w:r>
    </w:p>
    <w:p w14:paraId="27EB6E6C" w14:textId="77777777" w:rsidR="00AC10A8" w:rsidRDefault="00AC10A8" w:rsidP="000A68E3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</w:p>
    <w:p w14:paraId="5030B93E" w14:textId="41633E52" w:rsidR="006520CB" w:rsidRPr="00A942B6" w:rsidRDefault="00AC10A8" w:rsidP="00A942B6">
      <w:pPr>
        <w:tabs>
          <w:tab w:val="left" w:pos="567"/>
        </w:tabs>
        <w:spacing w:after="0" w:line="240" w:lineRule="auto"/>
        <w:ind w:left="1130" w:hanging="1130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  <w:t>(a)</w:t>
      </w: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ensuring that all relevant measures of general application with respect to matters within the scope of this </w:t>
      </w:r>
      <w:r w:rsidR="000F170C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C</w:t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hapter are administered in a reasonable, objective and impartial manner</w:t>
      </w:r>
      <w:r w:rsidR="007E20C1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;</w:t>
      </w:r>
    </w:p>
    <w:p w14:paraId="199FD56D" w14:textId="77777777" w:rsidR="00AC10A8" w:rsidRDefault="00AC10A8" w:rsidP="000A68E3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</w:p>
    <w:p w14:paraId="783F4E92" w14:textId="175AA30A" w:rsidR="006520CB" w:rsidRPr="00A942B6" w:rsidRDefault="00AC10A8" w:rsidP="00A942B6">
      <w:pPr>
        <w:tabs>
          <w:tab w:val="left" w:pos="567"/>
        </w:tabs>
        <w:spacing w:after="0" w:line="240" w:lineRule="auto"/>
        <w:ind w:left="1130" w:hanging="1130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lastRenderedPageBreak/>
        <w:tab/>
        <w:t>(b)</w:t>
      </w: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ensuring that all relevant measures of general application with respect to matters within the scope of this </w:t>
      </w:r>
      <w:r w:rsidR="000F170C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C</w:t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hapter are promptly published, or otherwise made publicly available;</w:t>
      </w:r>
      <w:r w:rsidR="00A930DC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 and</w:t>
      </w:r>
    </w:p>
    <w:p w14:paraId="062ACE65" w14:textId="77777777" w:rsidR="00AC10A8" w:rsidRDefault="00AC10A8" w:rsidP="000A68E3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</w:p>
    <w:p w14:paraId="2FB62915" w14:textId="3C38278F" w:rsidR="006520CB" w:rsidRPr="00A942B6" w:rsidRDefault="00AC10A8" w:rsidP="00A942B6">
      <w:pPr>
        <w:tabs>
          <w:tab w:val="left" w:pos="567"/>
        </w:tabs>
        <w:spacing w:after="0" w:line="240" w:lineRule="auto"/>
        <w:ind w:left="1130" w:hanging="1130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  <w:t>(c)</w:t>
      </w: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otherwise promoting the dissemination of investment information, including investment policies, procedures and informational materials</w:t>
      </w:r>
      <w:r w:rsidR="00A930DC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.</w:t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 </w:t>
      </w:r>
    </w:p>
    <w:p w14:paraId="55FA44F5" w14:textId="77777777" w:rsidR="006520CB" w:rsidRPr="00A942B6" w:rsidRDefault="006520CB" w:rsidP="00A942B6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color w:val="5B9BD5" w:themeColor="accent1"/>
          <w:kern w:val="24"/>
          <w:sz w:val="24"/>
          <w:szCs w:val="24"/>
          <w:lang w:bidi="en-US"/>
          <w14:ligatures w14:val="none"/>
        </w:rPr>
      </w:pPr>
    </w:p>
    <w:p w14:paraId="7D397FEA" w14:textId="1CD3E14F" w:rsidR="00923957" w:rsidRPr="00A942B6" w:rsidRDefault="00AC10A8" w:rsidP="00A942B6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2.</w:t>
      </w: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923957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To the extent possible, subject to its laws and regulations, a Party</w:t>
      </w:r>
      <w:r w:rsidR="0008073A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’</w:t>
      </w:r>
      <w:r w:rsidR="00923957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s activities under paragraph 1 may include providing voluntary assistance in resolving difficulties experienced by investors of the other Party impacting their covered investments.</w:t>
      </w:r>
    </w:p>
    <w:p w14:paraId="0CCB0682" w14:textId="6A540739" w:rsidR="00AC10A8" w:rsidRPr="00A942B6" w:rsidRDefault="00AC10A8" w:rsidP="00A942B6">
      <w:pPr>
        <w:tabs>
          <w:tab w:val="left" w:pos="567"/>
        </w:tabs>
        <w:spacing w:after="0" w:line="240" w:lineRule="auto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</w:p>
    <w:p w14:paraId="01ED22BF" w14:textId="39489D67" w:rsidR="006520CB" w:rsidRPr="00A942B6" w:rsidRDefault="00AC10A8" w:rsidP="00A942B6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3.</w:t>
      </w: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The Parties shall endeavour to facilitate meetings between their respective competent authorities aimed at exchanging knowledge and approaches to better facilitate investment in priority </w:t>
      </w:r>
      <w:r w:rsidR="002E2CE2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sectors and</w:t>
      </w:r>
      <w:r w:rsidR="00464735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 support the development of clean technologies</w:t>
      </w:r>
      <w:r w:rsidR="002E2CE2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. </w:t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This includes </w:t>
      </w:r>
      <w:r w:rsidR="00FE33CA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exchanging </w:t>
      </w:r>
      <w:r w:rsidR="006520CB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knowledge and approaches to engaging and partnering with </w:t>
      </w:r>
      <w:r w:rsidR="002E2CE2" w:rsidRPr="00A942B6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First Nations people.</w:t>
      </w:r>
    </w:p>
    <w:p w14:paraId="15E5C25E" w14:textId="77777777" w:rsidR="006520CB" w:rsidRPr="00A942B6" w:rsidRDefault="006520CB" w:rsidP="00A942B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A5E56CF" w14:textId="77777777" w:rsidR="006520CB" w:rsidRPr="00A942B6" w:rsidRDefault="006520CB" w:rsidP="00A942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AF3B0A" w14:textId="448B6672" w:rsidR="006520CB" w:rsidRPr="00A942B6" w:rsidRDefault="006520CB" w:rsidP="00A942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42B6">
        <w:rPr>
          <w:rFonts w:ascii="Arial" w:hAnsi="Arial" w:cs="Arial"/>
          <w:b/>
          <w:bCs/>
          <w:sz w:val="24"/>
          <w:szCs w:val="24"/>
        </w:rPr>
        <w:t xml:space="preserve">Article </w:t>
      </w:r>
      <w:r w:rsidR="006F4F21">
        <w:rPr>
          <w:rFonts w:ascii="Arial" w:hAnsi="Arial" w:cs="Arial"/>
          <w:b/>
          <w:bCs/>
          <w:sz w:val="24"/>
          <w:szCs w:val="24"/>
        </w:rPr>
        <w:t>11</w:t>
      </w:r>
      <w:r w:rsidR="00A268E3" w:rsidRPr="00A942B6">
        <w:rPr>
          <w:rFonts w:ascii="Arial" w:hAnsi="Arial" w:cs="Arial"/>
          <w:b/>
          <w:bCs/>
          <w:sz w:val="24"/>
          <w:szCs w:val="24"/>
        </w:rPr>
        <w:t>.4</w:t>
      </w:r>
    </w:p>
    <w:p w14:paraId="0278E626" w14:textId="77777777" w:rsidR="006520CB" w:rsidRPr="00A942B6" w:rsidRDefault="006520CB" w:rsidP="00A942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42B6">
        <w:rPr>
          <w:rFonts w:ascii="Arial" w:hAnsi="Arial" w:cs="Arial"/>
          <w:b/>
          <w:bCs/>
          <w:sz w:val="24"/>
          <w:szCs w:val="24"/>
        </w:rPr>
        <w:t xml:space="preserve"> Investment and the Environment</w:t>
      </w:r>
    </w:p>
    <w:p w14:paraId="7321E86A" w14:textId="77777777" w:rsidR="006520CB" w:rsidRPr="00A942B6" w:rsidRDefault="006520CB" w:rsidP="00A942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DE1594" w14:textId="1269798E" w:rsidR="006520CB" w:rsidRPr="00F44D38" w:rsidRDefault="00AC10A8" w:rsidP="00C10B4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F0188">
        <w:rPr>
          <w:rFonts w:ascii="Arial" w:hAnsi="Arial" w:cs="Arial"/>
          <w:sz w:val="24"/>
          <w:szCs w:val="24"/>
        </w:rPr>
        <w:t>1.</w:t>
      </w:r>
      <w:r w:rsidRPr="000F0188">
        <w:rPr>
          <w:rFonts w:ascii="Arial" w:hAnsi="Arial" w:cs="Arial"/>
          <w:sz w:val="24"/>
          <w:szCs w:val="24"/>
        </w:rPr>
        <w:tab/>
      </w:r>
      <w:r w:rsidR="006520CB" w:rsidRPr="000F0188">
        <w:rPr>
          <w:rFonts w:ascii="Arial" w:hAnsi="Arial" w:cs="Arial"/>
          <w:sz w:val="24"/>
          <w:szCs w:val="24"/>
        </w:rPr>
        <w:t xml:space="preserve">The Parties recall the provisions of </w:t>
      </w:r>
      <w:r w:rsidR="009D1293" w:rsidRPr="000F0188">
        <w:rPr>
          <w:rFonts w:ascii="Arial" w:hAnsi="Arial" w:cs="Arial"/>
          <w:sz w:val="24"/>
          <w:szCs w:val="24"/>
        </w:rPr>
        <w:t>Chapter</w:t>
      </w:r>
      <w:r w:rsidR="006520CB" w:rsidRPr="000F0188">
        <w:rPr>
          <w:rFonts w:ascii="Arial" w:hAnsi="Arial" w:cs="Arial"/>
          <w:sz w:val="24"/>
          <w:szCs w:val="24"/>
        </w:rPr>
        <w:t xml:space="preserve"> </w:t>
      </w:r>
      <w:r w:rsidR="00BD1003" w:rsidRPr="000F0188">
        <w:rPr>
          <w:rFonts w:ascii="Arial" w:hAnsi="Arial" w:cs="Arial"/>
          <w:sz w:val="24"/>
          <w:szCs w:val="24"/>
        </w:rPr>
        <w:t>1</w:t>
      </w:r>
      <w:r w:rsidR="00741DFF" w:rsidRPr="000F0188">
        <w:rPr>
          <w:rFonts w:ascii="Arial" w:hAnsi="Arial" w:cs="Arial"/>
          <w:sz w:val="24"/>
          <w:szCs w:val="24"/>
        </w:rPr>
        <w:t>8</w:t>
      </w:r>
      <w:r w:rsidR="006520CB" w:rsidRPr="000F0188">
        <w:rPr>
          <w:rFonts w:ascii="Arial" w:hAnsi="Arial" w:cs="Arial"/>
          <w:sz w:val="24"/>
          <w:szCs w:val="24"/>
        </w:rPr>
        <w:t xml:space="preserve"> </w:t>
      </w:r>
      <w:r w:rsidR="00A268E3" w:rsidRPr="000F0188">
        <w:rPr>
          <w:rFonts w:ascii="Arial" w:hAnsi="Arial" w:cs="Arial"/>
          <w:sz w:val="24"/>
          <w:szCs w:val="24"/>
        </w:rPr>
        <w:t>(</w:t>
      </w:r>
      <w:r w:rsidR="006520CB" w:rsidRPr="000F0188">
        <w:rPr>
          <w:rFonts w:ascii="Arial" w:hAnsi="Arial" w:cs="Arial"/>
          <w:sz w:val="24"/>
          <w:szCs w:val="24"/>
        </w:rPr>
        <w:t>Environment and the Transition to Net Zero</w:t>
      </w:r>
      <w:r w:rsidR="00A268E3" w:rsidRPr="000F0188">
        <w:rPr>
          <w:rFonts w:ascii="Arial" w:hAnsi="Arial" w:cs="Arial"/>
          <w:sz w:val="24"/>
          <w:szCs w:val="24"/>
        </w:rPr>
        <w:t>)</w:t>
      </w:r>
      <w:r w:rsidR="006520CB" w:rsidRPr="000F0188">
        <w:rPr>
          <w:rFonts w:ascii="Arial" w:hAnsi="Arial" w:cs="Arial"/>
          <w:sz w:val="24"/>
          <w:szCs w:val="24"/>
        </w:rPr>
        <w:t xml:space="preserve"> that are applicable to promoting mutually supportive investment and environmental outcomes; </w:t>
      </w:r>
      <w:r w:rsidR="009D1293" w:rsidRPr="000F0188">
        <w:rPr>
          <w:rFonts w:ascii="Arial" w:hAnsi="Arial" w:cs="Arial"/>
          <w:sz w:val="24"/>
          <w:szCs w:val="24"/>
        </w:rPr>
        <w:t xml:space="preserve">and </w:t>
      </w:r>
      <w:r w:rsidR="00606C93" w:rsidRPr="000F0188">
        <w:rPr>
          <w:rFonts w:ascii="Arial" w:hAnsi="Arial" w:cs="Arial"/>
          <w:sz w:val="24"/>
          <w:szCs w:val="24"/>
        </w:rPr>
        <w:t>shall endeavo</w:t>
      </w:r>
      <w:r w:rsidR="007E20C1" w:rsidRPr="000F0188">
        <w:rPr>
          <w:rFonts w:ascii="Arial" w:hAnsi="Arial" w:cs="Arial"/>
          <w:sz w:val="24"/>
          <w:szCs w:val="24"/>
        </w:rPr>
        <w:t>u</w:t>
      </w:r>
      <w:r w:rsidR="00606C93" w:rsidRPr="000F0188">
        <w:rPr>
          <w:rFonts w:ascii="Arial" w:hAnsi="Arial" w:cs="Arial"/>
          <w:sz w:val="24"/>
          <w:szCs w:val="24"/>
        </w:rPr>
        <w:t xml:space="preserve">r to </w:t>
      </w:r>
      <w:r w:rsidR="006520CB" w:rsidRPr="000F0188">
        <w:rPr>
          <w:rFonts w:ascii="Arial" w:hAnsi="Arial" w:cs="Arial"/>
          <w:sz w:val="24"/>
          <w:szCs w:val="24"/>
        </w:rPr>
        <w:t>enhanc</w:t>
      </w:r>
      <w:r w:rsidR="00606C93" w:rsidRPr="000F0188">
        <w:rPr>
          <w:rFonts w:ascii="Arial" w:hAnsi="Arial" w:cs="Arial"/>
          <w:sz w:val="24"/>
          <w:szCs w:val="24"/>
        </w:rPr>
        <w:t>e</w:t>
      </w:r>
      <w:r w:rsidR="006520CB" w:rsidRPr="000F0188">
        <w:rPr>
          <w:rFonts w:ascii="Arial" w:hAnsi="Arial" w:cs="Arial"/>
          <w:sz w:val="24"/>
          <w:szCs w:val="24"/>
        </w:rPr>
        <w:t xml:space="preserve"> the capacities of the Parties to address investment</w:t>
      </w:r>
      <w:r w:rsidR="006520CB" w:rsidRPr="00F44D38">
        <w:rPr>
          <w:rFonts w:ascii="Arial" w:hAnsi="Arial" w:cs="Arial"/>
          <w:sz w:val="24"/>
          <w:szCs w:val="24"/>
        </w:rPr>
        <w:t>-related environmental issues, including through cooperation.</w:t>
      </w:r>
    </w:p>
    <w:p w14:paraId="40EED543" w14:textId="77777777" w:rsidR="006520CB" w:rsidRPr="00F44D38" w:rsidRDefault="006520CB" w:rsidP="00C10B42">
      <w:pPr>
        <w:spacing w:after="0" w:line="240" w:lineRule="auto"/>
        <w:rPr>
          <w:rFonts w:ascii="Arial" w:hAnsi="Arial" w:cs="Arial"/>
          <w:color w:val="5B9BD5" w:themeColor="accent1"/>
          <w:sz w:val="24"/>
          <w:szCs w:val="24"/>
        </w:rPr>
      </w:pPr>
    </w:p>
    <w:p w14:paraId="257846FB" w14:textId="382D56C3" w:rsidR="006520CB" w:rsidRPr="00C10B42" w:rsidRDefault="00DD4335" w:rsidP="00C10B4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6520CB" w:rsidRPr="00C10B42">
        <w:rPr>
          <w:rFonts w:ascii="Arial" w:hAnsi="Arial" w:cs="Arial"/>
          <w:sz w:val="24"/>
          <w:szCs w:val="24"/>
        </w:rPr>
        <w:t xml:space="preserve">The Parties further recall that </w:t>
      </w:r>
      <w:r w:rsidR="00BD1003" w:rsidRPr="00C10B42">
        <w:rPr>
          <w:rFonts w:ascii="Arial" w:hAnsi="Arial" w:cs="Arial"/>
          <w:sz w:val="24"/>
          <w:szCs w:val="24"/>
        </w:rPr>
        <w:t xml:space="preserve">the </w:t>
      </w:r>
      <w:r w:rsidR="006520CB" w:rsidRPr="00C10B42">
        <w:rPr>
          <w:rFonts w:ascii="Arial" w:hAnsi="Arial" w:cs="Arial"/>
          <w:sz w:val="24"/>
          <w:szCs w:val="24"/>
        </w:rPr>
        <w:t>provisions</w:t>
      </w:r>
      <w:r w:rsidR="00BD1003" w:rsidRPr="00C10B42">
        <w:rPr>
          <w:rFonts w:ascii="Arial" w:hAnsi="Arial" w:cs="Arial"/>
          <w:sz w:val="24"/>
          <w:szCs w:val="24"/>
        </w:rPr>
        <w:t xml:space="preserve"> referred to in paragraph 1</w:t>
      </w:r>
      <w:r w:rsidR="006520CB" w:rsidRPr="00C10B42">
        <w:rPr>
          <w:rFonts w:ascii="Arial" w:hAnsi="Arial" w:cs="Arial"/>
          <w:sz w:val="24"/>
          <w:szCs w:val="24"/>
        </w:rPr>
        <w:t xml:space="preserve"> include those applicable to:</w:t>
      </w:r>
    </w:p>
    <w:p w14:paraId="7DA203B6" w14:textId="77777777" w:rsidR="00AC10A8" w:rsidRDefault="00AC10A8" w:rsidP="00C10B42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</w:p>
    <w:p w14:paraId="1247C448" w14:textId="701EF389" w:rsidR="006520CB" w:rsidRPr="00C10B42" w:rsidRDefault="00AC10A8" w:rsidP="00C10B42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  <w:t>(a)</w:t>
      </w: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  <w:t>m</w:t>
      </w:r>
      <w:r w:rsidR="006520CB" w:rsidRPr="00C10B42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aintaining</w:t>
      </w:r>
      <w:r w:rsidR="00560CDD" w:rsidRPr="00C10B42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 </w:t>
      </w:r>
      <w:r w:rsidR="006520CB" w:rsidRPr="00C10B42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and enforcing domestic environmental law</w:t>
      </w:r>
      <w:r w:rsidR="004543CB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s</w:t>
      </w:r>
      <w:r w:rsidR="006520CB" w:rsidRPr="00C10B42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 and </w:t>
      </w:r>
      <w:r w:rsidR="00E1580D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regulations</w:t>
      </w:r>
      <w:r w:rsidR="006520CB" w:rsidRPr="00C10B42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;</w:t>
      </w:r>
    </w:p>
    <w:p w14:paraId="38ACC161" w14:textId="77777777" w:rsidR="00AC10A8" w:rsidRDefault="00AC10A8" w:rsidP="00C10B42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</w:p>
    <w:p w14:paraId="44DFEFD8" w14:textId="1D0A3035" w:rsidR="00AC10A8" w:rsidRDefault="00AC10A8" w:rsidP="00C10B42">
      <w:pPr>
        <w:tabs>
          <w:tab w:val="left" w:pos="567"/>
        </w:tabs>
        <w:spacing w:after="0" w:line="240" w:lineRule="auto"/>
        <w:ind w:left="1130" w:hanging="1130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  <w:t>(b)</w:t>
      </w: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6520CB" w:rsidRPr="00C10B42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recognising that it is inappropriate to </w:t>
      </w:r>
      <w:r w:rsidR="00606C93" w:rsidRPr="00C10B42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weaken</w:t>
      </w:r>
      <w:r w:rsidR="00540C5C" w:rsidRPr="00C10B42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 </w:t>
      </w:r>
      <w:r w:rsidR="00606C93" w:rsidRPr="00C10B42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or reduce the </w:t>
      </w:r>
      <w:r w:rsidR="00540C5C" w:rsidRPr="00C10B42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protection </w:t>
      </w:r>
      <w:r w:rsidR="00B9529F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afforded in their</w:t>
      </w:r>
      <w:r w:rsidR="00B9529F" w:rsidRPr="00F44D3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 </w:t>
      </w:r>
      <w:r w:rsidR="006520CB" w:rsidRPr="00F44D3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environmental law</w:t>
      </w:r>
      <w:r w:rsidR="001B220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s and regulations</w:t>
      </w:r>
      <w:r w:rsidR="006520CB" w:rsidRPr="00F44D3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 to encourage investment;</w:t>
      </w:r>
    </w:p>
    <w:p w14:paraId="399CA4CA" w14:textId="77777777" w:rsidR="00AC10A8" w:rsidRPr="00085F4F" w:rsidRDefault="00AC10A8" w:rsidP="00085F4F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</w:p>
    <w:p w14:paraId="03A40A5E" w14:textId="3E663987" w:rsidR="006520CB" w:rsidRPr="00F44D38" w:rsidRDefault="00AC10A8" w:rsidP="00085F4F">
      <w:pPr>
        <w:tabs>
          <w:tab w:val="left" w:pos="567"/>
        </w:tabs>
        <w:spacing w:after="0" w:line="240" w:lineRule="auto"/>
        <w:ind w:left="1130" w:hanging="1130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  <w:t>(c)</w:t>
      </w: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6520CB" w:rsidRPr="00F44D3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commitments under multilateral environmental agreements</w:t>
      </w:r>
      <w:r w:rsidR="00FC2E2B" w:rsidRPr="00F44D3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 xml:space="preserve"> to which </w:t>
      </w:r>
      <w:r w:rsidR="00540C5C" w:rsidRPr="00F44D3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they are party</w:t>
      </w:r>
      <w:r w:rsidR="006520CB" w:rsidRPr="00F44D38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;</w:t>
      </w:r>
    </w:p>
    <w:p w14:paraId="375DBE25" w14:textId="77777777" w:rsidR="00AC10A8" w:rsidRDefault="00AC10A8" w:rsidP="00085F4F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</w:p>
    <w:p w14:paraId="472E7C1C" w14:textId="58F61FCB" w:rsidR="006520CB" w:rsidRDefault="00AC10A8" w:rsidP="00085F4F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  <w:t>(d)</w:t>
      </w: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6520CB" w:rsidRPr="00085F4F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supporting the transition to low carbon and climate resilient economies; and</w:t>
      </w:r>
    </w:p>
    <w:p w14:paraId="5606F2BB" w14:textId="77777777" w:rsidR="00AC10A8" w:rsidRPr="00085F4F" w:rsidRDefault="00AC10A8" w:rsidP="00085F4F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</w:p>
    <w:p w14:paraId="5D5C0E58" w14:textId="49FEA5C2" w:rsidR="006520CB" w:rsidRPr="00085F4F" w:rsidRDefault="00AC10A8" w:rsidP="00085F4F">
      <w:pPr>
        <w:tabs>
          <w:tab w:val="left" w:pos="567"/>
        </w:tabs>
        <w:spacing w:after="0" w:line="240" w:lineRule="auto"/>
        <w:ind w:left="1130" w:hanging="1130"/>
        <w:contextualSpacing/>
        <w:jc w:val="both"/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</w:pP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  <w:t>(e)</w:t>
      </w:r>
      <w:r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ab/>
      </w:r>
      <w:r w:rsidR="006520CB" w:rsidRPr="00085F4F">
        <w:rPr>
          <w:rFonts w:ascii="Arial" w:eastAsia="Calibri" w:hAnsi="Arial" w:cs="Arial"/>
          <w:kern w:val="24"/>
          <w:sz w:val="24"/>
          <w:szCs w:val="24"/>
          <w:lang w:bidi="en-US"/>
          <w14:ligatures w14:val="none"/>
        </w:rPr>
        <w:t>encouraging investment in environmental goods and services as a means of improving environmental and economic performance, supporting inclusive economic growth, contributing to clean growth, and addressing global environmental challenges.</w:t>
      </w:r>
    </w:p>
    <w:p w14:paraId="089F4256" w14:textId="77777777" w:rsidR="006520CB" w:rsidRPr="00085F4F" w:rsidRDefault="006520CB" w:rsidP="00085F4F">
      <w:pPr>
        <w:spacing w:after="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</w:p>
    <w:p w14:paraId="0DCFFD27" w14:textId="77777777" w:rsidR="006520CB" w:rsidRPr="00085F4F" w:rsidRDefault="006520CB" w:rsidP="00085F4F">
      <w:pPr>
        <w:spacing w:after="0" w:line="240" w:lineRule="auto"/>
        <w:jc w:val="both"/>
        <w:rPr>
          <w:rFonts w:ascii="Arial" w:hAnsi="Arial" w:cs="Arial"/>
          <w:color w:val="5B9BD5" w:themeColor="accent1"/>
          <w:sz w:val="24"/>
          <w:szCs w:val="24"/>
        </w:rPr>
      </w:pPr>
    </w:p>
    <w:p w14:paraId="46E45C01" w14:textId="53E26379" w:rsidR="00A268E3" w:rsidRPr="00085F4F" w:rsidRDefault="00FA16FE" w:rsidP="000F0188">
      <w:pPr>
        <w:keepNext/>
        <w:keepLine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5F4F">
        <w:rPr>
          <w:rFonts w:ascii="Arial" w:hAnsi="Arial" w:cs="Arial"/>
          <w:b/>
          <w:bCs/>
          <w:sz w:val="24"/>
          <w:szCs w:val="24"/>
        </w:rPr>
        <w:lastRenderedPageBreak/>
        <w:t xml:space="preserve">Article </w:t>
      </w:r>
      <w:r w:rsidR="006F4F21">
        <w:rPr>
          <w:rFonts w:ascii="Arial" w:hAnsi="Arial" w:cs="Arial"/>
          <w:b/>
          <w:bCs/>
          <w:sz w:val="24"/>
          <w:szCs w:val="24"/>
        </w:rPr>
        <w:t>11</w:t>
      </w:r>
      <w:r w:rsidR="00A268E3" w:rsidRPr="00085F4F">
        <w:rPr>
          <w:rFonts w:ascii="Arial" w:hAnsi="Arial" w:cs="Arial"/>
          <w:b/>
          <w:bCs/>
          <w:sz w:val="24"/>
          <w:szCs w:val="24"/>
        </w:rPr>
        <w:t>.5</w:t>
      </w:r>
    </w:p>
    <w:p w14:paraId="337614E8" w14:textId="033CEB90" w:rsidR="0084765C" w:rsidRPr="00085F4F" w:rsidRDefault="0084765C" w:rsidP="000F0188">
      <w:pPr>
        <w:keepNext/>
        <w:keepLine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5F4F">
        <w:rPr>
          <w:rFonts w:ascii="Arial" w:hAnsi="Arial" w:cs="Arial"/>
          <w:b/>
          <w:bCs/>
          <w:sz w:val="24"/>
          <w:szCs w:val="24"/>
        </w:rPr>
        <w:t>Non-</w:t>
      </w:r>
      <w:r w:rsidR="00516F68">
        <w:rPr>
          <w:rFonts w:ascii="Arial" w:hAnsi="Arial" w:cs="Arial"/>
          <w:b/>
          <w:bCs/>
          <w:sz w:val="24"/>
          <w:szCs w:val="24"/>
        </w:rPr>
        <w:t>A</w:t>
      </w:r>
      <w:r w:rsidRPr="00085F4F">
        <w:rPr>
          <w:rFonts w:ascii="Arial" w:hAnsi="Arial" w:cs="Arial"/>
          <w:b/>
          <w:bCs/>
          <w:sz w:val="24"/>
          <w:szCs w:val="24"/>
        </w:rPr>
        <w:t>pplication of Dispute Settlement</w:t>
      </w:r>
    </w:p>
    <w:p w14:paraId="4441DED4" w14:textId="77777777" w:rsidR="00A268E3" w:rsidRPr="00085F4F" w:rsidRDefault="00A268E3" w:rsidP="00085F4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0CD35C" w14:textId="5325940E" w:rsidR="0084765C" w:rsidRPr="00085F4F" w:rsidRDefault="0084765C" w:rsidP="00085F4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24"/>
          <w:sz w:val="24"/>
          <w:szCs w:val="24"/>
          <w14:ligatures w14:val="none"/>
        </w:rPr>
      </w:pPr>
      <w:r w:rsidRPr="000F0188">
        <w:rPr>
          <w:rFonts w:ascii="Arial" w:eastAsia="Times New Roman" w:hAnsi="Arial" w:cs="Arial"/>
          <w:kern w:val="24"/>
          <w:sz w:val="24"/>
          <w:szCs w:val="24"/>
          <w14:ligatures w14:val="none"/>
        </w:rPr>
        <w:t xml:space="preserve">The Parties shall not have recourse to dispute settlement under Chapter </w:t>
      </w:r>
      <w:r w:rsidR="006F4F21" w:rsidRPr="000F0188">
        <w:rPr>
          <w:rFonts w:ascii="Arial" w:eastAsia="Times New Roman" w:hAnsi="Arial" w:cs="Arial"/>
          <w:kern w:val="24"/>
          <w:sz w:val="24"/>
          <w:szCs w:val="24"/>
          <w14:ligatures w14:val="none"/>
        </w:rPr>
        <w:t>25</w:t>
      </w:r>
      <w:r w:rsidRPr="000F0188">
        <w:rPr>
          <w:rFonts w:ascii="Arial" w:eastAsia="Times New Roman" w:hAnsi="Arial" w:cs="Arial"/>
          <w:kern w:val="24"/>
          <w:sz w:val="24"/>
          <w:szCs w:val="24"/>
          <w14:ligatures w14:val="none"/>
        </w:rPr>
        <w:t xml:space="preserve"> (Dispute Settlement) for any matter arising under this Chapter.</w:t>
      </w:r>
      <w:r w:rsidRPr="00085F4F">
        <w:rPr>
          <w:rFonts w:ascii="Arial" w:eastAsia="Times New Roman" w:hAnsi="Arial" w:cs="Arial"/>
          <w:kern w:val="24"/>
          <w:sz w:val="24"/>
          <w:szCs w:val="24"/>
          <w14:ligatures w14:val="none"/>
        </w:rPr>
        <w:t xml:space="preserve"> </w:t>
      </w:r>
    </w:p>
    <w:p w14:paraId="0B396220" w14:textId="77777777" w:rsidR="0084765C" w:rsidRPr="00085F4F" w:rsidRDefault="0084765C" w:rsidP="00085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FF1445" w14:textId="77777777" w:rsidR="008E42CF" w:rsidRPr="00085F4F" w:rsidRDefault="008E42CF" w:rsidP="00085F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E42CF" w:rsidRPr="00085F4F" w:rsidSect="00A942B6">
      <w:headerReference w:type="default" r:id="rId11"/>
      <w:footerReference w:type="default" r:id="rId12"/>
      <w:pgSz w:w="11906" w:h="16838"/>
      <w:pgMar w:top="1440" w:right="1440" w:bottom="144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8CE88" w14:textId="77777777" w:rsidR="00C17240" w:rsidRDefault="00C17240" w:rsidP="006520CB">
      <w:pPr>
        <w:spacing w:after="0" w:line="240" w:lineRule="auto"/>
      </w:pPr>
      <w:r>
        <w:separator/>
      </w:r>
    </w:p>
  </w:endnote>
  <w:endnote w:type="continuationSeparator" w:id="0">
    <w:p w14:paraId="21C843E2" w14:textId="77777777" w:rsidR="00C17240" w:rsidRDefault="00C17240" w:rsidP="0065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EC46A" w14:textId="516D0E64" w:rsidR="007070DA" w:rsidRPr="00085F4F" w:rsidRDefault="007070DA">
    <w:pPr>
      <w:pStyle w:val="Footer"/>
      <w:jc w:val="center"/>
      <w:rPr>
        <w:rFonts w:ascii="Arial" w:hAnsi="Arial" w:cs="Arial"/>
        <w:sz w:val="20"/>
        <w:szCs w:val="20"/>
      </w:rPr>
    </w:pPr>
    <w:r w:rsidRPr="00F44D38">
      <w:rPr>
        <w:rFonts w:ascii="Arial" w:hAnsi="Arial" w:cs="Arial"/>
        <w:sz w:val="20"/>
        <w:szCs w:val="20"/>
      </w:rPr>
      <w:t>11</w:t>
    </w:r>
    <w:r w:rsidR="00DF4817">
      <w:rPr>
        <w:rFonts w:ascii="Arial" w:hAnsi="Arial" w:cs="Arial"/>
        <w:sz w:val="20"/>
        <w:szCs w:val="20"/>
      </w:rPr>
      <w:t>–</w:t>
    </w:r>
    <w:sdt>
      <w:sdtPr>
        <w:rPr>
          <w:rFonts w:ascii="Arial" w:hAnsi="Arial" w:cs="Arial"/>
          <w:sz w:val="20"/>
          <w:szCs w:val="20"/>
        </w:rPr>
        <w:id w:val="-17852681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85F4F">
          <w:rPr>
            <w:rFonts w:ascii="Arial" w:hAnsi="Arial" w:cs="Arial"/>
            <w:sz w:val="20"/>
            <w:szCs w:val="20"/>
          </w:rPr>
          <w:fldChar w:fldCharType="begin"/>
        </w:r>
        <w:r w:rsidRPr="00085F4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85F4F">
          <w:rPr>
            <w:rFonts w:ascii="Arial" w:hAnsi="Arial" w:cs="Arial"/>
            <w:sz w:val="20"/>
            <w:szCs w:val="20"/>
          </w:rPr>
          <w:fldChar w:fldCharType="separate"/>
        </w:r>
        <w:r w:rsidRPr="00085F4F">
          <w:rPr>
            <w:rFonts w:ascii="Arial" w:hAnsi="Arial" w:cs="Arial"/>
            <w:noProof/>
            <w:sz w:val="20"/>
            <w:szCs w:val="20"/>
          </w:rPr>
          <w:t>2</w:t>
        </w:r>
        <w:r w:rsidRPr="00085F4F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50C667F" w14:textId="25F346B1" w:rsidR="00141B19" w:rsidRPr="004763BC" w:rsidRDefault="00141B19" w:rsidP="004763BC">
    <w:pPr>
      <w:pStyle w:val="Header"/>
      <w:jc w:val="center"/>
      <w:rPr>
        <w:b/>
        <w:bCs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15636" w14:textId="77777777" w:rsidR="00C17240" w:rsidRDefault="00C17240" w:rsidP="006520CB">
      <w:pPr>
        <w:spacing w:after="0" w:line="240" w:lineRule="auto"/>
      </w:pPr>
      <w:r>
        <w:separator/>
      </w:r>
    </w:p>
  </w:footnote>
  <w:footnote w:type="continuationSeparator" w:id="0">
    <w:p w14:paraId="5D3445DC" w14:textId="77777777" w:rsidR="00C17240" w:rsidRDefault="00C17240" w:rsidP="0065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F858" w14:textId="09F683B5" w:rsidR="00E77964" w:rsidRPr="007614A7" w:rsidRDefault="00E77964" w:rsidP="007614A7">
    <w:pPr>
      <w:pStyle w:val="Header"/>
      <w:jc w:val="cent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83E"/>
    <w:multiLevelType w:val="hybridMultilevel"/>
    <w:tmpl w:val="8AEC00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2137"/>
    <w:multiLevelType w:val="hybridMultilevel"/>
    <w:tmpl w:val="273463C8"/>
    <w:lvl w:ilvl="0" w:tplc="4AD898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771D5"/>
    <w:multiLevelType w:val="hybridMultilevel"/>
    <w:tmpl w:val="85AA2B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11E9800">
      <w:start w:val="1"/>
      <w:numFmt w:val="lowerLetter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80E08"/>
    <w:multiLevelType w:val="hybridMultilevel"/>
    <w:tmpl w:val="37C02C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6EBA"/>
    <w:multiLevelType w:val="hybridMultilevel"/>
    <w:tmpl w:val="9F643D6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B0A5D"/>
    <w:multiLevelType w:val="hybridMultilevel"/>
    <w:tmpl w:val="D4FC7B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D224B"/>
    <w:multiLevelType w:val="hybridMultilevel"/>
    <w:tmpl w:val="9F643D6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412CAC"/>
    <w:multiLevelType w:val="hybridMultilevel"/>
    <w:tmpl w:val="BB94A0B8"/>
    <w:lvl w:ilvl="0" w:tplc="F11E9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2F70407C">
      <w:start w:val="1"/>
      <w:numFmt w:val="lowerRoman"/>
      <w:lvlText w:val="%2."/>
      <w:lvlJc w:val="right"/>
      <w:pPr>
        <w:ind w:left="1636" w:hanging="360"/>
      </w:pPr>
      <w:rPr>
        <w:b w:val="0"/>
        <w:bCs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C14EF"/>
    <w:multiLevelType w:val="hybridMultilevel"/>
    <w:tmpl w:val="1A102BE6"/>
    <w:lvl w:ilvl="0" w:tplc="63F8B4A8">
      <w:start w:val="1"/>
      <w:numFmt w:val="lowerLetter"/>
      <w:lvlText w:val="(%1)"/>
      <w:lvlJc w:val="left"/>
      <w:pPr>
        <w:ind w:left="1800" w:hanging="360"/>
      </w:pPr>
      <w:rPr>
        <w:rFonts w:asciiTheme="minorHAnsi" w:eastAsia="Arial" w:hAnsiTheme="minorHAnsi" w:cstheme="minorHAnsi" w:hint="default"/>
        <w:w w:val="101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3569"/>
    <w:multiLevelType w:val="hybridMultilevel"/>
    <w:tmpl w:val="068C6652"/>
    <w:lvl w:ilvl="0" w:tplc="AE6254C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A65EF"/>
    <w:multiLevelType w:val="hybridMultilevel"/>
    <w:tmpl w:val="D9FAE3F4"/>
    <w:lvl w:ilvl="0" w:tplc="8BC23652">
      <w:start w:val="1"/>
      <w:numFmt w:val="lowerLetter"/>
      <w:lvlText w:val="(%1)"/>
      <w:lvlJc w:val="left"/>
      <w:pPr>
        <w:ind w:left="720" w:hanging="360"/>
      </w:pPr>
      <w:rPr>
        <w:rFonts w:asciiTheme="minorHAnsi" w:eastAsia="Arial" w:hAnsiTheme="minorHAnsi" w:cstheme="minorHAnsi" w:hint="default"/>
        <w:w w:val="101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820CF"/>
    <w:multiLevelType w:val="hybridMultilevel"/>
    <w:tmpl w:val="9F643D6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8425F1"/>
    <w:multiLevelType w:val="hybridMultilevel"/>
    <w:tmpl w:val="A4EA37A4"/>
    <w:lvl w:ilvl="0" w:tplc="2F70407C">
      <w:start w:val="1"/>
      <w:numFmt w:val="lowerRoman"/>
      <w:lvlText w:val="%1."/>
      <w:lvlJc w:val="right"/>
      <w:pPr>
        <w:ind w:left="1636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52CE7"/>
    <w:multiLevelType w:val="hybridMultilevel"/>
    <w:tmpl w:val="9F643D6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05604A"/>
    <w:multiLevelType w:val="hybridMultilevel"/>
    <w:tmpl w:val="85AA2B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C16284"/>
    <w:multiLevelType w:val="hybridMultilevel"/>
    <w:tmpl w:val="9F643D6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775760">
    <w:abstractNumId w:val="7"/>
  </w:num>
  <w:num w:numId="2" w16cid:durableId="670109934">
    <w:abstractNumId w:val="5"/>
  </w:num>
  <w:num w:numId="3" w16cid:durableId="1034887038">
    <w:abstractNumId w:val="4"/>
  </w:num>
  <w:num w:numId="4" w16cid:durableId="52900193">
    <w:abstractNumId w:val="2"/>
  </w:num>
  <w:num w:numId="5" w16cid:durableId="1324697402">
    <w:abstractNumId w:val="11"/>
  </w:num>
  <w:num w:numId="6" w16cid:durableId="819885847">
    <w:abstractNumId w:val="13"/>
  </w:num>
  <w:num w:numId="7" w16cid:durableId="1621763938">
    <w:abstractNumId w:val="15"/>
  </w:num>
  <w:num w:numId="8" w16cid:durableId="908926333">
    <w:abstractNumId w:val="9"/>
  </w:num>
  <w:num w:numId="9" w16cid:durableId="240453647">
    <w:abstractNumId w:val="8"/>
  </w:num>
  <w:num w:numId="10" w16cid:durableId="1985694662">
    <w:abstractNumId w:val="0"/>
  </w:num>
  <w:num w:numId="11" w16cid:durableId="353313532">
    <w:abstractNumId w:val="10"/>
  </w:num>
  <w:num w:numId="12" w16cid:durableId="968511531">
    <w:abstractNumId w:val="12"/>
  </w:num>
  <w:num w:numId="13" w16cid:durableId="1268393001">
    <w:abstractNumId w:val="6"/>
  </w:num>
  <w:num w:numId="14" w16cid:durableId="1310210944">
    <w:abstractNumId w:val="3"/>
  </w:num>
  <w:num w:numId="15" w16cid:durableId="1587156232">
    <w:abstractNumId w:val="1"/>
  </w:num>
  <w:num w:numId="16" w16cid:durableId="4928352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CB"/>
    <w:rsid w:val="0002422D"/>
    <w:rsid w:val="00074B3B"/>
    <w:rsid w:val="0008073A"/>
    <w:rsid w:val="00085F4F"/>
    <w:rsid w:val="00091F6E"/>
    <w:rsid w:val="000A68E3"/>
    <w:rsid w:val="000D7090"/>
    <w:rsid w:val="000F0188"/>
    <w:rsid w:val="000F170C"/>
    <w:rsid w:val="000F3AB2"/>
    <w:rsid w:val="000F7B7A"/>
    <w:rsid w:val="00100453"/>
    <w:rsid w:val="00131029"/>
    <w:rsid w:val="00140657"/>
    <w:rsid w:val="00141B19"/>
    <w:rsid w:val="00152D67"/>
    <w:rsid w:val="001701ED"/>
    <w:rsid w:val="00186CDD"/>
    <w:rsid w:val="001B2208"/>
    <w:rsid w:val="001C08E9"/>
    <w:rsid w:val="001D577E"/>
    <w:rsid w:val="001F1796"/>
    <w:rsid w:val="001F2124"/>
    <w:rsid w:val="00233F07"/>
    <w:rsid w:val="00240ABF"/>
    <w:rsid w:val="00253A90"/>
    <w:rsid w:val="00277998"/>
    <w:rsid w:val="00292E4A"/>
    <w:rsid w:val="002A2A37"/>
    <w:rsid w:val="002E2CE2"/>
    <w:rsid w:val="002F4CAA"/>
    <w:rsid w:val="00320408"/>
    <w:rsid w:val="0036523C"/>
    <w:rsid w:val="00381474"/>
    <w:rsid w:val="003971E7"/>
    <w:rsid w:val="003B518A"/>
    <w:rsid w:val="003C3BE2"/>
    <w:rsid w:val="003F3E97"/>
    <w:rsid w:val="004543CB"/>
    <w:rsid w:val="004633FF"/>
    <w:rsid w:val="00464735"/>
    <w:rsid w:val="004B5A67"/>
    <w:rsid w:val="005143DB"/>
    <w:rsid w:val="00516F68"/>
    <w:rsid w:val="00540C5C"/>
    <w:rsid w:val="00560CDD"/>
    <w:rsid w:val="00574CE8"/>
    <w:rsid w:val="005842D6"/>
    <w:rsid w:val="005A70D9"/>
    <w:rsid w:val="005B3589"/>
    <w:rsid w:val="005C3D1B"/>
    <w:rsid w:val="005D2A1A"/>
    <w:rsid w:val="0060672A"/>
    <w:rsid w:val="00606C93"/>
    <w:rsid w:val="00617DEC"/>
    <w:rsid w:val="00620017"/>
    <w:rsid w:val="00633509"/>
    <w:rsid w:val="006520CB"/>
    <w:rsid w:val="006579AD"/>
    <w:rsid w:val="00657D4B"/>
    <w:rsid w:val="00657E66"/>
    <w:rsid w:val="00661CC3"/>
    <w:rsid w:val="00665FB0"/>
    <w:rsid w:val="006667ED"/>
    <w:rsid w:val="006673A6"/>
    <w:rsid w:val="00682580"/>
    <w:rsid w:val="006D72DC"/>
    <w:rsid w:val="006F4F21"/>
    <w:rsid w:val="006F7A86"/>
    <w:rsid w:val="007070DA"/>
    <w:rsid w:val="007356EB"/>
    <w:rsid w:val="00741DFF"/>
    <w:rsid w:val="00776584"/>
    <w:rsid w:val="00780BC2"/>
    <w:rsid w:val="00796504"/>
    <w:rsid w:val="007A170E"/>
    <w:rsid w:val="007B2627"/>
    <w:rsid w:val="007D7FBC"/>
    <w:rsid w:val="007E20C1"/>
    <w:rsid w:val="007F2AE4"/>
    <w:rsid w:val="00827ED2"/>
    <w:rsid w:val="0084765C"/>
    <w:rsid w:val="00873303"/>
    <w:rsid w:val="008833BE"/>
    <w:rsid w:val="00885699"/>
    <w:rsid w:val="00896BD1"/>
    <w:rsid w:val="008A3649"/>
    <w:rsid w:val="008B1FED"/>
    <w:rsid w:val="008E27FD"/>
    <w:rsid w:val="008E42CF"/>
    <w:rsid w:val="008F2695"/>
    <w:rsid w:val="009076CF"/>
    <w:rsid w:val="00923957"/>
    <w:rsid w:val="00950389"/>
    <w:rsid w:val="00965465"/>
    <w:rsid w:val="009941DF"/>
    <w:rsid w:val="009D1293"/>
    <w:rsid w:val="009E1AC6"/>
    <w:rsid w:val="009E3719"/>
    <w:rsid w:val="009F0045"/>
    <w:rsid w:val="009F5F84"/>
    <w:rsid w:val="00A0639C"/>
    <w:rsid w:val="00A10E53"/>
    <w:rsid w:val="00A10F81"/>
    <w:rsid w:val="00A14005"/>
    <w:rsid w:val="00A17CB9"/>
    <w:rsid w:val="00A268E3"/>
    <w:rsid w:val="00A31D83"/>
    <w:rsid w:val="00A368B9"/>
    <w:rsid w:val="00A55366"/>
    <w:rsid w:val="00A567CE"/>
    <w:rsid w:val="00A61056"/>
    <w:rsid w:val="00A64D4B"/>
    <w:rsid w:val="00A7081F"/>
    <w:rsid w:val="00A734FE"/>
    <w:rsid w:val="00A74591"/>
    <w:rsid w:val="00A74C9F"/>
    <w:rsid w:val="00A930DC"/>
    <w:rsid w:val="00A942B6"/>
    <w:rsid w:val="00AA19AA"/>
    <w:rsid w:val="00AA5158"/>
    <w:rsid w:val="00AB49AD"/>
    <w:rsid w:val="00AC10A8"/>
    <w:rsid w:val="00AD68F7"/>
    <w:rsid w:val="00AE59B3"/>
    <w:rsid w:val="00B00E1E"/>
    <w:rsid w:val="00B23691"/>
    <w:rsid w:val="00B62C35"/>
    <w:rsid w:val="00B67BEC"/>
    <w:rsid w:val="00B9529F"/>
    <w:rsid w:val="00BB7F5F"/>
    <w:rsid w:val="00BC0453"/>
    <w:rsid w:val="00BD1003"/>
    <w:rsid w:val="00BF3457"/>
    <w:rsid w:val="00C0152B"/>
    <w:rsid w:val="00C10B42"/>
    <w:rsid w:val="00C17240"/>
    <w:rsid w:val="00C34192"/>
    <w:rsid w:val="00C50784"/>
    <w:rsid w:val="00C60F9F"/>
    <w:rsid w:val="00C62209"/>
    <w:rsid w:val="00C65E78"/>
    <w:rsid w:val="00C74334"/>
    <w:rsid w:val="00C77091"/>
    <w:rsid w:val="00C774CE"/>
    <w:rsid w:val="00CB15B6"/>
    <w:rsid w:val="00CB40E4"/>
    <w:rsid w:val="00CB790C"/>
    <w:rsid w:val="00CF6677"/>
    <w:rsid w:val="00D36B71"/>
    <w:rsid w:val="00D510FF"/>
    <w:rsid w:val="00D51C96"/>
    <w:rsid w:val="00D5209A"/>
    <w:rsid w:val="00D6293F"/>
    <w:rsid w:val="00DC51BC"/>
    <w:rsid w:val="00DD26A3"/>
    <w:rsid w:val="00DD4335"/>
    <w:rsid w:val="00DF4817"/>
    <w:rsid w:val="00DF7FC1"/>
    <w:rsid w:val="00E1580D"/>
    <w:rsid w:val="00E4604F"/>
    <w:rsid w:val="00E77964"/>
    <w:rsid w:val="00E84F17"/>
    <w:rsid w:val="00ED783A"/>
    <w:rsid w:val="00EE45D2"/>
    <w:rsid w:val="00F052DA"/>
    <w:rsid w:val="00F279A7"/>
    <w:rsid w:val="00F4060A"/>
    <w:rsid w:val="00F442C4"/>
    <w:rsid w:val="00F44D38"/>
    <w:rsid w:val="00FA16FE"/>
    <w:rsid w:val="00FC2E2B"/>
    <w:rsid w:val="00FC6333"/>
    <w:rsid w:val="00FC7BEB"/>
    <w:rsid w:val="00FD6FE3"/>
    <w:rsid w:val="00FE15F8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C0A3B"/>
  <w15:chartTrackingRefBased/>
  <w15:docId w15:val="{33F54C0A-9529-4F62-84A9-211AFF1E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0CB"/>
    <w:rPr>
      <w:kern w:val="2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CB"/>
    <w:rPr>
      <w:kern w:val="2"/>
      <w:lang w:val="en-AU"/>
      <w14:ligatures w14:val="standardContextual"/>
    </w:rPr>
  </w:style>
  <w:style w:type="paragraph" w:styleId="ListParagraph">
    <w:name w:val="List Paragraph"/>
    <w:basedOn w:val="Normal"/>
    <w:link w:val="ListParagraphChar"/>
    <w:uiPriority w:val="1"/>
    <w:qFormat/>
    <w:rsid w:val="006520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20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0CB"/>
    <w:rPr>
      <w:kern w:val="2"/>
      <w:sz w:val="20"/>
      <w:szCs w:val="20"/>
      <w:lang w:val="en-AU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520CB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520CB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52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CB"/>
    <w:rPr>
      <w:kern w:val="2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923957"/>
    <w:pPr>
      <w:spacing w:after="0" w:line="240" w:lineRule="auto"/>
    </w:pPr>
    <w:rPr>
      <w:kern w:val="2"/>
      <w:lang w:val="en-AU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464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735"/>
    <w:rPr>
      <w:kern w:val="2"/>
      <w:sz w:val="20"/>
      <w:szCs w:val="20"/>
      <w:lang w:val="en-AU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735"/>
    <w:rPr>
      <w:b/>
      <w:bCs/>
      <w:kern w:val="2"/>
      <w:sz w:val="20"/>
      <w:szCs w:val="20"/>
      <w:lang w:val="en-AU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DC"/>
    <w:rPr>
      <w:rFonts w:ascii="Segoe UI" w:hAnsi="Segoe UI" w:cs="Segoe UI"/>
      <w:kern w:val="2"/>
      <w:sz w:val="18"/>
      <w:szCs w:val="18"/>
      <w:lang w:val="en-AU"/>
      <w14:ligatures w14:val="standardContextual"/>
    </w:rPr>
  </w:style>
  <w:style w:type="paragraph" w:customStyle="1" w:styleId="Style1">
    <w:name w:val="Style1"/>
    <w:basedOn w:val="Normal"/>
    <w:link w:val="Style1Char"/>
    <w:qFormat/>
    <w:rsid w:val="0084765C"/>
    <w:pPr>
      <w:widowControl w:val="0"/>
      <w:autoSpaceDE w:val="0"/>
      <w:autoSpaceDN w:val="0"/>
      <w:spacing w:before="48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4"/>
      <w:lang w:val="en-US"/>
      <w14:ligatures w14:val="none"/>
    </w:rPr>
  </w:style>
  <w:style w:type="character" w:customStyle="1" w:styleId="Style1Char">
    <w:name w:val="Style1 Char"/>
    <w:basedOn w:val="DefaultParagraphFont"/>
    <w:link w:val="Style1"/>
    <w:rsid w:val="0084765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84765C"/>
    <w:rPr>
      <w:kern w:val="2"/>
      <w:lang w:val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d7913-2b48-4fb4-9e5c-239c7c65333c" xsi:nil="true"/>
    <lcf76f155ced4ddcb4097134ff3c332f xmlns="fd553ead-1a80-496c-9811-84850591db5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FAC6AB8B644A99DC8F89F51DDD4D" ma:contentTypeVersion="16" ma:contentTypeDescription="Create a new document." ma:contentTypeScope="" ma:versionID="f04985c032445aae7ef63df8033841db">
  <xsd:schema xmlns:xsd="http://www.w3.org/2001/XMLSchema" xmlns:xs="http://www.w3.org/2001/XMLSchema" xmlns:p="http://schemas.microsoft.com/office/2006/metadata/properties" xmlns:ns2="fd553ead-1a80-496c-9811-84850591db5e" xmlns:ns3="de1d7913-2b48-4fb4-9e5c-239c7c65333c" targetNamespace="http://schemas.microsoft.com/office/2006/metadata/properties" ma:root="true" ma:fieldsID="b7861867155f092131375c2e294d4719" ns2:_="" ns3:_="">
    <xsd:import namespace="fd553ead-1a80-496c-9811-84850591db5e"/>
    <xsd:import namespace="de1d7913-2b48-4fb4-9e5c-239c7c653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3ead-1a80-496c-9811-84850591d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d7913-2b48-4fb4-9e5c-239c7c653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5ed46b-0b5f-43cc-8916-9ece6f7854f0}" ma:internalName="TaxCatchAll" ma:showField="CatchAllData" ma:web="de1d7913-2b48-4fb4-9e5c-239c7c653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54C49-7FAD-4947-9103-90771EDC72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5859E-9515-4BA7-AC71-F73CD9BDF9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96E260-7896-4A9B-BBD9-592D3B307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466CC-E6BE-441A-8D0B-738B5AE07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538</Words>
  <Characters>3422</Characters>
  <Application>Microsoft Office Word</Application>
  <DocSecurity>0</DocSecurity>
  <Lines>106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Australia-UAE CEPA Official Text - Chapter 11 – Investment Facilitation</dc:title>
  <dc:subject/>
  <dc:creator>DFAT</dc:creator>
  <cp:keywords>[SEC=OFFICIAL:Sensitive]</cp:keywords>
  <dc:description/>
  <cp:lastModifiedBy> UAE</cp:lastModifiedBy>
  <cp:revision>8</cp:revision>
  <dcterms:created xsi:type="dcterms:W3CDTF">2024-09-17T12:10:00Z</dcterms:created>
  <dcterms:modified xsi:type="dcterms:W3CDTF">2024-09-20T13:02:00Z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04eaa3-8537-4d0c-8da9-8cf2ceb91529_Enabled">
    <vt:lpwstr>true</vt:lpwstr>
  </property>
  <property fmtid="{D5CDD505-2E9C-101B-9397-08002B2CF9AE}" pid="3" name="MSIP_Label_3604eaa3-8537-4d0c-8da9-8cf2ceb91529_SetDate">
    <vt:lpwstr>2024-05-21T15:01:20Z</vt:lpwstr>
  </property>
  <property fmtid="{D5CDD505-2E9C-101B-9397-08002B2CF9AE}" pid="4" name="MSIP_Label_3604eaa3-8537-4d0c-8da9-8cf2ceb91529_Method">
    <vt:lpwstr>Privileged</vt:lpwstr>
  </property>
  <property fmtid="{D5CDD505-2E9C-101B-9397-08002B2CF9AE}" pid="5" name="MSIP_Label_3604eaa3-8537-4d0c-8da9-8cf2ceb91529_Name">
    <vt:lpwstr>Public</vt:lpwstr>
  </property>
  <property fmtid="{D5CDD505-2E9C-101B-9397-08002B2CF9AE}" pid="6" name="MSIP_Label_3604eaa3-8537-4d0c-8da9-8cf2ceb91529_SiteId">
    <vt:lpwstr>f676a62b-11e1-4da7-8090-6df95b2e24ea</vt:lpwstr>
  </property>
  <property fmtid="{D5CDD505-2E9C-101B-9397-08002B2CF9AE}" pid="7" name="MSIP_Label_3604eaa3-8537-4d0c-8da9-8cf2ceb91529_ActionId">
    <vt:lpwstr>32324c13-e622-4981-b984-3c3854fe5f2c</vt:lpwstr>
  </property>
  <property fmtid="{D5CDD505-2E9C-101B-9397-08002B2CF9AE}" pid="8" name="MSIP_Label_3604eaa3-8537-4d0c-8da9-8cf2ceb91529_ContentBits">
    <vt:lpwstr>0</vt:lpwstr>
  </property>
  <property fmtid="{D5CDD505-2E9C-101B-9397-08002B2CF9AE}" pid="9" name="ContentTypeId">
    <vt:lpwstr>0x010100A1DDFAC6AB8B644A99DC8F89F51DDD4D</vt:lpwstr>
  </property>
  <property fmtid="{D5CDD505-2E9C-101B-9397-08002B2CF9AE}" pid="10" name="PM_Namespace">
    <vt:lpwstr>gov.au</vt:lpwstr>
  </property>
  <property fmtid="{D5CDD505-2E9C-101B-9397-08002B2CF9AE}" pid="11" name="PM_Caveats_Count">
    <vt:lpwstr>0</vt:lpwstr>
  </property>
  <property fmtid="{D5CDD505-2E9C-101B-9397-08002B2CF9AE}" pid="12" name="PM_Version">
    <vt:lpwstr>2018.4</vt:lpwstr>
  </property>
  <property fmtid="{D5CDD505-2E9C-101B-9397-08002B2CF9AE}" pid="13" name="PM_Note">
    <vt:lpwstr/>
  </property>
  <property fmtid="{D5CDD505-2E9C-101B-9397-08002B2CF9AE}" pid="14" name="PMHMAC">
    <vt:lpwstr>v=2022.1;a=SHA256;h=63922F358F0A8C95E66FC01BA969962DB1AAAF61CB82FC2B7FEF872F8359DE05</vt:lpwstr>
  </property>
  <property fmtid="{D5CDD505-2E9C-101B-9397-08002B2CF9AE}" pid="15" name="PM_Qualifier">
    <vt:lpwstr/>
  </property>
  <property fmtid="{D5CDD505-2E9C-101B-9397-08002B2CF9AE}" pid="16" name="PM_SecurityClassification">
    <vt:lpwstr>OFFICIAL:Sensitive</vt:lpwstr>
  </property>
  <property fmtid="{D5CDD505-2E9C-101B-9397-08002B2CF9AE}" pid="17" name="PM_ProtectiveMarkingValue_Header">
    <vt:lpwstr>OFFICIAL: Sensitive</vt:lpwstr>
  </property>
  <property fmtid="{D5CDD505-2E9C-101B-9397-08002B2CF9AE}" pid="18" name="PM_OriginationTimeStamp">
    <vt:lpwstr>2024-09-14T11:12:32Z</vt:lpwstr>
  </property>
  <property fmtid="{D5CDD505-2E9C-101B-9397-08002B2CF9AE}" pid="19" name="PM_Markers">
    <vt:lpwstr/>
  </property>
  <property fmtid="{D5CDD505-2E9C-101B-9397-08002B2CF9AE}" pid="20" name="PM_InsertionValue">
    <vt:lpwstr>OFFICIAL: Sensitive</vt:lpwstr>
  </property>
  <property fmtid="{D5CDD505-2E9C-101B-9397-08002B2CF9AE}" pid="21" name="PM_Originator_Hash_SHA1">
    <vt:lpwstr>BE0798CF55D785EC913A14B8449C91E3C59BC075</vt:lpwstr>
  </property>
  <property fmtid="{D5CDD505-2E9C-101B-9397-08002B2CF9AE}" pid="22" name="PM_DisplayValueSecClassificationWithQualifier">
    <vt:lpwstr>OFFICIAL: Sensitive</vt:lpwstr>
  </property>
  <property fmtid="{D5CDD505-2E9C-101B-9397-08002B2CF9AE}" pid="23" name="PM_Originating_FileId">
    <vt:lpwstr>0399928646B145B2A9509F6053DBEE31</vt:lpwstr>
  </property>
  <property fmtid="{D5CDD505-2E9C-101B-9397-08002B2CF9AE}" pid="24" name="PM_ProtectiveMarkingValue_Footer">
    <vt:lpwstr>OFFICIAL: Sensitive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ProtectiveMarkingImage_Footer">
    <vt:lpwstr>C:\Program Files (x86)\Common Files\janusNET Shared\janusSEAL\Images\DocumentSlashBlue.png</vt:lpwstr>
  </property>
  <property fmtid="{D5CDD505-2E9C-101B-9397-08002B2CF9AE}" pid="27" name="PM_Display">
    <vt:lpwstr>OFFICIAL: Sensitive</vt:lpwstr>
  </property>
  <property fmtid="{D5CDD505-2E9C-101B-9397-08002B2CF9AE}" pid="28" name="PM_OriginatorUserAccountName_SHA256">
    <vt:lpwstr>CD35A0F3192511A25551DF6A04E266BF28C61CF457ABA1D436173773BD35E4F6</vt:lpwstr>
  </property>
  <property fmtid="{D5CDD505-2E9C-101B-9397-08002B2CF9AE}" pid="29" name="PM_OriginatorDomainName_SHA256">
    <vt:lpwstr>6F3591835F3B2A8A025B00B5BA6418010DA3A17C9C26EA9C049FFD28039489A2</vt:lpwstr>
  </property>
  <property fmtid="{D5CDD505-2E9C-101B-9397-08002B2CF9AE}" pid="30" name="PMUuid">
    <vt:lpwstr>v=2022.2;d=gov.au;g=ABA70C08-925C-5FA3-8765-3178156983AC</vt:lpwstr>
  </property>
  <property fmtid="{D5CDD505-2E9C-101B-9397-08002B2CF9AE}" pid="31" name="PM_Hash_Version">
    <vt:lpwstr>2022.1</vt:lpwstr>
  </property>
  <property fmtid="{D5CDD505-2E9C-101B-9397-08002B2CF9AE}" pid="32" name="PM_Hash_Salt_Prev">
    <vt:lpwstr>2C7E159624EDC69CF0C32A53342F296A</vt:lpwstr>
  </property>
  <property fmtid="{D5CDD505-2E9C-101B-9397-08002B2CF9AE}" pid="33" name="PM_Hash_Salt">
    <vt:lpwstr>218BCAD190F7BC6A81EA668C60641483</vt:lpwstr>
  </property>
  <property fmtid="{D5CDD505-2E9C-101B-9397-08002B2CF9AE}" pid="34" name="PM_Hash_SHA1">
    <vt:lpwstr>F00E5ECFF3DF4C0E3B9FB13B72E4B7DCDB028AAB</vt:lpwstr>
  </property>
  <property fmtid="{D5CDD505-2E9C-101B-9397-08002B2CF9AE}" pid="35" name="PM_SecurityClassification_Prev">
    <vt:lpwstr>OFFICIAL:Sensitive</vt:lpwstr>
  </property>
  <property fmtid="{D5CDD505-2E9C-101B-9397-08002B2CF9AE}" pid="36" name="PM_Qualifier_Prev">
    <vt:lpwstr/>
  </property>
  <property fmtid="{D5CDD505-2E9C-101B-9397-08002B2CF9AE}" pid="37" name="GrammarlyDocumentId">
    <vt:lpwstr>abf01c83fbf93132d174f5f677bf535ae6b5f4a1d97cb2479bf85e48690ac9cb</vt:lpwstr>
  </property>
</Properties>
</file>