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0135" w14:textId="77777777" w:rsidR="008418FB" w:rsidRPr="008418FB" w:rsidRDefault="008418FB" w:rsidP="008418FB">
      <w:pPr>
        <w:spacing w:after="160" w:line="259" w:lineRule="auto"/>
        <w:jc w:val="right"/>
        <w:rPr>
          <w:rFonts w:asciiTheme="majorBidi" w:eastAsiaTheme="minorHAnsi" w:hAnsiTheme="majorBidi" w:cstheme="majorBidi"/>
          <w:b/>
          <w:bCs/>
          <w:kern w:val="2"/>
          <w:sz w:val="24"/>
          <w:lang w:bidi="ar-SA"/>
          <w14:ligatures w14:val="standardContextual"/>
        </w:rPr>
      </w:pPr>
      <w:r w:rsidRPr="008418FB">
        <w:rPr>
          <w:rFonts w:asciiTheme="majorBidi" w:eastAsiaTheme="minorHAnsi" w:hAnsiTheme="majorBidi" w:cstheme="majorBidi"/>
          <w:b/>
          <w:bCs/>
          <w:kern w:val="2"/>
          <w:sz w:val="24"/>
          <w:lang w:bidi="ar-SA"/>
          <w14:ligatures w14:val="standardContextual"/>
        </w:rPr>
        <w:t>6 November 2024</w:t>
      </w:r>
    </w:p>
    <w:p w14:paraId="49783DF7" w14:textId="77777777" w:rsidR="00AF1B81" w:rsidRDefault="00AF1B81" w:rsidP="00B750B1">
      <w:pPr>
        <w:spacing w:line="276" w:lineRule="auto"/>
        <w:rPr>
          <w:b/>
          <w:bCs/>
          <w:sz w:val="24"/>
          <w:lang w:bidi="km-KH"/>
        </w:rPr>
      </w:pPr>
    </w:p>
    <w:p w14:paraId="5453D2A9" w14:textId="2B0B9064" w:rsidR="00B750B1" w:rsidRPr="001E14A0" w:rsidRDefault="00B750B1" w:rsidP="00B750B1">
      <w:pPr>
        <w:spacing w:line="276" w:lineRule="auto"/>
        <w:rPr>
          <w:rFonts w:cstheme="minorHAnsi"/>
          <w:color w:val="000000"/>
          <w:sz w:val="24"/>
        </w:rPr>
      </w:pPr>
      <w:r w:rsidRPr="001E14A0">
        <w:rPr>
          <w:b/>
          <w:bCs/>
          <w:sz w:val="24"/>
          <w:lang w:bidi="km-KH"/>
        </w:rPr>
        <w:t xml:space="preserve">H.E. Dr. Thani bin Ahmed Al </w:t>
      </w:r>
      <w:proofErr w:type="spellStart"/>
      <w:r w:rsidRPr="001E14A0">
        <w:rPr>
          <w:b/>
          <w:bCs/>
          <w:sz w:val="24"/>
          <w:lang w:bidi="km-KH"/>
        </w:rPr>
        <w:t>Zeyoudi</w:t>
      </w:r>
      <w:proofErr w:type="spellEnd"/>
    </w:p>
    <w:p w14:paraId="2EC590C9" w14:textId="77777777" w:rsidR="00B750B1" w:rsidRPr="001E14A0" w:rsidRDefault="00B750B1" w:rsidP="00B750B1">
      <w:pPr>
        <w:adjustRightInd w:val="0"/>
        <w:snapToGrid w:val="0"/>
        <w:spacing w:line="276" w:lineRule="auto"/>
        <w:rPr>
          <w:sz w:val="24"/>
          <w:lang w:bidi="km-KH"/>
        </w:rPr>
      </w:pPr>
      <w:r w:rsidRPr="001E14A0">
        <w:rPr>
          <w:sz w:val="24"/>
          <w:lang w:bidi="km-KH"/>
        </w:rPr>
        <w:t>Minister of State for Foreign Trade</w:t>
      </w:r>
    </w:p>
    <w:p w14:paraId="6C503E5E" w14:textId="77777777" w:rsidR="00B750B1" w:rsidRPr="001E14A0" w:rsidRDefault="00B750B1" w:rsidP="00B750B1">
      <w:pPr>
        <w:adjustRightInd w:val="0"/>
        <w:snapToGrid w:val="0"/>
        <w:spacing w:line="276" w:lineRule="auto"/>
        <w:rPr>
          <w:sz w:val="24"/>
          <w:lang w:bidi="km-KH"/>
        </w:rPr>
      </w:pPr>
      <w:r w:rsidRPr="001E14A0">
        <w:rPr>
          <w:sz w:val="24"/>
          <w:lang w:bidi="km-KH"/>
        </w:rPr>
        <w:t xml:space="preserve">Ministry of Economy </w:t>
      </w:r>
    </w:p>
    <w:p w14:paraId="5D7583B3" w14:textId="77777777" w:rsidR="00B750B1" w:rsidRPr="001E14A0" w:rsidRDefault="00B750B1" w:rsidP="00B750B1">
      <w:pPr>
        <w:adjustRightInd w:val="0"/>
        <w:snapToGrid w:val="0"/>
        <w:spacing w:line="276" w:lineRule="auto"/>
        <w:rPr>
          <w:sz w:val="24"/>
          <w:lang w:bidi="km-KH"/>
        </w:rPr>
      </w:pPr>
      <w:r w:rsidRPr="001E14A0">
        <w:rPr>
          <w:sz w:val="24"/>
          <w:lang w:bidi="km-KH"/>
        </w:rPr>
        <w:t>United Arab Emirates</w:t>
      </w:r>
    </w:p>
    <w:p w14:paraId="004A4512" w14:textId="77777777" w:rsidR="00B750B1" w:rsidRPr="001E14A0" w:rsidRDefault="00B750B1" w:rsidP="00B750B1">
      <w:pPr>
        <w:adjustRightInd w:val="0"/>
        <w:snapToGrid w:val="0"/>
        <w:spacing w:line="276" w:lineRule="auto"/>
        <w:rPr>
          <w:sz w:val="24"/>
          <w:lang w:bidi="km-KH"/>
        </w:rPr>
      </w:pPr>
    </w:p>
    <w:p w14:paraId="3C486B40" w14:textId="77777777" w:rsidR="00B750B1" w:rsidRPr="001E14A0" w:rsidRDefault="00B750B1" w:rsidP="00B750B1">
      <w:pPr>
        <w:adjustRightInd w:val="0"/>
        <w:snapToGrid w:val="0"/>
        <w:spacing w:line="276" w:lineRule="auto"/>
        <w:rPr>
          <w:sz w:val="24"/>
          <w:lang w:bidi="km-KH"/>
        </w:rPr>
      </w:pPr>
    </w:p>
    <w:p w14:paraId="41475A6E" w14:textId="77777777" w:rsidR="00B750B1" w:rsidRPr="001E14A0" w:rsidRDefault="00B750B1" w:rsidP="00B750B1">
      <w:pPr>
        <w:adjustRightInd w:val="0"/>
        <w:snapToGrid w:val="0"/>
        <w:spacing w:after="240" w:line="276" w:lineRule="auto"/>
        <w:jc w:val="both"/>
        <w:rPr>
          <w:b/>
          <w:bCs/>
          <w:sz w:val="24"/>
          <w:lang w:bidi="km-KH"/>
        </w:rPr>
      </w:pPr>
      <w:r w:rsidRPr="001E14A0">
        <w:rPr>
          <w:b/>
          <w:bCs/>
          <w:sz w:val="24"/>
          <w:lang w:bidi="km-KH"/>
        </w:rPr>
        <w:t>Your Excellency,</w:t>
      </w:r>
    </w:p>
    <w:p w14:paraId="69651090" w14:textId="32DCDAC1" w:rsidR="00B750B1" w:rsidRPr="001E14A0" w:rsidRDefault="00B750B1" w:rsidP="00B750B1">
      <w:pPr>
        <w:adjustRightInd w:val="0"/>
        <w:snapToGrid w:val="0"/>
        <w:spacing w:after="240" w:line="276" w:lineRule="auto"/>
        <w:jc w:val="both"/>
        <w:rPr>
          <w:sz w:val="24"/>
          <w:lang w:bidi="km-KH"/>
        </w:rPr>
      </w:pPr>
      <w:r w:rsidRPr="001E14A0">
        <w:rPr>
          <w:sz w:val="24"/>
          <w:lang w:bidi="km-KH"/>
        </w:rPr>
        <w:t xml:space="preserve">I have the honor to acknowledge the receipt of your </w:t>
      </w:r>
      <w:r w:rsidRPr="00D65FAE">
        <w:rPr>
          <w:sz w:val="24"/>
          <w:lang w:bidi="km-KH"/>
        </w:rPr>
        <w:t>letter No</w:t>
      </w:r>
      <w:r w:rsidRPr="00D65FAE">
        <w:rPr>
          <w:sz w:val="24"/>
        </w:rPr>
        <w:t xml:space="preserve"> </w:t>
      </w:r>
      <w:r w:rsidRPr="00D65FAE">
        <w:rPr>
          <w:sz w:val="24"/>
          <w:lang w:bidi="km-KH"/>
        </w:rPr>
        <w:t>…</w:t>
      </w:r>
      <w:r w:rsidRPr="001E14A0">
        <w:rPr>
          <w:sz w:val="24"/>
          <w:lang w:bidi="km-KH"/>
        </w:rPr>
        <w:t xml:space="preserve"> dated</w:t>
      </w:r>
      <w:r w:rsidR="005B2EEF">
        <w:rPr>
          <w:sz w:val="24"/>
          <w:lang w:bidi="km-KH"/>
        </w:rPr>
        <w:t xml:space="preserve"> 6 November 2024 </w:t>
      </w:r>
      <w:r w:rsidRPr="001E14A0">
        <w:rPr>
          <w:sz w:val="24"/>
          <w:lang w:bidi="km-KH"/>
        </w:rPr>
        <w:t xml:space="preserve">which reads as follows: </w:t>
      </w:r>
    </w:p>
    <w:p w14:paraId="2135600A" w14:textId="21C349F9" w:rsidR="00B750B1" w:rsidRPr="001E14A0" w:rsidRDefault="00B750B1" w:rsidP="00B750B1">
      <w:pPr>
        <w:jc w:val="both"/>
        <w:rPr>
          <w:sz w:val="24"/>
          <w:lang w:val="en-GB"/>
        </w:rPr>
      </w:pPr>
      <w:r w:rsidRPr="001E14A0">
        <w:rPr>
          <w:sz w:val="24"/>
        </w:rPr>
        <w:t xml:space="preserve">In </w:t>
      </w:r>
      <w:r w:rsidRPr="001E14A0">
        <w:rPr>
          <w:sz w:val="24"/>
          <w:lang w:val="en-GB"/>
        </w:rPr>
        <w:t xml:space="preserve">connection with the signing on this date of the Comprehensive Economic Partnership Agreement (the </w:t>
      </w:r>
      <w:r w:rsidRPr="001E14A0">
        <w:rPr>
          <w:b/>
          <w:bCs/>
          <w:sz w:val="24"/>
          <w:lang w:val="en-GB"/>
        </w:rPr>
        <w:t>“Agreement”</w:t>
      </w:r>
      <w:r w:rsidRPr="001E14A0">
        <w:rPr>
          <w:sz w:val="24"/>
          <w:lang w:val="en-GB"/>
        </w:rPr>
        <w:t>), between the United Arab Emirates (</w:t>
      </w:r>
      <w:r w:rsidRPr="001E14A0">
        <w:rPr>
          <w:b/>
          <w:bCs/>
          <w:sz w:val="24"/>
          <w:lang w:val="en-GB"/>
        </w:rPr>
        <w:t>“UAE”</w:t>
      </w:r>
      <w:r w:rsidRPr="001E14A0">
        <w:rPr>
          <w:sz w:val="24"/>
          <w:lang w:val="en-GB"/>
        </w:rPr>
        <w:t xml:space="preserve">) and the </w:t>
      </w:r>
      <w:r w:rsidR="001E14A0" w:rsidRPr="001E14A0">
        <w:rPr>
          <w:rFonts w:asciiTheme="majorBidi" w:hAnsiTheme="majorBidi" w:cstheme="majorBidi"/>
          <w:sz w:val="24"/>
        </w:rPr>
        <w:t>Commonwealth of Australia</w:t>
      </w:r>
      <w:r w:rsidRPr="001E14A0">
        <w:rPr>
          <w:rFonts w:asciiTheme="majorBidi" w:hAnsiTheme="majorBidi" w:cstheme="majorBidi"/>
          <w:sz w:val="24"/>
          <w:lang w:bidi="km-KH"/>
        </w:rPr>
        <w:t xml:space="preserve"> </w:t>
      </w:r>
      <w:r w:rsidRPr="001E14A0">
        <w:rPr>
          <w:sz w:val="24"/>
          <w:lang w:val="en-GB"/>
        </w:rPr>
        <w:t>(</w:t>
      </w:r>
      <w:r w:rsidRPr="001E14A0">
        <w:rPr>
          <w:b/>
          <w:bCs/>
          <w:sz w:val="24"/>
          <w:lang w:val="en-GB"/>
        </w:rPr>
        <w:t>“</w:t>
      </w:r>
      <w:r w:rsidR="001E14A0" w:rsidRPr="001E14A0">
        <w:rPr>
          <w:rFonts w:asciiTheme="majorBidi" w:hAnsiTheme="majorBidi" w:cstheme="majorBidi"/>
          <w:b/>
          <w:bCs/>
          <w:sz w:val="24"/>
          <w:lang w:bidi="km-KH"/>
        </w:rPr>
        <w:t>Australia</w:t>
      </w:r>
      <w:r w:rsidRPr="001E14A0">
        <w:rPr>
          <w:b/>
          <w:bCs/>
          <w:sz w:val="24"/>
          <w:lang w:val="en-GB"/>
        </w:rPr>
        <w:t>”</w:t>
      </w:r>
      <w:r w:rsidRPr="001E14A0">
        <w:rPr>
          <w:sz w:val="24"/>
          <w:lang w:val="en-GB"/>
        </w:rPr>
        <w:t xml:space="preserve">), </w:t>
      </w:r>
      <w:r w:rsidRPr="001E14A0">
        <w:rPr>
          <w:sz w:val="24"/>
        </w:rPr>
        <w:t xml:space="preserve">I have the </w:t>
      </w:r>
      <w:proofErr w:type="spellStart"/>
      <w:r w:rsidRPr="001E14A0">
        <w:rPr>
          <w:sz w:val="24"/>
        </w:rPr>
        <w:t>honour</w:t>
      </w:r>
      <w:proofErr w:type="spellEnd"/>
      <w:r w:rsidRPr="001E14A0">
        <w:rPr>
          <w:sz w:val="24"/>
        </w:rPr>
        <w:t xml:space="preserve"> to </w:t>
      </w:r>
      <w:r w:rsidRPr="001E14A0">
        <w:rPr>
          <w:sz w:val="24"/>
          <w:lang w:val="en-GB"/>
        </w:rPr>
        <w:t>confirm UAE’s understanding as follows:</w:t>
      </w:r>
    </w:p>
    <w:p w14:paraId="17B21B81" w14:textId="77777777" w:rsidR="00B750B1" w:rsidRPr="001E14A0" w:rsidRDefault="00B750B1" w:rsidP="00B750B1">
      <w:pPr>
        <w:jc w:val="both"/>
        <w:rPr>
          <w:sz w:val="24"/>
          <w:lang w:val="en-GB"/>
        </w:rPr>
      </w:pPr>
    </w:p>
    <w:p w14:paraId="26D5DC5C" w14:textId="77777777" w:rsidR="00B750B1" w:rsidRPr="001E14A0" w:rsidRDefault="00B750B1" w:rsidP="00B750B1">
      <w:pPr>
        <w:jc w:val="both"/>
        <w:rPr>
          <w:sz w:val="24"/>
          <w:lang w:val="en-GB"/>
        </w:rPr>
      </w:pPr>
      <w:r w:rsidRPr="001E14A0">
        <w:rPr>
          <w:sz w:val="24"/>
          <w:lang w:val="en-GB"/>
        </w:rPr>
        <w:t>1.The UAE is an independent, sovereign, federal State, with seven sovereign Member Emirates (</w:t>
      </w:r>
      <w:r w:rsidRPr="001E14A0">
        <w:rPr>
          <w:b/>
          <w:bCs/>
          <w:sz w:val="24"/>
          <w:lang w:val="en-GB"/>
        </w:rPr>
        <w:t>“Member Emirates”</w:t>
      </w:r>
      <w:r w:rsidRPr="001E14A0">
        <w:rPr>
          <w:sz w:val="24"/>
          <w:lang w:val="en-GB"/>
        </w:rPr>
        <w:t xml:space="preserve">), and pursuant to its Constitution, each Member Emirate retains full sovereignty, sovereign rights and exclusive jurisdiction over its natural resources and wealth of which the Energy Resources Sector is the subject matter of this letter. For the purposes of this letter, </w:t>
      </w:r>
      <w:r w:rsidRPr="001E14A0">
        <w:rPr>
          <w:b/>
          <w:bCs/>
          <w:sz w:val="24"/>
          <w:lang w:val="en-GB"/>
        </w:rPr>
        <w:t xml:space="preserve">“Energy Resources Sector” </w:t>
      </w:r>
      <w:r w:rsidRPr="001E14A0">
        <w:rPr>
          <w:sz w:val="24"/>
          <w:lang w:val="en-GB"/>
        </w:rPr>
        <w:t xml:space="preserve">shall mean all hydrocarbons such as oil, gas, and condensates, derivates and primary by-products thereof with respect to ownership, management, exploration, development and production, exploitation (including reservoir management), transportation, storage, refining and processing, and distribution (including retail distribution) of all hydrocarbons, such as oil, gas, and condensates, derivates and primary by-products thereof. </w:t>
      </w:r>
    </w:p>
    <w:p w14:paraId="75738D9C" w14:textId="7647A5A0" w:rsidR="00B750B1" w:rsidRPr="001E14A0" w:rsidRDefault="00B750B1" w:rsidP="00B750B1">
      <w:pPr>
        <w:spacing w:before="240" w:after="240"/>
        <w:jc w:val="both"/>
        <w:rPr>
          <w:sz w:val="24"/>
          <w:lang w:val="en-GB"/>
        </w:rPr>
      </w:pPr>
      <w:r w:rsidRPr="001E14A0">
        <w:rPr>
          <w:sz w:val="24"/>
          <w:lang w:val="en-GB"/>
        </w:rPr>
        <w:t xml:space="preserve">2. In recognition of the foregoing, the Agreement between UAE and </w:t>
      </w:r>
      <w:r w:rsidR="001E14A0" w:rsidRPr="001E14A0">
        <w:rPr>
          <w:sz w:val="24"/>
          <w:lang w:val="en-GB"/>
        </w:rPr>
        <w:t>Australia</w:t>
      </w:r>
      <w:r w:rsidRPr="001E14A0">
        <w:rPr>
          <w:sz w:val="24"/>
          <w:lang w:val="en-GB"/>
        </w:rPr>
        <w:t xml:space="preserve"> shall not grant any rights to </w:t>
      </w:r>
      <w:r w:rsidR="001E14A0" w:rsidRPr="001E14A0">
        <w:rPr>
          <w:rFonts w:asciiTheme="majorBidi" w:hAnsiTheme="majorBidi" w:cstheme="majorBidi"/>
          <w:sz w:val="24"/>
          <w:lang w:bidi="km-KH"/>
        </w:rPr>
        <w:t>Australia</w:t>
      </w:r>
      <w:r w:rsidRPr="001E14A0">
        <w:rPr>
          <w:rFonts w:asciiTheme="majorBidi" w:hAnsiTheme="majorBidi" w:cstheme="majorBidi"/>
          <w:sz w:val="24"/>
          <w:lang w:bidi="km-KH"/>
        </w:rPr>
        <w:t xml:space="preserve"> </w:t>
      </w:r>
      <w:r w:rsidRPr="001E14A0">
        <w:rPr>
          <w:sz w:val="24"/>
          <w:lang w:val="en-GB"/>
        </w:rPr>
        <w:t xml:space="preserve">or create any obligations for the UAE or any of its Member Emirates </w:t>
      </w:r>
      <w:proofErr w:type="gramStart"/>
      <w:r w:rsidRPr="001E14A0">
        <w:rPr>
          <w:sz w:val="24"/>
          <w:lang w:val="en-GB"/>
        </w:rPr>
        <w:t>with regard to</w:t>
      </w:r>
      <w:proofErr w:type="gramEnd"/>
      <w:r w:rsidRPr="001E14A0">
        <w:rPr>
          <w:sz w:val="24"/>
          <w:lang w:val="en-GB"/>
        </w:rPr>
        <w:t xml:space="preserve"> the Energy Resources Sector. Accordingly, the Energy Resources Sector is excluded from all aspects and provisions of the Agreement, including the Chapter on Dispute Settlement (Chapter </w:t>
      </w:r>
      <w:r w:rsidR="00FA430B">
        <w:rPr>
          <w:sz w:val="24"/>
          <w:lang w:val="en-GB"/>
        </w:rPr>
        <w:t>25</w:t>
      </w:r>
      <w:r w:rsidRPr="001E14A0">
        <w:rPr>
          <w:sz w:val="24"/>
          <w:lang w:val="en-GB"/>
        </w:rPr>
        <w:t>) without prejudice to paragraph 4 of this Letter. All matters pertaining to the Energy Resources Sector of any of the Member Emirates are within the exclusive jurisdiction of the Member Emirates, and all determinations and decisions of each Member Emirate made by such Member Emirate’s competent authorities pertaining to the Energy Resources Sector (“Competent Authorities”) that are the subject of its jurisdiction shall be final, binding and not subject to review or challenge.</w:t>
      </w:r>
    </w:p>
    <w:p w14:paraId="6D0C91DB" w14:textId="648B528D" w:rsidR="00B750B1" w:rsidRPr="001E14A0" w:rsidRDefault="00B750B1" w:rsidP="00B750B1">
      <w:pPr>
        <w:spacing w:before="240" w:after="240"/>
        <w:jc w:val="both"/>
        <w:rPr>
          <w:sz w:val="24"/>
          <w:lang w:val="en-GB"/>
        </w:rPr>
      </w:pPr>
      <w:r w:rsidRPr="001E14A0">
        <w:rPr>
          <w:sz w:val="24"/>
          <w:lang w:val="en-GB"/>
        </w:rPr>
        <w:t xml:space="preserve">3. </w:t>
      </w:r>
      <w:proofErr w:type="gramStart"/>
      <w:r w:rsidRPr="001E14A0">
        <w:rPr>
          <w:sz w:val="24"/>
          <w:lang w:val="en-GB"/>
        </w:rPr>
        <w:t>Subsequent to</w:t>
      </w:r>
      <w:proofErr w:type="gramEnd"/>
      <w:r w:rsidRPr="001E14A0">
        <w:rPr>
          <w:sz w:val="24"/>
          <w:lang w:val="en-GB"/>
        </w:rPr>
        <w:t xml:space="preserve"> the date of entry into effect of the Agreement and in the event that the UAE with the concurrence of the Member Emirates’ Competent Authorities conclude a regional Trade Agreement by which it grants any rights excluded by this letter to a third country with regard to the Energy Resources Sector, such rights shall be granted to </w:t>
      </w:r>
      <w:r w:rsidR="001E14A0" w:rsidRPr="001E14A0">
        <w:rPr>
          <w:rFonts w:asciiTheme="majorBidi" w:hAnsiTheme="majorBidi" w:cstheme="majorBidi"/>
          <w:sz w:val="24"/>
          <w:lang w:bidi="km-KH"/>
        </w:rPr>
        <w:t>Australia</w:t>
      </w:r>
      <w:r w:rsidRPr="001E14A0">
        <w:rPr>
          <w:sz w:val="24"/>
          <w:lang w:val="en-GB"/>
        </w:rPr>
        <w:t xml:space="preserve">.  </w:t>
      </w:r>
    </w:p>
    <w:p w14:paraId="164465E3" w14:textId="04114F71" w:rsidR="00B750B1" w:rsidRPr="001E14A0" w:rsidRDefault="00B750B1" w:rsidP="00B750B1">
      <w:pPr>
        <w:jc w:val="both"/>
        <w:rPr>
          <w:sz w:val="24"/>
          <w:lang w:val="en-GB"/>
        </w:rPr>
      </w:pPr>
      <w:r w:rsidRPr="001E14A0">
        <w:rPr>
          <w:sz w:val="24"/>
          <w:lang w:val="en-GB"/>
        </w:rPr>
        <w:lastRenderedPageBreak/>
        <w:t xml:space="preserve">4. Notwithstanding the above, in the event of a difference in the interpretation or application of this letter, the UAE and </w:t>
      </w:r>
      <w:r w:rsidR="001E14A0" w:rsidRPr="001E14A0">
        <w:rPr>
          <w:rFonts w:asciiTheme="majorBidi" w:hAnsiTheme="majorBidi" w:cstheme="majorBidi"/>
          <w:sz w:val="24"/>
          <w:lang w:bidi="km-KH"/>
        </w:rPr>
        <w:t>Australia</w:t>
      </w:r>
      <w:r w:rsidRPr="001E14A0">
        <w:rPr>
          <w:rFonts w:asciiTheme="majorBidi" w:hAnsiTheme="majorBidi" w:cstheme="majorBidi"/>
          <w:sz w:val="24"/>
          <w:lang w:bidi="km-KH"/>
        </w:rPr>
        <w:t xml:space="preserve"> </w:t>
      </w:r>
      <w:r w:rsidRPr="001E14A0">
        <w:rPr>
          <w:sz w:val="24"/>
          <w:lang w:val="en-GB"/>
        </w:rPr>
        <w:t xml:space="preserve">shall have recourse to confidential consultations under Article </w:t>
      </w:r>
      <w:r w:rsidR="00FA430B" w:rsidRPr="004043DD">
        <w:rPr>
          <w:sz w:val="24"/>
          <w:lang w:val="en-GB"/>
        </w:rPr>
        <w:t>25</w:t>
      </w:r>
      <w:r w:rsidRPr="004043DD">
        <w:rPr>
          <w:sz w:val="24"/>
          <w:lang w:val="en-GB"/>
        </w:rPr>
        <w:t>.</w:t>
      </w:r>
      <w:r w:rsidR="00FA430B" w:rsidRPr="004043DD">
        <w:rPr>
          <w:sz w:val="24"/>
          <w:lang w:val="en-GB"/>
        </w:rPr>
        <w:t>6</w:t>
      </w:r>
      <w:r w:rsidRPr="001E14A0">
        <w:rPr>
          <w:sz w:val="24"/>
          <w:lang w:val="en-GB"/>
        </w:rPr>
        <w:t xml:space="preserve"> (Consultations), at the request of either Party to this letter. The Parties shall make every attempt through consultation to arrive at a mutually satisfactory resolution within 60 days from the request. </w:t>
      </w:r>
    </w:p>
    <w:p w14:paraId="59057B86" w14:textId="77777777" w:rsidR="00B750B1" w:rsidRPr="001E14A0" w:rsidRDefault="00B750B1" w:rsidP="00B750B1">
      <w:pPr>
        <w:jc w:val="both"/>
        <w:rPr>
          <w:sz w:val="24"/>
          <w:lang w:val="en-GB"/>
        </w:rPr>
      </w:pPr>
    </w:p>
    <w:p w14:paraId="42609726" w14:textId="53577B5A" w:rsidR="00B750B1" w:rsidRPr="001E14A0" w:rsidRDefault="00B750B1" w:rsidP="00B750B1">
      <w:pPr>
        <w:jc w:val="both"/>
        <w:rPr>
          <w:sz w:val="24"/>
          <w:lang w:val="en-GB"/>
        </w:rPr>
      </w:pPr>
      <w:r w:rsidRPr="001E14A0">
        <w:rPr>
          <w:sz w:val="24"/>
          <w:lang w:val="en-GB"/>
        </w:rPr>
        <w:t xml:space="preserve">5. In the event that the UAE and </w:t>
      </w:r>
      <w:r w:rsidR="001E14A0" w:rsidRPr="001E14A0">
        <w:rPr>
          <w:sz w:val="24"/>
          <w:lang w:val="en-GB"/>
        </w:rPr>
        <w:t>Australia</w:t>
      </w:r>
      <w:r w:rsidRPr="001E14A0">
        <w:rPr>
          <w:rFonts w:asciiTheme="majorBidi" w:hAnsiTheme="majorBidi" w:cstheme="majorBidi"/>
          <w:sz w:val="24"/>
          <w:lang w:bidi="km-KH"/>
        </w:rPr>
        <w:t xml:space="preserve"> </w:t>
      </w:r>
      <w:r w:rsidRPr="001E14A0">
        <w:rPr>
          <w:sz w:val="24"/>
          <w:lang w:val="en-GB"/>
        </w:rPr>
        <w:t xml:space="preserve">have failed to achieve a mutually agreed solution within 60 days after the date of receipt of the request for consultations, or if the UAE fails to comply with the mutually agreed solution within the agreed timeframe, the only recourse of </w:t>
      </w:r>
      <w:r w:rsidR="001E14A0" w:rsidRPr="001E14A0">
        <w:rPr>
          <w:rFonts w:asciiTheme="majorBidi" w:hAnsiTheme="majorBidi" w:cstheme="majorBidi"/>
          <w:sz w:val="24"/>
          <w:lang w:bidi="km-KH"/>
        </w:rPr>
        <w:t>Australia</w:t>
      </w:r>
      <w:r w:rsidRPr="001E14A0">
        <w:rPr>
          <w:rFonts w:asciiTheme="majorBidi" w:hAnsiTheme="majorBidi" w:cstheme="majorBidi"/>
          <w:sz w:val="24"/>
          <w:lang w:bidi="km-KH"/>
        </w:rPr>
        <w:t xml:space="preserve"> </w:t>
      </w:r>
      <w:r w:rsidRPr="001E14A0">
        <w:rPr>
          <w:sz w:val="24"/>
          <w:lang w:val="en-GB"/>
        </w:rPr>
        <w:t xml:space="preserve">shall be that it may suspend benefits under the Agreement proportionate to the trade effects which the measure in question causes. Moreover, </w:t>
      </w:r>
      <w:r w:rsidR="001E14A0" w:rsidRPr="001E14A0">
        <w:rPr>
          <w:rFonts w:asciiTheme="majorBidi" w:hAnsiTheme="majorBidi" w:cstheme="majorBidi"/>
          <w:sz w:val="24"/>
          <w:lang w:bidi="km-KH"/>
        </w:rPr>
        <w:t>Australia</w:t>
      </w:r>
      <w:r w:rsidRPr="001E14A0">
        <w:rPr>
          <w:rFonts w:asciiTheme="majorBidi" w:hAnsiTheme="majorBidi" w:cstheme="majorBidi"/>
          <w:sz w:val="24"/>
          <w:lang w:bidi="km-KH"/>
        </w:rPr>
        <w:t xml:space="preserve"> </w:t>
      </w:r>
      <w:r w:rsidRPr="001E14A0">
        <w:rPr>
          <w:sz w:val="24"/>
          <w:lang w:val="en-GB"/>
        </w:rPr>
        <w:t xml:space="preserve">shall repeal its compensatory measure to the extent that the UAE’s measure in question ceases to apply. The above-mentioned procedure shall also apply in case of any dispute relating to whether </w:t>
      </w:r>
      <w:r w:rsidR="001E14A0" w:rsidRPr="001E14A0">
        <w:rPr>
          <w:rFonts w:asciiTheme="majorBidi" w:hAnsiTheme="majorBidi" w:cstheme="majorBidi"/>
          <w:sz w:val="24"/>
          <w:lang w:bidi="km-KH"/>
        </w:rPr>
        <w:t>Australia</w:t>
      </w:r>
      <w:r w:rsidRPr="001E14A0">
        <w:rPr>
          <w:sz w:val="24"/>
          <w:lang w:val="en-GB"/>
        </w:rPr>
        <w:t>’s compensatory measure is proportionate, with the UAE likewise ultimately having the right to suspend benefits proportionately.</w:t>
      </w:r>
    </w:p>
    <w:p w14:paraId="0E9373FC" w14:textId="77777777" w:rsidR="00B750B1" w:rsidRPr="001E14A0" w:rsidRDefault="00B750B1" w:rsidP="00B750B1">
      <w:pPr>
        <w:jc w:val="both"/>
        <w:rPr>
          <w:sz w:val="24"/>
          <w:lang w:val="en-GB"/>
        </w:rPr>
      </w:pPr>
    </w:p>
    <w:p w14:paraId="49D54298" w14:textId="77777777" w:rsidR="00B750B1" w:rsidRPr="001E14A0" w:rsidRDefault="00B750B1" w:rsidP="00B750B1">
      <w:pPr>
        <w:jc w:val="both"/>
        <w:rPr>
          <w:sz w:val="24"/>
          <w:lang w:val="en-GB"/>
        </w:rPr>
      </w:pPr>
      <w:r w:rsidRPr="001E14A0">
        <w:rPr>
          <w:sz w:val="24"/>
          <w:lang w:val="en-GB"/>
        </w:rPr>
        <w:t xml:space="preserve">6. </w:t>
      </w:r>
      <w:r w:rsidRPr="001E14A0">
        <w:rPr>
          <w:rFonts w:asciiTheme="majorBidi" w:hAnsiTheme="majorBidi" w:cstheme="majorBidi"/>
          <w:sz w:val="24"/>
          <w:lang w:val="en-GB"/>
        </w:rPr>
        <w:t>For greater certainty, neither Party shall have recourse to any further proceeding under the Agreement or under any other forum.</w:t>
      </w:r>
    </w:p>
    <w:p w14:paraId="156895F7" w14:textId="77777777" w:rsidR="00B750B1" w:rsidRPr="001E14A0" w:rsidRDefault="00B750B1" w:rsidP="00B750B1">
      <w:pPr>
        <w:jc w:val="both"/>
        <w:rPr>
          <w:sz w:val="24"/>
          <w:lang w:val="en-GB"/>
        </w:rPr>
      </w:pPr>
    </w:p>
    <w:p w14:paraId="684DE8EA" w14:textId="2B089B7F" w:rsidR="00B750B1" w:rsidRPr="001E14A0" w:rsidRDefault="00B750B1" w:rsidP="00B750B1">
      <w:pPr>
        <w:jc w:val="both"/>
        <w:rPr>
          <w:rFonts w:asciiTheme="majorBidi" w:hAnsiTheme="majorBidi" w:cstheme="majorBidi"/>
          <w:sz w:val="24"/>
          <w:lang w:val="en-GB"/>
        </w:rPr>
      </w:pPr>
      <w:r w:rsidRPr="001E14A0">
        <w:rPr>
          <w:rFonts w:asciiTheme="majorBidi" w:hAnsiTheme="majorBidi" w:cstheme="majorBidi"/>
          <w:sz w:val="24"/>
          <w:lang w:val="en-GB"/>
        </w:rPr>
        <w:t xml:space="preserve">7. The UAE and </w:t>
      </w:r>
      <w:r w:rsidR="001E14A0" w:rsidRPr="001E14A0">
        <w:rPr>
          <w:rFonts w:asciiTheme="majorBidi" w:hAnsiTheme="majorBidi" w:cstheme="majorBidi"/>
          <w:sz w:val="24"/>
          <w:lang w:bidi="km-KH"/>
        </w:rPr>
        <w:t>Australia</w:t>
      </w:r>
      <w:r w:rsidRPr="001E14A0">
        <w:rPr>
          <w:rFonts w:asciiTheme="majorBidi" w:hAnsiTheme="majorBidi" w:cstheme="majorBidi"/>
          <w:sz w:val="24"/>
          <w:lang w:bidi="km-KH"/>
        </w:rPr>
        <w:t xml:space="preserve"> </w:t>
      </w:r>
      <w:r w:rsidRPr="001E14A0">
        <w:rPr>
          <w:rFonts w:asciiTheme="majorBidi" w:hAnsiTheme="majorBidi" w:cstheme="majorBidi"/>
          <w:sz w:val="24"/>
          <w:lang w:val="en-GB"/>
        </w:rPr>
        <w:t>further agree that this letter shall constitute an integral part of the Agreement and that, in the unlikely event of any inconsistency between this letter and any provisions of the Agreement, this letter shall prevail to the extent of that inconsistency.”</w:t>
      </w:r>
    </w:p>
    <w:p w14:paraId="0FED3E17" w14:textId="77777777" w:rsidR="00B750B1" w:rsidRPr="001E14A0" w:rsidRDefault="00B750B1" w:rsidP="00B750B1">
      <w:pPr>
        <w:jc w:val="both"/>
        <w:rPr>
          <w:sz w:val="24"/>
          <w:lang w:val="en-GB"/>
        </w:rPr>
      </w:pPr>
    </w:p>
    <w:p w14:paraId="39774A94" w14:textId="7EFDCD62" w:rsidR="00B750B1" w:rsidRDefault="00B750B1" w:rsidP="001E14A0">
      <w:pPr>
        <w:jc w:val="both"/>
        <w:rPr>
          <w:rFonts w:asciiTheme="majorBidi" w:hAnsiTheme="majorBidi" w:cstheme="majorBidi"/>
          <w:sz w:val="24"/>
          <w:lang w:val="en-GB"/>
        </w:rPr>
      </w:pPr>
      <w:r w:rsidRPr="001E14A0">
        <w:rPr>
          <w:rFonts w:asciiTheme="majorBidi" w:hAnsiTheme="majorBidi" w:cstheme="majorBidi"/>
          <w:sz w:val="24"/>
          <w:lang w:val="en-GB"/>
        </w:rPr>
        <w:t xml:space="preserve">I am pleased to further confirm that the proposed understanding of the United Arab Emirates with regards to the Energy Resources Sector as specified in the letter is accepted by </w:t>
      </w:r>
      <w:r w:rsidR="001E14A0" w:rsidRPr="001E14A0">
        <w:rPr>
          <w:rFonts w:asciiTheme="majorBidi" w:hAnsiTheme="majorBidi" w:cstheme="majorBidi"/>
          <w:sz w:val="24"/>
          <w:lang w:val="en-GB"/>
        </w:rPr>
        <w:t>Australia</w:t>
      </w:r>
      <w:r w:rsidRPr="001E14A0">
        <w:rPr>
          <w:rFonts w:asciiTheme="majorBidi" w:hAnsiTheme="majorBidi" w:cstheme="majorBidi"/>
          <w:sz w:val="24"/>
          <w:lang w:val="en-GB"/>
        </w:rPr>
        <w:t xml:space="preserve"> and shall constitute an integral part of the Comprehensive Economic Partnership Agreement between </w:t>
      </w:r>
      <w:r w:rsidR="001E14A0" w:rsidRPr="001E14A0">
        <w:rPr>
          <w:rFonts w:asciiTheme="majorBidi" w:hAnsiTheme="majorBidi" w:cstheme="majorBidi"/>
          <w:sz w:val="24"/>
          <w:lang w:val="en-GB"/>
        </w:rPr>
        <w:t>Australia</w:t>
      </w:r>
      <w:r w:rsidRPr="001E14A0">
        <w:rPr>
          <w:rFonts w:asciiTheme="majorBidi" w:hAnsiTheme="majorBidi" w:cstheme="majorBidi"/>
          <w:sz w:val="24"/>
          <w:lang w:val="en-GB"/>
        </w:rPr>
        <w:t xml:space="preserve"> and the United Arab Emirates. </w:t>
      </w:r>
    </w:p>
    <w:p w14:paraId="13C6F3CB" w14:textId="77777777" w:rsidR="004043DD" w:rsidRPr="001E14A0" w:rsidRDefault="004043DD" w:rsidP="001E14A0">
      <w:pPr>
        <w:jc w:val="both"/>
        <w:rPr>
          <w:rFonts w:asciiTheme="majorBidi" w:hAnsiTheme="majorBidi" w:cstheme="majorBidi"/>
          <w:sz w:val="24"/>
          <w:lang w:val="en-GB"/>
        </w:rPr>
      </w:pPr>
    </w:p>
    <w:p w14:paraId="3074F465" w14:textId="77777777" w:rsidR="00B750B1" w:rsidRPr="001E14A0" w:rsidRDefault="00B750B1" w:rsidP="00B750B1">
      <w:pPr>
        <w:adjustRightInd w:val="0"/>
        <w:snapToGrid w:val="0"/>
        <w:spacing w:after="120" w:line="276" w:lineRule="auto"/>
        <w:jc w:val="both"/>
        <w:rPr>
          <w:sz w:val="24"/>
          <w:lang w:bidi="km-KH"/>
        </w:rPr>
      </w:pPr>
      <w:r w:rsidRPr="001E14A0">
        <w:rPr>
          <w:sz w:val="24"/>
          <w:lang w:bidi="km-KH"/>
        </w:rPr>
        <w:t>Please accept, Your Excellency, the assurances of my highest consideration.</w:t>
      </w:r>
    </w:p>
    <w:p w14:paraId="11D09E5C" w14:textId="77777777" w:rsidR="00B750B1" w:rsidRPr="001E14A0" w:rsidRDefault="00B750B1" w:rsidP="00B750B1">
      <w:pPr>
        <w:adjustRightInd w:val="0"/>
        <w:snapToGrid w:val="0"/>
        <w:spacing w:before="240" w:after="480" w:line="276" w:lineRule="auto"/>
        <w:jc w:val="both"/>
        <w:rPr>
          <w:b/>
          <w:bCs/>
          <w:sz w:val="24"/>
          <w:lang w:bidi="km-KH"/>
        </w:rPr>
      </w:pPr>
      <w:r w:rsidRPr="001E14A0">
        <w:rPr>
          <w:b/>
          <w:bCs/>
          <w:sz w:val="24"/>
          <w:lang w:bidi="km-KH"/>
        </w:rPr>
        <w:t xml:space="preserve">Yours Sincerely, </w:t>
      </w:r>
    </w:p>
    <w:p w14:paraId="25E2A1C8" w14:textId="77777777" w:rsidR="007B10DF" w:rsidRDefault="007B10DF" w:rsidP="008418FB">
      <w:pPr>
        <w:adjustRightInd w:val="0"/>
        <w:snapToGrid w:val="0"/>
        <w:spacing w:after="120" w:line="276" w:lineRule="auto"/>
        <w:jc w:val="both"/>
        <w:rPr>
          <w:sz w:val="24"/>
          <w:lang w:bidi="km-KH"/>
        </w:rPr>
      </w:pPr>
    </w:p>
    <w:p w14:paraId="02D2D662" w14:textId="77777777" w:rsidR="007B10DF" w:rsidRDefault="007B10DF" w:rsidP="008418FB">
      <w:pPr>
        <w:adjustRightInd w:val="0"/>
        <w:snapToGrid w:val="0"/>
        <w:spacing w:after="120" w:line="276" w:lineRule="auto"/>
        <w:jc w:val="both"/>
        <w:rPr>
          <w:sz w:val="24"/>
          <w:lang w:bidi="km-KH"/>
        </w:rPr>
      </w:pPr>
    </w:p>
    <w:p w14:paraId="0DE0E914" w14:textId="77777777" w:rsidR="007B10DF" w:rsidRDefault="007B10DF" w:rsidP="008418FB">
      <w:pPr>
        <w:adjustRightInd w:val="0"/>
        <w:snapToGrid w:val="0"/>
        <w:spacing w:after="120" w:line="276" w:lineRule="auto"/>
        <w:jc w:val="both"/>
        <w:rPr>
          <w:sz w:val="24"/>
          <w:lang w:bidi="km-KH"/>
        </w:rPr>
      </w:pPr>
    </w:p>
    <w:p w14:paraId="0CD96637" w14:textId="77777777" w:rsidR="007B10DF" w:rsidRDefault="007B10DF" w:rsidP="008418FB">
      <w:pPr>
        <w:adjustRightInd w:val="0"/>
        <w:snapToGrid w:val="0"/>
        <w:spacing w:after="120" w:line="276" w:lineRule="auto"/>
        <w:jc w:val="both"/>
        <w:rPr>
          <w:sz w:val="24"/>
          <w:lang w:bidi="km-KH"/>
        </w:rPr>
      </w:pPr>
    </w:p>
    <w:p w14:paraId="48A500D3" w14:textId="085A5772" w:rsidR="00B750B1" w:rsidRPr="001E14A0" w:rsidRDefault="00B750B1" w:rsidP="008418FB">
      <w:pPr>
        <w:adjustRightInd w:val="0"/>
        <w:snapToGrid w:val="0"/>
        <w:spacing w:after="120" w:line="276" w:lineRule="auto"/>
        <w:jc w:val="both"/>
        <w:rPr>
          <w:sz w:val="24"/>
          <w:lang w:bidi="km-KH"/>
        </w:rPr>
      </w:pPr>
      <w:r w:rsidRPr="001E14A0">
        <w:rPr>
          <w:sz w:val="24"/>
          <w:lang w:bidi="km-KH"/>
        </w:rPr>
        <w:t xml:space="preserve">                                                   </w:t>
      </w:r>
    </w:p>
    <w:p w14:paraId="3F899771" w14:textId="77777777" w:rsidR="001A2BD1" w:rsidRPr="001A2BD1" w:rsidRDefault="001A2BD1" w:rsidP="007B10DF">
      <w:pPr>
        <w:adjustRightInd w:val="0"/>
        <w:snapToGrid w:val="0"/>
        <w:spacing w:line="276" w:lineRule="auto"/>
        <w:jc w:val="both"/>
        <w:rPr>
          <w:b/>
          <w:bCs/>
          <w:sz w:val="24"/>
          <w:lang w:bidi="km-KH"/>
        </w:rPr>
      </w:pPr>
      <w:r w:rsidRPr="001A2BD1">
        <w:rPr>
          <w:b/>
          <w:bCs/>
          <w:sz w:val="24"/>
          <w:lang w:bidi="km-KH"/>
        </w:rPr>
        <w:t xml:space="preserve">Senator the Hon Don Farrell </w:t>
      </w:r>
    </w:p>
    <w:p w14:paraId="1C839E1F" w14:textId="77777777" w:rsidR="001A2BD1" w:rsidRPr="001A2BD1" w:rsidRDefault="001A2BD1" w:rsidP="007B10DF">
      <w:pPr>
        <w:adjustRightInd w:val="0"/>
        <w:snapToGrid w:val="0"/>
        <w:spacing w:line="276" w:lineRule="auto"/>
        <w:jc w:val="both"/>
        <w:rPr>
          <w:sz w:val="24"/>
          <w:lang w:bidi="km-KH"/>
        </w:rPr>
      </w:pPr>
      <w:r w:rsidRPr="001A2BD1">
        <w:rPr>
          <w:sz w:val="24"/>
          <w:lang w:bidi="km-KH"/>
        </w:rPr>
        <w:t xml:space="preserve">Minister for Trade and Tourism </w:t>
      </w:r>
    </w:p>
    <w:p w14:paraId="1CC12A0F" w14:textId="0055DD76" w:rsidR="00B750B1" w:rsidRPr="001A2BD1" w:rsidRDefault="001A2BD1" w:rsidP="007B10DF">
      <w:pPr>
        <w:adjustRightInd w:val="0"/>
        <w:snapToGrid w:val="0"/>
        <w:spacing w:line="276" w:lineRule="auto"/>
        <w:jc w:val="both"/>
        <w:rPr>
          <w:sz w:val="24"/>
          <w:lang w:bidi="km-KH"/>
        </w:rPr>
      </w:pPr>
      <w:r w:rsidRPr="001A2BD1">
        <w:rPr>
          <w:sz w:val="24"/>
          <w:lang w:bidi="km-KH"/>
        </w:rPr>
        <w:t>Australia</w:t>
      </w:r>
    </w:p>
    <w:p w14:paraId="55B8FBCF" w14:textId="77777777" w:rsidR="004D40AE" w:rsidRPr="001E14A0" w:rsidRDefault="004D40AE">
      <w:pPr>
        <w:rPr>
          <w:sz w:val="24"/>
        </w:rPr>
      </w:pPr>
    </w:p>
    <w:sectPr w:rsidR="004D40AE" w:rsidRPr="001E14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F3CF" w14:textId="77777777" w:rsidR="00233F69" w:rsidRDefault="00233F69" w:rsidP="006A5A21">
      <w:r>
        <w:separator/>
      </w:r>
    </w:p>
  </w:endnote>
  <w:endnote w:type="continuationSeparator" w:id="0">
    <w:p w14:paraId="06E10248" w14:textId="77777777" w:rsidR="00233F69" w:rsidRDefault="00233F69" w:rsidP="006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830C" w14:textId="77777777" w:rsidR="00233F69" w:rsidRDefault="00233F69" w:rsidP="006A5A21">
      <w:r>
        <w:separator/>
      </w:r>
    </w:p>
  </w:footnote>
  <w:footnote w:type="continuationSeparator" w:id="0">
    <w:p w14:paraId="5750EBEE" w14:textId="77777777" w:rsidR="00233F69" w:rsidRDefault="00233F69" w:rsidP="006A5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B1"/>
    <w:rsid w:val="001A2BD1"/>
    <w:rsid w:val="001E14A0"/>
    <w:rsid w:val="00233F69"/>
    <w:rsid w:val="004043DD"/>
    <w:rsid w:val="004837BE"/>
    <w:rsid w:val="004D40AE"/>
    <w:rsid w:val="00597488"/>
    <w:rsid w:val="005B2EEF"/>
    <w:rsid w:val="00615518"/>
    <w:rsid w:val="00650E2E"/>
    <w:rsid w:val="006A5A21"/>
    <w:rsid w:val="006E5EA9"/>
    <w:rsid w:val="007708A2"/>
    <w:rsid w:val="007B10DF"/>
    <w:rsid w:val="007C0458"/>
    <w:rsid w:val="008120B1"/>
    <w:rsid w:val="008418FB"/>
    <w:rsid w:val="009C1C80"/>
    <w:rsid w:val="00AF1B81"/>
    <w:rsid w:val="00B0248C"/>
    <w:rsid w:val="00B750B1"/>
    <w:rsid w:val="00C37313"/>
    <w:rsid w:val="00D65FAE"/>
    <w:rsid w:val="00EA3114"/>
    <w:rsid w:val="00FA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19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B1"/>
    <w:pPr>
      <w:spacing w:after="0" w:line="240" w:lineRule="auto"/>
    </w:pPr>
    <w:rPr>
      <w:rFonts w:ascii="Times New Roman" w:eastAsia="Times New Roman" w:hAnsi="Times New Roman" w:cs="Times New Roman"/>
      <w:kern w:val="0"/>
      <w:szCs w:val="24"/>
      <w:lang w:bidi="he-IL"/>
      <w14:ligatures w14:val="none"/>
    </w:rPr>
  </w:style>
  <w:style w:type="paragraph" w:styleId="Heading1">
    <w:name w:val="heading 1"/>
    <w:basedOn w:val="Normal"/>
    <w:next w:val="Normal"/>
    <w:link w:val="Heading1Char"/>
    <w:uiPriority w:val="9"/>
    <w:qFormat/>
    <w:rsid w:val="00B750B1"/>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B750B1"/>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B750B1"/>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B750B1"/>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B750B1"/>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B750B1"/>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B750B1"/>
    <w:pPr>
      <w:keepNext/>
      <w:keepLines/>
      <w:spacing w:before="40" w:line="259" w:lineRule="auto"/>
      <w:outlineLvl w:val="6"/>
    </w:pPr>
    <w:rPr>
      <w:rFonts w:asciiTheme="minorHAnsi" w:eastAsiaTheme="majorEastAsia" w:hAnsiTheme="minorHAnsi"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B750B1"/>
    <w:pPr>
      <w:keepNext/>
      <w:keepLines/>
      <w:spacing w:line="259" w:lineRule="auto"/>
      <w:outlineLvl w:val="7"/>
    </w:pPr>
    <w:rPr>
      <w:rFonts w:asciiTheme="minorHAnsi" w:eastAsiaTheme="majorEastAsia" w:hAnsiTheme="minorHAnsi"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B750B1"/>
    <w:pPr>
      <w:keepNext/>
      <w:keepLines/>
      <w:spacing w:line="259" w:lineRule="auto"/>
      <w:outlineLvl w:val="8"/>
    </w:pPr>
    <w:rPr>
      <w:rFonts w:asciiTheme="minorHAnsi" w:eastAsiaTheme="majorEastAsia" w:hAnsiTheme="minorHAnsi"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0B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750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750B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750B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750B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75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0B1"/>
    <w:rPr>
      <w:rFonts w:eastAsiaTheme="majorEastAsia" w:cstheme="majorBidi"/>
      <w:color w:val="272727" w:themeColor="text1" w:themeTint="D8"/>
    </w:rPr>
  </w:style>
  <w:style w:type="paragraph" w:styleId="Title">
    <w:name w:val="Title"/>
    <w:basedOn w:val="Normal"/>
    <w:next w:val="Normal"/>
    <w:link w:val="TitleChar"/>
    <w:uiPriority w:val="10"/>
    <w:qFormat/>
    <w:rsid w:val="00B750B1"/>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B75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0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B75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0B1"/>
    <w:pPr>
      <w:spacing w:before="160" w:after="160" w:line="259" w:lineRule="auto"/>
      <w:jc w:val="center"/>
    </w:pPr>
    <w:rPr>
      <w:rFonts w:asciiTheme="minorHAnsi" w:eastAsiaTheme="minorHAnsi" w:hAnsiTheme="minorHAnsi" w:cstheme="minorBidi"/>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B750B1"/>
    <w:rPr>
      <w:i/>
      <w:iCs/>
      <w:color w:val="404040" w:themeColor="text1" w:themeTint="BF"/>
    </w:rPr>
  </w:style>
  <w:style w:type="paragraph" w:styleId="ListParagraph">
    <w:name w:val="List Paragraph"/>
    <w:basedOn w:val="Normal"/>
    <w:uiPriority w:val="34"/>
    <w:qFormat/>
    <w:rsid w:val="00B750B1"/>
    <w:pPr>
      <w:spacing w:after="160" w:line="259" w:lineRule="auto"/>
      <w:ind w:left="720"/>
      <w:contextualSpacing/>
    </w:pPr>
    <w:rPr>
      <w:rFonts w:asciiTheme="minorHAnsi" w:eastAsiaTheme="minorHAnsi" w:hAnsiTheme="minorHAnsi" w:cstheme="minorBidi"/>
      <w:kern w:val="2"/>
      <w:szCs w:val="22"/>
      <w:lang w:bidi="ar-SA"/>
      <w14:ligatures w14:val="standardContextual"/>
    </w:rPr>
  </w:style>
  <w:style w:type="character" w:styleId="IntenseEmphasis">
    <w:name w:val="Intense Emphasis"/>
    <w:basedOn w:val="DefaultParagraphFont"/>
    <w:uiPriority w:val="21"/>
    <w:qFormat/>
    <w:rsid w:val="00B750B1"/>
    <w:rPr>
      <w:i/>
      <w:iCs/>
      <w:color w:val="2E74B5" w:themeColor="accent1" w:themeShade="BF"/>
    </w:rPr>
  </w:style>
  <w:style w:type="paragraph" w:styleId="IntenseQuote">
    <w:name w:val="Intense Quote"/>
    <w:basedOn w:val="Normal"/>
    <w:next w:val="Normal"/>
    <w:link w:val="IntenseQuoteChar"/>
    <w:uiPriority w:val="30"/>
    <w:qFormat/>
    <w:rsid w:val="00B750B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B750B1"/>
    <w:rPr>
      <w:i/>
      <w:iCs/>
      <w:color w:val="2E74B5" w:themeColor="accent1" w:themeShade="BF"/>
    </w:rPr>
  </w:style>
  <w:style w:type="character" w:styleId="IntenseReference">
    <w:name w:val="Intense Reference"/>
    <w:basedOn w:val="DefaultParagraphFont"/>
    <w:uiPriority w:val="32"/>
    <w:qFormat/>
    <w:rsid w:val="00B750B1"/>
    <w:rPr>
      <w:b/>
      <w:bCs/>
      <w:smallCaps/>
      <w:color w:val="2E74B5" w:themeColor="accent1" w:themeShade="BF"/>
      <w:spacing w:val="5"/>
    </w:rPr>
  </w:style>
  <w:style w:type="paragraph" w:styleId="Revision">
    <w:name w:val="Revision"/>
    <w:hidden/>
    <w:uiPriority w:val="99"/>
    <w:semiHidden/>
    <w:rsid w:val="00FA430B"/>
    <w:pPr>
      <w:spacing w:after="0" w:line="240" w:lineRule="auto"/>
    </w:pPr>
    <w:rPr>
      <w:rFonts w:ascii="Times New Roman" w:eastAsia="Times New Roman" w:hAnsi="Times New Roman" w:cs="Times New Roman"/>
      <w:kern w:val="0"/>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4BB013-4EAC-429A-B348-A7865796D004}"/>
</file>

<file path=customXml/itemProps2.xml><?xml version="1.0" encoding="utf-8"?>
<ds:datastoreItem xmlns:ds="http://schemas.openxmlformats.org/officeDocument/2006/customXml" ds:itemID="{9F824C52-A39E-4D91-8418-2C6B6D9FB732}"/>
</file>

<file path=customXml/itemProps3.xml><?xml version="1.0" encoding="utf-8"?>
<ds:datastoreItem xmlns:ds="http://schemas.openxmlformats.org/officeDocument/2006/customXml" ds:itemID="{94FCD31D-1DD0-4806-B20A-43EACF2D4924}"/>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3954</Characters>
  <Application>Microsoft Office Word</Application>
  <DocSecurity>0</DocSecurity>
  <Lines>77</Lines>
  <Paragraphs>21</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Side letter - Energy Resources Sector – Australia to UAE</dc:title>
  <dc:subject/>
  <dc:creator>DFAT</dc:creator>
  <cp:keywords>[SEC=OFFICIAL:Sensitive]</cp:keywords>
  <dc:description/>
  <cp:lastModifiedBy/>
  <cp:revision>1</cp:revision>
  <dcterms:created xsi:type="dcterms:W3CDTF">2024-10-23T01:21:00Z</dcterms:created>
  <dcterms:modified xsi:type="dcterms:W3CDTF">2024-10-24T06:26:00Z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v=2022.1;a=SHA256;h=BC46A6E566D73F97C831E74F30779ABE3BD2962D154CB74584FFA6B54F2EEB64</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2024-10-21T05:37:34Z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B3A1186F4978345946544015E517FB0499668B44</vt:lpwstr>
  </property>
  <property fmtid="{D5CDD505-2E9C-101B-9397-08002B2CF9AE}" pid="14" name="PM_DisplayValueSecClassificationWithQualifier">
    <vt:lpwstr>OFFICIAL: Sensitive</vt:lpwstr>
  </property>
  <property fmtid="{D5CDD505-2E9C-101B-9397-08002B2CF9AE}" pid="15" name="PM_Originating_FileId">
    <vt:lpwstr>7F9BF2BD746845F79E92366D3AA2FC78</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A02462710D17FD77D6A022C0296FB354F4F7D46DA5E5C9DA7D0DD8D115649B84</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38F7A961C756C9F9A96469DBBEAC6006</vt:lpwstr>
  </property>
  <property fmtid="{D5CDD505-2E9C-101B-9397-08002B2CF9AE}" pid="25" name="PM_Hash_Salt">
    <vt:lpwstr>44397344C5FF2D7B23B2BC5FB26784A8</vt:lpwstr>
  </property>
  <property fmtid="{D5CDD505-2E9C-101B-9397-08002B2CF9AE}" pid="26" name="PM_Hash_SHA1">
    <vt:lpwstr>942DE6E1BDCF0EFD2F436B328AD732680ABD7C0F</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ContentTypeId">
    <vt:lpwstr>0x010100A1DDFAC6AB8B644A99DC8F89F51DDD4D</vt:lpwstr>
  </property>
</Properties>
</file>