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E52A1A0" wp14:editId="130F1D91">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45EDFE1F" wp14:editId="563AB8D0">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055688">
        <w:rPr>
          <w:spacing w:val="-20"/>
          <w:sz w:val="60"/>
        </w:rPr>
        <w:t>7</w:t>
      </w:r>
      <w:r w:rsidRPr="002A51CA">
        <w:rPr>
          <w:spacing w:val="-20"/>
          <w:sz w:val="60"/>
        </w:rPr>
        <w:t>-1</w:t>
      </w:r>
      <w:r w:rsidR="00055688">
        <w:rPr>
          <w:spacing w:val="-20"/>
          <w:sz w:val="60"/>
        </w:rPr>
        <w:t>8</w:t>
      </w:r>
    </w:p>
    <w:p w:rsidR="00C6626C" w:rsidRDefault="002E5A32" w:rsidP="00A56F14">
      <w:r>
        <w:rPr>
          <w:sz w:val="40"/>
        </w:rPr>
        <w:t>Vanuatu</w:t>
      </w:r>
    </w:p>
    <w:p w:rsidR="00C6626C" w:rsidRDefault="00C6626C" w:rsidP="00A56F14">
      <w:pPr>
        <w:sectPr w:rsidR="00C6626C" w:rsidSect="00C6626C">
          <w:headerReference w:type="even" r:id="rId13"/>
          <w:headerReference w:type="default" r:id="rId14"/>
          <w:footerReference w:type="even" r:id="rId15"/>
          <w:footerReference w:type="default" r:id="rId16"/>
          <w:headerReference w:type="first" r:id="rId17"/>
          <w:footerReference w:type="first" r:id="rId18"/>
          <w:pgSz w:w="11906" w:h="16838" w:code="9"/>
          <w:pgMar w:top="1952" w:right="1134" w:bottom="851" w:left="1134" w:header="1814" w:footer="567" w:gutter="0"/>
          <w:cols w:space="397"/>
          <w:docGrid w:linePitch="360"/>
        </w:sectPr>
      </w:pPr>
      <w:r w:rsidRPr="002A51CA">
        <w:rPr>
          <w:sz w:val="24"/>
        </w:rPr>
        <w:t>September 201</w:t>
      </w:r>
      <w:r w:rsidR="00055688">
        <w:rPr>
          <w:sz w:val="24"/>
        </w:rPr>
        <w:t>8</w:t>
      </w:r>
    </w:p>
    <w:p w:rsidR="00C6626C" w:rsidRPr="00EA510D" w:rsidRDefault="00F63A15" w:rsidP="008A425D">
      <w:pPr>
        <w:pStyle w:val="ListBullet"/>
        <w:tabs>
          <w:tab w:val="clear" w:pos="284"/>
        </w:tabs>
        <w:spacing w:after="0"/>
        <w:rPr>
          <w:rFonts w:asciiTheme="minorHAnsi" w:hAnsiTheme="minorHAnsi"/>
          <w:kern w:val="28"/>
          <w:sz w:val="22"/>
          <w:szCs w:val="22"/>
        </w:rPr>
      </w:pPr>
      <w:r>
        <w:rPr>
          <w:rFonts w:asciiTheme="majorHAnsi" w:eastAsiaTheme="majorEastAsia" w:hAnsiTheme="majorHAnsi" w:cstheme="majorBidi"/>
          <w:caps/>
          <w:color w:val="495965" w:themeColor="text2"/>
          <w:sz w:val="38"/>
          <w:szCs w:val="26"/>
          <w:lang w:val="en-GB" w:eastAsia="en-US"/>
        </w:rPr>
        <w:lastRenderedPageBreak/>
        <w:t>key messages</w:t>
      </w:r>
      <w:r w:rsidR="00C6626C" w:rsidRPr="00EA510D">
        <w:rPr>
          <w:rFonts w:asciiTheme="minorHAnsi" w:hAnsiTheme="minorHAnsi" w:cs="Arial"/>
          <w:color w:val="007FAD"/>
          <w:kern w:val="28"/>
          <w:sz w:val="22"/>
          <w:szCs w:val="22"/>
        </w:rPr>
        <w:tab/>
      </w:r>
      <w:r w:rsidR="00C6626C" w:rsidRPr="00EA510D">
        <w:rPr>
          <w:rFonts w:asciiTheme="minorHAnsi" w:hAnsiTheme="minorHAnsi" w:cs="Arial"/>
          <w:color w:val="007FAD"/>
          <w:kern w:val="28"/>
          <w:sz w:val="22"/>
          <w:szCs w:val="22"/>
        </w:rPr>
        <w:tab/>
      </w:r>
      <w:r w:rsidR="00C6626C" w:rsidRPr="00EA510D">
        <w:rPr>
          <w:rFonts w:asciiTheme="minorHAnsi" w:hAnsiTheme="minorHAnsi" w:cs="Arial"/>
          <w:color w:val="007FAD"/>
          <w:kern w:val="28"/>
          <w:sz w:val="22"/>
          <w:szCs w:val="22"/>
        </w:rPr>
        <w:tab/>
      </w:r>
      <w:r w:rsidR="00C6626C" w:rsidRPr="00EA510D">
        <w:rPr>
          <w:rFonts w:asciiTheme="minorHAnsi" w:hAnsiTheme="minorHAnsi" w:cs="Arial"/>
          <w:color w:val="007FAD"/>
          <w:kern w:val="28"/>
          <w:sz w:val="22"/>
          <w:szCs w:val="22"/>
        </w:rPr>
        <w:tab/>
      </w:r>
      <w:r w:rsidR="00C6626C" w:rsidRPr="00EA510D">
        <w:rPr>
          <w:rFonts w:asciiTheme="minorHAnsi" w:hAnsiTheme="minorHAnsi" w:cs="Arial"/>
          <w:color w:val="007FAD"/>
          <w:kern w:val="28"/>
          <w:sz w:val="22"/>
          <w:szCs w:val="22"/>
        </w:rPr>
        <w:tab/>
      </w:r>
    </w:p>
    <w:p w:rsidR="002958AE" w:rsidRPr="008A425D" w:rsidRDefault="002958AE" w:rsidP="008A425D">
      <w:pPr>
        <w:spacing w:before="0" w:after="0" w:line="240" w:lineRule="auto"/>
        <w:rPr>
          <w:rFonts w:ascii="Calibri Light" w:hAnsi="Calibri Light"/>
          <w:lang w:val="en-US" w:eastAsia="en-AU"/>
        </w:rPr>
      </w:pPr>
      <w:r w:rsidRPr="008A425D">
        <w:rPr>
          <w:rFonts w:ascii="Calibri Light" w:hAnsi="Calibri Light"/>
        </w:rPr>
        <w:t xml:space="preserve">This report summarises the performance of Australia’s aid program in Vanuatu from July 2017 to June 2018 against the Vanuatu Aid Investment Plan 2015-16 to 2018-19. Australian aid in Vanuatu aligns with the shared priorities of both governments to </w:t>
      </w:r>
      <w:r w:rsidRPr="008A425D">
        <w:rPr>
          <w:rFonts w:ascii="Calibri Light" w:hAnsi="Calibri Light"/>
          <w:lang w:val="en-US"/>
        </w:rPr>
        <w:t xml:space="preserve">achieve sustained and inclusive economic growth and </w:t>
      </w:r>
      <w:r w:rsidRPr="008A425D">
        <w:rPr>
          <w:rFonts w:ascii="Calibri Light" w:hAnsi="Calibri Light"/>
        </w:rPr>
        <w:t>reduce poverty in Vanuatu</w:t>
      </w:r>
      <w:r w:rsidR="00063B00" w:rsidRPr="008A425D">
        <w:rPr>
          <w:rFonts w:ascii="Calibri Light" w:hAnsi="Calibri Light"/>
        </w:rPr>
        <w:t>,</w:t>
      </w:r>
      <w:r w:rsidRPr="008A425D">
        <w:rPr>
          <w:rFonts w:ascii="Calibri Light" w:hAnsi="Calibri Light"/>
        </w:rPr>
        <w:t xml:space="preserve"> through strengthening private sector development and enabling human development. </w:t>
      </w:r>
    </w:p>
    <w:p w:rsidR="00DC12CB" w:rsidRPr="008A425D" w:rsidRDefault="00DC12CB" w:rsidP="008A425D">
      <w:pPr>
        <w:pStyle w:val="Background"/>
        <w:numPr>
          <w:ilvl w:val="0"/>
          <w:numId w:val="0"/>
        </w:numPr>
        <w:spacing w:before="0" w:after="0" w:line="276" w:lineRule="auto"/>
        <w:rPr>
          <w:rFonts w:ascii="Calibri Light" w:hAnsi="Calibri Light"/>
          <w:color w:val="495965" w:themeColor="text2"/>
          <w:sz w:val="22"/>
          <w:szCs w:val="22"/>
        </w:rPr>
      </w:pPr>
    </w:p>
    <w:p w:rsidR="002958AE" w:rsidRPr="008A425D" w:rsidRDefault="002958AE" w:rsidP="00772167">
      <w:pPr>
        <w:pStyle w:val="Background"/>
        <w:numPr>
          <w:ilvl w:val="0"/>
          <w:numId w:val="0"/>
        </w:numPr>
        <w:spacing w:before="0" w:after="0" w:line="240" w:lineRule="auto"/>
        <w:rPr>
          <w:rFonts w:ascii="Calibri Light" w:hAnsi="Calibri Light"/>
          <w:color w:val="495965" w:themeColor="text2"/>
          <w:sz w:val="22"/>
          <w:szCs w:val="22"/>
          <w:lang w:val="en-AU"/>
        </w:rPr>
      </w:pPr>
      <w:r w:rsidRPr="008A425D">
        <w:rPr>
          <w:rFonts w:ascii="Calibri Light" w:hAnsi="Calibri Light"/>
          <w:color w:val="495965" w:themeColor="text2"/>
          <w:sz w:val="22"/>
          <w:szCs w:val="22"/>
        </w:rPr>
        <w:t xml:space="preserve">Australia and Vanuatu have a close and enduring bilateral relationship. </w:t>
      </w:r>
      <w:r w:rsidRPr="008A425D">
        <w:rPr>
          <w:rFonts w:ascii="Calibri Light" w:hAnsi="Calibri Light"/>
          <w:color w:val="495965" w:themeColor="text2"/>
          <w:sz w:val="22"/>
          <w:szCs w:val="22"/>
          <w:lang w:val="en-AU"/>
        </w:rPr>
        <w:t>Australia is Vanuatu’s largest development partner, primary foreign investment and trading partner</w:t>
      </w:r>
      <w:r w:rsidRPr="008A425D">
        <w:rPr>
          <w:rStyle w:val="FootnoteReference"/>
          <w:rFonts w:ascii="Calibri Light" w:hAnsi="Calibri Light"/>
          <w:color w:val="495965" w:themeColor="text2"/>
          <w:sz w:val="22"/>
          <w:szCs w:val="22"/>
          <w:lang w:val="en-AU"/>
        </w:rPr>
        <w:footnoteReference w:id="1"/>
      </w:r>
      <w:r w:rsidRPr="008A425D">
        <w:rPr>
          <w:rFonts w:ascii="Calibri Light" w:hAnsi="Calibri Light"/>
          <w:color w:val="495965" w:themeColor="text2"/>
          <w:sz w:val="22"/>
          <w:szCs w:val="22"/>
          <w:lang w:val="en-AU"/>
        </w:rPr>
        <w:t xml:space="preserve">, and </w:t>
      </w:r>
      <w:r w:rsidR="00C77F77" w:rsidRPr="008A425D">
        <w:rPr>
          <w:rFonts w:ascii="Calibri Light" w:hAnsi="Calibri Light"/>
          <w:color w:val="495965" w:themeColor="text2"/>
          <w:sz w:val="22"/>
          <w:szCs w:val="22"/>
          <w:lang w:val="en-AU"/>
        </w:rPr>
        <w:t>principal</w:t>
      </w:r>
      <w:r w:rsidRPr="008A425D">
        <w:rPr>
          <w:rFonts w:ascii="Calibri Light" w:hAnsi="Calibri Light"/>
          <w:color w:val="495965" w:themeColor="text2"/>
          <w:sz w:val="22"/>
          <w:szCs w:val="22"/>
          <w:lang w:val="en-AU"/>
        </w:rPr>
        <w:t xml:space="preserve"> security partner. Australia provided </w:t>
      </w:r>
      <w:r w:rsidRPr="008A425D">
        <w:rPr>
          <w:rFonts w:ascii="Calibri Light" w:hAnsi="Calibri Light"/>
          <w:color w:val="495965" w:themeColor="text2"/>
          <w:sz w:val="22"/>
          <w:szCs w:val="22"/>
        </w:rPr>
        <w:t xml:space="preserve">$64.3 million in Official Development Assistance </w:t>
      </w:r>
      <w:r w:rsidR="00063B00" w:rsidRPr="008A425D">
        <w:rPr>
          <w:rFonts w:ascii="Calibri Light" w:hAnsi="Calibri Light"/>
          <w:color w:val="495965" w:themeColor="text2"/>
          <w:sz w:val="22"/>
          <w:szCs w:val="22"/>
        </w:rPr>
        <w:t>(ODA)</w:t>
      </w:r>
      <w:r w:rsidRPr="008A425D">
        <w:rPr>
          <w:rFonts w:ascii="Calibri Light" w:hAnsi="Calibri Light"/>
          <w:color w:val="495965" w:themeColor="text2"/>
          <w:sz w:val="22"/>
          <w:szCs w:val="22"/>
        </w:rPr>
        <w:t xml:space="preserve"> to Vanuatu</w:t>
      </w:r>
      <w:r w:rsidRPr="008A425D">
        <w:rPr>
          <w:rFonts w:ascii="Calibri Light" w:hAnsi="Calibri Light"/>
          <w:color w:val="495965" w:themeColor="text2"/>
          <w:sz w:val="22"/>
          <w:szCs w:val="22"/>
          <w:lang w:val="en-AU"/>
        </w:rPr>
        <w:t xml:space="preserve"> in 2017-18. </w:t>
      </w:r>
    </w:p>
    <w:p w:rsidR="002958AE" w:rsidRPr="008A425D" w:rsidRDefault="002958AE" w:rsidP="00772167">
      <w:pPr>
        <w:pStyle w:val="Background"/>
        <w:numPr>
          <w:ilvl w:val="0"/>
          <w:numId w:val="0"/>
        </w:numPr>
        <w:spacing w:before="0" w:after="0" w:line="240" w:lineRule="auto"/>
        <w:rPr>
          <w:rFonts w:ascii="Calibri Light" w:hAnsi="Calibri Light"/>
          <w:color w:val="495965" w:themeColor="text2"/>
          <w:sz w:val="22"/>
          <w:szCs w:val="22"/>
          <w:lang w:val="en-AU"/>
        </w:rPr>
      </w:pPr>
    </w:p>
    <w:p w:rsidR="002958AE" w:rsidRPr="008A425D" w:rsidRDefault="00F52A76" w:rsidP="00772167">
      <w:pPr>
        <w:pStyle w:val="Background"/>
        <w:numPr>
          <w:ilvl w:val="0"/>
          <w:numId w:val="0"/>
        </w:numPr>
        <w:spacing w:before="0" w:after="0" w:line="240" w:lineRule="auto"/>
        <w:rPr>
          <w:rFonts w:ascii="Calibri Light" w:hAnsi="Calibri Light"/>
          <w:color w:val="495965" w:themeColor="text2"/>
          <w:sz w:val="22"/>
          <w:szCs w:val="22"/>
        </w:rPr>
      </w:pPr>
      <w:r w:rsidRPr="008A425D">
        <w:rPr>
          <w:rFonts w:ascii="Calibri Light" w:hAnsi="Calibri Light"/>
          <w:color w:val="495965" w:themeColor="text2"/>
          <w:sz w:val="22"/>
          <w:szCs w:val="22"/>
        </w:rPr>
        <w:t>R</w:t>
      </w:r>
      <w:r w:rsidR="00495E7A" w:rsidRPr="008A425D">
        <w:rPr>
          <w:rFonts w:ascii="Calibri Light" w:hAnsi="Calibri Light"/>
          <w:color w:val="495965" w:themeColor="text2"/>
          <w:sz w:val="22"/>
          <w:szCs w:val="22"/>
        </w:rPr>
        <w:t>esults in 2017-18 demonstrated</w:t>
      </w:r>
      <w:r w:rsidR="002958AE" w:rsidRPr="008A425D">
        <w:rPr>
          <w:rFonts w:ascii="Calibri Light" w:hAnsi="Calibri Light"/>
          <w:color w:val="495965" w:themeColor="text2"/>
          <w:sz w:val="22"/>
          <w:szCs w:val="22"/>
        </w:rPr>
        <w:t xml:space="preserve"> a </w:t>
      </w:r>
      <w:r w:rsidR="002958AE" w:rsidRPr="008A425D">
        <w:rPr>
          <w:rFonts w:ascii="Calibri Light" w:hAnsi="Calibri Light"/>
          <w:color w:val="495965" w:themeColor="text2"/>
          <w:sz w:val="22"/>
          <w:szCs w:val="22"/>
          <w:lang w:val="en-US"/>
        </w:rPr>
        <w:t>maturing d</w:t>
      </w:r>
      <w:r w:rsidRPr="008A425D">
        <w:rPr>
          <w:rFonts w:ascii="Calibri Light" w:hAnsi="Calibri Light"/>
          <w:color w:val="495965" w:themeColor="text2"/>
          <w:sz w:val="22"/>
          <w:szCs w:val="22"/>
          <w:lang w:val="en-US"/>
        </w:rPr>
        <w:t>evelopment</w:t>
      </w:r>
      <w:r w:rsidR="002958AE" w:rsidRPr="008A425D">
        <w:rPr>
          <w:rFonts w:ascii="Calibri Light" w:hAnsi="Calibri Light"/>
          <w:color w:val="495965" w:themeColor="text2"/>
          <w:sz w:val="22"/>
          <w:szCs w:val="22"/>
          <w:lang w:val="en-US"/>
        </w:rPr>
        <w:t xml:space="preserve"> partnership and</w:t>
      </w:r>
      <w:r w:rsidR="00372C00" w:rsidRPr="008A425D">
        <w:rPr>
          <w:rFonts w:ascii="Calibri Light" w:hAnsi="Calibri Light"/>
          <w:color w:val="495965" w:themeColor="text2"/>
          <w:sz w:val="22"/>
          <w:szCs w:val="22"/>
          <w:lang w:val="en-US"/>
        </w:rPr>
        <w:t xml:space="preserve"> closer</w:t>
      </w:r>
      <w:r w:rsidR="002958AE" w:rsidRPr="008A425D">
        <w:rPr>
          <w:rFonts w:ascii="Calibri Light" w:hAnsi="Calibri Light"/>
          <w:color w:val="495965" w:themeColor="text2"/>
          <w:sz w:val="22"/>
          <w:szCs w:val="22"/>
          <w:lang w:val="en-US"/>
        </w:rPr>
        <w:t xml:space="preserve"> economic cooperation. The </w:t>
      </w:r>
      <w:r w:rsidR="002958AE" w:rsidRPr="008A425D">
        <w:rPr>
          <w:rFonts w:ascii="Calibri Light" w:hAnsi="Calibri Light"/>
          <w:color w:val="495965" w:themeColor="text2"/>
          <w:sz w:val="22"/>
          <w:szCs w:val="22"/>
        </w:rPr>
        <w:t>Government of Vanuatu</w:t>
      </w:r>
      <w:r w:rsidR="00C77F77" w:rsidRPr="008A425D">
        <w:rPr>
          <w:rFonts w:ascii="Calibri Light" w:hAnsi="Calibri Light"/>
          <w:color w:val="495965" w:themeColor="text2"/>
          <w:sz w:val="22"/>
          <w:szCs w:val="22"/>
        </w:rPr>
        <w:t xml:space="preserve"> (GoV)</w:t>
      </w:r>
      <w:r w:rsidR="002958AE" w:rsidRPr="008A425D">
        <w:rPr>
          <w:rFonts w:ascii="Calibri Light" w:hAnsi="Calibri Light"/>
          <w:color w:val="495965" w:themeColor="text2"/>
          <w:sz w:val="22"/>
          <w:szCs w:val="22"/>
        </w:rPr>
        <w:t xml:space="preserve"> is sharing the costs and </w:t>
      </w:r>
      <w:r w:rsidR="00495E7A" w:rsidRPr="008A425D">
        <w:rPr>
          <w:rFonts w:ascii="Calibri Light" w:hAnsi="Calibri Light"/>
          <w:color w:val="495965" w:themeColor="text2"/>
          <w:sz w:val="22"/>
          <w:szCs w:val="22"/>
        </w:rPr>
        <w:t>as</w:t>
      </w:r>
      <w:r w:rsidR="002958AE" w:rsidRPr="008A425D">
        <w:rPr>
          <w:rFonts w:ascii="Calibri Light" w:hAnsi="Calibri Light"/>
          <w:color w:val="495965" w:themeColor="text2"/>
          <w:sz w:val="22"/>
          <w:szCs w:val="22"/>
        </w:rPr>
        <w:t>suming responsibilit</w:t>
      </w:r>
      <w:r w:rsidR="00495E7A" w:rsidRPr="008A425D">
        <w:rPr>
          <w:rFonts w:ascii="Calibri Light" w:hAnsi="Calibri Light"/>
          <w:color w:val="495965" w:themeColor="text2"/>
          <w:sz w:val="22"/>
          <w:szCs w:val="22"/>
        </w:rPr>
        <w:t>y</w:t>
      </w:r>
      <w:r w:rsidR="002958AE" w:rsidRPr="008A425D">
        <w:rPr>
          <w:rFonts w:ascii="Calibri Light" w:hAnsi="Calibri Light"/>
          <w:color w:val="495965" w:themeColor="text2"/>
          <w:sz w:val="22"/>
          <w:szCs w:val="22"/>
        </w:rPr>
        <w:t xml:space="preserve"> for</w:t>
      </w:r>
      <w:r w:rsidR="00C77F77" w:rsidRPr="008A425D">
        <w:rPr>
          <w:rFonts w:ascii="Calibri Light" w:hAnsi="Calibri Light"/>
          <w:color w:val="495965" w:themeColor="text2"/>
          <w:sz w:val="22"/>
          <w:szCs w:val="22"/>
        </w:rPr>
        <w:t xml:space="preserve"> </w:t>
      </w:r>
      <w:r w:rsidR="00AD54BA">
        <w:rPr>
          <w:rFonts w:ascii="Calibri Light" w:hAnsi="Calibri Light"/>
          <w:color w:val="495965" w:themeColor="text2"/>
          <w:sz w:val="22"/>
          <w:szCs w:val="22"/>
        </w:rPr>
        <w:t xml:space="preserve">a range of </w:t>
      </w:r>
      <w:r w:rsidR="002958AE" w:rsidRPr="008A425D">
        <w:rPr>
          <w:rFonts w:ascii="Calibri Light" w:hAnsi="Calibri Light"/>
          <w:color w:val="495965" w:themeColor="text2"/>
          <w:sz w:val="22"/>
          <w:szCs w:val="22"/>
        </w:rPr>
        <w:t xml:space="preserve">service delivery functions previously funded by Australia. For example, the Ministry of Education and Training met </w:t>
      </w:r>
      <w:r w:rsidR="00810F09" w:rsidRPr="008A425D">
        <w:rPr>
          <w:rFonts w:ascii="Calibri Light" w:hAnsi="Calibri Light"/>
          <w:color w:val="495965" w:themeColor="text2"/>
          <w:sz w:val="22"/>
          <w:szCs w:val="22"/>
        </w:rPr>
        <w:t>its</w:t>
      </w:r>
      <w:r w:rsidR="002958AE" w:rsidRPr="008A425D">
        <w:rPr>
          <w:rFonts w:ascii="Calibri Light" w:hAnsi="Calibri Light"/>
          <w:color w:val="495965" w:themeColor="text2"/>
          <w:sz w:val="22"/>
          <w:szCs w:val="22"/>
        </w:rPr>
        <w:t xml:space="preserve"> target of funding 100</w:t>
      </w:r>
      <w:r w:rsidR="007277F2" w:rsidRPr="008A425D">
        <w:rPr>
          <w:rFonts w:ascii="Calibri Light" w:hAnsi="Calibri Light"/>
          <w:color w:val="495965" w:themeColor="text2"/>
          <w:sz w:val="22"/>
          <w:szCs w:val="22"/>
        </w:rPr>
        <w:t xml:space="preserve"> per cent</w:t>
      </w:r>
      <w:r w:rsidR="002958AE" w:rsidRPr="008A425D">
        <w:rPr>
          <w:rFonts w:ascii="Calibri Light" w:hAnsi="Calibri Light"/>
          <w:color w:val="495965" w:themeColor="text2"/>
          <w:sz w:val="22"/>
          <w:szCs w:val="22"/>
        </w:rPr>
        <w:t xml:space="preserve"> of primary school grants in 2017</w:t>
      </w:r>
      <w:r w:rsidR="00063B00" w:rsidRPr="008A425D">
        <w:rPr>
          <w:rFonts w:ascii="Calibri Light" w:hAnsi="Calibri Light"/>
          <w:color w:val="495965" w:themeColor="text2"/>
          <w:sz w:val="22"/>
          <w:szCs w:val="22"/>
        </w:rPr>
        <w:t xml:space="preserve"> and co-funded staff in provincial skills </w:t>
      </w:r>
      <w:r w:rsidR="00A5708E" w:rsidRPr="008A425D">
        <w:rPr>
          <w:rFonts w:ascii="Calibri Light" w:hAnsi="Calibri Light"/>
          <w:color w:val="495965" w:themeColor="text2"/>
          <w:sz w:val="22"/>
          <w:szCs w:val="22"/>
        </w:rPr>
        <w:t xml:space="preserve">training </w:t>
      </w:r>
      <w:r w:rsidR="00063B00" w:rsidRPr="008A425D">
        <w:rPr>
          <w:rFonts w:ascii="Calibri Light" w:hAnsi="Calibri Light"/>
          <w:color w:val="495965" w:themeColor="text2"/>
          <w:sz w:val="22"/>
          <w:szCs w:val="22"/>
        </w:rPr>
        <w:t>centres</w:t>
      </w:r>
      <w:r w:rsidR="00495E7A" w:rsidRPr="008A425D">
        <w:rPr>
          <w:rFonts w:ascii="Calibri Light" w:hAnsi="Calibri Light"/>
          <w:color w:val="495965" w:themeColor="text2"/>
          <w:sz w:val="22"/>
          <w:szCs w:val="22"/>
        </w:rPr>
        <w:t xml:space="preserve">. </w:t>
      </w:r>
      <w:r w:rsidR="00063B00" w:rsidRPr="008A425D">
        <w:rPr>
          <w:rFonts w:ascii="Calibri Light" w:hAnsi="Calibri Light"/>
          <w:color w:val="495965" w:themeColor="text2"/>
          <w:sz w:val="22"/>
          <w:szCs w:val="22"/>
        </w:rPr>
        <w:t>Australia’s rural road maintenance contributions</w:t>
      </w:r>
      <w:r w:rsidR="002958AE" w:rsidRPr="008A425D">
        <w:rPr>
          <w:rFonts w:ascii="Calibri Light" w:hAnsi="Calibri Light"/>
          <w:color w:val="495965" w:themeColor="text2"/>
          <w:sz w:val="22"/>
          <w:szCs w:val="22"/>
        </w:rPr>
        <w:t xml:space="preserve"> declined from $4.5 million in 2015 to $1.7 million in 2017, as Vanuatu’s Public Works Department increased its spending on rural road maintenance. </w:t>
      </w:r>
    </w:p>
    <w:p w:rsidR="002958AE" w:rsidRPr="008A425D" w:rsidRDefault="002958AE" w:rsidP="00772167">
      <w:pPr>
        <w:pStyle w:val="Background"/>
        <w:numPr>
          <w:ilvl w:val="0"/>
          <w:numId w:val="0"/>
        </w:numPr>
        <w:spacing w:before="0" w:after="0" w:line="240" w:lineRule="auto"/>
        <w:rPr>
          <w:rFonts w:ascii="Calibri Light" w:hAnsi="Calibri Light"/>
          <w:color w:val="495965" w:themeColor="text2"/>
          <w:sz w:val="22"/>
          <w:szCs w:val="22"/>
        </w:rPr>
      </w:pPr>
    </w:p>
    <w:p w:rsidR="009D2533" w:rsidRPr="008A425D" w:rsidRDefault="002958AE" w:rsidP="00772167">
      <w:pPr>
        <w:pStyle w:val="Background"/>
        <w:numPr>
          <w:ilvl w:val="0"/>
          <w:numId w:val="0"/>
        </w:numPr>
        <w:spacing w:before="0" w:after="0" w:line="240" w:lineRule="auto"/>
        <w:rPr>
          <w:rFonts w:ascii="Calibri Light" w:hAnsi="Calibri Light"/>
          <w:color w:val="495965" w:themeColor="text2"/>
          <w:sz w:val="22"/>
          <w:szCs w:val="22"/>
        </w:rPr>
      </w:pPr>
      <w:r w:rsidRPr="008A425D">
        <w:rPr>
          <w:rFonts w:ascii="Calibri Light" w:hAnsi="Calibri Light"/>
          <w:color w:val="495965" w:themeColor="text2"/>
          <w:sz w:val="22"/>
          <w:szCs w:val="22"/>
        </w:rPr>
        <w:t xml:space="preserve">Australia’s $34.7 million funding for </w:t>
      </w:r>
      <w:r w:rsidRPr="008A425D">
        <w:rPr>
          <w:rFonts w:ascii="Calibri Light" w:hAnsi="Calibri Light" w:cs="Arial"/>
          <w:color w:val="495965" w:themeColor="text2"/>
          <w:sz w:val="22"/>
          <w:szCs w:val="22"/>
        </w:rPr>
        <w:t xml:space="preserve">Tropical Cyclone (TC) Pam </w:t>
      </w:r>
      <w:r w:rsidR="00C77F77" w:rsidRPr="008A425D">
        <w:rPr>
          <w:rFonts w:ascii="Calibri Light" w:hAnsi="Calibri Light" w:cs="Arial"/>
          <w:color w:val="495965" w:themeColor="text2"/>
          <w:sz w:val="22"/>
          <w:szCs w:val="22"/>
        </w:rPr>
        <w:t>r</w:t>
      </w:r>
      <w:r w:rsidRPr="008A425D">
        <w:rPr>
          <w:rFonts w:ascii="Calibri Light" w:hAnsi="Calibri Light" w:cs="Arial"/>
          <w:color w:val="495965" w:themeColor="text2"/>
          <w:sz w:val="22"/>
          <w:szCs w:val="22"/>
        </w:rPr>
        <w:t xml:space="preserve">ecovery </w:t>
      </w:r>
      <w:r w:rsidRPr="008A425D">
        <w:rPr>
          <w:rFonts w:ascii="Calibri Light" w:hAnsi="Calibri Light"/>
          <w:color w:val="495965" w:themeColor="text2"/>
          <w:sz w:val="22"/>
          <w:szCs w:val="22"/>
        </w:rPr>
        <w:t xml:space="preserve">is delivered </w:t>
      </w:r>
      <w:r w:rsidRPr="008A425D">
        <w:rPr>
          <w:rFonts w:ascii="Calibri Light" w:hAnsi="Calibri Light" w:cs="Arial"/>
          <w:color w:val="495965" w:themeColor="text2"/>
          <w:sz w:val="22"/>
          <w:szCs w:val="22"/>
        </w:rPr>
        <w:t xml:space="preserve">through Vanuatu government systems, </w:t>
      </w:r>
      <w:r w:rsidR="00495E7A" w:rsidRPr="008A425D">
        <w:rPr>
          <w:rFonts w:ascii="Calibri Light" w:hAnsi="Calibri Light" w:cs="Arial"/>
          <w:color w:val="495965" w:themeColor="text2"/>
          <w:sz w:val="22"/>
          <w:szCs w:val="22"/>
        </w:rPr>
        <w:t>strengthening</w:t>
      </w:r>
      <w:r w:rsidRPr="008A425D">
        <w:rPr>
          <w:rFonts w:ascii="Calibri Light" w:hAnsi="Calibri Light" w:cs="Calibri"/>
          <w:color w:val="495965" w:themeColor="text2"/>
          <w:sz w:val="22"/>
          <w:szCs w:val="22"/>
        </w:rPr>
        <w:t xml:space="preserve"> government</w:t>
      </w:r>
      <w:r w:rsidRPr="008A425D">
        <w:rPr>
          <w:rFonts w:ascii="Calibri Light" w:hAnsi="Calibri Light"/>
          <w:color w:val="495965" w:themeColor="text2"/>
          <w:sz w:val="22"/>
          <w:szCs w:val="22"/>
        </w:rPr>
        <w:t xml:space="preserve"> capacity to respond to disasters. An </w:t>
      </w:r>
      <w:r w:rsidRPr="008A425D">
        <w:rPr>
          <w:rFonts w:ascii="Calibri Light" w:hAnsi="Calibri Light" w:cs="Arial"/>
          <w:color w:val="495965" w:themeColor="text2"/>
          <w:sz w:val="22"/>
          <w:szCs w:val="22"/>
        </w:rPr>
        <w:t>estimated 54 per cent ($18.7 million) of the</w:t>
      </w:r>
      <w:r w:rsidR="009D2533" w:rsidRPr="008A425D">
        <w:rPr>
          <w:rFonts w:ascii="Calibri Light" w:hAnsi="Calibri Light" w:cs="Arial"/>
          <w:color w:val="495965" w:themeColor="text2"/>
          <w:sz w:val="22"/>
          <w:szCs w:val="22"/>
        </w:rPr>
        <w:t>se</w:t>
      </w:r>
      <w:r w:rsidRPr="008A425D">
        <w:rPr>
          <w:rFonts w:ascii="Calibri Light" w:hAnsi="Calibri Light" w:cs="Arial"/>
          <w:color w:val="495965" w:themeColor="text2"/>
          <w:sz w:val="22"/>
          <w:szCs w:val="22"/>
        </w:rPr>
        <w:t xml:space="preserve"> funds </w:t>
      </w:r>
      <w:r w:rsidR="009D2533" w:rsidRPr="008A425D">
        <w:rPr>
          <w:rFonts w:ascii="Calibri Light" w:hAnsi="Calibri Light" w:cs="Arial"/>
          <w:color w:val="495965" w:themeColor="text2"/>
          <w:sz w:val="22"/>
          <w:szCs w:val="22"/>
        </w:rPr>
        <w:t>have been</w:t>
      </w:r>
      <w:r w:rsidR="00000F86" w:rsidRPr="008A425D">
        <w:rPr>
          <w:rFonts w:ascii="Calibri Light" w:hAnsi="Calibri Light" w:cs="Arial"/>
          <w:color w:val="495965" w:themeColor="text2"/>
          <w:sz w:val="22"/>
          <w:szCs w:val="22"/>
        </w:rPr>
        <w:t xml:space="preserve"> injected into the </w:t>
      </w:r>
      <w:r w:rsidRPr="008A425D">
        <w:rPr>
          <w:rFonts w:ascii="Calibri Light" w:hAnsi="Calibri Light" w:cs="Arial"/>
          <w:color w:val="495965" w:themeColor="text2"/>
          <w:sz w:val="22"/>
          <w:szCs w:val="22"/>
        </w:rPr>
        <w:t xml:space="preserve">economy through contracts with </w:t>
      </w:r>
      <w:r w:rsidR="00000F86" w:rsidRPr="008A425D">
        <w:rPr>
          <w:rFonts w:ascii="Calibri Light" w:hAnsi="Calibri Light" w:cs="Arial"/>
          <w:color w:val="495965" w:themeColor="text2"/>
          <w:sz w:val="22"/>
          <w:szCs w:val="22"/>
        </w:rPr>
        <w:t>loc</w:t>
      </w:r>
      <w:r w:rsidRPr="008A425D">
        <w:rPr>
          <w:rFonts w:ascii="Calibri Light" w:hAnsi="Calibri Light" w:cs="Arial"/>
          <w:color w:val="495965" w:themeColor="text2"/>
          <w:sz w:val="22"/>
          <w:szCs w:val="22"/>
        </w:rPr>
        <w:t xml:space="preserve">al private sector enterprises, upskilling local workers and generating business and community confidence. In 2017-18 TC Pam </w:t>
      </w:r>
      <w:r w:rsidRPr="008A425D">
        <w:rPr>
          <w:rFonts w:ascii="Calibri Light" w:hAnsi="Calibri Light"/>
          <w:color w:val="495965" w:themeColor="text2"/>
          <w:sz w:val="22"/>
          <w:szCs w:val="22"/>
        </w:rPr>
        <w:t xml:space="preserve">funding directly supported restoration of livelihoods and public infrastructure, including through construction or rehabilitation of over 200 </w:t>
      </w:r>
      <w:r w:rsidR="00C77F77" w:rsidRPr="008A425D">
        <w:rPr>
          <w:rFonts w:ascii="Calibri Light" w:hAnsi="Calibri Light"/>
          <w:color w:val="495965" w:themeColor="text2"/>
          <w:sz w:val="22"/>
          <w:szCs w:val="22"/>
        </w:rPr>
        <w:t>facilitie</w:t>
      </w:r>
      <w:r w:rsidRPr="008A425D">
        <w:rPr>
          <w:rFonts w:ascii="Calibri Light" w:hAnsi="Calibri Light"/>
          <w:color w:val="495965" w:themeColor="text2"/>
          <w:sz w:val="22"/>
          <w:szCs w:val="22"/>
        </w:rPr>
        <w:t xml:space="preserve">s (including 65 classrooms, 16 health facilities, 33 </w:t>
      </w:r>
      <w:r w:rsidR="00C77F77" w:rsidRPr="008A425D">
        <w:rPr>
          <w:rFonts w:ascii="Calibri Light" w:hAnsi="Calibri Light"/>
          <w:color w:val="495965" w:themeColor="text2"/>
          <w:sz w:val="22"/>
          <w:szCs w:val="22"/>
        </w:rPr>
        <w:t xml:space="preserve">other </w:t>
      </w:r>
      <w:r w:rsidRPr="008A425D">
        <w:rPr>
          <w:rFonts w:ascii="Calibri Light" w:hAnsi="Calibri Light"/>
          <w:color w:val="495965" w:themeColor="text2"/>
          <w:sz w:val="22"/>
          <w:szCs w:val="22"/>
        </w:rPr>
        <w:t>public buildings, 34 water systems, 6 livestock centres and 38 tourism bungalows/operations)</w:t>
      </w:r>
      <w:r w:rsidR="009D2533" w:rsidRPr="008A425D">
        <w:rPr>
          <w:rFonts w:ascii="Calibri Light" w:hAnsi="Calibri Light"/>
          <w:color w:val="495965" w:themeColor="text2"/>
          <w:sz w:val="22"/>
          <w:szCs w:val="22"/>
        </w:rPr>
        <w:t>.</w:t>
      </w:r>
    </w:p>
    <w:p w:rsidR="003820AB" w:rsidRPr="008A425D" w:rsidRDefault="003820AB" w:rsidP="00772167">
      <w:pPr>
        <w:pStyle w:val="Background"/>
        <w:numPr>
          <w:ilvl w:val="0"/>
          <w:numId w:val="0"/>
        </w:numPr>
        <w:spacing w:before="0" w:after="0" w:line="240" w:lineRule="auto"/>
        <w:rPr>
          <w:rFonts w:ascii="Calibri Light" w:hAnsi="Calibri Light"/>
          <w:color w:val="495965" w:themeColor="text2"/>
          <w:sz w:val="22"/>
          <w:szCs w:val="22"/>
        </w:rPr>
      </w:pPr>
    </w:p>
    <w:p w:rsidR="00A5708E" w:rsidRPr="008A425D" w:rsidRDefault="002958AE" w:rsidP="00A5708E">
      <w:pPr>
        <w:spacing w:before="0" w:after="0" w:line="240" w:lineRule="auto"/>
        <w:rPr>
          <w:rFonts w:ascii="Calibri Light" w:hAnsi="Calibri Light" w:cs="Arial"/>
        </w:rPr>
      </w:pPr>
      <w:r w:rsidRPr="008A425D">
        <w:rPr>
          <w:rFonts w:ascii="Calibri Light" w:hAnsi="Calibri Light" w:cs="Arial"/>
        </w:rPr>
        <w:t xml:space="preserve">Australian funded </w:t>
      </w:r>
      <w:r w:rsidR="00E16CD2" w:rsidRPr="008A425D">
        <w:rPr>
          <w:rFonts w:ascii="Calibri Light" w:hAnsi="Calibri Light" w:cs="Arial"/>
        </w:rPr>
        <w:t xml:space="preserve">aid </w:t>
      </w:r>
      <w:r w:rsidRPr="008A425D">
        <w:rPr>
          <w:rFonts w:ascii="Calibri Light" w:hAnsi="Calibri Light" w:cs="Arial"/>
        </w:rPr>
        <w:t xml:space="preserve">investments support the Vanuatu </w:t>
      </w:r>
      <w:r w:rsidR="00495E7A" w:rsidRPr="008A425D">
        <w:rPr>
          <w:rFonts w:ascii="Calibri Light" w:hAnsi="Calibri Light" w:cs="Arial"/>
        </w:rPr>
        <w:t>G</w:t>
      </w:r>
      <w:r w:rsidRPr="008A425D">
        <w:rPr>
          <w:rFonts w:ascii="Calibri Light" w:hAnsi="Calibri Light" w:cs="Arial"/>
        </w:rPr>
        <w:t xml:space="preserve">overnment’s commitment to improve access to services and economic opportunities. Key achievements </w:t>
      </w:r>
      <w:r w:rsidR="003820AB" w:rsidRPr="008A425D">
        <w:rPr>
          <w:rFonts w:ascii="Calibri Light" w:hAnsi="Calibri Light" w:cs="Arial"/>
        </w:rPr>
        <w:t>in</w:t>
      </w:r>
      <w:r w:rsidRPr="008A425D">
        <w:rPr>
          <w:rFonts w:ascii="Calibri Light" w:hAnsi="Calibri Light" w:cs="Arial"/>
        </w:rPr>
        <w:t xml:space="preserve"> 2017-18 included: </w:t>
      </w:r>
    </w:p>
    <w:p w:rsidR="00A5708E" w:rsidRPr="008A425D" w:rsidRDefault="002958AE" w:rsidP="007277F2">
      <w:pPr>
        <w:pStyle w:val="ListParagraph"/>
        <w:numPr>
          <w:ilvl w:val="0"/>
          <w:numId w:val="75"/>
        </w:numPr>
        <w:ind w:left="426"/>
        <w:rPr>
          <w:rFonts w:ascii="Calibri Light" w:hAnsi="Calibri Light"/>
          <w:color w:val="495965" w:themeColor="text2"/>
          <w:sz w:val="22"/>
          <w:szCs w:val="22"/>
        </w:rPr>
      </w:pPr>
      <w:r w:rsidRPr="008A425D">
        <w:rPr>
          <w:rFonts w:ascii="Calibri Light" w:hAnsi="Calibri Light"/>
          <w:color w:val="495965" w:themeColor="text2"/>
          <w:sz w:val="22"/>
          <w:szCs w:val="22"/>
        </w:rPr>
        <w:t>maintenance and rehabilitation of 525 k</w:t>
      </w:r>
      <w:r w:rsidR="001C0078">
        <w:rPr>
          <w:rFonts w:ascii="Calibri Light" w:hAnsi="Calibri Light"/>
          <w:color w:val="495965" w:themeColor="text2"/>
          <w:sz w:val="22"/>
          <w:szCs w:val="22"/>
        </w:rPr>
        <w:t>m</w:t>
      </w:r>
      <w:r w:rsidRPr="008A425D">
        <w:rPr>
          <w:rFonts w:ascii="Calibri Light" w:hAnsi="Calibri Light"/>
          <w:color w:val="495965" w:themeColor="text2"/>
          <w:sz w:val="22"/>
          <w:szCs w:val="22"/>
        </w:rPr>
        <w:t xml:space="preserve"> of rural roads</w:t>
      </w:r>
      <w:r w:rsidR="00DC12CB" w:rsidRPr="008A425D">
        <w:rPr>
          <w:rFonts w:ascii="Calibri Light" w:hAnsi="Calibri Light"/>
          <w:color w:val="495965" w:themeColor="text2"/>
          <w:sz w:val="22"/>
          <w:szCs w:val="22"/>
        </w:rPr>
        <w:t>, linking communities to</w:t>
      </w:r>
      <w:r w:rsidR="00131DFA">
        <w:rPr>
          <w:rFonts w:ascii="Calibri Light" w:hAnsi="Calibri Light"/>
          <w:color w:val="495965" w:themeColor="text2"/>
          <w:sz w:val="22"/>
          <w:szCs w:val="22"/>
        </w:rPr>
        <w:t xml:space="preserve"> markets and</w:t>
      </w:r>
      <w:r w:rsidR="00DC12CB" w:rsidRPr="008A425D">
        <w:rPr>
          <w:rFonts w:ascii="Calibri Light" w:hAnsi="Calibri Light"/>
          <w:color w:val="495965" w:themeColor="text2"/>
          <w:sz w:val="22"/>
          <w:szCs w:val="22"/>
        </w:rPr>
        <w:t xml:space="preserve"> service</w:t>
      </w:r>
      <w:r w:rsidR="00131DFA">
        <w:rPr>
          <w:rFonts w:ascii="Calibri Light" w:hAnsi="Calibri Light"/>
          <w:color w:val="495965" w:themeColor="text2"/>
          <w:sz w:val="22"/>
          <w:szCs w:val="22"/>
        </w:rPr>
        <w:t>s;</w:t>
      </w:r>
    </w:p>
    <w:p w:rsidR="00634A4E" w:rsidRPr="008A425D" w:rsidRDefault="00634A4E" w:rsidP="008A425D">
      <w:pPr>
        <w:pStyle w:val="ListParagraph"/>
        <w:numPr>
          <w:ilvl w:val="0"/>
          <w:numId w:val="75"/>
        </w:numPr>
        <w:ind w:left="426"/>
        <w:rPr>
          <w:rFonts w:ascii="Calibri Light" w:hAnsi="Calibri Light"/>
          <w:color w:val="495965" w:themeColor="text2"/>
          <w:sz w:val="22"/>
          <w:szCs w:val="22"/>
        </w:rPr>
      </w:pPr>
      <w:r w:rsidRPr="008A425D">
        <w:rPr>
          <w:rFonts w:ascii="Calibri Light" w:hAnsi="Calibri Light" w:cs="Calibri Light"/>
          <w:color w:val="495965" w:themeColor="text2"/>
          <w:sz w:val="22"/>
          <w:szCs w:val="22"/>
        </w:rPr>
        <w:t xml:space="preserve">support for utility and revenue reforms to improve the </w:t>
      </w:r>
      <w:r w:rsidR="00214546" w:rsidRPr="008A425D">
        <w:rPr>
          <w:rFonts w:ascii="Calibri Light" w:hAnsi="Calibri Light" w:cs="Calibri Light"/>
          <w:color w:val="495965" w:themeColor="text2"/>
          <w:sz w:val="22"/>
          <w:szCs w:val="22"/>
        </w:rPr>
        <w:t xml:space="preserve">operating </w:t>
      </w:r>
      <w:r w:rsidRPr="008A425D">
        <w:rPr>
          <w:rFonts w:ascii="Calibri Light" w:hAnsi="Calibri Light" w:cs="Calibri Light"/>
          <w:color w:val="495965" w:themeColor="text2"/>
          <w:sz w:val="22"/>
          <w:szCs w:val="22"/>
        </w:rPr>
        <w:t xml:space="preserve">context for private sector </w:t>
      </w:r>
      <w:r w:rsidR="001C0078" w:rsidRPr="008A425D">
        <w:rPr>
          <w:rFonts w:ascii="Calibri Light" w:hAnsi="Calibri Light" w:cs="Calibri Light"/>
          <w:color w:val="495965" w:themeColor="text2"/>
          <w:sz w:val="22"/>
          <w:szCs w:val="22"/>
        </w:rPr>
        <w:t>invest</w:t>
      </w:r>
      <w:r w:rsidRPr="008A425D">
        <w:rPr>
          <w:rFonts w:ascii="Calibri Light" w:hAnsi="Calibri Light" w:cs="Calibri Light"/>
          <w:color w:val="495965" w:themeColor="text2"/>
          <w:sz w:val="22"/>
          <w:szCs w:val="22"/>
        </w:rPr>
        <w:t>ment;</w:t>
      </w:r>
    </w:p>
    <w:p w:rsidR="00AD54BA" w:rsidRPr="00AE3D08" w:rsidRDefault="00AD54BA" w:rsidP="00AD54BA">
      <w:pPr>
        <w:pStyle w:val="ListParagraph"/>
        <w:numPr>
          <w:ilvl w:val="0"/>
          <w:numId w:val="75"/>
        </w:numPr>
        <w:ind w:left="426"/>
        <w:rPr>
          <w:rFonts w:asciiTheme="minorHAnsi" w:hAnsiTheme="minorHAnsi"/>
          <w:color w:val="495965" w:themeColor="text2"/>
          <w:sz w:val="22"/>
          <w:szCs w:val="22"/>
        </w:rPr>
      </w:pPr>
      <w:r w:rsidRPr="00AE3D08">
        <w:rPr>
          <w:rFonts w:asciiTheme="minorHAnsi" w:hAnsiTheme="minorHAnsi"/>
          <w:color w:val="495965" w:themeColor="text2"/>
          <w:sz w:val="22"/>
          <w:szCs w:val="22"/>
        </w:rPr>
        <w:t xml:space="preserve">support for drafting legislation </w:t>
      </w:r>
      <w:r>
        <w:rPr>
          <w:rFonts w:asciiTheme="minorHAnsi" w:hAnsiTheme="minorHAnsi"/>
          <w:color w:val="495965" w:themeColor="text2"/>
          <w:sz w:val="22"/>
          <w:szCs w:val="22"/>
        </w:rPr>
        <w:t>to address</w:t>
      </w:r>
      <w:r w:rsidRPr="00AE3D08">
        <w:rPr>
          <w:rFonts w:asciiTheme="minorHAnsi" w:hAnsiTheme="minorHAnsi"/>
          <w:color w:val="495965" w:themeColor="text2"/>
          <w:sz w:val="22"/>
          <w:szCs w:val="22"/>
        </w:rPr>
        <w:t xml:space="preserve"> deficiencies in counter terrorism financing and anti-money laundering systems, </w:t>
      </w:r>
      <w:r w:rsidRPr="00AE3D08">
        <w:rPr>
          <w:rFonts w:asciiTheme="minorHAnsi" w:hAnsiTheme="minorHAnsi" w:cs="Calibri"/>
          <w:color w:val="495965" w:themeColor="text2"/>
          <w:sz w:val="22"/>
          <w:szCs w:val="22"/>
        </w:rPr>
        <w:t>preventing blacklisting of Vanuatu by the international Financial Action Task Force;</w:t>
      </w:r>
    </w:p>
    <w:p w:rsidR="00E03F5E" w:rsidRPr="008A425D" w:rsidRDefault="00E03F5E" w:rsidP="00E03F5E">
      <w:pPr>
        <w:pStyle w:val="ListParagraph"/>
        <w:numPr>
          <w:ilvl w:val="0"/>
          <w:numId w:val="75"/>
        </w:numPr>
        <w:ind w:left="426"/>
        <w:rPr>
          <w:rFonts w:ascii="Calibri Light" w:hAnsi="Calibri Light"/>
          <w:color w:val="495965" w:themeColor="text2"/>
          <w:sz w:val="22"/>
          <w:szCs w:val="22"/>
        </w:rPr>
      </w:pPr>
      <w:r w:rsidRPr="008A425D">
        <w:rPr>
          <w:rFonts w:ascii="Calibri Light" w:hAnsi="Calibri Light"/>
          <w:color w:val="495965" w:themeColor="text2"/>
          <w:sz w:val="22"/>
          <w:szCs w:val="22"/>
        </w:rPr>
        <w:t>836 people (48 per cent women) trained, 33 private sector training providers registered and 36 courses accredited through the Vanuatu Skills Partnership, targeting income generation in key sectors;</w:t>
      </w:r>
    </w:p>
    <w:p w:rsidR="00634A4E" w:rsidRPr="008A425D" w:rsidRDefault="00634A4E" w:rsidP="00634A4E">
      <w:pPr>
        <w:pStyle w:val="ListParagraph"/>
        <w:numPr>
          <w:ilvl w:val="0"/>
          <w:numId w:val="75"/>
        </w:numPr>
        <w:ind w:left="426"/>
        <w:rPr>
          <w:rFonts w:asciiTheme="minorHAnsi" w:hAnsiTheme="minorHAnsi"/>
          <w:color w:val="495965" w:themeColor="text2"/>
          <w:sz w:val="22"/>
          <w:szCs w:val="22"/>
        </w:rPr>
      </w:pPr>
      <w:r w:rsidRPr="008A425D">
        <w:rPr>
          <w:rFonts w:asciiTheme="minorHAnsi" w:hAnsiTheme="minorHAnsi" w:cs="Arial"/>
          <w:color w:val="495965" w:themeColor="text2"/>
          <w:sz w:val="22"/>
          <w:szCs w:val="22"/>
        </w:rPr>
        <w:t>completion of Y</w:t>
      </w:r>
      <w:r w:rsidRPr="008A425D">
        <w:rPr>
          <w:rFonts w:asciiTheme="minorHAnsi" w:hAnsiTheme="minorHAnsi" w:cs="Calibri Light"/>
          <w:color w:val="495965" w:themeColor="text2"/>
          <w:sz w:val="22"/>
          <w:szCs w:val="22"/>
        </w:rPr>
        <w:t xml:space="preserve">ear 3 school curriculum development, teacher training and reading material translation </w:t>
      </w:r>
    </w:p>
    <w:p w:rsidR="00634A4E" w:rsidRPr="00AE3D08" w:rsidRDefault="00634A4E" w:rsidP="00634A4E">
      <w:pPr>
        <w:pStyle w:val="ListParagraph"/>
        <w:ind w:left="426"/>
        <w:rPr>
          <w:rFonts w:asciiTheme="minorHAnsi" w:hAnsiTheme="minorHAnsi"/>
          <w:color w:val="495965" w:themeColor="text2"/>
          <w:sz w:val="22"/>
          <w:szCs w:val="22"/>
        </w:rPr>
      </w:pPr>
      <w:r w:rsidRPr="00AE3D08">
        <w:rPr>
          <w:rFonts w:asciiTheme="minorHAnsi" w:hAnsiTheme="minorHAnsi" w:cs="Calibri Light"/>
          <w:color w:val="495965" w:themeColor="text2"/>
          <w:sz w:val="22"/>
          <w:szCs w:val="22"/>
        </w:rPr>
        <w:t xml:space="preserve">(into 59 local languages) and distribution to 271 schools; </w:t>
      </w:r>
    </w:p>
    <w:p w:rsidR="00634A4E" w:rsidRPr="00AE3D08" w:rsidRDefault="00634A4E" w:rsidP="00634A4E">
      <w:pPr>
        <w:pStyle w:val="ListParagraph"/>
        <w:numPr>
          <w:ilvl w:val="0"/>
          <w:numId w:val="75"/>
        </w:numPr>
        <w:ind w:left="426"/>
        <w:rPr>
          <w:rFonts w:asciiTheme="minorHAnsi" w:hAnsiTheme="minorHAnsi"/>
          <w:color w:val="495965" w:themeColor="text2"/>
          <w:sz w:val="22"/>
          <w:szCs w:val="22"/>
        </w:rPr>
      </w:pPr>
      <w:r w:rsidRPr="00AE3D08">
        <w:rPr>
          <w:rFonts w:asciiTheme="minorHAnsi" w:hAnsiTheme="minorHAnsi"/>
          <w:color w:val="495965" w:themeColor="text2"/>
          <w:sz w:val="22"/>
          <w:szCs w:val="22"/>
        </w:rPr>
        <w:t>delivery of counselling and support services to 6,063 women and children survivors of violence;</w:t>
      </w:r>
      <w:r>
        <w:rPr>
          <w:rFonts w:asciiTheme="minorHAnsi" w:hAnsiTheme="minorHAnsi"/>
          <w:color w:val="495965" w:themeColor="text2"/>
          <w:sz w:val="22"/>
          <w:szCs w:val="22"/>
        </w:rPr>
        <w:t xml:space="preserve"> and</w:t>
      </w:r>
    </w:p>
    <w:p w:rsidR="002958AE" w:rsidRPr="008A425D" w:rsidRDefault="00DC12CB" w:rsidP="008A425D">
      <w:pPr>
        <w:pStyle w:val="ListParagraph"/>
        <w:numPr>
          <w:ilvl w:val="0"/>
          <w:numId w:val="75"/>
        </w:numPr>
        <w:ind w:left="426"/>
        <w:rPr>
          <w:rFonts w:ascii="Calibri Light" w:hAnsi="Calibri Light"/>
          <w:color w:val="495965" w:themeColor="text2"/>
          <w:sz w:val="22"/>
          <w:szCs w:val="22"/>
        </w:rPr>
      </w:pPr>
      <w:r w:rsidRPr="008A425D">
        <w:rPr>
          <w:rFonts w:ascii="Calibri Light" w:hAnsi="Calibri Light" w:cs="Calibri Light"/>
          <w:color w:val="495965" w:themeColor="text2"/>
          <w:sz w:val="22"/>
          <w:szCs w:val="22"/>
        </w:rPr>
        <w:t>training of over 100 health personnel, including medical interns, nurses and midwives boosted Vanuatu’s medical workforce.</w:t>
      </w:r>
    </w:p>
    <w:p w:rsidR="00D72E2C" w:rsidRPr="008A425D" w:rsidRDefault="00D72E2C">
      <w:pPr>
        <w:pStyle w:val="Talkingpoint"/>
        <w:numPr>
          <w:ilvl w:val="0"/>
          <w:numId w:val="0"/>
        </w:numPr>
        <w:spacing w:after="0" w:line="240" w:lineRule="auto"/>
        <w:rPr>
          <w:rStyle w:val="Strong"/>
          <w:rFonts w:ascii="Calibri Light" w:hAnsi="Calibri Light"/>
          <w:b w:val="0"/>
          <w:color w:val="495965" w:themeColor="text2"/>
          <w:sz w:val="22"/>
          <w:szCs w:val="22"/>
        </w:rPr>
      </w:pPr>
    </w:p>
    <w:p w:rsidR="002958AE" w:rsidRPr="00772167" w:rsidRDefault="00000F86">
      <w:pPr>
        <w:pStyle w:val="Talkingpoint"/>
        <w:numPr>
          <w:ilvl w:val="0"/>
          <w:numId w:val="0"/>
        </w:numPr>
        <w:spacing w:after="0" w:line="240" w:lineRule="auto"/>
        <w:rPr>
          <w:rFonts w:ascii="Calibri Light" w:hAnsi="Calibri Light"/>
          <w:i/>
          <w:color w:val="495965" w:themeColor="text2"/>
          <w:sz w:val="22"/>
          <w:szCs w:val="22"/>
        </w:rPr>
      </w:pPr>
      <w:r>
        <w:rPr>
          <w:rStyle w:val="Strong"/>
          <w:rFonts w:ascii="Calibri Light" w:hAnsi="Calibri Light"/>
          <w:b w:val="0"/>
          <w:color w:val="495965" w:themeColor="text2"/>
          <w:sz w:val="22"/>
          <w:szCs w:val="22"/>
        </w:rPr>
        <w:t>T</w:t>
      </w:r>
      <w:r w:rsidR="002958AE" w:rsidRPr="00772167">
        <w:rPr>
          <w:rStyle w:val="Strong"/>
          <w:rFonts w:ascii="Calibri Light" w:hAnsi="Calibri Light"/>
          <w:b w:val="0"/>
          <w:color w:val="495965" w:themeColor="text2"/>
          <w:sz w:val="22"/>
          <w:szCs w:val="22"/>
        </w:rPr>
        <w:t>he 2017 Foreign Policy White Paper</w:t>
      </w:r>
      <w:r>
        <w:rPr>
          <w:rStyle w:val="Strong"/>
          <w:rFonts w:ascii="Calibri Light" w:hAnsi="Calibri Light"/>
          <w:b w:val="0"/>
          <w:color w:val="495965" w:themeColor="text2"/>
          <w:sz w:val="22"/>
          <w:szCs w:val="22"/>
        </w:rPr>
        <w:t xml:space="preserve"> outlines</w:t>
      </w:r>
      <w:r w:rsidR="002958AE" w:rsidRPr="00772167">
        <w:rPr>
          <w:rStyle w:val="Strong"/>
          <w:rFonts w:ascii="Calibri Light" w:hAnsi="Calibri Light"/>
          <w:b w:val="0"/>
          <w:color w:val="495965" w:themeColor="text2"/>
          <w:sz w:val="22"/>
          <w:szCs w:val="22"/>
        </w:rPr>
        <w:t xml:space="preserve"> Australia</w:t>
      </w:r>
      <w:r>
        <w:rPr>
          <w:rStyle w:val="Strong"/>
          <w:rFonts w:ascii="Calibri Light" w:hAnsi="Calibri Light"/>
          <w:b w:val="0"/>
          <w:color w:val="495965" w:themeColor="text2"/>
          <w:sz w:val="22"/>
          <w:szCs w:val="22"/>
        </w:rPr>
        <w:t>’</w:t>
      </w:r>
      <w:r w:rsidR="002958AE" w:rsidRPr="00772167">
        <w:rPr>
          <w:rStyle w:val="Strong"/>
          <w:rFonts w:ascii="Calibri Light" w:hAnsi="Calibri Light"/>
          <w:b w:val="0"/>
          <w:color w:val="495965" w:themeColor="text2"/>
          <w:sz w:val="22"/>
          <w:szCs w:val="22"/>
        </w:rPr>
        <w:t>s</w:t>
      </w:r>
      <w:r>
        <w:rPr>
          <w:rStyle w:val="Strong"/>
          <w:rFonts w:ascii="Calibri Light" w:hAnsi="Calibri Light"/>
          <w:b w:val="0"/>
          <w:color w:val="495965" w:themeColor="text2"/>
          <w:sz w:val="22"/>
          <w:szCs w:val="22"/>
        </w:rPr>
        <w:t xml:space="preserve"> commitment to</w:t>
      </w:r>
      <w:r w:rsidR="002958AE" w:rsidRPr="00772167">
        <w:rPr>
          <w:rStyle w:val="Strong"/>
          <w:rFonts w:ascii="Calibri Light" w:hAnsi="Calibri Light"/>
          <w:b w:val="0"/>
          <w:color w:val="495965" w:themeColor="text2"/>
          <w:sz w:val="22"/>
          <w:szCs w:val="22"/>
        </w:rPr>
        <w:t xml:space="preserve"> enhance its strategic partnership with Vanuatu to further shared interests, through greater economic integration and security cooperation, strengthened people-to-people links and enhanced resilience to climate change and natural disasters</w:t>
      </w:r>
      <w:r w:rsidR="002958AE" w:rsidRPr="00772167">
        <w:rPr>
          <w:rStyle w:val="FootnoteReference"/>
          <w:rFonts w:ascii="Calibri Light" w:hAnsi="Calibri Light"/>
          <w:bCs/>
          <w:color w:val="495965" w:themeColor="text2"/>
          <w:sz w:val="22"/>
          <w:szCs w:val="22"/>
        </w:rPr>
        <w:footnoteReference w:id="2"/>
      </w:r>
      <w:r w:rsidR="002958AE" w:rsidRPr="00772167">
        <w:rPr>
          <w:rStyle w:val="Strong"/>
          <w:rFonts w:ascii="Calibri Light" w:hAnsi="Calibri Light"/>
          <w:b w:val="0"/>
          <w:color w:val="495965" w:themeColor="text2"/>
          <w:sz w:val="22"/>
          <w:szCs w:val="22"/>
        </w:rPr>
        <w:t xml:space="preserve">. </w:t>
      </w:r>
    </w:p>
    <w:p w:rsidR="0057366D" w:rsidRDefault="0057366D" w:rsidP="0017474D">
      <w:pPr>
        <w:pStyle w:val="Background"/>
        <w:numPr>
          <w:ilvl w:val="0"/>
          <w:numId w:val="0"/>
        </w:numPr>
        <w:spacing w:before="0" w:after="0" w:line="240" w:lineRule="auto"/>
        <w:ind w:left="360" w:hanging="360"/>
        <w:rPr>
          <w:rFonts w:eastAsiaTheme="majorEastAsia" w:cstheme="majorBidi"/>
          <w:caps/>
          <w:color w:val="495965" w:themeColor="text2"/>
          <w:sz w:val="38"/>
          <w:szCs w:val="26"/>
          <w:lang w:eastAsia="en-US"/>
        </w:rPr>
      </w:pPr>
    </w:p>
    <w:p w:rsidR="00C6626C" w:rsidRPr="00C61187" w:rsidRDefault="00C6626C" w:rsidP="008A425D">
      <w:pPr>
        <w:pStyle w:val="Background"/>
        <w:numPr>
          <w:ilvl w:val="0"/>
          <w:numId w:val="0"/>
        </w:numPr>
        <w:spacing w:before="0" w:after="0" w:line="240" w:lineRule="auto"/>
        <w:ind w:left="360" w:hanging="360"/>
        <w:rPr>
          <w:kern w:val="28"/>
        </w:rPr>
      </w:pPr>
      <w:r w:rsidRPr="002A51CA">
        <w:rPr>
          <w:rFonts w:eastAsiaTheme="majorEastAsia" w:cstheme="majorBidi"/>
          <w:caps/>
          <w:color w:val="495965" w:themeColor="text2"/>
          <w:sz w:val="38"/>
          <w:szCs w:val="26"/>
          <w:lang w:eastAsia="en-US"/>
        </w:rPr>
        <w:t xml:space="preserve">Context </w:t>
      </w:r>
      <w:r w:rsidRPr="002A51CA">
        <w:rPr>
          <w:rFonts w:eastAsiaTheme="majorEastAsia" w:cstheme="majorBidi"/>
          <w:caps/>
          <w:color w:val="495965" w:themeColor="text2"/>
          <w:sz w:val="38"/>
          <w:szCs w:val="26"/>
          <w:lang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995915" w:rsidRPr="00874DB4" w:rsidRDefault="00995915" w:rsidP="008A425D">
      <w:pPr>
        <w:pStyle w:val="Talkingpoint"/>
        <w:numPr>
          <w:ilvl w:val="0"/>
          <w:numId w:val="0"/>
        </w:numPr>
        <w:spacing w:after="0" w:line="240" w:lineRule="auto"/>
        <w:rPr>
          <w:rFonts w:asciiTheme="minorHAnsi" w:hAnsiTheme="minorHAnsi"/>
          <w:color w:val="495965" w:themeColor="text2"/>
          <w:sz w:val="22"/>
          <w:szCs w:val="22"/>
        </w:rPr>
      </w:pPr>
      <w:r w:rsidRPr="0037261C">
        <w:rPr>
          <w:rFonts w:asciiTheme="minorHAnsi" w:hAnsiTheme="minorHAnsi"/>
          <w:color w:val="495965" w:themeColor="text2"/>
          <w:sz w:val="22"/>
          <w:szCs w:val="22"/>
        </w:rPr>
        <w:t>The context underpinning the shared objectives outlined in the Vanuatu Aid Investment Plan</w:t>
      </w:r>
      <w:r w:rsidR="008411DE" w:rsidRPr="0037261C">
        <w:rPr>
          <w:rFonts w:asciiTheme="minorHAnsi" w:hAnsiTheme="minorHAnsi"/>
          <w:color w:val="495965" w:themeColor="text2"/>
          <w:sz w:val="22"/>
          <w:szCs w:val="22"/>
        </w:rPr>
        <w:t xml:space="preserve"> (AIP)</w:t>
      </w:r>
      <w:r w:rsidRPr="0037261C">
        <w:rPr>
          <w:rFonts w:asciiTheme="minorHAnsi" w:hAnsiTheme="minorHAnsi"/>
          <w:color w:val="495965" w:themeColor="text2"/>
          <w:sz w:val="22"/>
          <w:szCs w:val="22"/>
        </w:rPr>
        <w:t xml:space="preserve"> remained valid in 2017-18, with consistent economic growth, </w:t>
      </w:r>
      <w:r w:rsidR="00495E7A" w:rsidRPr="0037261C">
        <w:rPr>
          <w:rFonts w:asciiTheme="minorHAnsi" w:hAnsiTheme="minorHAnsi"/>
          <w:color w:val="495965" w:themeColor="text2"/>
          <w:sz w:val="22"/>
          <w:szCs w:val="22"/>
        </w:rPr>
        <w:t>stable governance</w:t>
      </w:r>
      <w:r w:rsidRPr="0037261C">
        <w:rPr>
          <w:rFonts w:asciiTheme="minorHAnsi" w:hAnsiTheme="minorHAnsi"/>
          <w:color w:val="495965" w:themeColor="text2"/>
          <w:sz w:val="22"/>
          <w:szCs w:val="22"/>
        </w:rPr>
        <w:t xml:space="preserve"> and a strong reform agenda. Ongoing social stability enabled growth in trade, foreign investment and tourism. </w:t>
      </w:r>
      <w:r w:rsidR="00810F09">
        <w:rPr>
          <w:rFonts w:asciiTheme="minorHAnsi" w:hAnsiTheme="minorHAnsi"/>
          <w:color w:val="495965" w:themeColor="text2"/>
          <w:sz w:val="22"/>
          <w:szCs w:val="22"/>
        </w:rPr>
        <w:t>V</w:t>
      </w:r>
      <w:r w:rsidRPr="005D20F9">
        <w:rPr>
          <w:rFonts w:asciiTheme="minorHAnsi" w:hAnsiTheme="minorHAnsi"/>
          <w:color w:val="495965" w:themeColor="text2"/>
          <w:sz w:val="22"/>
          <w:szCs w:val="22"/>
        </w:rPr>
        <w:t xml:space="preserve">ulnerability to natural disasters, </w:t>
      </w:r>
      <w:r w:rsidRPr="005D20F9">
        <w:rPr>
          <w:rFonts w:asciiTheme="minorHAnsi" w:hAnsiTheme="minorHAnsi"/>
          <w:color w:val="495965" w:themeColor="text2"/>
          <w:sz w:val="22"/>
          <w:szCs w:val="22"/>
        </w:rPr>
        <w:lastRenderedPageBreak/>
        <w:t xml:space="preserve">disparities between urban and rural populations and </w:t>
      </w:r>
      <w:r w:rsidR="00372C00" w:rsidRPr="005D20F9">
        <w:rPr>
          <w:rFonts w:asciiTheme="minorHAnsi" w:hAnsiTheme="minorHAnsi"/>
          <w:color w:val="495965" w:themeColor="text2"/>
          <w:sz w:val="22"/>
          <w:szCs w:val="22"/>
        </w:rPr>
        <w:t xml:space="preserve">between </w:t>
      </w:r>
      <w:r w:rsidRPr="005D20F9">
        <w:rPr>
          <w:rFonts w:asciiTheme="minorHAnsi" w:hAnsiTheme="minorHAnsi"/>
          <w:color w:val="495965" w:themeColor="text2"/>
          <w:sz w:val="22"/>
          <w:szCs w:val="22"/>
        </w:rPr>
        <w:t>opportunities for women and men, as well as shifts in the donor landscape</w:t>
      </w:r>
      <w:r w:rsidR="00000F86" w:rsidRPr="005D20F9">
        <w:rPr>
          <w:rFonts w:asciiTheme="minorHAnsi" w:hAnsiTheme="minorHAnsi"/>
          <w:color w:val="495965" w:themeColor="text2"/>
          <w:sz w:val="22"/>
          <w:szCs w:val="22"/>
        </w:rPr>
        <w:t>,</w:t>
      </w:r>
      <w:r w:rsidRPr="005D20F9">
        <w:rPr>
          <w:rFonts w:asciiTheme="minorHAnsi" w:hAnsiTheme="minorHAnsi"/>
          <w:color w:val="495965" w:themeColor="text2"/>
          <w:sz w:val="22"/>
          <w:szCs w:val="22"/>
        </w:rPr>
        <w:t xml:space="preserve"> continue to influence </w:t>
      </w:r>
      <w:r w:rsidR="00DA6975">
        <w:rPr>
          <w:rFonts w:asciiTheme="minorHAnsi" w:hAnsiTheme="minorHAnsi"/>
          <w:color w:val="495965" w:themeColor="text2"/>
          <w:sz w:val="22"/>
          <w:szCs w:val="22"/>
        </w:rPr>
        <w:t xml:space="preserve">social and economic </w:t>
      </w:r>
      <w:r w:rsidRPr="005D20F9">
        <w:rPr>
          <w:rFonts w:asciiTheme="minorHAnsi" w:hAnsiTheme="minorHAnsi"/>
          <w:color w:val="495965" w:themeColor="text2"/>
          <w:sz w:val="22"/>
          <w:szCs w:val="22"/>
        </w:rPr>
        <w:t>development.</w:t>
      </w:r>
    </w:p>
    <w:p w:rsidR="00995915" w:rsidRPr="0037261C" w:rsidRDefault="00995915">
      <w:pPr>
        <w:pStyle w:val="Talkingpoint"/>
        <w:numPr>
          <w:ilvl w:val="0"/>
          <w:numId w:val="0"/>
        </w:numPr>
        <w:spacing w:after="0" w:line="240" w:lineRule="auto"/>
        <w:rPr>
          <w:rFonts w:asciiTheme="minorHAnsi" w:hAnsiTheme="minorHAnsi"/>
          <w:color w:val="495965" w:themeColor="text2"/>
          <w:sz w:val="22"/>
          <w:szCs w:val="22"/>
        </w:rPr>
      </w:pPr>
    </w:p>
    <w:p w:rsidR="00995915" w:rsidRPr="00772167" w:rsidRDefault="000A6447">
      <w:pPr>
        <w:spacing w:before="0" w:after="0" w:line="240" w:lineRule="auto"/>
        <w:rPr>
          <w:rFonts w:eastAsia="Times New Roman" w:cstheme="majorHAnsi"/>
          <w:lang w:val="en-AU"/>
        </w:rPr>
      </w:pPr>
      <w:r w:rsidRPr="005D20F9">
        <w:t>Economic growth in Vanuatu is constrained by its small population, distance to major markets, infrastructure needs, limited access to financial services and</w:t>
      </w:r>
      <w:r w:rsidR="00372B31" w:rsidRPr="005D20F9">
        <w:t xml:space="preserve"> narrow market base. </w:t>
      </w:r>
      <w:r w:rsidR="00995915" w:rsidRPr="005D20F9">
        <w:t xml:space="preserve">Despite </w:t>
      </w:r>
      <w:r w:rsidR="00372B31" w:rsidRPr="005D20F9">
        <w:t xml:space="preserve">these </w:t>
      </w:r>
      <w:r w:rsidR="00995915" w:rsidRPr="005D20F9">
        <w:t>challenges,</w:t>
      </w:r>
      <w:r w:rsidR="00995915" w:rsidRPr="00874DB4">
        <w:t xml:space="preserve"> Vanuatu’s economy continues to grow</w:t>
      </w:r>
      <w:r w:rsidR="00000F86" w:rsidRPr="00874DB4">
        <w:t xml:space="preserve"> driven by tourism</w:t>
      </w:r>
      <w:r w:rsidR="00000F86" w:rsidRPr="0037261C">
        <w:t>, agriculture and infrastructure projects.</w:t>
      </w:r>
      <w:r w:rsidR="00995915" w:rsidRPr="0037261C">
        <w:t xml:space="preserve"> Emerging from a difficult period following </w:t>
      </w:r>
      <w:r w:rsidR="00495E7A" w:rsidRPr="0037261C">
        <w:t>TC</w:t>
      </w:r>
      <w:r w:rsidR="00995915" w:rsidRPr="0037261C">
        <w:t xml:space="preserve"> Pam </w:t>
      </w:r>
      <w:r w:rsidR="00000F86" w:rsidRPr="0037261C">
        <w:t xml:space="preserve">in </w:t>
      </w:r>
      <w:r w:rsidR="00995915" w:rsidRPr="0037261C">
        <w:t>2015</w:t>
      </w:r>
      <w:r w:rsidR="00000F86" w:rsidRPr="0037261C">
        <w:t xml:space="preserve"> (l</w:t>
      </w:r>
      <w:r w:rsidR="00995915" w:rsidRPr="0037261C">
        <w:t>osses equivalent to 64 per cent of GDP</w:t>
      </w:r>
      <w:r w:rsidR="00495E7A" w:rsidRPr="0037261C">
        <w:t>)</w:t>
      </w:r>
      <w:r w:rsidR="00995915" w:rsidRPr="0037261C">
        <w:t>, recent forecasts</w:t>
      </w:r>
      <w:r w:rsidR="00810F09">
        <w:t xml:space="preserve"> suggest GDP growth of around four</w:t>
      </w:r>
      <w:r w:rsidR="00D072E5">
        <w:t xml:space="preserve"> </w:t>
      </w:r>
      <w:r w:rsidR="00995915" w:rsidRPr="0037261C">
        <w:t>per cent</w:t>
      </w:r>
      <w:r w:rsidR="00495E7A" w:rsidRPr="0037261C">
        <w:t xml:space="preserve"> in 2018</w:t>
      </w:r>
      <w:r w:rsidR="005B4D42" w:rsidRPr="00874DB4">
        <w:rPr>
          <w:rStyle w:val="FootnoteReference"/>
        </w:rPr>
        <w:footnoteReference w:id="3"/>
      </w:r>
      <w:r w:rsidR="00000F86" w:rsidRPr="00874DB4">
        <w:t>. T</w:t>
      </w:r>
      <w:r w:rsidR="00995915" w:rsidRPr="00874DB4">
        <w:t xml:space="preserve">he current account deficit declined to about </w:t>
      </w:r>
      <w:r w:rsidR="00810F09">
        <w:t>four</w:t>
      </w:r>
      <w:r w:rsidR="00995915" w:rsidRPr="00874DB4">
        <w:t xml:space="preserve"> per cent of GDP in 2016 from 10.5 per cent in 2015, </w:t>
      </w:r>
      <w:r w:rsidR="00214546">
        <w:t>owing</w:t>
      </w:r>
      <w:r w:rsidR="00995915" w:rsidRPr="00874DB4">
        <w:t xml:space="preserve"> to rebounding exports and tourism activities.</w:t>
      </w:r>
      <w:r w:rsidR="00995915" w:rsidRPr="00874DB4">
        <w:rPr>
          <w:rStyle w:val="FootnoteReference"/>
        </w:rPr>
        <w:footnoteReference w:id="4"/>
      </w:r>
      <w:r w:rsidR="00995915" w:rsidRPr="00874DB4">
        <w:t xml:space="preserve"> </w:t>
      </w:r>
      <w:r w:rsidR="00372B31" w:rsidRPr="005D20F9">
        <w:t>However, p</w:t>
      </w:r>
      <w:r w:rsidR="00995915" w:rsidRPr="005D20F9">
        <w:t>ublic and publicly-guaranteed (PPG) debt increased</w:t>
      </w:r>
      <w:r w:rsidR="00495E7A" w:rsidRPr="005D20F9">
        <w:t xml:space="preserve"> </w:t>
      </w:r>
      <w:r w:rsidR="00995915" w:rsidRPr="005D20F9">
        <w:t>due to reconstruction and infrastructure projects. Vanuatu currently has US$377 million of PPG debt, equivalent to 49</w:t>
      </w:r>
      <w:r w:rsidR="00810F09">
        <w:t xml:space="preserve"> per cent</w:t>
      </w:r>
      <w:r w:rsidR="00995915" w:rsidRPr="005D20F9">
        <w:t xml:space="preserve"> </w:t>
      </w:r>
      <w:r w:rsidR="001E4C81" w:rsidRPr="005D20F9">
        <w:t xml:space="preserve">of </w:t>
      </w:r>
      <w:r w:rsidR="00995915" w:rsidRPr="005D20F9">
        <w:t>GDP.</w:t>
      </w:r>
      <w:r w:rsidR="00995915" w:rsidRPr="005D20F9">
        <w:rPr>
          <w:rStyle w:val="FootnoteReference"/>
        </w:rPr>
        <w:footnoteReference w:id="5"/>
      </w:r>
      <w:r w:rsidR="00995915" w:rsidRPr="005D20F9">
        <w:t xml:space="preserve"> </w:t>
      </w:r>
      <w:r w:rsidR="00A464CC" w:rsidRPr="005D20F9">
        <w:t>The I</w:t>
      </w:r>
      <w:r w:rsidR="00000F86" w:rsidRPr="005D20F9">
        <w:t xml:space="preserve">nternational </w:t>
      </w:r>
      <w:r w:rsidR="00A464CC" w:rsidRPr="005D20F9">
        <w:t>M</w:t>
      </w:r>
      <w:r w:rsidR="00000F86" w:rsidRPr="005D20F9">
        <w:t xml:space="preserve">onetary </w:t>
      </w:r>
      <w:r w:rsidR="00A464CC" w:rsidRPr="005D20F9">
        <w:t>F</w:t>
      </w:r>
      <w:r w:rsidR="00000F86" w:rsidRPr="005D20F9">
        <w:t>und 2018</w:t>
      </w:r>
      <w:r w:rsidR="00A464CC" w:rsidRPr="005D20F9">
        <w:t xml:space="preserve"> </w:t>
      </w:r>
      <w:r w:rsidR="001E4C81" w:rsidRPr="005D20F9">
        <w:t xml:space="preserve">Vanuatu </w:t>
      </w:r>
      <w:r w:rsidR="00A464CC" w:rsidRPr="005D20F9">
        <w:t>Article IV report</w:t>
      </w:r>
      <w:r w:rsidR="005A7FBC" w:rsidRPr="005D20F9">
        <w:rPr>
          <w:rStyle w:val="FootnoteReference"/>
        </w:rPr>
        <w:footnoteReference w:id="6"/>
      </w:r>
      <w:r w:rsidR="00A464CC" w:rsidRPr="005D20F9">
        <w:t xml:space="preserve"> identified diversification of the economy, increased employment and financial services,</w:t>
      </w:r>
      <w:r w:rsidR="005A7FBC" w:rsidRPr="005D20F9">
        <w:t xml:space="preserve"> and effective management of public spending and debt as key to maintaining positive </w:t>
      </w:r>
      <w:r w:rsidR="00A464CC" w:rsidRPr="005D20F9">
        <w:t>grow</w:t>
      </w:r>
      <w:r w:rsidR="005A7FBC" w:rsidRPr="005D20F9">
        <w:t>th and financial stability</w:t>
      </w:r>
      <w:r w:rsidR="00A464CC" w:rsidRPr="005D20F9">
        <w:t>.</w:t>
      </w:r>
    </w:p>
    <w:p w:rsidR="00995915" w:rsidRPr="00772167" w:rsidRDefault="00995915">
      <w:pPr>
        <w:autoSpaceDE w:val="0"/>
        <w:autoSpaceDN w:val="0"/>
        <w:adjustRightInd w:val="0"/>
        <w:spacing w:before="0" w:after="0" w:line="240" w:lineRule="auto"/>
        <w:rPr>
          <w:rFonts w:cs="SegoeUI-Bold"/>
          <w:bCs/>
        </w:rPr>
      </w:pPr>
    </w:p>
    <w:p w:rsidR="00995915" w:rsidRPr="00874DB4" w:rsidRDefault="00995915" w:rsidP="005D20F9">
      <w:pPr>
        <w:spacing w:before="0" w:after="0" w:line="240" w:lineRule="auto"/>
        <w:jc w:val="both"/>
        <w:rPr>
          <w:rFonts w:cs="Helvetica"/>
          <w:lang w:val="en"/>
        </w:rPr>
      </w:pPr>
      <w:r w:rsidRPr="00874DB4">
        <w:t>During 2017-18</w:t>
      </w:r>
      <w:r w:rsidR="00F411BE" w:rsidRPr="005D20F9">
        <w:t>,</w:t>
      </w:r>
      <w:r w:rsidRPr="00874DB4">
        <w:t xml:space="preserve"> Vanuatu</w:t>
      </w:r>
      <w:r w:rsidR="009C4CBA" w:rsidRPr="005D20F9">
        <w:t>’s</w:t>
      </w:r>
      <w:r w:rsidRPr="00874DB4">
        <w:t xml:space="preserve"> relative</w:t>
      </w:r>
      <w:r w:rsidRPr="00C2612F">
        <w:t xml:space="preserve"> political stab</w:t>
      </w:r>
      <w:r w:rsidR="009C4CBA" w:rsidRPr="005D20F9">
        <w:t>ility</w:t>
      </w:r>
      <w:r w:rsidR="00F411BE" w:rsidRPr="005D20F9">
        <w:t xml:space="preserve"> </w:t>
      </w:r>
      <w:r w:rsidR="009C4CBA" w:rsidRPr="005D20F9">
        <w:t>enabled</w:t>
      </w:r>
      <w:r w:rsidRPr="00874DB4">
        <w:t xml:space="preserve"> Prim</w:t>
      </w:r>
      <w:r w:rsidRPr="00C2612F">
        <w:t>e Minister</w:t>
      </w:r>
      <w:r w:rsidRPr="00C2612F">
        <w:rPr>
          <w:lang w:val="en-US"/>
        </w:rPr>
        <w:t xml:space="preserve"> Salwai’s Government </w:t>
      </w:r>
      <w:r w:rsidR="009C4CBA" w:rsidRPr="005D20F9">
        <w:rPr>
          <w:lang w:val="en-US"/>
        </w:rPr>
        <w:t xml:space="preserve">to </w:t>
      </w:r>
      <w:r w:rsidR="00372C00" w:rsidRPr="00874DB4">
        <w:rPr>
          <w:lang w:val="en-US"/>
        </w:rPr>
        <w:t>pursue</w:t>
      </w:r>
      <w:r w:rsidRPr="00874DB4">
        <w:rPr>
          <w:lang w:val="en-US"/>
        </w:rPr>
        <w:t xml:space="preserve"> a strong reform agenda, addressing long-term challenges such as tax and utilities reform and prioritising implementation of </w:t>
      </w:r>
      <w:r w:rsidRPr="00C2612F">
        <w:rPr>
          <w:rFonts w:cs="Helvetica"/>
          <w:lang w:val="en"/>
        </w:rPr>
        <w:t>the Vanuatu National Sustainable Development Plan (</w:t>
      </w:r>
      <w:r w:rsidRPr="00C2612F">
        <w:rPr>
          <w:rFonts w:cs="Helvetica"/>
          <w:i/>
          <w:lang w:val="en"/>
        </w:rPr>
        <w:t>NSDP 2030</w:t>
      </w:r>
      <w:r w:rsidRPr="00C2612F">
        <w:rPr>
          <w:rFonts w:cs="Helvetica"/>
          <w:lang w:val="en"/>
        </w:rPr>
        <w:t xml:space="preserve">). </w:t>
      </w:r>
      <w:r w:rsidR="005A7FBC" w:rsidRPr="005D20F9">
        <w:rPr>
          <w:rFonts w:cs="Helvetica"/>
          <w:lang w:val="en"/>
        </w:rPr>
        <w:t>Continuity</w:t>
      </w:r>
      <w:r w:rsidR="00832A9D" w:rsidRPr="005D20F9">
        <w:rPr>
          <w:rFonts w:cs="Helvetica"/>
          <w:lang w:val="en"/>
        </w:rPr>
        <w:t xml:space="preserve"> of leadership</w:t>
      </w:r>
      <w:r w:rsidR="005A7FBC" w:rsidRPr="005D20F9">
        <w:rPr>
          <w:rFonts w:cs="Helvetica"/>
          <w:lang w:val="en"/>
        </w:rPr>
        <w:t xml:space="preserve"> </w:t>
      </w:r>
      <w:r w:rsidR="00832A9D" w:rsidRPr="005D20F9">
        <w:rPr>
          <w:rFonts w:cs="Helvetica"/>
          <w:lang w:val="en"/>
        </w:rPr>
        <w:t xml:space="preserve">also facilitated policy dialogue </w:t>
      </w:r>
      <w:r w:rsidR="00F411BE" w:rsidRPr="005D20F9">
        <w:rPr>
          <w:rFonts w:cs="Helvetica"/>
          <w:lang w:val="en"/>
        </w:rPr>
        <w:t>and</w:t>
      </w:r>
      <w:r w:rsidR="00D72E2C">
        <w:rPr>
          <w:rFonts w:cs="Helvetica"/>
          <w:lang w:val="en"/>
        </w:rPr>
        <w:t xml:space="preserve"> implementation and</w:t>
      </w:r>
      <w:r w:rsidR="00F411BE" w:rsidRPr="005D20F9">
        <w:rPr>
          <w:rFonts w:cs="Helvetica"/>
          <w:lang w:val="en"/>
        </w:rPr>
        <w:t xml:space="preserve"> </w:t>
      </w:r>
      <w:r w:rsidR="00832A9D" w:rsidRPr="005D20F9">
        <w:rPr>
          <w:rFonts w:cs="Helvetica"/>
          <w:lang w:val="en"/>
        </w:rPr>
        <w:t>c</w:t>
      </w:r>
      <w:r w:rsidR="009C4CBA" w:rsidRPr="005D20F9">
        <w:rPr>
          <w:rFonts w:cs="Helvetica"/>
          <w:lang w:val="en"/>
        </w:rPr>
        <w:t xml:space="preserve">ontributed to </w:t>
      </w:r>
      <w:r w:rsidR="005A7FBC" w:rsidRPr="005D20F9">
        <w:rPr>
          <w:rFonts w:cs="Helvetica"/>
          <w:lang w:val="en"/>
        </w:rPr>
        <w:t>positive development gains</w:t>
      </w:r>
      <w:r w:rsidR="00832A9D" w:rsidRPr="005D20F9">
        <w:rPr>
          <w:rFonts w:cs="Helvetica"/>
          <w:lang w:val="en"/>
        </w:rPr>
        <w:t xml:space="preserve">. </w:t>
      </w:r>
      <w:r w:rsidR="00D72E2C">
        <w:rPr>
          <w:rFonts w:cs="Helvetica"/>
          <w:lang w:val="en"/>
        </w:rPr>
        <w:t>Yet</w:t>
      </w:r>
      <w:r w:rsidR="00C77F77" w:rsidRPr="005D20F9">
        <w:rPr>
          <w:rFonts w:cs="Helvetica"/>
          <w:lang w:val="en"/>
        </w:rPr>
        <w:t xml:space="preserve"> gains </w:t>
      </w:r>
      <w:r w:rsidR="00832A9D" w:rsidRPr="005D20F9">
        <w:rPr>
          <w:rFonts w:cs="Helvetica"/>
          <w:lang w:val="en"/>
        </w:rPr>
        <w:t>remain</w:t>
      </w:r>
      <w:r w:rsidR="00C77F77" w:rsidRPr="005D20F9">
        <w:rPr>
          <w:rFonts w:cs="Helvetica"/>
          <w:lang w:val="en"/>
        </w:rPr>
        <w:t xml:space="preserve"> fragile</w:t>
      </w:r>
      <w:r w:rsidR="00F411BE" w:rsidRPr="005D20F9">
        <w:rPr>
          <w:rFonts w:cs="Helvetica"/>
          <w:lang w:val="en"/>
        </w:rPr>
        <w:t>. O</w:t>
      </w:r>
      <w:r w:rsidR="00A44AC2" w:rsidRPr="005D20F9">
        <w:rPr>
          <w:rFonts w:cs="Helvetica"/>
          <w:lang w:val="en"/>
        </w:rPr>
        <w:t>ngoing</w:t>
      </w:r>
      <w:r w:rsidRPr="005D20F9">
        <w:rPr>
          <w:rFonts w:cs="Helvetica"/>
          <w:lang w:val="en"/>
        </w:rPr>
        <w:t xml:space="preserve"> </w:t>
      </w:r>
      <w:r w:rsidR="00832A9D" w:rsidRPr="005D20F9">
        <w:rPr>
          <w:rFonts w:cs="Helvetica"/>
          <w:lang w:val="en"/>
        </w:rPr>
        <w:t xml:space="preserve">GoV </w:t>
      </w:r>
      <w:r w:rsidRPr="005D20F9">
        <w:rPr>
          <w:rFonts w:cs="Helvetica"/>
          <w:lang w:val="en"/>
        </w:rPr>
        <w:t>resource and capacity</w:t>
      </w:r>
      <w:r w:rsidR="00F411BE" w:rsidRPr="005D20F9">
        <w:rPr>
          <w:rFonts w:cs="Helvetica"/>
          <w:lang w:val="en"/>
        </w:rPr>
        <w:t xml:space="preserve"> limitations</w:t>
      </w:r>
      <w:r w:rsidRPr="005D20F9">
        <w:rPr>
          <w:rFonts w:cs="Helvetica"/>
          <w:lang w:val="en"/>
        </w:rPr>
        <w:t xml:space="preserve"> constrain </w:t>
      </w:r>
      <w:r w:rsidR="005B4D42" w:rsidRPr="005D20F9">
        <w:rPr>
          <w:rFonts w:cs="Helvetica"/>
          <w:lang w:val="en"/>
        </w:rPr>
        <w:t xml:space="preserve">the </w:t>
      </w:r>
      <w:r w:rsidR="00C6134D" w:rsidRPr="005D20F9">
        <w:rPr>
          <w:rFonts w:cs="Helvetica"/>
          <w:lang w:val="en"/>
        </w:rPr>
        <w:t>effectiveness and pace</w:t>
      </w:r>
      <w:r w:rsidR="00C77F77" w:rsidRPr="005D20F9">
        <w:rPr>
          <w:rFonts w:cs="Helvetica"/>
          <w:lang w:val="en"/>
        </w:rPr>
        <w:t xml:space="preserve"> of reform</w:t>
      </w:r>
      <w:r w:rsidR="00A44AC2" w:rsidRPr="005D20F9">
        <w:rPr>
          <w:rFonts w:cs="Helvetica"/>
          <w:lang w:val="en"/>
        </w:rPr>
        <w:t>.</w:t>
      </w:r>
      <w:r w:rsidRPr="00874DB4">
        <w:rPr>
          <w:rFonts w:cs="Helvetica"/>
          <w:lang w:val="en"/>
        </w:rPr>
        <w:t xml:space="preserve"> </w:t>
      </w:r>
    </w:p>
    <w:p w:rsidR="00995915" w:rsidRPr="00F411BE" w:rsidRDefault="00995915">
      <w:pPr>
        <w:spacing w:before="0" w:after="0" w:line="240" w:lineRule="auto"/>
        <w:rPr>
          <w:rFonts w:cs="Helvetica"/>
          <w:lang w:val="en"/>
        </w:rPr>
      </w:pPr>
    </w:p>
    <w:p w:rsidR="00F411BE" w:rsidRPr="005D20F9" w:rsidRDefault="00A0480F" w:rsidP="00F411BE">
      <w:pPr>
        <w:spacing w:before="0" w:after="0" w:line="240" w:lineRule="auto"/>
        <w:rPr>
          <w:rStyle w:val="Strong"/>
          <w:b w:val="0"/>
        </w:rPr>
      </w:pPr>
      <w:r w:rsidRPr="005D20F9">
        <w:t>Vanuatu is ranked 134 of 188 countries in the 2015 UN Human Development Index and classified as a medium human development country</w:t>
      </w:r>
      <w:r w:rsidRPr="005D20F9">
        <w:rPr>
          <w:rStyle w:val="FootnoteReference"/>
        </w:rPr>
        <w:footnoteReference w:id="7"/>
      </w:r>
      <w:r w:rsidRPr="005D20F9">
        <w:t xml:space="preserve">. </w:t>
      </w:r>
      <w:r w:rsidR="000650BF" w:rsidRPr="005D20F9">
        <w:t>In 2010</w:t>
      </w:r>
      <w:r w:rsidR="00E16CD2">
        <w:t>,</w:t>
      </w:r>
      <w:r w:rsidR="000650BF" w:rsidRPr="005D20F9">
        <w:t xml:space="preserve"> 12.7</w:t>
      </w:r>
      <w:r w:rsidR="00C77F77" w:rsidRPr="005D20F9">
        <w:t xml:space="preserve"> per cent</w:t>
      </w:r>
      <w:r w:rsidR="000650BF" w:rsidRPr="005D20F9">
        <w:t xml:space="preserve"> of the population lived below the basic needs poverty line</w:t>
      </w:r>
      <w:r w:rsidR="000650BF" w:rsidRPr="005D20F9">
        <w:rPr>
          <w:rStyle w:val="FootnoteReference"/>
        </w:rPr>
        <w:footnoteReference w:id="8"/>
      </w:r>
      <w:r w:rsidR="000650BF" w:rsidRPr="005D20F9">
        <w:t xml:space="preserve">. </w:t>
      </w:r>
      <w:r w:rsidR="00995915" w:rsidRPr="005D20F9">
        <w:rPr>
          <w:rStyle w:val="Strong"/>
          <w:b w:val="0"/>
        </w:rPr>
        <w:t>Three quarters of Vanuatu’s population live in rural areas</w:t>
      </w:r>
      <w:r w:rsidR="000650BF" w:rsidRPr="005D20F9">
        <w:rPr>
          <w:rStyle w:val="Strong"/>
          <w:b w:val="0"/>
        </w:rPr>
        <w:t xml:space="preserve"> with limited engagement with the formal economy</w:t>
      </w:r>
      <w:r w:rsidR="00995915" w:rsidRPr="005D20F9">
        <w:rPr>
          <w:rStyle w:val="Strong"/>
          <w:b w:val="0"/>
        </w:rPr>
        <w:t>.</w:t>
      </w:r>
      <w:r w:rsidR="009C4CBA" w:rsidRPr="005D20F9">
        <w:rPr>
          <w:rStyle w:val="Strong"/>
          <w:b w:val="0"/>
        </w:rPr>
        <w:t xml:space="preserve"> However, </w:t>
      </w:r>
      <w:r w:rsidR="00C2612F">
        <w:rPr>
          <w:rStyle w:val="Strong"/>
          <w:b w:val="0"/>
        </w:rPr>
        <w:t xml:space="preserve">positive trends </w:t>
      </w:r>
      <w:r w:rsidR="004C6CBF" w:rsidRPr="005D20F9">
        <w:rPr>
          <w:rStyle w:val="Strong"/>
          <w:b w:val="0"/>
        </w:rPr>
        <w:t xml:space="preserve">in </w:t>
      </w:r>
      <w:r w:rsidR="004C6CBF" w:rsidRPr="005D20F9">
        <w:rPr>
          <w:rFonts w:cs="Helvetica"/>
          <w:lang w:val="en"/>
        </w:rPr>
        <w:t xml:space="preserve">key </w:t>
      </w:r>
      <w:r w:rsidR="005A4264" w:rsidRPr="005D20F9">
        <w:rPr>
          <w:rFonts w:cs="Helvetica"/>
          <w:lang w:val="en"/>
        </w:rPr>
        <w:t xml:space="preserve">human development indicators </w:t>
      </w:r>
      <w:r w:rsidR="004C6CBF" w:rsidRPr="005D20F9">
        <w:rPr>
          <w:rFonts w:cs="Helvetica"/>
          <w:lang w:val="en"/>
        </w:rPr>
        <w:t>including life expectancy, years of schooling and Gross National Income per capita ha</w:t>
      </w:r>
      <w:r w:rsidR="00DA6975">
        <w:rPr>
          <w:rFonts w:cs="Helvetica"/>
          <w:lang w:val="en"/>
        </w:rPr>
        <w:t>ve</w:t>
      </w:r>
      <w:r w:rsidR="004C6CBF" w:rsidRPr="005D20F9">
        <w:rPr>
          <w:rFonts w:cs="Helvetica"/>
          <w:lang w:val="en"/>
        </w:rPr>
        <w:t xml:space="preserve"> continued since 2005</w:t>
      </w:r>
      <w:r w:rsidR="005A4264" w:rsidRPr="005D20F9">
        <w:rPr>
          <w:rFonts w:cs="Helvetica"/>
          <w:lang w:val="en"/>
        </w:rPr>
        <w:t xml:space="preserve">. </w:t>
      </w:r>
      <w:r w:rsidR="005A4264" w:rsidRPr="005D20F9">
        <w:t>Gender parity in</w:t>
      </w:r>
      <w:r w:rsidR="00C2612F">
        <w:t xml:space="preserve"> school</w:t>
      </w:r>
      <w:r w:rsidR="005A4264" w:rsidRPr="005D20F9">
        <w:t xml:space="preserve"> enrolment rates has almost been achieved from Kindergarten to Year 6</w:t>
      </w:r>
      <w:r w:rsidR="005A4264" w:rsidRPr="005D20F9">
        <w:rPr>
          <w:rStyle w:val="FootnoteReference"/>
        </w:rPr>
        <w:footnoteReference w:id="9"/>
      </w:r>
      <w:r w:rsidR="005A4264" w:rsidRPr="005D20F9">
        <w:t xml:space="preserve"> and women’s labour force participation is high at 61 per cent, although </w:t>
      </w:r>
      <w:r w:rsidR="00A810F3">
        <w:t>women</w:t>
      </w:r>
      <w:r w:rsidR="005A4264" w:rsidRPr="005D20F9">
        <w:t xml:space="preserve"> earn less and are under-represented in tertiary education and skills training</w:t>
      </w:r>
      <w:r w:rsidR="00C2612F">
        <w:t xml:space="preserve"> compared to men</w:t>
      </w:r>
      <w:r w:rsidR="005A4264" w:rsidRPr="005D20F9">
        <w:t>.</w:t>
      </w:r>
      <w:r w:rsidR="005A4264" w:rsidRPr="00874DB4">
        <w:t xml:space="preserve"> </w:t>
      </w:r>
      <w:r w:rsidR="00F411BE" w:rsidRPr="005D20F9">
        <w:rPr>
          <w:rFonts w:cs="Helvetica"/>
          <w:lang w:val="en"/>
        </w:rPr>
        <w:t xml:space="preserve">Increasing </w:t>
      </w:r>
      <w:r w:rsidR="0090768E">
        <w:rPr>
          <w:rFonts w:cs="Helvetica"/>
          <w:lang w:val="en"/>
        </w:rPr>
        <w:t xml:space="preserve">equitable </w:t>
      </w:r>
      <w:r w:rsidR="00F411BE" w:rsidRPr="005D20F9">
        <w:rPr>
          <w:rFonts w:cs="Helvetica"/>
          <w:lang w:val="en"/>
        </w:rPr>
        <w:t>access to services and economic opportunities</w:t>
      </w:r>
      <w:r w:rsidR="00FF3E11">
        <w:rPr>
          <w:rFonts w:cs="Helvetica"/>
          <w:lang w:val="en"/>
        </w:rPr>
        <w:t xml:space="preserve"> </w:t>
      </w:r>
      <w:r w:rsidR="00F411BE" w:rsidRPr="005D20F9">
        <w:rPr>
          <w:rFonts w:cs="Helvetica"/>
          <w:lang w:val="en"/>
        </w:rPr>
        <w:t xml:space="preserve">remains a </w:t>
      </w:r>
      <w:r w:rsidR="00C2612F">
        <w:rPr>
          <w:rFonts w:cs="Helvetica"/>
          <w:lang w:val="en"/>
        </w:rPr>
        <w:t xml:space="preserve">GoV </w:t>
      </w:r>
      <w:r w:rsidR="00F411BE" w:rsidRPr="005D20F9">
        <w:rPr>
          <w:rFonts w:cs="Helvetica"/>
          <w:lang w:val="en"/>
        </w:rPr>
        <w:t xml:space="preserve">priority, </w:t>
      </w:r>
      <w:r w:rsidR="00997ED7">
        <w:rPr>
          <w:rFonts w:cs="Helvetica"/>
          <w:lang w:val="en"/>
        </w:rPr>
        <w:t xml:space="preserve">as </w:t>
      </w:r>
      <w:r w:rsidR="00F411BE" w:rsidRPr="005D20F9">
        <w:rPr>
          <w:rFonts w:cs="Helvetica"/>
          <w:lang w:val="en"/>
        </w:rPr>
        <w:t xml:space="preserve">reflected in </w:t>
      </w:r>
      <w:r w:rsidR="00FF3E11">
        <w:rPr>
          <w:rFonts w:cs="Helvetica"/>
          <w:lang w:val="en"/>
        </w:rPr>
        <w:t xml:space="preserve">the </w:t>
      </w:r>
      <w:r w:rsidR="00F411BE" w:rsidRPr="005D20F9">
        <w:rPr>
          <w:rFonts w:cs="Helvetica"/>
          <w:i/>
          <w:lang w:val="en"/>
        </w:rPr>
        <w:t>NDSP 2030.</w:t>
      </w:r>
      <w:r w:rsidR="00F411BE" w:rsidRPr="005D20F9">
        <w:rPr>
          <w:rStyle w:val="Strong"/>
          <w:b w:val="0"/>
        </w:rPr>
        <w:t xml:space="preserve"> </w:t>
      </w:r>
    </w:p>
    <w:p w:rsidR="00F411BE" w:rsidRPr="00AE6040" w:rsidRDefault="00F411BE" w:rsidP="00F411BE">
      <w:pPr>
        <w:spacing w:before="0" w:after="0" w:line="240" w:lineRule="auto"/>
        <w:rPr>
          <w:rStyle w:val="Strong"/>
          <w:b w:val="0"/>
          <w:highlight w:val="yellow"/>
        </w:rPr>
      </w:pPr>
    </w:p>
    <w:p w:rsidR="00995915" w:rsidRPr="00772167" w:rsidRDefault="00995915">
      <w:pPr>
        <w:spacing w:before="0" w:after="0" w:line="240" w:lineRule="auto"/>
        <w:rPr>
          <w:rFonts w:cs="Helvetica"/>
          <w:lang w:val="en"/>
        </w:rPr>
      </w:pPr>
      <w:r w:rsidRPr="00772167">
        <w:rPr>
          <w:rFonts w:cs="Helvetica"/>
          <w:lang w:val="en"/>
        </w:rPr>
        <w:t>A key shift in the donor landscape is the expan</w:t>
      </w:r>
      <w:r w:rsidR="00000F86">
        <w:rPr>
          <w:rFonts w:cs="Helvetica"/>
          <w:lang w:val="en"/>
        </w:rPr>
        <w:t>ding</w:t>
      </w:r>
      <w:r w:rsidRPr="00772167">
        <w:rPr>
          <w:rFonts w:cs="Helvetica"/>
          <w:lang w:val="en"/>
        </w:rPr>
        <w:t xml:space="preserve"> development partnership and financing options </w:t>
      </w:r>
      <w:r w:rsidR="00072E87">
        <w:rPr>
          <w:rFonts w:cs="Helvetica"/>
          <w:lang w:val="en"/>
        </w:rPr>
        <w:t>available to</w:t>
      </w:r>
      <w:r w:rsidRPr="00772167">
        <w:rPr>
          <w:rFonts w:cs="Helvetica"/>
          <w:lang w:val="en"/>
        </w:rPr>
        <w:t xml:space="preserve"> the </w:t>
      </w:r>
      <w:r w:rsidR="00F55E8E">
        <w:rPr>
          <w:rFonts w:cs="Helvetica"/>
          <w:lang w:val="en"/>
        </w:rPr>
        <w:t>Go</w:t>
      </w:r>
      <w:r w:rsidR="005B4D42">
        <w:rPr>
          <w:rFonts w:cs="Helvetica"/>
          <w:lang w:val="en"/>
        </w:rPr>
        <w:t>V</w:t>
      </w:r>
      <w:r w:rsidRPr="00772167">
        <w:rPr>
          <w:rFonts w:cs="Helvetica"/>
          <w:lang w:val="en"/>
        </w:rPr>
        <w:t>. Grant and loan financing opportunities have increased</w:t>
      </w:r>
      <w:r w:rsidR="005B4D42">
        <w:rPr>
          <w:rFonts w:cs="Helvetica"/>
          <w:lang w:val="en"/>
        </w:rPr>
        <w:t>,</w:t>
      </w:r>
      <w:r w:rsidRPr="00772167">
        <w:rPr>
          <w:rFonts w:cs="Helvetica"/>
          <w:lang w:val="en"/>
        </w:rPr>
        <w:t xml:space="preserve"> with partners including multilateral development banks</w:t>
      </w:r>
      <w:r w:rsidR="005B4D42">
        <w:rPr>
          <w:rFonts w:cs="Helvetica"/>
          <w:lang w:val="en"/>
        </w:rPr>
        <w:t xml:space="preserve"> (</w:t>
      </w:r>
      <w:r w:rsidRPr="00772167">
        <w:rPr>
          <w:rFonts w:cs="Helvetica"/>
          <w:lang w:val="en"/>
        </w:rPr>
        <w:t>primarily the World Bank and Asian Development Bank</w:t>
      </w:r>
      <w:r w:rsidR="005B4D42">
        <w:rPr>
          <w:rFonts w:cs="Helvetica"/>
          <w:lang w:val="en"/>
        </w:rPr>
        <w:t>)</w:t>
      </w:r>
      <w:r w:rsidRPr="00772167">
        <w:rPr>
          <w:rFonts w:cs="Helvetica"/>
          <w:lang w:val="en"/>
        </w:rPr>
        <w:t>, Japan’s I</w:t>
      </w:r>
      <w:r w:rsidR="00953950">
        <w:rPr>
          <w:rFonts w:cs="Helvetica"/>
          <w:lang w:val="en"/>
        </w:rPr>
        <w:t xml:space="preserve">nternational </w:t>
      </w:r>
      <w:r w:rsidRPr="00772167">
        <w:rPr>
          <w:rFonts w:cs="Helvetica"/>
          <w:lang w:val="en"/>
        </w:rPr>
        <w:t>C</w:t>
      </w:r>
      <w:r w:rsidR="00953950">
        <w:rPr>
          <w:rFonts w:cs="Helvetica"/>
          <w:lang w:val="en"/>
        </w:rPr>
        <w:t xml:space="preserve">ooperation </w:t>
      </w:r>
      <w:r w:rsidRPr="00772167">
        <w:rPr>
          <w:rFonts w:cs="Helvetica"/>
          <w:lang w:val="en"/>
        </w:rPr>
        <w:t>A</w:t>
      </w:r>
      <w:r w:rsidR="00953950">
        <w:rPr>
          <w:rFonts w:cs="Helvetica"/>
          <w:lang w:val="en"/>
        </w:rPr>
        <w:t>gency</w:t>
      </w:r>
      <w:r w:rsidRPr="00772167">
        <w:rPr>
          <w:rFonts w:cs="Helvetica"/>
          <w:lang w:val="en"/>
        </w:rPr>
        <w:t>, China’s EXIM bank</w:t>
      </w:r>
      <w:r w:rsidR="005B4D42">
        <w:rPr>
          <w:rFonts w:cs="Helvetica"/>
          <w:lang w:val="en"/>
        </w:rPr>
        <w:t>,</w:t>
      </w:r>
      <w:r w:rsidRPr="00772167">
        <w:rPr>
          <w:rFonts w:cs="Helvetica"/>
          <w:lang w:val="en"/>
        </w:rPr>
        <w:t xml:space="preserve"> and the </w:t>
      </w:r>
      <w:r w:rsidRPr="00874DB4">
        <w:rPr>
          <w:rFonts w:cs="Helvetica"/>
          <w:lang w:val="en"/>
        </w:rPr>
        <w:t xml:space="preserve">Green Climate Fund. </w:t>
      </w:r>
      <w:r w:rsidR="00DA6975">
        <w:rPr>
          <w:rFonts w:cs="Helvetica"/>
          <w:lang w:val="en"/>
        </w:rPr>
        <w:t>S</w:t>
      </w:r>
      <w:r w:rsidR="000A6447" w:rsidRPr="005D20F9">
        <w:rPr>
          <w:rFonts w:cs="Helvetica"/>
          <w:lang w:val="en"/>
        </w:rPr>
        <w:t>trengthen</w:t>
      </w:r>
      <w:r w:rsidR="00DA6975">
        <w:rPr>
          <w:rFonts w:cs="Helvetica"/>
          <w:lang w:val="en"/>
        </w:rPr>
        <w:t>ed</w:t>
      </w:r>
      <w:r w:rsidR="000A6447" w:rsidRPr="005D20F9">
        <w:rPr>
          <w:rFonts w:cs="Helvetica"/>
          <w:lang w:val="en"/>
        </w:rPr>
        <w:t xml:space="preserve"> development partner coordination will enable </w:t>
      </w:r>
      <w:r w:rsidR="00072E87" w:rsidRPr="005D20F9">
        <w:rPr>
          <w:rFonts w:cs="Helvetica"/>
          <w:lang w:val="en"/>
        </w:rPr>
        <w:t xml:space="preserve">the </w:t>
      </w:r>
      <w:r w:rsidR="00D72E2C">
        <w:rPr>
          <w:rFonts w:cs="Helvetica"/>
          <w:lang w:val="en"/>
        </w:rPr>
        <w:t xml:space="preserve">GoV </w:t>
      </w:r>
      <w:r w:rsidR="000A6447" w:rsidRPr="005D20F9">
        <w:rPr>
          <w:rFonts w:cs="Helvetica"/>
          <w:lang w:val="en"/>
        </w:rPr>
        <w:t xml:space="preserve">to </w:t>
      </w:r>
      <w:r w:rsidR="00072E87" w:rsidRPr="005D20F9">
        <w:rPr>
          <w:rFonts w:cs="Helvetica"/>
          <w:lang w:val="en"/>
        </w:rPr>
        <w:t>improve outcomes from development cooperation and investment</w:t>
      </w:r>
      <w:r w:rsidR="000A6447" w:rsidRPr="005D20F9">
        <w:rPr>
          <w:rFonts w:cs="Helvetica"/>
          <w:lang w:val="en"/>
        </w:rPr>
        <w:t>.</w:t>
      </w:r>
    </w:p>
    <w:p w:rsidR="00995915" w:rsidRPr="00772167" w:rsidRDefault="00995915">
      <w:pPr>
        <w:spacing w:before="0" w:after="0" w:line="240" w:lineRule="auto"/>
        <w:rPr>
          <w:rFonts w:cs="Helvetica"/>
          <w:lang w:val="en"/>
        </w:rPr>
      </w:pPr>
    </w:p>
    <w:p w:rsidR="00995915" w:rsidRPr="00772167" w:rsidRDefault="00995915" w:rsidP="00772167">
      <w:pPr>
        <w:pStyle w:val="Bullet1"/>
        <w:numPr>
          <w:ilvl w:val="0"/>
          <w:numId w:val="0"/>
        </w:numPr>
        <w:spacing w:after="0" w:line="240" w:lineRule="auto"/>
        <w:ind w:left="567" w:hanging="567"/>
        <w:rPr>
          <w:b/>
          <w:i/>
        </w:rPr>
      </w:pPr>
      <w:r w:rsidRPr="00772167">
        <w:rPr>
          <w:b/>
          <w:i/>
        </w:rPr>
        <w:t>Australia’s aid program in Vanuatu</w:t>
      </w:r>
    </w:p>
    <w:p w:rsidR="00995915" w:rsidRPr="00772167" w:rsidRDefault="00995915" w:rsidP="00772167">
      <w:pPr>
        <w:autoSpaceDE w:val="0"/>
        <w:autoSpaceDN w:val="0"/>
        <w:adjustRightInd w:val="0"/>
        <w:spacing w:before="0" w:after="0" w:line="240" w:lineRule="auto"/>
      </w:pPr>
      <w:r w:rsidRPr="00772167">
        <w:t xml:space="preserve">Australia continues to work closely with Vanuatu to respond to shifts in the development context. </w:t>
      </w:r>
      <w:r w:rsidR="00EC4506" w:rsidRPr="00772167">
        <w:rPr>
          <w:rFonts w:ascii="Calibri Light" w:hAnsi="Calibri Light"/>
        </w:rPr>
        <w:t xml:space="preserve">In 2017-18, Australia provided $64.3 million in </w:t>
      </w:r>
      <w:r w:rsidR="00EC4506" w:rsidRPr="008A425D">
        <w:rPr>
          <w:rFonts w:ascii="Calibri Light" w:hAnsi="Calibri Light"/>
        </w:rPr>
        <w:t xml:space="preserve">ODA </w:t>
      </w:r>
      <w:r w:rsidR="00E16CD2" w:rsidRPr="008A425D">
        <w:rPr>
          <w:rFonts w:ascii="Calibri Light" w:hAnsi="Calibri Light"/>
        </w:rPr>
        <w:t xml:space="preserve">grants </w:t>
      </w:r>
      <w:r w:rsidR="00EC4506" w:rsidRPr="008A425D">
        <w:rPr>
          <w:rFonts w:ascii="Calibri Light" w:hAnsi="Calibri Light"/>
        </w:rPr>
        <w:t>to Vanuatu</w:t>
      </w:r>
      <w:r w:rsidR="00EC4506" w:rsidRPr="00E16CD2">
        <w:rPr>
          <w:rFonts w:ascii="Calibri Light" w:hAnsi="Calibri Light"/>
        </w:rPr>
        <w:t xml:space="preserve">, representing approximately </w:t>
      </w:r>
      <w:r w:rsidR="00524CC3" w:rsidRPr="00AA71B9">
        <w:rPr>
          <w:rFonts w:ascii="Calibri Light" w:hAnsi="Calibri Light"/>
        </w:rPr>
        <w:t>39</w:t>
      </w:r>
      <w:r w:rsidR="00810F09" w:rsidRPr="00AA71B9">
        <w:rPr>
          <w:rFonts w:ascii="Calibri Light" w:hAnsi="Calibri Light"/>
        </w:rPr>
        <w:t xml:space="preserve"> per cent</w:t>
      </w:r>
      <w:r w:rsidR="00EC4506" w:rsidRPr="00E16CD2">
        <w:rPr>
          <w:rStyle w:val="FootnoteReference"/>
          <w:rFonts w:ascii="Calibri Light" w:hAnsi="Calibri Light"/>
        </w:rPr>
        <w:footnoteReference w:id="10"/>
      </w:r>
      <w:r w:rsidR="00EC4506" w:rsidRPr="00E16CD2">
        <w:rPr>
          <w:rFonts w:ascii="Calibri Light" w:hAnsi="Calibri Light"/>
        </w:rPr>
        <w:t xml:space="preserve"> of total ODA to Vanuatu</w:t>
      </w:r>
      <w:r w:rsidR="00EC4506" w:rsidRPr="00AA71B9">
        <w:rPr>
          <w:rFonts w:ascii="Calibri Light" w:hAnsi="Calibri Light"/>
        </w:rPr>
        <w:t xml:space="preserve">. </w:t>
      </w:r>
      <w:r w:rsidR="0064756B" w:rsidRPr="00AA71B9">
        <w:rPr>
          <w:rFonts w:ascii="Calibri Light" w:hAnsi="Calibri Light"/>
        </w:rPr>
        <w:t xml:space="preserve">Australia </w:t>
      </w:r>
      <w:r w:rsidR="0064756B" w:rsidRPr="00E16CD2">
        <w:rPr>
          <w:rFonts w:ascii="Calibri Light" w:hAnsi="Calibri Light"/>
        </w:rPr>
        <w:t>delivered</w:t>
      </w:r>
      <w:r w:rsidR="004538C1" w:rsidRPr="00E16CD2">
        <w:rPr>
          <w:rFonts w:ascii="Calibri Light" w:hAnsi="Calibri Light"/>
        </w:rPr>
        <w:t xml:space="preserve"> approximately 13 per cent</w:t>
      </w:r>
      <w:r w:rsidR="0064756B" w:rsidRPr="00E16CD2">
        <w:rPr>
          <w:rFonts w:ascii="Calibri Light" w:hAnsi="Calibri Light"/>
        </w:rPr>
        <w:t xml:space="preserve"> p</w:t>
      </w:r>
      <w:bookmarkStart w:id="0" w:name="_GoBack"/>
      <w:bookmarkEnd w:id="0"/>
      <w:r w:rsidR="0064756B" w:rsidRPr="00E16CD2">
        <w:rPr>
          <w:rFonts w:ascii="Calibri Light" w:hAnsi="Calibri Light"/>
        </w:rPr>
        <w:t xml:space="preserve">er cent of its </w:t>
      </w:r>
      <w:r w:rsidR="00E668DD">
        <w:rPr>
          <w:rFonts w:ascii="Calibri Light" w:hAnsi="Calibri Light"/>
        </w:rPr>
        <w:t xml:space="preserve">bilateral </w:t>
      </w:r>
      <w:r w:rsidR="0064756B" w:rsidRPr="00E16CD2">
        <w:rPr>
          <w:rFonts w:ascii="Calibri Light" w:hAnsi="Calibri Light"/>
        </w:rPr>
        <w:t>ODA via</w:t>
      </w:r>
      <w:r w:rsidR="00EC4506" w:rsidRPr="00E16CD2">
        <w:rPr>
          <w:rFonts w:ascii="Calibri Light" w:hAnsi="Calibri Light"/>
        </w:rPr>
        <w:t xml:space="preserve"> direct </w:t>
      </w:r>
      <w:r w:rsidR="0064756B" w:rsidRPr="00E16CD2">
        <w:rPr>
          <w:rFonts w:ascii="Calibri Light" w:hAnsi="Calibri Light"/>
        </w:rPr>
        <w:t>budget</w:t>
      </w:r>
      <w:r w:rsidR="0064756B">
        <w:rPr>
          <w:rFonts w:ascii="Calibri Light" w:hAnsi="Calibri Light"/>
        </w:rPr>
        <w:t xml:space="preserve"> support, which </w:t>
      </w:r>
      <w:r w:rsidR="000738E1">
        <w:rPr>
          <w:rFonts w:ascii="Calibri Light" w:hAnsi="Calibri Light"/>
        </w:rPr>
        <w:t xml:space="preserve">aims to </w:t>
      </w:r>
      <w:r w:rsidR="00EC4506" w:rsidRPr="00632DE4">
        <w:rPr>
          <w:rFonts w:ascii="Calibri Light" w:hAnsi="Calibri Light"/>
        </w:rPr>
        <w:t>build capacity</w:t>
      </w:r>
      <w:r w:rsidR="00EC4506">
        <w:rPr>
          <w:rFonts w:ascii="Calibri Light" w:hAnsi="Calibri Light"/>
        </w:rPr>
        <w:t>,</w:t>
      </w:r>
      <w:r w:rsidR="00EC4506" w:rsidRPr="00632DE4">
        <w:rPr>
          <w:rFonts w:ascii="Calibri Light" w:hAnsi="Calibri Light"/>
        </w:rPr>
        <w:t xml:space="preserve"> resilience</w:t>
      </w:r>
      <w:r w:rsidR="00EC4506">
        <w:rPr>
          <w:rFonts w:ascii="Calibri Light" w:hAnsi="Calibri Light"/>
        </w:rPr>
        <w:t xml:space="preserve"> and confidence</w:t>
      </w:r>
      <w:r w:rsidR="00EC4506" w:rsidRPr="00632DE4">
        <w:rPr>
          <w:rFonts w:ascii="Calibri Light" w:hAnsi="Calibri Light"/>
        </w:rPr>
        <w:t xml:space="preserve"> in </w:t>
      </w:r>
      <w:r w:rsidR="00EC4506">
        <w:rPr>
          <w:rFonts w:ascii="Calibri Light" w:hAnsi="Calibri Light"/>
        </w:rPr>
        <w:t>government</w:t>
      </w:r>
      <w:r w:rsidR="00EC4506" w:rsidRPr="00632DE4">
        <w:rPr>
          <w:rFonts w:ascii="Calibri Light" w:hAnsi="Calibri Light"/>
        </w:rPr>
        <w:t xml:space="preserve"> systems. </w:t>
      </w:r>
      <w:r w:rsidRPr="00772167">
        <w:t xml:space="preserve">Our </w:t>
      </w:r>
      <w:r w:rsidR="00072E87">
        <w:t xml:space="preserve">policy, advocacy and </w:t>
      </w:r>
      <w:r w:rsidRPr="00772167">
        <w:t xml:space="preserve">aid investments </w:t>
      </w:r>
      <w:r w:rsidRPr="00772167">
        <w:rPr>
          <w:lang w:val="en-US"/>
        </w:rPr>
        <w:t xml:space="preserve">support the shared vision of the Governments of Vanuatu and Australia to achieve sustained and inclusive economic growth in Vanuatu </w:t>
      </w:r>
      <w:r w:rsidR="0064756B">
        <w:rPr>
          <w:lang w:val="en-US"/>
        </w:rPr>
        <w:t>by strengthening the private sector</w:t>
      </w:r>
      <w:r w:rsidRPr="00772167">
        <w:t xml:space="preserve"> and enabling human development. The underlying logic to achieve this is through a focus on four objectives:</w:t>
      </w:r>
    </w:p>
    <w:p w:rsidR="00995915" w:rsidRPr="00772167" w:rsidRDefault="00995915" w:rsidP="00772167">
      <w:pPr>
        <w:pStyle w:val="ListParagraph"/>
        <w:numPr>
          <w:ilvl w:val="0"/>
          <w:numId w:val="74"/>
        </w:numPr>
        <w:autoSpaceDE w:val="0"/>
        <w:autoSpaceDN w:val="0"/>
        <w:adjustRightInd w:val="0"/>
        <w:ind w:left="709"/>
        <w:rPr>
          <w:rFonts w:asciiTheme="minorHAnsi" w:hAnsiTheme="minorHAnsi"/>
          <w:color w:val="495965" w:themeColor="text2"/>
          <w:sz w:val="22"/>
          <w:szCs w:val="22"/>
          <w:lang w:val="en-US" w:eastAsia="en-AU"/>
        </w:rPr>
      </w:pPr>
      <w:r w:rsidRPr="00772167">
        <w:rPr>
          <w:rFonts w:asciiTheme="minorHAnsi" w:hAnsiTheme="minorHAnsi"/>
          <w:color w:val="495965" w:themeColor="text2"/>
          <w:sz w:val="22"/>
          <w:szCs w:val="22"/>
          <w:lang w:val="en-US" w:eastAsia="en-AU"/>
        </w:rPr>
        <w:lastRenderedPageBreak/>
        <w:t>Building resilient infrastructure and an environment for economic opportunity</w:t>
      </w:r>
    </w:p>
    <w:p w:rsidR="00995915" w:rsidRPr="00772167" w:rsidRDefault="00995915" w:rsidP="00772167">
      <w:pPr>
        <w:pStyle w:val="ListParagraph"/>
        <w:numPr>
          <w:ilvl w:val="0"/>
          <w:numId w:val="73"/>
        </w:numPr>
        <w:ind w:left="709"/>
        <w:rPr>
          <w:rFonts w:asciiTheme="minorHAnsi" w:hAnsiTheme="minorHAnsi"/>
          <w:color w:val="495965" w:themeColor="text2"/>
          <w:sz w:val="22"/>
          <w:szCs w:val="22"/>
          <w:lang w:val="en-US" w:eastAsia="en-AU"/>
        </w:rPr>
      </w:pPr>
      <w:r w:rsidRPr="00772167">
        <w:rPr>
          <w:rFonts w:asciiTheme="minorHAnsi" w:hAnsiTheme="minorHAnsi"/>
          <w:color w:val="495965" w:themeColor="text2"/>
          <w:sz w:val="22"/>
          <w:szCs w:val="22"/>
          <w:lang w:val="en-US" w:eastAsia="en-AU"/>
        </w:rPr>
        <w:t>Improving early education and essential health services</w:t>
      </w:r>
    </w:p>
    <w:p w:rsidR="00995915" w:rsidRPr="00772167" w:rsidRDefault="00995915" w:rsidP="00772167">
      <w:pPr>
        <w:pStyle w:val="ListParagraph"/>
        <w:numPr>
          <w:ilvl w:val="0"/>
          <w:numId w:val="73"/>
        </w:numPr>
        <w:ind w:left="709"/>
        <w:rPr>
          <w:rFonts w:asciiTheme="minorHAnsi" w:hAnsiTheme="minorHAnsi"/>
          <w:color w:val="495965" w:themeColor="text2"/>
          <w:sz w:val="22"/>
          <w:szCs w:val="22"/>
          <w:lang w:val="en-US" w:eastAsia="en-AU"/>
        </w:rPr>
      </w:pPr>
      <w:r w:rsidRPr="00772167">
        <w:rPr>
          <w:rFonts w:asciiTheme="minorHAnsi" w:hAnsiTheme="minorHAnsi"/>
          <w:color w:val="495965" w:themeColor="text2"/>
          <w:sz w:val="22"/>
          <w:szCs w:val="22"/>
          <w:lang w:val="en-US" w:eastAsia="en-AU"/>
        </w:rPr>
        <w:t>Improving community safety and resilience</w:t>
      </w:r>
    </w:p>
    <w:p w:rsidR="00995915" w:rsidRPr="00772167" w:rsidRDefault="00995915" w:rsidP="00772167">
      <w:pPr>
        <w:pStyle w:val="ListParagraph"/>
        <w:numPr>
          <w:ilvl w:val="0"/>
          <w:numId w:val="73"/>
        </w:numPr>
        <w:ind w:left="709"/>
        <w:rPr>
          <w:rFonts w:asciiTheme="minorHAnsi" w:hAnsiTheme="minorHAnsi"/>
          <w:color w:val="495965" w:themeColor="text2"/>
          <w:sz w:val="22"/>
          <w:szCs w:val="22"/>
          <w:lang w:val="en-US" w:eastAsia="en-AU"/>
        </w:rPr>
      </w:pPr>
      <w:r w:rsidRPr="00772167">
        <w:rPr>
          <w:rFonts w:asciiTheme="minorHAnsi" w:hAnsiTheme="minorHAnsi"/>
          <w:color w:val="495965" w:themeColor="text2"/>
          <w:sz w:val="22"/>
          <w:szCs w:val="22"/>
          <w:lang w:val="en-US" w:eastAsia="en-AU"/>
        </w:rPr>
        <w:t>Supporting cyclone recovery and reconstruction.</w:t>
      </w:r>
    </w:p>
    <w:p w:rsidR="00995915" w:rsidRPr="00772167" w:rsidRDefault="00995915" w:rsidP="00772167">
      <w:pPr>
        <w:autoSpaceDE w:val="0"/>
        <w:autoSpaceDN w:val="0"/>
        <w:adjustRightInd w:val="0"/>
        <w:spacing w:before="0" w:after="0" w:line="240" w:lineRule="auto"/>
      </w:pPr>
    </w:p>
    <w:p w:rsidR="00F55E8E" w:rsidRDefault="00995915" w:rsidP="00AD5F4F">
      <w:pPr>
        <w:pStyle w:val="Bullet1"/>
        <w:numPr>
          <w:ilvl w:val="0"/>
          <w:numId w:val="0"/>
        </w:numPr>
        <w:spacing w:after="0" w:line="240" w:lineRule="auto"/>
        <w:rPr>
          <w:rStyle w:val="Strong"/>
          <w:b w:val="0"/>
        </w:rPr>
      </w:pPr>
      <w:r w:rsidRPr="008A425D">
        <w:rPr>
          <w:rStyle w:val="Strong"/>
          <w:b w:val="0"/>
        </w:rPr>
        <w:t>Working close</w:t>
      </w:r>
      <w:r w:rsidR="00000F86" w:rsidRPr="008A425D">
        <w:rPr>
          <w:rStyle w:val="Strong"/>
          <w:b w:val="0"/>
        </w:rPr>
        <w:t>ly</w:t>
      </w:r>
      <w:r w:rsidRPr="008A425D">
        <w:rPr>
          <w:rStyle w:val="Strong"/>
          <w:b w:val="0"/>
        </w:rPr>
        <w:t xml:space="preserve"> with the </w:t>
      </w:r>
      <w:r w:rsidR="008A425D">
        <w:rPr>
          <w:rStyle w:val="Strong"/>
          <w:b w:val="0"/>
        </w:rPr>
        <w:t>Go</w:t>
      </w:r>
      <w:r w:rsidR="0064756B" w:rsidRPr="008A425D">
        <w:rPr>
          <w:rStyle w:val="Strong"/>
          <w:b w:val="0"/>
        </w:rPr>
        <w:t>V</w:t>
      </w:r>
      <w:r w:rsidRPr="008A425D">
        <w:rPr>
          <w:rStyle w:val="Strong"/>
          <w:b w:val="0"/>
        </w:rPr>
        <w:t>, Australia</w:t>
      </w:r>
      <w:r w:rsidR="00FE5F7F" w:rsidRPr="008A425D">
        <w:rPr>
          <w:rStyle w:val="Strong"/>
          <w:b w:val="0"/>
        </w:rPr>
        <w:t>’s</w:t>
      </w:r>
      <w:r w:rsidR="00000F86" w:rsidRPr="008A425D">
        <w:rPr>
          <w:rStyle w:val="Strong"/>
          <w:b w:val="0"/>
        </w:rPr>
        <w:t xml:space="preserve"> </w:t>
      </w:r>
      <w:r w:rsidRPr="008A425D">
        <w:rPr>
          <w:rStyle w:val="Strong"/>
          <w:b w:val="0"/>
        </w:rPr>
        <w:t xml:space="preserve">support for governance, policy reform and private sector investment is </w:t>
      </w:r>
      <w:r w:rsidR="00E16CD2" w:rsidRPr="008A425D">
        <w:rPr>
          <w:rStyle w:val="Strong"/>
          <w:b w:val="0"/>
        </w:rPr>
        <w:t xml:space="preserve">helping to </w:t>
      </w:r>
      <w:r w:rsidRPr="008A425D">
        <w:rPr>
          <w:rStyle w:val="Strong"/>
          <w:b w:val="0"/>
        </w:rPr>
        <w:t xml:space="preserve">strengthen public financial management, the business environment and improving regulatory systems to enhance growth. </w:t>
      </w:r>
      <w:r w:rsidR="008E41CE">
        <w:rPr>
          <w:rStyle w:val="Strong"/>
          <w:b w:val="0"/>
        </w:rPr>
        <w:t>Bilateral s</w:t>
      </w:r>
      <w:r w:rsidRPr="008A425D">
        <w:rPr>
          <w:rStyle w:val="Strong"/>
          <w:b w:val="0"/>
        </w:rPr>
        <w:t>upport for skills development</w:t>
      </w:r>
      <w:r w:rsidR="00266649" w:rsidRPr="008A425D">
        <w:rPr>
          <w:rStyle w:val="Strong"/>
          <w:b w:val="0"/>
        </w:rPr>
        <w:t xml:space="preserve"> focuses on</w:t>
      </w:r>
      <w:r w:rsidRPr="008A425D">
        <w:rPr>
          <w:rStyle w:val="Strong"/>
          <w:b w:val="0"/>
        </w:rPr>
        <w:t xml:space="preserve"> equipping women and men for paid employment and livelihood opportunities in </w:t>
      </w:r>
      <w:r w:rsidR="00F538CC">
        <w:rPr>
          <w:rStyle w:val="Strong"/>
          <w:b w:val="0"/>
        </w:rPr>
        <w:t xml:space="preserve">Vanuatu’s </w:t>
      </w:r>
      <w:r w:rsidRPr="008A425D">
        <w:rPr>
          <w:rStyle w:val="Strong"/>
          <w:b w:val="0"/>
        </w:rPr>
        <w:t>key productive sectors</w:t>
      </w:r>
      <w:r w:rsidR="00632D4D">
        <w:rPr>
          <w:rStyle w:val="Strong"/>
          <w:b w:val="0"/>
        </w:rPr>
        <w:t xml:space="preserve">. </w:t>
      </w:r>
      <w:r w:rsidR="008E41CE">
        <w:rPr>
          <w:rStyle w:val="Strong"/>
          <w:b w:val="0"/>
        </w:rPr>
        <w:t>Australia’s regional aid investments</w:t>
      </w:r>
      <w:r w:rsidR="008A425D">
        <w:rPr>
          <w:rStyle w:val="Strong"/>
          <w:b w:val="0"/>
        </w:rPr>
        <w:t xml:space="preserve"> </w:t>
      </w:r>
      <w:r w:rsidR="008E41CE">
        <w:rPr>
          <w:rStyle w:val="Strong"/>
          <w:b w:val="0"/>
        </w:rPr>
        <w:t xml:space="preserve">provide </w:t>
      </w:r>
      <w:r w:rsidR="008A425D">
        <w:rPr>
          <w:rStyle w:val="Strong"/>
          <w:b w:val="0"/>
        </w:rPr>
        <w:t xml:space="preserve">additional </w:t>
      </w:r>
      <w:r w:rsidR="008E41CE">
        <w:rPr>
          <w:rStyle w:val="Strong"/>
          <w:b w:val="0"/>
        </w:rPr>
        <w:t>income</w:t>
      </w:r>
      <w:r w:rsidR="00AD5F4F">
        <w:rPr>
          <w:rStyle w:val="Strong"/>
          <w:b w:val="0"/>
        </w:rPr>
        <w:t>-</w:t>
      </w:r>
      <w:r w:rsidR="008E41CE">
        <w:rPr>
          <w:rStyle w:val="Strong"/>
          <w:b w:val="0"/>
        </w:rPr>
        <w:t>earning opportunities</w:t>
      </w:r>
      <w:r w:rsidR="00AD5F4F" w:rsidRPr="008A425D">
        <w:rPr>
          <w:rStyle w:val="Strong"/>
          <w:b w:val="0"/>
        </w:rPr>
        <w:t xml:space="preserve">. The </w:t>
      </w:r>
      <w:r w:rsidR="008E41CE" w:rsidRPr="008A425D">
        <w:rPr>
          <w:rStyle w:val="Strong"/>
          <w:b w:val="0"/>
        </w:rPr>
        <w:t xml:space="preserve">Australia Pacific Training Coalition </w:t>
      </w:r>
      <w:r w:rsidR="00AD5F4F" w:rsidRPr="008A425D">
        <w:rPr>
          <w:rStyle w:val="Strong"/>
          <w:b w:val="0"/>
        </w:rPr>
        <w:t xml:space="preserve">provides </w:t>
      </w:r>
      <w:r w:rsidR="00F538CC">
        <w:rPr>
          <w:rStyle w:val="Strong"/>
          <w:b w:val="0"/>
        </w:rPr>
        <w:t xml:space="preserve">ni-Vanuatu </w:t>
      </w:r>
      <w:r w:rsidR="00AD5F4F" w:rsidRPr="008A425D">
        <w:rPr>
          <w:rStyle w:val="Strong"/>
          <w:b w:val="0"/>
        </w:rPr>
        <w:t>graduates</w:t>
      </w:r>
      <w:r w:rsidR="00F538CC">
        <w:rPr>
          <w:rStyle w:val="Strong"/>
          <w:b w:val="0"/>
        </w:rPr>
        <w:t xml:space="preserve"> </w:t>
      </w:r>
      <w:r w:rsidR="008E41CE" w:rsidRPr="008A425D">
        <w:rPr>
          <w:rStyle w:val="Strong"/>
          <w:b w:val="0"/>
        </w:rPr>
        <w:t>with</w:t>
      </w:r>
      <w:r w:rsidR="00632D4D" w:rsidRPr="008A425D">
        <w:rPr>
          <w:rStyle w:val="Strong"/>
          <w:b w:val="0"/>
        </w:rPr>
        <w:t xml:space="preserve"> internationally recognised qualifications</w:t>
      </w:r>
      <w:r w:rsidR="00F538CC">
        <w:rPr>
          <w:rStyle w:val="Strong"/>
          <w:b w:val="0"/>
        </w:rPr>
        <w:t xml:space="preserve">. Growing </w:t>
      </w:r>
      <w:r w:rsidR="008E41CE" w:rsidRPr="008A425D">
        <w:rPr>
          <w:rStyle w:val="Strong"/>
          <w:b w:val="0"/>
        </w:rPr>
        <w:t>participati</w:t>
      </w:r>
      <w:r w:rsidR="00AD5F4F" w:rsidRPr="008A425D">
        <w:rPr>
          <w:rStyle w:val="Strong"/>
          <w:b w:val="0"/>
        </w:rPr>
        <w:t>on</w:t>
      </w:r>
      <w:r w:rsidR="00F55E8E" w:rsidRPr="008A425D">
        <w:rPr>
          <w:rStyle w:val="Strong"/>
          <w:b w:val="0"/>
        </w:rPr>
        <w:t xml:space="preserve"> in the Seasonal Worker Program</w:t>
      </w:r>
      <w:r w:rsidR="00AD5F4F" w:rsidRPr="008A425D">
        <w:rPr>
          <w:rStyle w:val="Strong"/>
          <w:b w:val="0"/>
        </w:rPr>
        <w:t xml:space="preserve"> </w:t>
      </w:r>
      <w:r w:rsidR="0024399C" w:rsidRPr="008A425D">
        <w:rPr>
          <w:rStyle w:val="Strong"/>
          <w:b w:val="0"/>
        </w:rPr>
        <w:t xml:space="preserve">and </w:t>
      </w:r>
      <w:r w:rsidR="008F21F1">
        <w:rPr>
          <w:rStyle w:val="Strong"/>
          <w:b w:val="0"/>
        </w:rPr>
        <w:t xml:space="preserve">future </w:t>
      </w:r>
      <w:r w:rsidR="0024399C" w:rsidRPr="008A425D">
        <w:rPr>
          <w:rStyle w:val="Strong"/>
          <w:b w:val="0"/>
        </w:rPr>
        <w:t>involvement in the Pacific Labour Scheme</w:t>
      </w:r>
      <w:r w:rsidR="00F538CC">
        <w:rPr>
          <w:rStyle w:val="Strong"/>
          <w:b w:val="0"/>
        </w:rPr>
        <w:t xml:space="preserve">, </w:t>
      </w:r>
      <w:r w:rsidR="0024399C" w:rsidRPr="008A425D">
        <w:rPr>
          <w:rStyle w:val="Strong"/>
          <w:b w:val="0"/>
        </w:rPr>
        <w:t xml:space="preserve">provide opportunities for </w:t>
      </w:r>
      <w:r w:rsidR="00F538CC">
        <w:rPr>
          <w:rStyle w:val="Strong"/>
          <w:b w:val="0"/>
        </w:rPr>
        <w:t xml:space="preserve">ni-Vanuatu women and men to </w:t>
      </w:r>
      <w:r w:rsidR="0024399C" w:rsidRPr="008A425D">
        <w:rPr>
          <w:rStyle w:val="Strong"/>
          <w:b w:val="0"/>
        </w:rPr>
        <w:t>work in rural and regional Australia</w:t>
      </w:r>
      <w:r w:rsidR="00AD5F4F" w:rsidRPr="008A425D">
        <w:rPr>
          <w:rFonts w:ascii="Calibri Light" w:hAnsi="Calibri Light"/>
        </w:rPr>
        <w:t>.</w:t>
      </w:r>
    </w:p>
    <w:p w:rsidR="008E41CE" w:rsidRDefault="008E41CE" w:rsidP="00772167">
      <w:pPr>
        <w:pStyle w:val="Bullet1"/>
        <w:numPr>
          <w:ilvl w:val="0"/>
          <w:numId w:val="0"/>
        </w:numPr>
        <w:spacing w:after="0" w:line="240" w:lineRule="auto"/>
        <w:rPr>
          <w:rStyle w:val="Strong"/>
          <w:b w:val="0"/>
        </w:rPr>
      </w:pPr>
    </w:p>
    <w:p w:rsidR="00995915" w:rsidRPr="00772167" w:rsidRDefault="00995915" w:rsidP="00772167">
      <w:pPr>
        <w:pStyle w:val="Bullet1"/>
        <w:numPr>
          <w:ilvl w:val="0"/>
          <w:numId w:val="0"/>
        </w:numPr>
        <w:spacing w:after="0" w:line="240" w:lineRule="auto"/>
        <w:rPr>
          <w:rStyle w:val="Strong"/>
          <w:b w:val="0"/>
        </w:rPr>
      </w:pPr>
      <w:r w:rsidRPr="008A425D">
        <w:rPr>
          <w:rStyle w:val="Strong"/>
          <w:b w:val="0"/>
        </w:rPr>
        <w:t xml:space="preserve">Rural and urban infrastructure investments aim to improve access to markets and services. </w:t>
      </w:r>
      <w:r w:rsidR="004F63FA" w:rsidRPr="008A425D">
        <w:rPr>
          <w:rStyle w:val="Strong"/>
          <w:b w:val="0"/>
        </w:rPr>
        <w:t xml:space="preserve">Health and education investments target inclusive, quality service delivery. </w:t>
      </w:r>
      <w:r w:rsidRPr="008A425D">
        <w:rPr>
          <w:rStyle w:val="Strong"/>
          <w:b w:val="0"/>
        </w:rPr>
        <w:t>S</w:t>
      </w:r>
      <w:r w:rsidR="00266649" w:rsidRPr="008A425D">
        <w:rPr>
          <w:rStyle w:val="Strong"/>
          <w:b w:val="0"/>
        </w:rPr>
        <w:t>upport to strengthen</w:t>
      </w:r>
      <w:r w:rsidRPr="008A425D">
        <w:rPr>
          <w:rStyle w:val="Strong"/>
          <w:b w:val="0"/>
        </w:rPr>
        <w:t xml:space="preserve"> legal and justice institutions and </w:t>
      </w:r>
      <w:r w:rsidR="00EC4506" w:rsidRPr="008A425D">
        <w:rPr>
          <w:rStyle w:val="Strong"/>
          <w:b w:val="0"/>
        </w:rPr>
        <w:t>policing services</w:t>
      </w:r>
      <w:r w:rsidRPr="008A425D">
        <w:rPr>
          <w:rStyle w:val="Strong"/>
          <w:b w:val="0"/>
        </w:rPr>
        <w:t xml:space="preserve"> </w:t>
      </w:r>
      <w:r w:rsidR="0064756B" w:rsidRPr="008A425D">
        <w:rPr>
          <w:rStyle w:val="Strong"/>
          <w:b w:val="0"/>
        </w:rPr>
        <w:t>aims to improve</w:t>
      </w:r>
      <w:r w:rsidRPr="008A425D">
        <w:rPr>
          <w:rStyle w:val="Strong"/>
          <w:b w:val="0"/>
        </w:rPr>
        <w:t xml:space="preserve"> access to justice for women, complemented by support for local organisations to work with communities to</w:t>
      </w:r>
      <w:r w:rsidR="00266649" w:rsidRPr="008A425D">
        <w:rPr>
          <w:rStyle w:val="Strong"/>
          <w:b w:val="0"/>
        </w:rPr>
        <w:t xml:space="preserve"> enhance </w:t>
      </w:r>
      <w:r w:rsidRPr="008A425D">
        <w:rPr>
          <w:rStyle w:val="Strong"/>
          <w:b w:val="0"/>
        </w:rPr>
        <w:t xml:space="preserve">community safety and resilience.  Building </w:t>
      </w:r>
      <w:r w:rsidR="00266649" w:rsidRPr="008A425D">
        <w:rPr>
          <w:rStyle w:val="Strong"/>
          <w:b w:val="0"/>
        </w:rPr>
        <w:t xml:space="preserve">government </w:t>
      </w:r>
      <w:r w:rsidRPr="008A425D">
        <w:rPr>
          <w:rStyle w:val="Strong"/>
          <w:b w:val="0"/>
        </w:rPr>
        <w:t xml:space="preserve">capacity </w:t>
      </w:r>
      <w:r w:rsidR="00266649" w:rsidRPr="008A425D">
        <w:rPr>
          <w:rStyle w:val="Strong"/>
          <w:b w:val="0"/>
        </w:rPr>
        <w:t>t</w:t>
      </w:r>
      <w:r w:rsidRPr="008A425D">
        <w:rPr>
          <w:rStyle w:val="Strong"/>
          <w:b w:val="0"/>
        </w:rPr>
        <w:t>o respond to disasters recognises Vanuatu’s vulnerability to both sudden onset and protracted disaster events.</w:t>
      </w:r>
    </w:p>
    <w:p w:rsidR="001D275A" w:rsidRDefault="001D275A" w:rsidP="00772167">
      <w:pPr>
        <w:spacing w:before="0" w:after="0" w:line="240" w:lineRule="auto"/>
      </w:pPr>
    </w:p>
    <w:p w:rsidR="00995915" w:rsidRPr="00772167" w:rsidRDefault="00995915" w:rsidP="00772167">
      <w:pPr>
        <w:spacing w:before="0" w:after="0" w:line="240" w:lineRule="auto"/>
      </w:pPr>
      <w:r w:rsidRPr="00772167">
        <w:t>The relationship between Australia and Vanuatu gained</w:t>
      </w:r>
      <w:r w:rsidR="00372C00">
        <w:t xml:space="preserve"> further</w:t>
      </w:r>
      <w:r w:rsidRPr="00772167">
        <w:t xml:space="preserve"> momentum in 2018, with strong leadership and a clear reform agenda identifying new areas for potential </w:t>
      </w:r>
      <w:r w:rsidR="00072E87">
        <w:t>cooperation</w:t>
      </w:r>
      <w:r w:rsidRPr="00772167">
        <w:t xml:space="preserve">. Preparatory work </w:t>
      </w:r>
      <w:r w:rsidR="00FE5F7F">
        <w:t>is</w:t>
      </w:r>
      <w:r w:rsidRPr="00772167">
        <w:t xml:space="preserve"> commenc</w:t>
      </w:r>
      <w:r w:rsidR="00FE5F7F">
        <w:t>ing</w:t>
      </w:r>
      <w:r w:rsidRPr="00772167">
        <w:t xml:space="preserve"> to inform development of the new Vanuatu Aid Investment Plan 2019-20 to 2022-23, responding to priorities of </w:t>
      </w:r>
      <w:r w:rsidRPr="00772167">
        <w:rPr>
          <w:rFonts w:cs="Helvetica"/>
          <w:lang w:val="en"/>
        </w:rPr>
        <w:t xml:space="preserve">Vanuatu’s </w:t>
      </w:r>
      <w:r w:rsidRPr="00A5708E">
        <w:rPr>
          <w:rFonts w:cs="Helvetica"/>
          <w:i/>
          <w:lang w:val="en"/>
        </w:rPr>
        <w:t>NSDP 2030</w:t>
      </w:r>
      <w:r w:rsidRPr="00772167">
        <w:t xml:space="preserve"> and Australia’s Foreign Policy White Paper. </w:t>
      </w:r>
    </w:p>
    <w:p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bookmarkStart w:id="1" w:name="_ednref15"/>
      <w:bookmarkEnd w:id="1"/>
      <w:r w:rsidRPr="002A51CA">
        <w:rPr>
          <w:rFonts w:asciiTheme="majorHAnsi" w:eastAsiaTheme="majorEastAsia" w:hAnsiTheme="majorHAnsi" w:cstheme="majorBidi"/>
          <w:caps/>
          <w:color w:val="495965" w:themeColor="text2"/>
          <w:sz w:val="38"/>
          <w:szCs w:val="26"/>
          <w:lang w:val="en-GB" w:eastAsia="en-US"/>
        </w:rPr>
        <w:t>Expenditure</w:t>
      </w:r>
    </w:p>
    <w:p w:rsidR="000A0DBE" w:rsidRDefault="00A92F20" w:rsidP="00A92F20">
      <w:pPr>
        <w:rPr>
          <w:rFonts w:ascii="Calibri Light" w:hAnsi="Calibri Light"/>
        </w:rPr>
      </w:pPr>
      <w:r>
        <w:t xml:space="preserve">Total Australian ODA </w:t>
      </w:r>
      <w:r w:rsidR="00E03F5E">
        <w:t xml:space="preserve">grants </w:t>
      </w:r>
      <w:r>
        <w:t>to Vanuatu in 201</w:t>
      </w:r>
      <w:r w:rsidR="00C22CB3">
        <w:t>7</w:t>
      </w:r>
      <w:r>
        <w:t>-1</w:t>
      </w:r>
      <w:r w:rsidR="00C22CB3">
        <w:t>8</w:t>
      </w:r>
      <w:r>
        <w:t xml:space="preserve"> was an estimated $6</w:t>
      </w:r>
      <w:r w:rsidR="00C22CB3">
        <w:t>4.3</w:t>
      </w:r>
      <w:r>
        <w:t xml:space="preserve"> million. </w:t>
      </w:r>
      <w:r w:rsidR="00F8298B" w:rsidRPr="00807252">
        <w:t>This comprised bilateral funding ($45.7 million)</w:t>
      </w:r>
      <w:r w:rsidR="00072E87">
        <w:t>,</w:t>
      </w:r>
      <w:r w:rsidR="00F8298B" w:rsidRPr="00807252">
        <w:t xml:space="preserve"> fund</w:t>
      </w:r>
      <w:r w:rsidR="004A2CD9">
        <w:t>s</w:t>
      </w:r>
      <w:r w:rsidR="00F8298B" w:rsidRPr="00807252">
        <w:t xml:space="preserve"> from</w:t>
      </w:r>
      <w:r w:rsidR="00E16CD2">
        <w:t xml:space="preserve"> Australia’s</w:t>
      </w:r>
      <w:r w:rsidR="00F8298B" w:rsidRPr="00807252">
        <w:t xml:space="preserve"> regional</w:t>
      </w:r>
      <w:r w:rsidR="003F2A3F">
        <w:t xml:space="preserve"> and</w:t>
      </w:r>
      <w:r w:rsidR="00F8298B" w:rsidRPr="00807252">
        <w:t xml:space="preserve"> global </w:t>
      </w:r>
      <w:r w:rsidR="003F2A3F">
        <w:t xml:space="preserve">programs and </w:t>
      </w:r>
      <w:r w:rsidR="00372C00">
        <w:t xml:space="preserve">funds managed by </w:t>
      </w:r>
      <w:r w:rsidR="003F2A3F">
        <w:t>other Australian</w:t>
      </w:r>
      <w:r w:rsidR="00372C00">
        <w:t xml:space="preserve"> </w:t>
      </w:r>
      <w:r w:rsidR="0064756B">
        <w:t>G</w:t>
      </w:r>
      <w:r w:rsidR="00F8298B" w:rsidRPr="00807252">
        <w:t xml:space="preserve">overnment </w:t>
      </w:r>
      <w:r w:rsidR="003F2A3F">
        <w:t>departments</w:t>
      </w:r>
      <w:r w:rsidR="00F8298B" w:rsidRPr="005E3F81">
        <w:t xml:space="preserve">. Australia </w:t>
      </w:r>
      <w:r w:rsidR="003F2A3F" w:rsidRPr="005E3F81">
        <w:t>is</w:t>
      </w:r>
      <w:r w:rsidR="00F8298B" w:rsidRPr="005E3F81">
        <w:t xml:space="preserve"> the largest bilateral aid donor to </w:t>
      </w:r>
      <w:r w:rsidR="00F8298B" w:rsidRPr="00E16CD2">
        <w:t>Vanuatu</w:t>
      </w:r>
      <w:r w:rsidR="002E4CC0" w:rsidRPr="00E16CD2">
        <w:t xml:space="preserve">, </w:t>
      </w:r>
      <w:r w:rsidR="00F8298B" w:rsidRPr="008A425D">
        <w:t xml:space="preserve">providing </w:t>
      </w:r>
      <w:r w:rsidR="004435EC" w:rsidRPr="008A425D">
        <w:rPr>
          <w:rFonts w:ascii="Calibri Light" w:hAnsi="Calibri Light"/>
        </w:rPr>
        <w:t xml:space="preserve">approximately </w:t>
      </w:r>
      <w:r w:rsidR="00524CC3" w:rsidRPr="008A425D">
        <w:rPr>
          <w:rFonts w:ascii="Calibri Light" w:hAnsi="Calibri Light"/>
        </w:rPr>
        <w:t>39</w:t>
      </w:r>
      <w:r w:rsidR="00810F09" w:rsidRPr="008A425D">
        <w:rPr>
          <w:rFonts w:ascii="Calibri Light" w:hAnsi="Calibri Light"/>
        </w:rPr>
        <w:t xml:space="preserve"> per cent</w:t>
      </w:r>
      <w:r w:rsidR="004435EC" w:rsidRPr="008A425D">
        <w:rPr>
          <w:rStyle w:val="FootnoteReference"/>
          <w:rFonts w:ascii="Calibri Light" w:hAnsi="Calibri Light"/>
        </w:rPr>
        <w:footnoteReference w:id="11"/>
      </w:r>
      <w:r w:rsidR="004435EC" w:rsidRPr="008A425D">
        <w:rPr>
          <w:rFonts w:ascii="Calibri Light" w:hAnsi="Calibri Light"/>
        </w:rPr>
        <w:t xml:space="preserve"> of </w:t>
      </w:r>
      <w:r w:rsidR="004A2CD9" w:rsidRPr="008A425D">
        <w:rPr>
          <w:rFonts w:ascii="Calibri Light" w:hAnsi="Calibri Light"/>
        </w:rPr>
        <w:t xml:space="preserve">Vanuatu’s </w:t>
      </w:r>
      <w:r w:rsidR="004435EC" w:rsidRPr="008A425D">
        <w:rPr>
          <w:rFonts w:ascii="Calibri Light" w:hAnsi="Calibri Light"/>
        </w:rPr>
        <w:t>total ODA.</w:t>
      </w:r>
      <w:r w:rsidR="004435EC" w:rsidRPr="005E3F81">
        <w:rPr>
          <w:rFonts w:ascii="Calibri Light" w:hAnsi="Calibri Light"/>
        </w:rPr>
        <w:t xml:space="preserve"> </w:t>
      </w:r>
    </w:p>
    <w:p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D4A2F">
        <w:rPr>
          <w:b/>
          <w:noProof/>
          <w:sz w:val="24"/>
        </w:rPr>
        <w:t>1</w:t>
      </w:r>
      <w:r w:rsidRPr="008C2F58">
        <w:rPr>
          <w:b/>
          <w:noProof/>
          <w:sz w:val="24"/>
        </w:rPr>
        <w:fldChar w:fldCharType="end"/>
      </w:r>
      <w:r w:rsidRPr="008C2F58">
        <w:rPr>
          <w:b/>
          <w:sz w:val="24"/>
        </w:rPr>
        <w:t xml:space="preserve"> Total ODA Expenditure in FY 201</w:t>
      </w:r>
      <w:r w:rsidR="002D37BC">
        <w:rPr>
          <w:b/>
          <w:sz w:val="24"/>
        </w:rPr>
        <w:t>7</w:t>
      </w:r>
      <w:r w:rsidRPr="008C2F58">
        <w:rPr>
          <w:b/>
          <w:sz w:val="24"/>
        </w:rPr>
        <w:t>-1</w:t>
      </w:r>
      <w:r w:rsidR="002D37BC">
        <w:rPr>
          <w:b/>
          <w:sz w:val="24"/>
        </w:rPr>
        <w:t>8</w:t>
      </w:r>
      <w:r w:rsidR="00F538CC">
        <w:rPr>
          <w:rStyle w:val="FootnoteReference"/>
          <w:b/>
          <w:sz w:val="24"/>
        </w:rPr>
        <w:footnoteReference w:id="12"/>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rsidTr="00F77ECA">
        <w:tc>
          <w:tcPr>
            <w:tcW w:w="6374" w:type="dxa"/>
          </w:tcPr>
          <w:p w:rsidR="00184818" w:rsidRPr="00F538CC" w:rsidRDefault="00184818" w:rsidP="002A51CA">
            <w:pPr>
              <w:rPr>
                <w:b/>
                <w:sz w:val="24"/>
              </w:rPr>
            </w:pPr>
            <w:r w:rsidRPr="00F538CC">
              <w:rPr>
                <w:b/>
                <w:sz w:val="20"/>
              </w:rPr>
              <w:t>Objective</w:t>
            </w:r>
          </w:p>
        </w:tc>
        <w:tc>
          <w:tcPr>
            <w:tcW w:w="1423" w:type="dxa"/>
          </w:tcPr>
          <w:p w:rsidR="00184818" w:rsidRPr="00F538CC" w:rsidRDefault="00184818" w:rsidP="00DA040F">
            <w:pPr>
              <w:jc w:val="center"/>
              <w:rPr>
                <w:b/>
                <w:sz w:val="24"/>
              </w:rPr>
            </w:pPr>
            <w:r w:rsidRPr="00F538CC">
              <w:rPr>
                <w:b/>
                <w:sz w:val="20"/>
              </w:rPr>
              <w:t>$ million</w:t>
            </w:r>
          </w:p>
        </w:tc>
        <w:tc>
          <w:tcPr>
            <w:tcW w:w="1842" w:type="dxa"/>
          </w:tcPr>
          <w:p w:rsidR="00184818" w:rsidRPr="00F538CC" w:rsidRDefault="00184818" w:rsidP="00184818">
            <w:pPr>
              <w:ind w:right="-546"/>
              <w:jc w:val="center"/>
              <w:rPr>
                <w:b/>
                <w:sz w:val="24"/>
              </w:rPr>
            </w:pPr>
            <w:r w:rsidRPr="00F538CC">
              <w:rPr>
                <w:b/>
                <w:sz w:val="20"/>
              </w:rPr>
              <w:t>% of total ODA</w:t>
            </w:r>
          </w:p>
        </w:tc>
      </w:tr>
      <w:tr w:rsidR="00462C2B" w:rsidTr="003339B9">
        <w:tc>
          <w:tcPr>
            <w:tcW w:w="6374" w:type="dxa"/>
          </w:tcPr>
          <w:p w:rsidR="00462C2B" w:rsidRDefault="00462C2B" w:rsidP="00F538CC">
            <w:pPr>
              <w:rPr>
                <w:b/>
                <w:sz w:val="24"/>
              </w:rPr>
            </w:pPr>
            <w:r>
              <w:rPr>
                <w:sz w:val="20"/>
              </w:rPr>
              <w:t>Building resilient infrastructure and environment for economic opportunity</w:t>
            </w:r>
          </w:p>
        </w:tc>
        <w:tc>
          <w:tcPr>
            <w:tcW w:w="1423" w:type="dxa"/>
            <w:vAlign w:val="center"/>
          </w:tcPr>
          <w:p w:rsidR="00462C2B" w:rsidRPr="004A0509" w:rsidRDefault="00A46518" w:rsidP="00EA510D">
            <w:pPr>
              <w:jc w:val="center"/>
              <w:rPr>
                <w:sz w:val="20"/>
                <w:szCs w:val="20"/>
              </w:rPr>
            </w:pPr>
            <w:r w:rsidRPr="004A0509">
              <w:rPr>
                <w:sz w:val="20"/>
                <w:szCs w:val="20"/>
              </w:rPr>
              <w:t>22</w:t>
            </w:r>
            <w:r w:rsidR="00D072E5" w:rsidRPr="004A0509">
              <w:rPr>
                <w:sz w:val="20"/>
                <w:szCs w:val="20"/>
              </w:rPr>
              <w:t>.0</w:t>
            </w:r>
          </w:p>
        </w:tc>
        <w:tc>
          <w:tcPr>
            <w:tcW w:w="1842" w:type="dxa"/>
            <w:vAlign w:val="center"/>
          </w:tcPr>
          <w:p w:rsidR="00462C2B" w:rsidRPr="004A0509" w:rsidRDefault="004A0509" w:rsidP="004A0509">
            <w:pPr>
              <w:jc w:val="center"/>
              <w:rPr>
                <w:sz w:val="20"/>
                <w:szCs w:val="20"/>
              </w:rPr>
            </w:pPr>
            <w:r>
              <w:rPr>
                <w:sz w:val="20"/>
                <w:szCs w:val="20"/>
              </w:rPr>
              <w:t>34</w:t>
            </w:r>
            <w:r w:rsidR="00462C2B" w:rsidRPr="004A0509">
              <w:rPr>
                <w:sz w:val="20"/>
                <w:szCs w:val="20"/>
              </w:rPr>
              <w:t>%</w:t>
            </w:r>
          </w:p>
        </w:tc>
      </w:tr>
      <w:tr w:rsidR="00462C2B" w:rsidTr="003339B9">
        <w:tc>
          <w:tcPr>
            <w:tcW w:w="6374" w:type="dxa"/>
          </w:tcPr>
          <w:p w:rsidR="00462C2B" w:rsidRDefault="00462C2B" w:rsidP="00462C2B">
            <w:pPr>
              <w:rPr>
                <w:b/>
                <w:sz w:val="24"/>
              </w:rPr>
            </w:pPr>
            <w:r>
              <w:rPr>
                <w:sz w:val="20"/>
              </w:rPr>
              <w:t>Improving early education and essential health services</w:t>
            </w:r>
          </w:p>
        </w:tc>
        <w:tc>
          <w:tcPr>
            <w:tcW w:w="1423" w:type="dxa"/>
            <w:vAlign w:val="center"/>
          </w:tcPr>
          <w:p w:rsidR="00462C2B" w:rsidRPr="004A0509" w:rsidRDefault="00D072E5" w:rsidP="00EA510D">
            <w:pPr>
              <w:jc w:val="center"/>
              <w:rPr>
                <w:sz w:val="20"/>
                <w:szCs w:val="20"/>
              </w:rPr>
            </w:pPr>
            <w:r w:rsidRPr="004A0509">
              <w:rPr>
                <w:sz w:val="20"/>
                <w:szCs w:val="20"/>
              </w:rPr>
              <w:t>11.3</w:t>
            </w:r>
          </w:p>
        </w:tc>
        <w:tc>
          <w:tcPr>
            <w:tcW w:w="1842" w:type="dxa"/>
            <w:vAlign w:val="center"/>
          </w:tcPr>
          <w:p w:rsidR="00462C2B" w:rsidRPr="004A0509" w:rsidRDefault="004A0509" w:rsidP="004A0509">
            <w:pPr>
              <w:jc w:val="center"/>
              <w:rPr>
                <w:sz w:val="20"/>
                <w:szCs w:val="20"/>
              </w:rPr>
            </w:pPr>
            <w:r>
              <w:rPr>
                <w:sz w:val="20"/>
                <w:szCs w:val="20"/>
              </w:rPr>
              <w:t>17.6</w:t>
            </w:r>
            <w:r w:rsidR="00462C2B" w:rsidRPr="004A0509">
              <w:rPr>
                <w:sz w:val="20"/>
                <w:szCs w:val="20"/>
              </w:rPr>
              <w:t>%</w:t>
            </w:r>
          </w:p>
        </w:tc>
      </w:tr>
      <w:tr w:rsidR="00462C2B" w:rsidTr="003339B9">
        <w:tc>
          <w:tcPr>
            <w:tcW w:w="6374" w:type="dxa"/>
          </w:tcPr>
          <w:p w:rsidR="00462C2B" w:rsidRDefault="00462C2B" w:rsidP="00462C2B">
            <w:pPr>
              <w:rPr>
                <w:b/>
                <w:sz w:val="24"/>
              </w:rPr>
            </w:pPr>
            <w:r>
              <w:rPr>
                <w:sz w:val="20"/>
              </w:rPr>
              <w:t xml:space="preserve">Improving community safety and resilience </w:t>
            </w:r>
          </w:p>
        </w:tc>
        <w:tc>
          <w:tcPr>
            <w:tcW w:w="1423" w:type="dxa"/>
            <w:vAlign w:val="center"/>
          </w:tcPr>
          <w:p w:rsidR="00462C2B" w:rsidRPr="004A0509" w:rsidRDefault="00A46518" w:rsidP="00EA510D">
            <w:pPr>
              <w:jc w:val="center"/>
              <w:rPr>
                <w:sz w:val="20"/>
                <w:szCs w:val="20"/>
              </w:rPr>
            </w:pPr>
            <w:r w:rsidRPr="004A0509">
              <w:rPr>
                <w:sz w:val="20"/>
                <w:szCs w:val="20"/>
              </w:rPr>
              <w:t>8.8</w:t>
            </w:r>
          </w:p>
        </w:tc>
        <w:tc>
          <w:tcPr>
            <w:tcW w:w="1842" w:type="dxa"/>
            <w:vAlign w:val="center"/>
          </w:tcPr>
          <w:p w:rsidR="00462C2B" w:rsidRPr="004A0509" w:rsidRDefault="00462C2B" w:rsidP="004A0509">
            <w:pPr>
              <w:jc w:val="center"/>
              <w:rPr>
                <w:sz w:val="20"/>
                <w:szCs w:val="20"/>
              </w:rPr>
            </w:pPr>
            <w:r w:rsidRPr="004A0509">
              <w:rPr>
                <w:sz w:val="20"/>
                <w:szCs w:val="20"/>
              </w:rPr>
              <w:t>1</w:t>
            </w:r>
            <w:r w:rsidR="004A0509">
              <w:rPr>
                <w:sz w:val="20"/>
                <w:szCs w:val="20"/>
              </w:rPr>
              <w:t>3.7</w:t>
            </w:r>
            <w:r w:rsidRPr="004A0509">
              <w:rPr>
                <w:sz w:val="20"/>
                <w:szCs w:val="20"/>
              </w:rPr>
              <w:t>%</w:t>
            </w:r>
          </w:p>
        </w:tc>
      </w:tr>
      <w:tr w:rsidR="00462C2B" w:rsidTr="003339B9">
        <w:tc>
          <w:tcPr>
            <w:tcW w:w="6374" w:type="dxa"/>
          </w:tcPr>
          <w:p w:rsidR="00462C2B" w:rsidRPr="00BE6C6D" w:rsidRDefault="00462C2B" w:rsidP="00462C2B">
            <w:pPr>
              <w:rPr>
                <w:sz w:val="20"/>
              </w:rPr>
            </w:pPr>
            <w:r>
              <w:rPr>
                <w:sz w:val="20"/>
              </w:rPr>
              <w:t xml:space="preserve">Supporting cyclone recovery and reconstruction* </w:t>
            </w:r>
          </w:p>
        </w:tc>
        <w:tc>
          <w:tcPr>
            <w:tcW w:w="1423" w:type="dxa"/>
            <w:vAlign w:val="center"/>
          </w:tcPr>
          <w:p w:rsidR="00462C2B" w:rsidRPr="004A0509" w:rsidRDefault="00462C2B" w:rsidP="00EA510D">
            <w:pPr>
              <w:jc w:val="center"/>
              <w:rPr>
                <w:sz w:val="20"/>
                <w:szCs w:val="20"/>
              </w:rPr>
            </w:pPr>
            <w:r w:rsidRPr="004A0509">
              <w:rPr>
                <w:sz w:val="20"/>
                <w:szCs w:val="20"/>
              </w:rPr>
              <w:t>3.6</w:t>
            </w:r>
          </w:p>
        </w:tc>
        <w:tc>
          <w:tcPr>
            <w:tcW w:w="1842" w:type="dxa"/>
            <w:vAlign w:val="center"/>
          </w:tcPr>
          <w:p w:rsidR="00462C2B" w:rsidRPr="004A0509" w:rsidRDefault="004A0509" w:rsidP="004A0509">
            <w:pPr>
              <w:jc w:val="center"/>
              <w:rPr>
                <w:sz w:val="20"/>
                <w:szCs w:val="20"/>
              </w:rPr>
            </w:pPr>
            <w:r>
              <w:rPr>
                <w:sz w:val="20"/>
                <w:szCs w:val="20"/>
              </w:rPr>
              <w:t>5.6</w:t>
            </w:r>
            <w:r w:rsidR="00462C2B" w:rsidRPr="004A0509">
              <w:rPr>
                <w:sz w:val="20"/>
                <w:szCs w:val="20"/>
              </w:rPr>
              <w:t>%</w:t>
            </w:r>
          </w:p>
        </w:tc>
      </w:tr>
      <w:tr w:rsidR="00462C2B" w:rsidTr="00F77ECA">
        <w:tc>
          <w:tcPr>
            <w:tcW w:w="6374" w:type="dxa"/>
          </w:tcPr>
          <w:p w:rsidR="00462C2B" w:rsidRPr="00F538CC" w:rsidRDefault="00462C2B" w:rsidP="00462C2B">
            <w:pPr>
              <w:rPr>
                <w:b/>
                <w:sz w:val="24"/>
              </w:rPr>
            </w:pPr>
            <w:r w:rsidRPr="00F538CC">
              <w:rPr>
                <w:b/>
                <w:sz w:val="20"/>
              </w:rPr>
              <w:t>Sub-Total Bilateral</w:t>
            </w:r>
          </w:p>
        </w:tc>
        <w:tc>
          <w:tcPr>
            <w:tcW w:w="1423" w:type="dxa"/>
          </w:tcPr>
          <w:p w:rsidR="00462C2B" w:rsidRPr="006E4C15" w:rsidRDefault="00462C2B" w:rsidP="00EA510D">
            <w:pPr>
              <w:jc w:val="center"/>
              <w:rPr>
                <w:b/>
                <w:sz w:val="20"/>
                <w:szCs w:val="20"/>
              </w:rPr>
            </w:pPr>
            <w:r w:rsidRPr="006E4C15">
              <w:rPr>
                <w:b/>
                <w:sz w:val="20"/>
                <w:szCs w:val="20"/>
              </w:rPr>
              <w:t>45.7</w:t>
            </w:r>
          </w:p>
        </w:tc>
        <w:tc>
          <w:tcPr>
            <w:tcW w:w="1842" w:type="dxa"/>
          </w:tcPr>
          <w:p w:rsidR="00462C2B" w:rsidRPr="004A0509" w:rsidRDefault="004A0509" w:rsidP="004A0509">
            <w:pPr>
              <w:jc w:val="center"/>
              <w:rPr>
                <w:b/>
                <w:sz w:val="20"/>
                <w:szCs w:val="20"/>
              </w:rPr>
            </w:pPr>
            <w:r>
              <w:rPr>
                <w:b/>
                <w:sz w:val="20"/>
                <w:szCs w:val="20"/>
              </w:rPr>
              <w:t>71.1</w:t>
            </w:r>
            <w:r w:rsidR="00462C2B" w:rsidRPr="004A0509">
              <w:rPr>
                <w:b/>
                <w:sz w:val="20"/>
                <w:szCs w:val="20"/>
              </w:rPr>
              <w:t>%</w:t>
            </w:r>
          </w:p>
        </w:tc>
      </w:tr>
      <w:tr w:rsidR="00184818" w:rsidTr="00F77ECA">
        <w:tc>
          <w:tcPr>
            <w:tcW w:w="6374" w:type="dxa"/>
          </w:tcPr>
          <w:p w:rsidR="00184818" w:rsidRDefault="00184818" w:rsidP="002A51CA">
            <w:pPr>
              <w:rPr>
                <w:b/>
                <w:sz w:val="24"/>
              </w:rPr>
            </w:pPr>
            <w:r w:rsidRPr="00BE6C6D">
              <w:rPr>
                <w:sz w:val="20"/>
              </w:rPr>
              <w:t>Regional and Global</w:t>
            </w:r>
          </w:p>
        </w:tc>
        <w:tc>
          <w:tcPr>
            <w:tcW w:w="1423" w:type="dxa"/>
          </w:tcPr>
          <w:p w:rsidR="00184818" w:rsidRPr="006E4C15" w:rsidRDefault="00435655" w:rsidP="00EA510D">
            <w:pPr>
              <w:jc w:val="center"/>
              <w:rPr>
                <w:sz w:val="20"/>
                <w:szCs w:val="20"/>
              </w:rPr>
            </w:pPr>
            <w:r w:rsidRPr="006E4C15">
              <w:rPr>
                <w:sz w:val="20"/>
                <w:szCs w:val="20"/>
              </w:rPr>
              <w:t>16.9</w:t>
            </w:r>
          </w:p>
        </w:tc>
        <w:tc>
          <w:tcPr>
            <w:tcW w:w="1842" w:type="dxa"/>
          </w:tcPr>
          <w:p w:rsidR="00184818" w:rsidRPr="004A0509" w:rsidRDefault="004A0509" w:rsidP="004A0509">
            <w:pPr>
              <w:jc w:val="center"/>
              <w:rPr>
                <w:sz w:val="20"/>
                <w:szCs w:val="20"/>
              </w:rPr>
            </w:pPr>
            <w:r w:rsidRPr="004A0509">
              <w:rPr>
                <w:sz w:val="20"/>
                <w:szCs w:val="20"/>
              </w:rPr>
              <w:t>26.3</w:t>
            </w:r>
            <w:r>
              <w:rPr>
                <w:sz w:val="20"/>
                <w:szCs w:val="20"/>
              </w:rPr>
              <w:t>%</w:t>
            </w:r>
          </w:p>
        </w:tc>
      </w:tr>
      <w:tr w:rsidR="00184818" w:rsidTr="00F77ECA">
        <w:tc>
          <w:tcPr>
            <w:tcW w:w="6374" w:type="dxa"/>
          </w:tcPr>
          <w:p w:rsidR="00184818" w:rsidRDefault="00184818" w:rsidP="002A51CA">
            <w:pPr>
              <w:rPr>
                <w:b/>
                <w:sz w:val="24"/>
              </w:rPr>
            </w:pPr>
            <w:r w:rsidRPr="00BE6C6D">
              <w:rPr>
                <w:sz w:val="20"/>
              </w:rPr>
              <w:t>Other Government Departments</w:t>
            </w:r>
          </w:p>
        </w:tc>
        <w:tc>
          <w:tcPr>
            <w:tcW w:w="1423" w:type="dxa"/>
          </w:tcPr>
          <w:p w:rsidR="00184818" w:rsidRPr="006E4C15" w:rsidRDefault="00435655" w:rsidP="00EA510D">
            <w:pPr>
              <w:jc w:val="center"/>
              <w:rPr>
                <w:sz w:val="20"/>
                <w:szCs w:val="20"/>
              </w:rPr>
            </w:pPr>
            <w:r w:rsidRPr="006E4C15">
              <w:rPr>
                <w:sz w:val="20"/>
                <w:szCs w:val="20"/>
              </w:rPr>
              <w:t>1.8</w:t>
            </w:r>
          </w:p>
        </w:tc>
        <w:tc>
          <w:tcPr>
            <w:tcW w:w="1842" w:type="dxa"/>
          </w:tcPr>
          <w:p w:rsidR="00184818" w:rsidRPr="004A0509" w:rsidRDefault="004A0509" w:rsidP="004A0509">
            <w:pPr>
              <w:jc w:val="center"/>
              <w:rPr>
                <w:sz w:val="20"/>
                <w:szCs w:val="20"/>
              </w:rPr>
            </w:pPr>
            <w:r>
              <w:rPr>
                <w:sz w:val="20"/>
                <w:szCs w:val="20"/>
              </w:rPr>
              <w:t>2.8%</w:t>
            </w:r>
          </w:p>
        </w:tc>
      </w:tr>
      <w:tr w:rsidR="00184818" w:rsidTr="00F77ECA">
        <w:tc>
          <w:tcPr>
            <w:tcW w:w="6374" w:type="dxa"/>
          </w:tcPr>
          <w:p w:rsidR="00184818" w:rsidRPr="00F538CC" w:rsidRDefault="00184818" w:rsidP="002A51CA">
            <w:pPr>
              <w:rPr>
                <w:b/>
                <w:sz w:val="24"/>
              </w:rPr>
            </w:pPr>
            <w:r w:rsidRPr="00F538CC">
              <w:rPr>
                <w:b/>
                <w:sz w:val="20"/>
              </w:rPr>
              <w:t>Total ODA Expenditure</w:t>
            </w:r>
          </w:p>
        </w:tc>
        <w:tc>
          <w:tcPr>
            <w:tcW w:w="1423" w:type="dxa"/>
          </w:tcPr>
          <w:p w:rsidR="00184818" w:rsidRPr="006E4C15" w:rsidRDefault="00435655" w:rsidP="00EA510D">
            <w:pPr>
              <w:jc w:val="center"/>
              <w:rPr>
                <w:b/>
                <w:sz w:val="20"/>
                <w:szCs w:val="20"/>
              </w:rPr>
            </w:pPr>
            <w:r w:rsidRPr="006E4C15">
              <w:rPr>
                <w:b/>
                <w:sz w:val="20"/>
                <w:szCs w:val="20"/>
              </w:rPr>
              <w:t>64.3</w:t>
            </w:r>
          </w:p>
        </w:tc>
        <w:tc>
          <w:tcPr>
            <w:tcW w:w="1842" w:type="dxa"/>
          </w:tcPr>
          <w:p w:rsidR="00184818" w:rsidRPr="004A0509" w:rsidRDefault="004A0509" w:rsidP="004A0509">
            <w:pPr>
              <w:jc w:val="center"/>
              <w:rPr>
                <w:b/>
                <w:sz w:val="20"/>
                <w:szCs w:val="20"/>
              </w:rPr>
            </w:pPr>
            <w:r w:rsidRPr="004A0509">
              <w:rPr>
                <w:b/>
                <w:sz w:val="20"/>
                <w:szCs w:val="20"/>
              </w:rPr>
              <w:t>100%</w:t>
            </w:r>
          </w:p>
        </w:tc>
      </w:tr>
    </w:tbl>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266649" w:rsidRDefault="00C22CB3" w:rsidP="00EA510D">
      <w:pPr>
        <w:rPr>
          <w:rFonts w:ascii="Calibri Light" w:hAnsi="Calibri Light"/>
        </w:rPr>
      </w:pPr>
      <w:r w:rsidRPr="00EA510D">
        <w:rPr>
          <w:rFonts w:ascii="Calibri Light" w:hAnsi="Calibri Light"/>
        </w:rPr>
        <w:t>The performance of Australia’s aid program</w:t>
      </w:r>
      <w:r w:rsidR="008336F5">
        <w:rPr>
          <w:rFonts w:ascii="Calibri Light" w:hAnsi="Calibri Light"/>
        </w:rPr>
        <w:t>, summarised in Table 2,</w:t>
      </w:r>
      <w:r w:rsidRPr="00EA510D">
        <w:rPr>
          <w:rFonts w:ascii="Calibri Light" w:hAnsi="Calibri Light"/>
        </w:rPr>
        <w:t xml:space="preserve"> is measured against performance benchmarks outlined in the</w:t>
      </w:r>
      <w:r w:rsidR="00E16CD2">
        <w:rPr>
          <w:rFonts w:ascii="Calibri Light" w:hAnsi="Calibri Light"/>
        </w:rPr>
        <w:t xml:space="preserve"> Aid Investment Plan (</w:t>
      </w:r>
      <w:r w:rsidR="008411DE">
        <w:rPr>
          <w:rFonts w:ascii="Calibri Light" w:hAnsi="Calibri Light"/>
        </w:rPr>
        <w:t>AIP</w:t>
      </w:r>
      <w:r w:rsidR="00E16CD2">
        <w:rPr>
          <w:rFonts w:ascii="Calibri Light" w:hAnsi="Calibri Light"/>
        </w:rPr>
        <w:t>)</w:t>
      </w:r>
      <w:r w:rsidR="008411DE">
        <w:rPr>
          <w:rFonts w:ascii="Calibri Light" w:hAnsi="Calibri Light"/>
        </w:rPr>
        <w:t xml:space="preserve"> and </w:t>
      </w:r>
      <w:r w:rsidR="004D093D">
        <w:rPr>
          <w:rFonts w:ascii="Calibri Light" w:hAnsi="Calibri Light"/>
        </w:rPr>
        <w:t xml:space="preserve">updated in </w:t>
      </w:r>
      <w:r w:rsidR="008411DE">
        <w:rPr>
          <w:rFonts w:ascii="Calibri Light" w:hAnsi="Calibri Light"/>
        </w:rPr>
        <w:t>the</w:t>
      </w:r>
      <w:r w:rsidRPr="00EA510D">
        <w:rPr>
          <w:rFonts w:ascii="Calibri Light" w:hAnsi="Calibri Light"/>
        </w:rPr>
        <w:t xml:space="preserve"> Australia-Vanuatu Aid Pa</w:t>
      </w:r>
      <w:r w:rsidR="00C16C2F" w:rsidRPr="00EA510D">
        <w:rPr>
          <w:rFonts w:ascii="Calibri Light" w:hAnsi="Calibri Light"/>
        </w:rPr>
        <w:t>rtnership Arrangement</w:t>
      </w:r>
      <w:r w:rsidR="004D093D">
        <w:rPr>
          <w:rFonts w:ascii="Calibri Light" w:hAnsi="Calibri Light"/>
        </w:rPr>
        <w:t>.</w:t>
      </w:r>
      <w:r w:rsidR="00C16C2F" w:rsidRPr="00EA510D">
        <w:rPr>
          <w:rFonts w:ascii="Calibri Light" w:hAnsi="Calibri Light"/>
        </w:rPr>
        <w:t xml:space="preserve"> </w:t>
      </w:r>
      <w:r w:rsidRPr="00EA510D">
        <w:rPr>
          <w:rFonts w:ascii="Calibri Light" w:hAnsi="Calibri Light"/>
        </w:rPr>
        <w:t xml:space="preserve">A Performance Assessment Framework </w:t>
      </w:r>
      <w:r w:rsidR="003F2A3F">
        <w:rPr>
          <w:rFonts w:ascii="Calibri Light" w:hAnsi="Calibri Light"/>
        </w:rPr>
        <w:t>(Annex E)</w:t>
      </w:r>
      <w:r w:rsidR="0064756B">
        <w:rPr>
          <w:rFonts w:ascii="Calibri Light" w:hAnsi="Calibri Light"/>
        </w:rPr>
        <w:t>,</w:t>
      </w:r>
      <w:r w:rsidR="003F2A3F">
        <w:rPr>
          <w:rFonts w:ascii="Calibri Light" w:hAnsi="Calibri Light"/>
        </w:rPr>
        <w:t xml:space="preserve"> </w:t>
      </w:r>
      <w:r w:rsidR="00901505">
        <w:rPr>
          <w:rFonts w:ascii="Calibri Light" w:hAnsi="Calibri Light"/>
        </w:rPr>
        <w:t>finalised</w:t>
      </w:r>
      <w:r w:rsidRPr="00EA510D">
        <w:rPr>
          <w:rFonts w:ascii="Calibri Light" w:hAnsi="Calibri Light"/>
        </w:rPr>
        <w:t xml:space="preserve"> in 2018</w:t>
      </w:r>
      <w:r w:rsidR="0064756B">
        <w:rPr>
          <w:rFonts w:ascii="Calibri Light" w:hAnsi="Calibri Light"/>
        </w:rPr>
        <w:t>,</w:t>
      </w:r>
      <w:r w:rsidR="00F8298B" w:rsidRPr="00EA510D">
        <w:rPr>
          <w:rFonts w:ascii="Calibri Light" w:hAnsi="Calibri Light"/>
        </w:rPr>
        <w:t xml:space="preserve"> </w:t>
      </w:r>
      <w:r w:rsidR="00901505">
        <w:rPr>
          <w:rFonts w:ascii="Calibri Light" w:hAnsi="Calibri Light"/>
        </w:rPr>
        <w:t>incorporates</w:t>
      </w:r>
      <w:r w:rsidRPr="00EA510D">
        <w:rPr>
          <w:rFonts w:ascii="Calibri Light" w:hAnsi="Calibri Light"/>
        </w:rPr>
        <w:t xml:space="preserve"> additional indicators to </w:t>
      </w:r>
      <w:r w:rsidR="0064756B">
        <w:rPr>
          <w:rFonts w:ascii="Calibri Light" w:hAnsi="Calibri Light"/>
        </w:rPr>
        <w:t>clarify</w:t>
      </w:r>
      <w:r w:rsidRPr="00EA510D">
        <w:rPr>
          <w:rFonts w:ascii="Calibri Light" w:hAnsi="Calibri Light"/>
        </w:rPr>
        <w:t xml:space="preserve"> expected targets </w:t>
      </w:r>
      <w:r w:rsidR="00F8298B" w:rsidRPr="00EA510D">
        <w:rPr>
          <w:rFonts w:ascii="Calibri Light" w:hAnsi="Calibri Light"/>
        </w:rPr>
        <w:t xml:space="preserve">across </w:t>
      </w:r>
      <w:r w:rsidR="00997ED7">
        <w:rPr>
          <w:rFonts w:ascii="Calibri Light" w:hAnsi="Calibri Light"/>
        </w:rPr>
        <w:t>all</w:t>
      </w:r>
      <w:r w:rsidR="00F8298B" w:rsidRPr="00EA510D">
        <w:rPr>
          <w:rFonts w:ascii="Calibri Light" w:hAnsi="Calibri Light"/>
        </w:rPr>
        <w:t xml:space="preserve"> investments contributing to the </w:t>
      </w:r>
      <w:r w:rsidR="00356AC5">
        <w:rPr>
          <w:rFonts w:ascii="Calibri Light" w:hAnsi="Calibri Light"/>
        </w:rPr>
        <w:t xml:space="preserve">program’s </w:t>
      </w:r>
      <w:r w:rsidR="00F8298B" w:rsidRPr="00EA510D">
        <w:rPr>
          <w:rFonts w:ascii="Calibri Light" w:hAnsi="Calibri Light"/>
        </w:rPr>
        <w:t xml:space="preserve">four </w:t>
      </w:r>
      <w:r w:rsidRPr="00EA510D">
        <w:rPr>
          <w:rFonts w:ascii="Calibri Light" w:hAnsi="Calibri Light"/>
        </w:rPr>
        <w:t xml:space="preserve">objectives. </w:t>
      </w:r>
    </w:p>
    <w:p w:rsidR="00C22CB3" w:rsidRPr="00EA510D" w:rsidRDefault="008411DE" w:rsidP="00EA510D">
      <w:pPr>
        <w:rPr>
          <w:rFonts w:ascii="Calibri Light" w:eastAsia="Times New Roman" w:hAnsi="Calibri Light" w:cs="Arial"/>
          <w:b/>
          <w:szCs w:val="19"/>
        </w:rPr>
      </w:pPr>
      <w:r>
        <w:rPr>
          <w:rFonts w:ascii="Calibri Light" w:hAnsi="Calibri Light"/>
        </w:rPr>
        <w:t>A</w:t>
      </w:r>
      <w:r w:rsidR="00C16C2F" w:rsidRPr="00EA510D">
        <w:rPr>
          <w:rFonts w:ascii="Calibri Light" w:hAnsi="Calibri Light"/>
        </w:rPr>
        <w:t xml:space="preserve">ll </w:t>
      </w:r>
      <w:r w:rsidR="00266649">
        <w:rPr>
          <w:rFonts w:ascii="Calibri Light" w:hAnsi="Calibri Light"/>
        </w:rPr>
        <w:t>four</w:t>
      </w:r>
      <w:r w:rsidR="00C16C2F" w:rsidRPr="00EA510D">
        <w:rPr>
          <w:rFonts w:ascii="Calibri Light" w:hAnsi="Calibri Light"/>
        </w:rPr>
        <w:t xml:space="preserve"> objectives</w:t>
      </w:r>
      <w:r>
        <w:rPr>
          <w:rFonts w:ascii="Calibri Light" w:hAnsi="Calibri Light"/>
        </w:rPr>
        <w:t xml:space="preserve"> are rated</w:t>
      </w:r>
      <w:r w:rsidR="00C16C2F" w:rsidRPr="00EA510D">
        <w:rPr>
          <w:rFonts w:ascii="Calibri Light" w:hAnsi="Calibri Light"/>
        </w:rPr>
        <w:t xml:space="preserve"> green. The rating for Objective 1 is green despite one of </w:t>
      </w:r>
      <w:r w:rsidR="002446F3" w:rsidRPr="00EA510D">
        <w:rPr>
          <w:rFonts w:ascii="Calibri Light" w:hAnsi="Calibri Light"/>
        </w:rPr>
        <w:t xml:space="preserve">five activities </w:t>
      </w:r>
      <w:r w:rsidR="00C16C2F" w:rsidRPr="00EA510D">
        <w:rPr>
          <w:rFonts w:ascii="Calibri Light" w:hAnsi="Calibri Light"/>
        </w:rPr>
        <w:t xml:space="preserve">within the portfolio </w:t>
      </w:r>
      <w:r w:rsidR="002446F3" w:rsidRPr="00EA510D">
        <w:rPr>
          <w:rFonts w:ascii="Calibri Light" w:hAnsi="Calibri Light"/>
        </w:rPr>
        <w:t>identified as an Investment Requiring Improvement</w:t>
      </w:r>
      <w:r w:rsidR="008336F5" w:rsidRPr="00EA510D">
        <w:rPr>
          <w:rFonts w:ascii="Calibri Light" w:hAnsi="Calibri Light"/>
        </w:rPr>
        <w:t xml:space="preserve"> (IRI)</w:t>
      </w:r>
      <w:r w:rsidR="0064756B">
        <w:rPr>
          <w:rFonts w:ascii="Calibri Light" w:hAnsi="Calibri Light"/>
        </w:rPr>
        <w:t>,</w:t>
      </w:r>
      <w:r w:rsidR="003F2A3F">
        <w:rPr>
          <w:rFonts w:ascii="Calibri Light" w:hAnsi="Calibri Light"/>
        </w:rPr>
        <w:t xml:space="preserve"> as p</w:t>
      </w:r>
      <w:r w:rsidR="002446F3" w:rsidRPr="00EA510D">
        <w:rPr>
          <w:rFonts w:ascii="Calibri Light" w:hAnsi="Calibri Light"/>
        </w:rPr>
        <w:t xml:space="preserve">rogress across the </w:t>
      </w:r>
      <w:r w:rsidR="003F2A3F">
        <w:rPr>
          <w:rFonts w:ascii="Calibri Light" w:hAnsi="Calibri Light"/>
        </w:rPr>
        <w:t xml:space="preserve">majority of </w:t>
      </w:r>
      <w:r w:rsidR="002446F3" w:rsidRPr="00EA510D">
        <w:rPr>
          <w:rFonts w:ascii="Calibri Light" w:hAnsi="Calibri Light"/>
        </w:rPr>
        <w:t xml:space="preserve">activities was strong. The rating for Objective 2 increased from 2016-17 given progress in the health program </w:t>
      </w:r>
      <w:r w:rsidR="0064756B">
        <w:rPr>
          <w:rFonts w:ascii="Calibri Light" w:hAnsi="Calibri Light" w:cs="Arial"/>
        </w:rPr>
        <w:t>on</w:t>
      </w:r>
      <w:r w:rsidR="002446F3" w:rsidRPr="00EA510D">
        <w:rPr>
          <w:rFonts w:ascii="Calibri Light" w:hAnsi="Calibri Light" w:cs="Arial"/>
        </w:rPr>
        <w:t xml:space="preserve"> systems strengthening, workforce development and service delivery targets. The rating for Objective 4 also improved from amber to green</w:t>
      </w:r>
      <w:r w:rsidR="008336F5" w:rsidRPr="00EA510D">
        <w:rPr>
          <w:rFonts w:ascii="Calibri Light" w:hAnsi="Calibri Light" w:cs="Arial"/>
        </w:rPr>
        <w:t xml:space="preserve">. This recognises </w:t>
      </w:r>
      <w:r w:rsidR="008336F5">
        <w:rPr>
          <w:rFonts w:ascii="Calibri Light" w:hAnsi="Calibri Light" w:cs="Arial"/>
        </w:rPr>
        <w:t>improved</w:t>
      </w:r>
      <w:r w:rsidR="008336F5" w:rsidRPr="00EA510D">
        <w:rPr>
          <w:rFonts w:ascii="Calibri Light" w:hAnsi="Calibri Light"/>
          <w:bCs/>
        </w:rPr>
        <w:t xml:space="preserve"> delivery against program targets and </w:t>
      </w:r>
      <w:r w:rsidR="0064756B">
        <w:rPr>
          <w:rFonts w:ascii="Calibri Light" w:hAnsi="Calibri Light"/>
          <w:bCs/>
        </w:rPr>
        <w:t xml:space="preserve">the </w:t>
      </w:r>
      <w:r w:rsidR="008336F5" w:rsidRPr="00EA510D">
        <w:rPr>
          <w:rFonts w:ascii="Calibri Light" w:hAnsi="Calibri Light"/>
          <w:bCs/>
        </w:rPr>
        <w:t>removal of t</w:t>
      </w:r>
      <w:r w:rsidR="008336F5" w:rsidRPr="00EA510D">
        <w:rPr>
          <w:rFonts w:ascii="Calibri Light" w:hAnsi="Calibri Light"/>
        </w:rPr>
        <w:t xml:space="preserve">he TC Pam Recovery Program from IRI status. </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D4A2F">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788" w:type="pct"/>
        <w:tblLook w:val="0000" w:firstRow="0" w:lastRow="0" w:firstColumn="0" w:lastColumn="0" w:noHBand="0" w:noVBand="0"/>
      </w:tblPr>
      <w:tblGrid>
        <w:gridCol w:w="6675"/>
        <w:gridCol w:w="1277"/>
        <w:gridCol w:w="1277"/>
      </w:tblGrid>
      <w:tr w:rsidR="003F3549" w:rsidRPr="00C61187" w:rsidTr="003F3549">
        <w:trPr>
          <w:cnfStyle w:val="000000010000" w:firstRow="0" w:lastRow="0" w:firstColumn="0" w:lastColumn="0" w:oddVBand="0" w:evenVBand="0" w:oddHBand="0" w:evenHBand="1" w:firstRowFirstColumn="0" w:firstRowLastColumn="0" w:lastRowFirstColumn="0" w:lastRowLastColumn="0"/>
          <w:trHeight w:val="651"/>
        </w:trPr>
        <w:tc>
          <w:tcPr>
            <w:tcW w:w="6634" w:type="dxa"/>
          </w:tcPr>
          <w:p w:rsidR="003F3549" w:rsidRPr="00BE6C6D" w:rsidRDefault="003F3549" w:rsidP="003F3549">
            <w:pPr>
              <w:pStyle w:val="NormalIndented"/>
              <w:rPr>
                <w:sz w:val="18"/>
                <w:lang w:eastAsia="en-US"/>
              </w:rPr>
            </w:pPr>
            <w:r w:rsidRPr="00BE6C6D">
              <w:rPr>
                <w:noProof/>
                <w:sz w:val="18"/>
                <w:lang w:val="en-AU"/>
              </w:rPr>
              <w:drawing>
                <wp:anchor distT="0" distB="0" distL="114300" distR="114300" simplePos="0" relativeHeight="251692032" behindDoc="0" locked="0" layoutInCell="1" allowOverlap="1" wp14:anchorId="25D0DD54" wp14:editId="58C7AA38">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49" w:type="dxa"/>
          </w:tcPr>
          <w:p w:rsidR="003F3549" w:rsidRPr="00BE6C6D" w:rsidRDefault="003F3549">
            <w:pPr>
              <w:pStyle w:val="NormalIndented"/>
              <w:rPr>
                <w:sz w:val="18"/>
              </w:rPr>
            </w:pPr>
            <w:r>
              <w:rPr>
                <w:sz w:val="18"/>
                <w:lang w:eastAsia="en-US"/>
              </w:rPr>
              <w:t>Previous Rat</w:t>
            </w:r>
            <w:r w:rsidRPr="00BE6C6D">
              <w:rPr>
                <w:sz w:val="18"/>
                <w:lang w:eastAsia="en-US"/>
              </w:rPr>
              <w:t>ing</w:t>
            </w:r>
          </w:p>
        </w:tc>
        <w:tc>
          <w:tcPr>
            <w:tcW w:w="1235" w:type="dxa"/>
          </w:tcPr>
          <w:p w:rsidR="003F3549" w:rsidRPr="00BE6C6D" w:rsidRDefault="003F3549" w:rsidP="003F3549">
            <w:pPr>
              <w:pStyle w:val="NormalIndented"/>
              <w:rPr>
                <w:sz w:val="18"/>
                <w:lang w:eastAsia="en-US"/>
              </w:rPr>
            </w:pPr>
            <w:r w:rsidRPr="00BE6C6D">
              <w:rPr>
                <w:sz w:val="18"/>
                <w:lang w:eastAsia="en-US"/>
              </w:rPr>
              <w:t>Current Rating</w:t>
            </w:r>
          </w:p>
        </w:tc>
      </w:tr>
      <w:tr w:rsidR="003F3549" w:rsidRPr="00C61187" w:rsidTr="00EA510D">
        <w:trPr>
          <w:cnfStyle w:val="000000010000" w:firstRow="0" w:lastRow="0" w:firstColumn="0" w:lastColumn="0" w:oddVBand="0" w:evenVBand="0" w:oddHBand="0" w:evenHBand="1" w:firstRowFirstColumn="0" w:firstRowLastColumn="0" w:lastRowFirstColumn="0" w:lastRowLastColumn="0"/>
        </w:trPr>
        <w:tc>
          <w:tcPr>
            <w:tcW w:w="6634" w:type="dxa"/>
          </w:tcPr>
          <w:p w:rsidR="003F3549" w:rsidRPr="00BE6C6D" w:rsidRDefault="003F3549" w:rsidP="003F3549">
            <w:pPr>
              <w:pStyle w:val="NormalIndented"/>
              <w:rPr>
                <w:sz w:val="16"/>
                <w:lang w:eastAsia="en-US"/>
              </w:rPr>
            </w:pPr>
            <w:r w:rsidRPr="00BE6C6D">
              <w:rPr>
                <w:sz w:val="16"/>
                <w:lang w:eastAsia="en-US"/>
              </w:rPr>
              <w:t>Objective 1</w:t>
            </w:r>
            <w:r>
              <w:rPr>
                <w:sz w:val="16"/>
                <w:lang w:eastAsia="en-US"/>
              </w:rPr>
              <w:t>:  Building resilient infrastructure and environment for economic opportunity</w:t>
            </w:r>
          </w:p>
        </w:tc>
        <w:tc>
          <w:tcPr>
            <w:tcW w:w="1249" w:type="dxa"/>
            <w:shd w:val="clear" w:color="auto" w:fill="72AF2F"/>
          </w:tcPr>
          <w:p w:rsidR="003F3549" w:rsidRPr="00BE6C6D" w:rsidDel="003D46D5" w:rsidRDefault="003F3549" w:rsidP="003F3549">
            <w:pPr>
              <w:pStyle w:val="NormalIndented"/>
              <w:rPr>
                <w:color w:val="FFFFFF" w:themeColor="background1"/>
                <w:sz w:val="16"/>
              </w:rPr>
            </w:pPr>
            <w:r>
              <w:rPr>
                <w:color w:val="FFFFFF" w:themeColor="background1"/>
                <w:sz w:val="16"/>
                <w:lang w:eastAsia="en-US"/>
              </w:rPr>
              <w:t>Green</w:t>
            </w:r>
          </w:p>
        </w:tc>
        <w:tc>
          <w:tcPr>
            <w:tcW w:w="1235" w:type="dxa"/>
            <w:shd w:val="clear" w:color="auto" w:fill="7FB64D" w:themeFill="accent3" w:themeFillShade="BF"/>
            <w:noWrap/>
          </w:tcPr>
          <w:p w:rsidR="003F3549" w:rsidRPr="00BE6C6D" w:rsidRDefault="006D5F35" w:rsidP="003F3549">
            <w:pPr>
              <w:pStyle w:val="NormalIndented"/>
              <w:rPr>
                <w:color w:val="FFFFFF" w:themeColor="background1"/>
                <w:sz w:val="16"/>
                <w:lang w:eastAsia="en-US"/>
              </w:rPr>
            </w:pPr>
            <w:r>
              <w:rPr>
                <w:color w:val="FFFFFF" w:themeColor="background1"/>
                <w:sz w:val="16"/>
                <w:lang w:eastAsia="en-US"/>
              </w:rPr>
              <w:t>Green</w:t>
            </w:r>
          </w:p>
        </w:tc>
      </w:tr>
      <w:tr w:rsidR="003F3549" w:rsidRPr="00C61187" w:rsidTr="00EA510D">
        <w:trPr>
          <w:cnfStyle w:val="000000010000" w:firstRow="0" w:lastRow="0" w:firstColumn="0" w:lastColumn="0" w:oddVBand="0" w:evenVBand="0" w:oddHBand="0" w:evenHBand="1" w:firstRowFirstColumn="0" w:firstRowLastColumn="0" w:lastRowFirstColumn="0" w:lastRowLastColumn="0"/>
        </w:trPr>
        <w:tc>
          <w:tcPr>
            <w:tcW w:w="6634" w:type="dxa"/>
          </w:tcPr>
          <w:p w:rsidR="003F3549" w:rsidRPr="00BE6C6D" w:rsidRDefault="003F3549" w:rsidP="003F3549">
            <w:pPr>
              <w:pStyle w:val="NormalIndented"/>
              <w:rPr>
                <w:sz w:val="16"/>
                <w:lang w:eastAsia="en-US"/>
              </w:rPr>
            </w:pPr>
            <w:r w:rsidRPr="00BE6C6D">
              <w:rPr>
                <w:sz w:val="16"/>
                <w:lang w:eastAsia="en-US"/>
              </w:rPr>
              <w:t>Objective 2</w:t>
            </w:r>
            <w:r>
              <w:rPr>
                <w:sz w:val="16"/>
                <w:lang w:eastAsia="en-US"/>
              </w:rPr>
              <w:t>: Improving early education and essential health services</w:t>
            </w:r>
          </w:p>
        </w:tc>
        <w:tc>
          <w:tcPr>
            <w:tcW w:w="1249" w:type="dxa"/>
            <w:shd w:val="clear" w:color="auto" w:fill="E36C0A"/>
          </w:tcPr>
          <w:p w:rsidR="003F3549" w:rsidRPr="00BE6C6D" w:rsidDel="003D46D5" w:rsidRDefault="003F3549" w:rsidP="003F3549">
            <w:pPr>
              <w:pStyle w:val="NormalIndented"/>
              <w:rPr>
                <w:color w:val="FFFFFF" w:themeColor="background1"/>
                <w:sz w:val="16"/>
              </w:rPr>
            </w:pPr>
            <w:r>
              <w:rPr>
                <w:color w:val="FFFFFF" w:themeColor="background1"/>
                <w:sz w:val="16"/>
                <w:lang w:eastAsia="en-US"/>
              </w:rPr>
              <w:t>Amber</w:t>
            </w:r>
          </w:p>
        </w:tc>
        <w:tc>
          <w:tcPr>
            <w:tcW w:w="1235" w:type="dxa"/>
            <w:shd w:val="clear" w:color="auto" w:fill="72AF2F"/>
            <w:noWrap/>
          </w:tcPr>
          <w:p w:rsidR="003F3549" w:rsidRPr="00BE6C6D" w:rsidRDefault="006D5F35" w:rsidP="003F3549">
            <w:pPr>
              <w:pStyle w:val="NormalIndented"/>
              <w:rPr>
                <w:color w:val="FFFFFF" w:themeColor="background1"/>
                <w:sz w:val="16"/>
                <w:lang w:eastAsia="en-US"/>
              </w:rPr>
            </w:pPr>
            <w:r>
              <w:rPr>
                <w:color w:val="FFFFFF" w:themeColor="background1"/>
                <w:sz w:val="16"/>
                <w:lang w:eastAsia="en-US"/>
              </w:rPr>
              <w:t>Green</w:t>
            </w:r>
          </w:p>
        </w:tc>
      </w:tr>
      <w:tr w:rsidR="003F3549" w:rsidRPr="00C61187" w:rsidTr="00EA510D">
        <w:trPr>
          <w:cnfStyle w:val="000000010000" w:firstRow="0" w:lastRow="0" w:firstColumn="0" w:lastColumn="0" w:oddVBand="0" w:evenVBand="0" w:oddHBand="0" w:evenHBand="1" w:firstRowFirstColumn="0" w:firstRowLastColumn="0" w:lastRowFirstColumn="0" w:lastRowLastColumn="0"/>
        </w:trPr>
        <w:tc>
          <w:tcPr>
            <w:tcW w:w="6634" w:type="dxa"/>
          </w:tcPr>
          <w:p w:rsidR="003F3549" w:rsidRPr="00BE6C6D" w:rsidRDefault="003F3549" w:rsidP="003F3549">
            <w:pPr>
              <w:pStyle w:val="NormalIndented"/>
              <w:rPr>
                <w:sz w:val="16"/>
                <w:lang w:eastAsia="en-US"/>
              </w:rPr>
            </w:pPr>
            <w:r w:rsidRPr="00BE6C6D">
              <w:rPr>
                <w:sz w:val="16"/>
                <w:lang w:eastAsia="en-US"/>
              </w:rPr>
              <w:t>Objective 3</w:t>
            </w:r>
            <w:r>
              <w:rPr>
                <w:sz w:val="16"/>
                <w:lang w:eastAsia="en-US"/>
              </w:rPr>
              <w:t>: Improving community safety and resilience</w:t>
            </w:r>
          </w:p>
        </w:tc>
        <w:tc>
          <w:tcPr>
            <w:tcW w:w="1249" w:type="dxa"/>
            <w:shd w:val="clear" w:color="auto" w:fill="72AF2F"/>
          </w:tcPr>
          <w:p w:rsidR="003F3549" w:rsidRPr="00BE6C6D" w:rsidDel="003D46D5" w:rsidRDefault="003F3549" w:rsidP="003F3549">
            <w:pPr>
              <w:pStyle w:val="NormalIndented"/>
              <w:rPr>
                <w:color w:val="FFFFFF" w:themeColor="background1"/>
                <w:sz w:val="16"/>
              </w:rPr>
            </w:pPr>
            <w:r>
              <w:rPr>
                <w:color w:val="FFFFFF" w:themeColor="background1"/>
                <w:sz w:val="16"/>
                <w:lang w:eastAsia="en-US"/>
              </w:rPr>
              <w:t>Green</w:t>
            </w:r>
          </w:p>
        </w:tc>
        <w:tc>
          <w:tcPr>
            <w:tcW w:w="1235" w:type="dxa"/>
            <w:shd w:val="clear" w:color="auto" w:fill="7FB64D" w:themeFill="accent3" w:themeFillShade="BF"/>
            <w:noWrap/>
          </w:tcPr>
          <w:p w:rsidR="003F3549" w:rsidRPr="00BE6C6D" w:rsidRDefault="006D5F35" w:rsidP="003F3549">
            <w:pPr>
              <w:pStyle w:val="NormalIndented"/>
              <w:rPr>
                <w:color w:val="FFFFFF" w:themeColor="background1"/>
                <w:sz w:val="16"/>
                <w:lang w:eastAsia="en-US"/>
              </w:rPr>
            </w:pPr>
            <w:r>
              <w:rPr>
                <w:color w:val="FFFFFF" w:themeColor="background1"/>
                <w:sz w:val="16"/>
                <w:lang w:eastAsia="en-US"/>
              </w:rPr>
              <w:t>Green</w:t>
            </w:r>
          </w:p>
        </w:tc>
      </w:tr>
      <w:tr w:rsidR="003F3549" w:rsidRPr="00C61187" w:rsidTr="00EA510D">
        <w:trPr>
          <w:cnfStyle w:val="000000010000" w:firstRow="0" w:lastRow="0" w:firstColumn="0" w:lastColumn="0" w:oddVBand="0" w:evenVBand="0" w:oddHBand="0" w:evenHBand="1" w:firstRowFirstColumn="0" w:firstRowLastColumn="0" w:lastRowFirstColumn="0" w:lastRowLastColumn="0"/>
        </w:trPr>
        <w:tc>
          <w:tcPr>
            <w:tcW w:w="6634" w:type="dxa"/>
          </w:tcPr>
          <w:p w:rsidR="003F3549" w:rsidRPr="00BE6C6D" w:rsidRDefault="003F3549" w:rsidP="003F3549">
            <w:pPr>
              <w:pStyle w:val="NormalIndented"/>
              <w:rPr>
                <w:sz w:val="16"/>
              </w:rPr>
            </w:pPr>
            <w:r>
              <w:rPr>
                <w:sz w:val="16"/>
              </w:rPr>
              <w:t>Objective 4: Supporting cyclone recovery and reconstruction</w:t>
            </w:r>
          </w:p>
        </w:tc>
        <w:tc>
          <w:tcPr>
            <w:tcW w:w="1249" w:type="dxa"/>
            <w:shd w:val="clear" w:color="auto" w:fill="E36C0A"/>
          </w:tcPr>
          <w:p w:rsidR="003F3549" w:rsidRPr="00BE6C6D" w:rsidRDefault="003F3549" w:rsidP="003F3549">
            <w:pPr>
              <w:pStyle w:val="NormalIndented"/>
              <w:rPr>
                <w:color w:val="FFFFFF" w:themeColor="background1"/>
                <w:sz w:val="16"/>
              </w:rPr>
            </w:pPr>
            <w:r>
              <w:rPr>
                <w:color w:val="FFFFFF" w:themeColor="background1"/>
                <w:sz w:val="16"/>
              </w:rPr>
              <w:t>Amber</w:t>
            </w:r>
          </w:p>
        </w:tc>
        <w:tc>
          <w:tcPr>
            <w:tcW w:w="1235" w:type="dxa"/>
            <w:shd w:val="clear" w:color="auto" w:fill="7FB64D" w:themeFill="accent3" w:themeFillShade="BF"/>
            <w:noWrap/>
          </w:tcPr>
          <w:p w:rsidR="003F3549" w:rsidRPr="00BE6C6D" w:rsidRDefault="006D5F35" w:rsidP="003F3549">
            <w:pPr>
              <w:pStyle w:val="NormalIndented"/>
              <w:rPr>
                <w:color w:val="FFFFFF" w:themeColor="background1"/>
                <w:sz w:val="16"/>
              </w:rPr>
            </w:pPr>
            <w:r>
              <w:rPr>
                <w:color w:val="FFFFFF" w:themeColor="background1"/>
                <w:sz w:val="16"/>
              </w:rPr>
              <w:t>Green</w:t>
            </w:r>
          </w:p>
        </w:tc>
      </w:tr>
    </w:tbl>
    <w:p w:rsidR="002A51CA" w:rsidRPr="00BE6C6D" w:rsidRDefault="002A51CA" w:rsidP="00772167">
      <w:pPr>
        <w:pStyle w:val="NormalIndented"/>
        <w:spacing w:before="0" w:after="0"/>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772167">
      <w:pPr>
        <w:pStyle w:val="NormalIndented"/>
        <w:spacing w:before="0" w:after="0"/>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51CA" w:rsidRDefault="002A51CA" w:rsidP="00772167">
      <w:pPr>
        <w:pStyle w:val="NormalIndented"/>
        <w:spacing w:before="0" w:after="0"/>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A23C1E" w:rsidRDefault="002A51CA" w:rsidP="008A425D">
      <w:pPr>
        <w:spacing w:before="20" w:after="20" w:line="180" w:lineRule="atLeast"/>
        <w:jc w:val="both"/>
      </w:pPr>
      <w:r w:rsidRPr="00C61187">
        <w:rPr>
          <w:rFonts w:ascii="Franklin Gothic Book" w:eastAsia="Times New Roman" w:hAnsi="Franklin Gothic Book"/>
          <w:b/>
          <w:sz w:val="14"/>
          <w:szCs w:val="14"/>
        </w:rPr>
        <w:t xml:space="preserve">  </w:t>
      </w:r>
    </w:p>
    <w:p w:rsidR="00A23C1E" w:rsidRPr="000B0961" w:rsidRDefault="00A961EC" w:rsidP="00A23C1E">
      <w:pPr>
        <w:spacing w:before="20" w:after="20" w:line="180" w:lineRule="atLeast"/>
        <w:jc w:val="both"/>
        <w:rPr>
          <w:rFonts w:ascii="Calibri" w:eastAsia="Times New Roman" w:hAnsi="Calibri" w:cs="Times New Roman"/>
          <w:caps/>
          <w:color w:val="495965"/>
          <w:sz w:val="38"/>
          <w:szCs w:val="26"/>
        </w:rPr>
      </w:pPr>
      <w:r w:rsidRPr="002A51CA">
        <w:rPr>
          <w:rFonts w:asciiTheme="majorHAnsi" w:eastAsiaTheme="majorEastAsia" w:hAnsiTheme="majorHAnsi" w:cstheme="majorBidi"/>
          <w:caps/>
          <w:sz w:val="38"/>
          <w:szCs w:val="26"/>
        </w:rPr>
        <w:t>Objective 1</w:t>
      </w:r>
      <w:r>
        <w:rPr>
          <w:rFonts w:asciiTheme="majorHAnsi" w:eastAsiaTheme="majorEastAsia" w:hAnsiTheme="majorHAnsi" w:cstheme="majorBidi"/>
          <w:caps/>
          <w:sz w:val="38"/>
          <w:szCs w:val="26"/>
        </w:rPr>
        <w:t>: building resilient infrastructure and an environment for economic opportunity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88"/>
        <w:gridCol w:w="1290"/>
        <w:gridCol w:w="1289"/>
        <w:gridCol w:w="1287"/>
        <w:gridCol w:w="1179"/>
        <w:gridCol w:w="1289"/>
      </w:tblGrid>
      <w:tr w:rsidR="00A23C1E" w:rsidRPr="000B0961" w:rsidTr="00A961EC">
        <w:tc>
          <w:tcPr>
            <w:tcW w:w="2016" w:type="dxa"/>
            <w:vAlign w:val="center"/>
          </w:tcPr>
          <w:p w:rsidR="00A23C1E" w:rsidRPr="000B0961" w:rsidRDefault="00A23C1E" w:rsidP="004A0509">
            <w:pPr>
              <w:spacing w:before="20" w:after="20" w:line="180" w:lineRule="atLeast"/>
              <w:jc w:val="center"/>
              <w:rPr>
                <w:rFonts w:ascii="Calibri" w:eastAsia="Times New Roman" w:hAnsi="Calibri" w:cs="Times New Roman"/>
                <w:caps/>
                <w:color w:val="495965"/>
                <w:sz w:val="38"/>
                <w:szCs w:val="26"/>
              </w:rPr>
            </w:pPr>
            <w:r w:rsidRPr="000B0961">
              <w:rPr>
                <w:rFonts w:ascii="Calibri" w:eastAsia="Times New Roman" w:hAnsi="Calibri" w:cs="Times New Roman"/>
                <w:caps/>
                <w:noProof/>
                <w:color w:val="495965"/>
                <w:sz w:val="38"/>
                <w:szCs w:val="26"/>
                <w:lang w:val="en-AU" w:eastAsia="en-AU"/>
              </w:rPr>
              <w:drawing>
                <wp:inline distT="0" distB="0" distL="0" distR="0" wp14:anchorId="2878A677" wp14:editId="3796F833">
                  <wp:extent cx="1137600" cy="720000"/>
                  <wp:effectExtent l="0" t="0" r="571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288" w:type="dxa"/>
            <w:vAlign w:val="center"/>
          </w:tcPr>
          <w:p w:rsidR="00A23C1E" w:rsidRPr="000B0961" w:rsidRDefault="00A23C1E" w:rsidP="004A0509">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7A6A44B0" wp14:editId="59D9FEA2">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90" w:type="dxa"/>
            <w:vAlign w:val="center"/>
          </w:tcPr>
          <w:p w:rsidR="00A23C1E" w:rsidRPr="000B0961" w:rsidRDefault="00A23C1E" w:rsidP="004A0509">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5CE0E80E" wp14:editId="3B333D53">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89" w:type="dxa"/>
            <w:vAlign w:val="center"/>
          </w:tcPr>
          <w:p w:rsidR="00A23C1E" w:rsidRPr="000B0961" w:rsidRDefault="00A23C1E" w:rsidP="004A0509">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11EDEB6D" wp14:editId="6F6D5E7B">
                  <wp:extent cx="609600" cy="609600"/>
                  <wp:effectExtent l="0" t="0" r="0" b="0"/>
                  <wp:docPr id="8" name="Picture 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287" w:type="dxa"/>
            <w:vAlign w:val="center"/>
          </w:tcPr>
          <w:p w:rsidR="00A23C1E" w:rsidRPr="000B0961" w:rsidRDefault="00A961EC" w:rsidP="004A0509">
            <w:pPr>
              <w:spacing w:before="20" w:after="20" w:line="180" w:lineRule="atLeast"/>
              <w:jc w:val="center"/>
              <w:rPr>
                <w:rFonts w:ascii="Calibri" w:eastAsia="Times New Roman" w:hAnsi="Calibri" w:cs="Times New Roman"/>
                <w:caps/>
                <w:color w:val="495965"/>
                <w:sz w:val="38"/>
                <w:szCs w:val="26"/>
              </w:rPr>
            </w:pPr>
            <w:r w:rsidRPr="000B0961">
              <w:rPr>
                <w:rFonts w:ascii="Calibri" w:eastAsia="Times New Roman" w:hAnsi="Calibri" w:cs="Times New Roman"/>
                <w:noProof/>
                <w:color w:val="495965"/>
                <w:sz w:val="38"/>
                <w:szCs w:val="26"/>
                <w:lang w:val="en-AU" w:eastAsia="en-AU"/>
              </w:rPr>
              <w:drawing>
                <wp:inline distT="0" distB="0" distL="0" distR="0" wp14:anchorId="4B109BAB" wp14:editId="5730C2E4">
                  <wp:extent cx="609631" cy="60963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DG9a.png"/>
                          <pic:cNvPicPr/>
                        </pic:nvPicPr>
                        <pic:blipFill>
                          <a:blip r:embed="rId24">
                            <a:extLst>
                              <a:ext uri="{28A0092B-C50C-407E-A947-70E740481C1C}">
                                <a14:useLocalDpi xmlns:a14="http://schemas.microsoft.com/office/drawing/2010/main" val="0"/>
                              </a:ext>
                            </a:extLst>
                          </a:blip>
                          <a:stretch>
                            <a:fillRect/>
                          </a:stretch>
                        </pic:blipFill>
                        <pic:spPr>
                          <a:xfrm>
                            <a:off x="0" y="0"/>
                            <a:ext cx="609631" cy="609631"/>
                          </a:xfrm>
                          <a:prstGeom prst="rect">
                            <a:avLst/>
                          </a:prstGeom>
                        </pic:spPr>
                      </pic:pic>
                    </a:graphicData>
                  </a:graphic>
                </wp:inline>
              </w:drawing>
            </w:r>
          </w:p>
        </w:tc>
        <w:tc>
          <w:tcPr>
            <w:tcW w:w="1179" w:type="dxa"/>
          </w:tcPr>
          <w:p w:rsidR="00A23C1E" w:rsidRPr="000B0961" w:rsidRDefault="00A961EC" w:rsidP="004A0509">
            <w:pPr>
              <w:rPr>
                <w:rFonts w:ascii="Calibri" w:eastAsia="Times New Roman" w:hAnsi="Calibri" w:cs="Times New Roman"/>
                <w:color w:val="495965"/>
                <w:sz w:val="38"/>
                <w:szCs w:val="26"/>
                <w:lang w:eastAsia="en-AU"/>
              </w:rPr>
            </w:pPr>
            <w:r>
              <w:rPr>
                <w:noProof/>
                <w:lang w:val="en-AU" w:eastAsia="en-AU"/>
              </w:rPr>
              <w:drawing>
                <wp:inline distT="0" distB="0" distL="0" distR="0" wp14:anchorId="46BDF7FB" wp14:editId="00DF34A6">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89" w:type="dxa"/>
            <w:vAlign w:val="center"/>
          </w:tcPr>
          <w:p w:rsidR="00A23C1E" w:rsidRPr="000B0961" w:rsidRDefault="00A961EC" w:rsidP="004A0509">
            <w:pPr>
              <w:spacing w:before="20" w:after="20" w:line="180" w:lineRule="atLeast"/>
              <w:jc w:val="center"/>
              <w:rPr>
                <w:rFonts w:ascii="Calibri" w:eastAsia="Times New Roman" w:hAnsi="Calibri" w:cs="Times New Roman"/>
                <w:caps/>
                <w:color w:val="495965"/>
                <w:sz w:val="38"/>
                <w:szCs w:val="26"/>
              </w:rPr>
            </w:pPr>
            <w:r>
              <w:rPr>
                <w:noProof/>
                <w:lang w:val="en-AU" w:eastAsia="en-AU"/>
              </w:rPr>
              <w:drawing>
                <wp:inline distT="0" distB="0" distL="0" distR="0" wp14:anchorId="79C09F67" wp14:editId="6DB03C49">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rsidR="00DF1B4C" w:rsidRPr="00192B28" w:rsidRDefault="00DF1B4C" w:rsidP="00DF1B4C">
      <w:pPr>
        <w:spacing w:before="0" w:after="0"/>
        <w:rPr>
          <w:rFonts w:ascii="Calibri Light" w:hAnsi="Calibri Light"/>
        </w:rPr>
      </w:pPr>
      <w:r>
        <w:rPr>
          <w:rFonts w:ascii="Calibri Light" w:hAnsi="Calibri Light"/>
        </w:rPr>
        <w:t>Progress against O</w:t>
      </w:r>
      <w:r w:rsidRPr="00192B28">
        <w:rPr>
          <w:rFonts w:ascii="Calibri Light" w:hAnsi="Calibri Light"/>
        </w:rPr>
        <w:t xml:space="preserve">bjective </w:t>
      </w:r>
      <w:r>
        <w:rPr>
          <w:rFonts w:ascii="Calibri Light" w:hAnsi="Calibri Light"/>
        </w:rPr>
        <w:t xml:space="preserve">1 </w:t>
      </w:r>
      <w:r w:rsidR="00D80A90">
        <w:rPr>
          <w:rFonts w:ascii="Calibri Light" w:hAnsi="Calibri Light"/>
        </w:rPr>
        <w:t>is</w:t>
      </w:r>
      <w:r w:rsidRPr="00192B28">
        <w:rPr>
          <w:rFonts w:ascii="Calibri Light" w:hAnsi="Calibri Light"/>
        </w:rPr>
        <w:t xml:space="preserve"> rated green. </w:t>
      </w:r>
      <w:r w:rsidR="00266649">
        <w:rPr>
          <w:rFonts w:ascii="Calibri Light" w:hAnsi="Calibri Light"/>
        </w:rPr>
        <w:t xml:space="preserve">Forty eight </w:t>
      </w:r>
      <w:r w:rsidRPr="00192B28">
        <w:rPr>
          <w:rFonts w:ascii="Calibri Light" w:hAnsi="Calibri Light"/>
        </w:rPr>
        <w:t>per cent of Australia’s bilateral investment targets this objective, focused on governance, infrastructure, skills and employment.</w:t>
      </w:r>
    </w:p>
    <w:p w:rsidR="00CE7941" w:rsidRPr="00192B28" w:rsidRDefault="00CE7941" w:rsidP="00DF1B4C">
      <w:pPr>
        <w:spacing w:before="0" w:after="0"/>
        <w:rPr>
          <w:rFonts w:ascii="Calibri Light" w:hAnsi="Calibri Light"/>
        </w:rPr>
      </w:pPr>
    </w:p>
    <w:p w:rsidR="00DF1B4C" w:rsidRPr="00192B28" w:rsidRDefault="00DF1B4C" w:rsidP="005A6778">
      <w:pPr>
        <w:spacing w:before="0" w:after="0" w:line="240" w:lineRule="auto"/>
        <w:rPr>
          <w:rFonts w:ascii="Calibri Light" w:hAnsi="Calibri Light"/>
          <w:b/>
        </w:rPr>
      </w:pPr>
      <w:r w:rsidRPr="00192B28">
        <w:rPr>
          <w:rFonts w:ascii="Calibri Light" w:hAnsi="Calibri Light"/>
          <w:b/>
        </w:rPr>
        <w:t>Governance</w:t>
      </w:r>
    </w:p>
    <w:p w:rsidR="005A6778" w:rsidRPr="006831F7" w:rsidRDefault="005A6778" w:rsidP="000A596E">
      <w:pPr>
        <w:spacing w:before="0" w:after="0" w:line="240" w:lineRule="auto"/>
        <w:rPr>
          <w:rFonts w:ascii="Calibri Light" w:hAnsi="Calibri Light"/>
        </w:rPr>
      </w:pPr>
      <w:r w:rsidRPr="006831F7">
        <w:rPr>
          <w:rFonts w:ascii="Calibri Light" w:hAnsi="Calibri Light"/>
        </w:rPr>
        <w:t xml:space="preserve">Australia and Vanuatu </w:t>
      </w:r>
      <w:r w:rsidR="00FE5F7F">
        <w:rPr>
          <w:rFonts w:ascii="Calibri Light" w:hAnsi="Calibri Light"/>
        </w:rPr>
        <w:t xml:space="preserve">are </w:t>
      </w:r>
      <w:r w:rsidRPr="006831F7">
        <w:rPr>
          <w:rFonts w:ascii="Calibri Light" w:hAnsi="Calibri Light"/>
        </w:rPr>
        <w:t>work</w:t>
      </w:r>
      <w:r w:rsidR="00FE5F7F">
        <w:rPr>
          <w:rFonts w:ascii="Calibri Light" w:hAnsi="Calibri Light"/>
        </w:rPr>
        <w:t>ing</w:t>
      </w:r>
      <w:r w:rsidRPr="006831F7">
        <w:rPr>
          <w:rFonts w:ascii="Calibri Light" w:hAnsi="Calibri Light"/>
        </w:rPr>
        <w:t xml:space="preserve"> together </w:t>
      </w:r>
      <w:r w:rsidR="00356AC5">
        <w:rPr>
          <w:rFonts w:ascii="Calibri Light" w:hAnsi="Calibri Light"/>
        </w:rPr>
        <w:t>on</w:t>
      </w:r>
      <w:r w:rsidRPr="006831F7">
        <w:rPr>
          <w:rFonts w:ascii="Calibri Light" w:hAnsi="Calibri Light"/>
        </w:rPr>
        <w:t xml:space="preserve"> key economic reforms for inclusive growth</w:t>
      </w:r>
      <w:r w:rsidR="00B178DB">
        <w:rPr>
          <w:rFonts w:ascii="Calibri Light" w:hAnsi="Calibri Light"/>
        </w:rPr>
        <w:t xml:space="preserve"> and alignment with international rules and standards</w:t>
      </w:r>
      <w:r w:rsidRPr="006831F7">
        <w:rPr>
          <w:rFonts w:ascii="Calibri Light" w:hAnsi="Calibri Light"/>
        </w:rPr>
        <w:t>. During 2017-18</w:t>
      </w:r>
      <w:r w:rsidR="003F2A3F">
        <w:rPr>
          <w:rFonts w:ascii="Calibri Light" w:hAnsi="Calibri Light"/>
        </w:rPr>
        <w:t xml:space="preserve">, </w:t>
      </w:r>
      <w:r w:rsidR="0064756B">
        <w:rPr>
          <w:rFonts w:ascii="Calibri Light" w:hAnsi="Calibri Light"/>
        </w:rPr>
        <w:t>the</w:t>
      </w:r>
      <w:r w:rsidR="003F2A3F">
        <w:rPr>
          <w:rFonts w:ascii="Calibri Light" w:hAnsi="Calibri Light"/>
        </w:rPr>
        <w:t xml:space="preserve"> Governance for Growth program (</w:t>
      </w:r>
      <w:r w:rsidRPr="006831F7">
        <w:rPr>
          <w:rFonts w:ascii="Calibri Light" w:hAnsi="Calibri Light"/>
        </w:rPr>
        <w:t>GfG</w:t>
      </w:r>
      <w:r w:rsidR="003F2A3F">
        <w:rPr>
          <w:rFonts w:ascii="Calibri Light" w:hAnsi="Calibri Light"/>
        </w:rPr>
        <w:t>)</w:t>
      </w:r>
      <w:r w:rsidR="00370C63">
        <w:rPr>
          <w:rFonts w:ascii="Calibri Light" w:hAnsi="Calibri Light"/>
        </w:rPr>
        <w:t xml:space="preserve"> </w:t>
      </w:r>
      <w:r w:rsidRPr="006831F7">
        <w:rPr>
          <w:rFonts w:ascii="Calibri Light" w:hAnsi="Calibri Light"/>
        </w:rPr>
        <w:t>supported GoV efforts to</w:t>
      </w:r>
      <w:r w:rsidR="005665CB">
        <w:rPr>
          <w:rFonts w:ascii="Calibri Light" w:hAnsi="Calibri Light"/>
        </w:rPr>
        <w:t>:</w:t>
      </w:r>
      <w:r w:rsidRPr="006831F7">
        <w:rPr>
          <w:rFonts w:ascii="Calibri Light" w:hAnsi="Calibri Light"/>
        </w:rPr>
        <w:t xml:space="preserve"> </w:t>
      </w:r>
      <w:r w:rsidR="00FE5F7F">
        <w:rPr>
          <w:rFonts w:ascii="Calibri Light" w:hAnsi="Calibri Light"/>
        </w:rPr>
        <w:t xml:space="preserve">avoid the </w:t>
      </w:r>
      <w:r w:rsidR="00FE5F7F" w:rsidRPr="006831F7">
        <w:rPr>
          <w:rFonts w:ascii="Calibri Light" w:hAnsi="Calibri Light" w:cs="Calibri"/>
        </w:rPr>
        <w:t>blacklist</w:t>
      </w:r>
      <w:r w:rsidR="00FE5F7F">
        <w:rPr>
          <w:rFonts w:ascii="Calibri Light" w:hAnsi="Calibri Light" w:cs="Calibri"/>
        </w:rPr>
        <w:t>ing</w:t>
      </w:r>
      <w:r w:rsidR="00FE5F7F" w:rsidRPr="006831F7">
        <w:rPr>
          <w:rFonts w:ascii="Calibri Light" w:hAnsi="Calibri Light" w:cs="Calibri"/>
        </w:rPr>
        <w:t xml:space="preserve"> </w:t>
      </w:r>
      <w:r w:rsidR="00FE5F7F">
        <w:rPr>
          <w:rFonts w:ascii="Calibri Light" w:hAnsi="Calibri Light" w:cs="Calibri"/>
        </w:rPr>
        <w:t xml:space="preserve">of Vanuatu </w:t>
      </w:r>
      <w:r w:rsidR="00FE5F7F" w:rsidRPr="006831F7">
        <w:rPr>
          <w:rFonts w:ascii="Calibri Light" w:hAnsi="Calibri Light" w:cs="Calibri"/>
        </w:rPr>
        <w:t xml:space="preserve">by </w:t>
      </w:r>
      <w:r w:rsidR="00FE5F7F" w:rsidRPr="005D20F9">
        <w:rPr>
          <w:rFonts w:ascii="Calibri Light" w:hAnsi="Calibri Light" w:cs="Calibri"/>
        </w:rPr>
        <w:t>the Financial Action Task Force (FATF)</w:t>
      </w:r>
      <w:r w:rsidR="0099032A" w:rsidRPr="005D20F9">
        <w:rPr>
          <w:rStyle w:val="FootnoteReference"/>
          <w:rFonts w:ascii="Calibri Light" w:hAnsi="Calibri Light" w:cs="Calibri"/>
        </w:rPr>
        <w:footnoteReference w:id="13"/>
      </w:r>
      <w:r w:rsidR="00FE5F7F">
        <w:rPr>
          <w:rFonts w:ascii="Calibri Light" w:hAnsi="Calibri Light" w:cs="Calibri"/>
        </w:rPr>
        <w:t xml:space="preserve"> </w:t>
      </w:r>
      <w:r w:rsidR="00FE5F7F" w:rsidRPr="006831F7">
        <w:rPr>
          <w:rFonts w:ascii="Calibri Light" w:hAnsi="Calibri Light"/>
        </w:rPr>
        <w:t xml:space="preserve">for shortcomings in its international financing </w:t>
      </w:r>
      <w:r w:rsidR="00FE5F7F">
        <w:rPr>
          <w:rFonts w:ascii="Calibri Light" w:hAnsi="Calibri Light"/>
        </w:rPr>
        <w:t>controls;</w:t>
      </w:r>
      <w:r w:rsidR="00FE5F7F" w:rsidRPr="006831F7">
        <w:rPr>
          <w:rFonts w:ascii="Calibri Light" w:hAnsi="Calibri Light"/>
        </w:rPr>
        <w:t xml:space="preserve"> </w:t>
      </w:r>
      <w:r w:rsidRPr="006831F7">
        <w:rPr>
          <w:rFonts w:ascii="Calibri Light" w:hAnsi="Calibri Light"/>
        </w:rPr>
        <w:t>strengthen revenue collection systems</w:t>
      </w:r>
      <w:r w:rsidR="005665CB">
        <w:rPr>
          <w:rFonts w:ascii="Calibri Light" w:hAnsi="Calibri Light"/>
        </w:rPr>
        <w:t>;</w:t>
      </w:r>
      <w:r w:rsidRPr="006831F7">
        <w:rPr>
          <w:rFonts w:ascii="Calibri Light" w:hAnsi="Calibri Light"/>
        </w:rPr>
        <w:t xml:space="preserve"> modernise </w:t>
      </w:r>
      <w:r w:rsidR="00072E87">
        <w:rPr>
          <w:rFonts w:ascii="Calibri Light" w:hAnsi="Calibri Light"/>
        </w:rPr>
        <w:t>c</w:t>
      </w:r>
      <w:r w:rsidRPr="006831F7">
        <w:rPr>
          <w:rFonts w:ascii="Calibri Light" w:hAnsi="Calibri Light"/>
        </w:rPr>
        <w:t xml:space="preserve">ustoms to align with international </w:t>
      </w:r>
      <w:r w:rsidR="00B178DB">
        <w:rPr>
          <w:rFonts w:ascii="Calibri Light" w:hAnsi="Calibri Light"/>
        </w:rPr>
        <w:t>conventions</w:t>
      </w:r>
      <w:r w:rsidR="005665CB">
        <w:rPr>
          <w:rFonts w:ascii="Calibri Light" w:hAnsi="Calibri Light"/>
        </w:rPr>
        <w:t>;</w:t>
      </w:r>
      <w:r w:rsidRPr="006831F7">
        <w:rPr>
          <w:rFonts w:ascii="Calibri Light" w:hAnsi="Calibri Light"/>
        </w:rPr>
        <w:t xml:space="preserve"> </w:t>
      </w:r>
      <w:r w:rsidR="00FE5F7F">
        <w:rPr>
          <w:rFonts w:ascii="Calibri Light" w:hAnsi="Calibri Light"/>
        </w:rPr>
        <w:t xml:space="preserve">and </w:t>
      </w:r>
      <w:r w:rsidRPr="006831F7">
        <w:rPr>
          <w:rFonts w:ascii="Calibri Light" w:hAnsi="Calibri Light"/>
        </w:rPr>
        <w:t>modernise trade and industry policy</w:t>
      </w:r>
      <w:r w:rsidR="00FE5F7F">
        <w:rPr>
          <w:rFonts w:ascii="Calibri Light" w:hAnsi="Calibri Light"/>
        </w:rPr>
        <w:t>.</w:t>
      </w:r>
      <w:r w:rsidR="00857C77">
        <w:rPr>
          <w:rFonts w:ascii="Calibri Light" w:hAnsi="Calibri Light"/>
        </w:rPr>
        <w:t xml:space="preserve"> </w:t>
      </w:r>
    </w:p>
    <w:p w:rsidR="005A6778" w:rsidRDefault="005A6778" w:rsidP="000A596E">
      <w:pPr>
        <w:spacing w:before="0" w:after="0" w:line="240" w:lineRule="auto"/>
        <w:rPr>
          <w:rFonts w:ascii="Calibri Light" w:hAnsi="Calibri Light" w:cs="Calibri"/>
        </w:rPr>
      </w:pPr>
    </w:p>
    <w:p w:rsidR="005A6778" w:rsidRPr="006831F7" w:rsidRDefault="005A6778" w:rsidP="000A596E">
      <w:pPr>
        <w:spacing w:before="0" w:after="0" w:line="240" w:lineRule="auto"/>
        <w:rPr>
          <w:rFonts w:ascii="Calibri Light" w:hAnsi="Calibri Light"/>
        </w:rPr>
      </w:pPr>
      <w:r w:rsidRPr="006831F7">
        <w:rPr>
          <w:rFonts w:ascii="Calibri Light" w:hAnsi="Calibri Light" w:cs="Calibri"/>
        </w:rPr>
        <w:t xml:space="preserve">Australia </w:t>
      </w:r>
      <w:r w:rsidR="00B178DB">
        <w:rPr>
          <w:rFonts w:ascii="Calibri Light" w:hAnsi="Calibri Light" w:cs="Calibri"/>
        </w:rPr>
        <w:t>helped</w:t>
      </w:r>
      <w:r w:rsidRPr="006831F7">
        <w:rPr>
          <w:rFonts w:ascii="Calibri Light" w:hAnsi="Calibri Light" w:cs="Calibri"/>
        </w:rPr>
        <w:t xml:space="preserve"> Vanuatu</w:t>
      </w:r>
      <w:r w:rsidR="00B178DB">
        <w:rPr>
          <w:rFonts w:ascii="Calibri Light" w:hAnsi="Calibri Light" w:cs="Calibri"/>
        </w:rPr>
        <w:t xml:space="preserve"> avoid</w:t>
      </w:r>
      <w:r w:rsidRPr="006831F7">
        <w:rPr>
          <w:rFonts w:ascii="Calibri Light" w:hAnsi="Calibri Light" w:cs="Calibri"/>
        </w:rPr>
        <w:t xml:space="preserve"> blacklist</w:t>
      </w:r>
      <w:r w:rsidR="00B178DB">
        <w:rPr>
          <w:rFonts w:ascii="Calibri Light" w:hAnsi="Calibri Light" w:cs="Calibri"/>
        </w:rPr>
        <w:t>ing</w:t>
      </w:r>
      <w:r w:rsidRPr="006831F7">
        <w:rPr>
          <w:rFonts w:ascii="Calibri Light" w:hAnsi="Calibri Light" w:cs="Calibri"/>
        </w:rPr>
        <w:t xml:space="preserve"> by the FATF</w:t>
      </w:r>
      <w:r w:rsidR="004A2CD9">
        <w:rPr>
          <w:rFonts w:ascii="Calibri Light" w:hAnsi="Calibri Light" w:cs="Calibri"/>
        </w:rPr>
        <w:t xml:space="preserve"> through sustained advocacy and program support</w:t>
      </w:r>
      <w:r w:rsidRPr="006831F7">
        <w:rPr>
          <w:rFonts w:ascii="Calibri Light" w:hAnsi="Calibri Light" w:cs="Calibri"/>
        </w:rPr>
        <w:t>. G</w:t>
      </w:r>
      <w:r w:rsidRPr="006831F7">
        <w:rPr>
          <w:rFonts w:ascii="Calibri Light" w:hAnsi="Calibri Light"/>
        </w:rPr>
        <w:t>iven Vanuatu’s reliance on international trade, tourism and remittances, b</w:t>
      </w:r>
      <w:r w:rsidRPr="006831F7">
        <w:rPr>
          <w:rFonts w:ascii="Calibri Light" w:hAnsi="Calibri Light" w:cs="Calibri"/>
        </w:rPr>
        <w:t xml:space="preserve">lacklisting would have had a devastating </w:t>
      </w:r>
      <w:r w:rsidR="00857C77">
        <w:rPr>
          <w:rFonts w:ascii="Calibri Light" w:hAnsi="Calibri Light" w:cs="Calibri"/>
        </w:rPr>
        <w:t xml:space="preserve">economic </w:t>
      </w:r>
      <w:r w:rsidRPr="006831F7">
        <w:rPr>
          <w:rFonts w:ascii="Calibri Light" w:hAnsi="Calibri Light" w:cs="Calibri"/>
        </w:rPr>
        <w:t>impact</w:t>
      </w:r>
      <w:r w:rsidR="00857C77">
        <w:rPr>
          <w:rFonts w:ascii="Calibri Light" w:hAnsi="Calibri Light" w:cs="Calibri"/>
        </w:rPr>
        <w:t>.</w:t>
      </w:r>
      <w:r w:rsidRPr="006831F7">
        <w:rPr>
          <w:rFonts w:ascii="Calibri Light" w:hAnsi="Calibri Light" w:cs="Calibri"/>
        </w:rPr>
        <w:t xml:space="preserve"> Officials from </w:t>
      </w:r>
      <w:r w:rsidR="00716BA8">
        <w:rPr>
          <w:rFonts w:ascii="Calibri Light" w:hAnsi="Calibri Light" w:cs="Calibri"/>
        </w:rPr>
        <w:t>the Australian</w:t>
      </w:r>
      <w:r w:rsidRPr="006831F7">
        <w:rPr>
          <w:rFonts w:ascii="Calibri Light" w:hAnsi="Calibri Light" w:cs="Calibri"/>
        </w:rPr>
        <w:t xml:space="preserve"> Department of Home Affairs</w:t>
      </w:r>
      <w:r w:rsidR="005665CB">
        <w:rPr>
          <w:rFonts w:ascii="Calibri Light" w:hAnsi="Calibri Light" w:cs="Calibri"/>
        </w:rPr>
        <w:t>,</w:t>
      </w:r>
      <w:r w:rsidRPr="006831F7">
        <w:rPr>
          <w:rFonts w:ascii="Calibri Light" w:hAnsi="Calibri Light" w:cs="Calibri"/>
        </w:rPr>
        <w:t xml:space="preserve"> along with advis</w:t>
      </w:r>
      <w:r w:rsidR="004A2CD9">
        <w:rPr>
          <w:rFonts w:ascii="Calibri Light" w:hAnsi="Calibri Light" w:cs="Calibri"/>
        </w:rPr>
        <w:t>e</w:t>
      </w:r>
      <w:r w:rsidRPr="006831F7">
        <w:rPr>
          <w:rFonts w:ascii="Calibri Light" w:hAnsi="Calibri Light" w:cs="Calibri"/>
        </w:rPr>
        <w:t>rs</w:t>
      </w:r>
      <w:r w:rsidR="005665CB">
        <w:rPr>
          <w:rFonts w:ascii="Calibri Light" w:hAnsi="Calibri Light" w:cs="Calibri"/>
        </w:rPr>
        <w:t>,</w:t>
      </w:r>
      <w:r w:rsidRPr="006831F7">
        <w:rPr>
          <w:rFonts w:ascii="Calibri Light" w:hAnsi="Calibri Light" w:cs="Calibri"/>
        </w:rPr>
        <w:t xml:space="preserve"> </w:t>
      </w:r>
      <w:r w:rsidR="00716BA8">
        <w:rPr>
          <w:rFonts w:ascii="Calibri Light" w:hAnsi="Calibri Light" w:cs="Calibri"/>
        </w:rPr>
        <w:lastRenderedPageBreak/>
        <w:t xml:space="preserve">worked with the </w:t>
      </w:r>
      <w:r w:rsidR="0060724D">
        <w:rPr>
          <w:rFonts w:ascii="Calibri Light" w:hAnsi="Calibri Light" w:cs="Calibri"/>
        </w:rPr>
        <w:t>Go</w:t>
      </w:r>
      <w:r w:rsidR="00716BA8">
        <w:rPr>
          <w:rFonts w:ascii="Calibri Light" w:hAnsi="Calibri Light" w:cs="Calibri"/>
        </w:rPr>
        <w:t>V</w:t>
      </w:r>
      <w:r w:rsidRPr="006831F7">
        <w:rPr>
          <w:rFonts w:ascii="Calibri Light" w:hAnsi="Calibri Light" w:cs="Calibri"/>
        </w:rPr>
        <w:t xml:space="preserve"> </w:t>
      </w:r>
      <w:r w:rsidRPr="006831F7">
        <w:rPr>
          <w:rFonts w:ascii="Calibri Light" w:hAnsi="Calibri Light"/>
        </w:rPr>
        <w:t>Prime Minister’s Office (PMO), the State Law Office and the Ministry of Finance and Economic Management to identify gaps in current regulations, develop a FATF Action Plan</w:t>
      </w:r>
      <w:r w:rsidR="005665CB">
        <w:rPr>
          <w:rFonts w:ascii="Calibri Light" w:hAnsi="Calibri Light"/>
        </w:rPr>
        <w:t>,</w:t>
      </w:r>
      <w:r w:rsidRPr="006831F7">
        <w:rPr>
          <w:rFonts w:ascii="Calibri Light" w:hAnsi="Calibri Light"/>
        </w:rPr>
        <w:t xml:space="preserve"> and successfully amend</w:t>
      </w:r>
      <w:r w:rsidR="00A23C1E">
        <w:rPr>
          <w:rFonts w:ascii="Calibri Light" w:hAnsi="Calibri Light"/>
        </w:rPr>
        <w:t>ed</w:t>
      </w:r>
      <w:r w:rsidRPr="006831F7">
        <w:rPr>
          <w:rFonts w:ascii="Calibri Light" w:hAnsi="Calibri Light"/>
        </w:rPr>
        <w:t xml:space="preserve"> or draft</w:t>
      </w:r>
      <w:r w:rsidR="00A23C1E">
        <w:rPr>
          <w:rFonts w:ascii="Calibri Light" w:hAnsi="Calibri Light"/>
        </w:rPr>
        <w:t>ed</w:t>
      </w:r>
      <w:r w:rsidRPr="006831F7">
        <w:rPr>
          <w:rFonts w:ascii="Calibri Light" w:hAnsi="Calibri Light"/>
        </w:rPr>
        <w:t xml:space="preserve"> 30 pieces of legislation. Following a FATF </w:t>
      </w:r>
      <w:r w:rsidR="00994DE4">
        <w:rPr>
          <w:rFonts w:ascii="Calibri Light" w:hAnsi="Calibri Light"/>
        </w:rPr>
        <w:t xml:space="preserve">assessment </w:t>
      </w:r>
      <w:r w:rsidRPr="006831F7">
        <w:rPr>
          <w:rFonts w:ascii="Calibri Light" w:hAnsi="Calibri Light"/>
        </w:rPr>
        <w:t xml:space="preserve">in May 2018, Vanuatu was placed on the </w:t>
      </w:r>
      <w:r w:rsidR="00997ED7">
        <w:rPr>
          <w:rFonts w:ascii="Calibri Light" w:hAnsi="Calibri Light"/>
        </w:rPr>
        <w:t xml:space="preserve">FATF </w:t>
      </w:r>
      <w:r w:rsidRPr="006831F7">
        <w:rPr>
          <w:rFonts w:ascii="Calibri Light" w:hAnsi="Calibri Light"/>
        </w:rPr>
        <w:t>white list</w:t>
      </w:r>
      <w:r w:rsidR="009D32CC">
        <w:rPr>
          <w:rFonts w:ascii="Calibri Light" w:hAnsi="Calibri Light"/>
        </w:rPr>
        <w:t>, a key performance target</w:t>
      </w:r>
      <w:r w:rsidRPr="006831F7">
        <w:rPr>
          <w:rFonts w:ascii="Calibri Light" w:hAnsi="Calibri Light"/>
        </w:rPr>
        <w:t xml:space="preserve">. </w:t>
      </w:r>
      <w:r w:rsidR="00857C77">
        <w:rPr>
          <w:rFonts w:ascii="Calibri Light" w:hAnsi="Calibri Light"/>
        </w:rPr>
        <w:t xml:space="preserve"> Australia also supported efforts by the GoV to enter into a number of international tax and trade treaties</w:t>
      </w:r>
      <w:r w:rsidR="00857C77">
        <w:rPr>
          <w:rStyle w:val="FootnoteReference"/>
          <w:rFonts w:ascii="Calibri Light" w:hAnsi="Calibri Light"/>
        </w:rPr>
        <w:footnoteReference w:id="14"/>
      </w:r>
      <w:r w:rsidR="00857C77">
        <w:rPr>
          <w:rFonts w:ascii="Calibri Light" w:hAnsi="Calibri Light"/>
        </w:rPr>
        <w:t>.</w:t>
      </w:r>
    </w:p>
    <w:p w:rsidR="00075E9F" w:rsidRDefault="00075E9F" w:rsidP="005D20F9">
      <w:pPr>
        <w:spacing w:before="0" w:after="0" w:line="240" w:lineRule="auto"/>
        <w:rPr>
          <w:rFonts w:ascii="Calibri Light" w:hAnsi="Calibri Light"/>
        </w:rPr>
      </w:pPr>
    </w:p>
    <w:p w:rsidR="005A6778" w:rsidRPr="006831F7" w:rsidRDefault="005A6778" w:rsidP="005D20F9">
      <w:pPr>
        <w:spacing w:before="0" w:after="0" w:line="240" w:lineRule="auto"/>
        <w:rPr>
          <w:rFonts w:ascii="Calibri Light" w:hAnsi="Calibri Light"/>
        </w:rPr>
      </w:pPr>
      <w:r w:rsidRPr="006831F7">
        <w:rPr>
          <w:rFonts w:ascii="Calibri Light" w:hAnsi="Calibri Light"/>
        </w:rPr>
        <w:t xml:space="preserve">Australia supported Vanuatu to finalise a </w:t>
      </w:r>
      <w:r w:rsidR="00716BA8">
        <w:rPr>
          <w:rFonts w:ascii="Calibri Light" w:hAnsi="Calibri Light"/>
        </w:rPr>
        <w:t>r</w:t>
      </w:r>
      <w:r w:rsidRPr="006831F7">
        <w:rPr>
          <w:rFonts w:ascii="Calibri Light" w:hAnsi="Calibri Light"/>
        </w:rPr>
        <w:t xml:space="preserve">evenue </w:t>
      </w:r>
      <w:r w:rsidR="00716BA8">
        <w:rPr>
          <w:rFonts w:ascii="Calibri Light" w:hAnsi="Calibri Light"/>
        </w:rPr>
        <w:t>r</w:t>
      </w:r>
      <w:r w:rsidRPr="006831F7">
        <w:rPr>
          <w:rFonts w:ascii="Calibri Light" w:hAnsi="Calibri Light"/>
        </w:rPr>
        <w:t xml:space="preserve">eview - a </w:t>
      </w:r>
      <w:r w:rsidR="008411DE">
        <w:rPr>
          <w:rFonts w:ascii="Calibri Light" w:hAnsi="Calibri Light"/>
        </w:rPr>
        <w:t>core</w:t>
      </w:r>
      <w:r w:rsidRPr="006831F7">
        <w:rPr>
          <w:rFonts w:ascii="Calibri Light" w:hAnsi="Calibri Light"/>
        </w:rPr>
        <w:t xml:space="preserve"> policy document responding to one of Vanuatu’s highest priority reform areas as well as IMF concerns re</w:t>
      </w:r>
      <w:r w:rsidR="00FE5F7F">
        <w:rPr>
          <w:rFonts w:ascii="Calibri Light" w:hAnsi="Calibri Light"/>
        </w:rPr>
        <w:t>garding</w:t>
      </w:r>
      <w:r w:rsidRPr="006831F7">
        <w:rPr>
          <w:rFonts w:ascii="Calibri Light" w:hAnsi="Calibri Light"/>
        </w:rPr>
        <w:t xml:space="preserve"> the need to increase revenue to better service growing public debt</w:t>
      </w:r>
      <w:r w:rsidRPr="006831F7">
        <w:rPr>
          <w:rStyle w:val="FootnoteReference"/>
          <w:rFonts w:ascii="Calibri Light" w:hAnsi="Calibri Light"/>
        </w:rPr>
        <w:footnoteReference w:id="15"/>
      </w:r>
      <w:r w:rsidRPr="006831F7">
        <w:rPr>
          <w:rFonts w:ascii="Calibri Light" w:hAnsi="Calibri Light"/>
        </w:rPr>
        <w:t xml:space="preserve">. The </w:t>
      </w:r>
      <w:r w:rsidR="00716BA8">
        <w:rPr>
          <w:rFonts w:ascii="Calibri Light" w:hAnsi="Calibri Light"/>
        </w:rPr>
        <w:t>r</w:t>
      </w:r>
      <w:r w:rsidRPr="006831F7">
        <w:rPr>
          <w:rFonts w:ascii="Calibri Light" w:hAnsi="Calibri Light"/>
        </w:rPr>
        <w:t xml:space="preserve">eview </w:t>
      </w:r>
      <w:r w:rsidR="00663C41">
        <w:rPr>
          <w:rFonts w:ascii="Calibri Light" w:hAnsi="Calibri Light"/>
        </w:rPr>
        <w:t>provide</w:t>
      </w:r>
      <w:r w:rsidR="00A23C1E">
        <w:rPr>
          <w:rFonts w:ascii="Calibri Light" w:hAnsi="Calibri Light"/>
        </w:rPr>
        <w:t>d</w:t>
      </w:r>
      <w:r w:rsidR="00663C41">
        <w:rPr>
          <w:rFonts w:ascii="Calibri Light" w:hAnsi="Calibri Light"/>
        </w:rPr>
        <w:t xml:space="preserve"> an evidence base and recommendations to guide ongoing </w:t>
      </w:r>
      <w:r w:rsidR="00093ED9">
        <w:rPr>
          <w:rFonts w:ascii="Calibri Light" w:hAnsi="Calibri Light"/>
        </w:rPr>
        <w:t xml:space="preserve">GoV </w:t>
      </w:r>
      <w:r w:rsidR="00663C41">
        <w:rPr>
          <w:rFonts w:ascii="Calibri Light" w:hAnsi="Calibri Light"/>
        </w:rPr>
        <w:t>reforms</w:t>
      </w:r>
      <w:r w:rsidRPr="006831F7">
        <w:rPr>
          <w:rFonts w:ascii="Calibri Light" w:hAnsi="Calibri Light"/>
        </w:rPr>
        <w:t xml:space="preserve">. </w:t>
      </w:r>
      <w:r w:rsidR="00FE5F7F">
        <w:rPr>
          <w:rFonts w:ascii="Calibri Light" w:hAnsi="Calibri Light"/>
        </w:rPr>
        <w:t>The</w:t>
      </w:r>
      <w:r w:rsidRPr="006831F7">
        <w:rPr>
          <w:rFonts w:ascii="Calibri Light" w:hAnsi="Calibri Light"/>
        </w:rPr>
        <w:t xml:space="preserve"> impact of this support </w:t>
      </w:r>
      <w:r w:rsidR="00FE5F7F">
        <w:rPr>
          <w:rFonts w:ascii="Calibri Light" w:hAnsi="Calibri Light"/>
        </w:rPr>
        <w:t>is demonstrated by</w:t>
      </w:r>
      <w:r w:rsidRPr="006831F7">
        <w:rPr>
          <w:rFonts w:ascii="Calibri Light" w:hAnsi="Calibri Light"/>
        </w:rPr>
        <w:t xml:space="preserve"> Vanuatu’s Half-Year Economic and Fiscal U</w:t>
      </w:r>
      <w:r w:rsidR="00A23C1E">
        <w:rPr>
          <w:rFonts w:ascii="Calibri Light" w:hAnsi="Calibri Light"/>
        </w:rPr>
        <w:t>pdate (July 2018), which reported</w:t>
      </w:r>
      <w:r w:rsidRPr="006831F7">
        <w:rPr>
          <w:rFonts w:ascii="Calibri Light" w:hAnsi="Calibri Light"/>
        </w:rPr>
        <w:t xml:space="preserve"> total public revenue of VU</w:t>
      </w:r>
      <w:r w:rsidR="00552CF1">
        <w:rPr>
          <w:rFonts w:ascii="Calibri Light" w:hAnsi="Calibri Light"/>
        </w:rPr>
        <w:t>V</w:t>
      </w:r>
      <w:r w:rsidRPr="006831F7">
        <w:rPr>
          <w:rFonts w:ascii="Calibri Light" w:hAnsi="Calibri Light"/>
        </w:rPr>
        <w:t xml:space="preserve">14.6 billion </w:t>
      </w:r>
      <w:r w:rsidR="00AD38ED">
        <w:rPr>
          <w:rFonts w:ascii="Calibri Light" w:hAnsi="Calibri Light"/>
        </w:rPr>
        <w:t xml:space="preserve">(approx. </w:t>
      </w:r>
      <w:r w:rsidR="00003D08">
        <w:rPr>
          <w:rFonts w:ascii="Calibri Light" w:hAnsi="Calibri Light"/>
        </w:rPr>
        <w:t>$</w:t>
      </w:r>
      <w:r w:rsidR="00093ED9">
        <w:rPr>
          <w:rFonts w:ascii="Calibri Light" w:hAnsi="Calibri Light"/>
        </w:rPr>
        <w:t>180 m</w:t>
      </w:r>
      <w:r w:rsidR="00AD38ED">
        <w:rPr>
          <w:rFonts w:ascii="Calibri Light" w:hAnsi="Calibri Light"/>
        </w:rPr>
        <w:t xml:space="preserve">illion) </w:t>
      </w:r>
      <w:r w:rsidRPr="006831F7">
        <w:rPr>
          <w:rFonts w:ascii="Calibri Light" w:hAnsi="Calibri Light"/>
        </w:rPr>
        <w:t>for January- June 2018</w:t>
      </w:r>
      <w:r w:rsidR="00356AC5">
        <w:rPr>
          <w:rFonts w:ascii="Calibri Light" w:hAnsi="Calibri Light"/>
        </w:rPr>
        <w:t>, up</w:t>
      </w:r>
      <w:r w:rsidRPr="006831F7">
        <w:rPr>
          <w:rFonts w:ascii="Calibri Light" w:hAnsi="Calibri Light"/>
        </w:rPr>
        <w:t xml:space="preserve"> 5.7 per cent </w:t>
      </w:r>
      <w:r w:rsidR="00356AC5">
        <w:rPr>
          <w:rFonts w:ascii="Calibri Light" w:hAnsi="Calibri Light"/>
        </w:rPr>
        <w:t>from</w:t>
      </w:r>
      <w:r w:rsidRPr="006831F7">
        <w:rPr>
          <w:rFonts w:ascii="Calibri Light" w:hAnsi="Calibri Light"/>
        </w:rPr>
        <w:t xml:space="preserve"> the same period last year</w:t>
      </w:r>
      <w:r w:rsidRPr="006831F7">
        <w:rPr>
          <w:rStyle w:val="FootnoteReference"/>
          <w:rFonts w:ascii="Calibri Light" w:hAnsi="Calibri Light"/>
        </w:rPr>
        <w:footnoteReference w:id="16"/>
      </w:r>
      <w:r w:rsidRPr="006831F7">
        <w:rPr>
          <w:rFonts w:ascii="Calibri Light" w:hAnsi="Calibri Light"/>
        </w:rPr>
        <w:t xml:space="preserve">.  Ongoing Australian support to modernise the Department of Customs and Inland Revenue to reduce time for clearance and align with international rules, saw Value Add Tax (VAT) receipts increase by </w:t>
      </w:r>
      <w:r w:rsidR="00A961EC">
        <w:rPr>
          <w:rFonts w:ascii="Calibri Light" w:hAnsi="Calibri Light"/>
        </w:rPr>
        <w:t>seven</w:t>
      </w:r>
      <w:r w:rsidRPr="006831F7">
        <w:rPr>
          <w:rFonts w:ascii="Calibri Light" w:hAnsi="Calibri Light"/>
        </w:rPr>
        <w:t xml:space="preserve"> per cent in 2017, exceeding </w:t>
      </w:r>
      <w:r w:rsidR="00093ED9">
        <w:rPr>
          <w:rFonts w:ascii="Calibri Light" w:hAnsi="Calibri Light"/>
        </w:rPr>
        <w:t>GoV’</w:t>
      </w:r>
      <w:r w:rsidRPr="006831F7">
        <w:rPr>
          <w:rFonts w:ascii="Calibri Light" w:hAnsi="Calibri Light"/>
        </w:rPr>
        <w:t>s own revenue targets.</w:t>
      </w:r>
      <w:r w:rsidRPr="006831F7">
        <w:rPr>
          <w:rStyle w:val="FootnoteReference"/>
          <w:rFonts w:ascii="Calibri Light" w:hAnsi="Calibri Light"/>
        </w:rPr>
        <w:footnoteReference w:id="17"/>
      </w:r>
      <w:r w:rsidRPr="006831F7">
        <w:rPr>
          <w:rFonts w:ascii="Calibri Light" w:hAnsi="Calibri Light"/>
        </w:rPr>
        <w:t xml:space="preserve"> The GoV led and co-finance</w:t>
      </w:r>
      <w:r w:rsidR="002D34C9">
        <w:rPr>
          <w:rFonts w:ascii="Calibri Light" w:hAnsi="Calibri Light"/>
        </w:rPr>
        <w:t>d</w:t>
      </w:r>
      <w:r w:rsidRPr="006831F7">
        <w:rPr>
          <w:rFonts w:ascii="Calibri Light" w:hAnsi="Calibri Light"/>
        </w:rPr>
        <w:t xml:space="preserve"> most of these reform activities. For example, the Revenue Management System RMS-7 Phase 3 Upgrade </w:t>
      </w:r>
      <w:r w:rsidR="002D34C9">
        <w:rPr>
          <w:rFonts w:ascii="Calibri Light" w:hAnsi="Calibri Light"/>
        </w:rPr>
        <w:t>wa</w:t>
      </w:r>
      <w:r w:rsidRPr="006831F7">
        <w:rPr>
          <w:rFonts w:ascii="Calibri Light" w:hAnsi="Calibri Light"/>
        </w:rPr>
        <w:t>s co-financed 56 per cent by Vanuatu and 44 per cent by Australia.</w:t>
      </w:r>
    </w:p>
    <w:p w:rsidR="00FE5F7F" w:rsidRPr="005D20F9" w:rsidRDefault="00716BA8" w:rsidP="00663C41">
      <w:pPr>
        <w:spacing w:after="0" w:line="240" w:lineRule="auto"/>
        <w:rPr>
          <w:rFonts w:ascii="Calibri Light" w:hAnsi="Calibri Light"/>
        </w:rPr>
      </w:pPr>
      <w:r>
        <w:rPr>
          <w:rFonts w:ascii="Calibri Light" w:hAnsi="Calibri Light" w:cs="Calibri"/>
        </w:rPr>
        <w:t>Australia</w:t>
      </w:r>
      <w:r w:rsidR="005A6778" w:rsidRPr="006831F7">
        <w:rPr>
          <w:rFonts w:ascii="Calibri Light" w:hAnsi="Calibri Light" w:cs="Calibri"/>
        </w:rPr>
        <w:t xml:space="preserve"> continue</w:t>
      </w:r>
      <w:r w:rsidR="00A4454B">
        <w:rPr>
          <w:rFonts w:ascii="Calibri Light" w:hAnsi="Calibri Light" w:cs="Calibri"/>
        </w:rPr>
        <w:t>d</w:t>
      </w:r>
      <w:r w:rsidR="005A6778" w:rsidRPr="006831F7">
        <w:rPr>
          <w:rFonts w:ascii="Calibri Light" w:hAnsi="Calibri Light" w:cs="Calibri"/>
        </w:rPr>
        <w:t xml:space="preserve"> to </w:t>
      </w:r>
      <w:r w:rsidR="0037261C">
        <w:rPr>
          <w:rFonts w:ascii="Calibri Light" w:hAnsi="Calibri Light" w:cs="Calibri"/>
        </w:rPr>
        <w:t>support</w:t>
      </w:r>
      <w:r w:rsidR="005A6778" w:rsidRPr="006831F7">
        <w:rPr>
          <w:rFonts w:ascii="Calibri Light" w:hAnsi="Calibri Light" w:cs="Calibri"/>
        </w:rPr>
        <w:t xml:space="preserve"> </w:t>
      </w:r>
      <w:r w:rsidR="005665CB" w:rsidRPr="00874DB4">
        <w:rPr>
          <w:rFonts w:ascii="Calibri Light" w:hAnsi="Calibri Light" w:cs="Calibri"/>
        </w:rPr>
        <w:t>Vanuatu’s</w:t>
      </w:r>
      <w:r w:rsidR="005A6778" w:rsidRPr="005A4264">
        <w:rPr>
          <w:rFonts w:ascii="Calibri Light" w:hAnsi="Calibri Light" w:cs="Calibri"/>
        </w:rPr>
        <w:t xml:space="preserve"> Trade Development Division</w:t>
      </w:r>
      <w:r w:rsidR="00075E9F" w:rsidRPr="005A4264">
        <w:rPr>
          <w:rFonts w:ascii="Calibri Light" w:hAnsi="Calibri Light" w:cs="Calibri"/>
        </w:rPr>
        <w:t xml:space="preserve"> </w:t>
      </w:r>
      <w:r w:rsidR="0037261C" w:rsidRPr="005A4264">
        <w:rPr>
          <w:rFonts w:ascii="Calibri Light" w:hAnsi="Calibri Light" w:cs="Calibri"/>
        </w:rPr>
        <w:t>in</w:t>
      </w:r>
      <w:r w:rsidR="005A6778" w:rsidRPr="005A4264">
        <w:rPr>
          <w:rFonts w:ascii="Calibri Light" w:hAnsi="Calibri Light" w:cs="Calibri"/>
        </w:rPr>
        <w:t xml:space="preserve"> modernis</w:t>
      </w:r>
      <w:r w:rsidR="0037261C" w:rsidRPr="005A4264">
        <w:rPr>
          <w:rFonts w:ascii="Calibri Light" w:hAnsi="Calibri Light" w:cs="Calibri"/>
        </w:rPr>
        <w:t>ing</w:t>
      </w:r>
      <w:r w:rsidR="005A6778" w:rsidRPr="005A4264">
        <w:rPr>
          <w:rFonts w:ascii="Calibri Light" w:hAnsi="Calibri Light" w:cs="Calibri"/>
        </w:rPr>
        <w:t xml:space="preserve"> trade and industry policy and performance</w:t>
      </w:r>
      <w:r w:rsidR="005A4264" w:rsidRPr="005A4264">
        <w:rPr>
          <w:rFonts w:ascii="Calibri Light" w:hAnsi="Calibri Light" w:cs="Calibri"/>
        </w:rPr>
        <w:t xml:space="preserve">. </w:t>
      </w:r>
      <w:r w:rsidR="00CC00C4">
        <w:rPr>
          <w:rFonts w:ascii="Calibri Light" w:hAnsi="Calibri Light" w:cs="Calibri"/>
        </w:rPr>
        <w:t>W</w:t>
      </w:r>
      <w:r w:rsidR="005A4264" w:rsidRPr="005D20F9">
        <w:rPr>
          <w:rFonts w:ascii="Calibri Light" w:hAnsi="Calibri Light" w:cs="Calibri"/>
        </w:rPr>
        <w:t xml:space="preserve">ork with </w:t>
      </w:r>
      <w:r w:rsidR="005A6778" w:rsidRPr="005A4264">
        <w:rPr>
          <w:rFonts w:ascii="Calibri Light" w:hAnsi="Calibri Light" w:cs="Calibri"/>
        </w:rPr>
        <w:t xml:space="preserve">the National Trade Development Committee </w:t>
      </w:r>
      <w:r w:rsidR="00CC00C4">
        <w:rPr>
          <w:rFonts w:ascii="Calibri Light" w:hAnsi="Calibri Light" w:cs="Calibri"/>
        </w:rPr>
        <w:t>helps</w:t>
      </w:r>
      <w:r w:rsidR="005A6778" w:rsidRPr="005A4264">
        <w:rPr>
          <w:rFonts w:ascii="Calibri Light" w:hAnsi="Calibri Light" w:cs="Calibri"/>
        </w:rPr>
        <w:t xml:space="preserve"> drive an enabling environment for trade</w:t>
      </w:r>
      <w:r w:rsidR="005A4264" w:rsidRPr="005D20F9">
        <w:rPr>
          <w:rFonts w:ascii="Calibri Light" w:hAnsi="Calibri Light" w:cs="Calibri"/>
        </w:rPr>
        <w:t>,</w:t>
      </w:r>
      <w:r w:rsidR="00075E9F" w:rsidRPr="00874DB4">
        <w:rPr>
          <w:rFonts w:ascii="Calibri Light" w:hAnsi="Calibri Light" w:cs="Calibri"/>
        </w:rPr>
        <w:t xml:space="preserve"> and development of a</w:t>
      </w:r>
      <w:r w:rsidR="005A6778" w:rsidRPr="005A4264">
        <w:rPr>
          <w:rFonts w:ascii="Calibri Light" w:hAnsi="Calibri Light" w:cs="Calibri"/>
        </w:rPr>
        <w:t xml:space="preserve"> new </w:t>
      </w:r>
      <w:r w:rsidRPr="005A4264">
        <w:rPr>
          <w:rFonts w:ascii="Calibri Light" w:hAnsi="Calibri Light" w:cs="Calibri"/>
        </w:rPr>
        <w:t>n</w:t>
      </w:r>
      <w:r w:rsidR="005A6778" w:rsidRPr="005A4264">
        <w:rPr>
          <w:rFonts w:ascii="Calibri Light" w:hAnsi="Calibri Light" w:cs="Calibri"/>
        </w:rPr>
        <w:t>at</w:t>
      </w:r>
      <w:r w:rsidR="005A6778" w:rsidRPr="005A4264">
        <w:rPr>
          <w:rFonts w:ascii="Calibri Light" w:hAnsi="Calibri Light" w:cs="Arial"/>
        </w:rPr>
        <w:t xml:space="preserve">ional </w:t>
      </w:r>
      <w:r w:rsidRPr="005A4264">
        <w:rPr>
          <w:rFonts w:ascii="Calibri Light" w:hAnsi="Calibri Light" w:cs="Arial"/>
        </w:rPr>
        <w:t>c</w:t>
      </w:r>
      <w:r w:rsidR="005A6778" w:rsidRPr="005A4264">
        <w:rPr>
          <w:rFonts w:ascii="Calibri Light" w:hAnsi="Calibri Light" w:cs="Arial"/>
        </w:rPr>
        <w:t xml:space="preserve">ooperatives </w:t>
      </w:r>
      <w:r w:rsidRPr="005A4264">
        <w:rPr>
          <w:rFonts w:ascii="Calibri Light" w:hAnsi="Calibri Light" w:cs="Arial"/>
        </w:rPr>
        <w:t>p</w:t>
      </w:r>
      <w:r w:rsidR="005A6778" w:rsidRPr="005A4264">
        <w:rPr>
          <w:rFonts w:ascii="Calibri Light" w:hAnsi="Calibri Light" w:cs="Arial"/>
        </w:rPr>
        <w:t xml:space="preserve">olicy </w:t>
      </w:r>
      <w:r w:rsidR="00CC00C4">
        <w:rPr>
          <w:rFonts w:ascii="Calibri Light" w:hAnsi="Calibri Light" w:cs="Arial"/>
        </w:rPr>
        <w:t xml:space="preserve">aims </w:t>
      </w:r>
      <w:r w:rsidR="005A6778" w:rsidRPr="005A4264">
        <w:rPr>
          <w:rFonts w:ascii="Calibri Light" w:hAnsi="Calibri Light" w:cs="Arial"/>
        </w:rPr>
        <w:t xml:space="preserve">to strengthen existing </w:t>
      </w:r>
      <w:r w:rsidRPr="005A4264">
        <w:rPr>
          <w:rFonts w:ascii="Calibri Light" w:hAnsi="Calibri Light" w:cs="Arial"/>
        </w:rPr>
        <w:t>c</w:t>
      </w:r>
      <w:r w:rsidR="005A6778" w:rsidRPr="005A4264">
        <w:rPr>
          <w:rFonts w:ascii="Calibri Light" w:hAnsi="Calibri Light" w:cs="Arial"/>
        </w:rPr>
        <w:t xml:space="preserve">ooperatives and better align </w:t>
      </w:r>
      <w:r w:rsidR="00356AC5">
        <w:rPr>
          <w:rFonts w:ascii="Calibri Light" w:hAnsi="Calibri Light" w:cs="Arial"/>
        </w:rPr>
        <w:t>their</w:t>
      </w:r>
      <w:r w:rsidR="005A6778" w:rsidRPr="005A4264">
        <w:rPr>
          <w:rFonts w:ascii="Calibri Light" w:hAnsi="Calibri Light" w:cs="Arial"/>
        </w:rPr>
        <w:t xml:space="preserve"> operations with national and export markets. The</w:t>
      </w:r>
      <w:r w:rsidR="005A6778" w:rsidRPr="006831F7">
        <w:rPr>
          <w:rFonts w:ascii="Calibri Light" w:hAnsi="Calibri Light" w:cs="Arial"/>
        </w:rPr>
        <w:t xml:space="preserve"> estimated 350 </w:t>
      </w:r>
      <w:r>
        <w:rPr>
          <w:rFonts w:ascii="Calibri Light" w:hAnsi="Calibri Light" w:cs="Arial"/>
        </w:rPr>
        <w:t>c</w:t>
      </w:r>
      <w:r w:rsidR="005A6778" w:rsidRPr="006831F7">
        <w:rPr>
          <w:rFonts w:ascii="Calibri Light" w:hAnsi="Calibri Light" w:cs="Arial"/>
        </w:rPr>
        <w:t xml:space="preserve">ooperatives across Vanuatu provide </w:t>
      </w:r>
      <w:r w:rsidR="005A6778" w:rsidRPr="006831F7">
        <w:rPr>
          <w:rFonts w:ascii="Calibri Light" w:hAnsi="Calibri Light"/>
        </w:rPr>
        <w:t>a</w:t>
      </w:r>
      <w:r w:rsidR="00093ED9">
        <w:rPr>
          <w:rFonts w:ascii="Calibri Light" w:hAnsi="Calibri Light"/>
        </w:rPr>
        <w:t xml:space="preserve"> key</w:t>
      </w:r>
      <w:r w:rsidR="005A6778" w:rsidRPr="006831F7">
        <w:rPr>
          <w:rFonts w:ascii="Calibri Light" w:hAnsi="Calibri Light"/>
        </w:rPr>
        <w:t xml:space="preserve"> link between smallholders and the formal economy, especially in remote island</w:t>
      </w:r>
      <w:r w:rsidR="005665CB">
        <w:rPr>
          <w:rFonts w:ascii="Calibri Light" w:hAnsi="Calibri Light"/>
        </w:rPr>
        <w:t>s</w:t>
      </w:r>
      <w:r w:rsidR="00356AC5">
        <w:rPr>
          <w:rFonts w:ascii="Calibri Light" w:hAnsi="Calibri Light"/>
        </w:rPr>
        <w:t>,</w:t>
      </w:r>
      <w:r w:rsidR="00075E9F">
        <w:rPr>
          <w:rFonts w:ascii="Calibri Light" w:hAnsi="Calibri Light"/>
        </w:rPr>
        <w:t xml:space="preserve"> and contributed </w:t>
      </w:r>
      <w:r w:rsidR="005A6778" w:rsidRPr="006831F7">
        <w:rPr>
          <w:rFonts w:ascii="Calibri Light" w:hAnsi="Calibri Light"/>
        </w:rPr>
        <w:t>VU</w:t>
      </w:r>
      <w:r w:rsidR="00552CF1">
        <w:rPr>
          <w:rFonts w:ascii="Calibri Light" w:hAnsi="Calibri Light"/>
        </w:rPr>
        <w:t>V</w:t>
      </w:r>
      <w:r w:rsidR="005A6778" w:rsidRPr="006831F7">
        <w:rPr>
          <w:rFonts w:ascii="Calibri Light" w:hAnsi="Calibri Light"/>
        </w:rPr>
        <w:t>130 million</w:t>
      </w:r>
      <w:r w:rsidR="00C35BE6">
        <w:rPr>
          <w:rFonts w:ascii="Calibri Light" w:hAnsi="Calibri Light"/>
        </w:rPr>
        <w:t xml:space="preserve"> (approx. </w:t>
      </w:r>
      <w:r w:rsidR="00003D08">
        <w:rPr>
          <w:rFonts w:ascii="Calibri Light" w:hAnsi="Calibri Light"/>
        </w:rPr>
        <w:t>$</w:t>
      </w:r>
      <w:r w:rsidR="00C35BE6">
        <w:rPr>
          <w:rFonts w:ascii="Calibri Light" w:hAnsi="Calibri Light"/>
        </w:rPr>
        <w:t>1.6 million)</w:t>
      </w:r>
      <w:r w:rsidR="00075E9F">
        <w:rPr>
          <w:rFonts w:ascii="Calibri Light" w:hAnsi="Calibri Light"/>
        </w:rPr>
        <w:t xml:space="preserve"> in profits to the economy in 2016</w:t>
      </w:r>
      <w:r w:rsidR="005A6778" w:rsidRPr="006831F7">
        <w:rPr>
          <w:rFonts w:ascii="Calibri Light" w:hAnsi="Calibri Light"/>
        </w:rPr>
        <w:t xml:space="preserve">. </w:t>
      </w:r>
      <w:r w:rsidR="00075E9F">
        <w:rPr>
          <w:rFonts w:ascii="Calibri Light" w:hAnsi="Calibri Light"/>
        </w:rPr>
        <w:t xml:space="preserve">Australia also supported </w:t>
      </w:r>
      <w:r w:rsidR="006E4C15">
        <w:rPr>
          <w:rFonts w:ascii="Calibri Light" w:hAnsi="Calibri Light"/>
        </w:rPr>
        <w:t xml:space="preserve">a </w:t>
      </w:r>
      <w:r w:rsidR="00075E9F">
        <w:rPr>
          <w:rFonts w:ascii="Calibri Light" w:hAnsi="Calibri Light"/>
        </w:rPr>
        <w:t>v</w:t>
      </w:r>
      <w:r w:rsidR="005A6778" w:rsidRPr="006831F7">
        <w:rPr>
          <w:rFonts w:ascii="Calibri Light" w:hAnsi="Calibri Light"/>
        </w:rPr>
        <w:t>alue chain analysis</w:t>
      </w:r>
      <w:r w:rsidR="00075E9F">
        <w:rPr>
          <w:rFonts w:ascii="Calibri Light" w:hAnsi="Calibri Light"/>
        </w:rPr>
        <w:t xml:space="preserve"> of</w:t>
      </w:r>
      <w:r w:rsidR="005A6778" w:rsidRPr="006831F7">
        <w:rPr>
          <w:rFonts w:ascii="Calibri Light" w:hAnsi="Calibri Light"/>
        </w:rPr>
        <w:t xml:space="preserve"> cattle</w:t>
      </w:r>
      <w:r w:rsidR="00075E9F">
        <w:rPr>
          <w:rFonts w:ascii="Calibri Light" w:hAnsi="Calibri Light"/>
        </w:rPr>
        <w:t xml:space="preserve"> which</w:t>
      </w:r>
      <w:r w:rsidR="005A6778" w:rsidRPr="006831F7">
        <w:rPr>
          <w:rFonts w:ascii="Calibri Light" w:hAnsi="Calibri Light"/>
        </w:rPr>
        <w:t xml:space="preserve"> </w:t>
      </w:r>
      <w:r w:rsidR="00CC00C4">
        <w:rPr>
          <w:rFonts w:ascii="Calibri Light" w:hAnsi="Calibri Light"/>
        </w:rPr>
        <w:t xml:space="preserve">leveraged </w:t>
      </w:r>
      <w:r w:rsidR="005A6778" w:rsidRPr="006831F7">
        <w:rPr>
          <w:rFonts w:ascii="Calibri Light" w:hAnsi="Calibri Light"/>
        </w:rPr>
        <w:t xml:space="preserve">$40 million </w:t>
      </w:r>
      <w:r w:rsidR="00CC00C4">
        <w:rPr>
          <w:rFonts w:ascii="Calibri Light" w:hAnsi="Calibri Light"/>
        </w:rPr>
        <w:t xml:space="preserve">in </w:t>
      </w:r>
      <w:r w:rsidR="005A6778" w:rsidRPr="00874DB4">
        <w:rPr>
          <w:rFonts w:ascii="Calibri Light" w:hAnsi="Calibri Light"/>
        </w:rPr>
        <w:t xml:space="preserve">budget support </w:t>
      </w:r>
      <w:r w:rsidR="00CC00C4">
        <w:rPr>
          <w:rFonts w:ascii="Calibri Light" w:hAnsi="Calibri Light"/>
        </w:rPr>
        <w:t>to GoV from</w:t>
      </w:r>
      <w:r w:rsidR="005A6778" w:rsidRPr="00874DB4">
        <w:rPr>
          <w:rFonts w:ascii="Calibri Light" w:hAnsi="Calibri Light"/>
        </w:rPr>
        <w:t xml:space="preserve"> the European Development Fund </w:t>
      </w:r>
      <w:r w:rsidR="00093ED9" w:rsidRPr="005A4264">
        <w:rPr>
          <w:rFonts w:ascii="Calibri Light" w:hAnsi="Calibri Light"/>
        </w:rPr>
        <w:t xml:space="preserve">in 2018 </w:t>
      </w:r>
      <w:r w:rsidR="005A6778" w:rsidRPr="005A4264">
        <w:rPr>
          <w:rFonts w:ascii="Calibri Light" w:hAnsi="Calibri Light"/>
        </w:rPr>
        <w:t>to develop Vanuatu’s cattle industry</w:t>
      </w:r>
      <w:r w:rsidR="005A6778" w:rsidRPr="005D20F9">
        <w:rPr>
          <w:rFonts w:ascii="Calibri Light" w:hAnsi="Calibri Light"/>
        </w:rPr>
        <w:t>.</w:t>
      </w:r>
    </w:p>
    <w:p w:rsidR="00663C41" w:rsidRPr="005A4264" w:rsidRDefault="00EA5594" w:rsidP="00663C41">
      <w:pPr>
        <w:spacing w:after="0" w:line="240" w:lineRule="auto"/>
        <w:rPr>
          <w:rFonts w:ascii="Calibri Light" w:hAnsi="Calibri Light" w:cs="Calibri"/>
        </w:rPr>
      </w:pPr>
      <w:r w:rsidRPr="005D20F9">
        <w:rPr>
          <w:rFonts w:ascii="Calibri Light" w:hAnsi="Calibri Light" w:cs="Calibri"/>
        </w:rPr>
        <w:t>A</w:t>
      </w:r>
      <w:r w:rsidR="00075E9F" w:rsidRPr="005D20F9">
        <w:rPr>
          <w:rFonts w:ascii="Calibri Light" w:hAnsi="Calibri Light" w:cs="Calibri"/>
        </w:rPr>
        <w:t>ustralia’s</w:t>
      </w:r>
      <w:r w:rsidRPr="005D20F9">
        <w:rPr>
          <w:rFonts w:ascii="Calibri Light" w:hAnsi="Calibri Light" w:cs="Calibri"/>
        </w:rPr>
        <w:t xml:space="preserve"> 2018 national assessment of GoV P</w:t>
      </w:r>
      <w:r w:rsidR="00850D0C" w:rsidRPr="005D20F9">
        <w:rPr>
          <w:rFonts w:ascii="Calibri Light" w:hAnsi="Calibri Light" w:cs="Calibri"/>
        </w:rPr>
        <w:t>ublic Financial Management (PFM)</w:t>
      </w:r>
      <w:r w:rsidRPr="005D20F9">
        <w:rPr>
          <w:rFonts w:ascii="Calibri Light" w:hAnsi="Calibri Light" w:cs="Calibri"/>
        </w:rPr>
        <w:t xml:space="preserve"> systems identified improvements</w:t>
      </w:r>
      <w:r w:rsidR="0098587B" w:rsidRPr="005D20F9">
        <w:rPr>
          <w:rFonts w:ascii="Calibri Light" w:hAnsi="Calibri Light" w:cs="Calibri"/>
        </w:rPr>
        <w:t xml:space="preserve"> in most areas since 2013 and </w:t>
      </w:r>
      <w:r w:rsidRPr="005D20F9">
        <w:rPr>
          <w:rFonts w:ascii="Calibri Light" w:hAnsi="Calibri Light" w:cs="Calibri"/>
        </w:rPr>
        <w:t>recommended</w:t>
      </w:r>
      <w:r w:rsidR="0098587B" w:rsidRPr="005D20F9">
        <w:rPr>
          <w:rFonts w:ascii="Calibri Light" w:hAnsi="Calibri Light" w:cs="Calibri"/>
        </w:rPr>
        <w:t xml:space="preserve"> Australia continue to use GoV systems</w:t>
      </w:r>
      <w:r w:rsidR="00CC00C4">
        <w:rPr>
          <w:rFonts w:ascii="Calibri Light" w:hAnsi="Calibri Light" w:cs="Calibri"/>
        </w:rPr>
        <w:t xml:space="preserve"> to provide budget support, with </w:t>
      </w:r>
      <w:r w:rsidR="00131DFA">
        <w:rPr>
          <w:rFonts w:ascii="Calibri Light" w:hAnsi="Calibri Light" w:cs="Calibri"/>
        </w:rPr>
        <w:t>supplementary</w:t>
      </w:r>
      <w:r w:rsidR="00CC00C4">
        <w:rPr>
          <w:rFonts w:ascii="Calibri Light" w:hAnsi="Calibri Light" w:cs="Calibri"/>
        </w:rPr>
        <w:t xml:space="preserve"> monitoring </w:t>
      </w:r>
      <w:r w:rsidR="00131DFA">
        <w:rPr>
          <w:rFonts w:ascii="Calibri Light" w:hAnsi="Calibri Light" w:cs="Calibri"/>
        </w:rPr>
        <w:t>measures</w:t>
      </w:r>
      <w:r w:rsidR="0098587B" w:rsidRPr="005D20F9">
        <w:rPr>
          <w:rFonts w:ascii="Calibri Light" w:hAnsi="Calibri Light" w:cs="Calibri"/>
        </w:rPr>
        <w:t>.</w:t>
      </w:r>
      <w:r w:rsidR="00663C41" w:rsidRPr="005D20F9">
        <w:rPr>
          <w:rFonts w:ascii="Calibri Light" w:hAnsi="Calibri Light" w:cs="Calibri"/>
        </w:rPr>
        <w:t xml:space="preserve"> </w:t>
      </w:r>
      <w:r w:rsidR="005E3F81" w:rsidRPr="005D20F9">
        <w:rPr>
          <w:rFonts w:ascii="Calibri Light" w:hAnsi="Calibri Light" w:cs="Calibri"/>
        </w:rPr>
        <w:t>Australia</w:t>
      </w:r>
      <w:r w:rsidR="00180ADD" w:rsidRPr="005D20F9">
        <w:rPr>
          <w:rFonts w:ascii="Calibri Light" w:hAnsi="Calibri Light" w:cs="Calibri"/>
        </w:rPr>
        <w:t xml:space="preserve"> will </w:t>
      </w:r>
      <w:r w:rsidR="00131DFA">
        <w:rPr>
          <w:rFonts w:ascii="Calibri Light" w:hAnsi="Calibri Light" w:cs="Calibri"/>
        </w:rPr>
        <w:t xml:space="preserve">also </w:t>
      </w:r>
      <w:r w:rsidR="00180ADD" w:rsidRPr="005D20F9">
        <w:rPr>
          <w:rFonts w:ascii="Calibri Light" w:hAnsi="Calibri Light" w:cs="Calibri"/>
        </w:rPr>
        <w:t>support implementation of the GoV P</w:t>
      </w:r>
      <w:r w:rsidR="009100E0" w:rsidRPr="005D20F9">
        <w:rPr>
          <w:rFonts w:ascii="Calibri Light" w:hAnsi="Calibri Light" w:cs="Calibri"/>
        </w:rPr>
        <w:t>FM Refo</w:t>
      </w:r>
      <w:r w:rsidR="00180ADD" w:rsidRPr="005D20F9">
        <w:rPr>
          <w:rFonts w:ascii="Calibri Light" w:hAnsi="Calibri Light" w:cs="Calibri"/>
        </w:rPr>
        <w:t>rm Roadmap 2017-21 to</w:t>
      </w:r>
      <w:r w:rsidR="00663C41" w:rsidRPr="005D20F9">
        <w:rPr>
          <w:rFonts w:ascii="Calibri Light" w:hAnsi="Calibri Light" w:cs="Calibri"/>
        </w:rPr>
        <w:t xml:space="preserve"> </w:t>
      </w:r>
      <w:r w:rsidR="00180ADD" w:rsidRPr="005D20F9">
        <w:rPr>
          <w:rFonts w:ascii="Calibri Light" w:hAnsi="Calibri Light" w:cs="Calibri"/>
        </w:rPr>
        <w:t xml:space="preserve">help address </w:t>
      </w:r>
      <w:r w:rsidR="0098587B" w:rsidRPr="005D20F9">
        <w:rPr>
          <w:rFonts w:ascii="Calibri Light" w:hAnsi="Calibri Light" w:cs="Calibri"/>
        </w:rPr>
        <w:t>remaining</w:t>
      </w:r>
      <w:r w:rsidR="00180ADD" w:rsidRPr="005D20F9">
        <w:rPr>
          <w:rFonts w:ascii="Calibri Light" w:hAnsi="Calibri Light" w:cs="Calibri"/>
        </w:rPr>
        <w:t xml:space="preserve"> </w:t>
      </w:r>
      <w:r w:rsidR="00850D0C" w:rsidRPr="005D20F9">
        <w:rPr>
          <w:rFonts w:ascii="Calibri Light" w:hAnsi="Calibri Light" w:cs="Calibri"/>
        </w:rPr>
        <w:t>PFM and procurement challenges,</w:t>
      </w:r>
      <w:r w:rsidR="009100E0" w:rsidRPr="005D20F9">
        <w:rPr>
          <w:rFonts w:ascii="Calibri Light" w:hAnsi="Calibri Light" w:cs="Calibri"/>
        </w:rPr>
        <w:t xml:space="preserve"> including </w:t>
      </w:r>
      <w:r w:rsidR="008411DE" w:rsidRPr="005D20F9">
        <w:rPr>
          <w:rFonts w:ascii="Calibri Light" w:hAnsi="Calibri Light" w:cs="Calibri"/>
        </w:rPr>
        <w:t>work</w:t>
      </w:r>
      <w:r w:rsidR="00356AC5">
        <w:rPr>
          <w:rFonts w:ascii="Calibri Light" w:hAnsi="Calibri Light" w:cs="Calibri"/>
        </w:rPr>
        <w:t>ing</w:t>
      </w:r>
      <w:r w:rsidR="008411DE" w:rsidRPr="005D20F9">
        <w:rPr>
          <w:rFonts w:ascii="Calibri Light" w:hAnsi="Calibri Light" w:cs="Calibri"/>
        </w:rPr>
        <w:t xml:space="preserve"> with</w:t>
      </w:r>
      <w:r w:rsidR="00850D0C" w:rsidRPr="005D20F9">
        <w:rPr>
          <w:rFonts w:ascii="Calibri Light" w:hAnsi="Calibri Light" w:cs="Calibri"/>
        </w:rPr>
        <w:t xml:space="preserve"> the Central Tenders Board</w:t>
      </w:r>
      <w:r w:rsidR="009100E0" w:rsidRPr="005D20F9">
        <w:rPr>
          <w:rFonts w:ascii="Calibri Light" w:hAnsi="Calibri Light" w:cs="Calibri"/>
        </w:rPr>
        <w:t xml:space="preserve"> </w:t>
      </w:r>
      <w:r w:rsidR="00850D0C" w:rsidRPr="005D20F9">
        <w:rPr>
          <w:rFonts w:ascii="Calibri Light" w:hAnsi="Calibri Light" w:cs="Calibri"/>
        </w:rPr>
        <w:t xml:space="preserve">and with </w:t>
      </w:r>
      <w:r w:rsidR="009100E0" w:rsidRPr="005D20F9">
        <w:rPr>
          <w:rFonts w:ascii="Calibri Light" w:hAnsi="Calibri Light" w:cs="Calibri"/>
        </w:rPr>
        <w:t>line ministries to better link policy, plans and budget</w:t>
      </w:r>
      <w:r w:rsidR="008411DE" w:rsidRPr="005D20F9">
        <w:rPr>
          <w:rFonts w:ascii="Calibri Light" w:hAnsi="Calibri Light" w:cs="Calibri"/>
        </w:rPr>
        <w:t xml:space="preserve">s and </w:t>
      </w:r>
      <w:r w:rsidR="00D62E22">
        <w:rPr>
          <w:rFonts w:ascii="Calibri Light" w:hAnsi="Calibri Light" w:cs="Calibri"/>
        </w:rPr>
        <w:t xml:space="preserve">to improve </w:t>
      </w:r>
      <w:r w:rsidR="008411DE" w:rsidRPr="005D20F9">
        <w:rPr>
          <w:rFonts w:ascii="Calibri Light" w:hAnsi="Calibri Light" w:cs="Calibri"/>
        </w:rPr>
        <w:t>manage</w:t>
      </w:r>
      <w:r w:rsidR="00D62E22">
        <w:rPr>
          <w:rFonts w:ascii="Calibri Light" w:hAnsi="Calibri Light" w:cs="Calibri"/>
        </w:rPr>
        <w:t xml:space="preserve">ment of </w:t>
      </w:r>
      <w:r w:rsidR="008411DE" w:rsidRPr="005D20F9">
        <w:rPr>
          <w:rFonts w:ascii="Calibri Light" w:hAnsi="Calibri Light" w:cs="Calibri"/>
        </w:rPr>
        <w:t>recurrent spending</w:t>
      </w:r>
      <w:r w:rsidR="00850D0C" w:rsidRPr="005D20F9">
        <w:rPr>
          <w:rFonts w:ascii="Calibri Light" w:hAnsi="Calibri Light" w:cs="Calibri"/>
        </w:rPr>
        <w:t>.</w:t>
      </w:r>
      <w:r w:rsidR="00663C41" w:rsidRPr="00874DB4">
        <w:rPr>
          <w:rFonts w:ascii="Calibri Light" w:hAnsi="Calibri Light" w:cs="Calibri"/>
        </w:rPr>
        <w:t xml:space="preserve"> </w:t>
      </w:r>
    </w:p>
    <w:p w:rsidR="005A4264" w:rsidRDefault="005A4264" w:rsidP="0060056B">
      <w:pPr>
        <w:spacing w:before="0" w:after="0"/>
        <w:rPr>
          <w:rFonts w:ascii="Calibri Light" w:hAnsi="Calibri Light"/>
        </w:rPr>
      </w:pPr>
    </w:p>
    <w:p w:rsidR="00C82E19" w:rsidRPr="005A4264" w:rsidRDefault="005A6778" w:rsidP="0060056B">
      <w:pPr>
        <w:spacing w:before="0" w:after="0"/>
        <w:rPr>
          <w:rFonts w:ascii="Calibri Light" w:hAnsi="Calibri Light"/>
        </w:rPr>
      </w:pPr>
      <w:r w:rsidRPr="00874DB4">
        <w:rPr>
          <w:rFonts w:ascii="Calibri Light" w:hAnsi="Calibri Light"/>
        </w:rPr>
        <w:t>Australia support</w:t>
      </w:r>
      <w:r w:rsidR="006E4C15">
        <w:rPr>
          <w:rFonts w:ascii="Calibri Light" w:hAnsi="Calibri Light"/>
        </w:rPr>
        <w:t>ed</w:t>
      </w:r>
      <w:r w:rsidRPr="00874DB4">
        <w:rPr>
          <w:rFonts w:ascii="Calibri Light" w:hAnsi="Calibri Light"/>
        </w:rPr>
        <w:t xml:space="preserve"> the Telecommunications and Radio-communications Regulator (TRR) to implement </w:t>
      </w:r>
      <w:r w:rsidR="00356AC5">
        <w:rPr>
          <w:rFonts w:ascii="Calibri Light" w:hAnsi="Calibri Light"/>
        </w:rPr>
        <w:t>Vanuatu’s</w:t>
      </w:r>
      <w:r w:rsidRPr="00874DB4">
        <w:rPr>
          <w:rFonts w:ascii="Calibri Light" w:hAnsi="Calibri Light"/>
        </w:rPr>
        <w:t xml:space="preserve"> Universal Access Policy (UAP). This</w:t>
      </w:r>
      <w:r w:rsidR="00075E9F" w:rsidRPr="005A4264">
        <w:rPr>
          <w:rFonts w:ascii="Calibri Light" w:hAnsi="Calibri Light"/>
        </w:rPr>
        <w:t xml:space="preserve"> achieved</w:t>
      </w:r>
      <w:r w:rsidRPr="005A4264">
        <w:rPr>
          <w:rFonts w:ascii="Calibri Light" w:hAnsi="Calibri Light"/>
        </w:rPr>
        <w:t xml:space="preserve"> significant increases in access, subscriber growth and market revenue</w:t>
      </w:r>
      <w:r w:rsidR="000A596E" w:rsidRPr="005A4264">
        <w:rPr>
          <w:rFonts w:ascii="Calibri Light" w:hAnsi="Calibri Light"/>
        </w:rPr>
        <w:t>,</w:t>
      </w:r>
      <w:r w:rsidRPr="005A4264">
        <w:rPr>
          <w:rFonts w:ascii="Calibri Light" w:hAnsi="Calibri Light"/>
        </w:rPr>
        <w:t xml:space="preserve"> with total telecommunication revenue now exceeding VU</w:t>
      </w:r>
      <w:r w:rsidR="00552CF1" w:rsidRPr="005A4264">
        <w:rPr>
          <w:rFonts w:ascii="Calibri Light" w:hAnsi="Calibri Light"/>
        </w:rPr>
        <w:t>V</w:t>
      </w:r>
      <w:r w:rsidRPr="005A4264">
        <w:rPr>
          <w:rFonts w:ascii="Calibri Light" w:hAnsi="Calibri Light"/>
        </w:rPr>
        <w:t xml:space="preserve">5 billion </w:t>
      </w:r>
      <w:r w:rsidR="00C35BE6" w:rsidRPr="005A4264">
        <w:rPr>
          <w:rFonts w:ascii="Calibri Light" w:hAnsi="Calibri Light"/>
        </w:rPr>
        <w:t xml:space="preserve">(approx. </w:t>
      </w:r>
      <w:r w:rsidR="00003D08" w:rsidRPr="005A4264">
        <w:rPr>
          <w:rFonts w:ascii="Calibri Light" w:hAnsi="Calibri Light"/>
        </w:rPr>
        <w:t>$</w:t>
      </w:r>
      <w:r w:rsidR="005F61E7" w:rsidRPr="005A4264">
        <w:rPr>
          <w:rFonts w:ascii="Calibri Light" w:hAnsi="Calibri Light"/>
        </w:rPr>
        <w:t>60 m</w:t>
      </w:r>
      <w:r w:rsidR="00C35BE6" w:rsidRPr="005A4264">
        <w:rPr>
          <w:rFonts w:ascii="Calibri Light" w:hAnsi="Calibri Light"/>
        </w:rPr>
        <w:t xml:space="preserve">illion) </w:t>
      </w:r>
      <w:r w:rsidRPr="005A4264">
        <w:rPr>
          <w:rFonts w:ascii="Calibri Light" w:hAnsi="Calibri Light"/>
        </w:rPr>
        <w:t xml:space="preserve">per year.  In February 2018, </w:t>
      </w:r>
      <w:r w:rsidR="005665CB" w:rsidRPr="005A4264">
        <w:rPr>
          <w:rFonts w:ascii="Calibri Light" w:hAnsi="Calibri Light"/>
        </w:rPr>
        <w:t xml:space="preserve">the </w:t>
      </w:r>
      <w:r w:rsidRPr="005A4264">
        <w:rPr>
          <w:rFonts w:ascii="Calibri Light" w:hAnsi="Calibri Light"/>
        </w:rPr>
        <w:t xml:space="preserve">TRR </w:t>
      </w:r>
      <w:r w:rsidR="000A596E" w:rsidRPr="005A4264">
        <w:rPr>
          <w:rFonts w:ascii="Calibri Light" w:hAnsi="Calibri Light"/>
        </w:rPr>
        <w:t xml:space="preserve">announced </w:t>
      </w:r>
      <w:r w:rsidR="006E4C15">
        <w:rPr>
          <w:rFonts w:ascii="Calibri Light" w:hAnsi="Calibri Light"/>
        </w:rPr>
        <w:t>t</w:t>
      </w:r>
      <w:r w:rsidR="00075E9F" w:rsidRPr="005A4264">
        <w:rPr>
          <w:rFonts w:ascii="Calibri Light" w:hAnsi="Calibri Light"/>
        </w:rPr>
        <w:t xml:space="preserve">hat Vanuatu had achieved the </w:t>
      </w:r>
      <w:r w:rsidRPr="005A4264">
        <w:rPr>
          <w:rFonts w:ascii="Calibri Light" w:hAnsi="Calibri Light"/>
        </w:rPr>
        <w:t>UAP goal of providing mobile phone coverage and basic internet access to 98 per cent of the population</w:t>
      </w:r>
      <w:r w:rsidR="00180ADD" w:rsidRPr="005A4264">
        <w:rPr>
          <w:rFonts w:ascii="Calibri Light" w:hAnsi="Calibri Light"/>
        </w:rPr>
        <w:t xml:space="preserve"> (</w:t>
      </w:r>
      <w:r w:rsidRPr="005A4264">
        <w:rPr>
          <w:rFonts w:ascii="Calibri Light" w:hAnsi="Calibri Light"/>
        </w:rPr>
        <w:t>12 per cent in 2007</w:t>
      </w:r>
      <w:r w:rsidR="00180ADD" w:rsidRPr="005A4264">
        <w:rPr>
          <w:rFonts w:ascii="Calibri Light" w:hAnsi="Calibri Light"/>
        </w:rPr>
        <w:t>)</w:t>
      </w:r>
      <w:r w:rsidRPr="005A4264">
        <w:rPr>
          <w:rFonts w:ascii="Calibri Light" w:hAnsi="Calibri Light"/>
        </w:rPr>
        <w:t>. Mobile phones are now the primary m</w:t>
      </w:r>
      <w:r w:rsidR="00B71E5E" w:rsidRPr="005A4264">
        <w:rPr>
          <w:rFonts w:ascii="Calibri Light" w:hAnsi="Calibri Light"/>
        </w:rPr>
        <w:t>eans</w:t>
      </w:r>
      <w:r w:rsidRPr="005A4264">
        <w:rPr>
          <w:rFonts w:ascii="Calibri Light" w:hAnsi="Calibri Light"/>
        </w:rPr>
        <w:t xml:space="preserve"> of communication, bringing transformative social changes</w:t>
      </w:r>
      <w:r w:rsidR="00356AC5">
        <w:rPr>
          <w:rFonts w:ascii="Calibri Light" w:hAnsi="Calibri Light"/>
        </w:rPr>
        <w:t xml:space="preserve"> and economic potential</w:t>
      </w:r>
      <w:r w:rsidRPr="005A4264">
        <w:rPr>
          <w:rFonts w:ascii="Calibri Light" w:hAnsi="Calibri Light"/>
        </w:rPr>
        <w:t xml:space="preserve">. </w:t>
      </w:r>
      <w:r w:rsidR="00075E9F" w:rsidRPr="005A4264">
        <w:rPr>
          <w:rFonts w:ascii="Calibri Light" w:hAnsi="Calibri Light"/>
        </w:rPr>
        <w:t>In 2017-18</w:t>
      </w:r>
      <w:r w:rsidRPr="005A4264">
        <w:rPr>
          <w:rFonts w:ascii="Calibri Light" w:hAnsi="Calibri Light"/>
        </w:rPr>
        <w:t xml:space="preserve"> </w:t>
      </w:r>
      <w:r w:rsidR="00716BA8" w:rsidRPr="005A4264">
        <w:rPr>
          <w:rFonts w:ascii="Calibri Light" w:hAnsi="Calibri Light"/>
        </w:rPr>
        <w:t>Australia’s</w:t>
      </w:r>
      <w:r w:rsidRPr="005A4264">
        <w:rPr>
          <w:rFonts w:ascii="Calibri Light" w:hAnsi="Calibri Light"/>
        </w:rPr>
        <w:t xml:space="preserve"> support </w:t>
      </w:r>
      <w:r w:rsidR="00D62E22">
        <w:rPr>
          <w:rFonts w:ascii="Calibri Light" w:hAnsi="Calibri Light"/>
        </w:rPr>
        <w:t xml:space="preserve">also </w:t>
      </w:r>
      <w:r w:rsidR="00075E9F" w:rsidRPr="005A4264">
        <w:rPr>
          <w:rFonts w:ascii="Calibri Light" w:hAnsi="Calibri Light"/>
        </w:rPr>
        <w:t xml:space="preserve">enabled </w:t>
      </w:r>
      <w:r w:rsidRPr="005A4264">
        <w:rPr>
          <w:rFonts w:ascii="Calibri Light" w:hAnsi="Calibri Light"/>
        </w:rPr>
        <w:t xml:space="preserve">TRR </w:t>
      </w:r>
      <w:r w:rsidR="00075E9F" w:rsidRPr="005A4264">
        <w:rPr>
          <w:rFonts w:ascii="Calibri Light" w:hAnsi="Calibri Light"/>
        </w:rPr>
        <w:t xml:space="preserve">to </w:t>
      </w:r>
      <w:r w:rsidRPr="005A4264">
        <w:rPr>
          <w:rFonts w:ascii="Calibri Light" w:hAnsi="Calibri Light"/>
        </w:rPr>
        <w:t>establish Computer Laboratories and Internet Community Centres (CLICC) in 15 schools. One CLICC reported:</w:t>
      </w:r>
      <w:r w:rsidR="00E24AA6" w:rsidRPr="005A4264">
        <w:rPr>
          <w:rFonts w:ascii="Calibri Light" w:hAnsi="Calibri Light"/>
        </w:rPr>
        <w:t xml:space="preserve"> </w:t>
      </w:r>
      <w:r w:rsidRPr="005A4264">
        <w:rPr>
          <w:rFonts w:ascii="Calibri Light" w:hAnsi="Calibri Light"/>
          <w:i/>
        </w:rPr>
        <w:t>Year 8 students were able to use the internet to study for end of year exams and further grasp concepts in all areas…..scoring higher marks on their exams.</w:t>
      </w:r>
      <w:r w:rsidRPr="005A4264">
        <w:rPr>
          <w:rFonts w:ascii="Calibri Light" w:hAnsi="Calibri Light"/>
        </w:rPr>
        <w:t xml:space="preserve">  </w:t>
      </w:r>
    </w:p>
    <w:p w:rsidR="005A4264" w:rsidRDefault="005A4264" w:rsidP="0060056B">
      <w:pPr>
        <w:spacing w:before="0" w:after="0"/>
        <w:rPr>
          <w:rFonts w:ascii="Calibri Light" w:hAnsi="Calibri Light"/>
        </w:rPr>
      </w:pPr>
    </w:p>
    <w:p w:rsidR="005A4264" w:rsidRDefault="00D93F51" w:rsidP="0060056B">
      <w:pPr>
        <w:spacing w:before="0" w:after="0"/>
        <w:rPr>
          <w:rFonts w:ascii="Calibri Light" w:hAnsi="Calibri Light"/>
        </w:rPr>
      </w:pPr>
      <w:r w:rsidRPr="00874DB4">
        <w:rPr>
          <w:rFonts w:ascii="Calibri Light" w:hAnsi="Calibri Light"/>
        </w:rPr>
        <w:t xml:space="preserve">Targeted activities have </w:t>
      </w:r>
      <w:r w:rsidR="00C82E19" w:rsidRPr="005A4264">
        <w:rPr>
          <w:rFonts w:ascii="Calibri Light" w:hAnsi="Calibri Light"/>
        </w:rPr>
        <w:t xml:space="preserve">also </w:t>
      </w:r>
      <w:r w:rsidRPr="005A4264">
        <w:rPr>
          <w:rFonts w:ascii="Calibri Light" w:hAnsi="Calibri Light"/>
        </w:rPr>
        <w:t>realised gender equality outcomes</w:t>
      </w:r>
      <w:r w:rsidR="0031278E" w:rsidRPr="005A4264">
        <w:rPr>
          <w:rFonts w:ascii="Calibri Light" w:hAnsi="Calibri Light"/>
        </w:rPr>
        <w:t>. F</w:t>
      </w:r>
      <w:r w:rsidRPr="005A4264">
        <w:rPr>
          <w:rFonts w:ascii="Calibri Light" w:hAnsi="Calibri Light"/>
        </w:rPr>
        <w:t>or example</w:t>
      </w:r>
      <w:r w:rsidR="005A4264">
        <w:rPr>
          <w:rFonts w:ascii="Calibri Light" w:hAnsi="Calibri Light"/>
        </w:rPr>
        <w:t>,</w:t>
      </w:r>
      <w:r w:rsidRPr="00874DB4">
        <w:rPr>
          <w:rFonts w:ascii="Calibri Light" w:hAnsi="Calibri Light"/>
        </w:rPr>
        <w:t xml:space="preserve"> </w:t>
      </w:r>
      <w:r w:rsidR="005F61E7" w:rsidRPr="005A4264">
        <w:rPr>
          <w:rFonts w:ascii="Calibri Light" w:hAnsi="Calibri Light"/>
        </w:rPr>
        <w:t xml:space="preserve">Australia’s </w:t>
      </w:r>
      <w:r w:rsidRPr="005A4264">
        <w:rPr>
          <w:rFonts w:ascii="Calibri Light" w:hAnsi="Calibri Light"/>
        </w:rPr>
        <w:t>investment</w:t>
      </w:r>
      <w:r w:rsidR="005F61E7" w:rsidRPr="005A4264">
        <w:rPr>
          <w:rFonts w:ascii="Calibri Light" w:hAnsi="Calibri Light"/>
        </w:rPr>
        <w:t xml:space="preserve"> through GfG and the Pacific Readiness Investment pilot </w:t>
      </w:r>
      <w:r w:rsidRPr="005A4264">
        <w:rPr>
          <w:rFonts w:ascii="Calibri Light" w:hAnsi="Calibri Light"/>
        </w:rPr>
        <w:t>in Tanna Coffee</w:t>
      </w:r>
      <w:r w:rsidR="00B71E5E" w:rsidRPr="005A4264">
        <w:rPr>
          <w:rFonts w:ascii="Calibri Light" w:hAnsi="Calibri Light"/>
        </w:rPr>
        <w:t>,</w:t>
      </w:r>
      <w:r w:rsidRPr="005A4264">
        <w:rPr>
          <w:rFonts w:ascii="Calibri Light" w:hAnsi="Calibri Light"/>
        </w:rPr>
        <w:t xml:space="preserve"> which has a majority female workforce, </w:t>
      </w:r>
      <w:r w:rsidR="00356AC5">
        <w:rPr>
          <w:rFonts w:ascii="Calibri Light" w:hAnsi="Calibri Light"/>
        </w:rPr>
        <w:t xml:space="preserve">helped </w:t>
      </w:r>
      <w:r w:rsidRPr="005A4264">
        <w:rPr>
          <w:rFonts w:ascii="Calibri Light" w:hAnsi="Calibri Light"/>
        </w:rPr>
        <w:t xml:space="preserve">leverage $11 of private sector investment for each $1 from </w:t>
      </w:r>
      <w:r w:rsidR="00974A71" w:rsidRPr="005A4264">
        <w:rPr>
          <w:rFonts w:ascii="Calibri Light" w:hAnsi="Calibri Light"/>
        </w:rPr>
        <w:t>Australia</w:t>
      </w:r>
      <w:r w:rsidRPr="005A4264">
        <w:rPr>
          <w:rFonts w:ascii="Calibri Light" w:hAnsi="Calibri Light"/>
        </w:rPr>
        <w:t xml:space="preserve">. </w:t>
      </w:r>
      <w:r w:rsidR="00B71E5E" w:rsidRPr="005A4264">
        <w:rPr>
          <w:rFonts w:ascii="Calibri Light" w:hAnsi="Calibri Light"/>
        </w:rPr>
        <w:t>E</w:t>
      </w:r>
      <w:r w:rsidRPr="005D20F9">
        <w:rPr>
          <w:rFonts w:ascii="Calibri Light" w:hAnsi="Calibri Light"/>
        </w:rPr>
        <w:t xml:space="preserve">fforts to achieve equitable benefits across </w:t>
      </w:r>
      <w:r w:rsidR="00B71E5E" w:rsidRPr="005D20F9">
        <w:rPr>
          <w:rFonts w:ascii="Calibri Light" w:hAnsi="Calibri Light"/>
        </w:rPr>
        <w:t>the breadth of GfG supported initiatives</w:t>
      </w:r>
      <w:r w:rsidRPr="005D20F9">
        <w:rPr>
          <w:rFonts w:ascii="Calibri Light" w:hAnsi="Calibri Light"/>
        </w:rPr>
        <w:t xml:space="preserve"> </w:t>
      </w:r>
      <w:r w:rsidR="00B71E5E" w:rsidRPr="005D20F9">
        <w:rPr>
          <w:rFonts w:ascii="Calibri Light" w:hAnsi="Calibri Light"/>
        </w:rPr>
        <w:t>will continue</w:t>
      </w:r>
      <w:r w:rsidRPr="005D20F9">
        <w:rPr>
          <w:rFonts w:ascii="Calibri Light" w:hAnsi="Calibri Light"/>
        </w:rPr>
        <w:t>.</w:t>
      </w:r>
      <w:r w:rsidR="005F61E7">
        <w:rPr>
          <w:rFonts w:ascii="Calibri Light" w:hAnsi="Calibri Light"/>
        </w:rPr>
        <w:t xml:space="preserve"> </w:t>
      </w:r>
    </w:p>
    <w:p w:rsidR="00D62E22" w:rsidRDefault="00D62E22" w:rsidP="0060056B">
      <w:pPr>
        <w:spacing w:before="0" w:after="0"/>
        <w:rPr>
          <w:rFonts w:ascii="Calibri Light" w:hAnsi="Calibri Light"/>
        </w:rPr>
      </w:pPr>
    </w:p>
    <w:p w:rsidR="001831A1" w:rsidRDefault="005A6778" w:rsidP="0060056B">
      <w:pPr>
        <w:spacing w:before="0" w:after="0"/>
        <w:rPr>
          <w:rFonts w:ascii="Calibri Light" w:hAnsi="Calibri Light"/>
          <w:b/>
        </w:rPr>
      </w:pPr>
      <w:r w:rsidRPr="006831F7">
        <w:rPr>
          <w:rFonts w:ascii="Calibri Light" w:hAnsi="Calibri Light"/>
        </w:rPr>
        <w:lastRenderedPageBreak/>
        <w:t xml:space="preserve">Results from the partnership between Australia and Vanuatu </w:t>
      </w:r>
      <w:r w:rsidR="009D32CC">
        <w:rPr>
          <w:rFonts w:ascii="Calibri Light" w:hAnsi="Calibri Light"/>
        </w:rPr>
        <w:t xml:space="preserve">align </w:t>
      </w:r>
      <w:r w:rsidR="00DA4295">
        <w:rPr>
          <w:rFonts w:ascii="Calibri Light" w:hAnsi="Calibri Light"/>
        </w:rPr>
        <w:t xml:space="preserve">overall </w:t>
      </w:r>
      <w:r w:rsidR="009D32CC">
        <w:rPr>
          <w:rFonts w:ascii="Calibri Light" w:hAnsi="Calibri Light"/>
        </w:rPr>
        <w:t xml:space="preserve">with expected targets and </w:t>
      </w:r>
      <w:r w:rsidRPr="006831F7">
        <w:rPr>
          <w:rFonts w:ascii="Calibri Light" w:hAnsi="Calibri Light"/>
        </w:rPr>
        <w:t xml:space="preserve">demonstrate a productive relationship of respect and mutual accountability. Our support enables economic reform, policy dialogue and practical technical collaboration to address shared priorities. </w:t>
      </w:r>
    </w:p>
    <w:p w:rsidR="004D093D" w:rsidRDefault="004D093D" w:rsidP="0060056B">
      <w:pPr>
        <w:spacing w:before="0" w:after="0"/>
        <w:rPr>
          <w:rFonts w:ascii="Calibri Light" w:hAnsi="Calibri Light"/>
          <w:b/>
        </w:rPr>
      </w:pPr>
    </w:p>
    <w:p w:rsidR="0060056B" w:rsidRDefault="0060056B" w:rsidP="0060056B">
      <w:pPr>
        <w:spacing w:before="0" w:after="0"/>
        <w:rPr>
          <w:rFonts w:ascii="Calibri Light" w:hAnsi="Calibri Light"/>
          <w:b/>
        </w:rPr>
      </w:pPr>
      <w:r w:rsidRPr="00192B28">
        <w:rPr>
          <w:rFonts w:ascii="Calibri Light" w:hAnsi="Calibri Light"/>
          <w:b/>
        </w:rPr>
        <w:t>Infrastructure</w:t>
      </w:r>
    </w:p>
    <w:p w:rsidR="0060056B" w:rsidRPr="00F9321F" w:rsidRDefault="0060056B" w:rsidP="001F507E">
      <w:pPr>
        <w:spacing w:before="0" w:after="0" w:line="240" w:lineRule="auto"/>
        <w:rPr>
          <w:rFonts w:ascii="Calibri Light" w:hAnsi="Calibri Light"/>
        </w:rPr>
      </w:pPr>
      <w:r w:rsidRPr="008C7F02">
        <w:rPr>
          <w:rFonts w:ascii="Calibri Light" w:hAnsi="Calibri Light" w:cs="Arial"/>
          <w:lang w:eastAsia="en-GB"/>
        </w:rPr>
        <w:t xml:space="preserve">Three quarters of </w:t>
      </w:r>
      <w:r w:rsidR="00B178DB">
        <w:rPr>
          <w:rFonts w:ascii="Calibri Light" w:hAnsi="Calibri Light" w:cs="Arial"/>
          <w:lang w:eastAsia="en-GB"/>
        </w:rPr>
        <w:t>ni-</w:t>
      </w:r>
      <w:r w:rsidRPr="008C7F02">
        <w:rPr>
          <w:rFonts w:ascii="Calibri Light" w:hAnsi="Calibri Light" w:cs="Arial"/>
          <w:lang w:eastAsia="en-GB"/>
        </w:rPr>
        <w:t>Vanuatu</w:t>
      </w:r>
      <w:r w:rsidR="00B178DB">
        <w:rPr>
          <w:rFonts w:ascii="Calibri Light" w:hAnsi="Calibri Light" w:cs="Arial"/>
          <w:lang w:eastAsia="en-GB"/>
        </w:rPr>
        <w:t xml:space="preserve"> people</w:t>
      </w:r>
      <w:r w:rsidRPr="008C7F02">
        <w:rPr>
          <w:rFonts w:ascii="Calibri Light" w:hAnsi="Calibri Light" w:cs="Arial"/>
          <w:lang w:eastAsia="en-GB"/>
        </w:rPr>
        <w:t xml:space="preserve"> live in rural areas and ha</w:t>
      </w:r>
      <w:r w:rsidR="000B2410">
        <w:rPr>
          <w:rFonts w:ascii="Calibri Light" w:hAnsi="Calibri Light" w:cs="Arial"/>
          <w:lang w:eastAsia="en-GB"/>
        </w:rPr>
        <w:t>ve</w:t>
      </w:r>
      <w:r w:rsidRPr="008C7F02">
        <w:rPr>
          <w:rFonts w:ascii="Calibri Light" w:hAnsi="Calibri Light" w:cs="Arial"/>
          <w:lang w:eastAsia="en-GB"/>
        </w:rPr>
        <w:t xml:space="preserve"> limited engagement with the formal economy. </w:t>
      </w:r>
      <w:r w:rsidRPr="00F9321F">
        <w:rPr>
          <w:rFonts w:ascii="Calibri Light" w:hAnsi="Calibri Light" w:cs="Arial"/>
        </w:rPr>
        <w:t xml:space="preserve">Increasing rural access to services and economic opportunities is a focus of Vanuatu’s </w:t>
      </w:r>
      <w:r w:rsidRPr="00A5708E">
        <w:rPr>
          <w:rFonts w:ascii="Calibri Light" w:hAnsi="Calibri Light" w:cs="Arial"/>
          <w:i/>
        </w:rPr>
        <w:t>NSDP</w:t>
      </w:r>
      <w:r w:rsidR="00F11207" w:rsidRPr="00A5708E">
        <w:rPr>
          <w:rFonts w:ascii="Calibri Light" w:hAnsi="Calibri Light" w:cs="Arial"/>
          <w:i/>
        </w:rPr>
        <w:t xml:space="preserve"> 2030</w:t>
      </w:r>
      <w:r w:rsidRPr="00A5708E">
        <w:rPr>
          <w:rFonts w:ascii="Calibri Light" w:hAnsi="Calibri Light" w:cs="Arial"/>
          <w:i/>
        </w:rPr>
        <w:t xml:space="preserve">. </w:t>
      </w:r>
    </w:p>
    <w:p w:rsidR="00AE6233" w:rsidRPr="00F9321F" w:rsidRDefault="0060056B" w:rsidP="00C82E19">
      <w:pPr>
        <w:spacing w:before="0" w:after="0" w:line="240" w:lineRule="auto"/>
        <w:rPr>
          <w:rFonts w:ascii="Calibri Light" w:hAnsi="Calibri Light"/>
        </w:rPr>
      </w:pPr>
      <w:r w:rsidRPr="008A425D">
        <w:rPr>
          <w:rFonts w:ascii="Calibri Light" w:hAnsi="Calibri Light"/>
        </w:rPr>
        <w:t xml:space="preserve">Through the Roads for Development Program (R4D), </w:t>
      </w:r>
      <w:r w:rsidR="00716BA8" w:rsidRPr="008A425D">
        <w:rPr>
          <w:rFonts w:ascii="Calibri Light" w:hAnsi="Calibri Light"/>
        </w:rPr>
        <w:t>Australia</w:t>
      </w:r>
      <w:r w:rsidRPr="008A425D">
        <w:rPr>
          <w:rFonts w:ascii="Calibri Light" w:hAnsi="Calibri Light"/>
        </w:rPr>
        <w:t xml:space="preserve"> </w:t>
      </w:r>
      <w:r w:rsidR="00B178DB" w:rsidRPr="008A425D">
        <w:rPr>
          <w:rFonts w:ascii="Calibri Light" w:hAnsi="Calibri Light"/>
        </w:rPr>
        <w:t>support</w:t>
      </w:r>
      <w:r w:rsidR="00716BA8" w:rsidRPr="008A425D">
        <w:rPr>
          <w:rFonts w:ascii="Calibri Light" w:hAnsi="Calibri Light"/>
        </w:rPr>
        <w:t>ed</w:t>
      </w:r>
      <w:r w:rsidRPr="008A425D">
        <w:rPr>
          <w:rFonts w:ascii="Calibri Light" w:hAnsi="Calibri Light"/>
        </w:rPr>
        <w:t xml:space="preserve"> the Public Works Department (PWD) to </w:t>
      </w:r>
      <w:r w:rsidR="00AE6233" w:rsidRPr="008A425D">
        <w:rPr>
          <w:rFonts w:ascii="Calibri Light" w:hAnsi="Calibri Light"/>
        </w:rPr>
        <w:t>provide rural communities with increased access to a well-maintained, sustainable road network.</w:t>
      </w:r>
      <w:r w:rsidR="00AE6233" w:rsidRPr="00F9321F">
        <w:rPr>
          <w:rFonts w:ascii="Calibri Light" w:hAnsi="Calibri Light"/>
        </w:rPr>
        <w:t xml:space="preserve"> </w:t>
      </w:r>
      <w:r w:rsidR="00AE3F7C" w:rsidRPr="00F9321F">
        <w:rPr>
          <w:rFonts w:ascii="Calibri Light" w:hAnsi="Calibri Light"/>
        </w:rPr>
        <w:t>In 2017-18</w:t>
      </w:r>
      <w:r w:rsidR="00AE6233" w:rsidRPr="00F9321F">
        <w:rPr>
          <w:rFonts w:ascii="Calibri Light" w:hAnsi="Calibri Light"/>
        </w:rPr>
        <w:t xml:space="preserve"> </w:t>
      </w:r>
      <w:r w:rsidR="009D32CC">
        <w:rPr>
          <w:rFonts w:ascii="Calibri Light" w:hAnsi="Calibri Light"/>
        </w:rPr>
        <w:t>all targets were met. S</w:t>
      </w:r>
      <w:r w:rsidR="00AE6233" w:rsidRPr="00F9321F">
        <w:rPr>
          <w:rFonts w:ascii="Calibri Light" w:hAnsi="Calibri Light"/>
        </w:rPr>
        <w:t>mall scale contractors engaged by PWD completed maintenance on 5</w:t>
      </w:r>
      <w:r w:rsidR="00B178DB">
        <w:rPr>
          <w:rFonts w:ascii="Calibri Light" w:hAnsi="Calibri Light"/>
        </w:rPr>
        <w:t>25</w:t>
      </w:r>
      <w:r w:rsidR="00AE6233" w:rsidRPr="00F9321F">
        <w:rPr>
          <w:rFonts w:ascii="Calibri Light" w:hAnsi="Calibri Light"/>
        </w:rPr>
        <w:t>km of rural roads</w:t>
      </w:r>
      <w:r w:rsidR="000B2410">
        <w:rPr>
          <w:rFonts w:ascii="Calibri Light" w:hAnsi="Calibri Light"/>
        </w:rPr>
        <w:t>,</w:t>
      </w:r>
      <w:r w:rsidR="00AE3F7C" w:rsidRPr="00F9321F">
        <w:rPr>
          <w:rFonts w:ascii="Calibri Light" w:hAnsi="Calibri Light"/>
        </w:rPr>
        <w:t xml:space="preserve"> and </w:t>
      </w:r>
      <w:r w:rsidR="008C7F02">
        <w:rPr>
          <w:rFonts w:ascii="Calibri Light" w:hAnsi="Calibri Light"/>
        </w:rPr>
        <w:t xml:space="preserve">undertook </w:t>
      </w:r>
      <w:r w:rsidR="00AE3F7C" w:rsidRPr="00F9321F">
        <w:rPr>
          <w:rFonts w:ascii="Calibri Light" w:hAnsi="Calibri Light"/>
        </w:rPr>
        <w:t>road i</w:t>
      </w:r>
      <w:r w:rsidR="00AE6233" w:rsidRPr="00F9321F">
        <w:rPr>
          <w:rFonts w:ascii="Calibri Light" w:hAnsi="Calibri Light"/>
        </w:rPr>
        <w:t xml:space="preserve">mprovements </w:t>
      </w:r>
      <w:r w:rsidR="000B2410">
        <w:rPr>
          <w:rFonts w:ascii="Calibri Light" w:hAnsi="Calibri Light"/>
        </w:rPr>
        <w:t xml:space="preserve">including </w:t>
      </w:r>
      <w:r w:rsidR="00AE6233" w:rsidRPr="00F9321F">
        <w:rPr>
          <w:rFonts w:ascii="Calibri Light" w:hAnsi="Calibri Light"/>
        </w:rPr>
        <w:t xml:space="preserve">43 concrete </w:t>
      </w:r>
      <w:r w:rsidR="00131DFA">
        <w:rPr>
          <w:rFonts w:ascii="Calibri Light" w:hAnsi="Calibri Light"/>
        </w:rPr>
        <w:t>an</w:t>
      </w:r>
      <w:r w:rsidR="00AE6233" w:rsidRPr="00F9321F">
        <w:rPr>
          <w:rFonts w:ascii="Calibri Light" w:hAnsi="Calibri Light"/>
        </w:rPr>
        <w:t>d 32 drainage structures. These outputs were delivered with 66,618 local labour days</w:t>
      </w:r>
      <w:r w:rsidR="00C82E19">
        <w:rPr>
          <w:rFonts w:ascii="Calibri Light" w:hAnsi="Calibri Light"/>
        </w:rPr>
        <w:t>,</w:t>
      </w:r>
      <w:r w:rsidR="00AE3F7C" w:rsidRPr="00F9321F">
        <w:rPr>
          <w:rFonts w:ascii="Calibri Light" w:hAnsi="Calibri Light"/>
        </w:rPr>
        <w:t xml:space="preserve"> </w:t>
      </w:r>
      <w:r w:rsidR="00AE6233" w:rsidRPr="00F9321F">
        <w:rPr>
          <w:rFonts w:ascii="Calibri Light" w:hAnsi="Calibri Light"/>
        </w:rPr>
        <w:t>24</w:t>
      </w:r>
      <w:r w:rsidR="00B34217" w:rsidRPr="00F9321F">
        <w:rPr>
          <w:rFonts w:ascii="Calibri Light" w:hAnsi="Calibri Light"/>
        </w:rPr>
        <w:t xml:space="preserve"> per cent</w:t>
      </w:r>
      <w:r w:rsidR="00AE6233" w:rsidRPr="00F9321F">
        <w:rPr>
          <w:rFonts w:ascii="Calibri Light" w:hAnsi="Calibri Light"/>
        </w:rPr>
        <w:t xml:space="preserve"> provided by women</w:t>
      </w:r>
      <w:r w:rsidR="00C82E19">
        <w:rPr>
          <w:rFonts w:ascii="Calibri Light" w:hAnsi="Calibri Light"/>
        </w:rPr>
        <w:t>, an in</w:t>
      </w:r>
      <w:r w:rsidR="00C82E19" w:rsidRPr="00890190">
        <w:rPr>
          <w:rFonts w:ascii="Calibri Light" w:hAnsi="Calibri Light"/>
        </w:rPr>
        <w:t>crease from 17 per cent in 2014</w:t>
      </w:r>
      <w:r w:rsidR="00C82E19">
        <w:rPr>
          <w:rStyle w:val="FootnoteReference"/>
          <w:rFonts w:ascii="Calibri Light" w:hAnsi="Calibri Light"/>
        </w:rPr>
        <w:footnoteReference w:id="18"/>
      </w:r>
      <w:r w:rsidR="00B34217" w:rsidRPr="00F9321F">
        <w:rPr>
          <w:rFonts w:ascii="Calibri Light" w:hAnsi="Calibri Light"/>
        </w:rPr>
        <w:t xml:space="preserve">. </w:t>
      </w:r>
      <w:r w:rsidR="000B2410">
        <w:rPr>
          <w:rFonts w:ascii="Calibri Light" w:hAnsi="Calibri Light"/>
        </w:rPr>
        <w:t>Use of local contractors to undertake</w:t>
      </w:r>
      <w:r w:rsidR="00B34217" w:rsidRPr="00F9321F">
        <w:rPr>
          <w:rFonts w:ascii="Calibri Light" w:hAnsi="Calibri Light"/>
        </w:rPr>
        <w:t xml:space="preserve"> works develop</w:t>
      </w:r>
      <w:r w:rsidR="000B2410">
        <w:rPr>
          <w:rFonts w:ascii="Calibri Light" w:hAnsi="Calibri Light"/>
        </w:rPr>
        <w:t>s their</w:t>
      </w:r>
      <w:r w:rsidR="00B34217" w:rsidRPr="00F9321F">
        <w:rPr>
          <w:rFonts w:ascii="Calibri Light" w:hAnsi="Calibri Light"/>
        </w:rPr>
        <w:t xml:space="preserve"> capacity, provide</w:t>
      </w:r>
      <w:r w:rsidR="000B2410">
        <w:rPr>
          <w:rFonts w:ascii="Calibri Light" w:hAnsi="Calibri Light"/>
        </w:rPr>
        <w:t>s</w:t>
      </w:r>
      <w:r w:rsidR="00B34217" w:rsidRPr="00F9321F">
        <w:rPr>
          <w:rFonts w:ascii="Calibri Light" w:hAnsi="Calibri Light"/>
        </w:rPr>
        <w:t xml:space="preserve"> income and stimulate</w:t>
      </w:r>
      <w:r w:rsidR="000B2410">
        <w:rPr>
          <w:rFonts w:ascii="Calibri Light" w:hAnsi="Calibri Light"/>
        </w:rPr>
        <w:t>s</w:t>
      </w:r>
      <w:r w:rsidR="00B34217" w:rsidRPr="00F9321F">
        <w:rPr>
          <w:rFonts w:ascii="Calibri Light" w:hAnsi="Calibri Light"/>
        </w:rPr>
        <w:t xml:space="preserve"> growth in local communities</w:t>
      </w:r>
      <w:r w:rsidR="009D32CC">
        <w:rPr>
          <w:rFonts w:ascii="Calibri Light" w:hAnsi="Calibri Light"/>
        </w:rPr>
        <w:t>: 100 per cent (target met) of maintenance works were delivered through island (76 per cent) or community (24 per cent) based contractors in 2017-18</w:t>
      </w:r>
      <w:r w:rsidR="00B34217" w:rsidRPr="00F9321F">
        <w:rPr>
          <w:rFonts w:ascii="Calibri Light" w:hAnsi="Calibri Light"/>
        </w:rPr>
        <w:t>.</w:t>
      </w:r>
      <w:r w:rsidR="00C82E19">
        <w:rPr>
          <w:rFonts w:ascii="Calibri Light" w:hAnsi="Calibri Light"/>
        </w:rPr>
        <w:t xml:space="preserve"> </w:t>
      </w:r>
      <w:r w:rsidR="00C82E19" w:rsidRPr="00F9321F">
        <w:rPr>
          <w:rFonts w:ascii="Calibri Light" w:hAnsi="Calibri Light"/>
        </w:rPr>
        <w:t xml:space="preserve">R4D ended </w:t>
      </w:r>
      <w:r w:rsidR="00131DFA">
        <w:rPr>
          <w:rFonts w:ascii="Calibri Light" w:hAnsi="Calibri Light"/>
        </w:rPr>
        <w:t>in</w:t>
      </w:r>
      <w:r w:rsidR="00C82E19" w:rsidRPr="00F9321F">
        <w:rPr>
          <w:rFonts w:ascii="Calibri Light" w:hAnsi="Calibri Light"/>
        </w:rPr>
        <w:t xml:space="preserve"> June 2018</w:t>
      </w:r>
      <w:r w:rsidR="00C82E19">
        <w:rPr>
          <w:rFonts w:ascii="Calibri Light" w:hAnsi="Calibri Light"/>
        </w:rPr>
        <w:t>,</w:t>
      </w:r>
      <w:r w:rsidR="00C82E19" w:rsidRPr="00F9321F">
        <w:rPr>
          <w:rFonts w:ascii="Calibri Light" w:hAnsi="Calibri Light"/>
        </w:rPr>
        <w:t xml:space="preserve"> and is transition</w:t>
      </w:r>
      <w:r w:rsidR="00C82E19">
        <w:rPr>
          <w:rFonts w:ascii="Calibri Light" w:hAnsi="Calibri Light"/>
        </w:rPr>
        <w:t>ing to</w:t>
      </w:r>
      <w:r w:rsidR="00C82E19" w:rsidRPr="00F9321F">
        <w:rPr>
          <w:rFonts w:ascii="Calibri Light" w:hAnsi="Calibri Light"/>
        </w:rPr>
        <w:t xml:space="preserve"> R4D Phase 2 </w:t>
      </w:r>
      <w:r w:rsidR="00C82E19">
        <w:rPr>
          <w:rFonts w:ascii="Calibri Light" w:hAnsi="Calibri Light"/>
        </w:rPr>
        <w:t>which will commence in 2019</w:t>
      </w:r>
      <w:r w:rsidR="00C82E19" w:rsidRPr="00890190">
        <w:rPr>
          <w:rFonts w:ascii="Calibri Light" w:hAnsi="Calibri Light"/>
        </w:rPr>
        <w:t xml:space="preserve">. Works completed under R4D since July 2013 include 1,355km of rural roads maintained or rehabilitated, plus construction of 85 concrete </w:t>
      </w:r>
      <w:r w:rsidR="00C82E19">
        <w:rPr>
          <w:rFonts w:ascii="Calibri Light" w:hAnsi="Calibri Light"/>
        </w:rPr>
        <w:t>structures</w:t>
      </w:r>
      <w:r w:rsidR="00C82E19" w:rsidRPr="00890190">
        <w:rPr>
          <w:rFonts w:ascii="Calibri Light" w:hAnsi="Calibri Light"/>
        </w:rPr>
        <w:t xml:space="preserve"> (length 7,904</w:t>
      </w:r>
      <w:r w:rsidR="001C0078">
        <w:rPr>
          <w:rFonts w:ascii="Calibri Light" w:hAnsi="Calibri Light"/>
        </w:rPr>
        <w:t xml:space="preserve"> </w:t>
      </w:r>
      <w:r w:rsidR="00C82E19" w:rsidRPr="00890190">
        <w:rPr>
          <w:rFonts w:ascii="Calibri Light" w:hAnsi="Calibri Light"/>
        </w:rPr>
        <w:t>m) and 119 drainage structures.</w:t>
      </w:r>
    </w:p>
    <w:p w:rsidR="00370C63" w:rsidRDefault="00370C63" w:rsidP="001F507E">
      <w:pPr>
        <w:spacing w:before="0" w:after="0" w:line="240" w:lineRule="auto"/>
        <w:rPr>
          <w:rFonts w:ascii="Calibri Light" w:hAnsi="Calibri Light"/>
        </w:rPr>
      </w:pPr>
    </w:p>
    <w:p w:rsidR="00A64B8E" w:rsidRPr="00F9321F" w:rsidRDefault="00356AC5" w:rsidP="001F507E">
      <w:pPr>
        <w:spacing w:before="0" w:after="0" w:line="240" w:lineRule="auto"/>
        <w:rPr>
          <w:rFonts w:ascii="Calibri Light" w:hAnsi="Calibri Light"/>
        </w:rPr>
      </w:pPr>
      <w:r>
        <w:rPr>
          <w:rFonts w:ascii="Calibri Light" w:hAnsi="Calibri Light"/>
        </w:rPr>
        <w:t>Vanuatu’s</w:t>
      </w:r>
      <w:r w:rsidR="00304AAC">
        <w:rPr>
          <w:rFonts w:ascii="Calibri Light" w:hAnsi="Calibri Light"/>
        </w:rPr>
        <w:t xml:space="preserve"> PWD</w:t>
      </w:r>
      <w:r w:rsidR="0060056B" w:rsidRPr="00F9321F">
        <w:rPr>
          <w:rFonts w:ascii="Calibri Light" w:hAnsi="Calibri Light"/>
        </w:rPr>
        <w:t xml:space="preserve"> and Australia work </w:t>
      </w:r>
      <w:r w:rsidR="00E2379F" w:rsidRPr="00F9321F">
        <w:rPr>
          <w:rFonts w:ascii="Calibri Light" w:hAnsi="Calibri Light"/>
        </w:rPr>
        <w:t>in close partnership</w:t>
      </w:r>
      <w:r w:rsidR="0060056B" w:rsidRPr="00F9321F">
        <w:rPr>
          <w:rFonts w:ascii="Calibri Light" w:hAnsi="Calibri Light"/>
        </w:rPr>
        <w:t xml:space="preserve">. More than half the $29 million R4D </w:t>
      </w:r>
      <w:r w:rsidR="0060056B" w:rsidRPr="0060724D">
        <w:rPr>
          <w:rFonts w:ascii="Calibri Light" w:hAnsi="Calibri Light"/>
        </w:rPr>
        <w:t xml:space="preserve">investment </w:t>
      </w:r>
      <w:r w:rsidR="00266DBA" w:rsidRPr="0060724D">
        <w:rPr>
          <w:rFonts w:ascii="Calibri Light" w:hAnsi="Calibri Light"/>
        </w:rPr>
        <w:t>(</w:t>
      </w:r>
      <w:r w:rsidR="00B55FD3" w:rsidRPr="0017474D">
        <w:rPr>
          <w:rFonts w:ascii="Calibri Light" w:hAnsi="Calibri Light"/>
        </w:rPr>
        <w:t>2013</w:t>
      </w:r>
      <w:r w:rsidR="00266DBA" w:rsidRPr="0060724D">
        <w:rPr>
          <w:rFonts w:ascii="Calibri Light" w:hAnsi="Calibri Light"/>
        </w:rPr>
        <w:t>-</w:t>
      </w:r>
      <w:r w:rsidR="00B55FD3" w:rsidRPr="0017474D">
        <w:rPr>
          <w:rFonts w:ascii="Calibri Light" w:hAnsi="Calibri Light"/>
        </w:rPr>
        <w:t xml:space="preserve">2018) </w:t>
      </w:r>
      <w:r w:rsidR="00E2379F" w:rsidRPr="0060724D">
        <w:rPr>
          <w:rFonts w:ascii="Calibri Light" w:hAnsi="Calibri Light"/>
        </w:rPr>
        <w:t>was</w:t>
      </w:r>
      <w:r w:rsidR="0060056B" w:rsidRPr="0060724D">
        <w:rPr>
          <w:rFonts w:ascii="Calibri Light" w:hAnsi="Calibri Light"/>
        </w:rPr>
        <w:t xml:space="preserve"> delivered through a Direct Funding Agreement, using GoV procurement,</w:t>
      </w:r>
      <w:r w:rsidR="00C82E19">
        <w:rPr>
          <w:rFonts w:ascii="Calibri Light" w:hAnsi="Calibri Light"/>
        </w:rPr>
        <w:t xml:space="preserve"> </w:t>
      </w:r>
      <w:r w:rsidR="0060056B" w:rsidRPr="0060724D">
        <w:rPr>
          <w:rFonts w:ascii="Calibri Light" w:hAnsi="Calibri Light"/>
        </w:rPr>
        <w:t>financ</w:t>
      </w:r>
      <w:r w:rsidR="00C82E19">
        <w:rPr>
          <w:rFonts w:ascii="Calibri Light" w:hAnsi="Calibri Light"/>
        </w:rPr>
        <w:t>ial</w:t>
      </w:r>
      <w:r w:rsidR="0060056B" w:rsidRPr="0060724D">
        <w:rPr>
          <w:rFonts w:ascii="Calibri Light" w:hAnsi="Calibri Light"/>
        </w:rPr>
        <w:t xml:space="preserve"> </w:t>
      </w:r>
      <w:r w:rsidR="0060056B" w:rsidRPr="00F9321F">
        <w:rPr>
          <w:rFonts w:ascii="Calibri Light" w:hAnsi="Calibri Light"/>
        </w:rPr>
        <w:t xml:space="preserve">management and reporting systems.  </w:t>
      </w:r>
      <w:r w:rsidR="00E2379F" w:rsidRPr="00F9321F">
        <w:rPr>
          <w:rFonts w:ascii="Calibri Light" w:hAnsi="Calibri Light"/>
        </w:rPr>
        <w:t>The GoV</w:t>
      </w:r>
      <w:r w:rsidR="0060056B" w:rsidRPr="00F9321F">
        <w:rPr>
          <w:rFonts w:ascii="Calibri Light" w:hAnsi="Calibri Light"/>
        </w:rPr>
        <w:t xml:space="preserve"> </w:t>
      </w:r>
      <w:r w:rsidR="00E2379F" w:rsidRPr="00F9321F">
        <w:rPr>
          <w:rFonts w:ascii="Calibri Light" w:hAnsi="Calibri Light"/>
        </w:rPr>
        <w:t>has increas</w:t>
      </w:r>
      <w:r w:rsidR="00C82E19">
        <w:rPr>
          <w:rFonts w:ascii="Calibri Light" w:hAnsi="Calibri Light"/>
        </w:rPr>
        <w:t>ed its</w:t>
      </w:r>
      <w:r w:rsidR="00E2379F" w:rsidRPr="00F9321F">
        <w:rPr>
          <w:rFonts w:ascii="Calibri Light" w:hAnsi="Calibri Light"/>
        </w:rPr>
        <w:t xml:space="preserve"> share of </w:t>
      </w:r>
      <w:r w:rsidR="0060056B" w:rsidRPr="00F9321F">
        <w:rPr>
          <w:rFonts w:ascii="Calibri Light" w:hAnsi="Calibri Light"/>
        </w:rPr>
        <w:t xml:space="preserve">maintenance </w:t>
      </w:r>
      <w:r w:rsidR="00E2379F" w:rsidRPr="00F9321F">
        <w:rPr>
          <w:rFonts w:ascii="Calibri Light" w:hAnsi="Calibri Light"/>
        </w:rPr>
        <w:t xml:space="preserve">costs, with </w:t>
      </w:r>
      <w:r w:rsidR="0060056B" w:rsidRPr="00F9321F">
        <w:rPr>
          <w:rFonts w:ascii="Calibri Light" w:hAnsi="Calibri Light"/>
        </w:rPr>
        <w:t xml:space="preserve">Australian contributions for road maintenance works declining from $4.5 million </w:t>
      </w:r>
      <w:r w:rsidR="00E2379F" w:rsidRPr="00F9321F">
        <w:rPr>
          <w:rFonts w:ascii="Calibri Light" w:hAnsi="Calibri Light"/>
        </w:rPr>
        <w:t xml:space="preserve">in 2015 </w:t>
      </w:r>
      <w:r w:rsidR="0060056B" w:rsidRPr="00F9321F">
        <w:rPr>
          <w:rFonts w:ascii="Calibri Light" w:hAnsi="Calibri Light"/>
        </w:rPr>
        <w:t xml:space="preserve">to $1.7 million </w:t>
      </w:r>
      <w:r w:rsidR="00E2379F" w:rsidRPr="00F9321F">
        <w:rPr>
          <w:rFonts w:ascii="Calibri Light" w:hAnsi="Calibri Light"/>
        </w:rPr>
        <w:t xml:space="preserve">in 2017 due to additional </w:t>
      </w:r>
      <w:r w:rsidR="00B71E5E">
        <w:rPr>
          <w:rFonts w:ascii="Calibri Light" w:hAnsi="Calibri Light"/>
        </w:rPr>
        <w:t xml:space="preserve">GoV </w:t>
      </w:r>
      <w:r w:rsidR="00E2379F" w:rsidRPr="00F9321F">
        <w:rPr>
          <w:rFonts w:ascii="Calibri Light" w:hAnsi="Calibri Light"/>
        </w:rPr>
        <w:t xml:space="preserve">funding </w:t>
      </w:r>
      <w:r w:rsidR="009631FA">
        <w:rPr>
          <w:rFonts w:ascii="Calibri Light" w:hAnsi="Calibri Light"/>
        </w:rPr>
        <w:t>and prioritisation of maintenance over new capital expenditure</w:t>
      </w:r>
      <w:r w:rsidR="00E2379F" w:rsidRPr="00F9321F">
        <w:rPr>
          <w:rFonts w:ascii="Calibri Light" w:hAnsi="Calibri Light"/>
        </w:rPr>
        <w:t>. Institutional reform supported by Australia included the transition</w:t>
      </w:r>
      <w:r w:rsidR="00716BA8">
        <w:rPr>
          <w:rFonts w:ascii="Calibri Light" w:hAnsi="Calibri Light"/>
        </w:rPr>
        <w:t xml:space="preserve"> </w:t>
      </w:r>
      <w:r w:rsidR="00E2379F" w:rsidRPr="00F9321F">
        <w:rPr>
          <w:rFonts w:ascii="Calibri Light" w:hAnsi="Calibri Light"/>
        </w:rPr>
        <w:t xml:space="preserve">from a traditional works organisation to a modern-style road network manager, with PWD </w:t>
      </w:r>
      <w:r w:rsidR="00716BA8">
        <w:rPr>
          <w:rFonts w:ascii="Calibri Light" w:hAnsi="Calibri Light"/>
        </w:rPr>
        <w:t xml:space="preserve">outsourcing around 90 per cent of its workplan </w:t>
      </w:r>
      <w:r w:rsidR="009631FA">
        <w:rPr>
          <w:rFonts w:ascii="Calibri Light" w:hAnsi="Calibri Light"/>
        </w:rPr>
        <w:t xml:space="preserve">to private sector contractors </w:t>
      </w:r>
      <w:r w:rsidR="00716BA8">
        <w:rPr>
          <w:rFonts w:ascii="Calibri Light" w:hAnsi="Calibri Light"/>
        </w:rPr>
        <w:t xml:space="preserve">in 2018, an increase </w:t>
      </w:r>
      <w:r w:rsidR="009631FA">
        <w:rPr>
          <w:rFonts w:ascii="Calibri Light" w:hAnsi="Calibri Light"/>
        </w:rPr>
        <w:t xml:space="preserve">of </w:t>
      </w:r>
      <w:r w:rsidR="006A34CA">
        <w:rPr>
          <w:rFonts w:ascii="Calibri Light" w:hAnsi="Calibri Light"/>
        </w:rPr>
        <w:t>37</w:t>
      </w:r>
      <w:r w:rsidR="00716BA8">
        <w:rPr>
          <w:rFonts w:ascii="Calibri Light" w:hAnsi="Calibri Light"/>
        </w:rPr>
        <w:t xml:space="preserve"> per cent </w:t>
      </w:r>
      <w:r w:rsidR="009631FA">
        <w:rPr>
          <w:rFonts w:ascii="Calibri Light" w:hAnsi="Calibri Light"/>
        </w:rPr>
        <w:t>since</w:t>
      </w:r>
      <w:r w:rsidR="00716BA8">
        <w:rPr>
          <w:rFonts w:ascii="Calibri Light" w:hAnsi="Calibri Light"/>
        </w:rPr>
        <w:t xml:space="preserve"> 2013.</w:t>
      </w:r>
      <w:r w:rsidR="009D32CC">
        <w:rPr>
          <w:rFonts w:ascii="Calibri Light" w:hAnsi="Calibri Light"/>
        </w:rPr>
        <w:t xml:space="preserve"> </w:t>
      </w:r>
      <w:r w:rsidR="008C7F02" w:rsidRPr="00F9321F">
        <w:rPr>
          <w:rFonts w:ascii="Calibri Light" w:hAnsi="Calibri Light"/>
        </w:rPr>
        <w:t xml:space="preserve">A </w:t>
      </w:r>
      <w:r w:rsidR="009D32CC">
        <w:rPr>
          <w:rFonts w:ascii="Calibri Light" w:hAnsi="Calibri Light"/>
        </w:rPr>
        <w:t xml:space="preserve">benchmark </w:t>
      </w:r>
      <w:r w:rsidR="008C7F02" w:rsidRPr="00F9321F">
        <w:rPr>
          <w:rFonts w:ascii="Calibri Light" w:hAnsi="Calibri Light"/>
        </w:rPr>
        <w:t xml:space="preserve">measure of </w:t>
      </w:r>
      <w:r w:rsidR="00A64B8E" w:rsidRPr="00F9321F">
        <w:rPr>
          <w:rFonts w:ascii="Calibri Light" w:hAnsi="Calibri Light"/>
        </w:rPr>
        <w:t xml:space="preserve">R4D’s success </w:t>
      </w:r>
      <w:r w:rsidR="008C7F02" w:rsidRPr="00F9321F">
        <w:rPr>
          <w:rFonts w:ascii="Calibri Light" w:hAnsi="Calibri Light"/>
        </w:rPr>
        <w:t xml:space="preserve">is the Rural Accessibility Index (RAI), which measures the percentage of the population </w:t>
      </w:r>
      <w:r w:rsidR="006313C3">
        <w:rPr>
          <w:rFonts w:ascii="Calibri Light" w:hAnsi="Calibri Light"/>
        </w:rPr>
        <w:t>with access to</w:t>
      </w:r>
      <w:r w:rsidR="008C7F02" w:rsidRPr="00F9321F">
        <w:rPr>
          <w:rFonts w:ascii="Calibri Light" w:hAnsi="Calibri Light"/>
        </w:rPr>
        <w:t xml:space="preserve"> all</w:t>
      </w:r>
      <w:r w:rsidR="006313C3">
        <w:rPr>
          <w:rFonts w:ascii="Calibri Light" w:hAnsi="Calibri Light"/>
        </w:rPr>
        <w:t>-</w:t>
      </w:r>
      <w:r w:rsidR="00B178DB" w:rsidRPr="00A5708E">
        <w:rPr>
          <w:rFonts w:ascii="Calibri Light" w:hAnsi="Calibri Light"/>
        </w:rPr>
        <w:t>year</w:t>
      </w:r>
      <w:r w:rsidR="006313C3" w:rsidRPr="00A5708E">
        <w:rPr>
          <w:rFonts w:ascii="Calibri Light" w:hAnsi="Calibri Light"/>
        </w:rPr>
        <w:t>-</w:t>
      </w:r>
      <w:r w:rsidR="00B178DB" w:rsidRPr="00A5708E">
        <w:rPr>
          <w:rFonts w:ascii="Calibri Light" w:hAnsi="Calibri Light"/>
        </w:rPr>
        <w:t>round</w:t>
      </w:r>
      <w:r w:rsidR="008C7F02" w:rsidRPr="00A5708E">
        <w:rPr>
          <w:rFonts w:ascii="Calibri Light" w:hAnsi="Calibri Light"/>
        </w:rPr>
        <w:t xml:space="preserve"> road</w:t>
      </w:r>
      <w:r w:rsidR="006313C3" w:rsidRPr="00A5708E">
        <w:rPr>
          <w:rFonts w:ascii="Calibri Light" w:hAnsi="Calibri Light"/>
        </w:rPr>
        <w:t>s</w:t>
      </w:r>
      <w:r w:rsidR="008C7F02" w:rsidRPr="00A5708E">
        <w:rPr>
          <w:rStyle w:val="FootnoteReference"/>
          <w:rFonts w:ascii="Calibri Light" w:hAnsi="Calibri Light"/>
        </w:rPr>
        <w:footnoteReference w:id="19"/>
      </w:r>
      <w:r w:rsidR="008C7F02" w:rsidRPr="00F9321F">
        <w:rPr>
          <w:rFonts w:ascii="Calibri Light" w:hAnsi="Calibri Light"/>
        </w:rPr>
        <w:t xml:space="preserve"> co</w:t>
      </w:r>
      <w:r w:rsidR="00304AAC">
        <w:rPr>
          <w:rFonts w:ascii="Calibri Light" w:hAnsi="Calibri Light"/>
        </w:rPr>
        <w:t>n</w:t>
      </w:r>
      <w:r w:rsidR="008C7F02" w:rsidRPr="00F9321F">
        <w:rPr>
          <w:rFonts w:ascii="Calibri Light" w:hAnsi="Calibri Light"/>
        </w:rPr>
        <w:t>necting</w:t>
      </w:r>
      <w:r w:rsidR="000B2410">
        <w:rPr>
          <w:rFonts w:ascii="Calibri Light" w:hAnsi="Calibri Light"/>
        </w:rPr>
        <w:t xml:space="preserve"> </w:t>
      </w:r>
      <w:r w:rsidR="008C7F02" w:rsidRPr="00F9321F">
        <w:rPr>
          <w:rFonts w:ascii="Calibri Light" w:hAnsi="Calibri Light"/>
        </w:rPr>
        <w:t>with economic and services hub</w:t>
      </w:r>
      <w:r w:rsidR="009631FA">
        <w:rPr>
          <w:rFonts w:ascii="Calibri Light" w:hAnsi="Calibri Light"/>
        </w:rPr>
        <w:t>s</w:t>
      </w:r>
      <w:r w:rsidR="008C7F02" w:rsidRPr="00F9321F">
        <w:rPr>
          <w:rFonts w:ascii="Calibri Light" w:hAnsi="Calibri Light"/>
        </w:rPr>
        <w:t xml:space="preserve">. </w:t>
      </w:r>
      <w:r w:rsidR="00B178DB">
        <w:rPr>
          <w:rFonts w:ascii="Calibri Light" w:hAnsi="Calibri Light"/>
        </w:rPr>
        <w:t xml:space="preserve">Since </w:t>
      </w:r>
      <w:r w:rsidR="00A64B8E" w:rsidRPr="00F9321F">
        <w:rPr>
          <w:rFonts w:ascii="Calibri Light" w:hAnsi="Calibri Light"/>
        </w:rPr>
        <w:t>R4D</w:t>
      </w:r>
      <w:r w:rsidR="00B178DB">
        <w:rPr>
          <w:rFonts w:ascii="Calibri Light" w:hAnsi="Calibri Light"/>
        </w:rPr>
        <w:t xml:space="preserve"> </w:t>
      </w:r>
      <w:r w:rsidR="000B2410">
        <w:rPr>
          <w:rFonts w:ascii="Calibri Light" w:hAnsi="Calibri Light"/>
        </w:rPr>
        <w:t>commenced</w:t>
      </w:r>
      <w:r w:rsidR="000B2410" w:rsidRPr="00F9321F">
        <w:rPr>
          <w:rFonts w:ascii="Calibri Light" w:hAnsi="Calibri Light"/>
        </w:rPr>
        <w:t xml:space="preserve"> </w:t>
      </w:r>
      <w:r w:rsidR="00A64B8E" w:rsidRPr="00F9321F">
        <w:rPr>
          <w:rFonts w:ascii="Calibri Light" w:hAnsi="Calibri Light"/>
        </w:rPr>
        <w:t xml:space="preserve">the length of </w:t>
      </w:r>
      <w:r w:rsidR="006313C3">
        <w:rPr>
          <w:rFonts w:ascii="Calibri Light" w:hAnsi="Calibri Light"/>
        </w:rPr>
        <w:t>all-year-round</w:t>
      </w:r>
      <w:r w:rsidR="00A64B8E" w:rsidRPr="00F9321F">
        <w:rPr>
          <w:rFonts w:ascii="Calibri Light" w:hAnsi="Calibri Light"/>
        </w:rPr>
        <w:t xml:space="preserve"> roads </w:t>
      </w:r>
      <w:r w:rsidR="008C7F02" w:rsidRPr="00F9321F">
        <w:rPr>
          <w:rFonts w:ascii="Calibri Light" w:hAnsi="Calibri Light"/>
        </w:rPr>
        <w:t xml:space="preserve">has </w:t>
      </w:r>
      <w:r w:rsidR="00A64B8E" w:rsidRPr="00F9321F">
        <w:rPr>
          <w:rFonts w:ascii="Calibri Light" w:hAnsi="Calibri Light"/>
        </w:rPr>
        <w:t>increased from 1</w:t>
      </w:r>
      <w:r w:rsidR="00B178DB">
        <w:rPr>
          <w:rFonts w:ascii="Calibri Light" w:hAnsi="Calibri Light"/>
        </w:rPr>
        <w:t>,</w:t>
      </w:r>
      <w:r w:rsidR="00A64B8E" w:rsidRPr="00F9321F">
        <w:rPr>
          <w:rFonts w:ascii="Calibri Light" w:hAnsi="Calibri Light"/>
        </w:rPr>
        <w:t>050</w:t>
      </w:r>
      <w:r w:rsidR="00B178DB">
        <w:rPr>
          <w:rFonts w:ascii="Calibri Light" w:hAnsi="Calibri Light"/>
        </w:rPr>
        <w:t xml:space="preserve"> </w:t>
      </w:r>
      <w:r w:rsidR="00A64B8E" w:rsidRPr="00F9321F">
        <w:rPr>
          <w:rFonts w:ascii="Calibri Light" w:hAnsi="Calibri Light"/>
        </w:rPr>
        <w:t>to 1</w:t>
      </w:r>
      <w:r w:rsidR="00B178DB">
        <w:rPr>
          <w:rFonts w:ascii="Calibri Light" w:hAnsi="Calibri Light"/>
        </w:rPr>
        <w:t>,</w:t>
      </w:r>
      <w:r w:rsidR="00A64B8E" w:rsidRPr="00F9321F">
        <w:rPr>
          <w:rFonts w:ascii="Calibri Light" w:hAnsi="Calibri Light"/>
        </w:rPr>
        <w:t>370</w:t>
      </w:r>
      <w:r w:rsidR="00B178DB">
        <w:rPr>
          <w:rFonts w:ascii="Calibri Light" w:hAnsi="Calibri Light"/>
        </w:rPr>
        <w:t xml:space="preserve"> k</w:t>
      </w:r>
      <w:r w:rsidR="001C0078">
        <w:rPr>
          <w:rFonts w:ascii="Calibri Light" w:hAnsi="Calibri Light"/>
        </w:rPr>
        <w:t>m</w:t>
      </w:r>
      <w:r w:rsidR="00C82E19">
        <w:rPr>
          <w:rFonts w:ascii="Calibri Light" w:hAnsi="Calibri Light"/>
        </w:rPr>
        <w:t>;</w:t>
      </w:r>
      <w:r w:rsidR="00A64B8E" w:rsidRPr="00F9321F">
        <w:rPr>
          <w:rFonts w:ascii="Calibri Light" w:hAnsi="Calibri Light"/>
        </w:rPr>
        <w:t xml:space="preserve"> </w:t>
      </w:r>
      <w:r w:rsidR="00C82E19">
        <w:rPr>
          <w:rFonts w:ascii="Calibri Light" w:hAnsi="Calibri Light"/>
        </w:rPr>
        <w:t>t</w:t>
      </w:r>
      <w:r w:rsidR="00A64B8E" w:rsidRPr="00F9321F">
        <w:rPr>
          <w:rFonts w:ascii="Calibri Light" w:hAnsi="Calibri Light"/>
        </w:rPr>
        <w:t>his translates to an</w:t>
      </w:r>
      <w:r w:rsidR="008C7F02" w:rsidRPr="00F9321F">
        <w:rPr>
          <w:rFonts w:ascii="Calibri Light" w:hAnsi="Calibri Light"/>
        </w:rPr>
        <w:t xml:space="preserve"> RAI</w:t>
      </w:r>
      <w:r w:rsidR="00A64B8E" w:rsidRPr="00F9321F">
        <w:rPr>
          <w:rFonts w:ascii="Calibri Light" w:hAnsi="Calibri Light"/>
        </w:rPr>
        <w:t xml:space="preserve"> increase of 13</w:t>
      </w:r>
      <w:r w:rsidR="00072B0E">
        <w:rPr>
          <w:rFonts w:ascii="Calibri Light" w:hAnsi="Calibri Light"/>
        </w:rPr>
        <w:t>.5 per cent</w:t>
      </w:r>
      <w:r w:rsidR="000B2410">
        <w:rPr>
          <w:rFonts w:ascii="Calibri Light" w:hAnsi="Calibri Light"/>
        </w:rPr>
        <w:t>;</w:t>
      </w:r>
      <w:r w:rsidR="00A64B8E" w:rsidRPr="00F9321F">
        <w:rPr>
          <w:rFonts w:ascii="Calibri Light" w:hAnsi="Calibri Light"/>
        </w:rPr>
        <w:t xml:space="preserve"> 54</w:t>
      </w:r>
      <w:r w:rsidR="00072B0E">
        <w:rPr>
          <w:rFonts w:ascii="Calibri Light" w:hAnsi="Calibri Light"/>
        </w:rPr>
        <w:t>.5 per cent</w:t>
      </w:r>
      <w:r w:rsidR="00A64B8E" w:rsidRPr="00F9321F">
        <w:rPr>
          <w:rFonts w:ascii="Calibri Light" w:hAnsi="Calibri Light"/>
        </w:rPr>
        <w:t xml:space="preserve"> of </w:t>
      </w:r>
      <w:r w:rsidR="008C7F02" w:rsidRPr="00F9321F">
        <w:rPr>
          <w:rFonts w:ascii="Calibri Light" w:hAnsi="Calibri Light"/>
        </w:rPr>
        <w:t xml:space="preserve">the </w:t>
      </w:r>
      <w:r w:rsidR="00A64B8E" w:rsidRPr="00F9321F">
        <w:rPr>
          <w:rFonts w:ascii="Calibri Light" w:hAnsi="Calibri Light"/>
        </w:rPr>
        <w:t xml:space="preserve">rural population now </w:t>
      </w:r>
      <w:r w:rsidR="00370C63">
        <w:rPr>
          <w:rFonts w:ascii="Calibri Light" w:hAnsi="Calibri Light"/>
        </w:rPr>
        <w:t>has access to all-</w:t>
      </w:r>
      <w:r w:rsidR="00A64B8E" w:rsidRPr="00F9321F">
        <w:rPr>
          <w:rFonts w:ascii="Calibri Light" w:hAnsi="Calibri Light"/>
        </w:rPr>
        <w:t xml:space="preserve"> year-round road</w:t>
      </w:r>
      <w:r w:rsidR="00370C63">
        <w:rPr>
          <w:rFonts w:ascii="Calibri Light" w:hAnsi="Calibri Light"/>
        </w:rPr>
        <w:t>s</w:t>
      </w:r>
      <w:r w:rsidR="00A64B8E" w:rsidRPr="00F9321F">
        <w:rPr>
          <w:rFonts w:ascii="Calibri Light" w:hAnsi="Calibri Light"/>
        </w:rPr>
        <w:t xml:space="preserve"> </w:t>
      </w:r>
      <w:r w:rsidR="000B2410">
        <w:rPr>
          <w:rFonts w:ascii="Calibri Light" w:hAnsi="Calibri Light"/>
        </w:rPr>
        <w:t>(</w:t>
      </w:r>
      <w:r w:rsidR="00A64B8E" w:rsidRPr="00F9321F">
        <w:rPr>
          <w:rFonts w:ascii="Calibri Light" w:hAnsi="Calibri Light"/>
        </w:rPr>
        <w:t>41</w:t>
      </w:r>
      <w:r w:rsidR="00072B0E">
        <w:rPr>
          <w:rFonts w:ascii="Calibri Light" w:hAnsi="Calibri Light"/>
        </w:rPr>
        <w:t xml:space="preserve"> per cent </w:t>
      </w:r>
      <w:r w:rsidR="00A64B8E" w:rsidRPr="00F9321F">
        <w:rPr>
          <w:rFonts w:ascii="Calibri Light" w:hAnsi="Calibri Light"/>
        </w:rPr>
        <w:t>in 2012</w:t>
      </w:r>
      <w:r w:rsidR="000B2410">
        <w:rPr>
          <w:rFonts w:ascii="Calibri Light" w:hAnsi="Calibri Light"/>
        </w:rPr>
        <w:t>)</w:t>
      </w:r>
      <w:r w:rsidR="00A64B8E" w:rsidRPr="00F9321F">
        <w:rPr>
          <w:rFonts w:ascii="Calibri Light" w:hAnsi="Calibri Light"/>
        </w:rPr>
        <w:t>.</w:t>
      </w:r>
    </w:p>
    <w:p w:rsidR="00370C63" w:rsidRDefault="00370C63" w:rsidP="001F507E">
      <w:pPr>
        <w:pStyle w:val="CommentText"/>
        <w:spacing w:before="0" w:after="0"/>
        <w:rPr>
          <w:rFonts w:ascii="Calibri Light" w:hAnsi="Calibri Light"/>
          <w:sz w:val="22"/>
          <w:szCs w:val="22"/>
        </w:rPr>
      </w:pPr>
    </w:p>
    <w:p w:rsidR="000F74A5" w:rsidRPr="000F74A5" w:rsidRDefault="000F74A5" w:rsidP="000F74A5">
      <w:pPr>
        <w:pStyle w:val="CommentText"/>
        <w:spacing w:before="0" w:after="0"/>
        <w:rPr>
          <w:sz w:val="22"/>
          <w:szCs w:val="22"/>
        </w:rPr>
      </w:pPr>
      <w:r w:rsidRPr="008A425D">
        <w:rPr>
          <w:sz w:val="22"/>
          <w:szCs w:val="22"/>
        </w:rPr>
        <w:t>The Port Vila Urban Development Project (PVUDP), co-funded by Australia and the Asian Development Bank (ADB) and implemented by the GoV</w:t>
      </w:r>
      <w:r w:rsidR="00214546">
        <w:rPr>
          <w:sz w:val="22"/>
          <w:szCs w:val="22"/>
        </w:rPr>
        <w:t>,</w:t>
      </w:r>
      <w:r w:rsidRPr="008A425D">
        <w:rPr>
          <w:sz w:val="22"/>
          <w:szCs w:val="22"/>
        </w:rPr>
        <w:t xml:space="preserve"> demonstrated steady achievement against project targets</w:t>
      </w:r>
      <w:r w:rsidR="00214546">
        <w:rPr>
          <w:sz w:val="22"/>
          <w:szCs w:val="22"/>
        </w:rPr>
        <w:t>. I</w:t>
      </w:r>
      <w:r w:rsidRPr="008A425D">
        <w:rPr>
          <w:sz w:val="22"/>
          <w:szCs w:val="22"/>
        </w:rPr>
        <w:t>n 2017-18</w:t>
      </w:r>
      <w:r w:rsidR="008F21F1">
        <w:rPr>
          <w:sz w:val="22"/>
          <w:szCs w:val="22"/>
        </w:rPr>
        <w:t>,</w:t>
      </w:r>
      <w:r w:rsidR="00214546">
        <w:rPr>
          <w:sz w:val="22"/>
          <w:szCs w:val="22"/>
        </w:rPr>
        <w:t xml:space="preserve"> </w:t>
      </w:r>
      <w:r w:rsidR="00131DFA">
        <w:rPr>
          <w:sz w:val="22"/>
          <w:szCs w:val="22"/>
        </w:rPr>
        <w:t xml:space="preserve">completion of </w:t>
      </w:r>
      <w:r w:rsidR="00214546">
        <w:rPr>
          <w:sz w:val="22"/>
          <w:szCs w:val="22"/>
        </w:rPr>
        <w:t>6.4</w:t>
      </w:r>
      <w:r w:rsidRPr="008A425D">
        <w:rPr>
          <w:sz w:val="22"/>
          <w:szCs w:val="22"/>
        </w:rPr>
        <w:t xml:space="preserve"> </w:t>
      </w:r>
      <w:r w:rsidR="001C0078">
        <w:rPr>
          <w:sz w:val="22"/>
          <w:szCs w:val="22"/>
        </w:rPr>
        <w:t>km</w:t>
      </w:r>
      <w:r w:rsidR="00131DFA">
        <w:rPr>
          <w:sz w:val="22"/>
          <w:szCs w:val="22"/>
        </w:rPr>
        <w:t xml:space="preserve"> </w:t>
      </w:r>
      <w:r w:rsidRPr="008A425D">
        <w:rPr>
          <w:sz w:val="22"/>
          <w:szCs w:val="22"/>
        </w:rPr>
        <w:t xml:space="preserve">of storm water drainage improvements in six catchments </w:t>
      </w:r>
      <w:r w:rsidR="001C0078">
        <w:rPr>
          <w:sz w:val="22"/>
          <w:szCs w:val="22"/>
        </w:rPr>
        <w:t>help</w:t>
      </w:r>
      <w:r w:rsidR="008F21F1">
        <w:rPr>
          <w:sz w:val="22"/>
          <w:szCs w:val="22"/>
        </w:rPr>
        <w:t>s</w:t>
      </w:r>
      <w:r w:rsidR="001C0078">
        <w:rPr>
          <w:sz w:val="22"/>
          <w:szCs w:val="22"/>
        </w:rPr>
        <w:t xml:space="preserve"> </w:t>
      </w:r>
      <w:r w:rsidRPr="008A425D">
        <w:rPr>
          <w:sz w:val="22"/>
          <w:szCs w:val="22"/>
        </w:rPr>
        <w:t>reduce travel disruptions during the wet season</w:t>
      </w:r>
      <w:r w:rsidR="001C0078">
        <w:rPr>
          <w:sz w:val="22"/>
          <w:szCs w:val="22"/>
        </w:rPr>
        <w:t>, 13 km</w:t>
      </w:r>
      <w:r w:rsidRPr="008A425D">
        <w:rPr>
          <w:sz w:val="22"/>
          <w:szCs w:val="22"/>
        </w:rPr>
        <w:t xml:space="preserve"> of new disability accessible footpaths allow people to move around more easily and safely and 45 new bus bays ease traffic congestion. Ten public and community disability accessible sanitation facilities are complete and another nine are under construction. One hundred per cent (target of 2,000,000 litres met) of septic waste is now treated at Vanuatu’s first sewerage treatment facility instead of being delivered to landfill.</w:t>
      </w:r>
    </w:p>
    <w:p w:rsidR="0060056B" w:rsidRDefault="0060056B" w:rsidP="0017474D">
      <w:pPr>
        <w:rPr>
          <w:rFonts w:ascii="Calibri Light" w:hAnsi="Calibri Light"/>
        </w:rPr>
      </w:pPr>
      <w:r w:rsidRPr="00192B28">
        <w:rPr>
          <w:rFonts w:ascii="Calibri Light" w:hAnsi="Calibri Light"/>
        </w:rPr>
        <w:t>However, PVUDP is an ambitious project operating in a challenging context</w:t>
      </w:r>
      <w:r w:rsidR="00032CD6">
        <w:rPr>
          <w:rFonts w:ascii="Calibri Light" w:hAnsi="Calibri Light"/>
        </w:rPr>
        <w:t xml:space="preserve"> and Australia does not directly supervise or oversee implementation - this is done by the ADB</w:t>
      </w:r>
      <w:r w:rsidRPr="00192B28">
        <w:rPr>
          <w:rFonts w:ascii="Calibri Light" w:hAnsi="Calibri Light"/>
        </w:rPr>
        <w:t>. While all programmed works are on track to be completed by the end of 2018</w:t>
      </w:r>
      <w:r>
        <w:rPr>
          <w:rFonts w:ascii="Calibri Light" w:hAnsi="Calibri Light"/>
        </w:rPr>
        <w:t>,</w:t>
      </w:r>
      <w:r w:rsidRPr="00192B28">
        <w:rPr>
          <w:rFonts w:ascii="Calibri Light" w:hAnsi="Calibri Light"/>
        </w:rPr>
        <w:t xml:space="preserve"> the impact of TC Pam, foreign exchange losses and higher than anticipated design and construction costs have hindered implementation and resulted in scope reductions and delays.  Given these issues, PVUDP was identified as an Investment Requiring Improvement </w:t>
      </w:r>
      <w:r w:rsidR="005F17A1">
        <w:rPr>
          <w:rFonts w:ascii="Calibri Light" w:hAnsi="Calibri Light"/>
        </w:rPr>
        <w:t>by DFAT</w:t>
      </w:r>
      <w:r w:rsidR="000B2410">
        <w:rPr>
          <w:rFonts w:ascii="Calibri Light" w:hAnsi="Calibri Light"/>
        </w:rPr>
        <w:t>,</w:t>
      </w:r>
      <w:r w:rsidRPr="00192B28">
        <w:rPr>
          <w:rFonts w:ascii="Calibri Light" w:hAnsi="Calibri Light"/>
        </w:rPr>
        <w:t xml:space="preserve"> and a </w:t>
      </w:r>
      <w:r w:rsidR="006A34CA">
        <w:rPr>
          <w:rFonts w:ascii="Calibri Light" w:hAnsi="Calibri Light"/>
        </w:rPr>
        <w:t>r</w:t>
      </w:r>
      <w:r w:rsidRPr="00192B28">
        <w:rPr>
          <w:rFonts w:ascii="Calibri Light" w:hAnsi="Calibri Light"/>
        </w:rPr>
        <w:t xml:space="preserve">emediation </w:t>
      </w:r>
      <w:r w:rsidR="006A34CA">
        <w:rPr>
          <w:rFonts w:ascii="Calibri Light" w:hAnsi="Calibri Light"/>
        </w:rPr>
        <w:t>p</w:t>
      </w:r>
      <w:r w:rsidRPr="00192B28">
        <w:rPr>
          <w:rFonts w:ascii="Calibri Light" w:hAnsi="Calibri Light"/>
        </w:rPr>
        <w:t>lan developed. DFAT will prioritise targeted management actions for the remainder of project implementation</w:t>
      </w:r>
      <w:r w:rsidR="00131DFA">
        <w:rPr>
          <w:rFonts w:ascii="Calibri Light" w:hAnsi="Calibri Light"/>
        </w:rPr>
        <w:t>,</w:t>
      </w:r>
      <w:r w:rsidRPr="00192B28">
        <w:rPr>
          <w:rFonts w:ascii="Calibri Light" w:hAnsi="Calibri Light"/>
        </w:rPr>
        <w:t xml:space="preserve"> </w:t>
      </w:r>
      <w:r w:rsidRPr="00915BCC">
        <w:rPr>
          <w:rFonts w:ascii="Calibri Light" w:hAnsi="Calibri Light"/>
        </w:rPr>
        <w:t xml:space="preserve">including: </w:t>
      </w:r>
      <w:r w:rsidR="009D32CC" w:rsidRPr="0017474D">
        <w:rPr>
          <w:rFonts w:ascii="Calibri Light" w:hAnsi="Calibri Light"/>
        </w:rPr>
        <w:t xml:space="preserve">strengthened management oversight and resourcing by </w:t>
      </w:r>
      <w:r w:rsidRPr="00915BCC">
        <w:rPr>
          <w:rFonts w:ascii="Calibri Light" w:hAnsi="Calibri Light"/>
        </w:rPr>
        <w:t>the</w:t>
      </w:r>
      <w:r w:rsidRPr="00192B28">
        <w:rPr>
          <w:rFonts w:ascii="Calibri Light" w:hAnsi="Calibri Light"/>
        </w:rPr>
        <w:t xml:space="preserve"> ADB and the GoV’s Project </w:t>
      </w:r>
      <w:r w:rsidRPr="008519AA">
        <w:rPr>
          <w:rFonts w:ascii="Calibri Light" w:hAnsi="Calibri Light"/>
        </w:rPr>
        <w:t xml:space="preserve">Management Unit </w:t>
      </w:r>
      <w:r w:rsidR="000B2410">
        <w:rPr>
          <w:rFonts w:ascii="Calibri Light" w:hAnsi="Calibri Light"/>
        </w:rPr>
        <w:t>(</w:t>
      </w:r>
      <w:r w:rsidRPr="008519AA">
        <w:rPr>
          <w:rFonts w:ascii="Calibri Light" w:hAnsi="Calibri Light"/>
        </w:rPr>
        <w:t>responsible for project execution</w:t>
      </w:r>
      <w:r w:rsidR="000B2410">
        <w:rPr>
          <w:rFonts w:ascii="Calibri Light" w:hAnsi="Calibri Light"/>
        </w:rPr>
        <w:t>)</w:t>
      </w:r>
      <w:r w:rsidRPr="008519AA">
        <w:rPr>
          <w:rFonts w:ascii="Calibri Light" w:hAnsi="Calibri Light"/>
        </w:rPr>
        <w:t xml:space="preserve">; as well as regular reporting to </w:t>
      </w:r>
      <w:r w:rsidR="00A23C1E">
        <w:rPr>
          <w:rFonts w:ascii="Calibri Light" w:hAnsi="Calibri Light"/>
        </w:rPr>
        <w:t xml:space="preserve">DFAT </w:t>
      </w:r>
      <w:r w:rsidRPr="008519AA">
        <w:rPr>
          <w:rFonts w:ascii="Calibri Light" w:hAnsi="Calibri Light"/>
        </w:rPr>
        <w:t xml:space="preserve">senior </w:t>
      </w:r>
      <w:r w:rsidRPr="008519AA">
        <w:rPr>
          <w:rFonts w:ascii="Calibri Light" w:hAnsi="Calibri Light"/>
        </w:rPr>
        <w:lastRenderedPageBreak/>
        <w:t xml:space="preserve">management on progress and risks. Plans for any future co-financed investments with </w:t>
      </w:r>
      <w:r>
        <w:rPr>
          <w:rFonts w:ascii="Calibri Light" w:hAnsi="Calibri Light"/>
        </w:rPr>
        <w:t xml:space="preserve">the </w:t>
      </w:r>
      <w:r w:rsidRPr="008519AA">
        <w:rPr>
          <w:rFonts w:ascii="Calibri Light" w:hAnsi="Calibri Light"/>
        </w:rPr>
        <w:t>ADB</w:t>
      </w:r>
      <w:r w:rsidR="006A34CA">
        <w:rPr>
          <w:rFonts w:ascii="Calibri Light" w:hAnsi="Calibri Light"/>
        </w:rPr>
        <w:t xml:space="preserve"> </w:t>
      </w:r>
      <w:r w:rsidR="000B2410">
        <w:rPr>
          <w:rFonts w:ascii="Calibri Light" w:hAnsi="Calibri Light"/>
        </w:rPr>
        <w:t>will be</w:t>
      </w:r>
      <w:r w:rsidR="00C35BE6">
        <w:rPr>
          <w:rFonts w:ascii="Calibri Light" w:hAnsi="Calibri Light"/>
        </w:rPr>
        <w:t xml:space="preserve"> </w:t>
      </w:r>
      <w:r w:rsidR="000B2410">
        <w:rPr>
          <w:rFonts w:ascii="Calibri Light" w:hAnsi="Calibri Light"/>
        </w:rPr>
        <w:t>informed</w:t>
      </w:r>
      <w:r w:rsidRPr="008519AA">
        <w:rPr>
          <w:rFonts w:ascii="Calibri Light" w:hAnsi="Calibri Light"/>
        </w:rPr>
        <w:t xml:space="preserve"> by lessons learned from PVUDP to ensure the best implementation model for the context.</w:t>
      </w:r>
    </w:p>
    <w:p w:rsidR="005A4264" w:rsidRDefault="005A4264" w:rsidP="00F50511">
      <w:pPr>
        <w:spacing w:before="0" w:after="0"/>
        <w:rPr>
          <w:rFonts w:ascii="Calibri Light" w:hAnsi="Calibri Light"/>
          <w:b/>
        </w:rPr>
      </w:pPr>
    </w:p>
    <w:p w:rsidR="00F50511" w:rsidRPr="00223BD4" w:rsidRDefault="00F50511" w:rsidP="00F50511">
      <w:pPr>
        <w:spacing w:before="0" w:after="0"/>
        <w:rPr>
          <w:rFonts w:ascii="Calibri Light" w:hAnsi="Calibri Light"/>
          <w:b/>
        </w:rPr>
      </w:pPr>
      <w:r w:rsidRPr="00223BD4">
        <w:rPr>
          <w:rFonts w:ascii="Calibri Light" w:hAnsi="Calibri Light"/>
          <w:b/>
        </w:rPr>
        <w:t xml:space="preserve">Skills &amp; Employment </w:t>
      </w:r>
    </w:p>
    <w:p w:rsidR="00CE3540" w:rsidRPr="00772167" w:rsidRDefault="006A34CA" w:rsidP="00772167">
      <w:pPr>
        <w:spacing w:before="0" w:after="0" w:line="240" w:lineRule="auto"/>
        <w:rPr>
          <w:rFonts w:cs="Arial"/>
        </w:rPr>
      </w:pPr>
      <w:r w:rsidRPr="008A425D">
        <w:t>Australia, through the</w:t>
      </w:r>
      <w:r w:rsidR="00F50511" w:rsidRPr="008A425D">
        <w:t xml:space="preserve"> Vanuatu Skills Partnership (VSP)</w:t>
      </w:r>
      <w:r w:rsidR="000B2410" w:rsidRPr="008A425D">
        <w:t>,</w:t>
      </w:r>
      <w:r w:rsidR="00F50511" w:rsidRPr="008A425D">
        <w:t xml:space="preserve"> </w:t>
      </w:r>
      <w:r w:rsidR="00072B0E" w:rsidRPr="008A425D">
        <w:t>supports</w:t>
      </w:r>
      <w:r w:rsidR="00F50511" w:rsidRPr="008A425D">
        <w:t xml:space="preserve"> </w:t>
      </w:r>
      <w:r w:rsidR="00356AC5" w:rsidRPr="008A425D">
        <w:t>Vanuatu’s</w:t>
      </w:r>
      <w:r w:rsidR="005F17A1" w:rsidRPr="008A425D">
        <w:t xml:space="preserve"> </w:t>
      </w:r>
      <w:r w:rsidR="00CE3540" w:rsidRPr="008A425D">
        <w:t xml:space="preserve">Ministry of Education and Training (MoET) to deliver </w:t>
      </w:r>
      <w:r w:rsidR="00F50511" w:rsidRPr="008A425D">
        <w:t>skills training services in communities</w:t>
      </w:r>
      <w:r w:rsidR="00072B0E" w:rsidRPr="008A425D">
        <w:t>.</w:t>
      </w:r>
      <w:r w:rsidR="005F17A1" w:rsidRPr="008A425D">
        <w:t xml:space="preserve"> </w:t>
      </w:r>
      <w:r w:rsidR="00072B0E" w:rsidRPr="008A425D">
        <w:t>Courses</w:t>
      </w:r>
      <w:r w:rsidR="00072B0E" w:rsidRPr="00772167">
        <w:t xml:space="preserve"> are delivered by private sector, accredited trainers and</w:t>
      </w:r>
      <w:r w:rsidR="00F50511" w:rsidRPr="00772167">
        <w:t xml:space="preserve"> focus on employment and income-generation outcomes in </w:t>
      </w:r>
      <w:r w:rsidR="005F17A1" w:rsidRPr="00772167">
        <w:t xml:space="preserve">Vanuatu’s </w:t>
      </w:r>
      <w:r w:rsidR="00F50511" w:rsidRPr="00772167">
        <w:t xml:space="preserve">key productive sectors. </w:t>
      </w:r>
      <w:r w:rsidR="00942FAA">
        <w:t>In 2017-18, 836</w:t>
      </w:r>
      <w:r w:rsidR="00CE3540" w:rsidRPr="00772167">
        <w:t xml:space="preserve"> people </w:t>
      </w:r>
      <w:r w:rsidR="00942FAA">
        <w:t>were trained</w:t>
      </w:r>
      <w:r w:rsidR="00CE3540" w:rsidRPr="00772167">
        <w:t xml:space="preserve"> (48 per cent women, 5 per cent people with a disability)</w:t>
      </w:r>
      <w:r w:rsidR="00942FAA">
        <w:t xml:space="preserve">, 33 </w:t>
      </w:r>
      <w:r w:rsidR="00F50511" w:rsidRPr="00772167">
        <w:t xml:space="preserve">private sector </w:t>
      </w:r>
      <w:r w:rsidR="00271CA0" w:rsidRPr="00772167">
        <w:t>training</w:t>
      </w:r>
      <w:r w:rsidR="00F50511" w:rsidRPr="00772167">
        <w:t xml:space="preserve"> providers </w:t>
      </w:r>
      <w:r w:rsidR="0038153F">
        <w:t xml:space="preserve">were </w:t>
      </w:r>
      <w:r w:rsidR="00F50511" w:rsidRPr="00772167">
        <w:t>registered</w:t>
      </w:r>
      <w:r w:rsidR="006F4BF6">
        <w:t>,</w:t>
      </w:r>
      <w:r w:rsidR="00F50511" w:rsidRPr="00772167">
        <w:t xml:space="preserve"> </w:t>
      </w:r>
      <w:r w:rsidR="00131DFA">
        <w:t xml:space="preserve">and </w:t>
      </w:r>
      <w:r w:rsidR="00F50511" w:rsidRPr="00772167">
        <w:t>36 courses</w:t>
      </w:r>
      <w:r w:rsidRPr="00772167">
        <w:t xml:space="preserve"> gained accreditation</w:t>
      </w:r>
      <w:r w:rsidR="00F50511" w:rsidRPr="00772167">
        <w:t xml:space="preserve"> with the Vanuatu Qualifications Authority</w:t>
      </w:r>
      <w:r w:rsidR="00131DFA">
        <w:t>. Eleven</w:t>
      </w:r>
      <w:r w:rsidR="00C34B13">
        <w:t xml:space="preserve"> </w:t>
      </w:r>
      <w:r w:rsidR="006F4BF6">
        <w:t xml:space="preserve">people with a disability (10 women) delivered various training courses. </w:t>
      </w:r>
      <w:r w:rsidR="00F50511" w:rsidRPr="00772167">
        <w:t>Efforts to improve the quality of private sector tourism operators delivered results</w:t>
      </w:r>
      <w:r w:rsidR="00355379">
        <w:t>,</w:t>
      </w:r>
      <w:r w:rsidR="00F50511" w:rsidRPr="00772167">
        <w:t xml:space="preserve"> with 66 per cent of Skills for Tourism clients reaching the requirements of the Vanuatu Tourist Operators Minimum Standard in 2017 (52 per cent in 2016) and 25</w:t>
      </w:r>
      <w:r w:rsidR="00E24AA6">
        <w:t xml:space="preserve"> per cent</w:t>
      </w:r>
      <w:r w:rsidR="00F50511" w:rsidRPr="00772167">
        <w:t xml:space="preserve"> of tourism businesses now licensed (16 per cent in 2016).</w:t>
      </w:r>
      <w:r w:rsidR="00CE3540" w:rsidRPr="00772167">
        <w:t xml:space="preserve"> </w:t>
      </w:r>
      <w:r w:rsidR="009D32CC">
        <w:t>These results align with VSP</w:t>
      </w:r>
      <w:r w:rsidR="00DA4295">
        <w:t xml:space="preserve"> program</w:t>
      </w:r>
      <w:r w:rsidR="009D32CC">
        <w:t xml:space="preserve"> targets. </w:t>
      </w:r>
    </w:p>
    <w:p w:rsidR="00F50511" w:rsidRPr="00632DE4" w:rsidRDefault="00F50511" w:rsidP="00632DE4">
      <w:pPr>
        <w:spacing w:before="0" w:after="0" w:line="240" w:lineRule="auto"/>
        <w:rPr>
          <w:rFonts w:ascii="Calibri Light" w:hAnsi="Calibri Light"/>
        </w:rPr>
      </w:pPr>
    </w:p>
    <w:p w:rsidR="00271CA0" w:rsidRPr="00632DE4" w:rsidRDefault="00F50511" w:rsidP="00632DE4">
      <w:pPr>
        <w:spacing w:before="0" w:after="0" w:line="240" w:lineRule="auto"/>
        <w:rPr>
          <w:rFonts w:ascii="Calibri Light" w:hAnsi="Calibri Light"/>
        </w:rPr>
      </w:pPr>
      <w:r w:rsidRPr="00632DE4">
        <w:rPr>
          <w:rFonts w:ascii="Calibri Light" w:hAnsi="Calibri Light"/>
        </w:rPr>
        <w:t xml:space="preserve">Co-investment with GoV and industry is a feature of VSP. </w:t>
      </w:r>
      <w:r w:rsidR="00271CA0" w:rsidRPr="00632DE4">
        <w:rPr>
          <w:rFonts w:ascii="Calibri Light" w:hAnsi="Calibri Light"/>
        </w:rPr>
        <w:t xml:space="preserve">Management and funding of </w:t>
      </w:r>
      <w:r w:rsidR="00E51618">
        <w:rPr>
          <w:rFonts w:ascii="Calibri Light" w:hAnsi="Calibri Light"/>
        </w:rPr>
        <w:t xml:space="preserve">the four </w:t>
      </w:r>
      <w:r w:rsidR="006A34CA">
        <w:rPr>
          <w:rFonts w:ascii="Calibri Light" w:hAnsi="Calibri Light"/>
        </w:rPr>
        <w:t>p</w:t>
      </w:r>
      <w:r w:rsidRPr="00632DE4">
        <w:rPr>
          <w:rFonts w:ascii="Calibri Light" w:hAnsi="Calibri Light"/>
        </w:rPr>
        <w:t xml:space="preserve">rovincial </w:t>
      </w:r>
      <w:r w:rsidR="006A34CA">
        <w:rPr>
          <w:rFonts w:ascii="Calibri Light" w:hAnsi="Calibri Light"/>
        </w:rPr>
        <w:t>s</w:t>
      </w:r>
      <w:r w:rsidRPr="00632DE4">
        <w:rPr>
          <w:rFonts w:ascii="Calibri Light" w:hAnsi="Calibri Light"/>
        </w:rPr>
        <w:t xml:space="preserve">kills </w:t>
      </w:r>
      <w:r w:rsidR="006A34CA">
        <w:rPr>
          <w:rFonts w:ascii="Calibri Light" w:hAnsi="Calibri Light"/>
        </w:rPr>
        <w:t>c</w:t>
      </w:r>
      <w:r w:rsidRPr="00632DE4">
        <w:rPr>
          <w:rFonts w:ascii="Calibri Light" w:hAnsi="Calibri Light"/>
        </w:rPr>
        <w:t xml:space="preserve">entres </w:t>
      </w:r>
      <w:r w:rsidR="00E51618">
        <w:rPr>
          <w:rFonts w:ascii="Calibri Light" w:hAnsi="Calibri Light"/>
        </w:rPr>
        <w:t>is transitioning</w:t>
      </w:r>
      <w:r w:rsidRPr="00632DE4">
        <w:rPr>
          <w:rFonts w:ascii="Calibri Light" w:hAnsi="Calibri Light"/>
        </w:rPr>
        <w:t xml:space="preserve"> to the MoET</w:t>
      </w:r>
      <w:r w:rsidR="006F4BF6">
        <w:rPr>
          <w:rFonts w:ascii="Calibri Light" w:hAnsi="Calibri Light"/>
        </w:rPr>
        <w:t xml:space="preserve">, with modifications completed at two centres to improve </w:t>
      </w:r>
      <w:r w:rsidR="00375137">
        <w:rPr>
          <w:rFonts w:ascii="Calibri Light" w:hAnsi="Calibri Light"/>
        </w:rPr>
        <w:t xml:space="preserve">disability </w:t>
      </w:r>
      <w:r w:rsidR="006F4BF6">
        <w:rPr>
          <w:rFonts w:ascii="Calibri Light" w:hAnsi="Calibri Light"/>
        </w:rPr>
        <w:t xml:space="preserve">accessibility. </w:t>
      </w:r>
      <w:r w:rsidR="00C34B13">
        <w:rPr>
          <w:rFonts w:ascii="Calibri Light" w:hAnsi="Calibri Light"/>
        </w:rPr>
        <w:t>In 2017-18, 127</w:t>
      </w:r>
      <w:r w:rsidR="00032CD6">
        <w:rPr>
          <w:rFonts w:ascii="Calibri Light" w:hAnsi="Calibri Light"/>
        </w:rPr>
        <w:t xml:space="preserve"> </w:t>
      </w:r>
      <w:r w:rsidRPr="00632DE4">
        <w:rPr>
          <w:rFonts w:ascii="Calibri Light" w:hAnsi="Calibri Light"/>
        </w:rPr>
        <w:t>local, private sector tourism enterprises (17 per cent women-owned and 43 per cent family managed) engaged in skills development and certification. Ten of the 14 coaches supporting these enterprises are women. Australia’s support for the Malampa Handicraft Centre continued to yield results for women artisans</w:t>
      </w:r>
      <w:r w:rsidR="00822440">
        <w:rPr>
          <w:rFonts w:ascii="Calibri Light" w:hAnsi="Calibri Light"/>
        </w:rPr>
        <w:t>,</w:t>
      </w:r>
      <w:r w:rsidRPr="00632DE4">
        <w:rPr>
          <w:rFonts w:ascii="Calibri Light" w:hAnsi="Calibri Light"/>
        </w:rPr>
        <w:t xml:space="preserve"> with VU</w:t>
      </w:r>
      <w:r w:rsidR="00552CF1">
        <w:rPr>
          <w:rFonts w:ascii="Calibri Light" w:hAnsi="Calibri Light"/>
        </w:rPr>
        <w:t>V</w:t>
      </w:r>
      <w:r w:rsidRPr="00632DE4">
        <w:rPr>
          <w:rFonts w:ascii="Calibri Light" w:hAnsi="Calibri Light"/>
        </w:rPr>
        <w:t xml:space="preserve">2.8 million </w:t>
      </w:r>
      <w:r w:rsidR="00C35BE6">
        <w:rPr>
          <w:rFonts w:ascii="Calibri Light" w:hAnsi="Calibri Light"/>
        </w:rPr>
        <w:t xml:space="preserve">(approx. </w:t>
      </w:r>
      <w:r w:rsidR="00003D08">
        <w:rPr>
          <w:rFonts w:ascii="Calibri Light" w:hAnsi="Calibri Light"/>
        </w:rPr>
        <w:t>$</w:t>
      </w:r>
      <w:r w:rsidR="00C35BE6">
        <w:rPr>
          <w:rFonts w:ascii="Calibri Light" w:hAnsi="Calibri Light"/>
        </w:rPr>
        <w:t xml:space="preserve">35,000) </w:t>
      </w:r>
      <w:r w:rsidRPr="00632DE4">
        <w:rPr>
          <w:rFonts w:ascii="Calibri Light" w:hAnsi="Calibri Light"/>
        </w:rPr>
        <w:t>turnover in 2017</w:t>
      </w:r>
      <w:r w:rsidR="00822440">
        <w:rPr>
          <w:rFonts w:ascii="Calibri Light" w:hAnsi="Calibri Light"/>
        </w:rPr>
        <w:t>-</w:t>
      </w:r>
      <w:r w:rsidRPr="00632DE4">
        <w:rPr>
          <w:rFonts w:ascii="Calibri Light" w:hAnsi="Calibri Light"/>
        </w:rPr>
        <w:t xml:space="preserve">18, </w:t>
      </w:r>
      <w:r w:rsidR="00822440">
        <w:rPr>
          <w:rFonts w:ascii="Calibri Light" w:hAnsi="Calibri Light"/>
        </w:rPr>
        <w:t xml:space="preserve">eight </w:t>
      </w:r>
      <w:r w:rsidRPr="00632DE4">
        <w:rPr>
          <w:rFonts w:ascii="Calibri Light" w:hAnsi="Calibri Light"/>
        </w:rPr>
        <w:t xml:space="preserve">times more than the previous year. </w:t>
      </w:r>
      <w:r w:rsidR="00176ED9">
        <w:rPr>
          <w:rFonts w:ascii="Calibri Light" w:hAnsi="Calibri Light"/>
        </w:rPr>
        <w:t>A d</w:t>
      </w:r>
      <w:r w:rsidR="009D32CC">
        <w:rPr>
          <w:rFonts w:ascii="Calibri Light" w:hAnsi="Calibri Light"/>
        </w:rPr>
        <w:t xml:space="preserve">isability situation analysis </w:t>
      </w:r>
      <w:r w:rsidR="00C34B13">
        <w:rPr>
          <w:rFonts w:ascii="Calibri Light" w:hAnsi="Calibri Light"/>
        </w:rPr>
        <w:t>undertaken with Australian funding</w:t>
      </w:r>
      <w:r w:rsidR="009D32CC">
        <w:rPr>
          <w:rFonts w:ascii="Calibri Light" w:hAnsi="Calibri Light"/>
        </w:rPr>
        <w:t xml:space="preserve"> resulted in </w:t>
      </w:r>
      <w:r w:rsidR="00271CA0" w:rsidRPr="00632DE4">
        <w:rPr>
          <w:rFonts w:ascii="Calibri Light" w:hAnsi="Calibri Light"/>
        </w:rPr>
        <w:t>VSP sign</w:t>
      </w:r>
      <w:r w:rsidR="009D32CC">
        <w:rPr>
          <w:rFonts w:ascii="Calibri Light" w:hAnsi="Calibri Light"/>
        </w:rPr>
        <w:t>ing</w:t>
      </w:r>
      <w:r w:rsidR="00271CA0" w:rsidRPr="00632DE4">
        <w:rPr>
          <w:rFonts w:ascii="Calibri Light" w:hAnsi="Calibri Light"/>
        </w:rPr>
        <w:t xml:space="preserve"> a partnership with the Vanuatu Disability Promotion and Advocacy Association (VDPA) to improve inclusivity in the sector. Work with the Vanuatu Tourism Office </w:t>
      </w:r>
      <w:r w:rsidR="009D32CC">
        <w:rPr>
          <w:rFonts w:ascii="Calibri Light" w:hAnsi="Calibri Light"/>
        </w:rPr>
        <w:t xml:space="preserve">(VTO) </w:t>
      </w:r>
      <w:r w:rsidR="00271CA0" w:rsidRPr="00632DE4">
        <w:rPr>
          <w:rFonts w:ascii="Calibri Light" w:hAnsi="Calibri Light"/>
        </w:rPr>
        <w:t>resulted in addition of an ‘Accessible Tourism’ page to their website and training for VTO staff and tourism operators</w:t>
      </w:r>
      <w:r w:rsidR="00AC7988">
        <w:rPr>
          <w:rFonts w:ascii="Calibri Light" w:hAnsi="Calibri Light"/>
        </w:rPr>
        <w:t>, including by a person with a disability</w:t>
      </w:r>
      <w:r w:rsidR="00176ED9">
        <w:rPr>
          <w:rFonts w:ascii="Calibri Light" w:hAnsi="Calibri Light"/>
        </w:rPr>
        <w:t xml:space="preserve"> with hospitality</w:t>
      </w:r>
      <w:r w:rsidR="00375137">
        <w:rPr>
          <w:rFonts w:ascii="Calibri Light" w:hAnsi="Calibri Light"/>
        </w:rPr>
        <w:t xml:space="preserve"> qualifications</w:t>
      </w:r>
      <w:r w:rsidR="00AC7988">
        <w:rPr>
          <w:rFonts w:ascii="Calibri Light" w:hAnsi="Calibri Light"/>
        </w:rPr>
        <w:t>,</w:t>
      </w:r>
      <w:r w:rsidR="00271CA0" w:rsidRPr="00632DE4">
        <w:rPr>
          <w:rFonts w:ascii="Calibri Light" w:hAnsi="Calibri Light"/>
        </w:rPr>
        <w:t xml:space="preserve"> on international standard accessibility requirements. </w:t>
      </w:r>
    </w:p>
    <w:p w:rsidR="00F50511" w:rsidRPr="00632DE4" w:rsidRDefault="00F50511" w:rsidP="00632DE4">
      <w:pPr>
        <w:spacing w:before="0" w:after="0" w:line="240" w:lineRule="auto"/>
        <w:rPr>
          <w:rFonts w:ascii="Calibri Light" w:hAnsi="Calibri Light"/>
        </w:rPr>
      </w:pPr>
    </w:p>
    <w:p w:rsidR="00D67AFE" w:rsidRDefault="00F50511" w:rsidP="00632DE4">
      <w:pPr>
        <w:spacing w:before="0" w:after="0" w:line="240" w:lineRule="auto"/>
        <w:rPr>
          <w:rFonts w:ascii="Calibri Light" w:hAnsi="Calibri Light"/>
        </w:rPr>
      </w:pPr>
      <w:r w:rsidRPr="00223BD4">
        <w:rPr>
          <w:rFonts w:ascii="Calibri Light" w:hAnsi="Calibri Light"/>
        </w:rPr>
        <w:t xml:space="preserve">Australia </w:t>
      </w:r>
      <w:r w:rsidRPr="00772167">
        <w:rPr>
          <w:rFonts w:ascii="Calibri Light" w:hAnsi="Calibri Light"/>
        </w:rPr>
        <w:t>supported 43</w:t>
      </w:r>
      <w:r w:rsidRPr="00223BD4">
        <w:rPr>
          <w:rFonts w:ascii="Calibri Light" w:hAnsi="Calibri Light"/>
        </w:rPr>
        <w:t xml:space="preserve"> ni-Vanuatu</w:t>
      </w:r>
      <w:r w:rsidRPr="00632DE4">
        <w:rPr>
          <w:rFonts w:ascii="Calibri Light" w:hAnsi="Calibri Light"/>
        </w:rPr>
        <w:t xml:space="preserve"> students (67</w:t>
      </w:r>
      <w:r w:rsidR="00E24AA6">
        <w:rPr>
          <w:rFonts w:ascii="Calibri Light" w:hAnsi="Calibri Light"/>
        </w:rPr>
        <w:t xml:space="preserve"> per cent</w:t>
      </w:r>
      <w:r w:rsidRPr="00632DE4">
        <w:rPr>
          <w:rFonts w:ascii="Calibri Light" w:hAnsi="Calibri Light"/>
        </w:rPr>
        <w:t xml:space="preserve"> women) to undertake study, research and professional development in Australia and the region.  A 2017 </w:t>
      </w:r>
      <w:r w:rsidR="00F30B51">
        <w:rPr>
          <w:rFonts w:ascii="Calibri Light" w:hAnsi="Calibri Light"/>
        </w:rPr>
        <w:t>t</w:t>
      </w:r>
      <w:r w:rsidRPr="00632DE4">
        <w:rPr>
          <w:rFonts w:ascii="Calibri Light" w:hAnsi="Calibri Light"/>
        </w:rPr>
        <w:t>racer study reported 92 per cent of graduates used improved practices and innovation in their work places and 55 per cent maintain professional links with an Australian organisation.</w:t>
      </w:r>
      <w:r w:rsidRPr="00632DE4">
        <w:rPr>
          <w:rStyle w:val="FootnoteReference"/>
          <w:rFonts w:ascii="Calibri Light" w:hAnsi="Calibri Light"/>
        </w:rPr>
        <w:footnoteReference w:id="20"/>
      </w:r>
      <w:r w:rsidRPr="00632DE4">
        <w:rPr>
          <w:rFonts w:ascii="Calibri Light" w:hAnsi="Calibri Light"/>
        </w:rPr>
        <w:t xml:space="preserve">  </w:t>
      </w:r>
      <w:r w:rsidR="000B3B64">
        <w:rPr>
          <w:rFonts w:ascii="Calibri Light" w:hAnsi="Calibri Light"/>
        </w:rPr>
        <w:t xml:space="preserve">One hundred and fifty two </w:t>
      </w:r>
      <w:r w:rsidRPr="00632DE4">
        <w:rPr>
          <w:rFonts w:ascii="Calibri Light" w:hAnsi="Calibri Light"/>
        </w:rPr>
        <w:t>alumni (6</w:t>
      </w:r>
      <w:r w:rsidR="00D86A45">
        <w:rPr>
          <w:rFonts w:ascii="Calibri Light" w:hAnsi="Calibri Light"/>
        </w:rPr>
        <w:t>7</w:t>
      </w:r>
      <w:r w:rsidRPr="00632DE4">
        <w:rPr>
          <w:rFonts w:ascii="Calibri Light" w:hAnsi="Calibri Light"/>
        </w:rPr>
        <w:t xml:space="preserve"> per cent women) participated in </w:t>
      </w:r>
      <w:r w:rsidRPr="00662FFA">
        <w:rPr>
          <w:rFonts w:ascii="Calibri Light" w:hAnsi="Calibri Light"/>
        </w:rPr>
        <w:t>Australia</w:t>
      </w:r>
      <w:r w:rsidR="005E3F81">
        <w:rPr>
          <w:rFonts w:ascii="Calibri Light" w:hAnsi="Calibri Light"/>
        </w:rPr>
        <w:t xml:space="preserve"> Awards alumni</w:t>
      </w:r>
      <w:r w:rsidRPr="00662FFA">
        <w:rPr>
          <w:rFonts w:ascii="Calibri Light" w:hAnsi="Calibri Light"/>
        </w:rPr>
        <w:t xml:space="preserve"> activities during 2017-18</w:t>
      </w:r>
      <w:r w:rsidR="00662FFA" w:rsidRPr="004A122C">
        <w:rPr>
          <w:rFonts w:ascii="Calibri Light" w:hAnsi="Calibri Light"/>
        </w:rPr>
        <w:t>.</w:t>
      </w:r>
      <w:r w:rsidRPr="003F2A3F">
        <w:rPr>
          <w:rFonts w:ascii="Calibri Light" w:hAnsi="Calibri Light"/>
        </w:rPr>
        <w:t xml:space="preserve"> Demand for Australia Awards remains high, with 659 on-line applica</w:t>
      </w:r>
      <w:r w:rsidR="005E3F81">
        <w:rPr>
          <w:rFonts w:ascii="Calibri Light" w:hAnsi="Calibri Light"/>
        </w:rPr>
        <w:t>tions for study</w:t>
      </w:r>
      <w:r w:rsidRPr="003F2A3F">
        <w:rPr>
          <w:rFonts w:ascii="Calibri Light" w:hAnsi="Calibri Light"/>
        </w:rPr>
        <w:t xml:space="preserve"> in 2018</w:t>
      </w:r>
      <w:r w:rsidR="00355379">
        <w:rPr>
          <w:rFonts w:ascii="Calibri Light" w:hAnsi="Calibri Light"/>
        </w:rPr>
        <w:t>,</w:t>
      </w:r>
      <w:r w:rsidR="000B3B64">
        <w:rPr>
          <w:rFonts w:ascii="Calibri Light" w:hAnsi="Calibri Light"/>
        </w:rPr>
        <w:t xml:space="preserve"> of which </w:t>
      </w:r>
      <w:r w:rsidRPr="003F2A3F">
        <w:rPr>
          <w:rFonts w:ascii="Calibri Light" w:hAnsi="Calibri Light"/>
        </w:rPr>
        <w:t>13</w:t>
      </w:r>
      <w:r w:rsidR="000B3B64">
        <w:rPr>
          <w:rFonts w:ascii="Calibri Light" w:hAnsi="Calibri Light"/>
        </w:rPr>
        <w:t xml:space="preserve"> were</w:t>
      </w:r>
      <w:r w:rsidRPr="003F2A3F">
        <w:rPr>
          <w:rFonts w:ascii="Calibri Light" w:hAnsi="Calibri Light"/>
        </w:rPr>
        <w:t xml:space="preserve"> selected for an award (46 per cent women). </w:t>
      </w:r>
      <w:r w:rsidR="00355379">
        <w:rPr>
          <w:rFonts w:ascii="Calibri Light" w:hAnsi="Calibri Light"/>
        </w:rPr>
        <w:t>O</w:t>
      </w:r>
      <w:r w:rsidRPr="003F2A3F">
        <w:rPr>
          <w:rFonts w:ascii="Calibri Light" w:hAnsi="Calibri Light"/>
        </w:rPr>
        <w:t>utsourced management arrangements for the Awards program</w:t>
      </w:r>
      <w:r w:rsidR="00355379">
        <w:rPr>
          <w:rFonts w:ascii="Calibri Light" w:hAnsi="Calibri Light"/>
        </w:rPr>
        <w:t>,</w:t>
      </w:r>
      <w:r w:rsidRPr="003F2A3F">
        <w:rPr>
          <w:rFonts w:ascii="Calibri Light" w:hAnsi="Calibri Light"/>
        </w:rPr>
        <w:t xml:space="preserve"> piloted in 2017-18</w:t>
      </w:r>
      <w:r w:rsidR="00355379">
        <w:rPr>
          <w:rFonts w:ascii="Calibri Light" w:hAnsi="Calibri Light"/>
        </w:rPr>
        <w:t>,</w:t>
      </w:r>
      <w:r w:rsidRPr="003F2A3F">
        <w:rPr>
          <w:rFonts w:ascii="Calibri Light" w:hAnsi="Calibri Light"/>
        </w:rPr>
        <w:t xml:space="preserve"> have proven effective. Flexible study options are also being trialled in 2018. </w:t>
      </w:r>
      <w:r w:rsidR="0060724D" w:rsidRPr="0060724D">
        <w:rPr>
          <w:rFonts w:ascii="Calibri Light" w:hAnsi="Calibri Light"/>
        </w:rPr>
        <w:t>Complementing these bilateral investments, i</w:t>
      </w:r>
      <w:r w:rsidR="00D86A45" w:rsidRPr="0060724D">
        <w:rPr>
          <w:rFonts w:ascii="Calibri Light" w:hAnsi="Calibri Light"/>
        </w:rPr>
        <w:t xml:space="preserve">n 2017 </w:t>
      </w:r>
      <w:r w:rsidR="00D67AFE" w:rsidRPr="0060724D">
        <w:rPr>
          <w:rFonts w:ascii="Calibri Light" w:hAnsi="Calibri Light"/>
        </w:rPr>
        <w:t>85 (67 per cent women) Australian Volunteers undertook capacity building placements</w:t>
      </w:r>
      <w:r w:rsidR="00D67AFE">
        <w:rPr>
          <w:rFonts w:ascii="Calibri Light" w:hAnsi="Calibri Light"/>
        </w:rPr>
        <w:t xml:space="preserve"> and </w:t>
      </w:r>
      <w:r w:rsidR="00D86A45" w:rsidRPr="0060724D">
        <w:rPr>
          <w:rFonts w:ascii="Calibri Light" w:hAnsi="Calibri Light"/>
        </w:rPr>
        <w:t xml:space="preserve">173 </w:t>
      </w:r>
      <w:r w:rsidR="00375137" w:rsidRPr="0060724D">
        <w:rPr>
          <w:rFonts w:ascii="Calibri Light" w:hAnsi="Calibri Light"/>
        </w:rPr>
        <w:t>(</w:t>
      </w:r>
      <w:r w:rsidR="00031446" w:rsidRPr="0060724D">
        <w:rPr>
          <w:rFonts w:ascii="Calibri Light" w:hAnsi="Calibri Light"/>
        </w:rPr>
        <w:t>64</w:t>
      </w:r>
      <w:r w:rsidR="00375137" w:rsidRPr="0060724D">
        <w:rPr>
          <w:rFonts w:ascii="Calibri Light" w:hAnsi="Calibri Light"/>
        </w:rPr>
        <w:t xml:space="preserve"> per cent women) </w:t>
      </w:r>
      <w:r w:rsidR="000B3B64" w:rsidRPr="0060724D">
        <w:rPr>
          <w:rFonts w:ascii="Calibri Light" w:hAnsi="Calibri Light"/>
        </w:rPr>
        <w:t>n</w:t>
      </w:r>
      <w:r w:rsidR="00D86A45" w:rsidRPr="0060724D">
        <w:rPr>
          <w:rFonts w:ascii="Calibri Light" w:hAnsi="Calibri Light"/>
        </w:rPr>
        <w:t>i-Vanuatu graduated from the Australia Pacific T</w:t>
      </w:r>
      <w:r w:rsidR="008E41CE">
        <w:rPr>
          <w:rFonts w:ascii="Calibri Light" w:hAnsi="Calibri Light"/>
        </w:rPr>
        <w:t xml:space="preserve">raining Coalition </w:t>
      </w:r>
      <w:r w:rsidR="00D86A45" w:rsidRPr="0060724D">
        <w:rPr>
          <w:rFonts w:ascii="Calibri Light" w:hAnsi="Calibri Light"/>
        </w:rPr>
        <w:t>(APTC)</w:t>
      </w:r>
      <w:r w:rsidR="00662FFA" w:rsidRPr="0060724D">
        <w:rPr>
          <w:rFonts w:ascii="Calibri Light" w:hAnsi="Calibri Light"/>
        </w:rPr>
        <w:t xml:space="preserve"> with internationally recognised qualifications</w:t>
      </w:r>
      <w:r w:rsidR="00F30B51" w:rsidRPr="0060724D">
        <w:rPr>
          <w:rFonts w:ascii="Calibri Light" w:hAnsi="Calibri Light"/>
        </w:rPr>
        <w:t xml:space="preserve"> in high</w:t>
      </w:r>
      <w:r w:rsidR="00D86A45" w:rsidRPr="0060724D">
        <w:rPr>
          <w:rFonts w:ascii="Calibri Light" w:hAnsi="Calibri Light"/>
        </w:rPr>
        <w:t xml:space="preserve"> demand</w:t>
      </w:r>
      <w:r w:rsidR="00F30B51" w:rsidRPr="0060724D">
        <w:rPr>
          <w:rFonts w:ascii="Calibri Light" w:hAnsi="Calibri Light"/>
        </w:rPr>
        <w:t xml:space="preserve"> area</w:t>
      </w:r>
      <w:r w:rsidR="00D86A45" w:rsidRPr="0060724D">
        <w:rPr>
          <w:rFonts w:ascii="Calibri Light" w:hAnsi="Calibri Light"/>
        </w:rPr>
        <w:t xml:space="preserve">s </w:t>
      </w:r>
      <w:r w:rsidR="00F30B51" w:rsidRPr="0060724D">
        <w:rPr>
          <w:rFonts w:ascii="Calibri Light" w:hAnsi="Calibri Light"/>
        </w:rPr>
        <w:t>including</w:t>
      </w:r>
      <w:r w:rsidR="0060724D" w:rsidRPr="0060724D">
        <w:rPr>
          <w:rFonts w:ascii="Calibri Light" w:hAnsi="Calibri Light"/>
        </w:rPr>
        <w:t xml:space="preserve"> </w:t>
      </w:r>
      <w:r w:rsidR="00662FFA" w:rsidRPr="0060724D">
        <w:rPr>
          <w:rFonts w:ascii="Calibri Light" w:hAnsi="Calibri Light"/>
        </w:rPr>
        <w:t>c</w:t>
      </w:r>
      <w:r w:rsidR="00D86A45" w:rsidRPr="0060724D">
        <w:rPr>
          <w:rFonts w:ascii="Calibri Light" w:hAnsi="Calibri Light"/>
        </w:rPr>
        <w:t xml:space="preserve">arpentry, </w:t>
      </w:r>
      <w:r w:rsidR="00662FFA" w:rsidRPr="0060724D">
        <w:rPr>
          <w:rFonts w:ascii="Calibri Light" w:hAnsi="Calibri Light"/>
        </w:rPr>
        <w:t>hospitality, tourism, e</w:t>
      </w:r>
      <w:r w:rsidR="00D86A45" w:rsidRPr="0060724D">
        <w:rPr>
          <w:rFonts w:ascii="Calibri Light" w:hAnsi="Calibri Light"/>
        </w:rPr>
        <w:t xml:space="preserve">ducation </w:t>
      </w:r>
      <w:r w:rsidR="00662FFA" w:rsidRPr="0060724D">
        <w:rPr>
          <w:rFonts w:ascii="Calibri Light" w:hAnsi="Calibri Light"/>
        </w:rPr>
        <w:t xml:space="preserve">and </w:t>
      </w:r>
      <w:r w:rsidR="00D86A45" w:rsidRPr="0060724D">
        <w:rPr>
          <w:rFonts w:ascii="Calibri Light" w:hAnsi="Calibri Light"/>
        </w:rPr>
        <w:t>leadership and management.</w:t>
      </w:r>
      <w:r w:rsidR="0060724D" w:rsidRPr="0060724D">
        <w:rPr>
          <w:rFonts w:ascii="Calibri Light" w:hAnsi="Calibri Light"/>
        </w:rPr>
        <w:t xml:space="preserve"> </w:t>
      </w:r>
    </w:p>
    <w:p w:rsidR="00D67AFE" w:rsidRDefault="00D67AFE" w:rsidP="00632DE4">
      <w:pPr>
        <w:spacing w:before="0" w:after="0" w:line="240" w:lineRule="auto"/>
        <w:rPr>
          <w:rFonts w:ascii="Calibri Light" w:hAnsi="Calibri Light"/>
        </w:rPr>
      </w:pPr>
    </w:p>
    <w:p w:rsidR="00F50511" w:rsidRDefault="00F50511" w:rsidP="00632DE4">
      <w:pPr>
        <w:spacing w:before="0" w:after="0" w:line="240" w:lineRule="auto"/>
        <w:rPr>
          <w:rFonts w:ascii="Calibri Light" w:hAnsi="Calibri Light"/>
        </w:rPr>
      </w:pPr>
      <w:r w:rsidRPr="004A122C">
        <w:rPr>
          <w:rFonts w:ascii="Calibri Light" w:hAnsi="Calibri Light"/>
        </w:rPr>
        <w:t xml:space="preserve">The Seasonal Worker Program (SWP) continues to </w:t>
      </w:r>
      <w:r w:rsidR="00355379">
        <w:rPr>
          <w:rFonts w:ascii="Calibri Light" w:hAnsi="Calibri Light"/>
        </w:rPr>
        <w:t>benefit</w:t>
      </w:r>
      <w:r w:rsidRPr="004A122C">
        <w:rPr>
          <w:rFonts w:ascii="Calibri Light" w:hAnsi="Calibri Light"/>
        </w:rPr>
        <w:t xml:space="preserve"> both ni-Vanuatu workers and Australian employers.  Ni-Vanuatu workers are in high demand because of their productivity and hard work</w:t>
      </w:r>
      <w:r w:rsidR="00363BCF" w:rsidRPr="003F2A3F">
        <w:rPr>
          <w:rFonts w:ascii="Calibri Light" w:hAnsi="Calibri Light"/>
        </w:rPr>
        <w:t xml:space="preserve">. In 2017-18 </w:t>
      </w:r>
      <w:r w:rsidR="00BB71FB">
        <w:rPr>
          <w:rFonts w:ascii="Calibri Light" w:hAnsi="Calibri Light"/>
        </w:rPr>
        <w:t xml:space="preserve">3,348 (18 per cent women) </w:t>
      </w:r>
      <w:r w:rsidRPr="003F2A3F">
        <w:rPr>
          <w:rFonts w:ascii="Calibri Light" w:hAnsi="Calibri Light"/>
        </w:rPr>
        <w:t>ni-Vanuatu</w:t>
      </w:r>
      <w:r w:rsidR="00363BCF" w:rsidRPr="003F2A3F">
        <w:rPr>
          <w:rFonts w:ascii="Calibri Light" w:hAnsi="Calibri Light"/>
        </w:rPr>
        <w:t xml:space="preserve"> represented </w:t>
      </w:r>
      <w:r w:rsidRPr="003F2A3F">
        <w:rPr>
          <w:rFonts w:ascii="Calibri Light" w:hAnsi="Calibri Light"/>
        </w:rPr>
        <w:t xml:space="preserve">almost 40 per cent of </w:t>
      </w:r>
      <w:r w:rsidR="0038153F">
        <w:rPr>
          <w:rFonts w:ascii="Calibri Light" w:hAnsi="Calibri Light"/>
        </w:rPr>
        <w:t>s</w:t>
      </w:r>
      <w:r w:rsidRPr="003F2A3F">
        <w:rPr>
          <w:rFonts w:ascii="Calibri Light" w:hAnsi="Calibri Light"/>
        </w:rPr>
        <w:t>easonal workers</w:t>
      </w:r>
      <w:r w:rsidR="00363BCF" w:rsidRPr="003F2A3F">
        <w:rPr>
          <w:rFonts w:ascii="Calibri Light" w:hAnsi="Calibri Light"/>
        </w:rPr>
        <w:t xml:space="preserve"> from</w:t>
      </w:r>
      <w:r w:rsidR="00BB71FB">
        <w:rPr>
          <w:rFonts w:ascii="Calibri Light" w:hAnsi="Calibri Light"/>
        </w:rPr>
        <w:t xml:space="preserve"> </w:t>
      </w:r>
      <w:r w:rsidR="00363BCF" w:rsidRPr="003F2A3F">
        <w:rPr>
          <w:rFonts w:ascii="Calibri Light" w:hAnsi="Calibri Light"/>
        </w:rPr>
        <w:t>the Pacific</w:t>
      </w:r>
      <w:r w:rsidRPr="003F2A3F">
        <w:rPr>
          <w:rFonts w:ascii="Calibri Light" w:hAnsi="Calibri Light"/>
        </w:rPr>
        <w:t>. A tracer study</w:t>
      </w:r>
      <w:r w:rsidR="00363BCF" w:rsidRPr="003F2A3F">
        <w:rPr>
          <w:rStyle w:val="FootnoteReference"/>
          <w:rFonts w:ascii="Calibri Light" w:hAnsi="Calibri Light"/>
        </w:rPr>
        <w:footnoteReference w:id="21"/>
      </w:r>
      <w:r w:rsidRPr="00662FFA">
        <w:rPr>
          <w:rFonts w:ascii="Calibri Light" w:hAnsi="Calibri Light"/>
        </w:rPr>
        <w:t xml:space="preserve"> </w:t>
      </w:r>
      <w:r w:rsidR="00355379">
        <w:rPr>
          <w:rFonts w:ascii="Calibri Light" w:hAnsi="Calibri Light"/>
        </w:rPr>
        <w:t>examining</w:t>
      </w:r>
      <w:r w:rsidRPr="00662FFA">
        <w:rPr>
          <w:rFonts w:ascii="Calibri Light" w:hAnsi="Calibri Light"/>
        </w:rPr>
        <w:t xml:space="preserve"> impacts of the SWP revealed </w:t>
      </w:r>
      <w:r w:rsidR="008F21F1">
        <w:rPr>
          <w:rFonts w:ascii="Calibri Light" w:hAnsi="Calibri Light"/>
        </w:rPr>
        <w:t>o</w:t>
      </w:r>
      <w:r w:rsidRPr="00662FFA">
        <w:rPr>
          <w:rFonts w:ascii="Calibri Light" w:hAnsi="Calibri Light"/>
        </w:rPr>
        <w:t xml:space="preserve">n average, each worker </w:t>
      </w:r>
      <w:r w:rsidRPr="003F2A3F">
        <w:rPr>
          <w:rFonts w:ascii="Calibri Light" w:hAnsi="Calibri Light"/>
        </w:rPr>
        <w:t>saved $8,529 per placement,</w:t>
      </w:r>
      <w:r w:rsidRPr="00662FFA">
        <w:rPr>
          <w:rFonts w:ascii="Calibri Light" w:hAnsi="Calibri Light"/>
        </w:rPr>
        <w:t xml:space="preserve"> with money earned used to pay for </w:t>
      </w:r>
      <w:r w:rsidR="000B3B64">
        <w:rPr>
          <w:rFonts w:ascii="Calibri Light" w:hAnsi="Calibri Light"/>
        </w:rPr>
        <w:t xml:space="preserve">items </w:t>
      </w:r>
      <w:r w:rsidRPr="00662FFA">
        <w:rPr>
          <w:rFonts w:ascii="Calibri Light" w:hAnsi="Calibri Light"/>
        </w:rPr>
        <w:t>such as healthcare, educational costs and improved housing.</w:t>
      </w:r>
      <w:r w:rsidR="00A30685">
        <w:rPr>
          <w:rFonts w:ascii="Calibri Light" w:hAnsi="Calibri Light"/>
        </w:rPr>
        <w:t xml:space="preserve"> Australia is supporting the GoV to develop a new labour mobility policy framework to support growth in the </w:t>
      </w:r>
      <w:r w:rsidR="008F21F1">
        <w:rPr>
          <w:rFonts w:ascii="Calibri Light" w:hAnsi="Calibri Light"/>
        </w:rPr>
        <w:t>SWP as well as Vanuatu’s future involvement in the Pacific Labour S</w:t>
      </w:r>
      <w:r w:rsidR="00A30685">
        <w:rPr>
          <w:rFonts w:ascii="Calibri Light" w:hAnsi="Calibri Light"/>
        </w:rPr>
        <w:t>cheme.</w:t>
      </w:r>
    </w:p>
    <w:p w:rsidR="003F3549" w:rsidRDefault="003F3549" w:rsidP="003F3549">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Objective </w:t>
      </w:r>
      <w:r>
        <w:rPr>
          <w:rFonts w:asciiTheme="majorHAnsi" w:eastAsiaTheme="majorEastAsia" w:hAnsiTheme="majorHAnsi" w:cstheme="majorBidi"/>
          <w:caps/>
          <w:color w:val="495965" w:themeColor="text2"/>
          <w:sz w:val="38"/>
          <w:szCs w:val="26"/>
          <w:lang w:val="en-GB" w:eastAsia="en-US"/>
        </w:rPr>
        <w:t>2: improving early education and essential health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3F3549" w:rsidTr="00F40C0D">
        <w:tc>
          <w:tcPr>
            <w:tcW w:w="1925" w:type="dxa"/>
          </w:tcPr>
          <w:p w:rsidR="003F3549" w:rsidRDefault="003F3549" w:rsidP="00F40C0D">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DDCA456" wp14:editId="5499525B">
                  <wp:extent cx="1137600" cy="720000"/>
                  <wp:effectExtent l="0" t="0" r="571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25"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8F9421B" wp14:editId="2D69BF81">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4CE48C75" wp14:editId="76ED411D">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6E7E2DC" wp14:editId="08F6C600">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673515" w:rsidRPr="00EE74F1" w:rsidRDefault="00673515" w:rsidP="00673515">
      <w:pPr>
        <w:spacing w:after="0" w:line="240" w:lineRule="auto"/>
      </w:pPr>
      <w:r w:rsidRPr="00EE74F1">
        <w:t>Objective 2 is rated green, reflecting strong progress for education and improved effectiveness for health.</w:t>
      </w:r>
      <w:r w:rsidR="00662FFA">
        <w:t xml:space="preserve"> </w:t>
      </w:r>
      <w:r w:rsidR="00B97FCD">
        <w:t xml:space="preserve">Twenty five </w:t>
      </w:r>
      <w:r w:rsidR="00662FFA">
        <w:t>per cent of Australia’s bilateral aid targets this objective.</w:t>
      </w:r>
    </w:p>
    <w:p w:rsidR="004D093D" w:rsidRDefault="004D093D" w:rsidP="0026667E">
      <w:pPr>
        <w:autoSpaceDE w:val="0"/>
        <w:autoSpaceDN w:val="0"/>
        <w:adjustRightInd w:val="0"/>
        <w:spacing w:before="0" w:after="0" w:line="240" w:lineRule="auto"/>
        <w:rPr>
          <w:rFonts w:ascii="Calibri Light" w:hAnsi="Calibri Light"/>
          <w:b/>
        </w:rPr>
      </w:pPr>
    </w:p>
    <w:p w:rsidR="006E4563" w:rsidRPr="0026667E" w:rsidRDefault="006E4563" w:rsidP="0026667E">
      <w:pPr>
        <w:autoSpaceDE w:val="0"/>
        <w:autoSpaceDN w:val="0"/>
        <w:adjustRightInd w:val="0"/>
        <w:spacing w:before="0" w:after="0" w:line="240" w:lineRule="auto"/>
        <w:rPr>
          <w:rFonts w:ascii="Calibri Light" w:hAnsi="Calibri Light"/>
          <w:b/>
        </w:rPr>
      </w:pPr>
      <w:r w:rsidRPr="0026667E">
        <w:rPr>
          <w:rFonts w:ascii="Calibri Light" w:hAnsi="Calibri Light"/>
          <w:b/>
        </w:rPr>
        <w:t>Education</w:t>
      </w:r>
    </w:p>
    <w:p w:rsidR="0026667E" w:rsidRPr="0026667E" w:rsidRDefault="0026667E" w:rsidP="0026667E">
      <w:pPr>
        <w:autoSpaceDE w:val="0"/>
        <w:autoSpaceDN w:val="0"/>
        <w:adjustRightInd w:val="0"/>
        <w:spacing w:before="0" w:after="0" w:line="240" w:lineRule="auto"/>
        <w:rPr>
          <w:rFonts w:ascii="Calibri Light" w:hAnsi="Calibri Light"/>
        </w:rPr>
      </w:pPr>
      <w:r w:rsidRPr="0026667E">
        <w:rPr>
          <w:rFonts w:ascii="Calibri Light" w:hAnsi="Calibri Light"/>
        </w:rPr>
        <w:t>Australia’s support for education</w:t>
      </w:r>
      <w:r w:rsidR="00662FFA">
        <w:rPr>
          <w:rFonts w:ascii="Calibri Light" w:hAnsi="Calibri Light"/>
        </w:rPr>
        <w:t xml:space="preserve"> </w:t>
      </w:r>
      <w:r w:rsidRPr="0026667E">
        <w:rPr>
          <w:rFonts w:ascii="Calibri Light" w:hAnsi="Calibri Light"/>
        </w:rPr>
        <w:t>contribut</w:t>
      </w:r>
      <w:r w:rsidR="00662FFA">
        <w:rPr>
          <w:rFonts w:ascii="Calibri Light" w:hAnsi="Calibri Light"/>
        </w:rPr>
        <w:t>es</w:t>
      </w:r>
      <w:r w:rsidRPr="0026667E">
        <w:rPr>
          <w:rFonts w:ascii="Calibri Light" w:hAnsi="Calibri Light"/>
        </w:rPr>
        <w:t xml:space="preserve"> to Vanuatu’s </w:t>
      </w:r>
      <w:r w:rsidR="006A34CA">
        <w:rPr>
          <w:rFonts w:ascii="Calibri Light" w:hAnsi="Calibri Light"/>
        </w:rPr>
        <w:t>goal to improve the quality</w:t>
      </w:r>
      <w:r w:rsidR="00355379">
        <w:rPr>
          <w:rFonts w:ascii="Calibri Light" w:hAnsi="Calibri Light"/>
        </w:rPr>
        <w:t xml:space="preserve"> of</w:t>
      </w:r>
      <w:r w:rsidR="006A34CA">
        <w:rPr>
          <w:rFonts w:ascii="Calibri Light" w:hAnsi="Calibri Light"/>
        </w:rPr>
        <w:t xml:space="preserve">, access to and management of education services through </w:t>
      </w:r>
      <w:r w:rsidR="00A30685">
        <w:rPr>
          <w:rFonts w:ascii="Calibri Light" w:hAnsi="Calibri Light"/>
        </w:rPr>
        <w:t xml:space="preserve">policy engagement and advocacy and </w:t>
      </w:r>
      <w:r w:rsidR="006A34CA">
        <w:rPr>
          <w:rFonts w:ascii="Calibri Light" w:hAnsi="Calibri Light"/>
        </w:rPr>
        <w:t xml:space="preserve">a </w:t>
      </w:r>
      <w:r w:rsidR="00355379">
        <w:rPr>
          <w:rFonts w:ascii="Calibri Light" w:hAnsi="Calibri Light"/>
        </w:rPr>
        <w:t>long term</w:t>
      </w:r>
      <w:r w:rsidRPr="0026667E">
        <w:rPr>
          <w:rFonts w:ascii="Calibri Light" w:hAnsi="Calibri Light"/>
        </w:rPr>
        <w:t xml:space="preserve"> agenda of sector strengthening</w:t>
      </w:r>
      <w:r w:rsidRPr="0026667E">
        <w:rPr>
          <w:rStyle w:val="FootnoteReference"/>
          <w:rFonts w:ascii="Calibri Light" w:hAnsi="Calibri Light"/>
        </w:rPr>
        <w:footnoteReference w:id="22"/>
      </w:r>
      <w:r w:rsidRPr="0026667E">
        <w:rPr>
          <w:rFonts w:ascii="Calibri Light" w:hAnsi="Calibri Light"/>
        </w:rPr>
        <w:t xml:space="preserve">. </w:t>
      </w:r>
      <w:r w:rsidRPr="0026667E">
        <w:rPr>
          <w:rFonts w:ascii="Calibri Light" w:hAnsi="Calibri Light" w:cs="Calibri Light"/>
        </w:rPr>
        <w:t xml:space="preserve">Focusing support on early years recognises that </w:t>
      </w:r>
      <w:r w:rsidR="006313C3">
        <w:rPr>
          <w:rFonts w:ascii="Calibri Light" w:hAnsi="Calibri Light" w:cs="Calibri Light"/>
        </w:rPr>
        <w:t xml:space="preserve">literacy and numeracy </w:t>
      </w:r>
      <w:r w:rsidRPr="0026667E">
        <w:rPr>
          <w:rFonts w:ascii="Calibri Light" w:hAnsi="Calibri Light" w:cs="Calibri Light"/>
        </w:rPr>
        <w:t xml:space="preserve">skills are the foundation of an education system, </w:t>
      </w:r>
      <w:r w:rsidR="006313C3">
        <w:rPr>
          <w:rFonts w:ascii="Calibri Light" w:hAnsi="Calibri Light" w:cs="Calibri Light"/>
        </w:rPr>
        <w:t>influencing</w:t>
      </w:r>
      <w:r w:rsidRPr="0026667E">
        <w:rPr>
          <w:rFonts w:ascii="Calibri Light" w:hAnsi="Calibri Light" w:cs="Calibri Light"/>
        </w:rPr>
        <w:t xml:space="preserve"> higher retention rates and greater success in later years of schooling. </w:t>
      </w:r>
      <w:r w:rsidRPr="0026667E">
        <w:rPr>
          <w:rFonts w:ascii="Calibri Light" w:hAnsi="Calibri Light"/>
        </w:rPr>
        <w:t xml:space="preserve">In 2017-18 Australia’s close partnership with </w:t>
      </w:r>
      <w:r w:rsidR="00D67AFE">
        <w:rPr>
          <w:rFonts w:ascii="Calibri Light" w:hAnsi="Calibri Light"/>
        </w:rPr>
        <w:t>Vanuatu’s</w:t>
      </w:r>
      <w:r w:rsidRPr="0026667E">
        <w:rPr>
          <w:rFonts w:ascii="Calibri Light" w:hAnsi="Calibri Light"/>
        </w:rPr>
        <w:t xml:space="preserve"> MoET resulted in management, access and quality improvements and facilitated strengthened policy dialogue on sector reform issues. </w:t>
      </w:r>
    </w:p>
    <w:p w:rsidR="0026667E" w:rsidRDefault="0026667E" w:rsidP="0026667E">
      <w:pPr>
        <w:spacing w:after="0" w:line="240" w:lineRule="auto"/>
        <w:rPr>
          <w:rFonts w:ascii="Calibri Light" w:hAnsi="Calibri Light" w:cs="Calibri Light"/>
        </w:rPr>
      </w:pPr>
      <w:r w:rsidRPr="0026667E">
        <w:rPr>
          <w:rFonts w:ascii="Calibri Light" w:hAnsi="Calibri Light" w:cs="Calibri Light"/>
        </w:rPr>
        <w:t>Roll</w:t>
      </w:r>
      <w:r w:rsidR="0038153F">
        <w:rPr>
          <w:rFonts w:ascii="Calibri Light" w:hAnsi="Calibri Light" w:cs="Calibri Light"/>
        </w:rPr>
        <w:t xml:space="preserve"> </w:t>
      </w:r>
      <w:r w:rsidRPr="0026667E">
        <w:rPr>
          <w:rFonts w:ascii="Calibri Light" w:hAnsi="Calibri Light" w:cs="Calibri Light"/>
        </w:rPr>
        <w:t>out of the</w:t>
      </w:r>
      <w:r w:rsidR="006E182F">
        <w:rPr>
          <w:rFonts w:ascii="Calibri Light" w:hAnsi="Calibri Light" w:cs="Calibri Light"/>
        </w:rPr>
        <w:t xml:space="preserve"> </w:t>
      </w:r>
      <w:r w:rsidR="00D67AFE">
        <w:rPr>
          <w:rFonts w:ascii="Calibri Light" w:hAnsi="Calibri Light" w:cs="Calibri Light"/>
        </w:rPr>
        <w:t xml:space="preserve">Australian-supported </w:t>
      </w:r>
      <w:r w:rsidR="006E182F">
        <w:rPr>
          <w:rFonts w:ascii="Calibri Light" w:hAnsi="Calibri Light" w:cs="Calibri Light"/>
        </w:rPr>
        <w:t xml:space="preserve">new curriculum and </w:t>
      </w:r>
      <w:r w:rsidRPr="0026667E">
        <w:rPr>
          <w:rFonts w:ascii="Calibri Light" w:hAnsi="Calibri Light" w:cs="Calibri Light"/>
        </w:rPr>
        <w:t xml:space="preserve">innovative </w:t>
      </w:r>
      <w:r w:rsidR="000B3B64">
        <w:rPr>
          <w:rFonts w:ascii="Calibri Light" w:hAnsi="Calibri Light" w:cs="Calibri Light"/>
        </w:rPr>
        <w:t>national language policy</w:t>
      </w:r>
      <w:r w:rsidRPr="0026667E">
        <w:rPr>
          <w:rFonts w:ascii="Calibri Light" w:hAnsi="Calibri Light" w:cs="Calibri Light"/>
        </w:rPr>
        <w:t xml:space="preserve"> in </w:t>
      </w:r>
      <w:r w:rsidRPr="006E182F">
        <w:rPr>
          <w:rFonts w:ascii="Calibri Light" w:hAnsi="Calibri Light" w:cs="Calibri Light"/>
        </w:rPr>
        <w:t xml:space="preserve">primary schools continued to meet </w:t>
      </w:r>
      <w:r w:rsidR="006E182F" w:rsidRPr="0017474D">
        <w:rPr>
          <w:rFonts w:ascii="Calibri Light" w:hAnsi="Calibri Light" w:cs="Calibri Light"/>
        </w:rPr>
        <w:t xml:space="preserve">program </w:t>
      </w:r>
      <w:r w:rsidRPr="006E182F">
        <w:rPr>
          <w:rFonts w:ascii="Calibri Light" w:hAnsi="Calibri Light" w:cs="Calibri Light"/>
        </w:rPr>
        <w:t xml:space="preserve">targets. The policy promotes teaching in </w:t>
      </w:r>
      <w:r w:rsidR="000B3B64" w:rsidRPr="006E182F">
        <w:rPr>
          <w:rFonts w:ascii="Calibri Light" w:hAnsi="Calibri Light" w:cs="Calibri Light"/>
        </w:rPr>
        <w:t>the child’s first language and use of local vernacular</w:t>
      </w:r>
      <w:r w:rsidRPr="006E182F">
        <w:rPr>
          <w:rFonts w:ascii="Calibri Light" w:hAnsi="Calibri Light" w:cs="Calibri Light"/>
        </w:rPr>
        <w:t xml:space="preserve"> to</w:t>
      </w:r>
      <w:r w:rsidRPr="0026667E">
        <w:rPr>
          <w:rFonts w:ascii="Calibri Light" w:hAnsi="Calibri Light" w:cs="Calibri Light"/>
        </w:rPr>
        <w:t xml:space="preserve"> increase participation and literacy in early years: with about 100 </w:t>
      </w:r>
      <w:r w:rsidR="00F87ABC">
        <w:rPr>
          <w:rFonts w:ascii="Calibri Light" w:hAnsi="Calibri Light" w:cs="Calibri Light"/>
        </w:rPr>
        <w:t xml:space="preserve">local </w:t>
      </w:r>
      <w:r w:rsidRPr="0026667E">
        <w:rPr>
          <w:rFonts w:ascii="Calibri Light" w:hAnsi="Calibri Light" w:cs="Calibri Light"/>
        </w:rPr>
        <w:t xml:space="preserve">languages, Vanuatu is </w:t>
      </w:r>
      <w:r w:rsidR="00A30685">
        <w:rPr>
          <w:rFonts w:ascii="Calibri Light" w:hAnsi="Calibri Light" w:cs="Calibri Light"/>
        </w:rPr>
        <w:t>one of the most</w:t>
      </w:r>
      <w:r w:rsidRPr="0026667E">
        <w:rPr>
          <w:rFonts w:ascii="Calibri Light" w:hAnsi="Calibri Light" w:cs="Calibri Light"/>
        </w:rPr>
        <w:t xml:space="preserve"> linguistically diverse countr</w:t>
      </w:r>
      <w:r w:rsidR="00A30685">
        <w:rPr>
          <w:rFonts w:ascii="Calibri Light" w:hAnsi="Calibri Light" w:cs="Calibri Light"/>
        </w:rPr>
        <w:t>ies in the world</w:t>
      </w:r>
      <w:r w:rsidRPr="0026667E">
        <w:rPr>
          <w:rFonts w:ascii="Calibri Light" w:hAnsi="Calibri Light" w:cs="Calibri Light"/>
        </w:rPr>
        <w:t xml:space="preserve">. </w:t>
      </w:r>
      <w:r w:rsidR="00D7692A">
        <w:rPr>
          <w:rFonts w:ascii="Calibri Light" w:hAnsi="Calibri Light" w:cs="Calibri Light"/>
        </w:rPr>
        <w:t>F</w:t>
      </w:r>
      <w:r w:rsidR="00D7692A" w:rsidRPr="0026667E">
        <w:rPr>
          <w:rFonts w:ascii="Calibri Light" w:hAnsi="Calibri Light" w:cs="Calibri Light"/>
        </w:rPr>
        <w:t xml:space="preserve">ollowing </w:t>
      </w:r>
      <w:r w:rsidR="00D7692A">
        <w:rPr>
          <w:rFonts w:ascii="Calibri Light" w:hAnsi="Calibri Light" w:cs="Calibri Light"/>
        </w:rPr>
        <w:t xml:space="preserve">the </w:t>
      </w:r>
      <w:r w:rsidR="00D7692A" w:rsidRPr="0026667E">
        <w:rPr>
          <w:rFonts w:ascii="Calibri Light" w:hAnsi="Calibri Light" w:cs="Calibri Light"/>
        </w:rPr>
        <w:t>rollout of Year 1-2 curriculum in 2016-17</w:t>
      </w:r>
      <w:r w:rsidR="00D7692A">
        <w:rPr>
          <w:rFonts w:ascii="Calibri Light" w:hAnsi="Calibri Light" w:cs="Calibri Light"/>
        </w:rPr>
        <w:t xml:space="preserve">, </w:t>
      </w:r>
      <w:r w:rsidR="00D7692A" w:rsidRPr="0026667E">
        <w:rPr>
          <w:rFonts w:ascii="Calibri Light" w:hAnsi="Calibri Light" w:cs="Calibri Light"/>
        </w:rPr>
        <w:t>Year 3 curriculum development</w:t>
      </w:r>
      <w:r w:rsidR="00D7692A">
        <w:rPr>
          <w:rFonts w:ascii="Calibri Light" w:hAnsi="Calibri Light" w:cs="Calibri Light"/>
        </w:rPr>
        <w:t xml:space="preserve"> and</w:t>
      </w:r>
      <w:r w:rsidR="00D7692A" w:rsidRPr="0026667E">
        <w:rPr>
          <w:rFonts w:ascii="Calibri Light" w:hAnsi="Calibri Light" w:cs="Calibri Light"/>
        </w:rPr>
        <w:t xml:space="preserve"> training </w:t>
      </w:r>
      <w:r w:rsidR="00D7692A">
        <w:rPr>
          <w:rFonts w:ascii="Calibri Light" w:hAnsi="Calibri Light" w:cs="Calibri Light"/>
        </w:rPr>
        <w:t xml:space="preserve">was completed </w:t>
      </w:r>
      <w:r w:rsidR="00176ED9">
        <w:rPr>
          <w:rFonts w:ascii="Calibri Light" w:hAnsi="Calibri Light" w:cs="Calibri Light"/>
        </w:rPr>
        <w:t>in 2017-18</w:t>
      </w:r>
      <w:r w:rsidR="00D7692A">
        <w:rPr>
          <w:rFonts w:ascii="Calibri Light" w:hAnsi="Calibri Light" w:cs="Calibri Light"/>
        </w:rPr>
        <w:t>.</w:t>
      </w:r>
      <w:r w:rsidR="00304AAC">
        <w:rPr>
          <w:rFonts w:ascii="Calibri Light" w:hAnsi="Calibri Light" w:cs="Calibri Light"/>
        </w:rPr>
        <w:t xml:space="preserve"> </w:t>
      </w:r>
      <w:r w:rsidR="00D7692A" w:rsidRPr="0026667E">
        <w:rPr>
          <w:rFonts w:ascii="Calibri Light" w:hAnsi="Calibri Light" w:cs="Calibri Light"/>
        </w:rPr>
        <w:t>Distribution of Year 2</w:t>
      </w:r>
      <w:r w:rsidR="00D7692A">
        <w:rPr>
          <w:rFonts w:ascii="Calibri Light" w:hAnsi="Calibri Light" w:cs="Calibri Light"/>
        </w:rPr>
        <w:t xml:space="preserve"> and </w:t>
      </w:r>
      <w:r w:rsidR="00D7692A" w:rsidRPr="0026667E">
        <w:rPr>
          <w:rFonts w:ascii="Calibri Light" w:hAnsi="Calibri Light" w:cs="Calibri Light"/>
        </w:rPr>
        <w:t>3 reading materials</w:t>
      </w:r>
      <w:r w:rsidR="00D7692A">
        <w:rPr>
          <w:rFonts w:ascii="Calibri Light" w:hAnsi="Calibri Light" w:cs="Calibri Light"/>
        </w:rPr>
        <w:t xml:space="preserve"> (</w:t>
      </w:r>
      <w:r w:rsidR="00D7692A" w:rsidRPr="0026667E">
        <w:rPr>
          <w:rFonts w:ascii="Calibri Light" w:hAnsi="Calibri Light" w:cs="Calibri Light"/>
        </w:rPr>
        <w:t>translated into 59 languages</w:t>
      </w:r>
      <w:r w:rsidR="00D7692A">
        <w:rPr>
          <w:rFonts w:ascii="Calibri Light" w:hAnsi="Calibri Light" w:cs="Calibri Light"/>
        </w:rPr>
        <w:t xml:space="preserve">) </w:t>
      </w:r>
      <w:r w:rsidR="00D7692A" w:rsidRPr="0026667E">
        <w:rPr>
          <w:rFonts w:ascii="Calibri Light" w:hAnsi="Calibri Light" w:cs="Calibri Light"/>
        </w:rPr>
        <w:t xml:space="preserve">to 271 </w:t>
      </w:r>
      <w:r w:rsidRPr="0026667E">
        <w:rPr>
          <w:rFonts w:ascii="Calibri Light" w:hAnsi="Calibri Light" w:cs="Calibri Light"/>
        </w:rPr>
        <w:t>schools progressed as planned, language transition guides were completed</w:t>
      </w:r>
      <w:r w:rsidR="00355379">
        <w:rPr>
          <w:rFonts w:ascii="Calibri Light" w:hAnsi="Calibri Light" w:cs="Calibri Light"/>
        </w:rPr>
        <w:t>,</w:t>
      </w:r>
      <w:r w:rsidRPr="0026667E">
        <w:rPr>
          <w:rFonts w:ascii="Calibri Light" w:hAnsi="Calibri Light" w:cs="Calibri Light"/>
        </w:rPr>
        <w:t xml:space="preserve"> and 58</w:t>
      </w:r>
      <w:r w:rsidR="00D7692A">
        <w:rPr>
          <w:rFonts w:ascii="Calibri Light" w:hAnsi="Calibri Light" w:cs="Calibri Light"/>
        </w:rPr>
        <w:t xml:space="preserve"> per cent</w:t>
      </w:r>
      <w:r w:rsidRPr="0026667E">
        <w:rPr>
          <w:rFonts w:ascii="Calibri Light" w:hAnsi="Calibri Light" w:cs="Calibri Light"/>
        </w:rPr>
        <w:t xml:space="preserve"> of Year 1-3 teachers were </w:t>
      </w:r>
      <w:r w:rsidRPr="00D7692A">
        <w:rPr>
          <w:rFonts w:ascii="Calibri Light" w:hAnsi="Calibri Light" w:cs="Calibri Light"/>
        </w:rPr>
        <w:t>trained. A Curriculum Monitoring and Impact Study</w:t>
      </w:r>
      <w:r w:rsidR="00D7692A" w:rsidRPr="00D7692A">
        <w:rPr>
          <w:rStyle w:val="FootnoteReference"/>
          <w:rFonts w:ascii="Calibri Light" w:hAnsi="Calibri Light" w:cs="Calibri Light"/>
        </w:rPr>
        <w:footnoteReference w:id="23"/>
      </w:r>
      <w:r w:rsidRPr="00D7692A">
        <w:rPr>
          <w:rFonts w:ascii="Calibri Light" w:hAnsi="Calibri Light" w:cs="Calibri Light"/>
        </w:rPr>
        <w:t xml:space="preserve"> found mo</w:t>
      </w:r>
      <w:r w:rsidR="00F901E8">
        <w:rPr>
          <w:rFonts w:ascii="Calibri Light" w:hAnsi="Calibri Light" w:cs="Calibri Light"/>
        </w:rPr>
        <w:t>st</w:t>
      </w:r>
      <w:r w:rsidRPr="0026667E">
        <w:rPr>
          <w:rFonts w:ascii="Calibri Light" w:hAnsi="Calibri Light" w:cs="Calibri Light"/>
        </w:rPr>
        <w:t xml:space="preserve"> schools and teachers were implementing the new curriculum using effective teaching and learning methodologies. Teacher training is becoming more flexible. </w:t>
      </w:r>
      <w:r w:rsidR="0038153F">
        <w:rPr>
          <w:rFonts w:ascii="Calibri Light" w:hAnsi="Calibri Light" w:cs="Calibri Light"/>
        </w:rPr>
        <w:t>For example, a</w:t>
      </w:r>
      <w:r w:rsidRPr="0026667E">
        <w:rPr>
          <w:rFonts w:ascii="Calibri Light" w:hAnsi="Calibri Light" w:cs="Calibri Light"/>
        </w:rPr>
        <w:t xml:space="preserve"> pilot </w:t>
      </w:r>
      <w:r w:rsidR="006A34CA">
        <w:rPr>
          <w:rFonts w:ascii="Calibri Light" w:hAnsi="Calibri Light" w:cs="Calibri Light"/>
        </w:rPr>
        <w:t xml:space="preserve">commenced </w:t>
      </w:r>
      <w:r w:rsidRPr="0026667E">
        <w:rPr>
          <w:rFonts w:ascii="Calibri Light" w:hAnsi="Calibri Light" w:cs="Calibri Light"/>
        </w:rPr>
        <w:t xml:space="preserve">for 114 </w:t>
      </w:r>
      <w:r w:rsidR="00355379">
        <w:rPr>
          <w:rFonts w:ascii="Calibri Light" w:hAnsi="Calibri Light" w:cs="Calibri Light"/>
        </w:rPr>
        <w:t>un- or</w:t>
      </w:r>
      <w:r w:rsidRPr="0026667E">
        <w:rPr>
          <w:rFonts w:ascii="Calibri Light" w:hAnsi="Calibri Light" w:cs="Calibri Light"/>
        </w:rPr>
        <w:t xml:space="preserve"> under-qualified teachers to complete the Effective Teaching and Learning (ELT) course for the Diploma of Education Primary </w:t>
      </w:r>
      <w:r w:rsidR="00355379">
        <w:rPr>
          <w:rFonts w:ascii="Calibri Light" w:hAnsi="Calibri Light" w:cs="Calibri Light"/>
        </w:rPr>
        <w:t>remotely</w:t>
      </w:r>
      <w:r w:rsidRPr="0026667E">
        <w:rPr>
          <w:rFonts w:ascii="Calibri Light" w:hAnsi="Calibri Light" w:cs="Calibri Light"/>
        </w:rPr>
        <w:t>.</w:t>
      </w:r>
    </w:p>
    <w:p w:rsidR="0026667E" w:rsidRPr="0038153F" w:rsidRDefault="0026667E" w:rsidP="00A85437">
      <w:pPr>
        <w:autoSpaceDE w:val="0"/>
        <w:autoSpaceDN w:val="0"/>
        <w:adjustRightInd w:val="0"/>
        <w:spacing w:after="0" w:line="240" w:lineRule="auto"/>
        <w:rPr>
          <w:rFonts w:ascii="Calibri Light" w:hAnsi="Calibri Light" w:cs="Calibri Light"/>
        </w:rPr>
      </w:pPr>
      <w:r w:rsidRPr="0026667E">
        <w:rPr>
          <w:rFonts w:ascii="Calibri Light" w:hAnsi="Calibri Light" w:cs="Calibri Light"/>
        </w:rPr>
        <w:t>MoET</w:t>
      </w:r>
      <w:r w:rsidR="00553BD0">
        <w:rPr>
          <w:rFonts w:ascii="Calibri Light" w:hAnsi="Calibri Light" w:cs="Calibri Light"/>
        </w:rPr>
        <w:t xml:space="preserve"> increased funding for </w:t>
      </w:r>
      <w:r w:rsidRPr="0026667E">
        <w:rPr>
          <w:rFonts w:ascii="Calibri Light" w:hAnsi="Calibri Light" w:cs="Calibri Light"/>
        </w:rPr>
        <w:t xml:space="preserve">primary school grants </w:t>
      </w:r>
      <w:r w:rsidR="00553BD0" w:rsidRPr="00A85437">
        <w:rPr>
          <w:rFonts w:ascii="Calibri Light" w:hAnsi="Calibri Light" w:cs="Calibri Light"/>
        </w:rPr>
        <w:t xml:space="preserve">to 100 per cent </w:t>
      </w:r>
      <w:r w:rsidRPr="00A85437">
        <w:rPr>
          <w:rFonts w:ascii="Calibri Light" w:hAnsi="Calibri Light" w:cs="Calibri Light"/>
        </w:rPr>
        <w:t>in 2017, up from 88</w:t>
      </w:r>
      <w:r w:rsidR="00D7692A" w:rsidRPr="00A85437">
        <w:rPr>
          <w:rFonts w:ascii="Calibri Light" w:hAnsi="Calibri Light" w:cs="Calibri Light"/>
        </w:rPr>
        <w:t xml:space="preserve"> per cent</w:t>
      </w:r>
      <w:r w:rsidRPr="00A85437">
        <w:rPr>
          <w:rFonts w:ascii="Calibri Light" w:hAnsi="Calibri Light" w:cs="Calibri Light"/>
        </w:rPr>
        <w:t xml:space="preserve"> in 2016</w:t>
      </w:r>
      <w:r w:rsidR="00553BD0" w:rsidRPr="00A85437">
        <w:rPr>
          <w:rFonts w:ascii="Calibri Light" w:hAnsi="Calibri Light" w:cs="Calibri Light"/>
        </w:rPr>
        <w:t xml:space="preserve">, </w:t>
      </w:r>
      <w:r w:rsidR="00A85437" w:rsidRPr="00A85437">
        <w:rPr>
          <w:rFonts w:ascii="Calibri Light" w:hAnsi="Calibri Light"/>
        </w:rPr>
        <w:t xml:space="preserve">a significant achievement demonstrating increasing GoV ownership of basic education and enabling Australia to </w:t>
      </w:r>
      <w:r w:rsidR="00A85437" w:rsidRPr="00093ED9">
        <w:rPr>
          <w:rFonts w:ascii="Calibri Light" w:hAnsi="Calibri Light"/>
        </w:rPr>
        <w:t>r</w:t>
      </w:r>
      <w:r w:rsidR="0031278E" w:rsidRPr="00093ED9">
        <w:rPr>
          <w:rFonts w:ascii="Calibri Light" w:hAnsi="Calibri Light"/>
        </w:rPr>
        <w:t>edirect</w:t>
      </w:r>
      <w:r w:rsidR="0031278E">
        <w:rPr>
          <w:rFonts w:ascii="Calibri Light" w:hAnsi="Calibri Light"/>
        </w:rPr>
        <w:t xml:space="preserve"> funding to other education priorities</w:t>
      </w:r>
      <w:r w:rsidR="00A85437" w:rsidRPr="00093ED9">
        <w:rPr>
          <w:rFonts w:ascii="Calibri Light" w:hAnsi="Calibri Light"/>
        </w:rPr>
        <w:t xml:space="preserve">. </w:t>
      </w:r>
      <w:r w:rsidR="00A85437" w:rsidRPr="0017474D">
        <w:rPr>
          <w:rFonts w:ascii="Calibri Light" w:hAnsi="Calibri Light" w:cs="Calibri Light"/>
        </w:rPr>
        <w:t>GoV now</w:t>
      </w:r>
      <w:r w:rsidR="00A85437" w:rsidRPr="00A85437">
        <w:rPr>
          <w:rFonts w:ascii="Calibri Light" w:hAnsi="Calibri Light" w:cs="Calibri Light"/>
        </w:rPr>
        <w:t xml:space="preserve"> funds</w:t>
      </w:r>
      <w:r w:rsidR="00D7692A" w:rsidRPr="00A85437">
        <w:t xml:space="preserve"> </w:t>
      </w:r>
      <w:r w:rsidR="00915BCC" w:rsidRPr="00A85437">
        <w:t>over</w:t>
      </w:r>
      <w:r w:rsidR="00D7692A" w:rsidRPr="00A85437">
        <w:t xml:space="preserve"> 94 per cent of school grants for kindergarten, primary and secondary</w:t>
      </w:r>
      <w:r w:rsidR="006E182F" w:rsidRPr="00A85437">
        <w:rPr>
          <w:rFonts w:ascii="Calibri Light" w:hAnsi="Calibri Light" w:cs="Calibri Light"/>
        </w:rPr>
        <w:t xml:space="preserve">. </w:t>
      </w:r>
      <w:r w:rsidRPr="00A85437">
        <w:rPr>
          <w:rFonts w:ascii="Calibri Light" w:hAnsi="Calibri Light" w:cs="Calibri Light"/>
        </w:rPr>
        <w:t xml:space="preserve">Early Childhood Care and Education </w:t>
      </w:r>
      <w:r w:rsidR="00915BCC" w:rsidRPr="00A85437">
        <w:rPr>
          <w:rFonts w:ascii="Calibri Light" w:hAnsi="Calibri Light" w:cs="Calibri Light"/>
        </w:rPr>
        <w:t>(E</w:t>
      </w:r>
      <w:r w:rsidR="00915BCC">
        <w:rPr>
          <w:rFonts w:ascii="Calibri Light" w:hAnsi="Calibri Light" w:cs="Calibri Light"/>
        </w:rPr>
        <w:t xml:space="preserve">CCE) </w:t>
      </w:r>
      <w:r w:rsidRPr="0026667E">
        <w:rPr>
          <w:rFonts w:ascii="Calibri Light" w:hAnsi="Calibri Light" w:cs="Calibri Light"/>
        </w:rPr>
        <w:t>financial and technical support also transitioned from an Australian funded NGO program to MoET</w:t>
      </w:r>
      <w:r w:rsidRPr="00D7692A">
        <w:rPr>
          <w:rFonts w:ascii="Calibri Light" w:hAnsi="Calibri Light" w:cs="Calibri Light"/>
        </w:rPr>
        <w:t>. In January 201</w:t>
      </w:r>
      <w:r w:rsidR="00D7692A" w:rsidRPr="00D7692A">
        <w:rPr>
          <w:rFonts w:ascii="Calibri Light" w:hAnsi="Calibri Light" w:cs="Calibri Light"/>
        </w:rPr>
        <w:t>8</w:t>
      </w:r>
      <w:r w:rsidRPr="00D7692A">
        <w:rPr>
          <w:rFonts w:ascii="Calibri Light" w:hAnsi="Calibri Light" w:cs="Calibri Light"/>
        </w:rPr>
        <w:t>,</w:t>
      </w:r>
      <w:r w:rsidRPr="0026667E">
        <w:rPr>
          <w:rFonts w:ascii="Calibri Light" w:hAnsi="Calibri Light" w:cs="Calibri Light"/>
        </w:rPr>
        <w:t xml:space="preserve"> for the first time</w:t>
      </w:r>
      <w:r w:rsidR="00355379">
        <w:rPr>
          <w:rFonts w:ascii="Calibri Light" w:hAnsi="Calibri Light" w:cs="Calibri Light"/>
        </w:rPr>
        <w:t>,</w:t>
      </w:r>
      <w:r w:rsidRPr="0026667E">
        <w:rPr>
          <w:rFonts w:ascii="Calibri Light" w:hAnsi="Calibri Light" w:cs="Calibri Light"/>
        </w:rPr>
        <w:t xml:space="preserve"> all schools received their grant tranche one week prior to school starting</w:t>
      </w:r>
      <w:r w:rsidR="007A4F34">
        <w:rPr>
          <w:rFonts w:ascii="Calibri Light" w:hAnsi="Calibri Light" w:cs="Calibri Light"/>
        </w:rPr>
        <w:t xml:space="preserve"> and i</w:t>
      </w:r>
      <w:r w:rsidR="00D7692A">
        <w:rPr>
          <w:rFonts w:ascii="Calibri Light" w:hAnsi="Calibri Light" w:cs="Calibri Light"/>
        </w:rPr>
        <w:t>n 2017</w:t>
      </w:r>
      <w:r w:rsidR="00553BD0">
        <w:rPr>
          <w:rFonts w:ascii="Calibri Light" w:hAnsi="Calibri Light" w:cs="Calibri Light"/>
        </w:rPr>
        <w:t>,</w:t>
      </w:r>
      <w:r w:rsidR="00D7692A">
        <w:rPr>
          <w:rFonts w:ascii="Calibri Light" w:hAnsi="Calibri Light" w:cs="Calibri Light"/>
        </w:rPr>
        <w:t xml:space="preserve"> </w:t>
      </w:r>
      <w:r w:rsidRPr="0026667E">
        <w:rPr>
          <w:rFonts w:ascii="Calibri Light" w:hAnsi="Calibri Light" w:cs="Calibri Light"/>
        </w:rPr>
        <w:t>87</w:t>
      </w:r>
      <w:r w:rsidR="00662FFA">
        <w:rPr>
          <w:rFonts w:ascii="Calibri Light" w:hAnsi="Calibri Light" w:cs="Calibri Light"/>
        </w:rPr>
        <w:t xml:space="preserve"> per cent </w:t>
      </w:r>
      <w:r w:rsidRPr="0026667E">
        <w:rPr>
          <w:rFonts w:ascii="Calibri Light" w:hAnsi="Calibri Light" w:cs="Calibri Light"/>
        </w:rPr>
        <w:t xml:space="preserve">of primary schools provided their </w:t>
      </w:r>
      <w:r w:rsidRPr="00874DB4">
        <w:rPr>
          <w:rFonts w:ascii="Calibri Light" w:hAnsi="Calibri Light" w:cs="Calibri Light"/>
        </w:rPr>
        <w:t>grant acquittals</w:t>
      </w:r>
      <w:r w:rsidRPr="0038153F">
        <w:rPr>
          <w:rFonts w:ascii="Calibri Light" w:hAnsi="Calibri Light" w:cs="Calibri Light"/>
        </w:rPr>
        <w:t xml:space="preserve"> on target.</w:t>
      </w:r>
      <w:r w:rsidR="001F507E" w:rsidRPr="0038153F">
        <w:rPr>
          <w:rFonts w:ascii="Calibri Light" w:hAnsi="Calibri Light" w:cs="Calibri Light"/>
        </w:rPr>
        <w:t xml:space="preserve"> </w:t>
      </w:r>
    </w:p>
    <w:p w:rsidR="0026667E" w:rsidRPr="0038153F" w:rsidRDefault="0056341E" w:rsidP="00553BD0">
      <w:pPr>
        <w:autoSpaceDE w:val="0"/>
        <w:autoSpaceDN w:val="0"/>
        <w:adjustRightInd w:val="0"/>
        <w:spacing w:after="0" w:line="240" w:lineRule="auto"/>
        <w:rPr>
          <w:rFonts w:ascii="Calibri Light" w:hAnsi="Calibri Light" w:cs="Calibri Light"/>
        </w:rPr>
      </w:pPr>
      <w:r w:rsidRPr="0038153F">
        <w:rPr>
          <w:rFonts w:ascii="Calibri Light" w:hAnsi="Calibri Light" w:cs="Calibri Light"/>
        </w:rPr>
        <w:t>MoET’s</w:t>
      </w:r>
      <w:r w:rsidR="0026667E" w:rsidRPr="0038153F">
        <w:rPr>
          <w:rFonts w:ascii="Calibri Light" w:hAnsi="Calibri Light" w:cs="Calibri Light"/>
        </w:rPr>
        <w:t xml:space="preserve"> appetite for ongoing reform, donor coordination and </w:t>
      </w:r>
      <w:r w:rsidR="006A34CA" w:rsidRPr="0038153F">
        <w:rPr>
          <w:rFonts w:ascii="Calibri Light" w:hAnsi="Calibri Light" w:cs="Calibri Light"/>
        </w:rPr>
        <w:t>policy dialogue</w:t>
      </w:r>
      <w:r w:rsidR="0026667E" w:rsidRPr="0038153F">
        <w:rPr>
          <w:rFonts w:ascii="Calibri Light" w:hAnsi="Calibri Light" w:cs="Calibri Light"/>
        </w:rPr>
        <w:t xml:space="preserve"> with Australia is improving implementation of policies on school rationalisation</w:t>
      </w:r>
      <w:r w:rsidR="00D7692A" w:rsidRPr="0038153F">
        <w:rPr>
          <w:rFonts w:ascii="Calibri Light" w:hAnsi="Calibri Light" w:cs="Calibri Light"/>
        </w:rPr>
        <w:t xml:space="preserve"> and</w:t>
      </w:r>
      <w:r w:rsidR="0026667E" w:rsidRPr="0038153F">
        <w:rPr>
          <w:rFonts w:ascii="Calibri Light" w:hAnsi="Calibri Light" w:cs="Calibri Light"/>
        </w:rPr>
        <w:t xml:space="preserve"> registration. The </w:t>
      </w:r>
      <w:r w:rsidR="0026667E" w:rsidRPr="005D20F9">
        <w:rPr>
          <w:rFonts w:ascii="Calibri Light" w:hAnsi="Calibri Light" w:cs="Calibri Light"/>
        </w:rPr>
        <w:t>GoV proposal to expand tuition</w:t>
      </w:r>
      <w:r w:rsidRPr="005D20F9">
        <w:rPr>
          <w:rFonts w:ascii="Calibri Light" w:hAnsi="Calibri Light" w:cs="Calibri Light"/>
        </w:rPr>
        <w:t>-</w:t>
      </w:r>
      <w:r w:rsidR="0026667E" w:rsidRPr="005D20F9">
        <w:rPr>
          <w:rFonts w:ascii="Calibri Light" w:hAnsi="Calibri Light" w:cs="Calibri Light"/>
        </w:rPr>
        <w:t xml:space="preserve">free education will however place pressure on MoETs’ budget.  </w:t>
      </w:r>
      <w:r w:rsidRPr="005D20F9">
        <w:rPr>
          <w:rFonts w:ascii="Calibri Light" w:hAnsi="Calibri Light" w:cs="Calibri Light"/>
        </w:rPr>
        <w:t xml:space="preserve">MoET </w:t>
      </w:r>
      <w:r w:rsidR="0026667E" w:rsidRPr="005D20F9">
        <w:rPr>
          <w:rFonts w:ascii="Calibri Light" w:hAnsi="Calibri Light" w:cs="Calibri Light"/>
        </w:rPr>
        <w:t>plans</w:t>
      </w:r>
      <w:r w:rsidR="006A34CA" w:rsidRPr="005D20F9">
        <w:rPr>
          <w:rFonts w:ascii="Calibri Light" w:hAnsi="Calibri Light" w:cs="Calibri Light"/>
        </w:rPr>
        <w:t>,</w:t>
      </w:r>
      <w:r w:rsidR="0026667E" w:rsidRPr="005D20F9">
        <w:rPr>
          <w:rFonts w:ascii="Calibri Light" w:hAnsi="Calibri Light" w:cs="Calibri Light"/>
        </w:rPr>
        <w:t xml:space="preserve"> with support from the Global Partnership for Education, to develop </w:t>
      </w:r>
      <w:r w:rsidRPr="005D20F9">
        <w:rPr>
          <w:rFonts w:ascii="Calibri Light" w:hAnsi="Calibri Light" w:cs="Calibri Light"/>
        </w:rPr>
        <w:t>a</w:t>
      </w:r>
      <w:r w:rsidR="0026667E" w:rsidRPr="005D20F9">
        <w:rPr>
          <w:rFonts w:ascii="Calibri Light" w:hAnsi="Calibri Light" w:cs="Calibri Light"/>
        </w:rPr>
        <w:t xml:space="preserve"> long-term sector strategy </w:t>
      </w:r>
      <w:r w:rsidR="00D80A90" w:rsidRPr="005D20F9">
        <w:rPr>
          <w:rFonts w:ascii="Calibri Light" w:hAnsi="Calibri Light" w:cs="Calibri Light"/>
        </w:rPr>
        <w:t>to 2030</w:t>
      </w:r>
      <w:r w:rsidRPr="005D20F9">
        <w:rPr>
          <w:rFonts w:ascii="Calibri Light" w:hAnsi="Calibri Light" w:cs="Calibri Light"/>
        </w:rPr>
        <w:t xml:space="preserve"> </w:t>
      </w:r>
      <w:r w:rsidR="00A30685" w:rsidRPr="005D20F9">
        <w:rPr>
          <w:rFonts w:ascii="Calibri Light" w:hAnsi="Calibri Light" w:cs="Calibri Light"/>
        </w:rPr>
        <w:t>to</w:t>
      </w:r>
      <w:r w:rsidR="0026667E" w:rsidRPr="005D20F9">
        <w:rPr>
          <w:rFonts w:ascii="Calibri Light" w:hAnsi="Calibri Light" w:cs="Calibri Light"/>
        </w:rPr>
        <w:t xml:space="preserve"> </w:t>
      </w:r>
      <w:r w:rsidR="00F50E0E" w:rsidRPr="005D20F9">
        <w:rPr>
          <w:rFonts w:ascii="Calibri Light" w:hAnsi="Calibri Light" w:cs="Calibri Light"/>
        </w:rPr>
        <w:t xml:space="preserve">help </w:t>
      </w:r>
      <w:r w:rsidR="0026667E" w:rsidRPr="005D20F9">
        <w:rPr>
          <w:rFonts w:ascii="Calibri Light" w:hAnsi="Calibri Light" w:cs="Calibri Light"/>
        </w:rPr>
        <w:t>address ongoing sector challenges</w:t>
      </w:r>
      <w:r w:rsidR="00D80A90" w:rsidRPr="005D20F9">
        <w:rPr>
          <w:rFonts w:ascii="Calibri Light" w:hAnsi="Calibri Light" w:cs="Calibri Light"/>
        </w:rPr>
        <w:t xml:space="preserve"> and</w:t>
      </w:r>
      <w:r w:rsidR="00AD4DDE" w:rsidRPr="005D20F9">
        <w:rPr>
          <w:rFonts w:ascii="Calibri Light" w:hAnsi="Calibri Light" w:cs="Calibri Light"/>
        </w:rPr>
        <w:t xml:space="preserve"> better</w:t>
      </w:r>
      <w:r w:rsidR="00D80A90" w:rsidRPr="005D20F9">
        <w:rPr>
          <w:rFonts w:ascii="Calibri Light" w:hAnsi="Calibri Light" w:cs="Calibri Light"/>
        </w:rPr>
        <w:t xml:space="preserve"> align development partner support</w:t>
      </w:r>
      <w:r w:rsidR="0026667E" w:rsidRPr="005D20F9">
        <w:rPr>
          <w:rFonts w:ascii="Calibri Light" w:hAnsi="Calibri Light" w:cs="Calibri Light"/>
        </w:rPr>
        <w:t>.</w:t>
      </w:r>
      <w:r w:rsidR="0026667E" w:rsidRPr="00874DB4">
        <w:rPr>
          <w:rFonts w:ascii="Calibri Light" w:hAnsi="Calibri Light" w:cs="Calibri Light"/>
        </w:rPr>
        <w:t xml:space="preserve"> </w:t>
      </w:r>
    </w:p>
    <w:p w:rsidR="00907CEE" w:rsidRDefault="00F50E0E" w:rsidP="001F507E">
      <w:pPr>
        <w:autoSpaceDE w:val="0"/>
        <w:autoSpaceDN w:val="0"/>
        <w:adjustRightInd w:val="0"/>
        <w:spacing w:after="0" w:line="240" w:lineRule="auto"/>
        <w:rPr>
          <w:rFonts w:ascii="Calibri Light" w:hAnsi="Calibri Light"/>
        </w:rPr>
      </w:pPr>
      <w:r w:rsidRPr="0038153F">
        <w:rPr>
          <w:rFonts w:ascii="Calibri Light" w:hAnsi="Calibri Light" w:cs="Calibri Light"/>
        </w:rPr>
        <w:t xml:space="preserve">While </w:t>
      </w:r>
      <w:r w:rsidR="0026667E" w:rsidRPr="0038153F">
        <w:rPr>
          <w:rFonts w:ascii="Calibri Light" w:hAnsi="Calibri Light" w:cs="Calibri Light"/>
        </w:rPr>
        <w:t>MoET has had a Gender Equity Policy since 2005</w:t>
      </w:r>
      <w:r w:rsidRPr="0038153F">
        <w:rPr>
          <w:rFonts w:ascii="Calibri Light" w:hAnsi="Calibri Light" w:cs="Calibri Light"/>
        </w:rPr>
        <w:t>, a</w:t>
      </w:r>
      <w:r w:rsidR="0026667E" w:rsidRPr="0038153F">
        <w:rPr>
          <w:rFonts w:ascii="Calibri Light" w:hAnsi="Calibri Light" w:cs="Calibri Light"/>
        </w:rPr>
        <w:t xml:space="preserve"> 2017 review</w:t>
      </w:r>
      <w:r w:rsidR="00A1360C">
        <w:rPr>
          <w:rStyle w:val="FootnoteReference"/>
          <w:rFonts w:ascii="Calibri Light" w:hAnsi="Calibri Light" w:cs="Calibri Light"/>
        </w:rPr>
        <w:footnoteReference w:id="24"/>
      </w:r>
      <w:r w:rsidR="0026667E" w:rsidRPr="0026667E">
        <w:rPr>
          <w:rFonts w:ascii="Calibri Light" w:hAnsi="Calibri Light" w:cs="Calibri Light"/>
        </w:rPr>
        <w:t xml:space="preserve"> </w:t>
      </w:r>
      <w:r w:rsidR="00D67AFE">
        <w:rPr>
          <w:rFonts w:ascii="Calibri Light" w:hAnsi="Calibri Light" w:cs="Calibri Light"/>
        </w:rPr>
        <w:t xml:space="preserve">supported by Australia </w:t>
      </w:r>
      <w:r w:rsidR="0026667E" w:rsidRPr="0026667E">
        <w:rPr>
          <w:rFonts w:ascii="Calibri Light" w:hAnsi="Calibri Light" w:cs="Calibri Light"/>
        </w:rPr>
        <w:t xml:space="preserve">highlighted the need for continued efforts to achieve a common understanding and behavioural change on gender equality within MoET. </w:t>
      </w:r>
      <w:r w:rsidR="00AD4DDE">
        <w:rPr>
          <w:rFonts w:ascii="Calibri Light" w:hAnsi="Calibri Light" w:cs="Calibri Light"/>
        </w:rPr>
        <w:t>Despite this, gender parity in enrolment rates has almost been achieved from Kindergarten to Year 6</w:t>
      </w:r>
      <w:r w:rsidR="00C75FF9">
        <w:rPr>
          <w:rFonts w:ascii="Calibri Light" w:hAnsi="Calibri Light" w:cs="Calibri Light"/>
        </w:rPr>
        <w:t xml:space="preserve"> and national testing </w:t>
      </w:r>
      <w:r w:rsidR="006E4C15">
        <w:rPr>
          <w:rFonts w:ascii="Calibri Light" w:hAnsi="Calibri Light" w:cs="Calibri Light"/>
        </w:rPr>
        <w:t>demonstrated</w:t>
      </w:r>
      <w:r w:rsidR="00C75FF9">
        <w:rPr>
          <w:rFonts w:ascii="Calibri Light" w:hAnsi="Calibri Light" w:cs="Calibri Light"/>
        </w:rPr>
        <w:t xml:space="preserve"> girls perform better than boys at school</w:t>
      </w:r>
      <w:r w:rsidR="0038153F">
        <w:rPr>
          <w:rFonts w:ascii="Calibri Light" w:hAnsi="Calibri Light" w:cs="Calibri Light"/>
        </w:rPr>
        <w:t>. D</w:t>
      </w:r>
      <w:r w:rsidR="00C75FF9">
        <w:rPr>
          <w:rFonts w:ascii="Calibri Light" w:hAnsi="Calibri Light" w:cs="Calibri Light"/>
        </w:rPr>
        <w:t xml:space="preserve">isparities in teacher numbers continue, with more female ECCE and primary teachers but more males at secondary level and in MoET management. </w:t>
      </w:r>
      <w:r w:rsidR="00736611">
        <w:rPr>
          <w:rFonts w:ascii="Calibri Light" w:hAnsi="Calibri Light" w:cs="Calibri Light"/>
        </w:rPr>
        <w:t>P</w:t>
      </w:r>
      <w:r w:rsidR="0026667E" w:rsidRPr="0026667E">
        <w:rPr>
          <w:rFonts w:ascii="Calibri Light" w:hAnsi="Calibri Light" w:cs="Calibri Light"/>
        </w:rPr>
        <w:t>rogress on social inclusion has been positive</w:t>
      </w:r>
      <w:r w:rsidR="00736611">
        <w:rPr>
          <w:rFonts w:ascii="Calibri Light" w:hAnsi="Calibri Light" w:cs="Calibri Light"/>
        </w:rPr>
        <w:t xml:space="preserve">. With Australian </w:t>
      </w:r>
      <w:r w:rsidR="00736611">
        <w:rPr>
          <w:rFonts w:ascii="Calibri Light" w:hAnsi="Calibri Light" w:cs="Calibri Light"/>
        </w:rPr>
        <w:lastRenderedPageBreak/>
        <w:t xml:space="preserve">support, </w:t>
      </w:r>
      <w:r w:rsidR="0056341E">
        <w:rPr>
          <w:rFonts w:ascii="Calibri Light" w:hAnsi="Calibri Light" w:cs="Calibri Light"/>
        </w:rPr>
        <w:t>a</w:t>
      </w:r>
      <w:r w:rsidR="0026667E" w:rsidRPr="0026667E">
        <w:rPr>
          <w:rFonts w:ascii="Calibri Light" w:hAnsi="Calibri Light" w:cs="Calibri Light"/>
        </w:rPr>
        <w:t xml:space="preserve"> case study resulted in three schools implementing specific inclusion activities and MoET appoint</w:t>
      </w:r>
      <w:r w:rsidR="004A122C">
        <w:rPr>
          <w:rFonts w:ascii="Calibri Light" w:hAnsi="Calibri Light" w:cs="Calibri Light"/>
        </w:rPr>
        <w:t xml:space="preserve">ment of </w:t>
      </w:r>
      <w:r w:rsidR="0026667E" w:rsidRPr="0026667E">
        <w:rPr>
          <w:rFonts w:ascii="Calibri Light" w:hAnsi="Calibri Light" w:cs="Calibri Light"/>
        </w:rPr>
        <w:t xml:space="preserve">qualified Inclusive Education </w:t>
      </w:r>
      <w:r w:rsidR="004A122C">
        <w:rPr>
          <w:rFonts w:ascii="Calibri Light" w:hAnsi="Calibri Light" w:cs="Calibri Light"/>
        </w:rPr>
        <w:t xml:space="preserve">and Disability Inclusion </w:t>
      </w:r>
      <w:r w:rsidR="0026667E" w:rsidRPr="0026667E">
        <w:rPr>
          <w:rFonts w:ascii="Calibri Light" w:hAnsi="Calibri Light" w:cs="Calibri Light"/>
        </w:rPr>
        <w:t>Officer</w:t>
      </w:r>
      <w:r w:rsidR="004A122C">
        <w:rPr>
          <w:rFonts w:ascii="Calibri Light" w:hAnsi="Calibri Light" w:cs="Calibri Light"/>
        </w:rPr>
        <w:t xml:space="preserve">s. </w:t>
      </w:r>
      <w:r w:rsidR="0026667E" w:rsidRPr="0026667E">
        <w:rPr>
          <w:rFonts w:ascii="Calibri Light" w:hAnsi="Calibri Light" w:cs="Calibri Light"/>
        </w:rPr>
        <w:t>Forty two classrooms across 18 schools on Tanna were co</w:t>
      </w:r>
      <w:r w:rsidR="00907CEE">
        <w:rPr>
          <w:rFonts w:ascii="Calibri Light" w:hAnsi="Calibri Light" w:cs="Calibri Light"/>
        </w:rPr>
        <w:t>nstructed</w:t>
      </w:r>
      <w:r w:rsidR="0026667E" w:rsidRPr="0026667E">
        <w:rPr>
          <w:rFonts w:ascii="Calibri Light" w:hAnsi="Calibri Light" w:cs="Calibri Light"/>
        </w:rPr>
        <w:t xml:space="preserve"> meeting </w:t>
      </w:r>
      <w:r w:rsidR="00907CEE">
        <w:rPr>
          <w:rFonts w:ascii="Calibri Light" w:hAnsi="Calibri Light" w:cs="Calibri Light"/>
        </w:rPr>
        <w:t xml:space="preserve">inclusion </w:t>
      </w:r>
      <w:r w:rsidR="0026667E" w:rsidRPr="0026667E">
        <w:rPr>
          <w:rFonts w:ascii="Calibri Light" w:hAnsi="Calibri Light" w:cs="Calibri Light"/>
        </w:rPr>
        <w:t>standards</w:t>
      </w:r>
      <w:r w:rsidR="0056341E">
        <w:rPr>
          <w:rFonts w:ascii="Calibri Light" w:hAnsi="Calibri Light" w:cs="Calibri Light"/>
        </w:rPr>
        <w:t>.</w:t>
      </w:r>
      <w:r w:rsidR="0026667E" w:rsidRPr="0026667E">
        <w:rPr>
          <w:rFonts w:ascii="Calibri Light" w:hAnsi="Calibri Light" w:cs="Calibri Light"/>
        </w:rPr>
        <w:t xml:space="preserve"> Teacher </w:t>
      </w:r>
      <w:r w:rsidR="00907CEE">
        <w:rPr>
          <w:rFonts w:ascii="Calibri Light" w:hAnsi="Calibri Light" w:cs="Calibri Light"/>
        </w:rPr>
        <w:t>g</w:t>
      </w:r>
      <w:r w:rsidR="0026667E" w:rsidRPr="0026667E">
        <w:rPr>
          <w:rFonts w:ascii="Calibri Light" w:hAnsi="Calibri Light" w:cs="Calibri Light"/>
        </w:rPr>
        <w:t>uides</w:t>
      </w:r>
      <w:r w:rsidR="0056341E">
        <w:rPr>
          <w:rFonts w:ascii="Calibri Light" w:hAnsi="Calibri Light" w:cs="Calibri Light"/>
        </w:rPr>
        <w:t>,</w:t>
      </w:r>
      <w:r w:rsidR="0026667E" w:rsidRPr="0026667E">
        <w:rPr>
          <w:rFonts w:ascii="Calibri Light" w:hAnsi="Calibri Light" w:cs="Calibri Light"/>
        </w:rPr>
        <w:t xml:space="preserve"> includ</w:t>
      </w:r>
      <w:r w:rsidR="0056341E">
        <w:rPr>
          <w:rFonts w:ascii="Calibri Light" w:hAnsi="Calibri Light" w:cs="Calibri Light"/>
        </w:rPr>
        <w:t>ing</w:t>
      </w:r>
      <w:r w:rsidR="0026667E" w:rsidRPr="0026667E">
        <w:rPr>
          <w:rFonts w:ascii="Calibri Light" w:hAnsi="Calibri Light" w:cs="Calibri Light"/>
        </w:rPr>
        <w:t xml:space="preserve"> advice on how to modify activities for students with special learning needs and learning materials</w:t>
      </w:r>
      <w:r w:rsidR="0056341E">
        <w:rPr>
          <w:rFonts w:ascii="Calibri Light" w:hAnsi="Calibri Light" w:cs="Calibri Light"/>
        </w:rPr>
        <w:t>,</w:t>
      </w:r>
      <w:r w:rsidR="0026667E" w:rsidRPr="0026667E">
        <w:rPr>
          <w:rFonts w:ascii="Calibri Light" w:hAnsi="Calibri Light" w:cs="Calibri Light"/>
        </w:rPr>
        <w:t xml:space="preserve"> are </w:t>
      </w:r>
      <w:r w:rsidR="00D67AFE">
        <w:rPr>
          <w:rFonts w:ascii="Calibri Light" w:hAnsi="Calibri Light" w:cs="Calibri Light"/>
        </w:rPr>
        <w:t xml:space="preserve">now </w:t>
      </w:r>
      <w:r w:rsidR="0026667E" w:rsidRPr="0026667E">
        <w:rPr>
          <w:rFonts w:ascii="Calibri Light" w:hAnsi="Calibri Light" w:cs="Calibri Light"/>
        </w:rPr>
        <w:t xml:space="preserve">available in accessible formats. </w:t>
      </w:r>
    </w:p>
    <w:p w:rsidR="00C75FF9" w:rsidRDefault="00C75FF9" w:rsidP="000D7E91">
      <w:pPr>
        <w:spacing w:before="0" w:after="0" w:line="240" w:lineRule="auto"/>
        <w:rPr>
          <w:rFonts w:ascii="Calibri Light" w:hAnsi="Calibri Light"/>
          <w:b/>
        </w:rPr>
      </w:pPr>
    </w:p>
    <w:p w:rsidR="006E4563" w:rsidRPr="00874DB4" w:rsidRDefault="006E4563" w:rsidP="000D7E91">
      <w:pPr>
        <w:spacing w:before="0" w:after="0" w:line="240" w:lineRule="auto"/>
        <w:rPr>
          <w:rFonts w:ascii="Calibri Light" w:hAnsi="Calibri Light"/>
          <w:b/>
        </w:rPr>
      </w:pPr>
      <w:r w:rsidRPr="00874DB4">
        <w:rPr>
          <w:rFonts w:ascii="Calibri Light" w:hAnsi="Calibri Light"/>
          <w:b/>
        </w:rPr>
        <w:t>Health</w:t>
      </w:r>
    </w:p>
    <w:p w:rsidR="006E4563" w:rsidRPr="005A4264" w:rsidRDefault="006E4563" w:rsidP="000D7E91">
      <w:pPr>
        <w:spacing w:before="0" w:after="0" w:line="240" w:lineRule="auto"/>
        <w:rPr>
          <w:rFonts w:ascii="Calibri Light" w:hAnsi="Calibri Light" w:cs="Arial"/>
        </w:rPr>
      </w:pPr>
      <w:r w:rsidRPr="005D20F9">
        <w:rPr>
          <w:rFonts w:ascii="Calibri Light" w:hAnsi="Calibri Light" w:cs="Arial"/>
        </w:rPr>
        <w:t xml:space="preserve">Health </w:t>
      </w:r>
      <w:r w:rsidR="00C75FF9" w:rsidRPr="005D20F9">
        <w:rPr>
          <w:rFonts w:ascii="Calibri Light" w:hAnsi="Calibri Light" w:cs="Arial"/>
        </w:rPr>
        <w:t xml:space="preserve">remains a </w:t>
      </w:r>
      <w:r w:rsidRPr="005D20F9">
        <w:rPr>
          <w:rFonts w:ascii="Calibri Light" w:hAnsi="Calibri Light" w:cs="Arial"/>
        </w:rPr>
        <w:t xml:space="preserve">complex </w:t>
      </w:r>
      <w:r w:rsidR="00907CEE" w:rsidRPr="005D20F9">
        <w:rPr>
          <w:rFonts w:ascii="Calibri Light" w:hAnsi="Calibri Light" w:cs="Arial"/>
        </w:rPr>
        <w:t xml:space="preserve">development </w:t>
      </w:r>
      <w:r w:rsidRPr="005D20F9">
        <w:rPr>
          <w:rFonts w:ascii="Calibri Light" w:hAnsi="Calibri Light" w:cs="Arial"/>
        </w:rPr>
        <w:t xml:space="preserve">sector </w:t>
      </w:r>
      <w:r w:rsidR="00907CEE" w:rsidRPr="005D20F9">
        <w:rPr>
          <w:rFonts w:ascii="Calibri Light" w:hAnsi="Calibri Light" w:cs="Arial"/>
        </w:rPr>
        <w:t xml:space="preserve">in Vanuatu </w:t>
      </w:r>
      <w:r w:rsidR="00C75FF9" w:rsidRPr="005D20F9">
        <w:rPr>
          <w:rFonts w:ascii="Calibri Light" w:hAnsi="Calibri Light" w:cs="Arial"/>
        </w:rPr>
        <w:t>given its history of</w:t>
      </w:r>
      <w:r w:rsidR="00907CEE" w:rsidRPr="005D20F9">
        <w:rPr>
          <w:rFonts w:ascii="Calibri Light" w:hAnsi="Calibri Light" w:cs="Arial"/>
        </w:rPr>
        <w:t xml:space="preserve"> </w:t>
      </w:r>
      <w:r w:rsidRPr="005D20F9">
        <w:rPr>
          <w:rFonts w:ascii="Calibri Light" w:hAnsi="Calibri Light" w:cs="Arial"/>
        </w:rPr>
        <w:t xml:space="preserve">fragmented investments and </w:t>
      </w:r>
      <w:r w:rsidR="004A122C" w:rsidRPr="005D20F9">
        <w:rPr>
          <w:rFonts w:ascii="Calibri Light" w:hAnsi="Calibri Light" w:cs="Arial"/>
        </w:rPr>
        <w:t xml:space="preserve">diverse </w:t>
      </w:r>
      <w:r w:rsidRPr="005D20F9">
        <w:rPr>
          <w:rFonts w:ascii="Calibri Light" w:hAnsi="Calibri Light" w:cs="Arial"/>
        </w:rPr>
        <w:t xml:space="preserve">partners, </w:t>
      </w:r>
      <w:r w:rsidR="00907CEE" w:rsidRPr="005D20F9">
        <w:rPr>
          <w:rFonts w:ascii="Calibri Light" w:hAnsi="Calibri Light" w:cs="Arial"/>
        </w:rPr>
        <w:t xml:space="preserve">frequent changes in </w:t>
      </w:r>
      <w:r w:rsidRPr="005D20F9">
        <w:rPr>
          <w:rFonts w:ascii="Calibri Light" w:hAnsi="Calibri Light" w:cs="Arial"/>
        </w:rPr>
        <w:t>leadership and workforce and systems constraints.</w:t>
      </w:r>
      <w:r w:rsidRPr="00874DB4">
        <w:rPr>
          <w:rFonts w:ascii="Calibri Light" w:hAnsi="Calibri Light" w:cs="Arial"/>
        </w:rPr>
        <w:t xml:space="preserve"> However, </w:t>
      </w:r>
      <w:r w:rsidR="003B1AFE" w:rsidRPr="005A4264">
        <w:rPr>
          <w:rFonts w:ascii="Calibri Light" w:hAnsi="Calibri Light" w:cs="Arial"/>
        </w:rPr>
        <w:t xml:space="preserve">the </w:t>
      </w:r>
      <w:r w:rsidRPr="005A4264">
        <w:rPr>
          <w:rFonts w:ascii="Calibri Light" w:hAnsi="Calibri Light" w:cs="Arial"/>
        </w:rPr>
        <w:t xml:space="preserve">launch of </w:t>
      </w:r>
      <w:r w:rsidR="00D67AFE">
        <w:rPr>
          <w:rFonts w:ascii="Calibri Light" w:hAnsi="Calibri Light" w:cs="Arial"/>
        </w:rPr>
        <w:t>Vanuatu’s</w:t>
      </w:r>
      <w:r w:rsidRPr="005A4264">
        <w:rPr>
          <w:rFonts w:ascii="Calibri Light" w:hAnsi="Calibri Light" w:cs="Arial"/>
        </w:rPr>
        <w:t xml:space="preserve"> Health Sector Strategy 2017-2020 and delivery of systems strengthening, workforce development and service delivery targets in 2017-18 indicate positive progress.</w:t>
      </w:r>
    </w:p>
    <w:p w:rsidR="00AF1F65" w:rsidRDefault="00AF1F65" w:rsidP="00AF1F65">
      <w:pPr>
        <w:autoSpaceDE w:val="0"/>
        <w:autoSpaceDN w:val="0"/>
        <w:adjustRightInd w:val="0"/>
        <w:spacing w:after="0" w:line="240" w:lineRule="auto"/>
        <w:rPr>
          <w:rFonts w:ascii="Calibri Light" w:hAnsi="Calibri Light" w:cs="Arial"/>
        </w:rPr>
      </w:pPr>
      <w:r w:rsidRPr="005A4264">
        <w:rPr>
          <w:rFonts w:ascii="Calibri Light" w:hAnsi="Calibri Light" w:cs="Arial"/>
        </w:rPr>
        <w:t xml:space="preserve">With </w:t>
      </w:r>
      <w:r w:rsidR="00907CEE" w:rsidRPr="005A4264">
        <w:rPr>
          <w:rFonts w:ascii="Calibri Light" w:hAnsi="Calibri Light" w:cs="Arial"/>
        </w:rPr>
        <w:t>Australia’s</w:t>
      </w:r>
      <w:r w:rsidRPr="005A4264">
        <w:rPr>
          <w:rFonts w:ascii="Calibri Light" w:hAnsi="Calibri Light" w:cs="Arial"/>
        </w:rPr>
        <w:t xml:space="preserve"> support, the Ministry</w:t>
      </w:r>
      <w:r w:rsidR="0038153F" w:rsidRPr="005A4264">
        <w:rPr>
          <w:rFonts w:ascii="Calibri Light" w:hAnsi="Calibri Light" w:cs="Arial"/>
        </w:rPr>
        <w:t xml:space="preserve"> of Health</w:t>
      </w:r>
      <w:r w:rsidRPr="005A4264">
        <w:rPr>
          <w:rFonts w:ascii="Calibri Light" w:hAnsi="Calibri Light" w:cs="Arial"/>
        </w:rPr>
        <w:t>’s</w:t>
      </w:r>
      <w:r w:rsidR="0038153F" w:rsidRPr="005A4264">
        <w:rPr>
          <w:rFonts w:ascii="Calibri Light" w:hAnsi="Calibri Light" w:cs="Arial"/>
        </w:rPr>
        <w:t xml:space="preserve"> (MoH)</w:t>
      </w:r>
      <w:r w:rsidRPr="005A4264">
        <w:rPr>
          <w:rFonts w:ascii="Calibri Light" w:hAnsi="Calibri Light" w:cs="Arial"/>
        </w:rPr>
        <w:t xml:space="preserve"> business planning continue</w:t>
      </w:r>
      <w:r w:rsidR="00CB157D" w:rsidRPr="005A4264">
        <w:rPr>
          <w:rFonts w:ascii="Calibri Light" w:hAnsi="Calibri Light" w:cs="Arial"/>
        </w:rPr>
        <w:t>s</w:t>
      </w:r>
      <w:r w:rsidRPr="005A4264">
        <w:rPr>
          <w:rFonts w:ascii="Calibri Light" w:hAnsi="Calibri Light" w:cs="Arial"/>
        </w:rPr>
        <w:t xml:space="preserve"> to strengthen. </w:t>
      </w:r>
      <w:r w:rsidR="006E4563" w:rsidRPr="005A4264">
        <w:rPr>
          <w:rFonts w:ascii="Calibri Light" w:hAnsi="Calibri Light" w:cs="Arial"/>
        </w:rPr>
        <w:t xml:space="preserve">For the first time, the </w:t>
      </w:r>
      <w:r w:rsidR="00CB157D" w:rsidRPr="005A4264">
        <w:rPr>
          <w:rFonts w:ascii="Calibri Light" w:hAnsi="Calibri Light" w:cs="Arial"/>
        </w:rPr>
        <w:t xml:space="preserve">MoH </w:t>
      </w:r>
      <w:r w:rsidR="006E4563" w:rsidRPr="005A4264">
        <w:rPr>
          <w:rFonts w:ascii="Calibri Light" w:hAnsi="Calibri Light" w:cs="Arial"/>
        </w:rPr>
        <w:t xml:space="preserve">convened meetings with development partners to discuss the sector budget and business plan, resulting in </w:t>
      </w:r>
      <w:r w:rsidR="00CB157D" w:rsidRPr="005A4264">
        <w:rPr>
          <w:rFonts w:ascii="Calibri Light" w:hAnsi="Calibri Light" w:cs="Arial"/>
        </w:rPr>
        <w:t>improved donor alignment</w:t>
      </w:r>
      <w:r w:rsidR="006E4563" w:rsidRPr="005A4264">
        <w:rPr>
          <w:rFonts w:ascii="Calibri Light" w:hAnsi="Calibri Light" w:cs="Arial"/>
        </w:rPr>
        <w:t xml:space="preserve"> for 2018. Management of the Village Health Workers (VHWs) program </w:t>
      </w:r>
      <w:r w:rsidR="00267EC2" w:rsidRPr="005A4264">
        <w:rPr>
          <w:rFonts w:ascii="Calibri Light" w:hAnsi="Calibri Light" w:cs="Arial"/>
        </w:rPr>
        <w:t xml:space="preserve">transitioned to </w:t>
      </w:r>
      <w:r w:rsidR="006E4563" w:rsidRPr="005A4264">
        <w:rPr>
          <w:rFonts w:ascii="Calibri Light" w:hAnsi="Calibri Light" w:cs="Arial"/>
        </w:rPr>
        <w:t>MoH</w:t>
      </w:r>
      <w:r w:rsidR="00267EC2" w:rsidRPr="005A4264">
        <w:rPr>
          <w:rFonts w:ascii="Calibri Light" w:hAnsi="Calibri Light" w:cs="Arial"/>
        </w:rPr>
        <w:t xml:space="preserve"> after 18 years of</w:t>
      </w:r>
      <w:r w:rsidR="004A122C" w:rsidRPr="005A4264">
        <w:rPr>
          <w:rFonts w:ascii="Calibri Light" w:hAnsi="Calibri Light" w:cs="Arial"/>
        </w:rPr>
        <w:t xml:space="preserve"> </w:t>
      </w:r>
      <w:r w:rsidR="00F901E8" w:rsidRPr="005A4264">
        <w:rPr>
          <w:rFonts w:ascii="Calibri Light" w:hAnsi="Calibri Light" w:cs="Arial"/>
        </w:rPr>
        <w:t xml:space="preserve">implementation by an </w:t>
      </w:r>
      <w:r w:rsidR="004A122C" w:rsidRPr="005A4264">
        <w:rPr>
          <w:rFonts w:ascii="Calibri Light" w:hAnsi="Calibri Light" w:cs="Arial"/>
        </w:rPr>
        <w:t>Australian</w:t>
      </w:r>
      <w:r w:rsidR="00F901E8" w:rsidRPr="005A4264">
        <w:rPr>
          <w:rFonts w:ascii="Calibri Light" w:hAnsi="Calibri Light" w:cs="Arial"/>
        </w:rPr>
        <w:t xml:space="preserve"> funded </w:t>
      </w:r>
      <w:r w:rsidR="00915BCC" w:rsidRPr="005A4264">
        <w:rPr>
          <w:rFonts w:ascii="Calibri Light" w:hAnsi="Calibri Light" w:cs="Arial"/>
        </w:rPr>
        <w:t>NGO</w:t>
      </w:r>
      <w:r w:rsidR="004A122C" w:rsidRPr="005A4264">
        <w:rPr>
          <w:rFonts w:ascii="Calibri Light" w:hAnsi="Calibri Light" w:cs="Arial"/>
        </w:rPr>
        <w:t>.</w:t>
      </w:r>
      <w:r w:rsidR="00267EC2" w:rsidRPr="005A4264">
        <w:rPr>
          <w:rFonts w:ascii="Calibri Light" w:hAnsi="Calibri Light" w:cs="Arial"/>
        </w:rPr>
        <w:t xml:space="preserve"> Thirty-three village health workers completed a 10</w:t>
      </w:r>
      <w:r w:rsidR="00CB157D" w:rsidRPr="005A4264">
        <w:rPr>
          <w:rFonts w:ascii="Calibri Light" w:hAnsi="Calibri Light" w:cs="Arial"/>
        </w:rPr>
        <w:t>-</w:t>
      </w:r>
      <w:r w:rsidR="00267EC2" w:rsidRPr="005A4264">
        <w:rPr>
          <w:rFonts w:ascii="Calibri Light" w:hAnsi="Calibri Light" w:cs="Arial"/>
        </w:rPr>
        <w:t>week pre-service training course funded by MoH in Ju</w:t>
      </w:r>
      <w:r w:rsidR="00F50E0E" w:rsidRPr="005A4264">
        <w:rPr>
          <w:rFonts w:ascii="Calibri Light" w:hAnsi="Calibri Light" w:cs="Arial"/>
        </w:rPr>
        <w:t>ne</w:t>
      </w:r>
      <w:r w:rsidR="00267EC2" w:rsidRPr="005A4264">
        <w:rPr>
          <w:rFonts w:ascii="Calibri Light" w:hAnsi="Calibri Light" w:cs="Arial"/>
        </w:rPr>
        <w:t xml:space="preserve"> 2018.  </w:t>
      </w:r>
      <w:r w:rsidR="006E4563" w:rsidRPr="005A4264">
        <w:rPr>
          <w:rFonts w:ascii="Calibri Light" w:hAnsi="Calibri Light" w:cs="Arial"/>
        </w:rPr>
        <w:t xml:space="preserve">The Central Medical Stores is now able to undertake large </w:t>
      </w:r>
      <w:r w:rsidR="00F50E0E" w:rsidRPr="005A4264">
        <w:rPr>
          <w:rFonts w:ascii="Calibri Light" w:hAnsi="Calibri Light" w:cs="Arial"/>
        </w:rPr>
        <w:t xml:space="preserve">pharmaceutical </w:t>
      </w:r>
      <w:r w:rsidR="006E4563" w:rsidRPr="005A4264">
        <w:rPr>
          <w:rFonts w:ascii="Calibri Light" w:hAnsi="Calibri Light" w:cs="Arial"/>
        </w:rPr>
        <w:t xml:space="preserve">procurements without advisory support due to improvements in procurement systems. </w:t>
      </w:r>
      <w:r w:rsidR="00915BCC" w:rsidRPr="005D20F9">
        <w:rPr>
          <w:rFonts w:ascii="Calibri Light" w:hAnsi="Calibri Light" w:cs="Arial"/>
        </w:rPr>
        <w:t xml:space="preserve">Australia </w:t>
      </w:r>
      <w:r w:rsidR="003B1AFE" w:rsidRPr="005D20F9">
        <w:rPr>
          <w:rFonts w:ascii="Calibri Light" w:hAnsi="Calibri Light" w:cs="Arial"/>
        </w:rPr>
        <w:t xml:space="preserve">is </w:t>
      </w:r>
      <w:r w:rsidR="00915BCC" w:rsidRPr="005D20F9">
        <w:rPr>
          <w:rFonts w:ascii="Calibri Light" w:hAnsi="Calibri Light" w:cs="Arial"/>
        </w:rPr>
        <w:t>work</w:t>
      </w:r>
      <w:r w:rsidR="003B1AFE" w:rsidRPr="005D20F9">
        <w:rPr>
          <w:rFonts w:ascii="Calibri Light" w:hAnsi="Calibri Light" w:cs="Arial"/>
        </w:rPr>
        <w:t>ing</w:t>
      </w:r>
      <w:r w:rsidR="00915BCC" w:rsidRPr="005D20F9">
        <w:rPr>
          <w:rFonts w:ascii="Calibri Light" w:hAnsi="Calibri Light" w:cs="Arial"/>
        </w:rPr>
        <w:t xml:space="preserve"> with the World Bank’s Pacific Health</w:t>
      </w:r>
      <w:r w:rsidR="003B1AFE" w:rsidRPr="005D20F9">
        <w:rPr>
          <w:rFonts w:ascii="Calibri Light" w:hAnsi="Calibri Light" w:cs="Arial"/>
        </w:rPr>
        <w:t xml:space="preserve"> and Analytical Services</w:t>
      </w:r>
      <w:r w:rsidR="00915BCC" w:rsidRPr="005D20F9">
        <w:rPr>
          <w:rFonts w:ascii="Calibri Light" w:hAnsi="Calibri Light" w:cs="Arial"/>
        </w:rPr>
        <w:t xml:space="preserve"> program to strengthen MoH’s financial and workforce planning, budgeting and management.</w:t>
      </w:r>
      <w:r w:rsidR="00915BCC" w:rsidRPr="00874DB4">
        <w:rPr>
          <w:rFonts w:ascii="Calibri Light" w:hAnsi="Calibri Light" w:cs="Arial"/>
        </w:rPr>
        <w:t xml:space="preserve"> </w:t>
      </w:r>
      <w:r w:rsidR="00DE4FB9" w:rsidRPr="005A4264">
        <w:rPr>
          <w:rFonts w:ascii="Calibri Light" w:hAnsi="Calibri Light" w:cs="Arial"/>
        </w:rPr>
        <w:t>Strengthened systems and capacity positioned</w:t>
      </w:r>
      <w:r w:rsidR="00DE4FB9">
        <w:rPr>
          <w:rFonts w:ascii="Calibri Light" w:hAnsi="Calibri Light" w:cs="Arial"/>
        </w:rPr>
        <w:t xml:space="preserve"> MoH to </w:t>
      </w:r>
      <w:r w:rsidRPr="00EE74F1">
        <w:rPr>
          <w:rFonts w:ascii="Calibri Light" w:hAnsi="Calibri Light" w:cs="Arial"/>
        </w:rPr>
        <w:t xml:space="preserve">respond quickly and effectively to deliver emergency health services to people affected by the </w:t>
      </w:r>
      <w:r w:rsidR="00267EC2" w:rsidRPr="00EE74F1">
        <w:rPr>
          <w:rFonts w:ascii="Calibri Light" w:hAnsi="Calibri Light" w:cs="Arial"/>
        </w:rPr>
        <w:t xml:space="preserve">2017 </w:t>
      </w:r>
      <w:r w:rsidRPr="00EE74F1">
        <w:rPr>
          <w:rFonts w:ascii="Calibri Light" w:hAnsi="Calibri Light" w:cs="Arial"/>
        </w:rPr>
        <w:t>Ambae</w:t>
      </w:r>
      <w:r w:rsidR="00200EB3">
        <w:rPr>
          <w:rFonts w:ascii="Calibri Light" w:hAnsi="Calibri Light" w:cs="Arial"/>
        </w:rPr>
        <w:t xml:space="preserve"> v</w:t>
      </w:r>
      <w:r w:rsidRPr="00EE74F1">
        <w:rPr>
          <w:rFonts w:ascii="Calibri Light" w:hAnsi="Calibri Light" w:cs="Arial"/>
        </w:rPr>
        <w:t>olcano eruption</w:t>
      </w:r>
      <w:r w:rsidR="00DE4FB9">
        <w:rPr>
          <w:rFonts w:ascii="Calibri Light" w:hAnsi="Calibri Light" w:cs="Arial"/>
        </w:rPr>
        <w:t>s</w:t>
      </w:r>
      <w:r w:rsidRPr="00EE74F1">
        <w:rPr>
          <w:rFonts w:ascii="Calibri Light" w:hAnsi="Calibri Light" w:cs="Arial"/>
        </w:rPr>
        <w:t xml:space="preserve">. </w:t>
      </w:r>
    </w:p>
    <w:p w:rsidR="00904B0E" w:rsidRPr="00874DB4" w:rsidRDefault="00267EC2" w:rsidP="00904B0E">
      <w:pPr>
        <w:autoSpaceDE w:val="0"/>
        <w:autoSpaceDN w:val="0"/>
        <w:adjustRightInd w:val="0"/>
        <w:spacing w:after="0" w:line="240" w:lineRule="auto"/>
        <w:rPr>
          <w:rFonts w:ascii="Calibri Light" w:hAnsi="Calibri Light" w:cs="Arial"/>
        </w:rPr>
      </w:pPr>
      <w:r w:rsidRPr="00EA510D">
        <w:rPr>
          <w:rFonts w:ascii="Calibri Light" w:hAnsi="Calibri Light" w:cs="Arial"/>
        </w:rPr>
        <w:t xml:space="preserve">With </w:t>
      </w:r>
      <w:r>
        <w:rPr>
          <w:rFonts w:ascii="Calibri Light" w:hAnsi="Calibri Light" w:cs="Arial"/>
        </w:rPr>
        <w:t>Australian</w:t>
      </w:r>
      <w:r w:rsidR="006E4563" w:rsidRPr="00EE74F1">
        <w:rPr>
          <w:rFonts w:ascii="Calibri Light" w:hAnsi="Calibri Light" w:cs="Arial"/>
        </w:rPr>
        <w:t xml:space="preserve"> support, immunization coverage continued to increase (for example DPT3 from 81.1</w:t>
      </w:r>
      <w:r w:rsidR="00822440">
        <w:rPr>
          <w:rFonts w:ascii="Calibri Light" w:hAnsi="Calibri Light" w:cs="Arial"/>
        </w:rPr>
        <w:t xml:space="preserve"> per cent</w:t>
      </w:r>
      <w:r w:rsidR="006E4563" w:rsidRPr="00EE74F1">
        <w:rPr>
          <w:rFonts w:ascii="Calibri Light" w:hAnsi="Calibri Light" w:cs="Arial"/>
        </w:rPr>
        <w:t xml:space="preserve"> in 2016 to </w:t>
      </w:r>
      <w:r w:rsidR="0094193A">
        <w:rPr>
          <w:rFonts w:ascii="Calibri Light" w:hAnsi="Calibri Light" w:cs="Arial"/>
        </w:rPr>
        <w:t>93.9</w:t>
      </w:r>
      <w:r w:rsidR="00822440">
        <w:rPr>
          <w:rFonts w:ascii="Calibri Light" w:hAnsi="Calibri Light" w:cs="Arial"/>
        </w:rPr>
        <w:t xml:space="preserve"> per cent</w:t>
      </w:r>
      <w:r w:rsidR="006E4563" w:rsidRPr="00EE74F1">
        <w:rPr>
          <w:rFonts w:ascii="Calibri Light" w:hAnsi="Calibri Light" w:cs="Arial"/>
        </w:rPr>
        <w:t xml:space="preserve"> in 201</w:t>
      </w:r>
      <w:r w:rsidR="0094193A">
        <w:rPr>
          <w:rFonts w:ascii="Calibri Light" w:hAnsi="Calibri Light" w:cs="Arial"/>
        </w:rPr>
        <w:t>8</w:t>
      </w:r>
      <w:r w:rsidR="009D32CC">
        <w:rPr>
          <w:rFonts w:ascii="Calibri Light" w:hAnsi="Calibri Light" w:cs="Arial"/>
        </w:rPr>
        <w:t xml:space="preserve"> – target of 87 per cent</w:t>
      </w:r>
      <w:r w:rsidR="006E4563" w:rsidRPr="00EE74F1">
        <w:rPr>
          <w:rFonts w:ascii="Calibri Light" w:hAnsi="Calibri Light" w:cs="Arial"/>
        </w:rPr>
        <w:t>) and malaria incidence reduce</w:t>
      </w:r>
      <w:r w:rsidR="00F50E0E">
        <w:rPr>
          <w:rFonts w:ascii="Calibri Light" w:hAnsi="Calibri Light" w:cs="Arial"/>
        </w:rPr>
        <w:t>d</w:t>
      </w:r>
      <w:r w:rsidR="006E4563" w:rsidRPr="00EE74F1">
        <w:rPr>
          <w:rFonts w:ascii="Calibri Light" w:hAnsi="Calibri Light" w:cs="Arial"/>
        </w:rPr>
        <w:t xml:space="preserve"> from 6.9 per 1,000 in 2016</w:t>
      </w:r>
      <w:r w:rsidR="00822440">
        <w:rPr>
          <w:rFonts w:ascii="Calibri Light" w:hAnsi="Calibri Light" w:cs="Arial"/>
        </w:rPr>
        <w:t>,</w:t>
      </w:r>
      <w:r w:rsidR="006E4563" w:rsidRPr="00EE74F1">
        <w:rPr>
          <w:rFonts w:ascii="Calibri Light" w:hAnsi="Calibri Light" w:cs="Arial"/>
        </w:rPr>
        <w:t xml:space="preserve"> to 3.6 per 1,000 in 2017.  </w:t>
      </w:r>
      <w:r w:rsidR="00C75FF9">
        <w:rPr>
          <w:rFonts w:ascii="Calibri Light" w:hAnsi="Calibri Light" w:cs="Arial"/>
        </w:rPr>
        <w:t xml:space="preserve">TAFEA </w:t>
      </w:r>
      <w:r w:rsidR="006E4563" w:rsidRPr="00EE74F1">
        <w:rPr>
          <w:rFonts w:ascii="Calibri Light" w:hAnsi="Calibri Light" w:cs="Arial"/>
        </w:rPr>
        <w:t>province was declared malaria free in 2017. The first 14 midwife graduates from the Vanuatu College of Nursing Education</w:t>
      </w:r>
      <w:r w:rsidR="00F50E0E">
        <w:rPr>
          <w:rFonts w:ascii="Calibri Light" w:hAnsi="Calibri Light" w:cs="Arial"/>
        </w:rPr>
        <w:t xml:space="preserve"> (</w:t>
      </w:r>
      <w:r w:rsidR="006E4563" w:rsidRPr="00EE74F1">
        <w:rPr>
          <w:rFonts w:ascii="Calibri Light" w:hAnsi="Calibri Light" w:cs="Arial"/>
        </w:rPr>
        <w:t>June 2017</w:t>
      </w:r>
      <w:r w:rsidR="00F50E0E">
        <w:rPr>
          <w:rFonts w:ascii="Calibri Light" w:hAnsi="Calibri Light" w:cs="Arial"/>
        </w:rPr>
        <w:t>)</w:t>
      </w:r>
      <w:r w:rsidR="006E4563" w:rsidRPr="00EE74F1">
        <w:rPr>
          <w:rFonts w:ascii="Calibri Light" w:hAnsi="Calibri Light" w:cs="Arial"/>
        </w:rPr>
        <w:t xml:space="preserve"> have been placed, increasing the midwifery workforce nationally by 29.9</w:t>
      </w:r>
      <w:r w:rsidR="00822440">
        <w:rPr>
          <w:rFonts w:ascii="Calibri Light" w:hAnsi="Calibri Light" w:cs="Arial"/>
        </w:rPr>
        <w:t xml:space="preserve"> per cent</w:t>
      </w:r>
      <w:r w:rsidR="006E4563" w:rsidRPr="00EE74F1">
        <w:rPr>
          <w:rFonts w:ascii="Calibri Light" w:hAnsi="Calibri Light" w:cs="Arial"/>
        </w:rPr>
        <w:t xml:space="preserve">. </w:t>
      </w:r>
      <w:r w:rsidR="00822440">
        <w:rPr>
          <w:rFonts w:ascii="Calibri Light" w:hAnsi="Calibri Light" w:cs="Arial"/>
        </w:rPr>
        <w:t>Twenty seven</w:t>
      </w:r>
      <w:r w:rsidR="006E4563" w:rsidRPr="00EE74F1">
        <w:rPr>
          <w:rFonts w:ascii="Calibri Light" w:hAnsi="Calibri Light" w:cs="Arial"/>
        </w:rPr>
        <w:t xml:space="preserve"> nurses graduated in 2017. The internship program for graduate doctors was significantly improved, with the </w:t>
      </w:r>
      <w:r w:rsidR="006E4563" w:rsidRPr="005D20F9">
        <w:rPr>
          <w:rFonts w:ascii="Calibri Light" w:hAnsi="Calibri Light" w:cs="Arial"/>
        </w:rPr>
        <w:t>introduction of a systematic process of rotations to ensure expos</w:t>
      </w:r>
      <w:r w:rsidR="00F50E0E" w:rsidRPr="005D20F9">
        <w:rPr>
          <w:rFonts w:ascii="Calibri Light" w:hAnsi="Calibri Light" w:cs="Arial"/>
        </w:rPr>
        <w:t>ure</w:t>
      </w:r>
      <w:r w:rsidR="006E4563" w:rsidRPr="005D20F9">
        <w:rPr>
          <w:rFonts w:ascii="Calibri Light" w:hAnsi="Calibri Light" w:cs="Arial"/>
        </w:rPr>
        <w:t xml:space="preserve"> to all major clinical disciplines. </w:t>
      </w:r>
      <w:r w:rsidR="00AF1F65" w:rsidRPr="005D20F9">
        <w:rPr>
          <w:rFonts w:ascii="Calibri Light" w:hAnsi="Calibri Light" w:cs="Arial"/>
        </w:rPr>
        <w:t xml:space="preserve">Thirty eight doctors </w:t>
      </w:r>
      <w:r w:rsidR="00C75FF9" w:rsidRPr="005D20F9">
        <w:rPr>
          <w:rFonts w:ascii="Calibri Light" w:hAnsi="Calibri Light" w:cs="Arial"/>
        </w:rPr>
        <w:t>(</w:t>
      </w:r>
      <w:r w:rsidR="0099032A" w:rsidRPr="005D20F9">
        <w:rPr>
          <w:rFonts w:ascii="Calibri Light" w:hAnsi="Calibri Light" w:cs="Arial"/>
        </w:rPr>
        <w:t>42</w:t>
      </w:r>
      <w:r w:rsidR="00C75FF9" w:rsidRPr="005D20F9">
        <w:rPr>
          <w:rFonts w:ascii="Calibri Light" w:hAnsi="Calibri Light" w:cs="Arial"/>
        </w:rPr>
        <w:t xml:space="preserve"> per cent women)</w:t>
      </w:r>
      <w:r w:rsidR="00C75FF9">
        <w:rPr>
          <w:rFonts w:ascii="Calibri Light" w:hAnsi="Calibri Light" w:cs="Arial"/>
        </w:rPr>
        <w:t xml:space="preserve"> </w:t>
      </w:r>
      <w:r w:rsidR="00AF1F65" w:rsidRPr="00EE74F1">
        <w:rPr>
          <w:rFonts w:ascii="Calibri Light" w:hAnsi="Calibri Light" w:cs="Arial"/>
        </w:rPr>
        <w:t>currently progressing through the internship program will provide a significant boost to Vanuatu’s medical workforce</w:t>
      </w:r>
      <w:r w:rsidR="00AF1F65" w:rsidRPr="00874DB4">
        <w:rPr>
          <w:rFonts w:ascii="Calibri Light" w:hAnsi="Calibri Light" w:cs="Arial"/>
        </w:rPr>
        <w:t xml:space="preserve">. </w:t>
      </w:r>
      <w:r w:rsidR="00904B0E" w:rsidRPr="005D20F9">
        <w:rPr>
          <w:rFonts w:ascii="Calibri Light" w:hAnsi="Calibri Light" w:cs="Arial"/>
        </w:rPr>
        <w:t xml:space="preserve">Efforts to strengthen hospital systems and </w:t>
      </w:r>
      <w:r w:rsidR="009D32CC" w:rsidRPr="005D20F9">
        <w:rPr>
          <w:rFonts w:ascii="Calibri Light" w:hAnsi="Calibri Light" w:cs="Arial"/>
        </w:rPr>
        <w:t xml:space="preserve">the </w:t>
      </w:r>
      <w:r w:rsidR="00904B0E" w:rsidRPr="005D20F9">
        <w:rPr>
          <w:rFonts w:ascii="Calibri Light" w:hAnsi="Calibri Light" w:cs="Arial"/>
        </w:rPr>
        <w:t>leadership and management of senior doctors</w:t>
      </w:r>
      <w:r w:rsidR="009D32CC" w:rsidRPr="005D20F9">
        <w:rPr>
          <w:rFonts w:ascii="Calibri Light" w:hAnsi="Calibri Light" w:cs="Arial"/>
        </w:rPr>
        <w:t xml:space="preserve"> require</w:t>
      </w:r>
      <w:r w:rsidR="00915BCC" w:rsidRPr="005D20F9">
        <w:rPr>
          <w:rFonts w:ascii="Calibri Light" w:hAnsi="Calibri Light" w:cs="Arial"/>
        </w:rPr>
        <w:t>s</w:t>
      </w:r>
      <w:r w:rsidR="009D32CC" w:rsidRPr="005D20F9">
        <w:rPr>
          <w:rFonts w:ascii="Calibri Light" w:hAnsi="Calibri Light" w:cs="Arial"/>
        </w:rPr>
        <w:t xml:space="preserve"> continued focus</w:t>
      </w:r>
      <w:r w:rsidR="00904B0E" w:rsidRPr="005D20F9">
        <w:rPr>
          <w:rFonts w:ascii="Calibri Light" w:hAnsi="Calibri Light" w:cs="Arial"/>
        </w:rPr>
        <w:t xml:space="preserve"> in 2018-19.</w:t>
      </w:r>
      <w:r w:rsidR="00904B0E" w:rsidRPr="00874DB4">
        <w:rPr>
          <w:rFonts w:ascii="Calibri Light" w:hAnsi="Calibri Light" w:cs="Arial"/>
        </w:rPr>
        <w:t xml:space="preserve"> </w:t>
      </w:r>
    </w:p>
    <w:p w:rsidR="006E4563" w:rsidRDefault="006E4563" w:rsidP="006E4563">
      <w:pPr>
        <w:autoSpaceDE w:val="0"/>
        <w:autoSpaceDN w:val="0"/>
        <w:adjustRightInd w:val="0"/>
        <w:spacing w:after="0" w:line="240" w:lineRule="auto"/>
        <w:rPr>
          <w:rFonts w:ascii="Calibri Light" w:hAnsi="Calibri Light" w:cs="Arial"/>
        </w:rPr>
      </w:pPr>
      <w:r w:rsidRPr="005D20F9">
        <w:rPr>
          <w:rFonts w:ascii="Calibri Light" w:hAnsi="Calibri Light" w:cs="Arial"/>
        </w:rPr>
        <w:t>Gender equality continues to be difficult to address. More strategic and intentional engagement to promote gender</w:t>
      </w:r>
      <w:r w:rsidR="00A43FA7" w:rsidRPr="005D20F9">
        <w:rPr>
          <w:rFonts w:ascii="Calibri Light" w:hAnsi="Calibri Light" w:cs="Arial"/>
        </w:rPr>
        <w:t xml:space="preserve"> and disability</w:t>
      </w:r>
      <w:r w:rsidRPr="005D20F9">
        <w:rPr>
          <w:rFonts w:ascii="Calibri Light" w:hAnsi="Calibri Light" w:cs="Arial"/>
        </w:rPr>
        <w:t xml:space="preserve"> inclusive health service provision will be integrated in</w:t>
      </w:r>
      <w:r w:rsidR="007A4F34" w:rsidRPr="005D20F9">
        <w:rPr>
          <w:rFonts w:ascii="Calibri Light" w:hAnsi="Calibri Light" w:cs="Arial"/>
        </w:rPr>
        <w:t>to</w:t>
      </w:r>
      <w:r w:rsidRPr="005D20F9">
        <w:rPr>
          <w:rFonts w:ascii="Calibri Light" w:hAnsi="Calibri Light" w:cs="Arial"/>
        </w:rPr>
        <w:t xml:space="preserve"> the </w:t>
      </w:r>
      <w:r w:rsidR="007A4F34" w:rsidRPr="005D20F9">
        <w:rPr>
          <w:rFonts w:ascii="Calibri Light" w:hAnsi="Calibri Light" w:cs="Arial"/>
        </w:rPr>
        <w:t>design of the next phase</w:t>
      </w:r>
      <w:r w:rsidR="007A4F34" w:rsidRPr="00874DB4">
        <w:rPr>
          <w:rFonts w:ascii="Calibri Light" w:hAnsi="Calibri Light" w:cs="Arial"/>
        </w:rPr>
        <w:t xml:space="preserve"> of Australia’s support to the Vanuatu health sector, due to be finalised in 2018.</w:t>
      </w:r>
      <w:r w:rsidRPr="00EE74F1">
        <w:rPr>
          <w:rFonts w:ascii="Calibri Light" w:hAnsi="Calibri Light" w:cs="Arial"/>
        </w:rPr>
        <w:t xml:space="preserve"> </w:t>
      </w:r>
    </w:p>
    <w:p w:rsidR="003F3549" w:rsidRDefault="003F3549" w:rsidP="003F3549">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Pr>
          <w:rFonts w:asciiTheme="majorHAnsi" w:eastAsiaTheme="majorEastAsia" w:hAnsiTheme="majorHAnsi" w:cstheme="majorBidi"/>
          <w:caps/>
          <w:color w:val="495965" w:themeColor="text2"/>
          <w:sz w:val="38"/>
          <w:szCs w:val="26"/>
          <w:lang w:val="en-GB" w:eastAsia="en-US"/>
        </w:rPr>
        <w:t>3: improving community safety and resilience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3F3549" w:rsidTr="00F40C0D">
        <w:tc>
          <w:tcPr>
            <w:tcW w:w="2016" w:type="dxa"/>
          </w:tcPr>
          <w:p w:rsidR="003F3549" w:rsidRDefault="003F3549" w:rsidP="00F40C0D">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E16AAB0" wp14:editId="469F2716">
                  <wp:extent cx="1137600" cy="720000"/>
                  <wp:effectExtent l="0" t="0" r="571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2AB484A" wp14:editId="60011BCB">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5941D94" wp14:editId="3E3F80A5">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5371787" wp14:editId="4D8E6ADC">
                  <wp:extent cx="608400" cy="61200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9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E720A7" w:rsidRPr="002B766E" w:rsidRDefault="00E720A7" w:rsidP="00E720A7">
      <w:pPr>
        <w:spacing w:before="0" w:after="0"/>
        <w:rPr>
          <w:rFonts w:ascii="Calibri Light" w:hAnsi="Calibri Light"/>
        </w:rPr>
      </w:pPr>
      <w:r w:rsidRPr="002B766E">
        <w:rPr>
          <w:rFonts w:ascii="Calibri Light" w:hAnsi="Calibri Light"/>
        </w:rPr>
        <w:t xml:space="preserve">Objective 3 </w:t>
      </w:r>
      <w:r>
        <w:rPr>
          <w:rFonts w:ascii="Calibri Light" w:hAnsi="Calibri Light"/>
        </w:rPr>
        <w:t xml:space="preserve">is rated </w:t>
      </w:r>
      <w:r w:rsidRPr="0027798F">
        <w:rPr>
          <w:rFonts w:ascii="Calibri Light" w:hAnsi="Calibri Light"/>
        </w:rPr>
        <w:t>green</w:t>
      </w:r>
      <w:r w:rsidRPr="002B766E">
        <w:rPr>
          <w:rFonts w:ascii="Calibri Light" w:hAnsi="Calibri Light"/>
        </w:rPr>
        <w:t xml:space="preserve"> due to progress in the Policing and Justice Program (VAPJP)</w:t>
      </w:r>
      <w:r>
        <w:rPr>
          <w:rFonts w:ascii="Calibri Light" w:hAnsi="Calibri Light"/>
        </w:rPr>
        <w:t xml:space="preserve"> </w:t>
      </w:r>
      <w:r w:rsidRPr="002B766E">
        <w:rPr>
          <w:rFonts w:ascii="Calibri Light" w:hAnsi="Calibri Light"/>
        </w:rPr>
        <w:t xml:space="preserve">and achievements </w:t>
      </w:r>
      <w:r>
        <w:rPr>
          <w:rFonts w:ascii="Calibri Light" w:hAnsi="Calibri Light"/>
        </w:rPr>
        <w:t xml:space="preserve">from our </w:t>
      </w:r>
      <w:r w:rsidRPr="002B766E">
        <w:rPr>
          <w:rFonts w:ascii="Calibri Light" w:hAnsi="Calibri Light"/>
        </w:rPr>
        <w:t xml:space="preserve">work with </w:t>
      </w:r>
      <w:r w:rsidRPr="00A5708E">
        <w:rPr>
          <w:rFonts w:ascii="Calibri Light" w:hAnsi="Calibri Light"/>
        </w:rPr>
        <w:t>Wan Smolbag (WSB)</w:t>
      </w:r>
      <w:r>
        <w:rPr>
          <w:rFonts w:ascii="Calibri Light" w:hAnsi="Calibri Light"/>
          <w:i/>
        </w:rPr>
        <w:t xml:space="preserve"> </w:t>
      </w:r>
      <w:r w:rsidRPr="002B766E">
        <w:rPr>
          <w:rFonts w:ascii="Calibri Light" w:hAnsi="Calibri Light"/>
        </w:rPr>
        <w:t>and the Vanuatu Women’s Centre</w:t>
      </w:r>
      <w:r>
        <w:rPr>
          <w:rFonts w:ascii="Calibri Light" w:hAnsi="Calibri Light"/>
        </w:rPr>
        <w:t xml:space="preserve"> (VWC)</w:t>
      </w:r>
      <w:r w:rsidRPr="002B766E">
        <w:rPr>
          <w:rFonts w:ascii="Calibri Light" w:hAnsi="Calibri Light"/>
        </w:rPr>
        <w:t xml:space="preserve">. </w:t>
      </w:r>
      <w:r w:rsidR="00907CEE">
        <w:rPr>
          <w:rFonts w:ascii="Calibri Light" w:hAnsi="Calibri Light"/>
        </w:rPr>
        <w:t>Nineteen per</w:t>
      </w:r>
      <w:r w:rsidRPr="002B766E">
        <w:rPr>
          <w:rFonts w:ascii="Calibri Light" w:hAnsi="Calibri Light"/>
        </w:rPr>
        <w:t xml:space="preserve"> cent of Australia’s</w:t>
      </w:r>
      <w:r>
        <w:rPr>
          <w:rFonts w:ascii="Calibri Light" w:hAnsi="Calibri Light"/>
        </w:rPr>
        <w:t xml:space="preserve"> </w:t>
      </w:r>
      <w:r w:rsidRPr="002B766E">
        <w:rPr>
          <w:rFonts w:ascii="Calibri Light" w:hAnsi="Calibri Light"/>
        </w:rPr>
        <w:t>bilateral</w:t>
      </w:r>
      <w:r>
        <w:rPr>
          <w:rFonts w:ascii="Calibri Light" w:hAnsi="Calibri Light"/>
        </w:rPr>
        <w:t xml:space="preserve"> aid</w:t>
      </w:r>
      <w:r w:rsidRPr="002B766E">
        <w:rPr>
          <w:rFonts w:ascii="Calibri Light" w:hAnsi="Calibri Light"/>
        </w:rPr>
        <w:t xml:space="preserve"> </w:t>
      </w:r>
      <w:r>
        <w:rPr>
          <w:rFonts w:ascii="Calibri Light" w:hAnsi="Calibri Light"/>
        </w:rPr>
        <w:t>targets</w:t>
      </w:r>
      <w:r w:rsidRPr="002B766E">
        <w:rPr>
          <w:rFonts w:ascii="Calibri Light" w:hAnsi="Calibri Light"/>
        </w:rPr>
        <w:t xml:space="preserve"> this objective</w:t>
      </w:r>
      <w:r>
        <w:rPr>
          <w:rFonts w:ascii="Calibri Light" w:hAnsi="Calibri Light"/>
        </w:rPr>
        <w:t>,</w:t>
      </w:r>
      <w:r w:rsidRPr="002B766E">
        <w:rPr>
          <w:rFonts w:ascii="Calibri Light" w:hAnsi="Calibri Light"/>
        </w:rPr>
        <w:t xml:space="preserve"> which focuses on services for women and children survivors of domestic violence</w:t>
      </w:r>
      <w:r>
        <w:rPr>
          <w:rFonts w:ascii="Calibri Light" w:hAnsi="Calibri Light"/>
        </w:rPr>
        <w:t xml:space="preserve">, </w:t>
      </w:r>
      <w:r w:rsidR="00304AAC">
        <w:rPr>
          <w:rFonts w:ascii="Calibri Light" w:hAnsi="Calibri Light"/>
        </w:rPr>
        <w:t xml:space="preserve">and support for </w:t>
      </w:r>
      <w:r w:rsidRPr="002B766E">
        <w:rPr>
          <w:rFonts w:ascii="Calibri Light" w:hAnsi="Calibri Light"/>
        </w:rPr>
        <w:t>youth and marginalised people.</w:t>
      </w:r>
    </w:p>
    <w:p w:rsidR="00D67AFE" w:rsidRDefault="00D67AFE" w:rsidP="00874DB4">
      <w:pPr>
        <w:spacing w:before="0" w:after="0"/>
      </w:pPr>
    </w:p>
    <w:p w:rsidR="00E720A7" w:rsidRDefault="003E50D5" w:rsidP="00874DB4">
      <w:pPr>
        <w:spacing w:before="0" w:after="0"/>
        <w:rPr>
          <w:rFonts w:ascii="Calibri Light" w:hAnsi="Calibri Light"/>
        </w:rPr>
      </w:pPr>
      <w:r w:rsidRPr="005D20F9">
        <w:lastRenderedPageBreak/>
        <w:t>Approximately 72 per cent of women in Vanuatu have experienced some form of physical and/or sexual violence.</w:t>
      </w:r>
      <w:r w:rsidRPr="005D20F9">
        <w:rPr>
          <w:vertAlign w:val="superscript"/>
        </w:rPr>
        <w:footnoteReference w:id="25"/>
      </w:r>
      <w:r w:rsidRPr="00874DB4">
        <w:t xml:space="preserve"> </w:t>
      </w:r>
      <w:r w:rsidR="00907CEE" w:rsidRPr="003E50D5">
        <w:rPr>
          <w:rFonts w:ascii="Calibri Light" w:hAnsi="Calibri Light"/>
        </w:rPr>
        <w:t>Australia</w:t>
      </w:r>
      <w:r w:rsidR="00907CEE">
        <w:rPr>
          <w:rFonts w:ascii="Calibri Light" w:hAnsi="Calibri Light"/>
        </w:rPr>
        <w:t xml:space="preserve"> </w:t>
      </w:r>
      <w:r w:rsidR="003B1AFE">
        <w:rPr>
          <w:rFonts w:ascii="Calibri Light" w:hAnsi="Calibri Light"/>
        </w:rPr>
        <w:t xml:space="preserve">has continued to be a leading advocate for gender equality, and </w:t>
      </w:r>
      <w:r w:rsidR="00907CEE">
        <w:rPr>
          <w:rFonts w:ascii="Calibri Light" w:hAnsi="Calibri Light"/>
        </w:rPr>
        <w:t xml:space="preserve">supported </w:t>
      </w:r>
      <w:r w:rsidR="00D67AFE">
        <w:rPr>
          <w:rFonts w:ascii="Calibri Light" w:hAnsi="Calibri Light"/>
        </w:rPr>
        <w:t xml:space="preserve">Vanuatu’s </w:t>
      </w:r>
      <w:r w:rsidR="00907CEE">
        <w:rPr>
          <w:rFonts w:ascii="Calibri Light" w:hAnsi="Calibri Light"/>
        </w:rPr>
        <w:t xml:space="preserve">efforts to address </w:t>
      </w:r>
      <w:r w:rsidR="00E720A7" w:rsidRPr="0027798F">
        <w:rPr>
          <w:rFonts w:ascii="Calibri Light" w:hAnsi="Calibri Light"/>
        </w:rPr>
        <w:t>high levels of family violence and sexual assault</w:t>
      </w:r>
      <w:r w:rsidR="00907CEE">
        <w:rPr>
          <w:rStyle w:val="FootnoteReference"/>
          <w:rFonts w:ascii="Calibri Light" w:hAnsi="Calibri Light"/>
        </w:rPr>
        <w:footnoteReference w:id="26"/>
      </w:r>
      <w:r w:rsidR="00E720A7" w:rsidRPr="0027798F">
        <w:rPr>
          <w:rFonts w:ascii="Calibri Light" w:hAnsi="Calibri Light"/>
        </w:rPr>
        <w:t>.  At a national level, 1,553 Family Protection Orders (FPOs) were issued (52% increase from 2011)</w:t>
      </w:r>
      <w:r w:rsidR="00907CEE">
        <w:rPr>
          <w:rFonts w:ascii="Calibri Light" w:hAnsi="Calibri Light"/>
        </w:rPr>
        <w:t>. F</w:t>
      </w:r>
      <w:r w:rsidR="00E720A7" w:rsidRPr="0027798F">
        <w:rPr>
          <w:rFonts w:ascii="Calibri Light" w:hAnsi="Calibri Light"/>
        </w:rPr>
        <w:t>or the first time Authorised Persons and Registered Coun</w:t>
      </w:r>
      <w:r w:rsidR="00E720A7">
        <w:rPr>
          <w:rFonts w:ascii="Calibri Light" w:hAnsi="Calibri Light"/>
        </w:rPr>
        <w:t>sellors -</w:t>
      </w:r>
      <w:r w:rsidR="00E720A7" w:rsidRPr="0027798F">
        <w:rPr>
          <w:rFonts w:ascii="Calibri Light" w:hAnsi="Calibri Light"/>
        </w:rPr>
        <w:t xml:space="preserve"> enabled under the Family Protection Act</w:t>
      </w:r>
      <w:r w:rsidR="00E720A7">
        <w:rPr>
          <w:rFonts w:ascii="Calibri Light" w:hAnsi="Calibri Light"/>
        </w:rPr>
        <w:t xml:space="preserve"> -</w:t>
      </w:r>
      <w:r w:rsidR="00E720A7" w:rsidRPr="0027798F">
        <w:rPr>
          <w:rFonts w:ascii="Calibri Light" w:hAnsi="Calibri Light"/>
        </w:rPr>
        <w:t xml:space="preserve"> are being </w:t>
      </w:r>
      <w:r w:rsidR="00CB157D">
        <w:rPr>
          <w:rFonts w:ascii="Calibri Light" w:hAnsi="Calibri Light"/>
        </w:rPr>
        <w:t>trialled</w:t>
      </w:r>
      <w:r w:rsidR="00CB157D" w:rsidRPr="0027798F">
        <w:rPr>
          <w:rFonts w:ascii="Calibri Light" w:hAnsi="Calibri Light"/>
        </w:rPr>
        <w:t xml:space="preserve"> </w:t>
      </w:r>
      <w:r w:rsidR="00E720A7" w:rsidRPr="002B766E">
        <w:rPr>
          <w:rFonts w:ascii="Calibri Light" w:hAnsi="Calibri Light"/>
        </w:rPr>
        <w:t xml:space="preserve">to issue FPOs, provide counselling and work with </w:t>
      </w:r>
      <w:r w:rsidR="003B1AFE">
        <w:rPr>
          <w:rFonts w:ascii="Calibri Light" w:hAnsi="Calibri Light"/>
        </w:rPr>
        <w:t>c</w:t>
      </w:r>
      <w:r w:rsidR="00E720A7" w:rsidRPr="002B766E">
        <w:rPr>
          <w:rFonts w:ascii="Calibri Light" w:hAnsi="Calibri Light"/>
        </w:rPr>
        <w:t xml:space="preserve">hiefs and </w:t>
      </w:r>
      <w:r w:rsidR="00E720A7" w:rsidRPr="0027798F">
        <w:rPr>
          <w:rFonts w:ascii="Calibri Light" w:hAnsi="Calibri Light"/>
        </w:rPr>
        <w:t>community</w:t>
      </w:r>
      <w:r w:rsidR="00E720A7" w:rsidRPr="002B766E">
        <w:rPr>
          <w:rFonts w:ascii="Calibri Light" w:hAnsi="Calibri Light"/>
          <w:i/>
        </w:rPr>
        <w:t xml:space="preserve"> </w:t>
      </w:r>
      <w:r w:rsidR="00E720A7" w:rsidRPr="002B766E">
        <w:rPr>
          <w:rFonts w:ascii="Calibri Light" w:hAnsi="Calibri Light"/>
        </w:rPr>
        <w:t>leaders to reduce the incidence of family violence and sexual crimes.  In late 2017</w:t>
      </w:r>
      <w:r w:rsidR="00CB157D">
        <w:rPr>
          <w:rFonts w:ascii="Calibri Light" w:hAnsi="Calibri Light"/>
        </w:rPr>
        <w:t xml:space="preserve">, </w:t>
      </w:r>
      <w:r w:rsidR="00D67AFE">
        <w:rPr>
          <w:rFonts w:ascii="Calibri Light" w:hAnsi="Calibri Light"/>
        </w:rPr>
        <w:t>Vanuatu’s</w:t>
      </w:r>
      <w:r w:rsidR="00E720A7" w:rsidRPr="002B766E">
        <w:rPr>
          <w:rFonts w:ascii="Calibri Light" w:hAnsi="Calibri Light"/>
        </w:rPr>
        <w:t xml:space="preserve"> O</w:t>
      </w:r>
      <w:r w:rsidR="00CB157D">
        <w:rPr>
          <w:rFonts w:ascii="Calibri Light" w:hAnsi="Calibri Light"/>
        </w:rPr>
        <w:t>ffice of the Public Prosecuto</w:t>
      </w:r>
      <w:r w:rsidR="00A136A8">
        <w:rPr>
          <w:rFonts w:ascii="Calibri Light" w:hAnsi="Calibri Light"/>
        </w:rPr>
        <w:t>r</w:t>
      </w:r>
      <w:r w:rsidR="00CB157D">
        <w:rPr>
          <w:rFonts w:ascii="Calibri Light" w:hAnsi="Calibri Light"/>
        </w:rPr>
        <w:t xml:space="preserve"> (O</w:t>
      </w:r>
      <w:r w:rsidR="00E720A7" w:rsidRPr="002B766E">
        <w:rPr>
          <w:rFonts w:ascii="Calibri Light" w:hAnsi="Calibri Light"/>
        </w:rPr>
        <w:t>PP</w:t>
      </w:r>
      <w:r w:rsidR="00CB157D">
        <w:rPr>
          <w:rFonts w:ascii="Calibri Light" w:hAnsi="Calibri Light"/>
        </w:rPr>
        <w:t>)</w:t>
      </w:r>
      <w:r w:rsidR="00E720A7" w:rsidRPr="002B766E">
        <w:rPr>
          <w:rFonts w:ascii="Calibri Light" w:hAnsi="Calibri Light"/>
        </w:rPr>
        <w:t xml:space="preserve"> appointed a Senior Prosecutor specialising in sexual and domestic violence offences.</w:t>
      </w:r>
    </w:p>
    <w:p w:rsidR="00326E19" w:rsidRPr="002B766E" w:rsidRDefault="00326E19">
      <w:pPr>
        <w:spacing w:before="0" w:after="0"/>
        <w:rPr>
          <w:rFonts w:ascii="Calibri Light" w:hAnsi="Calibri Light"/>
        </w:rPr>
      </w:pPr>
    </w:p>
    <w:p w:rsidR="00E720A7" w:rsidRPr="0027798F" w:rsidRDefault="00E720A7">
      <w:pPr>
        <w:spacing w:before="0" w:after="0"/>
        <w:rPr>
          <w:rFonts w:ascii="Calibri Light" w:hAnsi="Calibri Light"/>
        </w:rPr>
      </w:pPr>
      <w:r w:rsidRPr="002B766E">
        <w:rPr>
          <w:rFonts w:ascii="Calibri Light" w:hAnsi="Calibri Light"/>
        </w:rPr>
        <w:t>Police prosecutors demonstrate</w:t>
      </w:r>
      <w:r w:rsidR="006E4C15">
        <w:rPr>
          <w:rFonts w:ascii="Calibri Light" w:hAnsi="Calibri Light"/>
        </w:rPr>
        <w:t>d</w:t>
      </w:r>
      <w:r w:rsidRPr="002B766E">
        <w:rPr>
          <w:rFonts w:ascii="Calibri Light" w:hAnsi="Calibri Light"/>
        </w:rPr>
        <w:t xml:space="preserve"> improved knowledge and use of the State Prosecution Department’s case management system, an</w:t>
      </w:r>
      <w:r w:rsidR="006E4C15">
        <w:rPr>
          <w:rFonts w:ascii="Calibri Light" w:hAnsi="Calibri Light"/>
        </w:rPr>
        <w:t>d the sector increasingly tracked</w:t>
      </w:r>
      <w:r w:rsidRPr="002B766E">
        <w:rPr>
          <w:rFonts w:ascii="Calibri Light" w:hAnsi="Calibri Light"/>
        </w:rPr>
        <w:t xml:space="preserve"> case timeliness and clearance rates</w:t>
      </w:r>
      <w:r w:rsidR="0038153F">
        <w:rPr>
          <w:rFonts w:ascii="Calibri Light" w:hAnsi="Calibri Light"/>
        </w:rPr>
        <w:t>,</w:t>
      </w:r>
      <w:r w:rsidR="008644C6">
        <w:rPr>
          <w:rFonts w:ascii="Calibri Light" w:hAnsi="Calibri Light"/>
        </w:rPr>
        <w:t xml:space="preserve"> with key performance baselines established in 2017-18</w:t>
      </w:r>
      <w:r w:rsidR="0038153F">
        <w:rPr>
          <w:rFonts w:ascii="Calibri Light" w:hAnsi="Calibri Light"/>
        </w:rPr>
        <w:t>. U</w:t>
      </w:r>
      <w:r w:rsidR="00FF7781">
        <w:rPr>
          <w:rFonts w:ascii="Calibri Light" w:hAnsi="Calibri Light"/>
        </w:rPr>
        <w:t xml:space="preserve">se of </w:t>
      </w:r>
      <w:r w:rsidR="00907CEE">
        <w:rPr>
          <w:rFonts w:ascii="Calibri Light" w:hAnsi="Calibri Light"/>
        </w:rPr>
        <w:t>case management</w:t>
      </w:r>
      <w:r w:rsidR="00907CEE" w:rsidRPr="002B766E">
        <w:rPr>
          <w:rFonts w:ascii="Calibri Light" w:hAnsi="Calibri Light"/>
        </w:rPr>
        <w:t xml:space="preserve"> information to enhance service delivery </w:t>
      </w:r>
      <w:r w:rsidR="0038153F">
        <w:rPr>
          <w:rFonts w:ascii="Calibri Light" w:hAnsi="Calibri Light"/>
        </w:rPr>
        <w:t>remains</w:t>
      </w:r>
      <w:r w:rsidR="00907CEE" w:rsidRPr="002B766E">
        <w:rPr>
          <w:rFonts w:ascii="Calibri Light" w:hAnsi="Calibri Light"/>
        </w:rPr>
        <w:t xml:space="preserve"> inconsistent across the sector</w:t>
      </w:r>
      <w:r w:rsidR="00907CEE">
        <w:rPr>
          <w:rFonts w:ascii="Calibri Light" w:hAnsi="Calibri Light"/>
        </w:rPr>
        <w:t>.</w:t>
      </w:r>
      <w:r w:rsidR="00907CEE" w:rsidRPr="002B766E" w:rsidDel="00ED15E9">
        <w:rPr>
          <w:rFonts w:ascii="Calibri Light" w:hAnsi="Calibri Light"/>
        </w:rPr>
        <w:t xml:space="preserve"> </w:t>
      </w:r>
      <w:r w:rsidRPr="002B766E">
        <w:rPr>
          <w:rFonts w:ascii="Calibri Light" w:hAnsi="Calibri Light"/>
        </w:rPr>
        <w:t xml:space="preserve">The Magistrates’ Court </w:t>
      </w:r>
      <w:r w:rsidR="0038153F">
        <w:rPr>
          <w:rFonts w:ascii="Calibri Light" w:hAnsi="Calibri Light"/>
        </w:rPr>
        <w:t>is using</w:t>
      </w:r>
      <w:r w:rsidRPr="002B766E">
        <w:rPr>
          <w:rFonts w:ascii="Calibri Light" w:hAnsi="Calibri Light"/>
        </w:rPr>
        <w:t xml:space="preserve"> the case management system to increase productivity</w:t>
      </w:r>
      <w:r w:rsidR="0038153F">
        <w:rPr>
          <w:rFonts w:ascii="Calibri Light" w:hAnsi="Calibri Light"/>
        </w:rPr>
        <w:t>;</w:t>
      </w:r>
      <w:r w:rsidRPr="002B766E">
        <w:rPr>
          <w:rFonts w:ascii="Calibri Light" w:hAnsi="Calibri Light"/>
        </w:rPr>
        <w:t xml:space="preserve"> for example, in 2017-18 pending files reduced by 40 per cent, and “no further listing” files reduced by 96 per </w:t>
      </w:r>
      <w:r w:rsidRPr="00223BD4">
        <w:rPr>
          <w:rFonts w:ascii="Calibri Light" w:hAnsi="Calibri Light"/>
        </w:rPr>
        <w:t xml:space="preserve">cent. </w:t>
      </w:r>
      <w:r w:rsidR="003B1AFE">
        <w:rPr>
          <w:rFonts w:ascii="Calibri Light" w:hAnsi="Calibri Light"/>
        </w:rPr>
        <w:t xml:space="preserve">Over three thousand four hundred </w:t>
      </w:r>
      <w:r w:rsidR="00304AAC" w:rsidRPr="00772167">
        <w:rPr>
          <w:rFonts w:ascii="Calibri Light" w:hAnsi="Calibri Light"/>
        </w:rPr>
        <w:t>women</w:t>
      </w:r>
      <w:r w:rsidR="00304AAC" w:rsidRPr="00FA6D9E">
        <w:rPr>
          <w:rFonts w:ascii="Calibri Light" w:hAnsi="Calibri Light"/>
        </w:rPr>
        <w:t xml:space="preserve"> were provided with legal and/or police services.</w:t>
      </w:r>
      <w:r w:rsidR="00304AAC">
        <w:rPr>
          <w:rFonts w:ascii="Calibri Light" w:hAnsi="Calibri Light"/>
        </w:rPr>
        <w:t xml:space="preserve"> </w:t>
      </w:r>
    </w:p>
    <w:p w:rsidR="00E720A7" w:rsidRPr="0027798F" w:rsidRDefault="00E720A7">
      <w:pPr>
        <w:spacing w:before="0" w:after="0"/>
        <w:rPr>
          <w:rFonts w:ascii="Calibri Light" w:hAnsi="Calibri Light"/>
        </w:rPr>
      </w:pPr>
    </w:p>
    <w:p w:rsidR="007F1938" w:rsidRDefault="00FF7781">
      <w:pPr>
        <w:spacing w:before="0" w:after="0"/>
        <w:rPr>
          <w:rFonts w:ascii="Calibri Light" w:hAnsi="Calibri Light"/>
        </w:rPr>
      </w:pPr>
      <w:r w:rsidRPr="000D7E91">
        <w:rPr>
          <w:rFonts w:ascii="Calibri Light" w:hAnsi="Calibri Light"/>
        </w:rPr>
        <w:t xml:space="preserve">The </w:t>
      </w:r>
      <w:r w:rsidR="00AA71B9" w:rsidRPr="000D7E91">
        <w:rPr>
          <w:rFonts w:ascii="Calibri Light" w:hAnsi="Calibri Light"/>
        </w:rPr>
        <w:t xml:space="preserve">Vanuatu Police Force (VPF) </w:t>
      </w:r>
      <w:r w:rsidR="00AA71B9">
        <w:rPr>
          <w:rFonts w:ascii="Calibri Light" w:hAnsi="Calibri Light"/>
        </w:rPr>
        <w:t xml:space="preserve">is focussed </w:t>
      </w:r>
      <w:r w:rsidRPr="000D7E91">
        <w:rPr>
          <w:rFonts w:ascii="Calibri Light" w:hAnsi="Calibri Light"/>
        </w:rPr>
        <w:t xml:space="preserve"> on recruitment</w:t>
      </w:r>
      <w:r w:rsidR="00FA6D9E">
        <w:rPr>
          <w:rFonts w:ascii="Calibri Light" w:hAnsi="Calibri Light"/>
        </w:rPr>
        <w:t>,</w:t>
      </w:r>
      <w:r w:rsidRPr="000D7E91">
        <w:rPr>
          <w:rFonts w:ascii="Calibri Light" w:hAnsi="Calibri Light"/>
        </w:rPr>
        <w:t xml:space="preserve"> training </w:t>
      </w:r>
      <w:r w:rsidR="00FA6D9E">
        <w:rPr>
          <w:rFonts w:ascii="Calibri Light" w:hAnsi="Calibri Light"/>
        </w:rPr>
        <w:t xml:space="preserve">and leadership development </w:t>
      </w:r>
      <w:r w:rsidRPr="000D7E91">
        <w:rPr>
          <w:rFonts w:ascii="Calibri Light" w:hAnsi="Calibri Light"/>
        </w:rPr>
        <w:t>following a large number</w:t>
      </w:r>
      <w:r w:rsidR="00FA6D9E">
        <w:rPr>
          <w:rFonts w:ascii="Calibri Light" w:hAnsi="Calibri Light"/>
        </w:rPr>
        <w:t xml:space="preserve"> of</w:t>
      </w:r>
      <w:r w:rsidRPr="000D7E91">
        <w:rPr>
          <w:rFonts w:ascii="Calibri Light" w:hAnsi="Calibri Light"/>
        </w:rPr>
        <w:t xml:space="preserve"> retirements in </w:t>
      </w:r>
      <w:r w:rsidR="00FA6D9E">
        <w:rPr>
          <w:rFonts w:ascii="Calibri Light" w:hAnsi="Calibri Light"/>
        </w:rPr>
        <w:t>2016-1</w:t>
      </w:r>
      <w:r w:rsidRPr="000D7E91">
        <w:rPr>
          <w:rFonts w:ascii="Calibri Light" w:hAnsi="Calibri Light"/>
        </w:rPr>
        <w:t xml:space="preserve">7, </w:t>
      </w:r>
      <w:r w:rsidR="00FA6D9E">
        <w:rPr>
          <w:rFonts w:ascii="Calibri Light" w:hAnsi="Calibri Light"/>
        </w:rPr>
        <w:t>reduc</w:t>
      </w:r>
      <w:r w:rsidR="00326E19">
        <w:rPr>
          <w:rFonts w:ascii="Calibri Light" w:hAnsi="Calibri Light"/>
        </w:rPr>
        <w:t xml:space="preserve">ing </w:t>
      </w:r>
      <w:r w:rsidR="00FA6D9E">
        <w:rPr>
          <w:rFonts w:ascii="Calibri Light" w:hAnsi="Calibri Light"/>
        </w:rPr>
        <w:t xml:space="preserve">VPF numbers from 691 in 2015 to 538 at the start of 2018. </w:t>
      </w:r>
      <w:r w:rsidRPr="000D7E91">
        <w:rPr>
          <w:rFonts w:ascii="Calibri Light" w:hAnsi="Calibri Light"/>
        </w:rPr>
        <w:t xml:space="preserve"> Australia is supporting training of new cadets</w:t>
      </w:r>
      <w:r w:rsidR="001C72CE">
        <w:rPr>
          <w:rFonts w:ascii="Calibri Light" w:hAnsi="Calibri Light"/>
        </w:rPr>
        <w:t>.</w:t>
      </w:r>
      <w:r w:rsidRPr="000D7E91">
        <w:rPr>
          <w:rFonts w:ascii="Calibri Light" w:hAnsi="Calibri Light"/>
        </w:rPr>
        <w:t xml:space="preserve"> Currently, 16 per cent of VPF officers are women and 28 per cent of VAPJP police training participants are women. </w:t>
      </w:r>
      <w:r w:rsidR="00CF651E" w:rsidRPr="000D7E91">
        <w:rPr>
          <w:rFonts w:ascii="Calibri Light" w:hAnsi="Calibri Light"/>
        </w:rPr>
        <w:t xml:space="preserve">Australia also </w:t>
      </w:r>
      <w:r w:rsidR="00E720A7" w:rsidRPr="000D7E91">
        <w:rPr>
          <w:rFonts w:ascii="Calibri Light" w:hAnsi="Calibri Light"/>
        </w:rPr>
        <w:t xml:space="preserve">supported </w:t>
      </w:r>
      <w:r w:rsidRPr="000D7E91">
        <w:rPr>
          <w:rFonts w:ascii="Calibri Light" w:hAnsi="Calibri Light"/>
        </w:rPr>
        <w:t>r</w:t>
      </w:r>
      <w:r w:rsidR="00E720A7" w:rsidRPr="000D7E91">
        <w:rPr>
          <w:rFonts w:ascii="Calibri Light" w:hAnsi="Calibri Light"/>
        </w:rPr>
        <w:t xml:space="preserve">ollout of </w:t>
      </w:r>
      <w:r w:rsidR="00E720A7" w:rsidRPr="00874DB4">
        <w:rPr>
          <w:rFonts w:ascii="Calibri Light" w:hAnsi="Calibri Light"/>
        </w:rPr>
        <w:t xml:space="preserve">the Police Information Management System </w:t>
      </w:r>
      <w:r w:rsidRPr="0038153F">
        <w:rPr>
          <w:rFonts w:ascii="Calibri Light" w:hAnsi="Calibri Light"/>
        </w:rPr>
        <w:t xml:space="preserve">which records a current caseload of over 5,000 investigations. </w:t>
      </w:r>
      <w:r w:rsidR="00E80020" w:rsidRPr="005D20F9">
        <w:rPr>
          <w:rFonts w:ascii="Calibri Light" w:hAnsi="Calibri Light"/>
        </w:rPr>
        <w:t>More and better trained</w:t>
      </w:r>
      <w:r w:rsidRPr="005D20F9">
        <w:rPr>
          <w:rFonts w:ascii="Calibri Light" w:hAnsi="Calibri Light"/>
        </w:rPr>
        <w:t xml:space="preserve"> human resources should help reduce </w:t>
      </w:r>
      <w:r w:rsidR="00CF651E" w:rsidRPr="005D20F9">
        <w:rPr>
          <w:rFonts w:ascii="Calibri Light" w:hAnsi="Calibri Light"/>
        </w:rPr>
        <w:t>case numbers and improve p</w:t>
      </w:r>
      <w:r w:rsidR="00E720A7" w:rsidRPr="005D20F9">
        <w:rPr>
          <w:rFonts w:ascii="Calibri Light" w:hAnsi="Calibri Light"/>
        </w:rPr>
        <w:t>rosecution</w:t>
      </w:r>
      <w:r w:rsidR="00CF651E" w:rsidRPr="005D20F9">
        <w:rPr>
          <w:rFonts w:ascii="Calibri Light" w:hAnsi="Calibri Light"/>
        </w:rPr>
        <w:t xml:space="preserve"> rates</w:t>
      </w:r>
      <w:r w:rsidR="00E720A7" w:rsidRPr="005D20F9">
        <w:rPr>
          <w:rFonts w:ascii="Calibri Light" w:hAnsi="Calibri Light"/>
        </w:rPr>
        <w:t>.</w:t>
      </w:r>
      <w:r w:rsidR="00E720A7" w:rsidRPr="000D7E91">
        <w:rPr>
          <w:rFonts w:ascii="Calibri Light" w:hAnsi="Calibri Light"/>
        </w:rPr>
        <w:t xml:space="preserve">  </w:t>
      </w:r>
    </w:p>
    <w:p w:rsidR="00FA6D9E" w:rsidRDefault="00FA6D9E">
      <w:pPr>
        <w:spacing w:before="0" w:after="0"/>
        <w:rPr>
          <w:rFonts w:ascii="Calibri Light" w:hAnsi="Calibri Light"/>
        </w:rPr>
      </w:pPr>
    </w:p>
    <w:p w:rsidR="00E720A7" w:rsidRPr="0027798F" w:rsidRDefault="0090028D">
      <w:pPr>
        <w:spacing w:before="0" w:after="0"/>
        <w:rPr>
          <w:rFonts w:ascii="Calibri Light" w:hAnsi="Calibri Light"/>
        </w:rPr>
      </w:pPr>
      <w:r>
        <w:rPr>
          <w:rFonts w:ascii="Calibri Light" w:hAnsi="Calibri Light"/>
        </w:rPr>
        <w:t>W</w:t>
      </w:r>
      <w:r w:rsidR="00E720A7">
        <w:rPr>
          <w:rFonts w:ascii="Calibri Light" w:hAnsi="Calibri Light"/>
        </w:rPr>
        <w:t>ork to</w:t>
      </w:r>
      <w:r w:rsidR="00E720A7" w:rsidRPr="002B766E">
        <w:rPr>
          <w:rFonts w:ascii="Calibri Light" w:hAnsi="Calibri Light"/>
        </w:rPr>
        <w:t xml:space="preserve"> strengthen</w:t>
      </w:r>
      <w:r w:rsidR="00E720A7">
        <w:rPr>
          <w:rFonts w:ascii="Calibri Light" w:hAnsi="Calibri Light"/>
        </w:rPr>
        <w:t xml:space="preserve"> </w:t>
      </w:r>
      <w:r w:rsidR="00E720A7" w:rsidRPr="002B766E">
        <w:rPr>
          <w:rFonts w:ascii="Calibri Light" w:hAnsi="Calibri Light"/>
        </w:rPr>
        <w:t xml:space="preserve">the </w:t>
      </w:r>
      <w:r w:rsidR="00E720A7">
        <w:rPr>
          <w:rFonts w:ascii="Calibri Light" w:hAnsi="Calibri Light"/>
        </w:rPr>
        <w:t xml:space="preserve">formal justice </w:t>
      </w:r>
      <w:r w:rsidR="00E720A7" w:rsidRPr="002B766E">
        <w:rPr>
          <w:rFonts w:ascii="Calibri Light" w:hAnsi="Calibri Light"/>
        </w:rPr>
        <w:t>system</w:t>
      </w:r>
      <w:r w:rsidR="00E720A7">
        <w:rPr>
          <w:rFonts w:ascii="Calibri Light" w:hAnsi="Calibri Light"/>
        </w:rPr>
        <w:t xml:space="preserve"> is complemented by support </w:t>
      </w:r>
      <w:r w:rsidR="0038153F">
        <w:rPr>
          <w:rFonts w:ascii="Calibri Light" w:hAnsi="Calibri Light"/>
        </w:rPr>
        <w:t>to</w:t>
      </w:r>
      <w:r w:rsidR="00E720A7" w:rsidRPr="002B766E">
        <w:rPr>
          <w:rFonts w:ascii="Calibri Light" w:hAnsi="Calibri Light"/>
        </w:rPr>
        <w:t xml:space="preserve"> local</w:t>
      </w:r>
      <w:r w:rsidR="00326E19">
        <w:rPr>
          <w:rFonts w:ascii="Calibri Light" w:hAnsi="Calibri Light"/>
        </w:rPr>
        <w:t xml:space="preserve"> </w:t>
      </w:r>
      <w:r w:rsidR="00E24AA6">
        <w:rPr>
          <w:rFonts w:ascii="Calibri Light" w:hAnsi="Calibri Light"/>
        </w:rPr>
        <w:t>NGO</w:t>
      </w:r>
      <w:r w:rsidR="00326E19">
        <w:rPr>
          <w:rFonts w:ascii="Calibri Light" w:hAnsi="Calibri Light"/>
        </w:rPr>
        <w:t>s</w:t>
      </w:r>
      <w:r w:rsidR="00E720A7" w:rsidRPr="002B766E">
        <w:rPr>
          <w:rFonts w:ascii="Calibri Light" w:hAnsi="Calibri Light"/>
        </w:rPr>
        <w:t xml:space="preserve"> provid</w:t>
      </w:r>
      <w:r w:rsidR="0038153F">
        <w:rPr>
          <w:rFonts w:ascii="Calibri Light" w:hAnsi="Calibri Light"/>
        </w:rPr>
        <w:t>ing</w:t>
      </w:r>
      <w:r w:rsidR="00E720A7" w:rsidRPr="002B766E">
        <w:rPr>
          <w:rFonts w:ascii="Calibri Light" w:hAnsi="Calibri Light"/>
        </w:rPr>
        <w:t xml:space="preserve"> services to victims of crime and work</w:t>
      </w:r>
      <w:r w:rsidR="0038153F">
        <w:rPr>
          <w:rFonts w:ascii="Calibri Light" w:hAnsi="Calibri Light"/>
        </w:rPr>
        <w:t>ing</w:t>
      </w:r>
      <w:r w:rsidR="00E720A7" w:rsidRPr="002B766E">
        <w:rPr>
          <w:rFonts w:ascii="Calibri Light" w:hAnsi="Calibri Light"/>
        </w:rPr>
        <w:t xml:space="preserve"> with </w:t>
      </w:r>
      <w:r w:rsidR="00E80020">
        <w:rPr>
          <w:rFonts w:ascii="Calibri Light" w:hAnsi="Calibri Light"/>
        </w:rPr>
        <w:t>chiefs</w:t>
      </w:r>
      <w:r w:rsidR="00E720A7" w:rsidRPr="002B766E">
        <w:rPr>
          <w:rFonts w:ascii="Calibri Light" w:hAnsi="Calibri Light"/>
        </w:rPr>
        <w:t xml:space="preserve"> to educate communities to reduce </w:t>
      </w:r>
      <w:r w:rsidR="00E720A7">
        <w:rPr>
          <w:rFonts w:ascii="Calibri Light" w:hAnsi="Calibri Light"/>
        </w:rPr>
        <w:t>c</w:t>
      </w:r>
      <w:r w:rsidR="00E720A7" w:rsidRPr="002B766E">
        <w:rPr>
          <w:rFonts w:ascii="Calibri Light" w:hAnsi="Calibri Light"/>
        </w:rPr>
        <w:t xml:space="preserve">rime.  </w:t>
      </w:r>
      <w:r w:rsidR="00E720A7">
        <w:rPr>
          <w:rFonts w:ascii="Calibri Light" w:hAnsi="Calibri Light"/>
        </w:rPr>
        <w:t>The V</w:t>
      </w:r>
      <w:r w:rsidR="00D67AFE">
        <w:rPr>
          <w:rFonts w:ascii="Calibri Light" w:hAnsi="Calibri Light"/>
        </w:rPr>
        <w:t>anuatu Women’s Centre (V</w:t>
      </w:r>
      <w:r w:rsidR="00E720A7">
        <w:rPr>
          <w:rFonts w:ascii="Calibri Light" w:hAnsi="Calibri Light"/>
        </w:rPr>
        <w:t>WC</w:t>
      </w:r>
      <w:r w:rsidR="00D67AFE">
        <w:rPr>
          <w:rFonts w:ascii="Calibri Light" w:hAnsi="Calibri Light"/>
        </w:rPr>
        <w:t>)</w:t>
      </w:r>
      <w:r w:rsidR="00E720A7" w:rsidRPr="0027798F">
        <w:rPr>
          <w:rFonts w:ascii="Calibri Light" w:hAnsi="Calibri Light"/>
        </w:rPr>
        <w:t xml:space="preserve"> provided counselling services to 6</w:t>
      </w:r>
      <w:r w:rsidR="001F507E">
        <w:rPr>
          <w:rFonts w:ascii="Calibri Light" w:hAnsi="Calibri Light"/>
        </w:rPr>
        <w:t>,</w:t>
      </w:r>
      <w:r w:rsidR="00E720A7" w:rsidRPr="0027798F">
        <w:rPr>
          <w:rFonts w:ascii="Calibri Light" w:hAnsi="Calibri Light"/>
        </w:rPr>
        <w:t>063 women and children (</w:t>
      </w:r>
      <w:r w:rsidR="008644C6">
        <w:rPr>
          <w:rFonts w:ascii="Calibri Light" w:hAnsi="Calibri Light"/>
        </w:rPr>
        <w:t>target of 4,000</w:t>
      </w:r>
      <w:r w:rsidR="00E720A7" w:rsidRPr="0027798F">
        <w:rPr>
          <w:rFonts w:ascii="Calibri Light" w:hAnsi="Calibri Light"/>
        </w:rPr>
        <w:t>), legal support to 748 clients (up 30 per cent</w:t>
      </w:r>
      <w:r w:rsidR="008644C6">
        <w:rPr>
          <w:rFonts w:ascii="Calibri Light" w:hAnsi="Calibri Light"/>
        </w:rPr>
        <w:t xml:space="preserve"> from 2016-17</w:t>
      </w:r>
      <w:r w:rsidR="00E720A7" w:rsidRPr="0027798F">
        <w:rPr>
          <w:rFonts w:ascii="Calibri Light" w:hAnsi="Calibri Light"/>
        </w:rPr>
        <w:t xml:space="preserve">), </w:t>
      </w:r>
      <w:r w:rsidR="00E720A7" w:rsidRPr="00874DB4">
        <w:rPr>
          <w:rFonts w:ascii="Calibri Light" w:hAnsi="Calibri Light"/>
        </w:rPr>
        <w:t xml:space="preserve">and 507 women and children were supported through a network of Committees Against Violence Against Women.  </w:t>
      </w:r>
      <w:r w:rsidR="000C4C4D" w:rsidRPr="005D20F9">
        <w:rPr>
          <w:rFonts w:ascii="Calibri Light" w:hAnsi="Calibri Light"/>
        </w:rPr>
        <w:t>Continu</w:t>
      </w:r>
      <w:r w:rsidR="0038153F" w:rsidRPr="005D20F9">
        <w:rPr>
          <w:rFonts w:ascii="Calibri Light" w:hAnsi="Calibri Light"/>
        </w:rPr>
        <w:t>ing</w:t>
      </w:r>
      <w:r w:rsidR="000C4C4D" w:rsidRPr="005D20F9">
        <w:rPr>
          <w:rFonts w:ascii="Calibri Light" w:hAnsi="Calibri Light"/>
        </w:rPr>
        <w:t xml:space="preserve"> efforts to improve </w:t>
      </w:r>
      <w:r w:rsidR="00E720A7" w:rsidRPr="005D20F9">
        <w:rPr>
          <w:rFonts w:ascii="Calibri Light" w:hAnsi="Calibri Light"/>
        </w:rPr>
        <w:t xml:space="preserve">coordination between formal and informal elements of the justice system </w:t>
      </w:r>
      <w:r w:rsidR="000C4C4D" w:rsidRPr="005D20F9">
        <w:rPr>
          <w:rFonts w:ascii="Calibri Light" w:hAnsi="Calibri Light"/>
        </w:rPr>
        <w:t xml:space="preserve">will </w:t>
      </w:r>
      <w:r w:rsidR="00E24AA6" w:rsidRPr="005D20F9">
        <w:rPr>
          <w:rFonts w:ascii="Calibri Light" w:hAnsi="Calibri Light"/>
        </w:rPr>
        <w:t>support</w:t>
      </w:r>
      <w:r w:rsidR="00E720A7" w:rsidRPr="005D20F9">
        <w:rPr>
          <w:rFonts w:ascii="Calibri Light" w:hAnsi="Calibri Light"/>
        </w:rPr>
        <w:t xml:space="preserve"> better quality service delivery</w:t>
      </w:r>
      <w:r w:rsidR="0038153F" w:rsidRPr="005D20F9">
        <w:rPr>
          <w:rFonts w:ascii="Calibri Light" w:hAnsi="Calibri Light"/>
        </w:rPr>
        <w:t xml:space="preserve"> </w:t>
      </w:r>
      <w:r w:rsidR="00E720A7" w:rsidRPr="005D20F9">
        <w:rPr>
          <w:rFonts w:ascii="Calibri Light" w:hAnsi="Calibri Light"/>
        </w:rPr>
        <w:t>and more efficient administration of justice.</w:t>
      </w:r>
    </w:p>
    <w:p w:rsidR="00E720A7" w:rsidRPr="004A666A" w:rsidRDefault="00E720A7">
      <w:pPr>
        <w:spacing w:before="0" w:after="0"/>
        <w:rPr>
          <w:rFonts w:ascii="Calibri Light" w:hAnsi="Calibri Light"/>
        </w:rPr>
      </w:pPr>
    </w:p>
    <w:p w:rsidR="00736611" w:rsidRDefault="00E720A7">
      <w:pPr>
        <w:spacing w:before="0" w:after="0"/>
        <w:rPr>
          <w:rFonts w:ascii="Calibri Light" w:hAnsi="Calibri Light"/>
        </w:rPr>
      </w:pPr>
      <w:r w:rsidRPr="004A666A">
        <w:rPr>
          <w:rFonts w:ascii="Calibri Light" w:hAnsi="Calibri Light"/>
        </w:rPr>
        <w:t>Australia support</w:t>
      </w:r>
      <w:r w:rsidR="006E4C15">
        <w:rPr>
          <w:rFonts w:ascii="Calibri Light" w:hAnsi="Calibri Light"/>
        </w:rPr>
        <w:t>ed</w:t>
      </w:r>
      <w:r w:rsidR="0038153F">
        <w:rPr>
          <w:rFonts w:ascii="Calibri Light" w:hAnsi="Calibri Light"/>
        </w:rPr>
        <w:t xml:space="preserve"> </w:t>
      </w:r>
      <w:r w:rsidRPr="004A666A">
        <w:rPr>
          <w:rFonts w:ascii="Calibri Light" w:hAnsi="Calibri Light"/>
        </w:rPr>
        <w:t>WSB</w:t>
      </w:r>
      <w:r w:rsidR="0038153F">
        <w:rPr>
          <w:rFonts w:ascii="Calibri Light" w:hAnsi="Calibri Light"/>
        </w:rPr>
        <w:t>, an</w:t>
      </w:r>
      <w:r w:rsidRPr="004A666A">
        <w:rPr>
          <w:rFonts w:ascii="Calibri Light" w:hAnsi="Calibri Light"/>
        </w:rPr>
        <w:t xml:space="preserve"> established local </w:t>
      </w:r>
      <w:r>
        <w:rPr>
          <w:rFonts w:ascii="Calibri Light" w:hAnsi="Calibri Light"/>
        </w:rPr>
        <w:t>NGO</w:t>
      </w:r>
      <w:r w:rsidR="0038153F">
        <w:rPr>
          <w:rFonts w:ascii="Calibri Light" w:hAnsi="Calibri Light"/>
        </w:rPr>
        <w:t>,</w:t>
      </w:r>
      <w:r w:rsidRPr="004A666A">
        <w:rPr>
          <w:rFonts w:ascii="Calibri Light" w:hAnsi="Calibri Light"/>
        </w:rPr>
        <w:t xml:space="preserve"> to </w:t>
      </w:r>
      <w:r w:rsidRPr="00861A7B">
        <w:rPr>
          <w:rFonts w:ascii="Calibri Light" w:hAnsi="Calibri Light"/>
        </w:rPr>
        <w:t xml:space="preserve">provide a wide range of </w:t>
      </w:r>
      <w:r w:rsidR="0038153F">
        <w:rPr>
          <w:rFonts w:ascii="Calibri Light" w:hAnsi="Calibri Light"/>
        </w:rPr>
        <w:t xml:space="preserve">community </w:t>
      </w:r>
      <w:r w:rsidRPr="00861A7B">
        <w:rPr>
          <w:rFonts w:ascii="Calibri Light" w:hAnsi="Calibri Light"/>
        </w:rPr>
        <w:t>services</w:t>
      </w:r>
      <w:r>
        <w:rPr>
          <w:rFonts w:ascii="Calibri Light" w:hAnsi="Calibri Light"/>
        </w:rPr>
        <w:t>, targeting the most vulnerable</w:t>
      </w:r>
      <w:r w:rsidR="0038153F">
        <w:rPr>
          <w:rFonts w:ascii="Calibri Light" w:hAnsi="Calibri Light"/>
        </w:rPr>
        <w:t xml:space="preserve"> which</w:t>
      </w:r>
      <w:r>
        <w:rPr>
          <w:rFonts w:ascii="Calibri Light" w:hAnsi="Calibri Light"/>
        </w:rPr>
        <w:t xml:space="preserve"> help</w:t>
      </w:r>
      <w:r w:rsidR="0038153F">
        <w:rPr>
          <w:rFonts w:ascii="Calibri Light" w:hAnsi="Calibri Light"/>
        </w:rPr>
        <w:t>s</w:t>
      </w:r>
      <w:r>
        <w:rPr>
          <w:rFonts w:ascii="Calibri Light" w:hAnsi="Calibri Light"/>
        </w:rPr>
        <w:t xml:space="preserve"> them make informed choices</w:t>
      </w:r>
      <w:r w:rsidR="00FF5B47">
        <w:rPr>
          <w:rFonts w:ascii="Calibri Light" w:hAnsi="Calibri Light"/>
        </w:rPr>
        <w:t xml:space="preserve"> and advocate for services</w:t>
      </w:r>
      <w:r w:rsidR="00197D34">
        <w:rPr>
          <w:rFonts w:ascii="Calibri Light" w:hAnsi="Calibri Light"/>
        </w:rPr>
        <w:t xml:space="preserve">. </w:t>
      </w:r>
      <w:r w:rsidR="00197D34" w:rsidRPr="002B766E">
        <w:rPr>
          <w:rFonts w:ascii="Calibri Light" w:hAnsi="Calibri Light"/>
        </w:rPr>
        <w:t>Three clinics run by WSB provided 9</w:t>
      </w:r>
      <w:r w:rsidR="00197D34">
        <w:rPr>
          <w:rFonts w:ascii="Calibri Light" w:hAnsi="Calibri Light"/>
        </w:rPr>
        <w:t>,</w:t>
      </w:r>
      <w:r w:rsidR="00197D34" w:rsidRPr="002B766E">
        <w:rPr>
          <w:rFonts w:ascii="Calibri Light" w:hAnsi="Calibri Light"/>
        </w:rPr>
        <w:t>532 people (71 per cent women) with sexual and reproductive health services; and 6</w:t>
      </w:r>
      <w:r w:rsidR="00197D34">
        <w:rPr>
          <w:rFonts w:ascii="Calibri Light" w:hAnsi="Calibri Light"/>
        </w:rPr>
        <w:t>,</w:t>
      </w:r>
      <w:r w:rsidR="00197D34" w:rsidRPr="002B766E">
        <w:rPr>
          <w:rFonts w:ascii="Calibri Light" w:hAnsi="Calibri Light"/>
        </w:rPr>
        <w:t xml:space="preserve">843 people (55 per cent women) with </w:t>
      </w:r>
      <w:r w:rsidR="004A122C">
        <w:rPr>
          <w:rFonts w:ascii="Calibri Light" w:hAnsi="Calibri Light"/>
        </w:rPr>
        <w:t>primary healthcare</w:t>
      </w:r>
      <w:r w:rsidR="00197D34" w:rsidRPr="002B766E">
        <w:rPr>
          <w:rFonts w:ascii="Calibri Light" w:hAnsi="Calibri Light"/>
        </w:rPr>
        <w:t xml:space="preserve"> services.  These services </w:t>
      </w:r>
      <w:r w:rsidR="006E4C15">
        <w:rPr>
          <w:rFonts w:ascii="Calibri Light" w:hAnsi="Calibri Light"/>
        </w:rPr>
        <w:t>we</w:t>
      </w:r>
      <w:r w:rsidR="00197D34" w:rsidRPr="002B766E">
        <w:rPr>
          <w:rFonts w:ascii="Calibri Light" w:hAnsi="Calibri Light"/>
        </w:rPr>
        <w:t>re efficient (</w:t>
      </w:r>
      <w:r w:rsidR="00063B00">
        <w:rPr>
          <w:rFonts w:ascii="Calibri Light" w:hAnsi="Calibri Light"/>
        </w:rPr>
        <w:t xml:space="preserve">cost of </w:t>
      </w:r>
      <w:r w:rsidR="00553073">
        <w:rPr>
          <w:rFonts w:ascii="Calibri Light" w:hAnsi="Calibri Light"/>
        </w:rPr>
        <w:t xml:space="preserve">approx. </w:t>
      </w:r>
      <w:r w:rsidR="00197D34" w:rsidRPr="002B766E">
        <w:rPr>
          <w:rFonts w:ascii="Calibri Light" w:hAnsi="Calibri Light"/>
        </w:rPr>
        <w:t>$12</w:t>
      </w:r>
      <w:r w:rsidR="00063B00">
        <w:rPr>
          <w:rFonts w:ascii="Calibri Light" w:hAnsi="Calibri Light"/>
        </w:rPr>
        <w:t xml:space="preserve"> per </w:t>
      </w:r>
      <w:r w:rsidR="00197D34" w:rsidRPr="002B766E">
        <w:rPr>
          <w:rFonts w:ascii="Calibri Light" w:hAnsi="Calibri Light"/>
        </w:rPr>
        <w:t>patient) and delivered in partnership with the M</w:t>
      </w:r>
      <w:r w:rsidR="00197D34">
        <w:rPr>
          <w:rFonts w:ascii="Calibri Light" w:hAnsi="Calibri Light"/>
        </w:rPr>
        <w:t>oH</w:t>
      </w:r>
      <w:r w:rsidR="00197D34" w:rsidRPr="002B766E">
        <w:rPr>
          <w:rFonts w:ascii="Calibri Light" w:hAnsi="Calibri Light"/>
        </w:rPr>
        <w:t xml:space="preserve">, </w:t>
      </w:r>
      <w:r w:rsidR="00E80020">
        <w:rPr>
          <w:rFonts w:ascii="Calibri Light" w:hAnsi="Calibri Light"/>
        </w:rPr>
        <w:t>which</w:t>
      </w:r>
      <w:r w:rsidR="00197D34" w:rsidRPr="002B766E">
        <w:rPr>
          <w:rFonts w:ascii="Calibri Light" w:hAnsi="Calibri Light"/>
        </w:rPr>
        <w:t xml:space="preserve"> provide</w:t>
      </w:r>
      <w:r w:rsidR="006E4C15">
        <w:rPr>
          <w:rFonts w:ascii="Calibri Light" w:hAnsi="Calibri Light"/>
        </w:rPr>
        <w:t>d</w:t>
      </w:r>
      <w:r w:rsidR="00197D34" w:rsidRPr="002B766E">
        <w:rPr>
          <w:rFonts w:ascii="Calibri Light" w:hAnsi="Calibri Light"/>
        </w:rPr>
        <w:t xml:space="preserve"> medicines and some consumables for the clinics. </w:t>
      </w:r>
    </w:p>
    <w:p w:rsidR="00736611" w:rsidRDefault="00736611">
      <w:pPr>
        <w:spacing w:before="0" w:after="0"/>
        <w:rPr>
          <w:rFonts w:ascii="Calibri Light" w:hAnsi="Calibri Light"/>
        </w:rPr>
      </w:pPr>
    </w:p>
    <w:p w:rsidR="00736611" w:rsidRDefault="00E720A7" w:rsidP="008A425D">
      <w:pPr>
        <w:spacing w:before="0" w:after="0"/>
        <w:rPr>
          <w:rFonts w:asciiTheme="majorHAnsi" w:eastAsiaTheme="majorEastAsia" w:hAnsiTheme="majorHAnsi" w:cstheme="majorBidi"/>
          <w:caps/>
          <w:sz w:val="38"/>
          <w:szCs w:val="26"/>
        </w:rPr>
      </w:pPr>
      <w:r w:rsidRPr="00861A7B">
        <w:rPr>
          <w:rFonts w:ascii="Calibri Light" w:hAnsi="Calibri Light"/>
        </w:rPr>
        <w:t xml:space="preserve">Vanuatu is experiencing a youth bulge and WSB programs for youth and at-risk </w:t>
      </w:r>
      <w:r>
        <w:rPr>
          <w:rFonts w:ascii="Calibri Light" w:hAnsi="Calibri Light"/>
        </w:rPr>
        <w:t>groups</w:t>
      </w:r>
      <w:r w:rsidRPr="00861A7B">
        <w:rPr>
          <w:rFonts w:ascii="Calibri Light" w:hAnsi="Calibri Light"/>
        </w:rPr>
        <w:t xml:space="preserve"> provide important support for community safety and resilience. In 2017</w:t>
      </w:r>
      <w:r w:rsidR="00E36C94">
        <w:rPr>
          <w:rFonts w:ascii="Calibri Light" w:hAnsi="Calibri Light"/>
        </w:rPr>
        <w:t>-</w:t>
      </w:r>
      <w:r w:rsidRPr="00861A7B">
        <w:rPr>
          <w:rFonts w:ascii="Calibri Light" w:hAnsi="Calibri Light"/>
        </w:rPr>
        <w:t>18</w:t>
      </w:r>
      <w:r w:rsidR="00AA71B9">
        <w:rPr>
          <w:rFonts w:ascii="Calibri Light" w:hAnsi="Calibri Light"/>
        </w:rPr>
        <w:t>,</w:t>
      </w:r>
      <w:r w:rsidRPr="00861A7B">
        <w:rPr>
          <w:rFonts w:ascii="Calibri Light" w:hAnsi="Calibri Light"/>
        </w:rPr>
        <w:t xml:space="preserve"> WSB </w:t>
      </w:r>
      <w:r w:rsidRPr="005D20F9">
        <w:rPr>
          <w:rFonts w:ascii="Calibri Light" w:hAnsi="Calibri Light"/>
        </w:rPr>
        <w:t xml:space="preserve">delivered </w:t>
      </w:r>
      <w:r w:rsidR="004A122C" w:rsidRPr="005D20F9">
        <w:rPr>
          <w:rFonts w:ascii="Calibri Light" w:hAnsi="Calibri Light"/>
        </w:rPr>
        <w:t>eight</w:t>
      </w:r>
      <w:r w:rsidRPr="005D20F9">
        <w:rPr>
          <w:rFonts w:ascii="Calibri Light" w:hAnsi="Calibri Light"/>
        </w:rPr>
        <w:t xml:space="preserve"> plays</w:t>
      </w:r>
      <w:r w:rsidR="0099032A">
        <w:rPr>
          <w:rFonts w:ascii="Calibri Light" w:hAnsi="Calibri Light"/>
        </w:rPr>
        <w:t xml:space="preserve"> on a range of social, political, environmental and health issues</w:t>
      </w:r>
      <w:r w:rsidRPr="00861A7B">
        <w:rPr>
          <w:rFonts w:ascii="Calibri Light" w:hAnsi="Calibri Light"/>
        </w:rPr>
        <w:t xml:space="preserve"> to</w:t>
      </w:r>
      <w:r w:rsidR="00E36C94">
        <w:rPr>
          <w:rFonts w:ascii="Calibri Light" w:hAnsi="Calibri Light"/>
        </w:rPr>
        <w:t xml:space="preserve"> audiences totalling</w:t>
      </w:r>
      <w:r w:rsidRPr="00861A7B">
        <w:rPr>
          <w:rFonts w:ascii="Calibri Light" w:hAnsi="Calibri Light"/>
        </w:rPr>
        <w:t xml:space="preserve"> 30,312 people (52 per cent women) and trained 1</w:t>
      </w:r>
      <w:r w:rsidR="00063B00">
        <w:rPr>
          <w:rFonts w:ascii="Calibri Light" w:hAnsi="Calibri Light"/>
        </w:rPr>
        <w:t>,</w:t>
      </w:r>
      <w:r w:rsidRPr="00861A7B">
        <w:rPr>
          <w:rFonts w:ascii="Calibri Light" w:hAnsi="Calibri Light"/>
        </w:rPr>
        <w:t xml:space="preserve">815 “at risk” youth to help them </w:t>
      </w:r>
      <w:r>
        <w:rPr>
          <w:rFonts w:ascii="Calibri Light" w:hAnsi="Calibri Light"/>
        </w:rPr>
        <w:t>participate in community development</w:t>
      </w:r>
      <w:r w:rsidRPr="002B766E">
        <w:rPr>
          <w:rFonts w:ascii="Calibri Light" w:hAnsi="Calibri Light"/>
        </w:rPr>
        <w:t>.  In 2017</w:t>
      </w:r>
      <w:r w:rsidR="00553073">
        <w:rPr>
          <w:rFonts w:ascii="Calibri Light" w:hAnsi="Calibri Light"/>
        </w:rPr>
        <w:t>-</w:t>
      </w:r>
      <w:r w:rsidRPr="002B766E">
        <w:rPr>
          <w:rFonts w:ascii="Calibri Light" w:hAnsi="Calibri Light"/>
        </w:rPr>
        <w:t>18</w:t>
      </w:r>
      <w:r w:rsidR="00553073">
        <w:rPr>
          <w:rFonts w:ascii="Calibri Light" w:hAnsi="Calibri Light"/>
        </w:rPr>
        <w:t>,</w:t>
      </w:r>
      <w:r w:rsidRPr="002B766E">
        <w:rPr>
          <w:rFonts w:ascii="Calibri Light" w:hAnsi="Calibri Light"/>
        </w:rPr>
        <w:t xml:space="preserve"> 1</w:t>
      </w:r>
      <w:r w:rsidR="00197D34">
        <w:rPr>
          <w:rFonts w:ascii="Calibri Light" w:hAnsi="Calibri Light"/>
        </w:rPr>
        <w:t>,</w:t>
      </w:r>
      <w:r w:rsidRPr="002B766E">
        <w:rPr>
          <w:rFonts w:ascii="Calibri Light" w:hAnsi="Calibri Light"/>
        </w:rPr>
        <w:t xml:space="preserve">576 school children and </w:t>
      </w:r>
      <w:r w:rsidRPr="0027798F">
        <w:rPr>
          <w:rFonts w:ascii="Calibri Light" w:hAnsi="Calibri Light"/>
        </w:rPr>
        <w:t>community members engaged with WSB programs</w:t>
      </w:r>
      <w:r w:rsidR="00E80020">
        <w:rPr>
          <w:rFonts w:ascii="Calibri Light" w:hAnsi="Calibri Light"/>
        </w:rPr>
        <w:t>, including</w:t>
      </w:r>
      <w:r w:rsidRPr="0027798F">
        <w:rPr>
          <w:rFonts w:ascii="Calibri Light" w:hAnsi="Calibri Light"/>
        </w:rPr>
        <w:t xml:space="preserve"> </w:t>
      </w:r>
      <w:r w:rsidRPr="002B766E">
        <w:rPr>
          <w:rFonts w:ascii="Calibri Light" w:hAnsi="Calibri Light"/>
        </w:rPr>
        <w:t>on natural resource management and waste reduction</w:t>
      </w:r>
      <w:r w:rsidRPr="0027798F">
        <w:rPr>
          <w:rFonts w:ascii="Calibri Light" w:hAnsi="Calibri Light"/>
        </w:rPr>
        <w:t>.</w:t>
      </w:r>
      <w:r w:rsidR="00E80020">
        <w:rPr>
          <w:rFonts w:ascii="Calibri Light" w:hAnsi="Calibri Light"/>
        </w:rPr>
        <w:t xml:space="preserve"> </w:t>
      </w:r>
      <w:r w:rsidR="00FF5B47">
        <w:t>Australia also provided technical assistance to support development of Vanuatu’s National Disability Inclusive Development Policy 2018-2025, launched in May 2018.</w:t>
      </w:r>
      <w:r w:rsidR="000C4C4D">
        <w:t xml:space="preserve"> </w:t>
      </w:r>
    </w:p>
    <w:p w:rsidR="003F3549" w:rsidRDefault="003F3549" w:rsidP="003F3549">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 xml:space="preserve">Objective </w:t>
      </w:r>
      <w:r>
        <w:rPr>
          <w:rFonts w:asciiTheme="majorHAnsi" w:eastAsiaTheme="majorEastAsia" w:hAnsiTheme="majorHAnsi" w:cstheme="majorBidi"/>
          <w:caps/>
          <w:color w:val="495965" w:themeColor="text2"/>
          <w:sz w:val="38"/>
          <w:szCs w:val="26"/>
          <w:lang w:val="en-GB" w:eastAsia="en-US"/>
        </w:rPr>
        <w:t>4: supporting cyclone recovery and reconstruction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3F3549" w:rsidTr="00F40C0D">
        <w:tc>
          <w:tcPr>
            <w:tcW w:w="2016" w:type="dxa"/>
          </w:tcPr>
          <w:p w:rsidR="003F3549" w:rsidRDefault="003F3549" w:rsidP="00F40C0D">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6BA66B70" wp14:editId="6A7488A4">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3AAFD95" wp14:editId="21CEF63A">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B43B06">
              <w:rPr>
                <w:rFonts w:asciiTheme="majorHAnsi" w:eastAsiaTheme="majorEastAsia" w:hAnsiTheme="majorHAnsi" w:cstheme="majorBidi"/>
                <w:caps/>
                <w:noProof/>
                <w:color w:val="495965" w:themeColor="text2"/>
                <w:sz w:val="38"/>
                <w:szCs w:val="26"/>
              </w:rPr>
              <w:drawing>
                <wp:inline distT="0" distB="0" distL="0" distR="0" wp14:anchorId="1BC8D249" wp14:editId="0237EB60">
                  <wp:extent cx="612000" cy="612000"/>
                  <wp:effectExtent l="0" t="0" r="0" b="0"/>
                  <wp:docPr id="48" name="Picture 48"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AN\CHCH\Desktop\Aregnaul\Desktop\sdg-09.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1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64D85D6" wp14:editId="571432EB">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rsidR="003F3549" w:rsidRDefault="003F3549" w:rsidP="00F40C0D">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CF2397D" wp14:editId="33943B44">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DA4A1E" w:rsidRPr="00632DE4" w:rsidRDefault="00DA4A1E" w:rsidP="00632DE4">
      <w:pPr>
        <w:spacing w:after="0" w:line="240" w:lineRule="auto"/>
        <w:rPr>
          <w:rFonts w:ascii="Calibri Light" w:hAnsi="Calibri Light"/>
        </w:rPr>
      </w:pPr>
      <w:r w:rsidRPr="00632DE4">
        <w:rPr>
          <w:rFonts w:ascii="Calibri Light" w:hAnsi="Calibri Light"/>
        </w:rPr>
        <w:t xml:space="preserve">Objective 4 is rated green given strong progress in 2017-18. </w:t>
      </w:r>
      <w:r w:rsidRPr="00632DE4">
        <w:rPr>
          <w:rFonts w:ascii="Calibri Light" w:hAnsi="Calibri Light"/>
          <w:bCs/>
        </w:rPr>
        <w:t>The</w:t>
      </w:r>
      <w:r w:rsidRPr="00632DE4">
        <w:rPr>
          <w:rFonts w:ascii="Calibri Light" w:hAnsi="Calibri Light"/>
        </w:rPr>
        <w:t xml:space="preserve"> TC Pam Recovery Program was removed from I</w:t>
      </w:r>
      <w:r w:rsidR="00AA71B9">
        <w:rPr>
          <w:rFonts w:ascii="Calibri Light" w:hAnsi="Calibri Light"/>
        </w:rPr>
        <w:t xml:space="preserve">nvestment </w:t>
      </w:r>
      <w:r w:rsidR="00197D34">
        <w:rPr>
          <w:rFonts w:ascii="Calibri Light" w:hAnsi="Calibri Light"/>
        </w:rPr>
        <w:t>R</w:t>
      </w:r>
      <w:r w:rsidR="00AA71B9">
        <w:rPr>
          <w:rFonts w:ascii="Calibri Light" w:hAnsi="Calibri Light"/>
        </w:rPr>
        <w:t xml:space="preserve">equiring </w:t>
      </w:r>
      <w:r w:rsidR="00197D34">
        <w:rPr>
          <w:rFonts w:ascii="Calibri Light" w:hAnsi="Calibri Light"/>
        </w:rPr>
        <w:t>I</w:t>
      </w:r>
      <w:r w:rsidR="00AA71B9">
        <w:rPr>
          <w:rFonts w:ascii="Calibri Light" w:hAnsi="Calibri Light"/>
        </w:rPr>
        <w:t>mprovement</w:t>
      </w:r>
      <w:r w:rsidR="00197D34">
        <w:rPr>
          <w:rFonts w:ascii="Calibri Light" w:hAnsi="Calibri Light"/>
        </w:rPr>
        <w:t xml:space="preserve"> s</w:t>
      </w:r>
      <w:r w:rsidRPr="00632DE4">
        <w:rPr>
          <w:rFonts w:ascii="Calibri Light" w:hAnsi="Calibri Light"/>
        </w:rPr>
        <w:t>tatus due to improve</w:t>
      </w:r>
      <w:r w:rsidR="004A122C">
        <w:rPr>
          <w:rFonts w:ascii="Calibri Light" w:hAnsi="Calibri Light"/>
        </w:rPr>
        <w:t>d</w:t>
      </w:r>
      <w:r w:rsidRPr="00632DE4">
        <w:rPr>
          <w:rFonts w:ascii="Calibri Light" w:hAnsi="Calibri Light"/>
        </w:rPr>
        <w:t xml:space="preserve"> delivery. Australia’s response to the Ambae Island volcano eruptions</w:t>
      </w:r>
      <w:r w:rsidR="00AA71B9">
        <w:rPr>
          <w:rFonts w:ascii="Calibri Light" w:hAnsi="Calibri Light"/>
        </w:rPr>
        <w:t xml:space="preserve"> has been</w:t>
      </w:r>
      <w:r w:rsidRPr="00632DE4">
        <w:rPr>
          <w:rFonts w:ascii="Calibri Light" w:hAnsi="Calibri Light"/>
        </w:rPr>
        <w:t xml:space="preserve"> included in this objective</w:t>
      </w:r>
      <w:r w:rsidR="00AA71B9">
        <w:rPr>
          <w:rFonts w:ascii="Calibri Light" w:hAnsi="Calibri Light"/>
        </w:rPr>
        <w:t>, with e</w:t>
      </w:r>
      <w:r w:rsidR="004A122C">
        <w:rPr>
          <w:rFonts w:ascii="Calibri Light" w:hAnsi="Calibri Light"/>
        </w:rPr>
        <w:t xml:space="preserve">ight per cent of our bilateral aid </w:t>
      </w:r>
      <w:r w:rsidR="00AA71B9">
        <w:rPr>
          <w:rFonts w:ascii="Calibri Light" w:hAnsi="Calibri Light"/>
        </w:rPr>
        <w:t>supporting these efforts</w:t>
      </w:r>
      <w:r w:rsidR="004A122C">
        <w:rPr>
          <w:rFonts w:ascii="Calibri Light" w:hAnsi="Calibri Light"/>
        </w:rPr>
        <w:t>.</w:t>
      </w:r>
    </w:p>
    <w:p w:rsidR="00A002B0" w:rsidRDefault="00A002B0" w:rsidP="00632DE4">
      <w:pPr>
        <w:autoSpaceDE w:val="0"/>
        <w:autoSpaceDN w:val="0"/>
        <w:adjustRightInd w:val="0"/>
        <w:spacing w:before="0" w:after="0" w:line="240" w:lineRule="auto"/>
        <w:ind w:left="-142"/>
        <w:rPr>
          <w:rFonts w:ascii="Calibri Light" w:hAnsi="Calibri Light" w:cs="Arial"/>
          <w:b/>
        </w:rPr>
      </w:pPr>
    </w:p>
    <w:p w:rsidR="00DA4A1E" w:rsidRPr="00632DE4" w:rsidRDefault="00DA4A1E" w:rsidP="00632DE4">
      <w:pPr>
        <w:autoSpaceDE w:val="0"/>
        <w:autoSpaceDN w:val="0"/>
        <w:adjustRightInd w:val="0"/>
        <w:spacing w:before="0" w:after="0" w:line="240" w:lineRule="auto"/>
        <w:rPr>
          <w:rFonts w:ascii="Calibri Light" w:hAnsi="Calibri Light" w:cs="Arial"/>
          <w:b/>
        </w:rPr>
      </w:pPr>
      <w:r w:rsidRPr="00632DE4">
        <w:rPr>
          <w:rFonts w:ascii="Calibri Light" w:hAnsi="Calibri Light" w:cs="Arial"/>
          <w:b/>
        </w:rPr>
        <w:t>Tropical Cyclone (TC) Pam Recovery</w:t>
      </w:r>
    </w:p>
    <w:p w:rsidR="00DA4A1E" w:rsidRPr="00632DE4" w:rsidRDefault="00DA4A1E" w:rsidP="008A425D">
      <w:pPr>
        <w:autoSpaceDE w:val="0"/>
        <w:autoSpaceDN w:val="0"/>
        <w:adjustRightInd w:val="0"/>
        <w:spacing w:before="0" w:after="0" w:line="240" w:lineRule="auto"/>
        <w:rPr>
          <w:rFonts w:ascii="Calibri Light" w:hAnsi="Calibri Light" w:cs="Arial"/>
        </w:rPr>
      </w:pPr>
      <w:r w:rsidRPr="008A425D">
        <w:rPr>
          <w:rFonts w:ascii="Calibri Light" w:hAnsi="Calibri Light" w:cs="Arial"/>
        </w:rPr>
        <w:t>Australia remains the largest bilateral donor to Vanuatu's long-term TC Pam recovery efforts</w:t>
      </w:r>
      <w:r w:rsidR="00736611" w:rsidRPr="008A425D">
        <w:rPr>
          <w:rFonts w:ascii="Calibri Light" w:hAnsi="Calibri Light" w:cs="Arial"/>
        </w:rPr>
        <w:t>.</w:t>
      </w:r>
      <w:r w:rsidRPr="008A425D">
        <w:rPr>
          <w:rFonts w:ascii="Calibri Light" w:hAnsi="Calibri Light" w:cs="Arial"/>
        </w:rPr>
        <w:t xml:space="preserve"> Our investments have </w:t>
      </w:r>
      <w:r w:rsidR="00E80020" w:rsidRPr="008A425D">
        <w:rPr>
          <w:rFonts w:ascii="Calibri Light" w:hAnsi="Calibri Light" w:cs="Arial"/>
        </w:rPr>
        <w:t>bee</w:t>
      </w:r>
      <w:r w:rsidRPr="008A425D">
        <w:rPr>
          <w:rFonts w:ascii="Calibri Light" w:hAnsi="Calibri Light" w:cs="Arial"/>
        </w:rPr>
        <w:t xml:space="preserve">n critical to restoring livelihoods and </w:t>
      </w:r>
      <w:r w:rsidR="00E80020" w:rsidRPr="008A425D">
        <w:rPr>
          <w:rFonts w:ascii="Calibri Light" w:hAnsi="Calibri Light" w:cs="Arial"/>
        </w:rPr>
        <w:t xml:space="preserve">boosting </w:t>
      </w:r>
      <w:r w:rsidRPr="008A425D">
        <w:rPr>
          <w:rFonts w:ascii="Calibri Light" w:hAnsi="Calibri Light" w:cs="Arial"/>
        </w:rPr>
        <w:t>Vanuatu's economy. As of 30 June 2018</w:t>
      </w:r>
      <w:r w:rsidR="00CF651E" w:rsidRPr="008A425D">
        <w:rPr>
          <w:rFonts w:ascii="Calibri Light" w:hAnsi="Calibri Light" w:cs="Arial"/>
        </w:rPr>
        <w:t xml:space="preserve">, </w:t>
      </w:r>
      <w:r w:rsidRPr="008A425D">
        <w:rPr>
          <w:rFonts w:ascii="Calibri Light" w:hAnsi="Calibri Light" w:cs="Arial"/>
        </w:rPr>
        <w:t>9</w:t>
      </w:r>
      <w:r w:rsidR="004A122C" w:rsidRPr="008A425D">
        <w:rPr>
          <w:rFonts w:ascii="Calibri Light" w:hAnsi="Calibri Light" w:cs="Arial"/>
        </w:rPr>
        <w:t>9</w:t>
      </w:r>
      <w:r w:rsidR="00CF651E" w:rsidRPr="008A425D">
        <w:rPr>
          <w:rFonts w:ascii="Calibri Light" w:hAnsi="Calibri Light" w:cs="Arial"/>
        </w:rPr>
        <w:t xml:space="preserve"> per cent</w:t>
      </w:r>
      <w:r w:rsidR="004A122C" w:rsidRPr="008A425D">
        <w:rPr>
          <w:rStyle w:val="FootnoteReference"/>
          <w:rFonts w:ascii="Calibri Light" w:hAnsi="Calibri Light" w:cs="Arial"/>
        </w:rPr>
        <w:footnoteReference w:id="27"/>
      </w:r>
      <w:r w:rsidRPr="008A425D">
        <w:rPr>
          <w:rFonts w:ascii="Calibri Light" w:hAnsi="Calibri Light" w:cs="Arial"/>
        </w:rPr>
        <w:t xml:space="preserve"> ($3</w:t>
      </w:r>
      <w:r w:rsidR="004A122C" w:rsidRPr="008A425D">
        <w:rPr>
          <w:rFonts w:ascii="Calibri Light" w:hAnsi="Calibri Light" w:cs="Arial"/>
        </w:rPr>
        <w:t>4</w:t>
      </w:r>
      <w:r w:rsidRPr="008A425D">
        <w:rPr>
          <w:rFonts w:ascii="Calibri Light" w:hAnsi="Calibri Light" w:cs="Arial"/>
        </w:rPr>
        <w:t>.</w:t>
      </w:r>
      <w:r w:rsidR="004A122C" w:rsidRPr="008A425D">
        <w:rPr>
          <w:rFonts w:ascii="Calibri Light" w:hAnsi="Calibri Light" w:cs="Arial"/>
        </w:rPr>
        <w:t>4</w:t>
      </w:r>
      <w:r w:rsidR="00D8045A" w:rsidRPr="008A425D">
        <w:rPr>
          <w:rFonts w:ascii="Calibri Light" w:hAnsi="Calibri Light" w:cs="Arial"/>
        </w:rPr>
        <w:t xml:space="preserve"> </w:t>
      </w:r>
      <w:r w:rsidRPr="008A425D">
        <w:rPr>
          <w:rFonts w:ascii="Calibri Light" w:hAnsi="Calibri Light" w:cs="Arial"/>
        </w:rPr>
        <w:t>million) of Australia’s $34.7</w:t>
      </w:r>
      <w:r w:rsidR="00D8045A" w:rsidRPr="008A425D">
        <w:rPr>
          <w:rFonts w:ascii="Calibri Light" w:hAnsi="Calibri Light" w:cs="Arial"/>
        </w:rPr>
        <w:t xml:space="preserve"> </w:t>
      </w:r>
      <w:r w:rsidRPr="008A425D">
        <w:rPr>
          <w:rFonts w:ascii="Calibri Light" w:hAnsi="Calibri Light" w:cs="Arial"/>
        </w:rPr>
        <w:t>million</w:t>
      </w:r>
      <w:r w:rsidRPr="008A425D">
        <w:rPr>
          <w:rStyle w:val="FootnoteReference"/>
          <w:rFonts w:ascii="Calibri Light" w:hAnsi="Calibri Light" w:cs="Arial"/>
        </w:rPr>
        <w:footnoteReference w:id="28"/>
      </w:r>
      <w:r w:rsidRPr="008A425D">
        <w:rPr>
          <w:rFonts w:ascii="Calibri Light" w:hAnsi="Calibri Light" w:cs="Arial"/>
        </w:rPr>
        <w:t xml:space="preserve"> funding package had been programmed</w:t>
      </w:r>
      <w:r w:rsidR="00326E19" w:rsidRPr="008A425D">
        <w:rPr>
          <w:rFonts w:ascii="Calibri Light" w:hAnsi="Calibri Light" w:cs="Arial"/>
        </w:rPr>
        <w:t xml:space="preserve"> (</w:t>
      </w:r>
      <w:r w:rsidR="00AA71B9" w:rsidRPr="008A425D">
        <w:rPr>
          <w:rFonts w:ascii="Calibri Light" w:hAnsi="Calibri Light" w:cs="Arial"/>
        </w:rPr>
        <w:t>1</w:t>
      </w:r>
      <w:r w:rsidR="00D8045A" w:rsidRPr="008A425D">
        <w:rPr>
          <w:rFonts w:ascii="Calibri Light" w:hAnsi="Calibri Light" w:cs="Arial"/>
        </w:rPr>
        <w:t xml:space="preserve"> per cent for </w:t>
      </w:r>
      <w:r w:rsidR="000B6B0B" w:rsidRPr="008A425D">
        <w:rPr>
          <w:rFonts w:ascii="Calibri Light" w:hAnsi="Calibri Light" w:cs="Arial"/>
        </w:rPr>
        <w:t>contingencies</w:t>
      </w:r>
      <w:r w:rsidR="00326E19" w:rsidRPr="008A425D">
        <w:rPr>
          <w:rFonts w:ascii="Calibri Light" w:hAnsi="Calibri Light" w:cs="Arial"/>
        </w:rPr>
        <w:t>)</w:t>
      </w:r>
      <w:r w:rsidRPr="008A425D">
        <w:rPr>
          <w:rFonts w:ascii="Calibri Light" w:hAnsi="Calibri Light" w:cs="Arial"/>
        </w:rPr>
        <w:t xml:space="preserve">. The benefits of significant resources and time spent on planning, procurement and mobilisation in past years were realised in 2017-18.  The program is on track for </w:t>
      </w:r>
      <w:r w:rsidR="00EB1C37" w:rsidRPr="008A425D">
        <w:rPr>
          <w:rFonts w:ascii="Calibri Light" w:hAnsi="Calibri Light" w:cs="Arial"/>
        </w:rPr>
        <w:t xml:space="preserve">the </w:t>
      </w:r>
      <w:r w:rsidRPr="008A425D">
        <w:rPr>
          <w:rFonts w:ascii="Calibri Light" w:hAnsi="Calibri Light" w:cs="Arial"/>
        </w:rPr>
        <w:t xml:space="preserve">majority of works to be complete by December 2018. </w:t>
      </w:r>
      <w:r w:rsidR="00E80020" w:rsidRPr="008A425D">
        <w:rPr>
          <w:rFonts w:ascii="Calibri Light" w:hAnsi="Calibri Light" w:cs="Arial"/>
        </w:rPr>
        <w:t xml:space="preserve">A small number of </w:t>
      </w:r>
      <w:r w:rsidR="00C11BE8" w:rsidRPr="008A425D">
        <w:rPr>
          <w:rFonts w:ascii="Calibri Light" w:hAnsi="Calibri Light" w:cs="Arial"/>
        </w:rPr>
        <w:t>complex projects will continue into 2019.</w:t>
      </w:r>
    </w:p>
    <w:p w:rsidR="00DA4A1E" w:rsidRPr="00632DE4" w:rsidRDefault="00DA4A1E" w:rsidP="008A425D">
      <w:pPr>
        <w:autoSpaceDE w:val="0"/>
        <w:autoSpaceDN w:val="0"/>
        <w:adjustRightInd w:val="0"/>
        <w:spacing w:after="0" w:line="240" w:lineRule="auto"/>
        <w:rPr>
          <w:rFonts w:ascii="Calibri Light" w:hAnsi="Calibri Light"/>
        </w:rPr>
      </w:pPr>
      <w:r w:rsidRPr="00632DE4">
        <w:rPr>
          <w:rFonts w:ascii="Calibri Light" w:hAnsi="Calibri Light" w:cs="Arial"/>
        </w:rPr>
        <w:t>Progress was achieved towards all targets, albeit unevenly across sectors</w:t>
      </w:r>
      <w:r w:rsidR="00A002B0">
        <w:rPr>
          <w:rFonts w:ascii="Calibri Light" w:hAnsi="Calibri Light" w:cs="Arial"/>
        </w:rPr>
        <w:t>,</w:t>
      </w:r>
      <w:r w:rsidRPr="00632DE4">
        <w:rPr>
          <w:rStyle w:val="FootnoteReference"/>
          <w:rFonts w:ascii="Calibri Light" w:hAnsi="Calibri Light" w:cs="Arial"/>
        </w:rPr>
        <w:footnoteReference w:id="29"/>
      </w:r>
      <w:r w:rsidR="00A002B0">
        <w:rPr>
          <w:rFonts w:ascii="Calibri Light" w:hAnsi="Calibri Light" w:cs="Arial"/>
        </w:rPr>
        <w:t xml:space="preserve"> supported by intense engagement by DFAT staff and contracted experts</w:t>
      </w:r>
      <w:r w:rsidRPr="00632DE4">
        <w:rPr>
          <w:rFonts w:ascii="Calibri Light" w:hAnsi="Calibri Light" w:cs="Arial"/>
        </w:rPr>
        <w:t>. I</w:t>
      </w:r>
      <w:r w:rsidRPr="00632DE4">
        <w:rPr>
          <w:rFonts w:ascii="Calibri Light" w:hAnsi="Calibri Light"/>
        </w:rPr>
        <w:t xml:space="preserve">n the health sector, 16 (of 19) health facilities </w:t>
      </w:r>
      <w:r w:rsidR="00D8045A">
        <w:rPr>
          <w:rFonts w:ascii="Calibri Light" w:hAnsi="Calibri Light"/>
        </w:rPr>
        <w:t>were</w:t>
      </w:r>
      <w:r w:rsidRPr="00632DE4">
        <w:rPr>
          <w:rFonts w:ascii="Calibri Light" w:hAnsi="Calibri Light"/>
        </w:rPr>
        <w:t xml:space="preserve"> completed, including 52 buildings, all compliant with the Vanuatu National Building Code or A</w:t>
      </w:r>
      <w:r w:rsidR="00736611">
        <w:rPr>
          <w:rFonts w:ascii="Calibri Light" w:hAnsi="Calibri Light"/>
        </w:rPr>
        <w:t>ustralian/New Zealand sta</w:t>
      </w:r>
      <w:r w:rsidRPr="00632DE4">
        <w:rPr>
          <w:rFonts w:ascii="Calibri Light" w:hAnsi="Calibri Light"/>
        </w:rPr>
        <w:t>ndard</w:t>
      </w:r>
      <w:r w:rsidR="00D8045A">
        <w:rPr>
          <w:rFonts w:ascii="Calibri Light" w:hAnsi="Calibri Light"/>
        </w:rPr>
        <w:t>s</w:t>
      </w:r>
      <w:r w:rsidRPr="00632DE4">
        <w:rPr>
          <w:rFonts w:ascii="Calibri Light" w:hAnsi="Calibri Light"/>
        </w:rPr>
        <w:t xml:space="preserve">. In education, 65 classrooms across 18 primary schools </w:t>
      </w:r>
      <w:r w:rsidR="00D8045A">
        <w:rPr>
          <w:rFonts w:ascii="Calibri Light" w:hAnsi="Calibri Light"/>
        </w:rPr>
        <w:t>were</w:t>
      </w:r>
      <w:r w:rsidRPr="00632DE4">
        <w:rPr>
          <w:rFonts w:ascii="Calibri Light" w:hAnsi="Calibri Light"/>
        </w:rPr>
        <w:t xml:space="preserve"> built or refurbished</w:t>
      </w:r>
      <w:r w:rsidR="005A2579">
        <w:rPr>
          <w:rFonts w:ascii="Calibri Light" w:hAnsi="Calibri Light"/>
        </w:rPr>
        <w:t>,</w:t>
      </w:r>
      <w:r w:rsidRPr="00632DE4">
        <w:rPr>
          <w:rFonts w:ascii="Calibri Light" w:hAnsi="Calibri Light"/>
        </w:rPr>
        <w:t xml:space="preserve"> benefitting 1</w:t>
      </w:r>
      <w:r w:rsidR="00A1360C">
        <w:rPr>
          <w:rFonts w:ascii="Calibri Light" w:hAnsi="Calibri Light"/>
        </w:rPr>
        <w:t>,</w:t>
      </w:r>
      <w:r w:rsidRPr="00632DE4">
        <w:rPr>
          <w:rFonts w:ascii="Calibri Light" w:hAnsi="Calibri Light"/>
        </w:rPr>
        <w:t xml:space="preserve">950 children. Of the remaining </w:t>
      </w:r>
      <w:r w:rsidR="005A2579">
        <w:rPr>
          <w:rFonts w:ascii="Calibri Light" w:hAnsi="Calibri Light"/>
        </w:rPr>
        <w:t>101</w:t>
      </w:r>
      <w:r w:rsidRPr="00632DE4">
        <w:rPr>
          <w:rFonts w:ascii="Calibri Light" w:hAnsi="Calibri Light"/>
        </w:rPr>
        <w:t xml:space="preserve"> classrooms, </w:t>
      </w:r>
      <w:r w:rsidR="00E24AA6">
        <w:rPr>
          <w:rFonts w:ascii="Calibri Light" w:hAnsi="Calibri Light"/>
        </w:rPr>
        <w:t>eight</w:t>
      </w:r>
      <w:r w:rsidRPr="00632DE4">
        <w:rPr>
          <w:rFonts w:ascii="Calibri Light" w:hAnsi="Calibri Light"/>
        </w:rPr>
        <w:t xml:space="preserve"> are 90 per cent complete, 49 </w:t>
      </w:r>
      <w:r w:rsidR="0089635F">
        <w:rPr>
          <w:rFonts w:ascii="Calibri Light" w:hAnsi="Calibri Light"/>
        </w:rPr>
        <w:t xml:space="preserve">are </w:t>
      </w:r>
      <w:r w:rsidRPr="00632DE4">
        <w:rPr>
          <w:rFonts w:ascii="Calibri Light" w:hAnsi="Calibri Light"/>
        </w:rPr>
        <w:t>under construction and 44 are in preparatory stage. Of the 68 planned public building</w:t>
      </w:r>
      <w:r w:rsidR="00D8045A">
        <w:rPr>
          <w:rFonts w:ascii="Calibri Light" w:hAnsi="Calibri Light"/>
        </w:rPr>
        <w:t>s</w:t>
      </w:r>
      <w:r w:rsidRPr="00632DE4">
        <w:rPr>
          <w:rFonts w:ascii="Calibri Light" w:hAnsi="Calibri Light"/>
        </w:rPr>
        <w:t>, 33 are complete,</w:t>
      </w:r>
      <w:r w:rsidR="00736611">
        <w:rPr>
          <w:rFonts w:ascii="Calibri Light" w:hAnsi="Calibri Light"/>
        </w:rPr>
        <w:t xml:space="preserve"> 10</w:t>
      </w:r>
      <w:r w:rsidRPr="00632DE4">
        <w:rPr>
          <w:rFonts w:ascii="Calibri Light" w:hAnsi="Calibri Light"/>
        </w:rPr>
        <w:t xml:space="preserve"> are close to complete (75-99</w:t>
      </w:r>
      <w:r w:rsidR="00822440">
        <w:rPr>
          <w:rFonts w:ascii="Calibri Light" w:hAnsi="Calibri Light"/>
        </w:rPr>
        <w:t xml:space="preserve"> per cent</w:t>
      </w:r>
      <w:r w:rsidRPr="00632DE4">
        <w:rPr>
          <w:rFonts w:ascii="Calibri Light" w:hAnsi="Calibri Light"/>
        </w:rPr>
        <w:t xml:space="preserve">), </w:t>
      </w:r>
      <w:r w:rsidR="00736611">
        <w:rPr>
          <w:rFonts w:ascii="Calibri Light" w:hAnsi="Calibri Light"/>
        </w:rPr>
        <w:t>6</w:t>
      </w:r>
      <w:r w:rsidR="00A1360C">
        <w:rPr>
          <w:rFonts w:ascii="Calibri Light" w:hAnsi="Calibri Light"/>
        </w:rPr>
        <w:t xml:space="preserve"> are</w:t>
      </w:r>
      <w:r w:rsidRPr="00632DE4">
        <w:rPr>
          <w:rFonts w:ascii="Calibri Light" w:hAnsi="Calibri Light"/>
        </w:rPr>
        <w:t xml:space="preserve"> under construction and the remainder at tender stage. Completed buildings include 17 houses and </w:t>
      </w:r>
      <w:r w:rsidR="00736611">
        <w:rPr>
          <w:rFonts w:ascii="Calibri Light" w:hAnsi="Calibri Light"/>
        </w:rPr>
        <w:t>3</w:t>
      </w:r>
      <w:r w:rsidR="00E24AA6">
        <w:rPr>
          <w:rFonts w:ascii="Calibri Light" w:hAnsi="Calibri Light"/>
        </w:rPr>
        <w:t xml:space="preserve"> </w:t>
      </w:r>
      <w:r w:rsidRPr="00632DE4">
        <w:rPr>
          <w:rFonts w:ascii="Calibri Light" w:hAnsi="Calibri Light"/>
        </w:rPr>
        <w:t xml:space="preserve">offices for the Vanuatu Police Force. </w:t>
      </w:r>
      <w:r w:rsidR="005D49BF">
        <w:rPr>
          <w:rFonts w:ascii="Calibri Light" w:hAnsi="Calibri Light"/>
        </w:rPr>
        <w:t>W</w:t>
      </w:r>
      <w:r w:rsidR="0089635F">
        <w:rPr>
          <w:rFonts w:ascii="Calibri Light" w:hAnsi="Calibri Light"/>
        </w:rPr>
        <w:t>ater systems</w:t>
      </w:r>
      <w:r w:rsidRPr="00632DE4">
        <w:rPr>
          <w:rFonts w:ascii="Calibri Light" w:hAnsi="Calibri Light"/>
        </w:rPr>
        <w:t xml:space="preserve"> benefitting </w:t>
      </w:r>
      <w:r w:rsidR="005D49BF">
        <w:rPr>
          <w:rFonts w:ascii="Calibri Light" w:hAnsi="Calibri Light"/>
        </w:rPr>
        <w:t xml:space="preserve">over </w:t>
      </w:r>
      <w:r w:rsidRPr="00632DE4">
        <w:rPr>
          <w:rFonts w:ascii="Calibri Light" w:hAnsi="Calibri Light"/>
        </w:rPr>
        <w:t>2</w:t>
      </w:r>
      <w:r w:rsidR="00E24AA6">
        <w:rPr>
          <w:rFonts w:ascii="Calibri Light" w:hAnsi="Calibri Light"/>
        </w:rPr>
        <w:t>,</w:t>
      </w:r>
      <w:r w:rsidRPr="00632DE4">
        <w:rPr>
          <w:rFonts w:ascii="Calibri Light" w:hAnsi="Calibri Light"/>
        </w:rPr>
        <w:t xml:space="preserve">500 </w:t>
      </w:r>
      <w:r w:rsidR="00E80020">
        <w:rPr>
          <w:rFonts w:ascii="Calibri Light" w:hAnsi="Calibri Light"/>
        </w:rPr>
        <w:t>people</w:t>
      </w:r>
      <w:r w:rsidR="005D49BF">
        <w:rPr>
          <w:rFonts w:ascii="Calibri Light" w:hAnsi="Calibri Light"/>
        </w:rPr>
        <w:t xml:space="preserve"> have been completed (34) or are under construction (45)</w:t>
      </w:r>
      <w:r w:rsidRPr="00632DE4">
        <w:rPr>
          <w:rFonts w:ascii="Calibri Light" w:hAnsi="Calibri Light"/>
        </w:rPr>
        <w:t xml:space="preserve">. </w:t>
      </w:r>
    </w:p>
    <w:p w:rsidR="00326E19" w:rsidRDefault="0089635F" w:rsidP="008A425D">
      <w:pPr>
        <w:spacing w:after="0" w:line="240" w:lineRule="auto"/>
        <w:rPr>
          <w:rFonts w:ascii="Calibri Light" w:hAnsi="Calibri Light"/>
        </w:rPr>
      </w:pPr>
      <w:r w:rsidRPr="00632DE4">
        <w:rPr>
          <w:rFonts w:ascii="Calibri Light" w:hAnsi="Calibri Light"/>
        </w:rPr>
        <w:t>Work to support re</w:t>
      </w:r>
      <w:r w:rsidR="00E80020">
        <w:rPr>
          <w:rFonts w:ascii="Calibri Light" w:hAnsi="Calibri Light"/>
        </w:rPr>
        <w:t>covery</w:t>
      </w:r>
      <w:r w:rsidRPr="00632DE4">
        <w:rPr>
          <w:rFonts w:ascii="Calibri Light" w:hAnsi="Calibri Light"/>
        </w:rPr>
        <w:t xml:space="preserve"> of the international tourism market was prioritised</w:t>
      </w:r>
      <w:r w:rsidR="0037261C">
        <w:rPr>
          <w:rFonts w:ascii="Calibri Light" w:hAnsi="Calibri Light"/>
        </w:rPr>
        <w:t>,</w:t>
      </w:r>
      <w:r w:rsidRPr="00632DE4">
        <w:rPr>
          <w:rFonts w:ascii="Calibri Light" w:hAnsi="Calibri Light"/>
        </w:rPr>
        <w:t xml:space="preserve"> given around two-fifths of Vanuatu’s GDP derives directly or indirectly from this sector.  </w:t>
      </w:r>
      <w:r>
        <w:rPr>
          <w:rFonts w:ascii="Calibri Light" w:hAnsi="Calibri Light"/>
        </w:rPr>
        <w:t xml:space="preserve">In Tanna, </w:t>
      </w:r>
      <w:r w:rsidR="00AA71B9">
        <w:rPr>
          <w:rFonts w:ascii="Calibri Light" w:hAnsi="Calibri Light"/>
        </w:rPr>
        <w:t xml:space="preserve">Australian </w:t>
      </w:r>
      <w:r w:rsidR="00DA4A1E" w:rsidRPr="00632DE4">
        <w:rPr>
          <w:rFonts w:ascii="Calibri Light" w:hAnsi="Calibri Light"/>
        </w:rPr>
        <w:t>assistance</w:t>
      </w:r>
      <w:r>
        <w:rPr>
          <w:rFonts w:ascii="Calibri Light" w:hAnsi="Calibri Light"/>
        </w:rPr>
        <w:t xml:space="preserve"> helped</w:t>
      </w:r>
      <w:r w:rsidR="00DA4A1E" w:rsidRPr="00632DE4">
        <w:rPr>
          <w:rFonts w:ascii="Calibri Light" w:hAnsi="Calibri Light"/>
        </w:rPr>
        <w:t xml:space="preserve"> rebuild 2</w:t>
      </w:r>
      <w:r w:rsidR="005D49BF">
        <w:rPr>
          <w:rFonts w:ascii="Calibri Light" w:hAnsi="Calibri Light"/>
        </w:rPr>
        <w:t>8</w:t>
      </w:r>
      <w:r w:rsidR="00DA4A1E" w:rsidRPr="00632DE4">
        <w:rPr>
          <w:rFonts w:ascii="Calibri Light" w:hAnsi="Calibri Light"/>
        </w:rPr>
        <w:t xml:space="preserve"> local bungalows and re-open 13 local tourism businesses </w:t>
      </w:r>
      <w:r w:rsidR="00DA4A1E" w:rsidRPr="00632DE4">
        <w:rPr>
          <w:rFonts w:ascii="Calibri Light" w:hAnsi="Calibri Light" w:cs="Arial"/>
        </w:rPr>
        <w:t>meeting Vanuatu Tourism Operator Minimum Standards</w:t>
      </w:r>
      <w:r w:rsidR="00DA4A1E" w:rsidRPr="00632DE4">
        <w:rPr>
          <w:rFonts w:ascii="Calibri Light" w:hAnsi="Calibri Light"/>
        </w:rPr>
        <w:t xml:space="preserve">. </w:t>
      </w:r>
      <w:r w:rsidR="005D49BF">
        <w:rPr>
          <w:rFonts w:ascii="Calibri Light" w:hAnsi="Calibri Light"/>
        </w:rPr>
        <w:t>T</w:t>
      </w:r>
      <w:r w:rsidR="00DA4A1E" w:rsidRPr="00632DE4">
        <w:rPr>
          <w:rFonts w:ascii="Calibri Light" w:hAnsi="Calibri Light"/>
        </w:rPr>
        <w:t>raining</w:t>
      </w:r>
      <w:r w:rsidR="005D49BF">
        <w:rPr>
          <w:rFonts w:ascii="Calibri Light" w:hAnsi="Calibri Light"/>
        </w:rPr>
        <w:t xml:space="preserve"> was delivered to 47 tourism operators</w:t>
      </w:r>
      <w:r w:rsidR="00DA4A1E" w:rsidRPr="00632DE4">
        <w:rPr>
          <w:rFonts w:ascii="Calibri Light" w:hAnsi="Calibri Light"/>
        </w:rPr>
        <w:t>: women</w:t>
      </w:r>
      <w:r w:rsidR="005D49BF">
        <w:rPr>
          <w:rFonts w:ascii="Calibri Light" w:hAnsi="Calibri Light"/>
        </w:rPr>
        <w:t xml:space="preserve"> </w:t>
      </w:r>
      <w:r w:rsidR="00DA4A1E" w:rsidRPr="00632DE4">
        <w:rPr>
          <w:rFonts w:ascii="Calibri Light" w:hAnsi="Calibri Light"/>
        </w:rPr>
        <w:t>comprise</w:t>
      </w:r>
      <w:r w:rsidR="005D49BF">
        <w:rPr>
          <w:rFonts w:ascii="Calibri Light" w:hAnsi="Calibri Light"/>
        </w:rPr>
        <w:t>d</w:t>
      </w:r>
      <w:r w:rsidR="00DA4A1E" w:rsidRPr="00632DE4">
        <w:rPr>
          <w:rFonts w:ascii="Calibri Light" w:hAnsi="Calibri Light"/>
        </w:rPr>
        <w:t xml:space="preserve"> 36</w:t>
      </w:r>
      <w:r w:rsidR="00822440">
        <w:rPr>
          <w:rFonts w:ascii="Calibri Light" w:hAnsi="Calibri Light"/>
        </w:rPr>
        <w:t xml:space="preserve"> per cent</w:t>
      </w:r>
      <w:r w:rsidR="00DA4A1E" w:rsidRPr="00632DE4">
        <w:rPr>
          <w:rFonts w:ascii="Calibri Light" w:hAnsi="Calibri Light"/>
        </w:rPr>
        <w:t xml:space="preserve"> of </w:t>
      </w:r>
      <w:r w:rsidR="005D49BF">
        <w:rPr>
          <w:rFonts w:ascii="Calibri Light" w:hAnsi="Calibri Light"/>
        </w:rPr>
        <w:t>p</w:t>
      </w:r>
      <w:r w:rsidR="00DA4A1E" w:rsidRPr="00632DE4">
        <w:rPr>
          <w:rFonts w:ascii="Calibri Light" w:hAnsi="Calibri Light"/>
        </w:rPr>
        <w:t>articipants and 37</w:t>
      </w:r>
      <w:r w:rsidR="00822440">
        <w:rPr>
          <w:rFonts w:ascii="Calibri Light" w:hAnsi="Calibri Light"/>
        </w:rPr>
        <w:t xml:space="preserve"> per cent</w:t>
      </w:r>
      <w:r w:rsidR="00DA4A1E" w:rsidRPr="00632DE4">
        <w:rPr>
          <w:rFonts w:ascii="Calibri Light" w:hAnsi="Calibri Light"/>
        </w:rPr>
        <w:t xml:space="preserve"> of busin</w:t>
      </w:r>
      <w:r w:rsidR="006E4C15">
        <w:rPr>
          <w:rFonts w:ascii="Calibri Light" w:hAnsi="Calibri Light"/>
        </w:rPr>
        <w:t>ess owners. A call centre for T</w:t>
      </w:r>
      <w:r w:rsidR="005D49BF">
        <w:rPr>
          <w:rFonts w:ascii="Calibri Light" w:hAnsi="Calibri Light"/>
        </w:rPr>
        <w:t>afea</w:t>
      </w:r>
      <w:r w:rsidR="00DA4A1E" w:rsidRPr="00632DE4">
        <w:rPr>
          <w:rFonts w:ascii="Calibri Light" w:hAnsi="Calibri Light"/>
        </w:rPr>
        <w:t xml:space="preserve"> Province tourist operators </w:t>
      </w:r>
      <w:r>
        <w:rPr>
          <w:rFonts w:ascii="Calibri Light" w:hAnsi="Calibri Light"/>
        </w:rPr>
        <w:t>was</w:t>
      </w:r>
      <w:r w:rsidR="00DA4A1E" w:rsidRPr="00632DE4">
        <w:rPr>
          <w:rFonts w:ascii="Calibri Light" w:hAnsi="Calibri Light"/>
        </w:rPr>
        <w:t xml:space="preserve"> established. </w:t>
      </w:r>
    </w:p>
    <w:p w:rsidR="00DA4A1E" w:rsidRPr="00632DE4" w:rsidRDefault="00DA4A1E" w:rsidP="00632DE4">
      <w:pPr>
        <w:spacing w:after="0" w:line="240" w:lineRule="auto"/>
        <w:rPr>
          <w:rFonts w:ascii="Calibri Light" w:hAnsi="Calibri Light" w:cs="Calibri"/>
        </w:rPr>
      </w:pPr>
      <w:r w:rsidRPr="00632DE4">
        <w:rPr>
          <w:rFonts w:ascii="Calibri Light" w:hAnsi="Calibri Light"/>
        </w:rPr>
        <w:t>Australian funds were provided directly to the GoV, with disbursement managed through national</w:t>
      </w:r>
      <w:r w:rsidRPr="00632DE4">
        <w:rPr>
          <w:rFonts w:ascii="Calibri Light" w:hAnsi="Calibri Light" w:cs="Arial"/>
        </w:rPr>
        <w:t xml:space="preserve"> systems. </w:t>
      </w:r>
      <w:r w:rsidRPr="00632DE4">
        <w:rPr>
          <w:rFonts w:ascii="Calibri Light" w:hAnsi="Calibri Light" w:cs="Calibri"/>
        </w:rPr>
        <w:t xml:space="preserve"> </w:t>
      </w:r>
      <w:r w:rsidR="00031446">
        <w:rPr>
          <w:rFonts w:ascii="Calibri Light" w:hAnsi="Calibri Light" w:cs="Calibri"/>
        </w:rPr>
        <w:t>Initial findings of a</w:t>
      </w:r>
      <w:r w:rsidRPr="00632DE4">
        <w:rPr>
          <w:rFonts w:ascii="Calibri Light" w:hAnsi="Calibri Light" w:cs="Calibri"/>
        </w:rPr>
        <w:t xml:space="preserve">n independent </w:t>
      </w:r>
      <w:r w:rsidR="00E36C94">
        <w:rPr>
          <w:rFonts w:ascii="Calibri Light" w:hAnsi="Calibri Light" w:cs="Calibri"/>
        </w:rPr>
        <w:t>e</w:t>
      </w:r>
      <w:r w:rsidRPr="00632DE4">
        <w:rPr>
          <w:rFonts w:ascii="Calibri Light" w:hAnsi="Calibri Light" w:cs="Calibri"/>
        </w:rPr>
        <w:t xml:space="preserve">valuation of the TC Pam Recovery Program indicate: </w:t>
      </w:r>
    </w:p>
    <w:p w:rsidR="00DA4A1E" w:rsidRPr="00632DE4" w:rsidRDefault="00DA4A1E" w:rsidP="001F507E">
      <w:pPr>
        <w:pStyle w:val="ListParagraph"/>
        <w:numPr>
          <w:ilvl w:val="0"/>
          <w:numId w:val="71"/>
        </w:numPr>
        <w:ind w:left="426"/>
        <w:rPr>
          <w:rFonts w:ascii="Calibri Light" w:hAnsi="Calibri Light" w:cstheme="majorHAnsi"/>
          <w:color w:val="495965" w:themeColor="text2"/>
          <w:sz w:val="22"/>
          <w:szCs w:val="22"/>
        </w:rPr>
      </w:pPr>
      <w:r w:rsidRPr="00632DE4">
        <w:rPr>
          <w:rFonts w:ascii="Calibri Light" w:hAnsi="Calibri Light" w:cstheme="majorHAnsi"/>
          <w:color w:val="495965" w:themeColor="text2"/>
          <w:sz w:val="22"/>
          <w:szCs w:val="22"/>
        </w:rPr>
        <w:t>use of government systems fostered clear ownership of the program by GoV</w:t>
      </w:r>
      <w:r w:rsidR="00A002B0">
        <w:rPr>
          <w:rFonts w:ascii="Calibri Light" w:hAnsi="Calibri Light" w:cstheme="majorHAnsi"/>
          <w:color w:val="495965" w:themeColor="text2"/>
          <w:sz w:val="22"/>
          <w:szCs w:val="22"/>
        </w:rPr>
        <w:t>;</w:t>
      </w:r>
      <w:r w:rsidRPr="00632DE4">
        <w:rPr>
          <w:rFonts w:ascii="Calibri Light" w:hAnsi="Calibri Light" w:cstheme="majorHAnsi"/>
          <w:color w:val="495965" w:themeColor="text2"/>
          <w:sz w:val="22"/>
          <w:szCs w:val="22"/>
        </w:rPr>
        <w:t xml:space="preserve">  </w:t>
      </w:r>
    </w:p>
    <w:p w:rsidR="00DA4A1E" w:rsidRPr="00632DE4" w:rsidRDefault="00DA4A1E" w:rsidP="001F507E">
      <w:pPr>
        <w:pStyle w:val="ListParagraph"/>
        <w:numPr>
          <w:ilvl w:val="0"/>
          <w:numId w:val="71"/>
        </w:numPr>
        <w:ind w:left="426"/>
        <w:rPr>
          <w:rFonts w:ascii="Calibri Light" w:hAnsi="Calibri Light" w:cstheme="majorHAnsi"/>
          <w:color w:val="495965" w:themeColor="text2"/>
          <w:sz w:val="22"/>
          <w:szCs w:val="22"/>
        </w:rPr>
      </w:pPr>
      <w:r w:rsidRPr="00632DE4">
        <w:rPr>
          <w:rFonts w:ascii="Calibri Light" w:hAnsi="Calibri Light" w:cstheme="majorHAnsi"/>
          <w:color w:val="495965" w:themeColor="text2"/>
          <w:sz w:val="22"/>
          <w:szCs w:val="22"/>
        </w:rPr>
        <w:t>infrastructure work prioritised engagement of local contractors, strengthen</w:t>
      </w:r>
      <w:r w:rsidR="006E4C15">
        <w:rPr>
          <w:rFonts w:ascii="Calibri Light" w:hAnsi="Calibri Light" w:cstheme="majorHAnsi"/>
          <w:color w:val="495965" w:themeColor="text2"/>
          <w:sz w:val="22"/>
          <w:szCs w:val="22"/>
        </w:rPr>
        <w:t>ed</w:t>
      </w:r>
      <w:r w:rsidRPr="00632DE4">
        <w:rPr>
          <w:rFonts w:ascii="Calibri Light" w:hAnsi="Calibri Light" w:cstheme="majorHAnsi"/>
          <w:color w:val="495965" w:themeColor="text2"/>
          <w:sz w:val="22"/>
          <w:szCs w:val="22"/>
        </w:rPr>
        <w:t xml:space="preserve"> private sector capacity and stimulat</w:t>
      </w:r>
      <w:r w:rsidR="006E4C15">
        <w:rPr>
          <w:rFonts w:ascii="Calibri Light" w:hAnsi="Calibri Light" w:cstheme="majorHAnsi"/>
          <w:color w:val="495965" w:themeColor="text2"/>
          <w:sz w:val="22"/>
          <w:szCs w:val="22"/>
        </w:rPr>
        <w:t>ed</w:t>
      </w:r>
      <w:r w:rsidRPr="00632DE4">
        <w:rPr>
          <w:rFonts w:ascii="Calibri Light" w:hAnsi="Calibri Light" w:cstheme="majorHAnsi"/>
          <w:color w:val="495965" w:themeColor="text2"/>
          <w:sz w:val="22"/>
          <w:szCs w:val="22"/>
        </w:rPr>
        <w:t xml:space="preserve"> economic growth, including in local communities</w:t>
      </w:r>
      <w:r w:rsidR="00A002B0">
        <w:rPr>
          <w:rFonts w:ascii="Calibri Light" w:hAnsi="Calibri Light" w:cstheme="majorHAnsi"/>
          <w:color w:val="495965" w:themeColor="text2"/>
          <w:sz w:val="22"/>
          <w:szCs w:val="22"/>
        </w:rPr>
        <w:t>; and</w:t>
      </w:r>
      <w:r w:rsidRPr="00632DE4">
        <w:rPr>
          <w:rFonts w:ascii="Calibri Light" w:hAnsi="Calibri Light" w:cstheme="majorHAnsi"/>
          <w:color w:val="495965" w:themeColor="text2"/>
          <w:sz w:val="22"/>
          <w:szCs w:val="22"/>
        </w:rPr>
        <w:t xml:space="preserve"> </w:t>
      </w:r>
    </w:p>
    <w:p w:rsidR="00DA4A1E" w:rsidRPr="00632DE4" w:rsidRDefault="00DA4A1E" w:rsidP="001F507E">
      <w:pPr>
        <w:pStyle w:val="ListParagraph"/>
        <w:numPr>
          <w:ilvl w:val="0"/>
          <w:numId w:val="71"/>
        </w:numPr>
        <w:ind w:left="426"/>
        <w:rPr>
          <w:rFonts w:ascii="Calibri Light" w:hAnsi="Calibri Light" w:cstheme="majorHAnsi"/>
          <w:color w:val="495965" w:themeColor="text2"/>
          <w:sz w:val="22"/>
          <w:szCs w:val="22"/>
        </w:rPr>
      </w:pPr>
      <w:r w:rsidRPr="00632DE4">
        <w:rPr>
          <w:rFonts w:ascii="Calibri Light" w:hAnsi="Calibri Light" w:cstheme="majorHAnsi"/>
          <w:color w:val="495965" w:themeColor="text2"/>
          <w:sz w:val="22"/>
          <w:szCs w:val="22"/>
        </w:rPr>
        <w:t>the breadth and scale of the recovery program has had a general human resource development effect—at all levels from national government to community.</w:t>
      </w:r>
    </w:p>
    <w:p w:rsidR="00AA71B9" w:rsidRDefault="00AA71B9" w:rsidP="00632DE4">
      <w:pPr>
        <w:autoSpaceDE w:val="0"/>
        <w:autoSpaceDN w:val="0"/>
        <w:adjustRightInd w:val="0"/>
        <w:spacing w:before="0" w:after="0" w:line="240" w:lineRule="auto"/>
        <w:rPr>
          <w:rFonts w:ascii="Calibri Light" w:hAnsi="Calibri Light" w:cs="Arial"/>
        </w:rPr>
      </w:pPr>
    </w:p>
    <w:p w:rsidR="00A002B0" w:rsidRDefault="00A002B0" w:rsidP="00632DE4">
      <w:pPr>
        <w:autoSpaceDE w:val="0"/>
        <w:autoSpaceDN w:val="0"/>
        <w:adjustRightInd w:val="0"/>
        <w:spacing w:before="0" w:after="0" w:line="240" w:lineRule="auto"/>
        <w:rPr>
          <w:rFonts w:ascii="Calibri Light" w:hAnsi="Calibri Light" w:cs="Calibri"/>
          <w:b/>
        </w:rPr>
      </w:pPr>
      <w:r>
        <w:rPr>
          <w:rFonts w:ascii="Calibri Light" w:hAnsi="Calibri Light" w:cs="Arial"/>
        </w:rPr>
        <w:t>A</w:t>
      </w:r>
      <w:r w:rsidR="00DA4A1E" w:rsidRPr="00632DE4">
        <w:rPr>
          <w:rFonts w:ascii="Calibri Light" w:hAnsi="Calibri Light" w:cs="Arial"/>
        </w:rPr>
        <w:t>n estimated 54</w:t>
      </w:r>
      <w:r w:rsidR="00822440">
        <w:rPr>
          <w:rFonts w:ascii="Calibri Light" w:hAnsi="Calibri Light" w:cs="Arial"/>
        </w:rPr>
        <w:t xml:space="preserve"> per cent</w:t>
      </w:r>
      <w:r w:rsidR="00DA4A1E" w:rsidRPr="00632DE4">
        <w:rPr>
          <w:rFonts w:ascii="Calibri Light" w:hAnsi="Calibri Light" w:cs="Arial"/>
        </w:rPr>
        <w:t xml:space="preserve"> of Australia’s $34.7</w:t>
      </w:r>
      <w:r w:rsidR="00ED0D0F">
        <w:rPr>
          <w:rFonts w:ascii="Calibri Light" w:hAnsi="Calibri Light" w:cs="Arial"/>
        </w:rPr>
        <w:t xml:space="preserve"> million</w:t>
      </w:r>
      <w:r w:rsidR="00DA4A1E" w:rsidRPr="00632DE4">
        <w:rPr>
          <w:rFonts w:ascii="Calibri Light" w:hAnsi="Calibri Light" w:cs="Arial"/>
        </w:rPr>
        <w:t xml:space="preserve"> funding has</w:t>
      </w:r>
      <w:r w:rsidR="00F10258">
        <w:rPr>
          <w:rFonts w:ascii="Calibri Light" w:hAnsi="Calibri Light" w:cs="Arial"/>
        </w:rPr>
        <w:t xml:space="preserve"> circulated </w:t>
      </w:r>
      <w:r w:rsidR="006A2D9E">
        <w:rPr>
          <w:rFonts w:ascii="Calibri Light" w:hAnsi="Calibri Light" w:cs="Arial"/>
        </w:rPr>
        <w:t>into</w:t>
      </w:r>
      <w:r w:rsidR="00DA4A1E" w:rsidRPr="00632DE4">
        <w:rPr>
          <w:rFonts w:ascii="Calibri Light" w:hAnsi="Calibri Light" w:cs="Arial"/>
        </w:rPr>
        <w:t xml:space="preserve"> the local economy through contracts to local companies. Enhanced national private sector involvement helped avoid an in</w:t>
      </w:r>
      <w:r w:rsidR="00F10258">
        <w:rPr>
          <w:rFonts w:ascii="Calibri Light" w:hAnsi="Calibri Light" w:cs="Arial"/>
        </w:rPr>
        <w:t>flationary</w:t>
      </w:r>
      <w:r w:rsidR="00DA4A1E" w:rsidRPr="00632DE4">
        <w:rPr>
          <w:rFonts w:ascii="Calibri Light" w:hAnsi="Calibri Light" w:cs="Arial"/>
        </w:rPr>
        <w:t xml:space="preserve"> impact in the local economy</w:t>
      </w:r>
      <w:r w:rsidR="005A2579">
        <w:rPr>
          <w:rFonts w:ascii="Calibri Light" w:hAnsi="Calibri Light" w:cs="Arial"/>
        </w:rPr>
        <w:t xml:space="preserve"> and</w:t>
      </w:r>
      <w:r w:rsidR="00DA4A1E" w:rsidRPr="00632DE4">
        <w:rPr>
          <w:rFonts w:ascii="Calibri Light" w:hAnsi="Calibri Light" w:cs="Arial"/>
        </w:rPr>
        <w:t xml:space="preserve"> provided the boost needed to assist private enterprises </w:t>
      </w:r>
      <w:r w:rsidR="00AA71B9">
        <w:rPr>
          <w:rFonts w:ascii="Calibri Light" w:hAnsi="Calibri Light" w:cs="Arial"/>
        </w:rPr>
        <w:t xml:space="preserve">to </w:t>
      </w:r>
      <w:r w:rsidR="00DA4A1E" w:rsidRPr="00632DE4">
        <w:rPr>
          <w:rFonts w:ascii="Calibri Light" w:hAnsi="Calibri Light" w:cs="Arial"/>
        </w:rPr>
        <w:t>rebound from the shock.</w:t>
      </w:r>
      <w:r w:rsidR="00AB0B23">
        <w:rPr>
          <w:rFonts w:ascii="Calibri Light" w:hAnsi="Calibri Light" w:cs="Arial"/>
        </w:rPr>
        <w:t xml:space="preserve"> </w:t>
      </w:r>
      <w:r w:rsidR="005A2579">
        <w:rPr>
          <w:rFonts w:ascii="Calibri Light" w:hAnsi="Calibri Light" w:cs="Arial"/>
        </w:rPr>
        <w:t>R</w:t>
      </w:r>
      <w:r w:rsidR="00DA4A1E" w:rsidRPr="00632DE4">
        <w:rPr>
          <w:rFonts w:ascii="Calibri Light" w:hAnsi="Calibri Light" w:cs="SegoeUI"/>
        </w:rPr>
        <w:t>ecovery efforts</w:t>
      </w:r>
      <w:r w:rsidR="005D49BF">
        <w:rPr>
          <w:rFonts w:ascii="Calibri Light" w:hAnsi="Calibri Light" w:cs="SegoeUI"/>
        </w:rPr>
        <w:t xml:space="preserve"> </w:t>
      </w:r>
      <w:r w:rsidR="00AB0B23">
        <w:rPr>
          <w:rFonts w:ascii="Calibri Light" w:hAnsi="Calibri Light" w:cs="SegoeUI"/>
        </w:rPr>
        <w:t xml:space="preserve">were designed to </w:t>
      </w:r>
      <w:r w:rsidR="005A2579">
        <w:rPr>
          <w:rFonts w:ascii="Calibri Light" w:hAnsi="Calibri Light" w:cs="SegoeUI"/>
        </w:rPr>
        <w:t>improve climate</w:t>
      </w:r>
      <w:r w:rsidR="005D49BF">
        <w:rPr>
          <w:rFonts w:ascii="Calibri Light" w:hAnsi="Calibri Light" w:cs="SegoeUI"/>
        </w:rPr>
        <w:t xml:space="preserve"> </w:t>
      </w:r>
      <w:r w:rsidR="005A2579">
        <w:rPr>
          <w:rFonts w:ascii="Calibri Light" w:hAnsi="Calibri Light" w:cs="SegoeUI"/>
        </w:rPr>
        <w:t xml:space="preserve">resilience and </w:t>
      </w:r>
      <w:r w:rsidR="005D49BF">
        <w:rPr>
          <w:rFonts w:ascii="Calibri Light" w:hAnsi="Calibri Light" w:cs="SegoeUI"/>
        </w:rPr>
        <w:t>sustainability</w:t>
      </w:r>
      <w:r w:rsidR="005A2579">
        <w:rPr>
          <w:rFonts w:ascii="Calibri Light" w:hAnsi="Calibri Light" w:cs="SegoeUI"/>
        </w:rPr>
        <w:t>: ‘build back</w:t>
      </w:r>
      <w:r w:rsidR="00DA4A1E" w:rsidRPr="00632DE4">
        <w:rPr>
          <w:rFonts w:ascii="Calibri Light" w:hAnsi="Calibri Light" w:cs="SegoeUI"/>
        </w:rPr>
        <w:t xml:space="preserve"> </w:t>
      </w:r>
      <w:r w:rsidR="006A2D9E">
        <w:rPr>
          <w:rFonts w:ascii="Calibri Light" w:hAnsi="Calibri Light" w:cs="SegoeUI"/>
        </w:rPr>
        <w:lastRenderedPageBreak/>
        <w:t>b</w:t>
      </w:r>
      <w:r w:rsidR="00DA4A1E" w:rsidRPr="00632DE4">
        <w:rPr>
          <w:rFonts w:ascii="Calibri Light" w:hAnsi="Calibri Light" w:cs="SegoeUI"/>
        </w:rPr>
        <w:t>etter</w:t>
      </w:r>
      <w:r w:rsidR="006A2D9E">
        <w:rPr>
          <w:rFonts w:ascii="Calibri Light" w:hAnsi="Calibri Light" w:cs="SegoeUI"/>
        </w:rPr>
        <w:t>’</w:t>
      </w:r>
      <w:r w:rsidR="00DA4A1E" w:rsidRPr="00632DE4">
        <w:rPr>
          <w:rFonts w:ascii="Calibri Light" w:hAnsi="Calibri Light" w:cs="SegoeUI"/>
        </w:rPr>
        <w:t xml:space="preserve"> </w:t>
      </w:r>
      <w:r w:rsidR="00326E19">
        <w:rPr>
          <w:rFonts w:ascii="Calibri Light" w:hAnsi="Calibri Light" w:cs="SegoeUI"/>
        </w:rPr>
        <w:t>p</w:t>
      </w:r>
      <w:r w:rsidR="00DA4A1E" w:rsidRPr="00632DE4">
        <w:rPr>
          <w:rFonts w:ascii="Calibri Light" w:hAnsi="Calibri Light" w:cs="SegoeUI"/>
        </w:rPr>
        <w:t>rinciples</w:t>
      </w:r>
      <w:r w:rsidR="006A2D9E">
        <w:rPr>
          <w:rFonts w:ascii="Calibri Light" w:hAnsi="Calibri Light" w:cs="SegoeUI"/>
        </w:rPr>
        <w:t xml:space="preserve"> and construction standards</w:t>
      </w:r>
      <w:r w:rsidR="00DA4A1E" w:rsidRPr="00632DE4">
        <w:rPr>
          <w:rFonts w:ascii="Calibri Light" w:hAnsi="Calibri Light" w:cs="SegoeUI"/>
        </w:rPr>
        <w:t>, expansion of private sector response capacity and community preparedness activities</w:t>
      </w:r>
      <w:r w:rsidR="00DA4A1E" w:rsidRPr="00632DE4">
        <w:rPr>
          <w:rStyle w:val="FootnoteReference"/>
          <w:rFonts w:ascii="Calibri Light" w:hAnsi="Calibri Light" w:cs="SegoeUI"/>
        </w:rPr>
        <w:footnoteReference w:id="30"/>
      </w:r>
      <w:r w:rsidR="00DA4A1E" w:rsidRPr="00632DE4">
        <w:rPr>
          <w:rFonts w:ascii="Calibri Light" w:hAnsi="Calibri Light" w:cs="SegoeUI"/>
        </w:rPr>
        <w:t>,</w:t>
      </w:r>
      <w:r w:rsidR="005D49BF">
        <w:rPr>
          <w:rFonts w:ascii="Calibri Light" w:hAnsi="Calibri Light" w:cs="SegoeUI"/>
        </w:rPr>
        <w:t xml:space="preserve"> </w:t>
      </w:r>
      <w:r w:rsidR="005A2579">
        <w:rPr>
          <w:rFonts w:ascii="Calibri Light" w:hAnsi="Calibri Light" w:cs="SegoeUI"/>
        </w:rPr>
        <w:t>will</w:t>
      </w:r>
      <w:r w:rsidR="00AB0B23">
        <w:rPr>
          <w:rFonts w:ascii="Calibri Light" w:hAnsi="Calibri Light" w:cs="SegoeUI"/>
        </w:rPr>
        <w:t xml:space="preserve"> </w:t>
      </w:r>
      <w:r w:rsidR="005A2579">
        <w:rPr>
          <w:rFonts w:ascii="Calibri Light" w:hAnsi="Calibri Light" w:cs="SegoeUI"/>
        </w:rPr>
        <w:t xml:space="preserve">help to </w:t>
      </w:r>
      <w:r w:rsidR="00AB0B23">
        <w:rPr>
          <w:rFonts w:ascii="Calibri Light" w:hAnsi="Calibri Light" w:cs="SegoeUI"/>
        </w:rPr>
        <w:t>better</w:t>
      </w:r>
      <w:r w:rsidR="006A2D9E" w:rsidRPr="00632DE4">
        <w:rPr>
          <w:rFonts w:ascii="Calibri Light" w:hAnsi="Calibri Light" w:cs="SegoeUI"/>
        </w:rPr>
        <w:t xml:space="preserve"> position</w:t>
      </w:r>
      <w:r w:rsidR="0037261C">
        <w:rPr>
          <w:rFonts w:ascii="Calibri Light" w:hAnsi="Calibri Light" w:cs="SegoeUI"/>
        </w:rPr>
        <w:t xml:space="preserve"> Vanuatu</w:t>
      </w:r>
      <w:r w:rsidR="006A2D9E" w:rsidRPr="00632DE4">
        <w:rPr>
          <w:rFonts w:ascii="Calibri Light" w:hAnsi="Calibri Light" w:cs="SegoeUI"/>
        </w:rPr>
        <w:t xml:space="preserve"> to respond </w:t>
      </w:r>
      <w:r w:rsidR="006A2D9E">
        <w:rPr>
          <w:rFonts w:ascii="Calibri Light" w:hAnsi="Calibri Light" w:cs="SegoeUI"/>
        </w:rPr>
        <w:t xml:space="preserve">to </w:t>
      </w:r>
      <w:r w:rsidR="00F10258">
        <w:rPr>
          <w:rFonts w:ascii="Calibri Light" w:hAnsi="Calibri Light" w:cs="SegoeUI"/>
        </w:rPr>
        <w:t>future natural disasters</w:t>
      </w:r>
      <w:r w:rsidR="00DA4A1E" w:rsidRPr="00632DE4">
        <w:rPr>
          <w:rFonts w:ascii="Calibri Light" w:hAnsi="Calibri Light" w:cs="SegoeUI"/>
        </w:rPr>
        <w:t>.</w:t>
      </w:r>
    </w:p>
    <w:p w:rsidR="00AA71B9" w:rsidRDefault="00AA71B9" w:rsidP="00632DE4">
      <w:pPr>
        <w:autoSpaceDE w:val="0"/>
        <w:autoSpaceDN w:val="0"/>
        <w:adjustRightInd w:val="0"/>
        <w:spacing w:before="0" w:after="0" w:line="240" w:lineRule="auto"/>
        <w:rPr>
          <w:rFonts w:ascii="Calibri Light" w:hAnsi="Calibri Light" w:cs="Calibri"/>
          <w:b/>
        </w:rPr>
      </w:pPr>
    </w:p>
    <w:p w:rsidR="00DA4A1E" w:rsidRPr="00632DE4" w:rsidRDefault="00DA4A1E" w:rsidP="00632DE4">
      <w:pPr>
        <w:autoSpaceDE w:val="0"/>
        <w:autoSpaceDN w:val="0"/>
        <w:adjustRightInd w:val="0"/>
        <w:spacing w:before="0" w:after="0" w:line="240" w:lineRule="auto"/>
        <w:rPr>
          <w:rFonts w:ascii="Calibri Light" w:hAnsi="Calibri Light" w:cs="Calibri"/>
          <w:b/>
        </w:rPr>
      </w:pPr>
      <w:r w:rsidRPr="00632DE4">
        <w:rPr>
          <w:rFonts w:ascii="Calibri Light" w:hAnsi="Calibri Light" w:cs="Calibri"/>
          <w:b/>
        </w:rPr>
        <w:t>Ambae Island</w:t>
      </w:r>
      <w:r w:rsidR="006A2D9E">
        <w:rPr>
          <w:rFonts w:ascii="Calibri Light" w:hAnsi="Calibri Light" w:cs="Calibri"/>
          <w:b/>
        </w:rPr>
        <w:t xml:space="preserve"> Volcano</w:t>
      </w:r>
      <w:r w:rsidRPr="00632DE4">
        <w:rPr>
          <w:rFonts w:ascii="Calibri Light" w:hAnsi="Calibri Light" w:cs="Calibri"/>
          <w:b/>
        </w:rPr>
        <w:t xml:space="preserve"> Response</w:t>
      </w:r>
    </w:p>
    <w:p w:rsidR="0037261C" w:rsidRDefault="00DA4A1E" w:rsidP="00632DE4">
      <w:pPr>
        <w:autoSpaceDE w:val="0"/>
        <w:autoSpaceDN w:val="0"/>
        <w:adjustRightInd w:val="0"/>
        <w:spacing w:before="0" w:after="0" w:line="240" w:lineRule="auto"/>
        <w:rPr>
          <w:rFonts w:ascii="Calibri Light" w:hAnsi="Calibri Light"/>
          <w:lang w:val="en-US"/>
        </w:rPr>
      </w:pPr>
      <w:r w:rsidRPr="00632DE4">
        <w:rPr>
          <w:rFonts w:ascii="Calibri Light" w:hAnsi="Calibri Light" w:cs="Calibri"/>
        </w:rPr>
        <w:t xml:space="preserve">Australia </w:t>
      </w:r>
      <w:r w:rsidRPr="00632DE4">
        <w:rPr>
          <w:rFonts w:ascii="Calibri Light" w:hAnsi="Calibri Light"/>
          <w:lang w:val="en-US"/>
        </w:rPr>
        <w:t xml:space="preserve">supported GoV to deliver humanitarian assistance for over 10,000 people on Ambae Island in response to escalating volcanic activity since September 2017. </w:t>
      </w:r>
      <w:r w:rsidRPr="00632DE4">
        <w:rPr>
          <w:rFonts w:ascii="Calibri Light" w:hAnsi="Calibri Light" w:cs="Calibri"/>
        </w:rPr>
        <w:t xml:space="preserve">Australia leveraged strong relationships with GoV and used existing </w:t>
      </w:r>
      <w:r w:rsidR="00301CD6">
        <w:rPr>
          <w:rFonts w:ascii="Calibri Light" w:hAnsi="Calibri Light" w:cs="Calibri"/>
        </w:rPr>
        <w:t xml:space="preserve">partners and </w:t>
      </w:r>
      <w:r w:rsidRPr="00632DE4">
        <w:rPr>
          <w:rFonts w:ascii="Calibri Light" w:hAnsi="Calibri Light" w:cs="Calibri"/>
        </w:rPr>
        <w:t xml:space="preserve">funding mechanisms to </w:t>
      </w:r>
      <w:r w:rsidR="00301CD6">
        <w:rPr>
          <w:rFonts w:ascii="Calibri Light" w:hAnsi="Calibri Light" w:cs="Calibri"/>
        </w:rPr>
        <w:t xml:space="preserve">deliver </w:t>
      </w:r>
      <w:r w:rsidR="00E36C94">
        <w:rPr>
          <w:rFonts w:ascii="Calibri Light" w:hAnsi="Calibri Light" w:cs="Calibri"/>
        </w:rPr>
        <w:t>assistance</w:t>
      </w:r>
      <w:r w:rsidRPr="00632DE4">
        <w:rPr>
          <w:rFonts w:ascii="Calibri Light" w:hAnsi="Calibri Light" w:cs="Calibri"/>
        </w:rPr>
        <w:t xml:space="preserve">. Prepositioned humanitarian supplies were released within 48 hours of GoV’s request and Australian Defence Force assets mobilised </w:t>
      </w:r>
      <w:r w:rsidR="00A002B0">
        <w:rPr>
          <w:rFonts w:ascii="Calibri Light" w:hAnsi="Calibri Light" w:cs="Calibri"/>
        </w:rPr>
        <w:t>to support</w:t>
      </w:r>
      <w:r w:rsidRPr="00632DE4">
        <w:rPr>
          <w:rFonts w:ascii="Calibri Light" w:hAnsi="Calibri Light" w:cs="Calibri"/>
        </w:rPr>
        <w:t xml:space="preserve"> needs assessments and transportation of life-saving supplies within 10 days.  </w:t>
      </w:r>
      <w:r w:rsidRPr="00632DE4">
        <w:rPr>
          <w:rFonts w:ascii="Calibri Light" w:hAnsi="Calibri Light"/>
          <w:lang w:val="en-US"/>
        </w:rPr>
        <w:t xml:space="preserve">Australia’s </w:t>
      </w:r>
    </w:p>
    <w:p w:rsidR="00DA4A1E" w:rsidRDefault="00DA4A1E" w:rsidP="00632DE4">
      <w:pPr>
        <w:autoSpaceDE w:val="0"/>
        <w:autoSpaceDN w:val="0"/>
        <w:adjustRightInd w:val="0"/>
        <w:spacing w:before="0" w:after="0" w:line="240" w:lineRule="auto"/>
        <w:rPr>
          <w:rFonts w:ascii="Calibri Light" w:hAnsi="Calibri Light" w:cs="Calibri"/>
        </w:rPr>
      </w:pPr>
      <w:r w:rsidRPr="00632DE4">
        <w:rPr>
          <w:rFonts w:ascii="Calibri Light" w:hAnsi="Calibri Light"/>
          <w:lang w:val="en-US"/>
        </w:rPr>
        <w:t>$3.55 million commitment included distribution of relief supplies, relocation</w:t>
      </w:r>
      <w:r w:rsidR="00226C27">
        <w:rPr>
          <w:rFonts w:ascii="Calibri Light" w:hAnsi="Calibri Light"/>
          <w:lang w:val="en-US"/>
        </w:rPr>
        <w:t xml:space="preserve"> of people </w:t>
      </w:r>
      <w:r w:rsidRPr="00632DE4">
        <w:rPr>
          <w:rFonts w:ascii="Calibri Light" w:hAnsi="Calibri Light"/>
          <w:lang w:val="en-US"/>
        </w:rPr>
        <w:t xml:space="preserve">to neighbouring islands, support for government and </w:t>
      </w:r>
      <w:r w:rsidR="00226C27">
        <w:rPr>
          <w:rFonts w:ascii="Calibri Light" w:hAnsi="Calibri Light"/>
          <w:lang w:val="en-US"/>
        </w:rPr>
        <w:t>NGO</w:t>
      </w:r>
      <w:r w:rsidRPr="00632DE4">
        <w:rPr>
          <w:rFonts w:ascii="Calibri Light" w:hAnsi="Calibri Light"/>
          <w:lang w:val="en-US"/>
        </w:rPr>
        <w:t xml:space="preserve">s to </w:t>
      </w:r>
      <w:r w:rsidR="00226C27">
        <w:rPr>
          <w:rFonts w:ascii="Calibri Light" w:hAnsi="Calibri Light"/>
          <w:lang w:val="en-US"/>
        </w:rPr>
        <w:t>provide core</w:t>
      </w:r>
      <w:r w:rsidRPr="00632DE4">
        <w:rPr>
          <w:rFonts w:ascii="Calibri Light" w:hAnsi="Calibri Light"/>
          <w:lang w:val="en-US"/>
        </w:rPr>
        <w:t xml:space="preserve"> services such as education</w:t>
      </w:r>
      <w:r w:rsidR="00344180">
        <w:rPr>
          <w:rFonts w:ascii="Calibri Light" w:hAnsi="Calibri Light"/>
          <w:lang w:val="en-US"/>
        </w:rPr>
        <w:t>,</w:t>
      </w:r>
      <w:r w:rsidRPr="00632DE4">
        <w:rPr>
          <w:rFonts w:ascii="Calibri Light" w:hAnsi="Calibri Light"/>
          <w:lang w:val="en-US"/>
        </w:rPr>
        <w:t xml:space="preserve"> healthcare, water and sanitation, and provision of</w:t>
      </w:r>
      <w:r w:rsidRPr="00632DE4">
        <w:rPr>
          <w:rFonts w:ascii="Calibri Light" w:hAnsi="Calibri Light"/>
        </w:rPr>
        <w:t xml:space="preserve"> disaster management and resettlement experts to work with Vanuatu’s National Disaster Management Office</w:t>
      </w:r>
      <w:r w:rsidRPr="00370C63">
        <w:rPr>
          <w:rFonts w:ascii="Calibri Light" w:hAnsi="Calibri Light"/>
        </w:rPr>
        <w:t xml:space="preserve">. </w:t>
      </w:r>
      <w:r w:rsidR="00370C63" w:rsidRPr="00370C63">
        <w:rPr>
          <w:rFonts w:ascii="Calibri Light" w:hAnsi="Calibri Light" w:cs="Calibri"/>
        </w:rPr>
        <w:t xml:space="preserve">A </w:t>
      </w:r>
      <w:r w:rsidR="002C7250">
        <w:rPr>
          <w:rFonts w:ascii="Calibri Light" w:hAnsi="Calibri Light" w:cs="Calibri"/>
        </w:rPr>
        <w:t>r</w:t>
      </w:r>
      <w:r w:rsidR="00370C63" w:rsidRPr="00370C63">
        <w:rPr>
          <w:rFonts w:ascii="Calibri Light" w:hAnsi="Calibri Light" w:cs="Calibri"/>
        </w:rPr>
        <w:t xml:space="preserve">apid </w:t>
      </w:r>
      <w:r w:rsidR="002C7250">
        <w:rPr>
          <w:rFonts w:ascii="Calibri Light" w:hAnsi="Calibri Light" w:cs="Calibri"/>
        </w:rPr>
        <w:t>r</w:t>
      </w:r>
      <w:r w:rsidR="00370C63" w:rsidRPr="00370C63">
        <w:rPr>
          <w:rFonts w:ascii="Calibri Light" w:hAnsi="Calibri Light" w:cs="Calibri"/>
        </w:rPr>
        <w:t xml:space="preserve">eview of Australia and New Zealand's </w:t>
      </w:r>
      <w:r w:rsidR="002C7250">
        <w:rPr>
          <w:rFonts w:ascii="Calibri Light" w:hAnsi="Calibri Light" w:cs="Calibri"/>
        </w:rPr>
        <w:t>h</w:t>
      </w:r>
      <w:r w:rsidR="00370C63" w:rsidRPr="00370C63">
        <w:rPr>
          <w:rFonts w:ascii="Calibri Light" w:hAnsi="Calibri Light" w:cs="Calibri"/>
        </w:rPr>
        <w:t xml:space="preserve">umanitarian </w:t>
      </w:r>
      <w:r w:rsidR="002C7250">
        <w:rPr>
          <w:rFonts w:ascii="Calibri Light" w:hAnsi="Calibri Light" w:cs="Calibri"/>
        </w:rPr>
        <w:t>a</w:t>
      </w:r>
      <w:r w:rsidR="00370C63" w:rsidRPr="00370C63">
        <w:rPr>
          <w:rFonts w:ascii="Calibri Light" w:hAnsi="Calibri Light" w:cs="Calibri"/>
        </w:rPr>
        <w:t xml:space="preserve">ssistance for the Ambae </w:t>
      </w:r>
      <w:r w:rsidR="002C7250">
        <w:rPr>
          <w:rFonts w:ascii="Calibri Light" w:hAnsi="Calibri Light" w:cs="Calibri"/>
        </w:rPr>
        <w:t>e</w:t>
      </w:r>
      <w:r w:rsidR="00370C63" w:rsidRPr="00370C63">
        <w:rPr>
          <w:rFonts w:ascii="Calibri Light" w:hAnsi="Calibri Light" w:cs="Calibri"/>
        </w:rPr>
        <w:t xml:space="preserve">vacuation (November 2017) concluded </w:t>
      </w:r>
      <w:r w:rsidR="00344180">
        <w:rPr>
          <w:rFonts w:ascii="Calibri Light" w:hAnsi="Calibri Light" w:cs="Calibri"/>
        </w:rPr>
        <w:t>Australia’s</w:t>
      </w:r>
      <w:r w:rsidR="00370C63" w:rsidRPr="00370C63">
        <w:rPr>
          <w:rFonts w:ascii="Calibri Light" w:hAnsi="Calibri Light" w:cs="Calibri"/>
        </w:rPr>
        <w:t xml:space="preserve"> </w:t>
      </w:r>
      <w:r w:rsidR="00370C63" w:rsidRPr="00874DB4">
        <w:rPr>
          <w:rFonts w:ascii="Calibri Light" w:hAnsi="Calibri Light" w:cs="Calibri"/>
        </w:rPr>
        <w:t>engagement and response was timely</w:t>
      </w:r>
      <w:r w:rsidR="00226C27" w:rsidRPr="0037261C">
        <w:rPr>
          <w:rFonts w:ascii="Calibri Light" w:hAnsi="Calibri Light" w:cs="Calibri"/>
        </w:rPr>
        <w:t>,</w:t>
      </w:r>
      <w:r w:rsidR="00370C63" w:rsidRPr="0037261C">
        <w:rPr>
          <w:rFonts w:ascii="Calibri Light" w:hAnsi="Calibri Light" w:cs="Calibri"/>
        </w:rPr>
        <w:t xml:space="preserve"> effective and well managed, support</w:t>
      </w:r>
      <w:r w:rsidR="00344180" w:rsidRPr="0037261C">
        <w:rPr>
          <w:rFonts w:ascii="Calibri Light" w:hAnsi="Calibri Light" w:cs="Calibri"/>
        </w:rPr>
        <w:t>ing</w:t>
      </w:r>
      <w:r w:rsidR="00370C63" w:rsidRPr="0037261C">
        <w:rPr>
          <w:rFonts w:ascii="Calibri Light" w:hAnsi="Calibri Light" w:cs="Calibri"/>
        </w:rPr>
        <w:t xml:space="preserve"> national leadership and capacity. </w:t>
      </w:r>
      <w:r w:rsidR="00344180" w:rsidRPr="005D20F9">
        <w:rPr>
          <w:rFonts w:ascii="Calibri Light" w:hAnsi="Calibri Light" w:cs="Calibri"/>
        </w:rPr>
        <w:t xml:space="preserve">Gender, disability and psychosocial support services delivered through NGOs met key needs, however ongoing advocacy is needed to ensure gender and protection needs are systematically considered </w:t>
      </w:r>
      <w:r w:rsidR="00407A9B" w:rsidRPr="005D20F9">
        <w:rPr>
          <w:rFonts w:ascii="Calibri Light" w:hAnsi="Calibri Light" w:cs="Calibri"/>
        </w:rPr>
        <w:t xml:space="preserve">by GoV </w:t>
      </w:r>
      <w:r w:rsidR="00344180" w:rsidRPr="005D20F9">
        <w:rPr>
          <w:rFonts w:ascii="Calibri Light" w:hAnsi="Calibri Light" w:cs="Calibri"/>
        </w:rPr>
        <w:t>across all response activities.</w:t>
      </w:r>
      <w:r w:rsidR="00344180" w:rsidRPr="00874DB4">
        <w:rPr>
          <w:rFonts w:ascii="Calibri Light" w:hAnsi="Calibri Light" w:cs="Calibri"/>
        </w:rPr>
        <w:t xml:space="preserve"> </w:t>
      </w:r>
      <w:r w:rsidRPr="0037261C">
        <w:rPr>
          <w:rFonts w:ascii="Calibri Light" w:hAnsi="Calibri Light" w:cs="Calibri"/>
        </w:rPr>
        <w:t>Aus</w:t>
      </w:r>
      <w:r w:rsidRPr="0037261C">
        <w:rPr>
          <w:rFonts w:ascii="Calibri Light" w:hAnsi="Calibri Light"/>
        </w:rPr>
        <w:t>tralia</w:t>
      </w:r>
      <w:r w:rsidRPr="00632DE4">
        <w:rPr>
          <w:rFonts w:ascii="Calibri Light" w:hAnsi="Calibri Light"/>
        </w:rPr>
        <w:t xml:space="preserve"> will continue to support </w:t>
      </w:r>
      <w:r w:rsidRPr="00632DE4">
        <w:rPr>
          <w:rFonts w:ascii="Calibri Light" w:hAnsi="Calibri Light" w:cs="Calibri"/>
        </w:rPr>
        <w:t>and reinforce a nationally</w:t>
      </w:r>
      <w:r w:rsidR="00AA71B9">
        <w:rPr>
          <w:rFonts w:ascii="Calibri Light" w:hAnsi="Calibri Light" w:cs="Calibri"/>
        </w:rPr>
        <w:t>-</w:t>
      </w:r>
      <w:r w:rsidRPr="00632DE4">
        <w:rPr>
          <w:rFonts w:ascii="Calibri Light" w:hAnsi="Calibri Light" w:cs="Calibri"/>
        </w:rPr>
        <w:t xml:space="preserve">led response appropriate to the Vanuatu context. </w:t>
      </w:r>
    </w:p>
    <w:p w:rsidR="002A51CA" w:rsidRPr="00632DE4" w:rsidRDefault="002A51CA" w:rsidP="002A51CA">
      <w:pPr>
        <w:pStyle w:val="Heading2"/>
      </w:pPr>
      <w:r w:rsidRPr="00632DE4">
        <w:t>Mutual obligations</w:t>
      </w:r>
    </w:p>
    <w:p w:rsidR="003F3549" w:rsidRPr="00632DE4" w:rsidRDefault="003F3549" w:rsidP="00A41411">
      <w:pPr>
        <w:rPr>
          <w:rFonts w:eastAsia="Times New Roman"/>
        </w:rPr>
      </w:pPr>
      <w:r w:rsidRPr="00632DE4">
        <w:t>The Australia-Vanuatu Aid Partnership Arrangement 2016-19 affirms a series of mutually reinforcing commitments</w:t>
      </w:r>
      <w:r w:rsidR="00A22657" w:rsidRPr="00632DE4">
        <w:t>, including annual partnership dialogues</w:t>
      </w:r>
      <w:r w:rsidR="003C3CD6" w:rsidRPr="00632DE4">
        <w:t xml:space="preserve">. The first High Level Consultations </w:t>
      </w:r>
      <w:r w:rsidR="00B32AE7" w:rsidRPr="00632DE4">
        <w:t xml:space="preserve">(HLCs) </w:t>
      </w:r>
      <w:r w:rsidR="00CC6215" w:rsidRPr="00632DE4">
        <w:t>between Vanuatu and Australia</w:t>
      </w:r>
      <w:r w:rsidR="00407A9B">
        <w:t xml:space="preserve"> </w:t>
      </w:r>
      <w:r w:rsidR="003C3CD6" w:rsidRPr="00632DE4">
        <w:t>since signing the Arrangement were held in November 2017</w:t>
      </w:r>
      <w:r w:rsidR="00A22657" w:rsidRPr="00632DE4">
        <w:t xml:space="preserve">. </w:t>
      </w:r>
      <w:r w:rsidR="00B32AE7" w:rsidRPr="00632DE4">
        <w:t xml:space="preserve">The HLCs reinforced joint responsibility for results and close cooperation based on </w:t>
      </w:r>
      <w:r w:rsidR="00CC6215" w:rsidRPr="00632DE4">
        <w:t>shared priorities. Key commitments for the</w:t>
      </w:r>
      <w:r w:rsidRPr="00632DE4">
        <w:t xml:space="preserve"> </w:t>
      </w:r>
      <w:r w:rsidR="009254B2">
        <w:t>GoV</w:t>
      </w:r>
      <w:r w:rsidRPr="00632DE4">
        <w:t xml:space="preserve"> include</w:t>
      </w:r>
      <w:r w:rsidR="00CC6215" w:rsidRPr="00632DE4">
        <w:t xml:space="preserve"> implementing </w:t>
      </w:r>
      <w:r w:rsidR="00A41411" w:rsidRPr="00632DE4">
        <w:t>Vanuatu’s</w:t>
      </w:r>
      <w:r w:rsidR="00CC6215" w:rsidRPr="00632DE4">
        <w:t xml:space="preserve"> National Gender Equality Policy 2015-19</w:t>
      </w:r>
      <w:r w:rsidR="009254B2">
        <w:t xml:space="preserve"> and</w:t>
      </w:r>
      <w:r w:rsidR="00CC6215" w:rsidRPr="00632DE4">
        <w:t xml:space="preserve"> Health Sector Strategy 2017-20</w:t>
      </w:r>
      <w:r w:rsidR="009A0D75">
        <w:t>,</w:t>
      </w:r>
      <w:r w:rsidR="00A41411" w:rsidRPr="00632DE4">
        <w:t xml:space="preserve"> improving public sector financial and human resource management and strengthening productive sectors to empower rural communities.  </w:t>
      </w:r>
      <w:r w:rsidR="00553073">
        <w:t xml:space="preserve">The Australian Government will </w:t>
      </w:r>
      <w:r w:rsidR="0037261C">
        <w:t xml:space="preserve">continue to </w:t>
      </w:r>
      <w:r w:rsidR="00553073">
        <w:t>provide development support that aligns w</w:t>
      </w:r>
      <w:r w:rsidR="00A41411" w:rsidRPr="00632DE4">
        <w:t xml:space="preserve">ith Vanuatu’s </w:t>
      </w:r>
      <w:r w:rsidR="00A41411" w:rsidRPr="0094193A">
        <w:rPr>
          <w:i/>
        </w:rPr>
        <w:t>NSDP</w:t>
      </w:r>
      <w:r w:rsidR="00197D34" w:rsidRPr="0094193A">
        <w:rPr>
          <w:i/>
        </w:rPr>
        <w:t xml:space="preserve"> 2030</w:t>
      </w:r>
      <w:r w:rsidR="00622F99" w:rsidRPr="00632DE4">
        <w:t xml:space="preserve">, in a </w:t>
      </w:r>
      <w:r w:rsidR="00A41411" w:rsidRPr="00632DE4">
        <w:t>harmonised and</w:t>
      </w:r>
      <w:r w:rsidR="00622F99" w:rsidRPr="00632DE4">
        <w:t xml:space="preserve"> transparent manner that reinforces Vanuatu leadership. B</w:t>
      </w:r>
      <w:r w:rsidR="00A41411" w:rsidRPr="00632DE4">
        <w:t xml:space="preserve">oth partners </w:t>
      </w:r>
      <w:r w:rsidR="0037261C">
        <w:t xml:space="preserve">have </w:t>
      </w:r>
      <w:r w:rsidR="00A41411" w:rsidRPr="00632DE4">
        <w:t>commit</w:t>
      </w:r>
      <w:r w:rsidR="0037261C">
        <w:t>ted</w:t>
      </w:r>
      <w:r w:rsidR="00A41411" w:rsidRPr="00632DE4">
        <w:t xml:space="preserve"> to zero tolerance for fraud and corruption and to mainstream climate </w:t>
      </w:r>
      <w:r w:rsidR="0094193A">
        <w:t xml:space="preserve">change </w:t>
      </w:r>
      <w:r w:rsidR="00A41411" w:rsidRPr="00632DE4">
        <w:t>and disaster resilience activities in aid program delivery.</w:t>
      </w:r>
    </w:p>
    <w:p w:rsidR="002A51CA" w:rsidRPr="00632DE4" w:rsidRDefault="002A51CA" w:rsidP="002A51CA">
      <w:pPr>
        <w:pStyle w:val="Heading2"/>
      </w:pPr>
      <w:r w:rsidRPr="00632DE4">
        <w:t xml:space="preserve">Program Quality and Partner Performance </w:t>
      </w:r>
    </w:p>
    <w:p w:rsidR="002A51CA" w:rsidRPr="00632DE4" w:rsidRDefault="002A51CA" w:rsidP="00632DE4">
      <w:pPr>
        <w:spacing w:before="0" w:after="0"/>
        <w:rPr>
          <w:b/>
          <w:lang w:eastAsia="zh-CN"/>
        </w:rPr>
      </w:pPr>
      <w:r w:rsidRPr="00632DE4">
        <w:rPr>
          <w:b/>
          <w:lang w:eastAsia="zh-CN"/>
        </w:rPr>
        <w:t>Overview</w:t>
      </w:r>
      <w:r w:rsidRPr="00632DE4">
        <w:rPr>
          <w:b/>
          <w:lang w:eastAsia="zh-CN"/>
        </w:rPr>
        <w:tab/>
      </w:r>
      <w:r w:rsidRPr="00632DE4">
        <w:rPr>
          <w:b/>
          <w:lang w:eastAsia="zh-CN"/>
        </w:rPr>
        <w:tab/>
      </w:r>
    </w:p>
    <w:p w:rsidR="00AF1F65" w:rsidRPr="00632DE4" w:rsidRDefault="00E7248D" w:rsidP="00632DE4">
      <w:pPr>
        <w:spacing w:before="0" w:after="0"/>
        <w:rPr>
          <w:rFonts w:ascii="Calibri Light" w:hAnsi="Calibri Light"/>
        </w:rPr>
      </w:pPr>
      <w:r w:rsidRPr="00632DE4">
        <w:rPr>
          <w:rFonts w:ascii="Calibri Light" w:hAnsi="Calibri Light"/>
        </w:rPr>
        <w:t xml:space="preserve">The program </w:t>
      </w:r>
      <w:r w:rsidR="0037261C">
        <w:rPr>
          <w:rFonts w:ascii="Calibri Light" w:hAnsi="Calibri Light"/>
        </w:rPr>
        <w:t xml:space="preserve">is </w:t>
      </w:r>
      <w:r w:rsidRPr="00632DE4">
        <w:rPr>
          <w:rFonts w:ascii="Calibri Light" w:hAnsi="Calibri Light"/>
        </w:rPr>
        <w:t>invest</w:t>
      </w:r>
      <w:r w:rsidR="0037261C">
        <w:rPr>
          <w:rFonts w:ascii="Calibri Light" w:hAnsi="Calibri Light"/>
        </w:rPr>
        <w:t>ing</w:t>
      </w:r>
      <w:r w:rsidRPr="00632DE4">
        <w:rPr>
          <w:rFonts w:ascii="Calibri Light" w:hAnsi="Calibri Light"/>
        </w:rPr>
        <w:t xml:space="preserve"> in collection of quality performance information. </w:t>
      </w:r>
      <w:r w:rsidR="009254B2" w:rsidRPr="00632DE4" w:rsidDel="009254B2">
        <w:rPr>
          <w:rFonts w:ascii="Calibri Light" w:hAnsi="Calibri Light"/>
        </w:rPr>
        <w:t xml:space="preserve"> </w:t>
      </w:r>
      <w:r w:rsidR="009254B2">
        <w:rPr>
          <w:rFonts w:ascii="Calibri Light" w:hAnsi="Calibri Light"/>
        </w:rPr>
        <w:t>P</w:t>
      </w:r>
      <w:r w:rsidRPr="00632DE4">
        <w:rPr>
          <w:rFonts w:ascii="Calibri Light" w:hAnsi="Calibri Light"/>
        </w:rPr>
        <w:t xml:space="preserve">rograms </w:t>
      </w:r>
      <w:r w:rsidR="00E36C94">
        <w:rPr>
          <w:rFonts w:ascii="Calibri Light" w:hAnsi="Calibri Light"/>
        </w:rPr>
        <w:t>systematically collect</w:t>
      </w:r>
      <w:r w:rsidRPr="00632DE4">
        <w:rPr>
          <w:rFonts w:ascii="Calibri Light" w:hAnsi="Calibri Light"/>
        </w:rPr>
        <w:t xml:space="preserve"> data, typically in partnership </w:t>
      </w:r>
      <w:r w:rsidRPr="00874DB4">
        <w:rPr>
          <w:rFonts w:ascii="Calibri Light" w:hAnsi="Calibri Light"/>
        </w:rPr>
        <w:t>with</w:t>
      </w:r>
      <w:r w:rsidR="00AB0B23">
        <w:rPr>
          <w:rFonts w:ascii="Calibri Light" w:hAnsi="Calibri Light"/>
        </w:rPr>
        <w:t xml:space="preserve"> Go</w:t>
      </w:r>
      <w:r w:rsidRPr="00874DB4">
        <w:rPr>
          <w:rFonts w:ascii="Calibri Light" w:hAnsi="Calibri Light"/>
        </w:rPr>
        <w:t>V</w:t>
      </w:r>
      <w:r w:rsidR="00407A9B" w:rsidRPr="0037261C">
        <w:rPr>
          <w:rFonts w:ascii="Calibri Light" w:hAnsi="Calibri Light"/>
        </w:rPr>
        <w:t>: t</w:t>
      </w:r>
      <w:r w:rsidRPr="0037261C">
        <w:rPr>
          <w:rFonts w:ascii="Calibri Light" w:hAnsi="Calibri Light"/>
        </w:rPr>
        <w:t>he M</w:t>
      </w:r>
      <w:r w:rsidR="00617C28" w:rsidRPr="0037261C">
        <w:rPr>
          <w:rFonts w:ascii="Calibri Light" w:hAnsi="Calibri Light"/>
        </w:rPr>
        <w:t>oET</w:t>
      </w:r>
      <w:r w:rsidR="00553073" w:rsidRPr="0037261C">
        <w:rPr>
          <w:rFonts w:ascii="Calibri Light" w:hAnsi="Calibri Light"/>
        </w:rPr>
        <w:t>’s</w:t>
      </w:r>
      <w:r w:rsidR="00AB0B23">
        <w:rPr>
          <w:rFonts w:ascii="Calibri Light" w:hAnsi="Calibri Light"/>
        </w:rPr>
        <w:t xml:space="preserve"> i</w:t>
      </w:r>
      <w:r w:rsidR="00553073" w:rsidRPr="0037261C">
        <w:rPr>
          <w:rFonts w:ascii="Calibri Light" w:hAnsi="Calibri Light"/>
        </w:rPr>
        <w:t>nformat</w:t>
      </w:r>
      <w:r w:rsidRPr="0037261C">
        <w:rPr>
          <w:rFonts w:ascii="Calibri Light" w:hAnsi="Calibri Light"/>
        </w:rPr>
        <w:t xml:space="preserve">ion </w:t>
      </w:r>
      <w:r w:rsidR="00AB0B23">
        <w:rPr>
          <w:rFonts w:ascii="Calibri Light" w:hAnsi="Calibri Light"/>
        </w:rPr>
        <w:t>s</w:t>
      </w:r>
      <w:r w:rsidRPr="0037261C">
        <w:rPr>
          <w:rFonts w:ascii="Calibri Light" w:hAnsi="Calibri Light"/>
        </w:rPr>
        <w:t>ystem</w:t>
      </w:r>
      <w:r w:rsidR="00553073" w:rsidRPr="0037261C">
        <w:rPr>
          <w:rFonts w:ascii="Calibri Light" w:hAnsi="Calibri Light"/>
        </w:rPr>
        <w:t xml:space="preserve"> </w:t>
      </w:r>
      <w:r w:rsidRPr="0037261C">
        <w:rPr>
          <w:rFonts w:ascii="Calibri Light" w:hAnsi="Calibri Light"/>
        </w:rPr>
        <w:t>is used by Australia and other donors</w:t>
      </w:r>
      <w:r w:rsidR="009254B2">
        <w:rPr>
          <w:rFonts w:ascii="Calibri Light" w:hAnsi="Calibri Light"/>
        </w:rPr>
        <w:t xml:space="preserve">; </w:t>
      </w:r>
      <w:r w:rsidR="00407A9B" w:rsidRPr="0037261C">
        <w:rPr>
          <w:rFonts w:ascii="Calibri Light" w:hAnsi="Calibri Light"/>
        </w:rPr>
        <w:t xml:space="preserve"> </w:t>
      </w:r>
      <w:r w:rsidR="00C62793">
        <w:rPr>
          <w:rFonts w:ascii="Calibri Light" w:hAnsi="Calibri Light"/>
        </w:rPr>
        <w:t xml:space="preserve">and </w:t>
      </w:r>
      <w:r w:rsidR="00407A9B" w:rsidRPr="0037261C">
        <w:rPr>
          <w:rFonts w:ascii="Calibri Light" w:hAnsi="Calibri Light"/>
        </w:rPr>
        <w:t>t</w:t>
      </w:r>
      <w:r w:rsidRPr="005D20F9">
        <w:rPr>
          <w:rFonts w:ascii="Calibri Light" w:hAnsi="Calibri Light"/>
        </w:rPr>
        <w:t>he P</w:t>
      </w:r>
      <w:r w:rsidR="00553073" w:rsidRPr="005D20F9">
        <w:rPr>
          <w:rFonts w:ascii="Calibri Light" w:hAnsi="Calibri Light"/>
        </w:rPr>
        <w:t>MO</w:t>
      </w:r>
      <w:r w:rsidRPr="005D20F9">
        <w:rPr>
          <w:rFonts w:ascii="Calibri Light" w:hAnsi="Calibri Light"/>
        </w:rPr>
        <w:t xml:space="preserve"> developed </w:t>
      </w:r>
      <w:r w:rsidR="00C62793">
        <w:rPr>
          <w:rFonts w:ascii="Calibri Light" w:hAnsi="Calibri Light"/>
        </w:rPr>
        <w:t xml:space="preserve">and resourced </w:t>
      </w:r>
      <w:r w:rsidRPr="005D20F9">
        <w:rPr>
          <w:rFonts w:ascii="Calibri Light" w:hAnsi="Calibri Light"/>
        </w:rPr>
        <w:t xml:space="preserve">a monitoring </w:t>
      </w:r>
      <w:r w:rsidR="00C62793">
        <w:rPr>
          <w:rFonts w:ascii="Calibri Light" w:hAnsi="Calibri Light"/>
        </w:rPr>
        <w:t>system</w:t>
      </w:r>
      <w:r w:rsidRPr="005D20F9">
        <w:rPr>
          <w:rFonts w:ascii="Calibri Light" w:hAnsi="Calibri Light"/>
        </w:rPr>
        <w:t xml:space="preserve"> for the </w:t>
      </w:r>
      <w:r w:rsidRPr="005D20F9">
        <w:rPr>
          <w:rFonts w:ascii="Calibri Light" w:hAnsi="Calibri Light"/>
          <w:i/>
        </w:rPr>
        <w:t>NSDP</w:t>
      </w:r>
      <w:r w:rsidR="00197D34" w:rsidRPr="005D20F9">
        <w:rPr>
          <w:rFonts w:ascii="Calibri Light" w:hAnsi="Calibri Light"/>
          <w:i/>
        </w:rPr>
        <w:t xml:space="preserve"> 2030</w:t>
      </w:r>
      <w:r w:rsidRPr="005D20F9">
        <w:rPr>
          <w:rFonts w:ascii="Calibri Light" w:hAnsi="Calibri Light"/>
        </w:rPr>
        <w:t>, which Vanuatu and Australia</w:t>
      </w:r>
      <w:r w:rsidR="00E36C94" w:rsidRPr="005D20F9">
        <w:rPr>
          <w:rFonts w:ascii="Calibri Light" w:hAnsi="Calibri Light"/>
        </w:rPr>
        <w:t xml:space="preserve"> use</w:t>
      </w:r>
      <w:r w:rsidRPr="005D20F9">
        <w:rPr>
          <w:rFonts w:ascii="Calibri Light" w:hAnsi="Calibri Light"/>
        </w:rPr>
        <w:t>.  </w:t>
      </w:r>
      <w:r w:rsidR="00407A9B" w:rsidRPr="005D20F9">
        <w:rPr>
          <w:rFonts w:ascii="Calibri Light" w:hAnsi="Calibri Light"/>
        </w:rPr>
        <w:t>While</w:t>
      </w:r>
      <w:r w:rsidR="00031446" w:rsidRPr="005D20F9">
        <w:rPr>
          <w:rFonts w:ascii="Calibri Light" w:hAnsi="Calibri Light"/>
        </w:rPr>
        <w:t xml:space="preserve"> </w:t>
      </w:r>
      <w:r w:rsidR="00180ADD" w:rsidRPr="005D20F9">
        <w:rPr>
          <w:rFonts w:ascii="Calibri Light" w:hAnsi="Calibri Light"/>
        </w:rPr>
        <w:t>implementation challenges remain,</w:t>
      </w:r>
      <w:r w:rsidR="00180ADD" w:rsidRPr="00874DB4">
        <w:rPr>
          <w:rFonts w:ascii="Calibri Light" w:hAnsi="Calibri Light"/>
        </w:rPr>
        <w:t xml:space="preserve"> t</w:t>
      </w:r>
      <w:r w:rsidRPr="0037261C">
        <w:rPr>
          <w:rFonts w:ascii="Calibri Light" w:hAnsi="Calibri Light"/>
        </w:rPr>
        <w:t xml:space="preserve">his progress has enabled Australia to select a number of </w:t>
      </w:r>
      <w:r w:rsidRPr="0037261C">
        <w:rPr>
          <w:rFonts w:ascii="Calibri Light" w:hAnsi="Calibri Light"/>
          <w:i/>
        </w:rPr>
        <w:t>NSDP</w:t>
      </w:r>
      <w:r w:rsidR="00197D34" w:rsidRPr="0037261C">
        <w:rPr>
          <w:rFonts w:ascii="Calibri Light" w:hAnsi="Calibri Light"/>
          <w:i/>
        </w:rPr>
        <w:t xml:space="preserve"> 2030</w:t>
      </w:r>
      <w:r w:rsidRPr="0037261C">
        <w:rPr>
          <w:rFonts w:ascii="Calibri Light" w:hAnsi="Calibri Light"/>
        </w:rPr>
        <w:t xml:space="preserve"> indicators for use in </w:t>
      </w:r>
      <w:r w:rsidR="00197D34" w:rsidRPr="0037261C">
        <w:rPr>
          <w:rFonts w:ascii="Calibri Light" w:hAnsi="Calibri Light"/>
        </w:rPr>
        <w:t>our</w:t>
      </w:r>
      <w:r w:rsidRPr="0037261C">
        <w:rPr>
          <w:rFonts w:ascii="Calibri Light" w:hAnsi="Calibri Light"/>
        </w:rPr>
        <w:t xml:space="preserve"> Aid Performance</w:t>
      </w:r>
      <w:r w:rsidRPr="00632DE4">
        <w:rPr>
          <w:rFonts w:ascii="Calibri Light" w:hAnsi="Calibri Light"/>
        </w:rPr>
        <w:t xml:space="preserve"> Assessment Framework (PAF)</w:t>
      </w:r>
      <w:r w:rsidR="00407A9B">
        <w:rPr>
          <w:rFonts w:ascii="Calibri Light" w:hAnsi="Calibri Light"/>
        </w:rPr>
        <w:t>.</w:t>
      </w:r>
      <w:r w:rsidRPr="00632DE4">
        <w:rPr>
          <w:rFonts w:ascii="Calibri Light" w:hAnsi="Calibri Light"/>
        </w:rPr>
        <w:t xml:space="preserve"> </w:t>
      </w:r>
      <w:r w:rsidR="00C62793" w:rsidRPr="00632DE4">
        <w:rPr>
          <w:rFonts w:ascii="Calibri Light" w:hAnsi="Calibri Light"/>
        </w:rPr>
        <w:t xml:space="preserve">This </w:t>
      </w:r>
      <w:r w:rsidR="00C62793">
        <w:rPr>
          <w:rFonts w:ascii="Calibri Light" w:hAnsi="Calibri Light"/>
        </w:rPr>
        <w:t xml:space="preserve">will provide </w:t>
      </w:r>
      <w:r w:rsidR="00C62793" w:rsidRPr="00632DE4">
        <w:rPr>
          <w:rFonts w:ascii="Calibri Light" w:hAnsi="Calibri Light"/>
        </w:rPr>
        <w:t>a shared body of evidence to inform dialogue on economic</w:t>
      </w:r>
      <w:r w:rsidR="00C62793">
        <w:rPr>
          <w:rFonts w:ascii="Calibri Light" w:hAnsi="Calibri Light"/>
        </w:rPr>
        <w:t xml:space="preserve"> and</w:t>
      </w:r>
      <w:r w:rsidR="00C62793" w:rsidRPr="00632DE4">
        <w:rPr>
          <w:rFonts w:ascii="Calibri Light" w:hAnsi="Calibri Light"/>
        </w:rPr>
        <w:t xml:space="preserve"> </w:t>
      </w:r>
      <w:r w:rsidR="00C62793">
        <w:rPr>
          <w:rFonts w:ascii="Calibri Light" w:hAnsi="Calibri Light"/>
        </w:rPr>
        <w:t>development</w:t>
      </w:r>
      <w:r w:rsidR="00C62793" w:rsidRPr="00632DE4">
        <w:rPr>
          <w:rFonts w:ascii="Calibri Light" w:hAnsi="Calibri Light"/>
        </w:rPr>
        <w:t xml:space="preserve"> priorities between governments</w:t>
      </w:r>
      <w:r w:rsidR="00C62793">
        <w:rPr>
          <w:rFonts w:ascii="Calibri Light" w:hAnsi="Calibri Light"/>
        </w:rPr>
        <w:t>.</w:t>
      </w:r>
    </w:p>
    <w:p w:rsidR="001C72CE" w:rsidRDefault="00E7248D" w:rsidP="001F507E">
      <w:pPr>
        <w:spacing w:before="100" w:beforeAutospacing="1" w:after="100" w:afterAutospacing="1"/>
        <w:rPr>
          <w:rFonts w:ascii="Calibri Light" w:hAnsi="Calibri Light"/>
        </w:rPr>
      </w:pPr>
      <w:r w:rsidRPr="00632DE4">
        <w:rPr>
          <w:rFonts w:ascii="Calibri Light" w:hAnsi="Calibri Light"/>
        </w:rPr>
        <w:t xml:space="preserve">PAF development </w:t>
      </w:r>
      <w:r w:rsidR="0037261C">
        <w:rPr>
          <w:rFonts w:ascii="Calibri Light" w:hAnsi="Calibri Light"/>
        </w:rPr>
        <w:t xml:space="preserve">in 2018 </w:t>
      </w:r>
      <w:r w:rsidRPr="00632DE4">
        <w:rPr>
          <w:rFonts w:ascii="Calibri Light" w:hAnsi="Calibri Light"/>
        </w:rPr>
        <w:t xml:space="preserve">identified limitations with the AIP Benchmarks. While </w:t>
      </w:r>
      <w:r w:rsidR="00407A9B">
        <w:rPr>
          <w:rFonts w:ascii="Calibri Light" w:hAnsi="Calibri Light"/>
        </w:rPr>
        <w:t>most</w:t>
      </w:r>
      <w:r w:rsidRPr="00632DE4">
        <w:rPr>
          <w:rFonts w:ascii="Calibri Light" w:hAnsi="Calibri Light"/>
        </w:rPr>
        <w:t xml:space="preserve"> </w:t>
      </w:r>
      <w:r w:rsidR="00553073">
        <w:rPr>
          <w:rFonts w:ascii="Calibri Light" w:hAnsi="Calibri Light"/>
        </w:rPr>
        <w:t>benchmarks</w:t>
      </w:r>
      <w:r w:rsidRPr="00632DE4">
        <w:rPr>
          <w:rFonts w:ascii="Calibri Light" w:hAnsi="Calibri Light"/>
        </w:rPr>
        <w:t xml:space="preserve"> remain relevant, </w:t>
      </w:r>
      <w:r w:rsidR="00C62793">
        <w:rPr>
          <w:rFonts w:ascii="Calibri Light" w:hAnsi="Calibri Light"/>
        </w:rPr>
        <w:t>some</w:t>
      </w:r>
      <w:r w:rsidRPr="00632DE4">
        <w:rPr>
          <w:rFonts w:ascii="Calibri Light" w:hAnsi="Calibri Light"/>
        </w:rPr>
        <w:t xml:space="preserve"> </w:t>
      </w:r>
      <w:r w:rsidR="00407A9B">
        <w:rPr>
          <w:rFonts w:ascii="Calibri Light" w:hAnsi="Calibri Light"/>
        </w:rPr>
        <w:t>were</w:t>
      </w:r>
      <w:r w:rsidRPr="00632DE4">
        <w:rPr>
          <w:rFonts w:ascii="Calibri Light" w:hAnsi="Calibri Light"/>
        </w:rPr>
        <w:t xml:space="preserve"> considered redundant. The PAF also responds to </w:t>
      </w:r>
      <w:r w:rsidR="00197D34">
        <w:rPr>
          <w:rFonts w:ascii="Calibri Light" w:hAnsi="Calibri Light"/>
        </w:rPr>
        <w:t>DFAT’s Office of Development Effectiveness</w:t>
      </w:r>
      <w:r w:rsidRPr="00632DE4">
        <w:rPr>
          <w:rFonts w:ascii="Calibri Light" w:hAnsi="Calibri Light"/>
        </w:rPr>
        <w:t xml:space="preserve"> assessment of the 2016-17 Vanuatu APPR, which identified the </w:t>
      </w:r>
      <w:r w:rsidR="005012F6">
        <w:rPr>
          <w:rFonts w:ascii="Calibri Light" w:hAnsi="Calibri Light"/>
        </w:rPr>
        <w:t>b</w:t>
      </w:r>
      <w:r w:rsidR="00E36C94">
        <w:rPr>
          <w:rFonts w:ascii="Calibri Light" w:hAnsi="Calibri Light"/>
        </w:rPr>
        <w:t>enchmarks</w:t>
      </w:r>
      <w:r w:rsidR="00E36C94" w:rsidRPr="00632DE4">
        <w:rPr>
          <w:rFonts w:ascii="Calibri Light" w:hAnsi="Calibri Light"/>
        </w:rPr>
        <w:t xml:space="preserve"> </w:t>
      </w:r>
      <w:r w:rsidRPr="00632DE4">
        <w:rPr>
          <w:rFonts w:ascii="Calibri Light" w:hAnsi="Calibri Light"/>
        </w:rPr>
        <w:t xml:space="preserve">should represent the breadth of </w:t>
      </w:r>
      <w:r w:rsidR="00C62793">
        <w:rPr>
          <w:rFonts w:ascii="Calibri Light" w:hAnsi="Calibri Light"/>
        </w:rPr>
        <w:t xml:space="preserve">program </w:t>
      </w:r>
      <w:r w:rsidRPr="00632DE4">
        <w:rPr>
          <w:rFonts w:ascii="Calibri Light" w:hAnsi="Calibri Light"/>
        </w:rPr>
        <w:t xml:space="preserve">investments. </w:t>
      </w:r>
      <w:r w:rsidR="002C7250">
        <w:rPr>
          <w:rFonts w:ascii="Calibri Light" w:hAnsi="Calibri Light"/>
        </w:rPr>
        <w:t>The new PAF</w:t>
      </w:r>
      <w:r w:rsidRPr="00632DE4">
        <w:rPr>
          <w:rFonts w:ascii="Calibri Light" w:hAnsi="Calibri Light"/>
        </w:rPr>
        <w:t xml:space="preserve"> more clearly define</w:t>
      </w:r>
      <w:r w:rsidR="00197D34">
        <w:rPr>
          <w:rFonts w:ascii="Calibri Light" w:hAnsi="Calibri Light"/>
        </w:rPr>
        <w:t>s</w:t>
      </w:r>
      <w:r w:rsidRPr="00632DE4">
        <w:rPr>
          <w:rFonts w:ascii="Calibri Light" w:hAnsi="Calibri Light"/>
        </w:rPr>
        <w:t xml:space="preserve"> expected targets, include</w:t>
      </w:r>
      <w:r w:rsidR="00197D34">
        <w:rPr>
          <w:rFonts w:ascii="Calibri Light" w:hAnsi="Calibri Light"/>
        </w:rPr>
        <w:t>s</w:t>
      </w:r>
      <w:r w:rsidRPr="00632DE4">
        <w:rPr>
          <w:rFonts w:ascii="Calibri Light" w:hAnsi="Calibri Light"/>
        </w:rPr>
        <w:t xml:space="preserve"> sex</w:t>
      </w:r>
      <w:r w:rsidR="00E36C94">
        <w:rPr>
          <w:rFonts w:ascii="Calibri Light" w:hAnsi="Calibri Light"/>
        </w:rPr>
        <w:t>-</w:t>
      </w:r>
      <w:r w:rsidRPr="00632DE4">
        <w:rPr>
          <w:rFonts w:ascii="Calibri Light" w:hAnsi="Calibri Light"/>
        </w:rPr>
        <w:t>disaggregated data and harmonise</w:t>
      </w:r>
      <w:r w:rsidR="00197D34">
        <w:rPr>
          <w:rFonts w:ascii="Calibri Light" w:hAnsi="Calibri Light"/>
        </w:rPr>
        <w:t>s</w:t>
      </w:r>
      <w:r w:rsidR="00E36C94">
        <w:rPr>
          <w:rFonts w:ascii="Calibri Light" w:hAnsi="Calibri Light"/>
        </w:rPr>
        <w:t>,</w:t>
      </w:r>
      <w:r w:rsidR="00197D34">
        <w:rPr>
          <w:rFonts w:ascii="Calibri Light" w:hAnsi="Calibri Light"/>
        </w:rPr>
        <w:t xml:space="preserve"> where</w:t>
      </w:r>
      <w:r w:rsidRPr="00632DE4">
        <w:rPr>
          <w:rFonts w:ascii="Calibri Light" w:hAnsi="Calibri Light"/>
        </w:rPr>
        <w:t xml:space="preserve"> appropriate</w:t>
      </w:r>
      <w:r w:rsidR="00E36C94">
        <w:rPr>
          <w:rFonts w:ascii="Calibri Light" w:hAnsi="Calibri Light"/>
        </w:rPr>
        <w:t>,</w:t>
      </w:r>
      <w:r w:rsidRPr="00632DE4">
        <w:rPr>
          <w:rFonts w:ascii="Calibri Light" w:hAnsi="Calibri Light"/>
        </w:rPr>
        <w:t xml:space="preserve"> with the </w:t>
      </w:r>
      <w:r w:rsidRPr="00370C63">
        <w:rPr>
          <w:rFonts w:ascii="Calibri Light" w:hAnsi="Calibri Light"/>
          <w:i/>
        </w:rPr>
        <w:t>NSDP</w:t>
      </w:r>
      <w:r w:rsidR="00197D34" w:rsidRPr="00370C63">
        <w:rPr>
          <w:rFonts w:ascii="Calibri Light" w:hAnsi="Calibri Light"/>
          <w:i/>
        </w:rPr>
        <w:t xml:space="preserve"> 2030</w:t>
      </w:r>
      <w:r w:rsidRPr="00632DE4">
        <w:rPr>
          <w:rFonts w:ascii="Calibri Light" w:hAnsi="Calibri Light"/>
        </w:rPr>
        <w:t xml:space="preserve"> indicators. Updates to </w:t>
      </w:r>
      <w:r w:rsidR="00553073">
        <w:rPr>
          <w:rFonts w:ascii="Calibri Light" w:hAnsi="Calibri Light"/>
        </w:rPr>
        <w:t>benchmarks</w:t>
      </w:r>
      <w:r w:rsidRPr="00632DE4">
        <w:rPr>
          <w:rFonts w:ascii="Calibri Light" w:hAnsi="Calibri Light"/>
        </w:rPr>
        <w:t xml:space="preserve"> for the remaining AIP period have been proposed to </w:t>
      </w:r>
      <w:r w:rsidR="002C7250">
        <w:rPr>
          <w:rFonts w:ascii="Calibri Light" w:hAnsi="Calibri Light"/>
        </w:rPr>
        <w:t>address</w:t>
      </w:r>
      <w:r w:rsidRPr="00632DE4">
        <w:rPr>
          <w:rFonts w:ascii="Calibri Light" w:hAnsi="Calibri Light"/>
        </w:rPr>
        <w:t xml:space="preserve"> the issues outlined above (refer </w:t>
      </w:r>
      <w:r w:rsidRPr="00632DE4">
        <w:rPr>
          <w:rFonts w:ascii="Calibri Light" w:hAnsi="Calibri Light"/>
        </w:rPr>
        <w:lastRenderedPageBreak/>
        <w:t xml:space="preserve">Annex B, Table 2). A </w:t>
      </w:r>
      <w:r w:rsidR="002C7250">
        <w:rPr>
          <w:rFonts w:ascii="Calibri Light" w:hAnsi="Calibri Light"/>
        </w:rPr>
        <w:t>p</w:t>
      </w:r>
      <w:r w:rsidRPr="00632DE4">
        <w:rPr>
          <w:rFonts w:ascii="Calibri Light" w:hAnsi="Calibri Light"/>
        </w:rPr>
        <w:t xml:space="preserve">erformance </w:t>
      </w:r>
      <w:r w:rsidR="002C7250">
        <w:rPr>
          <w:rFonts w:ascii="Calibri Light" w:hAnsi="Calibri Light"/>
        </w:rPr>
        <w:t>a</w:t>
      </w:r>
      <w:r w:rsidRPr="00632DE4">
        <w:rPr>
          <w:rFonts w:ascii="Calibri Light" w:hAnsi="Calibri Light"/>
        </w:rPr>
        <w:t>dvis</w:t>
      </w:r>
      <w:r w:rsidR="002C7250">
        <w:rPr>
          <w:rFonts w:ascii="Calibri Light" w:hAnsi="Calibri Light"/>
        </w:rPr>
        <w:t>e</w:t>
      </w:r>
      <w:r w:rsidRPr="00632DE4">
        <w:rPr>
          <w:rFonts w:ascii="Calibri Light" w:hAnsi="Calibri Light"/>
        </w:rPr>
        <w:t xml:space="preserve">r will continue to work across </w:t>
      </w:r>
      <w:r w:rsidR="00AB0B23">
        <w:rPr>
          <w:rFonts w:ascii="Calibri Light" w:hAnsi="Calibri Light"/>
        </w:rPr>
        <w:t>our</w:t>
      </w:r>
      <w:r w:rsidR="001C72CE">
        <w:rPr>
          <w:rFonts w:ascii="Calibri Light" w:hAnsi="Calibri Light"/>
        </w:rPr>
        <w:t xml:space="preserve"> </w:t>
      </w:r>
      <w:r w:rsidRPr="00632DE4">
        <w:rPr>
          <w:rFonts w:ascii="Calibri Light" w:hAnsi="Calibri Light"/>
        </w:rPr>
        <w:t xml:space="preserve">aid investments in Vanuatu to support quality monitoring, </w:t>
      </w:r>
      <w:r w:rsidR="00407A9B">
        <w:rPr>
          <w:rFonts w:ascii="Calibri Light" w:hAnsi="Calibri Light"/>
        </w:rPr>
        <w:t xml:space="preserve">evaluation and </w:t>
      </w:r>
      <w:r w:rsidRPr="00632DE4">
        <w:rPr>
          <w:rFonts w:ascii="Calibri Light" w:hAnsi="Calibri Light"/>
        </w:rPr>
        <w:t>reporting</w:t>
      </w:r>
      <w:r w:rsidR="00407A9B">
        <w:rPr>
          <w:rFonts w:ascii="Calibri Light" w:hAnsi="Calibri Light"/>
        </w:rPr>
        <w:t>.</w:t>
      </w:r>
      <w:r w:rsidRPr="00632DE4">
        <w:rPr>
          <w:rFonts w:ascii="Calibri Light" w:hAnsi="Calibri Light"/>
        </w:rPr>
        <w:t> </w:t>
      </w:r>
    </w:p>
    <w:p w:rsidR="00840708" w:rsidRPr="00632DE4" w:rsidRDefault="009A0D75" w:rsidP="001F507E">
      <w:pPr>
        <w:spacing w:before="100" w:beforeAutospacing="1" w:after="100" w:afterAutospacing="1"/>
        <w:rPr>
          <w:rFonts w:ascii="Calibri Light" w:hAnsi="Calibri Light"/>
        </w:rPr>
      </w:pPr>
      <w:r>
        <w:rPr>
          <w:rFonts w:ascii="Calibri Light" w:hAnsi="Calibri Light"/>
          <w:lang w:eastAsia="zh-CN"/>
        </w:rPr>
        <w:t>E</w:t>
      </w:r>
      <w:r w:rsidR="007F2B78" w:rsidRPr="00632DE4">
        <w:rPr>
          <w:rFonts w:ascii="Calibri Light" w:hAnsi="Calibri Light"/>
          <w:lang w:eastAsia="zh-CN"/>
        </w:rPr>
        <w:t xml:space="preserve">valuations completed in the 2016-17 reporting period directly informed </w:t>
      </w:r>
      <w:r w:rsidR="00407A9B">
        <w:rPr>
          <w:rFonts w:ascii="Calibri Light" w:hAnsi="Calibri Light"/>
          <w:lang w:eastAsia="zh-CN"/>
        </w:rPr>
        <w:t>program</w:t>
      </w:r>
      <w:r w:rsidR="003379D3" w:rsidRPr="00632DE4">
        <w:rPr>
          <w:rFonts w:ascii="Calibri Light" w:hAnsi="Calibri Light"/>
          <w:lang w:eastAsia="zh-CN"/>
        </w:rPr>
        <w:t xml:space="preserve"> design</w:t>
      </w:r>
      <w:r w:rsidR="007F2B78" w:rsidRPr="00632DE4">
        <w:rPr>
          <w:rFonts w:ascii="Calibri Light" w:hAnsi="Calibri Light"/>
          <w:lang w:eastAsia="zh-CN"/>
        </w:rPr>
        <w:t>s</w:t>
      </w:r>
      <w:r w:rsidR="00901505" w:rsidRPr="00632DE4">
        <w:rPr>
          <w:rFonts w:ascii="Calibri Light" w:hAnsi="Calibri Light"/>
          <w:lang w:eastAsia="zh-CN"/>
        </w:rPr>
        <w:t xml:space="preserve"> underway </w:t>
      </w:r>
      <w:r w:rsidR="003379D3" w:rsidRPr="00632DE4">
        <w:rPr>
          <w:rFonts w:ascii="Calibri Light" w:hAnsi="Calibri Light"/>
          <w:lang w:eastAsia="zh-CN"/>
        </w:rPr>
        <w:t>in 2017-18</w:t>
      </w:r>
      <w:r w:rsidR="00901505" w:rsidRPr="00632DE4">
        <w:rPr>
          <w:rFonts w:ascii="Calibri Light" w:hAnsi="Calibri Light"/>
          <w:lang w:eastAsia="zh-CN"/>
        </w:rPr>
        <w:t>: GFG</w:t>
      </w:r>
      <w:r w:rsidR="0037261C">
        <w:rPr>
          <w:rFonts w:ascii="Calibri Light" w:hAnsi="Calibri Light"/>
          <w:lang w:eastAsia="zh-CN"/>
        </w:rPr>
        <w:t>;</w:t>
      </w:r>
      <w:r w:rsidR="00901505" w:rsidRPr="00632DE4">
        <w:rPr>
          <w:rFonts w:ascii="Calibri Light" w:hAnsi="Calibri Light"/>
          <w:lang w:eastAsia="zh-CN"/>
        </w:rPr>
        <w:t xml:space="preserve"> </w:t>
      </w:r>
      <w:r w:rsidR="007F2B78" w:rsidRPr="00632DE4">
        <w:rPr>
          <w:rFonts w:ascii="Calibri Light" w:hAnsi="Calibri Light"/>
          <w:lang w:eastAsia="zh-CN"/>
        </w:rPr>
        <w:t>VESP Ph</w:t>
      </w:r>
      <w:r w:rsidR="00901505" w:rsidRPr="00632DE4">
        <w:rPr>
          <w:rFonts w:ascii="Calibri Light" w:hAnsi="Calibri Light"/>
          <w:lang w:eastAsia="zh-CN"/>
        </w:rPr>
        <w:t xml:space="preserve">ase </w:t>
      </w:r>
      <w:r w:rsidR="00197D34">
        <w:rPr>
          <w:rFonts w:ascii="Calibri Light" w:hAnsi="Calibri Light"/>
          <w:lang w:eastAsia="zh-CN"/>
        </w:rPr>
        <w:t>II</w:t>
      </w:r>
      <w:r w:rsidR="0037261C">
        <w:rPr>
          <w:rFonts w:ascii="Calibri Light" w:hAnsi="Calibri Light"/>
          <w:lang w:eastAsia="zh-CN"/>
        </w:rPr>
        <w:t>;</w:t>
      </w:r>
      <w:r w:rsidR="007F2B78" w:rsidRPr="00632DE4">
        <w:rPr>
          <w:rFonts w:ascii="Calibri Light" w:hAnsi="Calibri Light"/>
          <w:lang w:eastAsia="zh-CN"/>
        </w:rPr>
        <w:t xml:space="preserve"> </w:t>
      </w:r>
      <w:r w:rsidR="00901505" w:rsidRPr="00632DE4">
        <w:rPr>
          <w:rFonts w:ascii="Calibri Light" w:hAnsi="Calibri Light"/>
          <w:lang w:eastAsia="zh-CN"/>
        </w:rPr>
        <w:t>R4D2</w:t>
      </w:r>
      <w:r w:rsidR="0037261C">
        <w:rPr>
          <w:rFonts w:ascii="Calibri Light" w:hAnsi="Calibri Light"/>
          <w:lang w:eastAsia="zh-CN"/>
        </w:rPr>
        <w:t>;</w:t>
      </w:r>
      <w:r w:rsidR="00901505" w:rsidRPr="00632DE4">
        <w:rPr>
          <w:rFonts w:ascii="Calibri Light" w:hAnsi="Calibri Light"/>
          <w:lang w:eastAsia="zh-CN"/>
        </w:rPr>
        <w:t xml:space="preserve"> and </w:t>
      </w:r>
      <w:r w:rsidR="002C7250">
        <w:rPr>
          <w:rFonts w:ascii="Calibri Light" w:hAnsi="Calibri Light"/>
          <w:lang w:eastAsia="zh-CN"/>
        </w:rPr>
        <w:t xml:space="preserve">the new </w:t>
      </w:r>
      <w:r w:rsidR="00901505" w:rsidRPr="00632DE4">
        <w:rPr>
          <w:rFonts w:ascii="Calibri Light" w:hAnsi="Calibri Light"/>
          <w:lang w:eastAsia="zh-CN"/>
        </w:rPr>
        <w:t>H</w:t>
      </w:r>
      <w:r w:rsidR="00407A9B">
        <w:rPr>
          <w:rFonts w:ascii="Calibri Light" w:hAnsi="Calibri Light"/>
          <w:lang w:eastAsia="zh-CN"/>
        </w:rPr>
        <w:t xml:space="preserve">ealth </w:t>
      </w:r>
      <w:r w:rsidR="00901505" w:rsidRPr="00632DE4">
        <w:rPr>
          <w:rFonts w:ascii="Calibri Light" w:hAnsi="Calibri Light"/>
          <w:lang w:eastAsia="zh-CN"/>
        </w:rPr>
        <w:t>S</w:t>
      </w:r>
      <w:r w:rsidR="00407A9B">
        <w:rPr>
          <w:rFonts w:ascii="Calibri Light" w:hAnsi="Calibri Light"/>
          <w:lang w:eastAsia="zh-CN"/>
        </w:rPr>
        <w:t xml:space="preserve">upport </w:t>
      </w:r>
      <w:r w:rsidR="00901505" w:rsidRPr="00632DE4">
        <w:rPr>
          <w:rFonts w:ascii="Calibri Light" w:hAnsi="Calibri Light"/>
          <w:lang w:eastAsia="zh-CN"/>
        </w:rPr>
        <w:t>P</w:t>
      </w:r>
      <w:r w:rsidR="002C7250">
        <w:rPr>
          <w:rFonts w:ascii="Calibri Light" w:hAnsi="Calibri Light"/>
          <w:lang w:eastAsia="zh-CN"/>
        </w:rPr>
        <w:t>rogram</w:t>
      </w:r>
      <w:r w:rsidR="00901505" w:rsidRPr="00632DE4">
        <w:rPr>
          <w:rFonts w:ascii="Calibri Light" w:hAnsi="Calibri Light"/>
          <w:lang w:eastAsia="zh-CN"/>
        </w:rPr>
        <w:t xml:space="preserve">. </w:t>
      </w:r>
      <w:r w:rsidR="007F2B78" w:rsidRPr="00632DE4">
        <w:rPr>
          <w:rFonts w:ascii="Calibri Light" w:hAnsi="Calibri Light"/>
          <w:lang w:eastAsia="zh-CN"/>
        </w:rPr>
        <w:t xml:space="preserve"> </w:t>
      </w:r>
      <w:r w:rsidR="009254B2">
        <w:rPr>
          <w:rFonts w:ascii="Calibri Light" w:hAnsi="Calibri Light"/>
          <w:lang w:eastAsia="zh-CN"/>
        </w:rPr>
        <w:t>Th</w:t>
      </w:r>
      <w:r w:rsidR="00901505" w:rsidRPr="00632DE4">
        <w:rPr>
          <w:rFonts w:ascii="Calibri Light" w:hAnsi="Calibri Light"/>
          <w:lang w:eastAsia="zh-CN"/>
        </w:rPr>
        <w:t>e TC</w:t>
      </w:r>
      <w:r w:rsidR="007F2B78" w:rsidRPr="00632DE4">
        <w:rPr>
          <w:rFonts w:ascii="Calibri Light" w:eastAsia="Times New Roman" w:hAnsi="Calibri Light" w:cs="Times New Roman"/>
          <w:lang w:val="en-AU" w:eastAsia="en-AU"/>
        </w:rPr>
        <w:t xml:space="preserve"> Pam Recovery Program</w:t>
      </w:r>
      <w:r w:rsidR="00365435" w:rsidRPr="00632DE4">
        <w:rPr>
          <w:rFonts w:ascii="Calibri Light" w:eastAsia="Times New Roman" w:hAnsi="Calibri Light" w:cs="Times New Roman"/>
          <w:lang w:val="en-AU" w:eastAsia="en-AU"/>
        </w:rPr>
        <w:t xml:space="preserve"> independent</w:t>
      </w:r>
      <w:r w:rsidR="00901505" w:rsidRPr="00632DE4">
        <w:rPr>
          <w:rFonts w:ascii="Calibri Light" w:eastAsia="Times New Roman" w:hAnsi="Calibri Light" w:cs="Times New Roman"/>
          <w:lang w:val="en-AU" w:eastAsia="en-AU"/>
        </w:rPr>
        <w:t xml:space="preserve"> evaluation </w:t>
      </w:r>
      <w:r w:rsidR="00AB0B23">
        <w:rPr>
          <w:rFonts w:ascii="Calibri Light" w:eastAsia="Times New Roman" w:hAnsi="Calibri Light" w:cs="Times New Roman"/>
          <w:lang w:val="en-AU" w:eastAsia="en-AU"/>
        </w:rPr>
        <w:t>will inform</w:t>
      </w:r>
      <w:r w:rsidR="007F2B78" w:rsidRPr="00632DE4">
        <w:rPr>
          <w:rFonts w:ascii="Calibri Light" w:eastAsia="Times New Roman" w:hAnsi="Calibri Light" w:cs="Times New Roman"/>
          <w:lang w:val="en-AU" w:eastAsia="en-AU"/>
        </w:rPr>
        <w:t xml:space="preserve"> </w:t>
      </w:r>
      <w:r w:rsidR="00901505" w:rsidRPr="00632DE4">
        <w:rPr>
          <w:rFonts w:ascii="Calibri Light" w:hAnsi="Calibri Light"/>
        </w:rPr>
        <w:t xml:space="preserve">funding, coordination and governance arrangements </w:t>
      </w:r>
      <w:r w:rsidR="00AB0B23">
        <w:rPr>
          <w:rFonts w:ascii="Calibri Light" w:eastAsia="Times New Roman" w:hAnsi="Calibri Light" w:cs="Times New Roman"/>
          <w:lang w:val="en-AU" w:eastAsia="en-AU"/>
        </w:rPr>
        <w:t>for</w:t>
      </w:r>
      <w:r w:rsidR="007F2B78" w:rsidRPr="00632DE4">
        <w:rPr>
          <w:rFonts w:ascii="Calibri Light" w:eastAsia="Times New Roman" w:hAnsi="Calibri Light" w:cs="Times New Roman"/>
          <w:lang w:val="en-AU" w:eastAsia="en-AU"/>
        </w:rPr>
        <w:t xml:space="preserve"> future </w:t>
      </w:r>
      <w:r w:rsidR="00901505" w:rsidRPr="00632DE4">
        <w:rPr>
          <w:rFonts w:ascii="Calibri Light" w:eastAsia="Times New Roman" w:hAnsi="Calibri Light" w:cs="Times New Roman"/>
          <w:lang w:val="en-AU" w:eastAsia="en-AU"/>
        </w:rPr>
        <w:t xml:space="preserve">Australian </w:t>
      </w:r>
      <w:r w:rsidR="007F2B78" w:rsidRPr="00632DE4">
        <w:rPr>
          <w:rFonts w:ascii="Calibri Light" w:eastAsia="Times New Roman" w:hAnsi="Calibri Light" w:cs="Times New Roman"/>
          <w:lang w:val="en-AU" w:eastAsia="en-AU"/>
        </w:rPr>
        <w:t xml:space="preserve">funded recovery programs. </w:t>
      </w:r>
      <w:r w:rsidR="007F2B78" w:rsidRPr="00632DE4">
        <w:rPr>
          <w:rFonts w:ascii="Calibri Light" w:hAnsi="Calibri Light"/>
          <w:lang w:eastAsia="zh-CN"/>
        </w:rPr>
        <w:t xml:space="preserve">Publication of the </w:t>
      </w:r>
      <w:r w:rsidR="00553073">
        <w:rPr>
          <w:rFonts w:ascii="Calibri Light" w:hAnsi="Calibri Light"/>
          <w:lang w:eastAsia="zh-CN"/>
        </w:rPr>
        <w:t>r</w:t>
      </w:r>
      <w:r w:rsidR="007F2B78" w:rsidRPr="00632DE4">
        <w:rPr>
          <w:rFonts w:ascii="Calibri Light" w:hAnsi="Calibri Light"/>
          <w:lang w:eastAsia="zh-CN"/>
        </w:rPr>
        <w:t>eport and management response is scheduled for December 2018</w:t>
      </w:r>
      <w:r w:rsidR="00C53D22" w:rsidRPr="00632DE4">
        <w:rPr>
          <w:rFonts w:ascii="Calibri Light" w:hAnsi="Calibri Light"/>
          <w:lang w:eastAsia="zh-CN"/>
        </w:rPr>
        <w:t>.</w:t>
      </w:r>
      <w:r w:rsidR="001F507E">
        <w:rPr>
          <w:rFonts w:ascii="Calibri Light" w:hAnsi="Calibri Light"/>
          <w:lang w:eastAsia="zh-CN"/>
        </w:rPr>
        <w:t xml:space="preserve"> </w:t>
      </w:r>
      <w:r w:rsidR="00904B0E">
        <w:rPr>
          <w:rFonts w:ascii="Calibri Light" w:hAnsi="Calibri Light"/>
        </w:rPr>
        <w:t xml:space="preserve">A </w:t>
      </w:r>
      <w:r w:rsidR="00197D34">
        <w:rPr>
          <w:rFonts w:ascii="Calibri Light" w:hAnsi="Calibri Light"/>
        </w:rPr>
        <w:t xml:space="preserve">number of </w:t>
      </w:r>
      <w:r w:rsidR="002C7250">
        <w:rPr>
          <w:rFonts w:ascii="Calibri Light" w:hAnsi="Calibri Light"/>
        </w:rPr>
        <w:t xml:space="preserve">smaller </w:t>
      </w:r>
      <w:r w:rsidR="00197D34">
        <w:rPr>
          <w:rFonts w:ascii="Calibri Light" w:hAnsi="Calibri Light"/>
        </w:rPr>
        <w:t>evaluati</w:t>
      </w:r>
      <w:r w:rsidR="00407A9B">
        <w:rPr>
          <w:rFonts w:ascii="Calibri Light" w:hAnsi="Calibri Light"/>
        </w:rPr>
        <w:t xml:space="preserve">ve studies </w:t>
      </w:r>
      <w:r w:rsidR="00840708" w:rsidRPr="00632DE4">
        <w:rPr>
          <w:rFonts w:ascii="Calibri Light" w:hAnsi="Calibri Light"/>
        </w:rPr>
        <w:t>are planned</w:t>
      </w:r>
      <w:r w:rsidR="00197D34">
        <w:rPr>
          <w:rFonts w:ascii="Calibri Light" w:hAnsi="Calibri Light"/>
        </w:rPr>
        <w:t xml:space="preserve"> for 2018-19</w:t>
      </w:r>
      <w:r w:rsidR="00553073">
        <w:rPr>
          <w:rStyle w:val="FootnoteReference"/>
          <w:rFonts w:ascii="Calibri Light" w:hAnsi="Calibri Light"/>
        </w:rPr>
        <w:footnoteReference w:id="31"/>
      </w:r>
      <w:r w:rsidR="00840708" w:rsidRPr="00632DE4">
        <w:rPr>
          <w:rFonts w:ascii="Calibri Light" w:hAnsi="Calibri Light"/>
        </w:rPr>
        <w:t>. </w:t>
      </w:r>
    </w:p>
    <w:p w:rsidR="00600479" w:rsidRPr="00632DE4" w:rsidRDefault="00600479" w:rsidP="00632DE4">
      <w:pPr>
        <w:spacing w:before="0" w:after="0"/>
        <w:rPr>
          <w:b/>
          <w:lang w:eastAsia="zh-CN"/>
        </w:rPr>
      </w:pPr>
      <w:r w:rsidRPr="00632DE4">
        <w:rPr>
          <w:b/>
          <w:lang w:eastAsia="zh-CN"/>
        </w:rPr>
        <w:t>Aid Quality Checks (AQCs)</w:t>
      </w:r>
    </w:p>
    <w:p w:rsidR="00BA0A5D" w:rsidRPr="00632DE4" w:rsidRDefault="00F36864" w:rsidP="00632DE4">
      <w:pPr>
        <w:spacing w:before="0" w:after="0"/>
        <w:rPr>
          <w:rFonts w:ascii="Calibri Light" w:hAnsi="Calibri Light"/>
        </w:rPr>
      </w:pPr>
      <w:r w:rsidRPr="00632DE4">
        <w:t>DF</w:t>
      </w:r>
      <w:r w:rsidR="00F41CE2" w:rsidRPr="00632DE4">
        <w:t xml:space="preserve">AT completed </w:t>
      </w:r>
      <w:r w:rsidR="00BB5DC1" w:rsidRPr="00632DE4">
        <w:t>A</w:t>
      </w:r>
      <w:r w:rsidR="00F41CE2" w:rsidRPr="00632DE4">
        <w:t>QCs,</w:t>
      </w:r>
      <w:r w:rsidRPr="00632DE4">
        <w:t xml:space="preserve"> F</w:t>
      </w:r>
      <w:r w:rsidR="00BB5DC1" w:rsidRPr="00632DE4">
        <w:t xml:space="preserve">inal </w:t>
      </w:r>
      <w:r w:rsidRPr="00632DE4">
        <w:t xml:space="preserve">AQCs </w:t>
      </w:r>
      <w:r w:rsidR="00F41CE2" w:rsidRPr="00632DE4">
        <w:t>or H</w:t>
      </w:r>
      <w:r w:rsidR="00BB5DC1" w:rsidRPr="00632DE4">
        <w:t xml:space="preserve">umanitarian </w:t>
      </w:r>
      <w:r w:rsidR="00F41CE2" w:rsidRPr="00632DE4">
        <w:t xml:space="preserve">AQCs </w:t>
      </w:r>
      <w:r w:rsidRPr="00632DE4">
        <w:t xml:space="preserve">on </w:t>
      </w:r>
      <w:r w:rsidR="00F41CE2" w:rsidRPr="00632DE4">
        <w:t>12</w:t>
      </w:r>
      <w:r w:rsidR="001C72CE">
        <w:t xml:space="preserve"> Vanuatu </w:t>
      </w:r>
      <w:r w:rsidRPr="00632DE4">
        <w:t xml:space="preserve">programs in 2017-18. </w:t>
      </w:r>
      <w:r w:rsidR="004D2721" w:rsidRPr="00632DE4">
        <w:t xml:space="preserve">A summary of AQC ratings is at Annex D. </w:t>
      </w:r>
      <w:r w:rsidR="005A152C" w:rsidRPr="00632DE4">
        <w:t>E</w:t>
      </w:r>
      <w:r w:rsidR="00AA5D41" w:rsidRPr="00632DE4">
        <w:t xml:space="preserve">fficiency, relevance and sustainability </w:t>
      </w:r>
      <w:r w:rsidR="005A152C" w:rsidRPr="00632DE4">
        <w:t>scored</w:t>
      </w:r>
      <w:r w:rsidR="0094193A">
        <w:t xml:space="preserve"> </w:t>
      </w:r>
      <w:r w:rsidR="009254B2">
        <w:t xml:space="preserve">between </w:t>
      </w:r>
      <w:r w:rsidR="0094193A">
        <w:t>‘very good’</w:t>
      </w:r>
      <w:r w:rsidR="009254B2">
        <w:t xml:space="preserve"> and </w:t>
      </w:r>
      <w:r w:rsidRPr="00632DE4">
        <w:t>‘adequate’</w:t>
      </w:r>
      <w:r w:rsidR="005A152C" w:rsidRPr="00632DE4">
        <w:t xml:space="preserve"> with five programs improving their efficiency ratings</w:t>
      </w:r>
      <w:r w:rsidR="004D2721" w:rsidRPr="00632DE4">
        <w:t xml:space="preserve"> </w:t>
      </w:r>
      <w:r w:rsidR="009254B2">
        <w:t xml:space="preserve">since </w:t>
      </w:r>
      <w:r w:rsidR="004D2721" w:rsidRPr="00632DE4">
        <w:t>2016-17</w:t>
      </w:r>
      <w:r w:rsidR="005A152C" w:rsidRPr="00632DE4">
        <w:t xml:space="preserve">. </w:t>
      </w:r>
      <w:r w:rsidR="00D57767" w:rsidRPr="00632DE4">
        <w:t>Monitoring and evaluation improved</w:t>
      </w:r>
      <w:r w:rsidR="00C62793">
        <w:t>, with the</w:t>
      </w:r>
      <w:r w:rsidR="00D57767" w:rsidRPr="00632DE4">
        <w:t xml:space="preserve"> two programs rated as less than adequate</w:t>
      </w:r>
      <w:r w:rsidR="00BB5DC1" w:rsidRPr="00632DE4">
        <w:t xml:space="preserve"> </w:t>
      </w:r>
      <w:r w:rsidR="002C7250">
        <w:t>allocated</w:t>
      </w:r>
      <w:r w:rsidR="004D2721" w:rsidRPr="00632DE4">
        <w:t xml:space="preserve"> </w:t>
      </w:r>
      <w:r w:rsidR="00C62793">
        <w:t xml:space="preserve">adviser </w:t>
      </w:r>
      <w:r w:rsidR="004D2721" w:rsidRPr="00632DE4">
        <w:t>support</w:t>
      </w:r>
      <w:r w:rsidR="00C62793">
        <w:t xml:space="preserve"> to improve</w:t>
      </w:r>
      <w:r w:rsidR="00D57767" w:rsidRPr="00632DE4">
        <w:t xml:space="preserve">. </w:t>
      </w:r>
      <w:r w:rsidR="00266DBA">
        <w:t>One</w:t>
      </w:r>
      <w:r w:rsidR="005A152C" w:rsidRPr="00632DE4">
        <w:t xml:space="preserve"> program scored </w:t>
      </w:r>
      <w:r w:rsidR="00C62793">
        <w:t xml:space="preserve">poor on </w:t>
      </w:r>
      <w:r w:rsidR="005A152C" w:rsidRPr="00632DE4">
        <w:t>gender equality</w:t>
      </w:r>
      <w:r w:rsidR="00BA0A5D" w:rsidRPr="00632DE4">
        <w:t xml:space="preserve">, although overall ratings remained </w:t>
      </w:r>
      <w:r w:rsidR="002C7250">
        <w:t>the same as</w:t>
      </w:r>
      <w:r w:rsidR="00BB5DC1" w:rsidRPr="00632DE4">
        <w:t xml:space="preserve"> 2016-17</w:t>
      </w:r>
      <w:r w:rsidR="00BA0A5D" w:rsidRPr="00632DE4">
        <w:t>. Gender equality will continue to be a focus across the Vanuatu program</w:t>
      </w:r>
      <w:r w:rsidR="00B03E7E">
        <w:t>: a</w:t>
      </w:r>
      <w:r w:rsidR="00BB5DC1" w:rsidRPr="00632DE4">
        <w:t xml:space="preserve"> </w:t>
      </w:r>
      <w:r w:rsidR="00BA0A5D" w:rsidRPr="00632DE4">
        <w:rPr>
          <w:rFonts w:ascii="Calibri Light" w:hAnsi="Calibri Light"/>
        </w:rPr>
        <w:t xml:space="preserve">Gender Equality Action Plan </w:t>
      </w:r>
      <w:r w:rsidR="00BB5DC1" w:rsidRPr="00632DE4">
        <w:rPr>
          <w:rFonts w:ascii="Calibri Light" w:hAnsi="Calibri Light"/>
        </w:rPr>
        <w:t>will be developed</w:t>
      </w:r>
      <w:r w:rsidR="00C62793">
        <w:rPr>
          <w:rFonts w:ascii="Calibri Light" w:hAnsi="Calibri Light"/>
        </w:rPr>
        <w:t xml:space="preserve"> in 2018</w:t>
      </w:r>
      <w:r w:rsidR="00BB5DC1" w:rsidRPr="00632DE4">
        <w:rPr>
          <w:rFonts w:ascii="Calibri Light" w:hAnsi="Calibri Light"/>
        </w:rPr>
        <w:t>, identifying</w:t>
      </w:r>
      <w:r w:rsidR="00BA0A5D" w:rsidRPr="00632DE4">
        <w:rPr>
          <w:rFonts w:ascii="Calibri Light" w:hAnsi="Calibri Light"/>
        </w:rPr>
        <w:t xml:space="preserve"> key activities to strengthen gender equality programming, policy and diplomacy outcomes</w:t>
      </w:r>
      <w:r w:rsidR="00BB5DC1" w:rsidRPr="00632DE4">
        <w:rPr>
          <w:rFonts w:ascii="Calibri Light" w:hAnsi="Calibri Light"/>
        </w:rPr>
        <w:t>.</w:t>
      </w:r>
    </w:p>
    <w:p w:rsidR="00BA0A5D" w:rsidRPr="00632DE4" w:rsidRDefault="00904B0E" w:rsidP="00BA0A5D">
      <w:pPr>
        <w:rPr>
          <w:rFonts w:ascii="Calibri Light" w:hAnsi="Calibri Light"/>
        </w:rPr>
      </w:pPr>
      <w:r>
        <w:t xml:space="preserve">The </w:t>
      </w:r>
      <w:r w:rsidR="00BA0A5D" w:rsidRPr="00632DE4">
        <w:t xml:space="preserve">Effectiveness </w:t>
      </w:r>
      <w:r>
        <w:t xml:space="preserve">score </w:t>
      </w:r>
      <w:r w:rsidR="00BA0A5D" w:rsidRPr="00632DE4">
        <w:t>decreased slightly overall</w:t>
      </w:r>
      <w:r w:rsidR="004D2721" w:rsidRPr="00632DE4">
        <w:t>, with three programs rated as ‘less than adequate’</w:t>
      </w:r>
      <w:r w:rsidR="00370C63">
        <w:t>;</w:t>
      </w:r>
      <w:r>
        <w:t xml:space="preserve"> two </w:t>
      </w:r>
      <w:r w:rsidR="004D2721" w:rsidRPr="00632DE4">
        <w:t>of these will finish in 2018-19.</w:t>
      </w:r>
      <w:r w:rsidR="00BA0A5D" w:rsidRPr="00632DE4">
        <w:t xml:space="preserve"> </w:t>
      </w:r>
      <w:r w:rsidRPr="00632DE4">
        <w:rPr>
          <w:rFonts w:ascii="Calibri Light" w:hAnsi="Calibri Light"/>
        </w:rPr>
        <w:t xml:space="preserve">PVUDP was identified as an IRI and a </w:t>
      </w:r>
      <w:r>
        <w:rPr>
          <w:rFonts w:ascii="Calibri Light" w:hAnsi="Calibri Light"/>
        </w:rPr>
        <w:t>r</w:t>
      </w:r>
      <w:r w:rsidRPr="00632DE4">
        <w:rPr>
          <w:rFonts w:ascii="Calibri Light" w:hAnsi="Calibri Light"/>
        </w:rPr>
        <w:t xml:space="preserve">emediation </w:t>
      </w:r>
      <w:r>
        <w:rPr>
          <w:rFonts w:ascii="Calibri Light" w:hAnsi="Calibri Light"/>
        </w:rPr>
        <w:t>p</w:t>
      </w:r>
      <w:r w:rsidRPr="00632DE4">
        <w:rPr>
          <w:rFonts w:ascii="Calibri Light" w:hAnsi="Calibri Light"/>
        </w:rPr>
        <w:t xml:space="preserve">lan developed </w:t>
      </w:r>
      <w:r>
        <w:rPr>
          <w:rFonts w:ascii="Calibri Light" w:hAnsi="Calibri Light"/>
        </w:rPr>
        <w:t>that identifies</w:t>
      </w:r>
      <w:r w:rsidRPr="00632DE4">
        <w:rPr>
          <w:rFonts w:ascii="Calibri Light" w:hAnsi="Calibri Light"/>
        </w:rPr>
        <w:t xml:space="preserve"> targeted management actions to be implemented</w:t>
      </w:r>
      <w:r w:rsidR="002C7250">
        <w:rPr>
          <w:rFonts w:ascii="Calibri Light" w:hAnsi="Calibri Light"/>
        </w:rPr>
        <w:t xml:space="preserve"> over the remaining months of the program</w:t>
      </w:r>
      <w:r w:rsidRPr="00632DE4">
        <w:rPr>
          <w:rFonts w:ascii="Calibri Light" w:hAnsi="Calibri Light"/>
        </w:rPr>
        <w:t xml:space="preserve">. </w:t>
      </w:r>
      <w:r w:rsidR="00D57767" w:rsidRPr="00632DE4">
        <w:rPr>
          <w:rFonts w:ascii="Calibri Light" w:hAnsi="Calibri Light"/>
          <w:bCs/>
        </w:rPr>
        <w:t xml:space="preserve"> </w:t>
      </w:r>
    </w:p>
    <w:p w:rsidR="00A5708E" w:rsidRDefault="00A5708E" w:rsidP="00632DE4">
      <w:pPr>
        <w:spacing w:before="0" w:after="0"/>
        <w:rPr>
          <w:b/>
          <w:lang w:eastAsia="zh-CN"/>
        </w:rPr>
      </w:pPr>
    </w:p>
    <w:p w:rsidR="00600479" w:rsidRPr="00632DE4" w:rsidRDefault="00600479" w:rsidP="00632DE4">
      <w:pPr>
        <w:spacing w:before="0" w:after="0"/>
        <w:rPr>
          <w:b/>
          <w:lang w:eastAsia="zh-CN"/>
        </w:rPr>
      </w:pPr>
      <w:r w:rsidRPr="00632DE4">
        <w:rPr>
          <w:b/>
          <w:lang w:eastAsia="zh-CN"/>
        </w:rPr>
        <w:t>Performance of key delivery partners</w:t>
      </w:r>
    </w:p>
    <w:p w:rsidR="00441CCC" w:rsidRPr="00632DE4" w:rsidRDefault="009E1FCB" w:rsidP="00632DE4">
      <w:pPr>
        <w:spacing w:before="0" w:after="0"/>
        <w:rPr>
          <w:rFonts w:ascii="Calibri Light" w:hAnsi="Calibri Light"/>
        </w:rPr>
      </w:pPr>
      <w:r w:rsidRPr="00632DE4">
        <w:rPr>
          <w:rFonts w:ascii="Calibri Light" w:hAnsi="Calibri Light"/>
        </w:rPr>
        <w:t>Australia’s investments in Vanuatu are delivered through a range of modalities</w:t>
      </w:r>
      <w:r w:rsidR="00531F9D" w:rsidRPr="00632DE4">
        <w:rPr>
          <w:rFonts w:ascii="Calibri Light" w:hAnsi="Calibri Light"/>
        </w:rPr>
        <w:t xml:space="preserve">. </w:t>
      </w:r>
      <w:r w:rsidR="00C62793">
        <w:rPr>
          <w:rFonts w:ascii="Calibri Light" w:hAnsi="Calibri Light"/>
        </w:rPr>
        <w:t>P</w:t>
      </w:r>
      <w:r w:rsidR="00531F9D" w:rsidRPr="00632DE4">
        <w:rPr>
          <w:rFonts w:ascii="Calibri Light" w:hAnsi="Calibri Light"/>
        </w:rPr>
        <w:t xml:space="preserve">artner performance assessments were completed </w:t>
      </w:r>
      <w:r w:rsidR="00C62793">
        <w:rPr>
          <w:rFonts w:ascii="Calibri Light" w:hAnsi="Calibri Light"/>
        </w:rPr>
        <w:t xml:space="preserve">for 8 partners </w:t>
      </w:r>
      <w:r w:rsidR="00531F9D" w:rsidRPr="00632DE4">
        <w:rPr>
          <w:rFonts w:ascii="Calibri Light" w:hAnsi="Calibri Light"/>
        </w:rPr>
        <w:t>in 2017-18,</w:t>
      </w:r>
      <w:r w:rsidRPr="00632DE4">
        <w:rPr>
          <w:rFonts w:ascii="Calibri Light" w:hAnsi="Calibri Light"/>
        </w:rPr>
        <w:t xml:space="preserve"> including </w:t>
      </w:r>
      <w:r w:rsidR="00531F9D" w:rsidRPr="00632DE4">
        <w:rPr>
          <w:rFonts w:ascii="Calibri Light" w:hAnsi="Calibri Light"/>
        </w:rPr>
        <w:t xml:space="preserve">for </w:t>
      </w:r>
      <w:r w:rsidRPr="00632DE4">
        <w:rPr>
          <w:rFonts w:ascii="Calibri Light" w:hAnsi="Calibri Light"/>
        </w:rPr>
        <w:t>managing contractors</w:t>
      </w:r>
      <w:r w:rsidR="00531F9D" w:rsidRPr="00632DE4">
        <w:rPr>
          <w:rFonts w:ascii="Calibri Light" w:hAnsi="Calibri Light"/>
        </w:rPr>
        <w:t xml:space="preserve"> (5)</w:t>
      </w:r>
      <w:r w:rsidRPr="00632DE4">
        <w:rPr>
          <w:rFonts w:ascii="Calibri Light" w:hAnsi="Calibri Light"/>
        </w:rPr>
        <w:t xml:space="preserve">, </w:t>
      </w:r>
      <w:r w:rsidR="00082DCB">
        <w:rPr>
          <w:rFonts w:ascii="Calibri Light" w:hAnsi="Calibri Light"/>
        </w:rPr>
        <w:t>NG</w:t>
      </w:r>
      <w:r w:rsidR="00441CCC" w:rsidRPr="00632DE4">
        <w:rPr>
          <w:rFonts w:ascii="Calibri Light" w:hAnsi="Calibri Light"/>
        </w:rPr>
        <w:t xml:space="preserve">Os </w:t>
      </w:r>
      <w:r w:rsidR="00A1360C">
        <w:rPr>
          <w:rFonts w:ascii="Calibri Light" w:hAnsi="Calibri Light"/>
        </w:rPr>
        <w:t>(</w:t>
      </w:r>
      <w:r w:rsidR="00531F9D" w:rsidRPr="00632DE4">
        <w:rPr>
          <w:rFonts w:ascii="Calibri Light" w:hAnsi="Calibri Light"/>
        </w:rPr>
        <w:t>2) and</w:t>
      </w:r>
      <w:r w:rsidRPr="00632DE4">
        <w:rPr>
          <w:rFonts w:ascii="Calibri Light" w:hAnsi="Calibri Light"/>
        </w:rPr>
        <w:t xml:space="preserve"> multilateral agencies</w:t>
      </w:r>
      <w:r w:rsidR="00531F9D" w:rsidRPr="00632DE4">
        <w:rPr>
          <w:rFonts w:ascii="Calibri Light" w:hAnsi="Calibri Light"/>
        </w:rPr>
        <w:t xml:space="preserve"> (1)</w:t>
      </w:r>
      <w:r w:rsidRPr="00632DE4">
        <w:rPr>
          <w:rFonts w:ascii="Calibri Light" w:hAnsi="Calibri Light"/>
        </w:rPr>
        <w:t xml:space="preserve">. </w:t>
      </w:r>
      <w:r w:rsidR="00441CCC" w:rsidRPr="00632DE4">
        <w:rPr>
          <w:rFonts w:ascii="Calibri Light" w:hAnsi="Calibri Light"/>
        </w:rPr>
        <w:t xml:space="preserve">Local </w:t>
      </w:r>
      <w:r w:rsidR="00082DCB">
        <w:rPr>
          <w:rFonts w:ascii="Calibri Light" w:hAnsi="Calibri Light"/>
        </w:rPr>
        <w:t>NG</w:t>
      </w:r>
      <w:r w:rsidR="00441CCC" w:rsidRPr="00632DE4">
        <w:rPr>
          <w:rFonts w:ascii="Calibri Light" w:hAnsi="Calibri Light"/>
        </w:rPr>
        <w:t>O partners (W</w:t>
      </w:r>
      <w:r w:rsidR="00082DCB">
        <w:rPr>
          <w:rFonts w:ascii="Calibri Light" w:hAnsi="Calibri Light"/>
        </w:rPr>
        <w:t>SB</w:t>
      </w:r>
      <w:r w:rsidR="00441CCC" w:rsidRPr="00632DE4">
        <w:rPr>
          <w:rFonts w:ascii="Calibri Light" w:hAnsi="Calibri Light"/>
        </w:rPr>
        <w:t xml:space="preserve"> and VWC) performed strongly, demonstrating sound value for money, effective capacity development of national staff and strong collaboration with national stakeholders. Managing Contractors have </w:t>
      </w:r>
      <w:r w:rsidR="00F25E07" w:rsidRPr="00632DE4">
        <w:rPr>
          <w:rFonts w:ascii="Calibri Light" w:hAnsi="Calibri Light"/>
        </w:rPr>
        <w:t>maintained good performance in program delivery.</w:t>
      </w:r>
      <w:r w:rsidR="00441CCC" w:rsidRPr="00632DE4">
        <w:rPr>
          <w:rFonts w:ascii="Calibri Light" w:hAnsi="Calibri Light"/>
        </w:rPr>
        <w:t xml:space="preserve"> </w:t>
      </w:r>
    </w:p>
    <w:p w:rsidR="001621E5" w:rsidRPr="00632DE4" w:rsidRDefault="001621E5" w:rsidP="00622F99">
      <w:pPr>
        <w:autoSpaceDE w:val="0"/>
        <w:autoSpaceDN w:val="0"/>
        <w:adjustRightInd w:val="0"/>
        <w:rPr>
          <w:i/>
        </w:rPr>
      </w:pPr>
      <w:r w:rsidRPr="005D20F9">
        <w:rPr>
          <w:rFonts w:ascii="Calibri Light" w:hAnsi="Calibri Light"/>
        </w:rPr>
        <w:t>A</w:t>
      </w:r>
      <w:r w:rsidR="00245863" w:rsidRPr="005D20F9">
        <w:rPr>
          <w:rFonts w:ascii="Calibri Light" w:hAnsi="Calibri Light"/>
        </w:rPr>
        <w:t>pproximately 13</w:t>
      </w:r>
      <w:r w:rsidRPr="005D20F9">
        <w:rPr>
          <w:rFonts w:ascii="Calibri Light" w:hAnsi="Calibri Light"/>
        </w:rPr>
        <w:t xml:space="preserve"> per cent</w:t>
      </w:r>
      <w:r w:rsidR="00531F9D" w:rsidRPr="005D20F9">
        <w:rPr>
          <w:rStyle w:val="FootnoteReference"/>
          <w:rFonts w:ascii="Calibri Light" w:hAnsi="Calibri Light"/>
        </w:rPr>
        <w:footnoteReference w:id="32"/>
      </w:r>
      <w:r w:rsidRPr="005D20F9">
        <w:rPr>
          <w:rFonts w:ascii="Calibri Light" w:hAnsi="Calibri Light"/>
        </w:rPr>
        <w:t xml:space="preserve"> of Australian bilateral support is delivered through direct support to </w:t>
      </w:r>
      <w:r w:rsidR="009E1FCB" w:rsidRPr="005D20F9">
        <w:rPr>
          <w:rFonts w:ascii="Calibri Light" w:hAnsi="Calibri Light"/>
        </w:rPr>
        <w:t xml:space="preserve">GoV </w:t>
      </w:r>
      <w:r w:rsidRPr="005D20F9">
        <w:rPr>
          <w:rFonts w:ascii="Calibri Light" w:hAnsi="Calibri Light"/>
        </w:rPr>
        <w:t xml:space="preserve">sectoral budgets. This approach aims to build ownership, capacity and resilience in </w:t>
      </w:r>
      <w:r w:rsidR="009E1FCB" w:rsidRPr="005D20F9">
        <w:rPr>
          <w:rFonts w:ascii="Calibri Light" w:hAnsi="Calibri Light"/>
        </w:rPr>
        <w:t xml:space="preserve">national </w:t>
      </w:r>
      <w:r w:rsidRPr="005D20F9">
        <w:rPr>
          <w:rFonts w:ascii="Calibri Light" w:hAnsi="Calibri Light"/>
        </w:rPr>
        <w:t>systems.</w:t>
      </w:r>
      <w:r w:rsidR="00BC46DB">
        <w:rPr>
          <w:rFonts w:ascii="Calibri Light" w:hAnsi="Calibri Light"/>
        </w:rPr>
        <w:t xml:space="preserve"> </w:t>
      </w:r>
      <w:r w:rsidR="00F25E07" w:rsidRPr="005D20F9">
        <w:rPr>
          <w:rFonts w:ascii="Calibri Light" w:hAnsi="Calibri Light"/>
        </w:rPr>
        <w:t>GoV capacity</w:t>
      </w:r>
      <w:r w:rsidR="009E1FCB" w:rsidRPr="005D20F9">
        <w:rPr>
          <w:rFonts w:ascii="Calibri Light" w:hAnsi="Calibri Light"/>
        </w:rPr>
        <w:t xml:space="preserve"> and resource </w:t>
      </w:r>
      <w:r w:rsidR="00BC46DB">
        <w:rPr>
          <w:rFonts w:ascii="Calibri Light" w:hAnsi="Calibri Light"/>
        </w:rPr>
        <w:t>constraints</w:t>
      </w:r>
      <w:r w:rsidR="009E1FCB" w:rsidRPr="005D20F9">
        <w:rPr>
          <w:rFonts w:ascii="Calibri Light" w:hAnsi="Calibri Light"/>
        </w:rPr>
        <w:t xml:space="preserve"> create challenges in some sectors</w:t>
      </w:r>
      <w:r w:rsidRPr="005D20F9">
        <w:rPr>
          <w:rFonts w:ascii="Calibri Light" w:hAnsi="Calibri Light"/>
        </w:rPr>
        <w:t>.</w:t>
      </w:r>
      <w:r w:rsidR="00F25E07" w:rsidRPr="005D20F9">
        <w:rPr>
          <w:rFonts w:ascii="Calibri Light" w:hAnsi="Calibri Light"/>
        </w:rPr>
        <w:t xml:space="preserve"> </w:t>
      </w:r>
      <w:r w:rsidR="00BC46DB">
        <w:rPr>
          <w:rFonts w:ascii="Calibri Light" w:hAnsi="Calibri Light"/>
        </w:rPr>
        <w:t>Australia’s</w:t>
      </w:r>
      <w:r w:rsidR="00F25E07" w:rsidRPr="005D20F9">
        <w:rPr>
          <w:rFonts w:ascii="Calibri Light" w:hAnsi="Calibri Light"/>
        </w:rPr>
        <w:t xml:space="preserve"> support for the </w:t>
      </w:r>
      <w:r w:rsidR="00F25E07" w:rsidRPr="005D20F9">
        <w:t xml:space="preserve">Government’s Public Financial Management Reform Roadmap 2017-2021 will assist national efforts to address fiduciary risk. </w:t>
      </w:r>
      <w:r w:rsidR="00197D34" w:rsidRPr="005D20F9">
        <w:t>P</w:t>
      </w:r>
      <w:r w:rsidR="0031278E" w:rsidRPr="005D20F9">
        <w:t>FM</w:t>
      </w:r>
      <w:r w:rsidR="00197D34" w:rsidRPr="005D20F9">
        <w:t xml:space="preserve"> </w:t>
      </w:r>
      <w:r w:rsidR="0031278E" w:rsidRPr="005D20F9">
        <w:t>a</w:t>
      </w:r>
      <w:r w:rsidR="00197D34" w:rsidRPr="005D20F9">
        <w:t xml:space="preserve">ssessment updates </w:t>
      </w:r>
      <w:r w:rsidR="00226348" w:rsidRPr="005D20F9">
        <w:t xml:space="preserve">are also </w:t>
      </w:r>
      <w:r w:rsidR="00197D34" w:rsidRPr="005D20F9">
        <w:t>planned for six partner ministries in 2018-19</w:t>
      </w:r>
      <w:r w:rsidR="00226348" w:rsidRPr="005D20F9">
        <w:t>.</w:t>
      </w:r>
    </w:p>
    <w:p w:rsidR="002A51CA" w:rsidRPr="00632DE4" w:rsidRDefault="002A51CA" w:rsidP="002A51CA">
      <w:pPr>
        <w:pStyle w:val="Heading2"/>
      </w:pPr>
      <w:r w:rsidRPr="00632DE4">
        <w:t>Risks</w:t>
      </w:r>
    </w:p>
    <w:p w:rsidR="002A51CA" w:rsidRPr="00632DE4" w:rsidRDefault="002A51CA" w:rsidP="002A51CA">
      <w:pPr>
        <w:rPr>
          <w:b/>
          <w:sz w:val="24"/>
        </w:rPr>
      </w:pPr>
      <w:r w:rsidRPr="00632DE4">
        <w:rPr>
          <w:b/>
          <w:sz w:val="24"/>
        </w:rPr>
        <w:t>Table 3</w:t>
      </w:r>
      <w:r w:rsidR="00332EC9" w:rsidRPr="00632DE4">
        <w:rPr>
          <w:b/>
          <w:sz w:val="24"/>
        </w:rPr>
        <w:t>:</w:t>
      </w:r>
      <w:r w:rsidRPr="00632DE4">
        <w:rPr>
          <w:b/>
          <w:sz w:val="24"/>
        </w:rPr>
        <w:t xml:space="preserve"> Management of Key Risks to Achieving Objectives</w:t>
      </w:r>
    </w:p>
    <w:tbl>
      <w:tblPr>
        <w:tblStyle w:val="TableGrid"/>
        <w:tblW w:w="10349" w:type="dxa"/>
        <w:tblInd w:w="-289" w:type="dxa"/>
        <w:tblLook w:val="04A0" w:firstRow="1" w:lastRow="0" w:firstColumn="1" w:lastColumn="0" w:noHBand="0" w:noVBand="1"/>
      </w:tblPr>
      <w:tblGrid>
        <w:gridCol w:w="1687"/>
        <w:gridCol w:w="3133"/>
        <w:gridCol w:w="2268"/>
        <w:gridCol w:w="1769"/>
        <w:gridCol w:w="1492"/>
      </w:tblGrid>
      <w:tr w:rsidR="00DE4DDA" w:rsidRPr="00632DE4" w:rsidTr="000D7E91">
        <w:tc>
          <w:tcPr>
            <w:tcW w:w="1687" w:type="dxa"/>
          </w:tcPr>
          <w:p w:rsidR="00DE4DDA" w:rsidRPr="00632DE4" w:rsidRDefault="00DE4DDA" w:rsidP="002A51CA">
            <w:pPr>
              <w:rPr>
                <w:rFonts w:ascii="Franklin Gothic Book" w:hAnsi="Franklin Gothic Book"/>
                <w:b/>
                <w:sz w:val="17"/>
                <w:szCs w:val="17"/>
              </w:rPr>
            </w:pPr>
            <w:r w:rsidRPr="00632DE4">
              <w:rPr>
                <w:rFonts w:ascii="Franklin Gothic Book" w:hAnsi="Franklin Gothic Book"/>
                <w:b/>
                <w:sz w:val="17"/>
                <w:szCs w:val="17"/>
              </w:rPr>
              <w:t>Key Risks</w:t>
            </w:r>
          </w:p>
        </w:tc>
        <w:tc>
          <w:tcPr>
            <w:tcW w:w="3133" w:type="dxa"/>
          </w:tcPr>
          <w:p w:rsidR="00DE4DDA" w:rsidRPr="00632DE4" w:rsidRDefault="00DE4DDA" w:rsidP="002A51CA">
            <w:pPr>
              <w:rPr>
                <w:rFonts w:ascii="Franklin Gothic Book" w:hAnsi="Franklin Gothic Book"/>
                <w:b/>
                <w:sz w:val="17"/>
                <w:szCs w:val="17"/>
              </w:rPr>
            </w:pPr>
            <w:r w:rsidRPr="00632DE4">
              <w:rPr>
                <w:rFonts w:ascii="Franklin Gothic Book" w:hAnsi="Franklin Gothic Book"/>
                <w:b/>
                <w:sz w:val="17"/>
                <w:szCs w:val="17"/>
              </w:rPr>
              <w:t>What actions were taken to manage the risks over the past year?</w:t>
            </w:r>
          </w:p>
        </w:tc>
        <w:tc>
          <w:tcPr>
            <w:tcW w:w="2268" w:type="dxa"/>
          </w:tcPr>
          <w:p w:rsidR="00DE4DDA" w:rsidRPr="00632DE4" w:rsidRDefault="00DE4DDA" w:rsidP="002A51CA">
            <w:pPr>
              <w:rPr>
                <w:rFonts w:ascii="Franklin Gothic Book" w:hAnsi="Franklin Gothic Book"/>
                <w:b/>
                <w:sz w:val="17"/>
                <w:szCs w:val="17"/>
              </w:rPr>
            </w:pPr>
            <w:r w:rsidRPr="00632DE4">
              <w:rPr>
                <w:rFonts w:ascii="Franklin Gothic Book" w:hAnsi="Franklin Gothic Book"/>
                <w:b/>
                <w:sz w:val="17"/>
                <w:szCs w:val="17"/>
              </w:rPr>
              <w:t>What further actions will be taken to manage the risks in the coming year?</w:t>
            </w:r>
          </w:p>
        </w:tc>
        <w:tc>
          <w:tcPr>
            <w:tcW w:w="1769" w:type="dxa"/>
          </w:tcPr>
          <w:p w:rsidR="00DE4DDA" w:rsidRPr="00632DE4" w:rsidRDefault="00DE4DDA" w:rsidP="008A425D">
            <w:pPr>
              <w:rPr>
                <w:rFonts w:ascii="Franklin Gothic Book" w:hAnsi="Franklin Gothic Book"/>
                <w:b/>
                <w:sz w:val="17"/>
                <w:szCs w:val="17"/>
              </w:rPr>
            </w:pPr>
            <w:r w:rsidRPr="00632DE4">
              <w:rPr>
                <w:rFonts w:ascii="Franklin Gothic Book" w:hAnsi="Franklin Gothic Book"/>
                <w:b/>
                <w:sz w:val="17"/>
                <w:szCs w:val="17"/>
              </w:rPr>
              <w:t>For emerging/ ongoing risks provide a Risk Rating (low, med, high, very high)</w:t>
            </w:r>
          </w:p>
        </w:tc>
        <w:tc>
          <w:tcPr>
            <w:tcW w:w="1492" w:type="dxa"/>
          </w:tcPr>
          <w:p w:rsidR="00DE4DDA" w:rsidRPr="00632DE4" w:rsidRDefault="00DE4DDA" w:rsidP="002A51CA">
            <w:pPr>
              <w:rPr>
                <w:rFonts w:ascii="Franklin Gothic Book" w:hAnsi="Franklin Gothic Book"/>
                <w:b/>
                <w:sz w:val="17"/>
                <w:szCs w:val="17"/>
              </w:rPr>
            </w:pPr>
            <w:r w:rsidRPr="00632DE4">
              <w:rPr>
                <w:rFonts w:ascii="Franklin Gothic Book" w:hAnsi="Franklin Gothic Book"/>
                <w:b/>
                <w:sz w:val="17"/>
                <w:szCs w:val="17"/>
              </w:rPr>
              <w:t>Are these same risks in in Post’s Risk Register (Yes/No)*</w:t>
            </w:r>
          </w:p>
        </w:tc>
      </w:tr>
      <w:tr w:rsidR="00DE4DDA" w:rsidRPr="00632DE4" w:rsidTr="000D7E91">
        <w:tc>
          <w:tcPr>
            <w:tcW w:w="1687" w:type="dxa"/>
          </w:tcPr>
          <w:p w:rsidR="00DE4DDA" w:rsidRPr="00632DE4" w:rsidRDefault="00DE4DDA" w:rsidP="008A425D">
            <w:pPr>
              <w:spacing w:before="0" w:after="0" w:line="240" w:lineRule="auto"/>
              <w:rPr>
                <w:rFonts w:ascii="Franklin Gothic Book" w:hAnsi="Franklin Gothic Book"/>
                <w:sz w:val="17"/>
                <w:szCs w:val="17"/>
              </w:rPr>
            </w:pPr>
            <w:r w:rsidRPr="00632DE4">
              <w:rPr>
                <w:rFonts w:ascii="Franklin Gothic Book" w:hAnsi="Franklin Gothic Book"/>
                <w:sz w:val="17"/>
                <w:szCs w:val="17"/>
              </w:rPr>
              <w:t>Economic shocks or natural disasters to Vanuatu (such as global shocks, shocks to tourism including the airport, cyclones, earthquakes</w:t>
            </w:r>
            <w:r w:rsidR="00370C63">
              <w:rPr>
                <w:rFonts w:ascii="Franklin Gothic Book" w:hAnsi="Franklin Gothic Book"/>
                <w:sz w:val="17"/>
                <w:szCs w:val="17"/>
              </w:rPr>
              <w:t>,</w:t>
            </w:r>
            <w:r w:rsidRPr="00632DE4">
              <w:rPr>
                <w:rFonts w:ascii="Franklin Gothic Book" w:hAnsi="Franklin Gothic Book"/>
                <w:sz w:val="17"/>
                <w:szCs w:val="17"/>
              </w:rPr>
              <w:t xml:space="preserve"> volcanos</w:t>
            </w:r>
            <w:r w:rsidR="00370C63">
              <w:rPr>
                <w:rFonts w:ascii="Franklin Gothic Book" w:hAnsi="Franklin Gothic Book"/>
                <w:sz w:val="17"/>
                <w:szCs w:val="17"/>
              </w:rPr>
              <w:t xml:space="preserve"> or tsunamis</w:t>
            </w:r>
            <w:r w:rsidRPr="00632DE4">
              <w:rPr>
                <w:rFonts w:ascii="Franklin Gothic Book" w:hAnsi="Franklin Gothic Book"/>
                <w:sz w:val="17"/>
                <w:szCs w:val="17"/>
              </w:rPr>
              <w:t>)</w:t>
            </w:r>
          </w:p>
        </w:tc>
        <w:tc>
          <w:tcPr>
            <w:tcW w:w="3133" w:type="dxa"/>
          </w:tcPr>
          <w:p w:rsidR="00DE4DDA" w:rsidRPr="00632DE4" w:rsidRDefault="00DE4DDA" w:rsidP="00622F99">
            <w:pPr>
              <w:pStyle w:val="ListParagraph"/>
              <w:numPr>
                <w:ilvl w:val="0"/>
                <w:numId w:val="58"/>
              </w:numPr>
              <w:ind w:left="44"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 xml:space="preserve">Climate change and disaster resilience built into aid programs    </w:t>
            </w:r>
          </w:p>
          <w:p w:rsidR="00DE4DDA" w:rsidRPr="00632DE4" w:rsidRDefault="00DE4DDA" w:rsidP="00622F99">
            <w:pPr>
              <w:pStyle w:val="ListParagraph"/>
              <w:numPr>
                <w:ilvl w:val="1"/>
                <w:numId w:val="58"/>
              </w:numPr>
              <w:ind w:left="44"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Amend program implementation as required to ensure continued relevance.</w:t>
            </w:r>
          </w:p>
          <w:p w:rsidR="008F6E04" w:rsidRPr="00632DE4" w:rsidRDefault="00DE4DDA" w:rsidP="005D20F9">
            <w:pPr>
              <w:pStyle w:val="ListParagraph"/>
              <w:numPr>
                <w:ilvl w:val="1"/>
                <w:numId w:val="77"/>
              </w:numPr>
              <w:ind w:left="46"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Support GoV (through GfG) to address challenges to broad-based growth and effective service delivery</w:t>
            </w:r>
          </w:p>
          <w:p w:rsidR="00DE4DDA" w:rsidRPr="0017474D" w:rsidRDefault="00DE4DDA" w:rsidP="008A425D">
            <w:pPr>
              <w:pStyle w:val="ListParagraph"/>
              <w:numPr>
                <w:ilvl w:val="1"/>
                <w:numId w:val="77"/>
              </w:numPr>
              <w:ind w:left="46"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 xml:space="preserve">Continue to monitor /undertake analysis of </w:t>
            </w:r>
            <w:r w:rsidR="00B03E7E">
              <w:rPr>
                <w:rFonts w:ascii="Franklin Gothic Book" w:hAnsi="Franklin Gothic Book"/>
                <w:color w:val="495965" w:themeColor="text2"/>
                <w:sz w:val="17"/>
                <w:szCs w:val="17"/>
              </w:rPr>
              <w:t xml:space="preserve">the </w:t>
            </w:r>
            <w:r w:rsidRPr="00632DE4">
              <w:rPr>
                <w:rFonts w:ascii="Franklin Gothic Book" w:hAnsi="Franklin Gothic Book"/>
                <w:color w:val="495965" w:themeColor="text2"/>
                <w:sz w:val="17"/>
                <w:szCs w:val="17"/>
              </w:rPr>
              <w:t>economy</w:t>
            </w:r>
            <w:r w:rsidR="002C7250">
              <w:rPr>
                <w:rFonts w:ascii="Franklin Gothic Book" w:hAnsi="Franklin Gothic Book"/>
                <w:color w:val="495965" w:themeColor="text2"/>
                <w:sz w:val="17"/>
                <w:szCs w:val="17"/>
              </w:rPr>
              <w:t xml:space="preserve"> and advocate for sound economic management</w:t>
            </w:r>
            <w:r w:rsidR="00B03E7E">
              <w:rPr>
                <w:rFonts w:ascii="Franklin Gothic Book" w:hAnsi="Franklin Gothic Book"/>
                <w:color w:val="495965" w:themeColor="text2"/>
                <w:sz w:val="17"/>
                <w:szCs w:val="17"/>
              </w:rPr>
              <w:t>.</w:t>
            </w:r>
            <w:r w:rsidRPr="00632DE4">
              <w:rPr>
                <w:rFonts w:ascii="Franklin Gothic Book" w:hAnsi="Franklin Gothic Book"/>
                <w:color w:val="495965" w:themeColor="text2"/>
                <w:sz w:val="17"/>
                <w:szCs w:val="17"/>
              </w:rPr>
              <w:t xml:space="preserve">          </w:t>
            </w:r>
            <w:r w:rsidRPr="0017474D">
              <w:rPr>
                <w:rFonts w:ascii="Franklin Gothic Book" w:hAnsi="Franklin Gothic Book"/>
                <w:color w:val="495965" w:themeColor="text2"/>
                <w:sz w:val="17"/>
                <w:szCs w:val="17"/>
              </w:rPr>
              <w:t xml:space="preserve">           </w:t>
            </w:r>
          </w:p>
        </w:tc>
        <w:tc>
          <w:tcPr>
            <w:tcW w:w="2268" w:type="dxa"/>
          </w:tcPr>
          <w:p w:rsidR="009215E4" w:rsidRPr="00632DE4" w:rsidRDefault="009215E4" w:rsidP="00622F99">
            <w:pPr>
              <w:pStyle w:val="ListParagraph"/>
              <w:numPr>
                <w:ilvl w:val="0"/>
                <w:numId w:val="63"/>
              </w:numPr>
              <w:ind w:left="31" w:hanging="153"/>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Build in flexibility to new program designs to channel additional funds in times of disaster or economic shock</w:t>
            </w:r>
          </w:p>
          <w:p w:rsidR="00DE4DDA" w:rsidRPr="00632DE4" w:rsidRDefault="00DE4DDA" w:rsidP="00622F99">
            <w:pPr>
              <w:pStyle w:val="ListParagraph"/>
              <w:numPr>
                <w:ilvl w:val="0"/>
                <w:numId w:val="63"/>
              </w:numPr>
              <w:ind w:left="31" w:hanging="153"/>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Develop capacity of emergency clusters to respond</w:t>
            </w:r>
            <w:r w:rsidR="004F1770">
              <w:rPr>
                <w:rFonts w:ascii="Franklin Gothic Book" w:hAnsi="Franklin Gothic Book"/>
                <w:color w:val="495965" w:themeColor="text2"/>
                <w:sz w:val="17"/>
                <w:szCs w:val="17"/>
              </w:rPr>
              <w:t>.</w:t>
            </w:r>
          </w:p>
        </w:tc>
        <w:tc>
          <w:tcPr>
            <w:tcW w:w="1769" w:type="dxa"/>
          </w:tcPr>
          <w:p w:rsidR="00DE4DDA" w:rsidRPr="00632DE4" w:rsidRDefault="00DE4DDA" w:rsidP="00622F99">
            <w:pPr>
              <w:spacing w:before="0" w:after="0" w:line="240" w:lineRule="auto"/>
              <w:rPr>
                <w:rFonts w:ascii="Franklin Gothic Book" w:hAnsi="Franklin Gothic Book"/>
                <w:sz w:val="17"/>
                <w:szCs w:val="17"/>
              </w:rPr>
            </w:pPr>
            <w:r w:rsidRPr="00632DE4">
              <w:rPr>
                <w:rFonts w:ascii="Franklin Gothic Book" w:hAnsi="Franklin Gothic Book"/>
                <w:sz w:val="17"/>
                <w:szCs w:val="17"/>
              </w:rPr>
              <w:t>High</w:t>
            </w:r>
          </w:p>
        </w:tc>
        <w:tc>
          <w:tcPr>
            <w:tcW w:w="1492" w:type="dxa"/>
          </w:tcPr>
          <w:p w:rsidR="00DE4DDA" w:rsidRPr="00632DE4" w:rsidRDefault="00DE4DDA" w:rsidP="00622F99">
            <w:pPr>
              <w:spacing w:before="0" w:after="0" w:line="240" w:lineRule="auto"/>
              <w:rPr>
                <w:rFonts w:ascii="Franklin Gothic Book" w:hAnsi="Franklin Gothic Book"/>
                <w:sz w:val="17"/>
                <w:szCs w:val="17"/>
              </w:rPr>
            </w:pPr>
            <w:r w:rsidRPr="00632DE4">
              <w:rPr>
                <w:rFonts w:ascii="Franklin Gothic Book" w:hAnsi="Franklin Gothic Book"/>
                <w:sz w:val="17"/>
                <w:szCs w:val="17"/>
              </w:rPr>
              <w:t>Yes</w:t>
            </w:r>
          </w:p>
        </w:tc>
      </w:tr>
      <w:tr w:rsidR="00DE4DDA" w:rsidRPr="00632DE4" w:rsidTr="000D7E91">
        <w:trPr>
          <w:trHeight w:val="2540"/>
        </w:trPr>
        <w:tc>
          <w:tcPr>
            <w:tcW w:w="1687" w:type="dxa"/>
          </w:tcPr>
          <w:p w:rsidR="00DE4DDA" w:rsidRPr="00632DE4" w:rsidRDefault="001605F5" w:rsidP="00622F99">
            <w:pPr>
              <w:keepLines/>
              <w:spacing w:before="40" w:after="40" w:line="240" w:lineRule="auto"/>
              <w:rPr>
                <w:rFonts w:ascii="Franklin Gothic Book" w:hAnsi="Franklin Gothic Book"/>
                <w:sz w:val="17"/>
                <w:szCs w:val="17"/>
              </w:rPr>
            </w:pPr>
            <w:r w:rsidRPr="00632DE4">
              <w:rPr>
                <w:rFonts w:ascii="Franklin Gothic Book" w:hAnsi="Franklin Gothic Book"/>
                <w:sz w:val="17"/>
                <w:szCs w:val="17"/>
              </w:rPr>
              <w:lastRenderedPageBreak/>
              <w:t>Political instability and capacity and HR constraints in government institutions</w:t>
            </w:r>
          </w:p>
        </w:tc>
        <w:tc>
          <w:tcPr>
            <w:tcW w:w="3133" w:type="dxa"/>
          </w:tcPr>
          <w:p w:rsidR="001605F5" w:rsidRPr="00632DE4" w:rsidRDefault="001605F5" w:rsidP="00622F99">
            <w:pPr>
              <w:pStyle w:val="ListParagraph"/>
              <w:numPr>
                <w:ilvl w:val="0"/>
                <w:numId w:val="61"/>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Regular engagement across GoV to ensure shared understanding of relationship and programs</w:t>
            </w:r>
          </w:p>
          <w:p w:rsidR="008F6E04" w:rsidRPr="00632DE4" w:rsidRDefault="008F6E04" w:rsidP="00622F99">
            <w:pPr>
              <w:pStyle w:val="ListParagraph"/>
              <w:numPr>
                <w:ilvl w:val="0"/>
                <w:numId w:val="61"/>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Develop and be guided by key agreements, such as MOUs</w:t>
            </w:r>
          </w:p>
          <w:p w:rsidR="008F6E04" w:rsidRPr="00632DE4" w:rsidRDefault="008F6E04" w:rsidP="00622F99">
            <w:pPr>
              <w:pStyle w:val="ListParagraph"/>
              <w:numPr>
                <w:ilvl w:val="0"/>
                <w:numId w:val="61"/>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Work with agreed program priorities and work plans</w:t>
            </w:r>
          </w:p>
          <w:p w:rsidR="00DE4DDA" w:rsidRDefault="008F6E04" w:rsidP="00622F99">
            <w:pPr>
              <w:pStyle w:val="ListParagraph"/>
              <w:numPr>
                <w:ilvl w:val="0"/>
                <w:numId w:val="61"/>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Strong engagement with central agencies for oversight of line ministry policy and expenditure</w:t>
            </w:r>
            <w:r w:rsidR="001605F5" w:rsidRPr="00632DE4">
              <w:rPr>
                <w:rFonts w:ascii="Franklin Gothic Book" w:hAnsi="Franklin Gothic Book"/>
                <w:color w:val="495965" w:themeColor="text2"/>
                <w:sz w:val="17"/>
                <w:szCs w:val="17"/>
              </w:rPr>
              <w:t xml:space="preserve">  </w:t>
            </w:r>
          </w:p>
          <w:p w:rsidR="00904B0E" w:rsidRPr="00632DE4" w:rsidRDefault="00904B0E" w:rsidP="000D7E91">
            <w:pPr>
              <w:pStyle w:val="ListParagraph"/>
              <w:numPr>
                <w:ilvl w:val="0"/>
                <w:numId w:val="61"/>
              </w:numPr>
              <w:ind w:left="46" w:hanging="107"/>
              <w:rPr>
                <w:rFonts w:ascii="Franklin Gothic Book" w:hAnsi="Franklin Gothic Book"/>
                <w:color w:val="495965" w:themeColor="text2"/>
                <w:sz w:val="17"/>
                <w:szCs w:val="17"/>
              </w:rPr>
            </w:pPr>
            <w:r>
              <w:rPr>
                <w:rFonts w:ascii="Franklin Gothic Book" w:hAnsi="Franklin Gothic Book"/>
                <w:color w:val="495965" w:themeColor="text2"/>
                <w:sz w:val="17"/>
                <w:szCs w:val="17"/>
              </w:rPr>
              <w:t>Hold annual high level talks to reflect and adjust engagement</w:t>
            </w:r>
            <w:r w:rsidR="000D7E91">
              <w:rPr>
                <w:rFonts w:ascii="Franklin Gothic Book" w:hAnsi="Franklin Gothic Book"/>
                <w:color w:val="495965" w:themeColor="text2"/>
                <w:sz w:val="17"/>
                <w:szCs w:val="17"/>
              </w:rPr>
              <w:t>.</w:t>
            </w:r>
          </w:p>
        </w:tc>
        <w:tc>
          <w:tcPr>
            <w:tcW w:w="2268" w:type="dxa"/>
          </w:tcPr>
          <w:p w:rsidR="001605F5" w:rsidRPr="00632DE4" w:rsidRDefault="008F6E04" w:rsidP="00622F99">
            <w:pPr>
              <w:pStyle w:val="ListParagraph"/>
              <w:numPr>
                <w:ilvl w:val="0"/>
                <w:numId w:val="59"/>
              </w:numPr>
              <w:ind w:left="31"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Increase Ministerial engagement between governments and engagement with MPs and senior officials</w:t>
            </w:r>
          </w:p>
          <w:p w:rsidR="008F6E04" w:rsidRPr="00632DE4" w:rsidRDefault="008F6E04" w:rsidP="00622F99">
            <w:pPr>
              <w:pStyle w:val="ListParagraph"/>
              <w:numPr>
                <w:ilvl w:val="0"/>
                <w:numId w:val="59"/>
              </w:numPr>
              <w:ind w:left="31"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Build sufficient flexibility in new programs to respond to changing circumstances while maintaining intended focus</w:t>
            </w:r>
          </w:p>
          <w:p w:rsidR="001605F5" w:rsidRPr="00632DE4" w:rsidRDefault="001605F5" w:rsidP="00622F99">
            <w:pPr>
              <w:pStyle w:val="ListParagraph"/>
              <w:numPr>
                <w:ilvl w:val="0"/>
                <w:numId w:val="59"/>
              </w:numPr>
              <w:ind w:left="31" w:hanging="14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Commence preparatory work on development of the new Aid Investment Plan</w:t>
            </w:r>
            <w:r w:rsidR="00904B0E">
              <w:rPr>
                <w:rFonts w:ascii="Franklin Gothic Book" w:hAnsi="Franklin Gothic Book"/>
                <w:color w:val="495965" w:themeColor="text2"/>
                <w:sz w:val="17"/>
                <w:szCs w:val="17"/>
              </w:rPr>
              <w:t>.</w:t>
            </w:r>
          </w:p>
        </w:tc>
        <w:tc>
          <w:tcPr>
            <w:tcW w:w="1769" w:type="dxa"/>
          </w:tcPr>
          <w:p w:rsidR="00DE4DDA" w:rsidRPr="00632DE4" w:rsidRDefault="001605F5" w:rsidP="00622F99">
            <w:pPr>
              <w:spacing w:line="240" w:lineRule="auto"/>
              <w:rPr>
                <w:rFonts w:ascii="Franklin Gothic Book" w:hAnsi="Franklin Gothic Book"/>
                <w:sz w:val="17"/>
                <w:szCs w:val="17"/>
              </w:rPr>
            </w:pPr>
            <w:r w:rsidRPr="00632DE4">
              <w:rPr>
                <w:rFonts w:ascii="Franklin Gothic Book" w:hAnsi="Franklin Gothic Book"/>
                <w:sz w:val="17"/>
                <w:szCs w:val="17"/>
              </w:rPr>
              <w:t>HIgh</w:t>
            </w:r>
          </w:p>
        </w:tc>
        <w:tc>
          <w:tcPr>
            <w:tcW w:w="1492" w:type="dxa"/>
          </w:tcPr>
          <w:p w:rsidR="00DE4DDA" w:rsidRPr="00632DE4" w:rsidRDefault="001605F5" w:rsidP="00622F99">
            <w:pPr>
              <w:spacing w:line="240" w:lineRule="auto"/>
              <w:rPr>
                <w:rFonts w:ascii="Franklin Gothic Book" w:hAnsi="Franklin Gothic Book"/>
                <w:sz w:val="17"/>
                <w:szCs w:val="17"/>
              </w:rPr>
            </w:pPr>
            <w:r w:rsidRPr="00632DE4">
              <w:rPr>
                <w:rFonts w:ascii="Franklin Gothic Book" w:hAnsi="Franklin Gothic Book"/>
                <w:sz w:val="17"/>
                <w:szCs w:val="17"/>
              </w:rPr>
              <w:t>Yes</w:t>
            </w:r>
          </w:p>
        </w:tc>
      </w:tr>
      <w:tr w:rsidR="00DE4DDA" w:rsidRPr="00632DE4" w:rsidTr="000D7E91">
        <w:tc>
          <w:tcPr>
            <w:tcW w:w="1687" w:type="dxa"/>
          </w:tcPr>
          <w:p w:rsidR="00DE4DDA" w:rsidRPr="00632DE4" w:rsidRDefault="008F6E04" w:rsidP="00622F99">
            <w:pPr>
              <w:spacing w:line="240" w:lineRule="auto"/>
              <w:rPr>
                <w:rFonts w:ascii="Franklin Gothic Book" w:hAnsi="Franklin Gothic Book"/>
                <w:sz w:val="17"/>
                <w:szCs w:val="17"/>
              </w:rPr>
            </w:pPr>
            <w:r w:rsidRPr="00632DE4">
              <w:rPr>
                <w:rFonts w:ascii="Franklin Gothic Book" w:hAnsi="Franklin Gothic Book"/>
                <w:sz w:val="17"/>
                <w:szCs w:val="17"/>
              </w:rPr>
              <w:t xml:space="preserve">Breach of environmental and social safeguards </w:t>
            </w:r>
          </w:p>
        </w:tc>
        <w:tc>
          <w:tcPr>
            <w:tcW w:w="3133" w:type="dxa"/>
          </w:tcPr>
          <w:p w:rsidR="007D6837" w:rsidRPr="00632DE4" w:rsidRDefault="007D6837" w:rsidP="00622F99">
            <w:pPr>
              <w:pStyle w:val="ListParagraph"/>
              <w:numPr>
                <w:ilvl w:val="0"/>
                <w:numId w:val="64"/>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Do no harm by seeking to protect the rights, health, safety and livelihoods of all people (inc children, women and vulnerable people)</w:t>
            </w:r>
          </w:p>
          <w:p w:rsidR="00DE4DDA" w:rsidRPr="00632DE4" w:rsidRDefault="008F6E04" w:rsidP="00622F99">
            <w:pPr>
              <w:pStyle w:val="ListParagraph"/>
              <w:numPr>
                <w:ilvl w:val="0"/>
                <w:numId w:val="64"/>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Identify, assess and manage environmental and social impacts</w:t>
            </w:r>
          </w:p>
          <w:p w:rsidR="007D6837" w:rsidRPr="00632DE4" w:rsidRDefault="007D6837" w:rsidP="00622F99">
            <w:pPr>
              <w:pStyle w:val="ListParagraph"/>
              <w:numPr>
                <w:ilvl w:val="0"/>
                <w:numId w:val="64"/>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Comply with GoV safeguard laws and policies</w:t>
            </w:r>
          </w:p>
          <w:p w:rsidR="007D6837" w:rsidRPr="00632DE4" w:rsidRDefault="007D6837" w:rsidP="00622F99">
            <w:pPr>
              <w:pStyle w:val="ListParagraph"/>
              <w:numPr>
                <w:ilvl w:val="0"/>
                <w:numId w:val="64"/>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Ensure child protection policies in place and implemented by all partners</w:t>
            </w:r>
          </w:p>
        </w:tc>
        <w:tc>
          <w:tcPr>
            <w:tcW w:w="2268" w:type="dxa"/>
          </w:tcPr>
          <w:p w:rsidR="00DE4DDA" w:rsidRPr="00632DE4" w:rsidRDefault="007D6837" w:rsidP="00622F99">
            <w:pPr>
              <w:pStyle w:val="ListParagraph"/>
              <w:numPr>
                <w:ilvl w:val="0"/>
                <w:numId w:val="64"/>
              </w:numPr>
              <w:ind w:left="31" w:hanging="12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Undertake child protection risk assessments on new programs and capture in DFAT’s risk management system</w:t>
            </w:r>
          </w:p>
          <w:p w:rsidR="007D6837" w:rsidRPr="00632DE4" w:rsidRDefault="007D6837" w:rsidP="000D7E91">
            <w:pPr>
              <w:pStyle w:val="ListParagraph"/>
              <w:numPr>
                <w:ilvl w:val="0"/>
                <w:numId w:val="64"/>
              </w:numPr>
              <w:ind w:left="31" w:hanging="122"/>
              <w:rPr>
                <w:rFonts w:ascii="Franklin Gothic Book" w:hAnsi="Franklin Gothic Book"/>
                <w:sz w:val="17"/>
                <w:szCs w:val="17"/>
              </w:rPr>
            </w:pPr>
            <w:r w:rsidRPr="00632DE4">
              <w:rPr>
                <w:rFonts w:ascii="Franklin Gothic Book" w:hAnsi="Franklin Gothic Book"/>
                <w:color w:val="495965" w:themeColor="text2"/>
                <w:sz w:val="17"/>
                <w:szCs w:val="17"/>
              </w:rPr>
              <w:t>Identify opportunities to work with GoV on environmental protection standards</w:t>
            </w:r>
          </w:p>
        </w:tc>
        <w:tc>
          <w:tcPr>
            <w:tcW w:w="1769" w:type="dxa"/>
          </w:tcPr>
          <w:p w:rsidR="00DE4DDA" w:rsidRPr="00632DE4" w:rsidRDefault="007D6837" w:rsidP="00622F99">
            <w:pPr>
              <w:spacing w:line="240" w:lineRule="auto"/>
              <w:rPr>
                <w:rFonts w:ascii="Franklin Gothic Book" w:hAnsi="Franklin Gothic Book"/>
                <w:sz w:val="17"/>
                <w:szCs w:val="17"/>
              </w:rPr>
            </w:pPr>
            <w:r w:rsidRPr="00632DE4">
              <w:rPr>
                <w:rFonts w:ascii="Franklin Gothic Book" w:hAnsi="Franklin Gothic Book"/>
                <w:sz w:val="17"/>
                <w:szCs w:val="17"/>
              </w:rPr>
              <w:t>Medium</w:t>
            </w:r>
          </w:p>
        </w:tc>
        <w:tc>
          <w:tcPr>
            <w:tcW w:w="1492" w:type="dxa"/>
          </w:tcPr>
          <w:p w:rsidR="00DE4DDA" w:rsidRPr="00632DE4" w:rsidRDefault="007D6837" w:rsidP="00622F99">
            <w:pPr>
              <w:spacing w:line="240" w:lineRule="auto"/>
              <w:rPr>
                <w:rFonts w:ascii="Franklin Gothic Book" w:hAnsi="Franklin Gothic Book"/>
                <w:sz w:val="17"/>
                <w:szCs w:val="17"/>
              </w:rPr>
            </w:pPr>
            <w:r w:rsidRPr="00632DE4">
              <w:rPr>
                <w:rFonts w:ascii="Franklin Gothic Book" w:hAnsi="Franklin Gothic Book"/>
                <w:sz w:val="17"/>
                <w:szCs w:val="17"/>
              </w:rPr>
              <w:t>Yes</w:t>
            </w:r>
          </w:p>
        </w:tc>
      </w:tr>
      <w:tr w:rsidR="00DE4DDA" w:rsidRPr="00632DE4" w:rsidTr="000D7E91">
        <w:tc>
          <w:tcPr>
            <w:tcW w:w="1687" w:type="dxa"/>
          </w:tcPr>
          <w:p w:rsidR="001605F5" w:rsidRPr="00632DE4" w:rsidRDefault="001605F5" w:rsidP="00622F99">
            <w:pPr>
              <w:keepLines/>
              <w:spacing w:before="0" w:after="0" w:line="240" w:lineRule="auto"/>
              <w:rPr>
                <w:rFonts w:ascii="Franklin Gothic Book" w:hAnsi="Franklin Gothic Book"/>
                <w:iCs/>
                <w:sz w:val="17"/>
                <w:szCs w:val="17"/>
              </w:rPr>
            </w:pPr>
            <w:r w:rsidRPr="00632DE4">
              <w:rPr>
                <w:rFonts w:ascii="Franklin Gothic Book" w:hAnsi="Franklin Gothic Book"/>
                <w:iCs/>
                <w:sz w:val="17"/>
                <w:szCs w:val="17"/>
              </w:rPr>
              <w:t>Fiduciary risk:</w:t>
            </w:r>
          </w:p>
          <w:p w:rsidR="00DE4DDA" w:rsidRPr="00632DE4" w:rsidRDefault="000D7E91" w:rsidP="00622F99">
            <w:pPr>
              <w:keepLines/>
              <w:spacing w:before="0" w:after="0" w:line="240" w:lineRule="auto"/>
              <w:rPr>
                <w:rFonts w:ascii="Franklin Gothic Book" w:hAnsi="Franklin Gothic Book"/>
                <w:sz w:val="17"/>
                <w:szCs w:val="17"/>
              </w:rPr>
            </w:pPr>
            <w:r>
              <w:rPr>
                <w:rFonts w:ascii="Franklin Gothic Book" w:hAnsi="Franklin Gothic Book"/>
                <w:iCs/>
                <w:sz w:val="17"/>
                <w:szCs w:val="17"/>
              </w:rPr>
              <w:t>F</w:t>
            </w:r>
            <w:r w:rsidR="001605F5" w:rsidRPr="00632DE4">
              <w:rPr>
                <w:rFonts w:ascii="Franklin Gothic Book" w:hAnsi="Franklin Gothic Book"/>
                <w:iCs/>
                <w:sz w:val="17"/>
                <w:szCs w:val="17"/>
              </w:rPr>
              <w:t xml:space="preserve">unds are misused or misallocated                                GoV reduces investment in priority sectors/ areas                           </w:t>
            </w:r>
            <w:r>
              <w:rPr>
                <w:rFonts w:ascii="Franklin Gothic Book" w:hAnsi="Franklin Gothic Book"/>
                <w:iCs/>
                <w:sz w:val="17"/>
                <w:szCs w:val="17"/>
              </w:rPr>
              <w:t>L</w:t>
            </w:r>
            <w:r w:rsidR="001605F5" w:rsidRPr="00632DE4">
              <w:rPr>
                <w:rFonts w:ascii="Franklin Gothic Book" w:hAnsi="Franklin Gothic Book"/>
                <w:iCs/>
                <w:sz w:val="17"/>
                <w:szCs w:val="17"/>
              </w:rPr>
              <w:t xml:space="preserve">imited value for money                                         </w:t>
            </w:r>
            <w:r>
              <w:rPr>
                <w:rFonts w:ascii="Franklin Gothic Book" w:hAnsi="Franklin Gothic Book"/>
                <w:iCs/>
                <w:sz w:val="17"/>
                <w:szCs w:val="17"/>
              </w:rPr>
              <w:t>N</w:t>
            </w:r>
            <w:r w:rsidR="001605F5" w:rsidRPr="00632DE4">
              <w:rPr>
                <w:rFonts w:ascii="Franklin Gothic Book" w:hAnsi="Franklin Gothic Book"/>
                <w:iCs/>
                <w:sz w:val="17"/>
                <w:szCs w:val="17"/>
              </w:rPr>
              <w:t>on-compliance with procurement requirements</w:t>
            </w:r>
            <w:r w:rsidR="004F5E2F" w:rsidRPr="00632DE4">
              <w:rPr>
                <w:rFonts w:ascii="Franklin Gothic Book" w:hAnsi="Franklin Gothic Book"/>
                <w:iCs/>
                <w:sz w:val="17"/>
                <w:szCs w:val="17"/>
              </w:rPr>
              <w:t>.</w:t>
            </w:r>
          </w:p>
        </w:tc>
        <w:tc>
          <w:tcPr>
            <w:tcW w:w="3133" w:type="dxa"/>
          </w:tcPr>
          <w:p w:rsidR="00DE4DDA" w:rsidRPr="00632DE4" w:rsidRDefault="004F5E2F" w:rsidP="00622F99">
            <w:pPr>
              <w:pStyle w:val="ListParagraph"/>
              <w:numPr>
                <w:ilvl w:val="0"/>
                <w:numId w:val="65"/>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Undertake regular assessment of national systems</w:t>
            </w:r>
          </w:p>
          <w:p w:rsidR="004F5E2F" w:rsidRPr="00632DE4" w:rsidRDefault="004F5E2F" w:rsidP="00622F99">
            <w:pPr>
              <w:pStyle w:val="ListParagraph"/>
              <w:numPr>
                <w:ilvl w:val="0"/>
                <w:numId w:val="65"/>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Use of technical support (inc. audit and finance officers) where appropriate to manage and monitor funds</w:t>
            </w:r>
          </w:p>
          <w:p w:rsidR="004F5E2F" w:rsidRPr="00632DE4" w:rsidRDefault="004F5E2F" w:rsidP="00622F99">
            <w:pPr>
              <w:pStyle w:val="ListParagraph"/>
              <w:numPr>
                <w:ilvl w:val="0"/>
                <w:numId w:val="65"/>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Regular reporting, acquittals and audits of program funds</w:t>
            </w:r>
          </w:p>
          <w:p w:rsidR="004F5E2F" w:rsidRPr="00632DE4" w:rsidRDefault="004F5E2F" w:rsidP="00622F99">
            <w:pPr>
              <w:pStyle w:val="ListParagraph"/>
              <w:numPr>
                <w:ilvl w:val="0"/>
                <w:numId w:val="65"/>
              </w:numPr>
              <w:ind w:left="46" w:hanging="107"/>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Undertake due diligence assessments on partners (exc GoV)</w:t>
            </w:r>
          </w:p>
          <w:p w:rsidR="004F5E2F" w:rsidRPr="00632DE4" w:rsidRDefault="004F5E2F" w:rsidP="000D7E91">
            <w:pPr>
              <w:pStyle w:val="ListParagraph"/>
              <w:numPr>
                <w:ilvl w:val="0"/>
                <w:numId w:val="65"/>
              </w:numPr>
              <w:ind w:left="46" w:hanging="107"/>
              <w:rPr>
                <w:rFonts w:ascii="Franklin Gothic Book" w:hAnsi="Franklin Gothic Book"/>
                <w:sz w:val="17"/>
                <w:szCs w:val="17"/>
              </w:rPr>
            </w:pPr>
            <w:r w:rsidRPr="00632DE4">
              <w:rPr>
                <w:rFonts w:ascii="Franklin Gothic Book" w:hAnsi="Franklin Gothic Book"/>
                <w:color w:val="495965" w:themeColor="text2"/>
                <w:sz w:val="17"/>
                <w:szCs w:val="17"/>
              </w:rPr>
              <w:t>Zero tolerance policy implemented for mis-use of funds or fraud.</w:t>
            </w:r>
          </w:p>
        </w:tc>
        <w:tc>
          <w:tcPr>
            <w:tcW w:w="2268" w:type="dxa"/>
          </w:tcPr>
          <w:p w:rsidR="00DE4DDA" w:rsidRPr="00632DE4" w:rsidRDefault="004F5E2F" w:rsidP="00622F99">
            <w:pPr>
              <w:pStyle w:val="ListParagraph"/>
              <w:numPr>
                <w:ilvl w:val="0"/>
                <w:numId w:val="65"/>
              </w:numPr>
              <w:ind w:left="31" w:hanging="12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Six monthly reporting on</w:t>
            </w:r>
            <w:r w:rsidR="0037261C">
              <w:rPr>
                <w:rFonts w:ascii="Franklin Gothic Book" w:hAnsi="Franklin Gothic Book"/>
                <w:color w:val="495965" w:themeColor="text2"/>
                <w:sz w:val="17"/>
                <w:szCs w:val="17"/>
              </w:rPr>
              <w:t xml:space="preserve"> all</w:t>
            </w:r>
            <w:r w:rsidRPr="00632DE4">
              <w:rPr>
                <w:rFonts w:ascii="Franklin Gothic Book" w:hAnsi="Franklin Gothic Book"/>
                <w:color w:val="495965" w:themeColor="text2"/>
                <w:sz w:val="17"/>
                <w:szCs w:val="17"/>
              </w:rPr>
              <w:t xml:space="preserve"> D</w:t>
            </w:r>
            <w:r w:rsidR="0037261C">
              <w:rPr>
                <w:rFonts w:ascii="Franklin Gothic Book" w:hAnsi="Franklin Gothic Book"/>
                <w:color w:val="495965" w:themeColor="text2"/>
                <w:sz w:val="17"/>
                <w:szCs w:val="17"/>
              </w:rPr>
              <w:t xml:space="preserve">irect </w:t>
            </w:r>
            <w:r w:rsidRPr="00632DE4">
              <w:rPr>
                <w:rFonts w:ascii="Franklin Gothic Book" w:hAnsi="Franklin Gothic Book"/>
                <w:color w:val="495965" w:themeColor="text2"/>
                <w:sz w:val="17"/>
                <w:szCs w:val="17"/>
              </w:rPr>
              <w:t>F</w:t>
            </w:r>
            <w:r w:rsidR="0037261C">
              <w:rPr>
                <w:rFonts w:ascii="Franklin Gothic Book" w:hAnsi="Franklin Gothic Book"/>
                <w:color w:val="495965" w:themeColor="text2"/>
                <w:sz w:val="17"/>
                <w:szCs w:val="17"/>
              </w:rPr>
              <w:t xml:space="preserve">inancing </w:t>
            </w:r>
            <w:r w:rsidRPr="00632DE4">
              <w:rPr>
                <w:rFonts w:ascii="Franklin Gothic Book" w:hAnsi="Franklin Gothic Book"/>
                <w:color w:val="495965" w:themeColor="text2"/>
                <w:sz w:val="17"/>
                <w:szCs w:val="17"/>
              </w:rPr>
              <w:t>A</w:t>
            </w:r>
            <w:r w:rsidR="0037261C">
              <w:rPr>
                <w:rFonts w:ascii="Franklin Gothic Book" w:hAnsi="Franklin Gothic Book"/>
                <w:color w:val="495965" w:themeColor="text2"/>
                <w:sz w:val="17"/>
                <w:szCs w:val="17"/>
              </w:rPr>
              <w:t>greement</w:t>
            </w:r>
            <w:r w:rsidRPr="00632DE4">
              <w:rPr>
                <w:rFonts w:ascii="Franklin Gothic Book" w:hAnsi="Franklin Gothic Book"/>
                <w:color w:val="495965" w:themeColor="text2"/>
                <w:sz w:val="17"/>
                <w:szCs w:val="17"/>
              </w:rPr>
              <w:t>s to senior management</w:t>
            </w:r>
          </w:p>
          <w:p w:rsidR="004F5E2F" w:rsidRPr="00632DE4" w:rsidRDefault="004F5E2F" w:rsidP="00622F99">
            <w:pPr>
              <w:pStyle w:val="ListParagraph"/>
              <w:numPr>
                <w:ilvl w:val="0"/>
                <w:numId w:val="65"/>
              </w:numPr>
              <w:ind w:left="31" w:hanging="12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Undertake sector level financial management and procurement assessments</w:t>
            </w:r>
          </w:p>
          <w:p w:rsidR="004F5E2F" w:rsidRPr="00632DE4" w:rsidRDefault="00904B0E" w:rsidP="00622F99">
            <w:pPr>
              <w:pStyle w:val="ListParagraph"/>
              <w:numPr>
                <w:ilvl w:val="0"/>
                <w:numId w:val="65"/>
              </w:numPr>
              <w:ind w:left="31" w:hanging="122"/>
              <w:rPr>
                <w:rFonts w:ascii="Franklin Gothic Book" w:hAnsi="Franklin Gothic Book"/>
                <w:color w:val="495965" w:themeColor="text2"/>
                <w:sz w:val="17"/>
                <w:szCs w:val="17"/>
              </w:rPr>
            </w:pPr>
            <w:r>
              <w:rPr>
                <w:rFonts w:ascii="Franklin Gothic Book" w:hAnsi="Franklin Gothic Book"/>
                <w:color w:val="495965" w:themeColor="text2"/>
                <w:sz w:val="17"/>
                <w:szCs w:val="17"/>
              </w:rPr>
              <w:t>M</w:t>
            </w:r>
            <w:r w:rsidR="004F5E2F" w:rsidRPr="00632DE4">
              <w:rPr>
                <w:rFonts w:ascii="Franklin Gothic Book" w:hAnsi="Franklin Gothic Book"/>
                <w:color w:val="495965" w:themeColor="text2"/>
                <w:sz w:val="17"/>
                <w:szCs w:val="17"/>
              </w:rPr>
              <w:t>onitor progress of PFM Roadmap and facilitate improved FMIS reporting</w:t>
            </w:r>
          </w:p>
          <w:p w:rsidR="004F5E2F" w:rsidRPr="00632DE4" w:rsidRDefault="00904B0E" w:rsidP="00622F99">
            <w:pPr>
              <w:pStyle w:val="ListParagraph"/>
              <w:numPr>
                <w:ilvl w:val="0"/>
                <w:numId w:val="65"/>
              </w:numPr>
              <w:ind w:left="31" w:hanging="122"/>
              <w:rPr>
                <w:rFonts w:ascii="Franklin Gothic Book" w:hAnsi="Franklin Gothic Book"/>
                <w:color w:val="495965" w:themeColor="text2"/>
                <w:sz w:val="17"/>
                <w:szCs w:val="17"/>
              </w:rPr>
            </w:pPr>
            <w:r>
              <w:rPr>
                <w:rFonts w:ascii="Franklin Gothic Book" w:hAnsi="Franklin Gothic Book"/>
                <w:color w:val="495965" w:themeColor="text2"/>
                <w:sz w:val="17"/>
                <w:szCs w:val="17"/>
              </w:rPr>
              <w:t>S</w:t>
            </w:r>
            <w:r w:rsidR="004F5E2F" w:rsidRPr="00632DE4">
              <w:rPr>
                <w:rFonts w:ascii="Franklin Gothic Book" w:hAnsi="Franklin Gothic Book"/>
                <w:color w:val="495965" w:themeColor="text2"/>
                <w:sz w:val="17"/>
                <w:szCs w:val="17"/>
              </w:rPr>
              <w:t>upport adviser inputs to work with the Central Tender Board</w:t>
            </w:r>
          </w:p>
          <w:p w:rsidR="004F5E2F" w:rsidRPr="00632DE4" w:rsidRDefault="009215E4" w:rsidP="00632DE4">
            <w:pPr>
              <w:pStyle w:val="ListParagraph"/>
              <w:numPr>
                <w:ilvl w:val="0"/>
                <w:numId w:val="65"/>
              </w:numPr>
              <w:ind w:left="31" w:hanging="122"/>
              <w:rPr>
                <w:rFonts w:ascii="Franklin Gothic Book" w:hAnsi="Franklin Gothic Book"/>
                <w:color w:val="495965" w:themeColor="text2"/>
                <w:sz w:val="17"/>
                <w:szCs w:val="17"/>
              </w:rPr>
            </w:pPr>
            <w:r w:rsidRPr="00632DE4">
              <w:rPr>
                <w:rFonts w:ascii="Franklin Gothic Book" w:hAnsi="Franklin Gothic Book"/>
                <w:color w:val="495965" w:themeColor="text2"/>
                <w:sz w:val="17"/>
                <w:szCs w:val="17"/>
              </w:rPr>
              <w:t xml:space="preserve">Encourage </w:t>
            </w:r>
            <w:r w:rsidR="004F5E2F" w:rsidRPr="00632DE4">
              <w:rPr>
                <w:rFonts w:ascii="Franklin Gothic Book" w:hAnsi="Franklin Gothic Book"/>
                <w:color w:val="495965" w:themeColor="text2"/>
                <w:sz w:val="17"/>
                <w:szCs w:val="17"/>
              </w:rPr>
              <w:t>internal audit</w:t>
            </w:r>
            <w:r w:rsidRPr="00632DE4">
              <w:rPr>
                <w:rFonts w:ascii="Franklin Gothic Book" w:hAnsi="Franklin Gothic Book"/>
                <w:color w:val="495965" w:themeColor="text2"/>
                <w:sz w:val="17"/>
                <w:szCs w:val="17"/>
              </w:rPr>
              <w:t>s in targeted progams</w:t>
            </w:r>
            <w:r w:rsidR="00375F94" w:rsidRPr="00632DE4">
              <w:rPr>
                <w:rFonts w:ascii="Franklin Gothic Book" w:hAnsi="Franklin Gothic Book"/>
                <w:color w:val="495965" w:themeColor="text2"/>
                <w:sz w:val="17"/>
                <w:szCs w:val="17"/>
              </w:rPr>
              <w:t>.</w:t>
            </w:r>
          </w:p>
        </w:tc>
        <w:tc>
          <w:tcPr>
            <w:tcW w:w="1769" w:type="dxa"/>
          </w:tcPr>
          <w:p w:rsidR="00DE4DDA" w:rsidRPr="00632DE4" w:rsidRDefault="004F5E2F" w:rsidP="00622F99">
            <w:pPr>
              <w:spacing w:line="240" w:lineRule="auto"/>
              <w:rPr>
                <w:rFonts w:ascii="Franklin Gothic Book" w:hAnsi="Franklin Gothic Book"/>
                <w:sz w:val="17"/>
                <w:szCs w:val="17"/>
              </w:rPr>
            </w:pPr>
            <w:r w:rsidRPr="00632DE4">
              <w:rPr>
                <w:rFonts w:ascii="Franklin Gothic Book" w:hAnsi="Franklin Gothic Book"/>
                <w:sz w:val="17"/>
                <w:szCs w:val="17"/>
              </w:rPr>
              <w:t>High</w:t>
            </w:r>
          </w:p>
        </w:tc>
        <w:tc>
          <w:tcPr>
            <w:tcW w:w="1492" w:type="dxa"/>
          </w:tcPr>
          <w:p w:rsidR="00DE4DDA" w:rsidRPr="00632DE4" w:rsidRDefault="004F5E2F" w:rsidP="00622F99">
            <w:pPr>
              <w:spacing w:line="240" w:lineRule="auto"/>
              <w:rPr>
                <w:rFonts w:ascii="Franklin Gothic Book" w:hAnsi="Franklin Gothic Book"/>
                <w:sz w:val="17"/>
                <w:szCs w:val="17"/>
              </w:rPr>
            </w:pPr>
            <w:r w:rsidRPr="00632DE4">
              <w:rPr>
                <w:rFonts w:ascii="Franklin Gothic Book" w:hAnsi="Franklin Gothic Book"/>
                <w:sz w:val="17"/>
                <w:szCs w:val="17"/>
              </w:rPr>
              <w:t>Yes</w:t>
            </w:r>
          </w:p>
        </w:tc>
      </w:tr>
    </w:tbl>
    <w:p w:rsidR="002A51CA" w:rsidRPr="00632DE4" w:rsidRDefault="002A51CA" w:rsidP="002A51CA">
      <w:pPr>
        <w:pStyle w:val="Heading2"/>
      </w:pPr>
      <w:r w:rsidRPr="00632DE4">
        <w:t xml:space="preserve">Management </w:t>
      </w:r>
      <w:r w:rsidR="00AC302F" w:rsidRPr="00632DE4">
        <w:t>actions</w:t>
      </w:r>
      <w:r w:rsidRPr="00632DE4">
        <w:tab/>
      </w:r>
      <w:r w:rsidRPr="00632DE4">
        <w:tab/>
      </w:r>
    </w:p>
    <w:p w:rsidR="0059150F" w:rsidRPr="00632DE4" w:rsidRDefault="00BB5DC1" w:rsidP="00EE74F1">
      <w:pPr>
        <w:spacing w:before="0" w:after="0" w:line="240" w:lineRule="auto"/>
        <w:rPr>
          <w:rFonts w:ascii="Calibri Light" w:hAnsi="Calibri Light"/>
        </w:rPr>
      </w:pPr>
      <w:r w:rsidRPr="00632DE4">
        <w:rPr>
          <w:rFonts w:ascii="Calibri Light" w:hAnsi="Calibri Light"/>
        </w:rPr>
        <w:t>Management actions identified in the 2016-17 APPR were all achieved</w:t>
      </w:r>
      <w:r w:rsidR="00375F94" w:rsidRPr="00632DE4">
        <w:rPr>
          <w:rFonts w:ascii="Calibri Light" w:hAnsi="Calibri Light"/>
        </w:rPr>
        <w:t>: r</w:t>
      </w:r>
      <w:r w:rsidRPr="00632DE4">
        <w:rPr>
          <w:rFonts w:ascii="Calibri Light" w:hAnsi="Calibri Light"/>
        </w:rPr>
        <w:t>efer to Annex A</w:t>
      </w:r>
      <w:r w:rsidR="00375F94" w:rsidRPr="00632DE4">
        <w:rPr>
          <w:rFonts w:ascii="Calibri Light" w:hAnsi="Calibri Light"/>
        </w:rPr>
        <w:t xml:space="preserve"> summary</w:t>
      </w:r>
      <w:r w:rsidRPr="00632DE4">
        <w:rPr>
          <w:rFonts w:ascii="Calibri Light" w:hAnsi="Calibri Light"/>
        </w:rPr>
        <w:t>.</w:t>
      </w:r>
      <w:r w:rsidR="00375F94" w:rsidRPr="00632DE4">
        <w:rPr>
          <w:rFonts w:ascii="Calibri Light" w:hAnsi="Calibri Light"/>
        </w:rPr>
        <w:t xml:space="preserve"> </w:t>
      </w:r>
      <w:r w:rsidR="007C2F60" w:rsidRPr="00632DE4">
        <w:rPr>
          <w:rFonts w:ascii="Calibri Light" w:hAnsi="Calibri Light"/>
        </w:rPr>
        <w:t xml:space="preserve">Management actions prioritised for the </w:t>
      </w:r>
      <w:r w:rsidR="005360CD" w:rsidRPr="00632DE4">
        <w:rPr>
          <w:rFonts w:ascii="Calibri Light" w:hAnsi="Calibri Light"/>
        </w:rPr>
        <w:t xml:space="preserve">Vanuatu aid </w:t>
      </w:r>
      <w:r w:rsidR="007C2F60" w:rsidRPr="00632DE4">
        <w:rPr>
          <w:rFonts w:ascii="Calibri Light" w:hAnsi="Calibri Light"/>
        </w:rPr>
        <w:t>program in the next 12 months include:</w:t>
      </w:r>
    </w:p>
    <w:p w:rsidR="007F2B78" w:rsidRPr="00632DE4" w:rsidRDefault="007F2B78" w:rsidP="00EE74F1">
      <w:pPr>
        <w:rPr>
          <w:rFonts w:ascii="Calibri Light" w:hAnsi="Calibri Light"/>
          <w:i/>
        </w:rPr>
      </w:pPr>
      <w:r w:rsidRPr="00632DE4">
        <w:rPr>
          <w:rFonts w:ascii="Calibri Light" w:hAnsi="Calibri Light"/>
          <w:i/>
        </w:rPr>
        <w:t>Strategic</w:t>
      </w:r>
    </w:p>
    <w:p w:rsidR="000D7E91" w:rsidRDefault="00756D66" w:rsidP="000D7E91">
      <w:pPr>
        <w:pStyle w:val="ListParagraph"/>
        <w:numPr>
          <w:ilvl w:val="0"/>
          <w:numId w:val="52"/>
        </w:numPr>
        <w:rPr>
          <w:rFonts w:ascii="Calibri Light" w:hAnsi="Calibri Light"/>
          <w:color w:val="495965" w:themeColor="text2"/>
          <w:sz w:val="22"/>
          <w:szCs w:val="22"/>
        </w:rPr>
      </w:pPr>
      <w:r w:rsidRPr="000D7E91">
        <w:rPr>
          <w:rFonts w:ascii="Calibri Light" w:hAnsi="Calibri Light"/>
          <w:color w:val="495965" w:themeColor="text2"/>
          <w:sz w:val="22"/>
          <w:szCs w:val="22"/>
        </w:rPr>
        <w:t xml:space="preserve">Commence preparatory work </w:t>
      </w:r>
      <w:r w:rsidR="007F2B78" w:rsidRPr="000D7E91">
        <w:rPr>
          <w:rFonts w:ascii="Calibri Light" w:hAnsi="Calibri Light"/>
          <w:color w:val="495965" w:themeColor="text2"/>
          <w:sz w:val="22"/>
          <w:szCs w:val="22"/>
        </w:rPr>
        <w:t xml:space="preserve">with the GoV </w:t>
      </w:r>
      <w:r w:rsidR="002C7250">
        <w:rPr>
          <w:rFonts w:ascii="Calibri Light" w:hAnsi="Calibri Light"/>
          <w:color w:val="495965" w:themeColor="text2"/>
          <w:sz w:val="22"/>
          <w:szCs w:val="22"/>
        </w:rPr>
        <w:t>t</w:t>
      </w:r>
      <w:r w:rsidR="007F2B78" w:rsidRPr="000D7E91">
        <w:rPr>
          <w:rFonts w:ascii="Calibri Light" w:hAnsi="Calibri Light"/>
          <w:color w:val="495965" w:themeColor="text2"/>
          <w:sz w:val="22"/>
          <w:szCs w:val="22"/>
        </w:rPr>
        <w:t xml:space="preserve">o develop </w:t>
      </w:r>
      <w:r w:rsidR="007C2F60" w:rsidRPr="000D7E91">
        <w:rPr>
          <w:rFonts w:ascii="Calibri Light" w:hAnsi="Calibri Light"/>
          <w:color w:val="495965" w:themeColor="text2"/>
          <w:sz w:val="22"/>
          <w:szCs w:val="22"/>
        </w:rPr>
        <w:t xml:space="preserve">the Vanuatu </w:t>
      </w:r>
      <w:r w:rsidR="007F2B78" w:rsidRPr="000D7E91">
        <w:rPr>
          <w:rFonts w:ascii="Calibri Light" w:hAnsi="Calibri Light"/>
          <w:color w:val="495965" w:themeColor="text2"/>
          <w:sz w:val="22"/>
          <w:szCs w:val="22"/>
        </w:rPr>
        <w:t>Aid Investment Plan</w:t>
      </w:r>
      <w:r w:rsidR="007C2F60" w:rsidRPr="000D7E91">
        <w:rPr>
          <w:rFonts w:ascii="Calibri Light" w:hAnsi="Calibri Light"/>
          <w:color w:val="495965" w:themeColor="text2"/>
          <w:sz w:val="22"/>
          <w:szCs w:val="22"/>
        </w:rPr>
        <w:t xml:space="preserve"> 2019-20 to 2022-23</w:t>
      </w:r>
      <w:r w:rsidR="007F2B78" w:rsidRPr="000D7E91">
        <w:rPr>
          <w:rFonts w:ascii="Calibri Light" w:hAnsi="Calibri Light"/>
          <w:color w:val="495965" w:themeColor="text2"/>
          <w:sz w:val="22"/>
          <w:szCs w:val="22"/>
        </w:rPr>
        <w:t xml:space="preserve">, </w:t>
      </w:r>
      <w:r w:rsidR="00411D09" w:rsidRPr="000D7E91">
        <w:rPr>
          <w:rFonts w:ascii="Calibri Light" w:hAnsi="Calibri Light"/>
          <w:color w:val="495965" w:themeColor="text2"/>
          <w:sz w:val="22"/>
          <w:szCs w:val="22"/>
        </w:rPr>
        <w:t xml:space="preserve">responding to priorities of </w:t>
      </w:r>
      <w:r w:rsidR="00411D09" w:rsidRPr="000D7E91">
        <w:rPr>
          <w:rFonts w:ascii="Calibri Light" w:hAnsi="Calibri Light" w:cs="Helvetica"/>
          <w:color w:val="495965" w:themeColor="text2"/>
          <w:sz w:val="22"/>
          <w:szCs w:val="22"/>
          <w:lang w:val="en"/>
        </w:rPr>
        <w:t>Vanuatu’s National Sustainable Development Plan</w:t>
      </w:r>
      <w:r w:rsidR="00411D09" w:rsidRPr="000D7E91">
        <w:rPr>
          <w:rFonts w:ascii="Calibri Light" w:hAnsi="Calibri Light"/>
          <w:color w:val="495965" w:themeColor="text2"/>
          <w:sz w:val="22"/>
          <w:szCs w:val="22"/>
        </w:rPr>
        <w:t xml:space="preserve"> and </w:t>
      </w:r>
      <w:r w:rsidR="002C7250">
        <w:rPr>
          <w:rFonts w:ascii="Calibri Light" w:hAnsi="Calibri Light"/>
          <w:color w:val="495965" w:themeColor="text2"/>
          <w:sz w:val="22"/>
          <w:szCs w:val="22"/>
        </w:rPr>
        <w:t>Australia’s</w:t>
      </w:r>
      <w:r w:rsidR="00411D09" w:rsidRPr="000D7E91">
        <w:rPr>
          <w:rFonts w:ascii="Calibri Light" w:hAnsi="Calibri Light"/>
          <w:color w:val="495965" w:themeColor="text2"/>
          <w:sz w:val="22"/>
          <w:szCs w:val="22"/>
        </w:rPr>
        <w:t xml:space="preserve"> Foreign Policy White Paper</w:t>
      </w:r>
      <w:r w:rsidR="002C7250">
        <w:rPr>
          <w:rFonts w:ascii="Calibri Light" w:hAnsi="Calibri Light"/>
          <w:color w:val="495965" w:themeColor="text2"/>
          <w:sz w:val="22"/>
          <w:szCs w:val="22"/>
        </w:rPr>
        <w:t>.</w:t>
      </w:r>
      <w:r w:rsidR="007F2B78" w:rsidRPr="000D7E91">
        <w:rPr>
          <w:rFonts w:ascii="Calibri Light" w:hAnsi="Calibri Light"/>
          <w:color w:val="495965" w:themeColor="text2"/>
          <w:sz w:val="22"/>
          <w:szCs w:val="22"/>
        </w:rPr>
        <w:t xml:space="preserve"> </w:t>
      </w:r>
    </w:p>
    <w:p w:rsidR="00097412" w:rsidRPr="000D7E91" w:rsidRDefault="00097412" w:rsidP="000D7E91">
      <w:pPr>
        <w:pStyle w:val="ListParagraph"/>
        <w:numPr>
          <w:ilvl w:val="0"/>
          <w:numId w:val="52"/>
        </w:numPr>
        <w:rPr>
          <w:rFonts w:ascii="Calibri Light" w:hAnsi="Calibri Light"/>
          <w:color w:val="495965" w:themeColor="text2"/>
          <w:sz w:val="22"/>
          <w:szCs w:val="22"/>
        </w:rPr>
      </w:pPr>
      <w:r w:rsidRPr="000D7E91">
        <w:rPr>
          <w:rFonts w:ascii="Calibri Light" w:hAnsi="Calibri Light"/>
          <w:color w:val="495965" w:themeColor="text2"/>
          <w:sz w:val="22"/>
          <w:szCs w:val="22"/>
        </w:rPr>
        <w:t>Progress commitments announced during P</w:t>
      </w:r>
      <w:r w:rsidR="005A4264">
        <w:rPr>
          <w:rFonts w:ascii="Calibri Light" w:hAnsi="Calibri Light"/>
          <w:color w:val="495965" w:themeColor="text2"/>
          <w:sz w:val="22"/>
          <w:szCs w:val="22"/>
        </w:rPr>
        <w:t xml:space="preserve">rime </w:t>
      </w:r>
      <w:r w:rsidRPr="000D7E91">
        <w:rPr>
          <w:rFonts w:ascii="Calibri Light" w:hAnsi="Calibri Light"/>
          <w:color w:val="495965" w:themeColor="text2"/>
          <w:sz w:val="22"/>
          <w:szCs w:val="22"/>
        </w:rPr>
        <w:t>M</w:t>
      </w:r>
      <w:r w:rsidR="005A4264">
        <w:rPr>
          <w:rFonts w:ascii="Calibri Light" w:hAnsi="Calibri Light"/>
          <w:color w:val="495965" w:themeColor="text2"/>
          <w:sz w:val="22"/>
          <w:szCs w:val="22"/>
        </w:rPr>
        <w:t>inister</w:t>
      </w:r>
      <w:r w:rsidRPr="000D7E91">
        <w:rPr>
          <w:rFonts w:ascii="Calibri Light" w:hAnsi="Calibri Light"/>
          <w:color w:val="495965" w:themeColor="text2"/>
          <w:sz w:val="22"/>
          <w:szCs w:val="22"/>
        </w:rPr>
        <w:t xml:space="preserve"> Salwai’s </w:t>
      </w:r>
      <w:r w:rsidR="00411D09" w:rsidRPr="000D7E91">
        <w:rPr>
          <w:rFonts w:ascii="Calibri Light" w:hAnsi="Calibri Light"/>
          <w:color w:val="495965" w:themeColor="text2"/>
          <w:sz w:val="22"/>
          <w:szCs w:val="22"/>
        </w:rPr>
        <w:t xml:space="preserve">Guest of Government </w:t>
      </w:r>
      <w:r w:rsidRPr="000D7E91">
        <w:rPr>
          <w:rFonts w:ascii="Calibri Light" w:hAnsi="Calibri Light"/>
          <w:color w:val="495965" w:themeColor="text2"/>
          <w:sz w:val="22"/>
          <w:szCs w:val="22"/>
        </w:rPr>
        <w:t xml:space="preserve">visit to Australia in June 2018: including </w:t>
      </w:r>
      <w:r w:rsidR="000D7E91">
        <w:rPr>
          <w:rFonts w:ascii="Calibri Light" w:hAnsi="Calibri Light"/>
          <w:color w:val="495965" w:themeColor="text2"/>
          <w:sz w:val="22"/>
          <w:szCs w:val="22"/>
        </w:rPr>
        <w:t>supporting a</w:t>
      </w:r>
      <w:r w:rsidR="00411D09" w:rsidRPr="000D7E91">
        <w:rPr>
          <w:rFonts w:ascii="Calibri Light" w:hAnsi="Calibri Light"/>
          <w:color w:val="495965" w:themeColor="text2"/>
          <w:sz w:val="22"/>
          <w:szCs w:val="22"/>
        </w:rPr>
        <w:t xml:space="preserve"> </w:t>
      </w:r>
      <w:r w:rsidRPr="000D7E91">
        <w:rPr>
          <w:rFonts w:ascii="Calibri Light" w:hAnsi="Calibri Light"/>
          <w:color w:val="495965" w:themeColor="text2"/>
          <w:sz w:val="22"/>
          <w:szCs w:val="22"/>
        </w:rPr>
        <w:t xml:space="preserve">feasibility study of </w:t>
      </w:r>
      <w:r w:rsidR="00411D09" w:rsidRPr="000D7E91">
        <w:rPr>
          <w:rFonts w:ascii="Calibri Light" w:hAnsi="Calibri Light"/>
          <w:color w:val="495965" w:themeColor="text2"/>
          <w:sz w:val="22"/>
          <w:szCs w:val="22"/>
          <w:lang w:val="en-US"/>
        </w:rPr>
        <w:t>Vanuatu’s future telecommunications needs</w:t>
      </w:r>
      <w:r w:rsidR="00266DBA">
        <w:rPr>
          <w:rFonts w:ascii="Calibri Light" w:hAnsi="Calibri Light"/>
          <w:color w:val="495965" w:themeColor="text2"/>
          <w:sz w:val="22"/>
          <w:szCs w:val="22"/>
          <w:lang w:val="en-US"/>
        </w:rPr>
        <w:t>, enhanced</w:t>
      </w:r>
      <w:r w:rsidR="00411D09" w:rsidRPr="000D7E91">
        <w:rPr>
          <w:rFonts w:ascii="Calibri Light" w:hAnsi="Calibri Light"/>
          <w:color w:val="495965" w:themeColor="text2"/>
          <w:sz w:val="22"/>
          <w:szCs w:val="22"/>
          <w:lang w:val="en-US"/>
        </w:rPr>
        <w:t xml:space="preserve"> </w:t>
      </w:r>
      <w:r w:rsidR="00411D09" w:rsidRPr="000D7E91">
        <w:rPr>
          <w:rFonts w:ascii="Calibri Light" w:hAnsi="Calibri Light"/>
          <w:color w:val="495965" w:themeColor="text2"/>
          <w:sz w:val="22"/>
          <w:szCs w:val="22"/>
        </w:rPr>
        <w:t>policing,</w:t>
      </w:r>
      <w:r w:rsidR="00756D66" w:rsidRPr="000D7E91">
        <w:rPr>
          <w:rFonts w:ascii="Calibri Light" w:hAnsi="Calibri Light"/>
          <w:color w:val="495965" w:themeColor="text2"/>
          <w:sz w:val="22"/>
          <w:szCs w:val="22"/>
        </w:rPr>
        <w:t xml:space="preserve"> cyber</w:t>
      </w:r>
      <w:r w:rsidR="00411D09" w:rsidRPr="000D7E91">
        <w:rPr>
          <w:rFonts w:ascii="Calibri Light" w:hAnsi="Calibri Light"/>
          <w:color w:val="495965" w:themeColor="text2"/>
          <w:sz w:val="22"/>
          <w:szCs w:val="22"/>
        </w:rPr>
        <w:t xml:space="preserve">security </w:t>
      </w:r>
      <w:r w:rsidR="00756D66" w:rsidRPr="000D7E91">
        <w:rPr>
          <w:rFonts w:ascii="Calibri Light" w:hAnsi="Calibri Light"/>
          <w:color w:val="495965" w:themeColor="text2"/>
          <w:sz w:val="22"/>
          <w:szCs w:val="22"/>
        </w:rPr>
        <w:t>and labour mobility initiatives</w:t>
      </w:r>
      <w:r w:rsidR="002C7250">
        <w:rPr>
          <w:rFonts w:ascii="Calibri Light" w:hAnsi="Calibri Light"/>
          <w:color w:val="495965" w:themeColor="text2"/>
          <w:sz w:val="22"/>
          <w:szCs w:val="22"/>
        </w:rPr>
        <w:t>.</w:t>
      </w:r>
      <w:r w:rsidR="00411D09" w:rsidRPr="000D7E91">
        <w:rPr>
          <w:rFonts w:ascii="Calibri Light" w:hAnsi="Calibri Light"/>
          <w:color w:val="495965" w:themeColor="text2"/>
          <w:sz w:val="22"/>
          <w:szCs w:val="22"/>
        </w:rPr>
        <w:t xml:space="preserve"> </w:t>
      </w:r>
    </w:p>
    <w:p w:rsidR="00097412" w:rsidRPr="00632DE4" w:rsidRDefault="004B63EB" w:rsidP="00097412">
      <w:pPr>
        <w:pStyle w:val="ListParagraph"/>
        <w:numPr>
          <w:ilvl w:val="0"/>
          <w:numId w:val="52"/>
        </w:numPr>
        <w:rPr>
          <w:rFonts w:ascii="Calibri Light" w:hAnsi="Calibri Light"/>
          <w:color w:val="495965" w:themeColor="text2"/>
          <w:sz w:val="22"/>
          <w:szCs w:val="22"/>
        </w:rPr>
      </w:pPr>
      <w:r w:rsidRPr="00632DE4">
        <w:rPr>
          <w:rFonts w:ascii="Calibri Light" w:hAnsi="Calibri Light"/>
          <w:color w:val="495965" w:themeColor="text2"/>
          <w:sz w:val="22"/>
          <w:szCs w:val="22"/>
        </w:rPr>
        <w:t xml:space="preserve">Undertake a </w:t>
      </w:r>
      <w:r w:rsidR="000D7E91">
        <w:rPr>
          <w:rFonts w:ascii="Calibri Light" w:hAnsi="Calibri Light"/>
          <w:color w:val="495965" w:themeColor="text2"/>
          <w:sz w:val="22"/>
          <w:szCs w:val="22"/>
        </w:rPr>
        <w:t>g</w:t>
      </w:r>
      <w:r w:rsidRPr="00632DE4">
        <w:rPr>
          <w:rFonts w:ascii="Calibri Light" w:hAnsi="Calibri Light"/>
          <w:color w:val="495965" w:themeColor="text2"/>
          <w:sz w:val="22"/>
          <w:szCs w:val="22"/>
        </w:rPr>
        <w:t xml:space="preserve">ender </w:t>
      </w:r>
      <w:r w:rsidR="000D7E91">
        <w:rPr>
          <w:rFonts w:ascii="Calibri Light" w:hAnsi="Calibri Light"/>
          <w:color w:val="495965" w:themeColor="text2"/>
          <w:sz w:val="22"/>
          <w:szCs w:val="22"/>
        </w:rPr>
        <w:t>s</w:t>
      </w:r>
      <w:r w:rsidRPr="00632DE4">
        <w:rPr>
          <w:rFonts w:ascii="Calibri Light" w:hAnsi="Calibri Light"/>
          <w:color w:val="495965" w:themeColor="text2"/>
          <w:sz w:val="22"/>
          <w:szCs w:val="22"/>
        </w:rPr>
        <w:t>tocktake and develop a</w:t>
      </w:r>
      <w:r w:rsidR="000D7E91">
        <w:rPr>
          <w:rFonts w:ascii="Calibri Light" w:hAnsi="Calibri Light"/>
          <w:color w:val="495965" w:themeColor="text2"/>
          <w:sz w:val="22"/>
          <w:szCs w:val="22"/>
        </w:rPr>
        <w:t>n a</w:t>
      </w:r>
      <w:r w:rsidRPr="00632DE4">
        <w:rPr>
          <w:rFonts w:ascii="Calibri Light" w:hAnsi="Calibri Light"/>
          <w:color w:val="495965" w:themeColor="text2"/>
          <w:sz w:val="22"/>
          <w:szCs w:val="22"/>
        </w:rPr>
        <w:t xml:space="preserve">ction </w:t>
      </w:r>
      <w:r w:rsidR="000D7E91">
        <w:rPr>
          <w:rFonts w:ascii="Calibri Light" w:hAnsi="Calibri Light"/>
          <w:color w:val="495965" w:themeColor="text2"/>
          <w:sz w:val="22"/>
          <w:szCs w:val="22"/>
        </w:rPr>
        <w:t>p</w:t>
      </w:r>
      <w:r w:rsidRPr="00632DE4">
        <w:rPr>
          <w:rFonts w:ascii="Calibri Light" w:hAnsi="Calibri Light"/>
          <w:color w:val="495965" w:themeColor="text2"/>
          <w:sz w:val="22"/>
          <w:szCs w:val="22"/>
        </w:rPr>
        <w:t xml:space="preserve">lan to identify key activities to </w:t>
      </w:r>
      <w:r w:rsidR="00097412" w:rsidRPr="00632DE4">
        <w:rPr>
          <w:rFonts w:ascii="Calibri Light" w:hAnsi="Calibri Light"/>
          <w:color w:val="495965" w:themeColor="text2"/>
          <w:sz w:val="22"/>
          <w:szCs w:val="22"/>
        </w:rPr>
        <w:t>strengthen</w:t>
      </w:r>
      <w:r w:rsidRPr="00632DE4">
        <w:rPr>
          <w:rFonts w:ascii="Calibri Light" w:hAnsi="Calibri Light"/>
          <w:color w:val="495965" w:themeColor="text2"/>
          <w:sz w:val="22"/>
          <w:szCs w:val="22"/>
        </w:rPr>
        <w:t xml:space="preserve"> gender equality programming, policy and diplomacy outcomes</w:t>
      </w:r>
      <w:r w:rsidR="002C7250">
        <w:rPr>
          <w:rFonts w:ascii="Calibri Light" w:hAnsi="Calibri Light"/>
          <w:color w:val="495965" w:themeColor="text2"/>
          <w:sz w:val="22"/>
          <w:szCs w:val="22"/>
        </w:rPr>
        <w:t>.</w:t>
      </w:r>
    </w:p>
    <w:p w:rsidR="007F2B78" w:rsidRPr="00632DE4" w:rsidRDefault="007F2B78" w:rsidP="00EE74F1">
      <w:pPr>
        <w:rPr>
          <w:rFonts w:ascii="Calibri Light" w:hAnsi="Calibri Light"/>
        </w:rPr>
      </w:pPr>
      <w:r w:rsidRPr="00632DE4">
        <w:rPr>
          <w:rFonts w:ascii="Calibri Light" w:hAnsi="Calibri Light"/>
        </w:rPr>
        <w:t>Operational</w:t>
      </w:r>
    </w:p>
    <w:p w:rsidR="00340554" w:rsidRPr="00632DE4" w:rsidRDefault="008618C5" w:rsidP="00EE74F1">
      <w:pPr>
        <w:pStyle w:val="ListParagraph"/>
        <w:numPr>
          <w:ilvl w:val="0"/>
          <w:numId w:val="52"/>
        </w:numPr>
        <w:rPr>
          <w:rFonts w:ascii="Calibri Light" w:hAnsi="Calibri Light"/>
          <w:color w:val="495965" w:themeColor="text2"/>
          <w:sz w:val="22"/>
          <w:szCs w:val="22"/>
        </w:rPr>
      </w:pPr>
      <w:r w:rsidRPr="00632DE4">
        <w:rPr>
          <w:rFonts w:ascii="Calibri Light" w:hAnsi="Calibri Light"/>
          <w:color w:val="495965" w:themeColor="text2"/>
          <w:sz w:val="22"/>
          <w:szCs w:val="22"/>
        </w:rPr>
        <w:t>Implement the P</w:t>
      </w:r>
      <w:r w:rsidR="00340554" w:rsidRPr="00632DE4">
        <w:rPr>
          <w:rFonts w:ascii="Calibri Light" w:hAnsi="Calibri Light"/>
          <w:color w:val="495965" w:themeColor="text2"/>
          <w:sz w:val="22"/>
          <w:szCs w:val="22"/>
        </w:rPr>
        <w:t>VUDP Remediation Plan</w:t>
      </w:r>
      <w:r w:rsidR="002C7250">
        <w:rPr>
          <w:rFonts w:ascii="Calibri Light" w:hAnsi="Calibri Light"/>
          <w:color w:val="495965" w:themeColor="text2"/>
          <w:sz w:val="22"/>
          <w:szCs w:val="22"/>
        </w:rPr>
        <w:t>.</w:t>
      </w:r>
      <w:r w:rsidRPr="00632DE4">
        <w:rPr>
          <w:rFonts w:ascii="Calibri Light" w:hAnsi="Calibri Light"/>
          <w:color w:val="495965" w:themeColor="text2"/>
          <w:sz w:val="22"/>
          <w:szCs w:val="22"/>
        </w:rPr>
        <w:t xml:space="preserve"> </w:t>
      </w:r>
    </w:p>
    <w:p w:rsidR="007F2B78" w:rsidRPr="00632DE4" w:rsidRDefault="00756D66" w:rsidP="00EE74F1">
      <w:pPr>
        <w:pStyle w:val="ListParagraph"/>
        <w:numPr>
          <w:ilvl w:val="0"/>
          <w:numId w:val="52"/>
        </w:numPr>
        <w:rPr>
          <w:rFonts w:ascii="Calibri Light" w:hAnsi="Calibri Light"/>
          <w:color w:val="495965" w:themeColor="text2"/>
          <w:sz w:val="22"/>
          <w:szCs w:val="22"/>
        </w:rPr>
      </w:pPr>
      <w:r w:rsidRPr="00632DE4">
        <w:rPr>
          <w:rFonts w:ascii="Calibri Light" w:hAnsi="Calibri Light"/>
          <w:color w:val="495965" w:themeColor="text2"/>
          <w:sz w:val="22"/>
          <w:szCs w:val="22"/>
        </w:rPr>
        <w:t xml:space="preserve">Capture </w:t>
      </w:r>
      <w:r w:rsidR="004B63EB" w:rsidRPr="00632DE4">
        <w:rPr>
          <w:rFonts w:ascii="Calibri Light" w:hAnsi="Calibri Light"/>
          <w:color w:val="495965" w:themeColor="text2"/>
          <w:sz w:val="22"/>
          <w:szCs w:val="22"/>
        </w:rPr>
        <w:t>and share learning f</w:t>
      </w:r>
      <w:r w:rsidRPr="00632DE4">
        <w:rPr>
          <w:rFonts w:ascii="Calibri Light" w:hAnsi="Calibri Light"/>
          <w:color w:val="495965" w:themeColor="text2"/>
          <w:sz w:val="22"/>
          <w:szCs w:val="22"/>
        </w:rPr>
        <w:t xml:space="preserve">rom the </w:t>
      </w:r>
      <w:r w:rsidR="008618C5" w:rsidRPr="00632DE4">
        <w:rPr>
          <w:rFonts w:ascii="Calibri Light" w:hAnsi="Calibri Light"/>
          <w:color w:val="495965" w:themeColor="text2"/>
          <w:sz w:val="22"/>
          <w:szCs w:val="22"/>
        </w:rPr>
        <w:t xml:space="preserve">Evaluation of the </w:t>
      </w:r>
      <w:r w:rsidR="007F2B78" w:rsidRPr="00632DE4">
        <w:rPr>
          <w:rFonts w:ascii="Calibri Light" w:hAnsi="Calibri Light"/>
          <w:color w:val="495965" w:themeColor="text2"/>
          <w:sz w:val="22"/>
          <w:szCs w:val="22"/>
        </w:rPr>
        <w:t xml:space="preserve">TC Pam </w:t>
      </w:r>
      <w:r w:rsidR="008618C5" w:rsidRPr="00632DE4">
        <w:rPr>
          <w:rFonts w:ascii="Calibri Light" w:hAnsi="Calibri Light"/>
          <w:color w:val="495965" w:themeColor="text2"/>
          <w:sz w:val="22"/>
          <w:szCs w:val="22"/>
        </w:rPr>
        <w:t>Recovery Program</w:t>
      </w:r>
      <w:r w:rsidR="007F2B78" w:rsidRPr="00632DE4">
        <w:rPr>
          <w:rFonts w:ascii="Calibri Light" w:hAnsi="Calibri Light"/>
          <w:color w:val="495965" w:themeColor="text2"/>
          <w:sz w:val="22"/>
          <w:szCs w:val="22"/>
        </w:rPr>
        <w:t xml:space="preserve"> to inform funding, coordination and governance arrangements </w:t>
      </w:r>
      <w:r w:rsidR="002C7250">
        <w:rPr>
          <w:rFonts w:ascii="Calibri Light" w:hAnsi="Calibri Light"/>
          <w:color w:val="495965" w:themeColor="text2"/>
          <w:sz w:val="22"/>
          <w:szCs w:val="22"/>
        </w:rPr>
        <w:t>f</w:t>
      </w:r>
      <w:r w:rsidR="007F2B78" w:rsidRPr="00632DE4">
        <w:rPr>
          <w:rFonts w:ascii="Calibri Light" w:hAnsi="Calibri Light"/>
          <w:color w:val="495965" w:themeColor="text2"/>
          <w:sz w:val="22"/>
          <w:szCs w:val="22"/>
        </w:rPr>
        <w:t>o</w:t>
      </w:r>
      <w:r w:rsidR="002C7250">
        <w:rPr>
          <w:rFonts w:ascii="Calibri Light" w:hAnsi="Calibri Light"/>
          <w:color w:val="495965" w:themeColor="text2"/>
          <w:sz w:val="22"/>
          <w:szCs w:val="22"/>
        </w:rPr>
        <w:t>r</w:t>
      </w:r>
      <w:r w:rsidR="007F2B78" w:rsidRPr="00632DE4">
        <w:rPr>
          <w:rFonts w:ascii="Calibri Light" w:hAnsi="Calibri Light"/>
          <w:color w:val="495965" w:themeColor="text2"/>
          <w:sz w:val="22"/>
          <w:szCs w:val="22"/>
        </w:rPr>
        <w:t xml:space="preserve"> </w:t>
      </w:r>
      <w:r w:rsidR="007F2B78" w:rsidRPr="00632DE4">
        <w:rPr>
          <w:rFonts w:ascii="Calibri Light" w:hAnsi="Calibri Light"/>
          <w:color w:val="495965" w:themeColor="text2"/>
          <w:sz w:val="22"/>
          <w:szCs w:val="22"/>
          <w:lang w:eastAsia="en-AU"/>
        </w:rPr>
        <w:t>future recovery programs</w:t>
      </w:r>
      <w:r w:rsidR="004F1770">
        <w:rPr>
          <w:rFonts w:ascii="Calibri Light" w:hAnsi="Calibri Light"/>
          <w:color w:val="495965" w:themeColor="text2"/>
          <w:sz w:val="22"/>
          <w:szCs w:val="22"/>
          <w:lang w:eastAsia="en-AU"/>
        </w:rPr>
        <w:t>.</w:t>
      </w:r>
      <w:r w:rsidR="008618C5" w:rsidRPr="00632DE4">
        <w:rPr>
          <w:rFonts w:ascii="Calibri Light" w:hAnsi="Calibri Light"/>
          <w:color w:val="495965" w:themeColor="text2"/>
          <w:sz w:val="22"/>
          <w:szCs w:val="22"/>
          <w:lang w:eastAsia="en-AU"/>
        </w:rPr>
        <w:t xml:space="preserve"> </w:t>
      </w:r>
    </w:p>
    <w:p w:rsidR="004B63EB" w:rsidRPr="00632DE4" w:rsidRDefault="004B63EB" w:rsidP="00EE74F1">
      <w:pPr>
        <w:pStyle w:val="ListParagraph"/>
        <w:numPr>
          <w:ilvl w:val="0"/>
          <w:numId w:val="52"/>
        </w:numPr>
        <w:rPr>
          <w:rFonts w:ascii="Calibri Light" w:hAnsi="Calibri Light"/>
          <w:color w:val="495965" w:themeColor="text2"/>
          <w:sz w:val="22"/>
          <w:szCs w:val="22"/>
        </w:rPr>
      </w:pPr>
      <w:r w:rsidRPr="00632DE4">
        <w:rPr>
          <w:rFonts w:ascii="Calibri Light" w:hAnsi="Calibri Light"/>
          <w:color w:val="495965" w:themeColor="text2"/>
          <w:sz w:val="22"/>
          <w:szCs w:val="22"/>
        </w:rPr>
        <w:t>Finalise designs</w:t>
      </w:r>
      <w:r w:rsidR="000D7E91">
        <w:rPr>
          <w:rFonts w:ascii="Calibri Light" w:hAnsi="Calibri Light"/>
          <w:color w:val="495965" w:themeColor="text2"/>
          <w:sz w:val="22"/>
          <w:szCs w:val="22"/>
        </w:rPr>
        <w:t xml:space="preserve">, </w:t>
      </w:r>
      <w:r w:rsidRPr="00632DE4">
        <w:rPr>
          <w:rFonts w:ascii="Calibri Light" w:hAnsi="Calibri Light"/>
          <w:color w:val="495965" w:themeColor="text2"/>
          <w:sz w:val="22"/>
          <w:szCs w:val="22"/>
        </w:rPr>
        <w:t xml:space="preserve">tendering </w:t>
      </w:r>
      <w:r w:rsidR="000D7E91">
        <w:rPr>
          <w:rFonts w:ascii="Calibri Light" w:hAnsi="Calibri Light"/>
          <w:color w:val="495965" w:themeColor="text2"/>
          <w:sz w:val="22"/>
          <w:szCs w:val="22"/>
        </w:rPr>
        <w:t xml:space="preserve">and mobilisation </w:t>
      </w:r>
      <w:r w:rsidRPr="00632DE4">
        <w:rPr>
          <w:rFonts w:ascii="Calibri Light" w:hAnsi="Calibri Light"/>
          <w:color w:val="495965" w:themeColor="text2"/>
          <w:sz w:val="22"/>
          <w:szCs w:val="22"/>
        </w:rPr>
        <w:t xml:space="preserve">of the </w:t>
      </w:r>
      <w:r w:rsidR="005360CD" w:rsidRPr="00632DE4">
        <w:rPr>
          <w:rFonts w:ascii="Calibri Light" w:hAnsi="Calibri Light"/>
          <w:color w:val="495965" w:themeColor="text2"/>
          <w:sz w:val="22"/>
          <w:szCs w:val="22"/>
        </w:rPr>
        <w:t>H</w:t>
      </w:r>
      <w:r w:rsidRPr="00632DE4">
        <w:rPr>
          <w:rFonts w:ascii="Calibri Light" w:hAnsi="Calibri Light"/>
          <w:color w:val="495965" w:themeColor="text2"/>
          <w:sz w:val="22"/>
          <w:szCs w:val="22"/>
        </w:rPr>
        <w:t xml:space="preserve">SP, VESP Phase </w:t>
      </w:r>
      <w:r w:rsidR="000C4C4D">
        <w:rPr>
          <w:rFonts w:ascii="Calibri Light" w:hAnsi="Calibri Light"/>
          <w:color w:val="495965" w:themeColor="text2"/>
          <w:sz w:val="22"/>
          <w:szCs w:val="22"/>
        </w:rPr>
        <w:t>2</w:t>
      </w:r>
      <w:r w:rsidRPr="00632DE4">
        <w:rPr>
          <w:rFonts w:ascii="Calibri Light" w:hAnsi="Calibri Light"/>
          <w:color w:val="495965" w:themeColor="text2"/>
          <w:sz w:val="22"/>
          <w:szCs w:val="22"/>
        </w:rPr>
        <w:t xml:space="preserve"> and R4D2 </w:t>
      </w:r>
      <w:r w:rsidR="005360CD" w:rsidRPr="00632DE4">
        <w:rPr>
          <w:rFonts w:ascii="Calibri Light" w:hAnsi="Calibri Light"/>
          <w:color w:val="495965" w:themeColor="text2"/>
          <w:sz w:val="22"/>
          <w:szCs w:val="22"/>
        </w:rPr>
        <w:t>programs</w:t>
      </w:r>
      <w:r w:rsidR="004F1770">
        <w:rPr>
          <w:rFonts w:ascii="Calibri Light" w:hAnsi="Calibri Light"/>
          <w:color w:val="495965" w:themeColor="text2"/>
          <w:sz w:val="22"/>
          <w:szCs w:val="22"/>
        </w:rPr>
        <w:t>.</w:t>
      </w:r>
    </w:p>
    <w:p w:rsidR="004B63EB" w:rsidRPr="00632DE4" w:rsidRDefault="004B63EB" w:rsidP="00632DE4">
      <w:pPr>
        <w:pStyle w:val="ListParagraph"/>
        <w:numPr>
          <w:ilvl w:val="0"/>
          <w:numId w:val="52"/>
        </w:numPr>
        <w:rPr>
          <w:rFonts w:ascii="Calibri Light" w:hAnsi="Calibri Light"/>
          <w:color w:val="495965" w:themeColor="text2"/>
          <w:sz w:val="22"/>
          <w:szCs w:val="22"/>
        </w:rPr>
      </w:pPr>
      <w:r w:rsidRPr="00632DE4">
        <w:rPr>
          <w:rFonts w:ascii="Calibri Light" w:hAnsi="Calibri Light"/>
          <w:color w:val="495965" w:themeColor="text2"/>
          <w:sz w:val="22"/>
          <w:szCs w:val="22"/>
          <w:lang w:eastAsia="en-AU"/>
        </w:rPr>
        <w:t xml:space="preserve">Support </w:t>
      </w:r>
      <w:r w:rsidR="004F1770">
        <w:rPr>
          <w:rFonts w:ascii="Calibri Light" w:hAnsi="Calibri Light"/>
          <w:color w:val="495965" w:themeColor="text2"/>
          <w:sz w:val="22"/>
          <w:szCs w:val="22"/>
          <w:lang w:eastAsia="en-AU"/>
        </w:rPr>
        <w:t xml:space="preserve">effective and efficient </w:t>
      </w:r>
      <w:r w:rsidRPr="00632DE4">
        <w:rPr>
          <w:rFonts w:ascii="Calibri Light" w:hAnsi="Calibri Light"/>
          <w:color w:val="495965" w:themeColor="text2"/>
          <w:sz w:val="22"/>
          <w:szCs w:val="22"/>
          <w:lang w:eastAsia="en-AU"/>
        </w:rPr>
        <w:t xml:space="preserve">GoV disaster response and recovery efforts, including </w:t>
      </w:r>
      <w:r w:rsidR="00266DBA">
        <w:rPr>
          <w:rFonts w:ascii="Calibri Light" w:hAnsi="Calibri Light"/>
          <w:color w:val="495965" w:themeColor="text2"/>
          <w:sz w:val="22"/>
          <w:szCs w:val="22"/>
          <w:lang w:eastAsia="en-AU"/>
        </w:rPr>
        <w:t>f</w:t>
      </w:r>
      <w:r w:rsidRPr="00632DE4">
        <w:rPr>
          <w:rFonts w:ascii="Calibri Light" w:hAnsi="Calibri Light"/>
          <w:color w:val="495965" w:themeColor="text2"/>
          <w:sz w:val="22"/>
          <w:szCs w:val="22"/>
          <w:lang w:eastAsia="en-AU"/>
        </w:rPr>
        <w:t>o</w:t>
      </w:r>
      <w:r w:rsidR="00266DBA">
        <w:rPr>
          <w:rFonts w:ascii="Calibri Light" w:hAnsi="Calibri Light"/>
          <w:color w:val="495965" w:themeColor="text2"/>
          <w:sz w:val="22"/>
          <w:szCs w:val="22"/>
          <w:lang w:eastAsia="en-AU"/>
        </w:rPr>
        <w:t>r</w:t>
      </w:r>
      <w:r w:rsidRPr="00632DE4">
        <w:rPr>
          <w:rFonts w:ascii="Calibri Light" w:hAnsi="Calibri Light"/>
          <w:color w:val="495965" w:themeColor="text2"/>
          <w:sz w:val="22"/>
          <w:szCs w:val="22"/>
          <w:lang w:eastAsia="en-AU"/>
        </w:rPr>
        <w:t xml:space="preserve"> Ambae Island</w:t>
      </w:r>
      <w:r w:rsidR="009310E4" w:rsidRPr="00632DE4">
        <w:rPr>
          <w:rFonts w:ascii="Calibri Light" w:hAnsi="Calibri Light"/>
          <w:color w:val="495965" w:themeColor="text2"/>
          <w:sz w:val="22"/>
          <w:szCs w:val="22"/>
          <w:lang w:eastAsia="en-AU"/>
        </w:rPr>
        <w:t>.</w:t>
      </w:r>
    </w:p>
    <w:p w:rsidR="00D15A00" w:rsidRDefault="00D15A00" w:rsidP="002A51CA">
      <w:pPr>
        <w:sectPr w:rsidR="00D15A00" w:rsidSect="00C6626C">
          <w:pgSz w:w="11906" w:h="16838" w:code="9"/>
          <w:pgMar w:top="1527" w:right="1134" w:bottom="851" w:left="1134" w:header="1418" w:footer="567" w:gutter="0"/>
          <w:cols w:space="397"/>
          <w:docGrid w:linePitch="360"/>
        </w:sectPr>
      </w:pPr>
    </w:p>
    <w:p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p w:rsidR="00400B0F" w:rsidRPr="00C61187" w:rsidRDefault="00400B0F" w:rsidP="008C2F58"/>
    <w:tbl>
      <w:tblPr>
        <w:tblStyle w:val="APPR"/>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400B0F" w:rsidRPr="00C61187" w:rsidTr="00C07272">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400B0F" w:rsidP="006A7B62">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6A7B62">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6A7B62">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3" w:type="dxa"/>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C07272" w:rsidRPr="00C61187" w:rsidTr="006F27B1">
        <w:trPr>
          <w:cnfStyle w:val="000000010000" w:firstRow="0" w:lastRow="0" w:firstColumn="0" w:lastColumn="0" w:oddVBand="0" w:evenVBand="0" w:oddHBand="0" w:evenHBand="1" w:firstRowFirstColumn="0" w:firstRowLastColumn="0" w:lastRowFirstColumn="0" w:lastRowLastColumn="0"/>
        </w:trPr>
        <w:tc>
          <w:tcPr>
            <w:tcW w:w="6473" w:type="dxa"/>
          </w:tcPr>
          <w:p w:rsidR="00C07272" w:rsidRPr="00880004" w:rsidRDefault="00C07272" w:rsidP="00C07272">
            <w:pPr>
              <w:keepLines/>
              <w:spacing w:before="40" w:after="40" w:line="200" w:lineRule="atLeast"/>
              <w:rPr>
                <w:rFonts w:asciiTheme="minorHAnsi" w:eastAsia="Times New Roman" w:hAnsiTheme="minorHAnsi"/>
                <w:iCs/>
                <w:szCs w:val="17"/>
                <w:lang w:eastAsia="en-US"/>
              </w:rPr>
            </w:pPr>
            <w:r w:rsidRPr="00DF76BF">
              <w:t xml:space="preserve">Update the Vanuatu Aid Investment Plan to reflect the Australia-Vanuatu Aid Partnership Arrangement 2016-19 including a </w:t>
            </w:r>
            <w:r>
              <w:t xml:space="preserve">refreshed </w:t>
            </w:r>
            <w:r w:rsidRPr="00DF76BF">
              <w:t>performance assessment framework</w:t>
            </w:r>
            <w:r w:rsidR="00C86E17">
              <w:t xml:space="preserve"> (PAF)</w:t>
            </w:r>
          </w:p>
        </w:tc>
        <w:tc>
          <w:tcPr>
            <w:tcW w:w="964" w:type="dxa"/>
            <w:shd w:val="clear" w:color="auto" w:fill="72AF2F"/>
          </w:tcPr>
          <w:p w:rsidR="00C07272" w:rsidRPr="00EE74F1" w:rsidRDefault="00C86E17" w:rsidP="00EA510D">
            <w:pPr>
              <w:keepLines/>
              <w:spacing w:before="40" w:after="40" w:line="200" w:lineRule="atLeast"/>
              <w:jc w:val="center"/>
              <w:rPr>
                <w:rFonts w:asciiTheme="minorHAnsi" w:eastAsia="Times New Roman" w:hAnsiTheme="minorHAnsi"/>
                <w:iCs/>
                <w:color w:val="FF0000"/>
                <w:szCs w:val="17"/>
                <w:lang w:eastAsia="en-US"/>
              </w:rPr>
            </w:pPr>
            <w:r w:rsidRPr="00622F99">
              <w:rPr>
                <w:rFonts w:eastAsia="Times New Roman"/>
                <w:iCs/>
                <w:color w:val="FFFFFF" w:themeColor="background1"/>
                <w:szCs w:val="17"/>
              </w:rPr>
              <w:t>Achieved</w:t>
            </w:r>
          </w:p>
        </w:tc>
        <w:tc>
          <w:tcPr>
            <w:tcW w:w="6896" w:type="dxa"/>
          </w:tcPr>
          <w:p w:rsidR="00C07272" w:rsidRPr="00EE74F1" w:rsidRDefault="000D7E91" w:rsidP="000D7E91">
            <w:pPr>
              <w:keepLines/>
              <w:spacing w:before="40" w:after="40" w:line="200" w:lineRule="atLeast"/>
              <w:rPr>
                <w:rFonts w:eastAsia="Times New Roman"/>
                <w:iCs/>
                <w:color w:val="92D050"/>
                <w:szCs w:val="17"/>
                <w:lang w:eastAsia="en-US"/>
              </w:rPr>
            </w:pPr>
            <w:r>
              <w:t xml:space="preserve">PAF developed. </w:t>
            </w:r>
            <w:r w:rsidR="00EE74F1" w:rsidRPr="00EE74F1">
              <w:t>AIP mid-term update no longer required. Preparatory work will commence early 2019 to inform development of the new Vanuatu Aid Investment Plan 2019-20 to 2022-23.</w:t>
            </w:r>
            <w:r w:rsidR="00C07272" w:rsidRPr="00EE74F1">
              <w:t xml:space="preserve"> </w:t>
            </w:r>
          </w:p>
        </w:tc>
      </w:tr>
      <w:tr w:rsidR="00C07272" w:rsidRPr="00C61187" w:rsidTr="00C07272">
        <w:trPr>
          <w:cnfStyle w:val="000000010000" w:firstRow="0" w:lastRow="0" w:firstColumn="0" w:lastColumn="0" w:oddVBand="0" w:evenVBand="0" w:oddHBand="0" w:evenHBand="1" w:firstRowFirstColumn="0" w:firstRowLastColumn="0" w:lastRowFirstColumn="0" w:lastRowLastColumn="0"/>
        </w:trPr>
        <w:tc>
          <w:tcPr>
            <w:tcW w:w="6349" w:type="dxa"/>
          </w:tcPr>
          <w:p w:rsidR="00C07272" w:rsidRPr="00DF76BF" w:rsidRDefault="00C07272" w:rsidP="00C07272">
            <w:pPr>
              <w:suppressAutoHyphens w:val="0"/>
              <w:autoSpaceDE w:val="0"/>
              <w:autoSpaceDN w:val="0"/>
              <w:spacing w:before="0" w:after="0" w:line="240" w:lineRule="auto"/>
            </w:pPr>
            <w:r w:rsidRPr="00DF76BF">
              <w:t>Strengthen focus on youth and climate change through design processes for new investments</w:t>
            </w:r>
            <w:r>
              <w:t>, including health, education and infrastructure.</w:t>
            </w:r>
            <w:r w:rsidRPr="00DF76BF">
              <w:t xml:space="preserve"> </w:t>
            </w:r>
          </w:p>
          <w:p w:rsidR="00C07272" w:rsidRPr="00880004" w:rsidRDefault="00C07272" w:rsidP="00C07272">
            <w:pPr>
              <w:keepLines/>
              <w:spacing w:before="40" w:after="40" w:line="200" w:lineRule="atLeast"/>
              <w:rPr>
                <w:rFonts w:asciiTheme="minorHAnsi" w:eastAsia="Times New Roman" w:hAnsiTheme="minorHAnsi"/>
                <w:iCs/>
                <w:szCs w:val="17"/>
                <w:lang w:eastAsia="en-US"/>
              </w:rPr>
            </w:pPr>
          </w:p>
        </w:tc>
        <w:tc>
          <w:tcPr>
            <w:tcW w:w="949" w:type="dxa"/>
            <w:shd w:val="clear" w:color="auto" w:fill="72AF2F"/>
          </w:tcPr>
          <w:p w:rsidR="00C07272" w:rsidRPr="00880004" w:rsidRDefault="00C86E17" w:rsidP="00C07272">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3" w:type="dxa"/>
          </w:tcPr>
          <w:p w:rsidR="00C07272" w:rsidRPr="00880004" w:rsidRDefault="00C07272" w:rsidP="008A425D">
            <w:pPr>
              <w:keepLines/>
              <w:spacing w:before="40" w:after="40" w:line="200" w:lineRule="atLeast"/>
              <w:rPr>
                <w:rFonts w:asciiTheme="minorHAnsi" w:eastAsia="Times New Roman" w:hAnsiTheme="minorHAnsi"/>
                <w:iCs/>
                <w:color w:val="92D050"/>
                <w:szCs w:val="17"/>
                <w:lang w:eastAsia="en-US"/>
              </w:rPr>
            </w:pPr>
            <w:r w:rsidRPr="00B806C5">
              <w:t xml:space="preserve">Climate change integration plan finalised. Infrastructure and education designs </w:t>
            </w:r>
            <w:r w:rsidRPr="004C2EA0">
              <w:t>consider</w:t>
            </w:r>
            <w:r w:rsidRPr="00B806C5">
              <w:t xml:space="preserve"> youth and climate change</w:t>
            </w:r>
            <w:r w:rsidR="00266DBA">
              <w:t xml:space="preserve"> and</w:t>
            </w:r>
            <w:r w:rsidR="00AD54BA">
              <w:t xml:space="preserve"> the</w:t>
            </w:r>
            <w:r w:rsidR="00266DBA">
              <w:t xml:space="preserve"> health </w:t>
            </w:r>
            <w:r w:rsidR="00AD54BA">
              <w:t xml:space="preserve">design currently </w:t>
            </w:r>
            <w:r w:rsidR="00266DBA">
              <w:t>underway</w:t>
            </w:r>
            <w:r w:rsidR="00AD54BA">
              <w:t xml:space="preserve"> will integrate these</w:t>
            </w:r>
            <w:r w:rsidR="004F1770">
              <w:t>.</w:t>
            </w:r>
          </w:p>
        </w:tc>
      </w:tr>
      <w:tr w:rsidR="00C07272" w:rsidRPr="00C61187" w:rsidTr="00C07272">
        <w:trPr>
          <w:cnfStyle w:val="000000010000" w:firstRow="0" w:lastRow="0" w:firstColumn="0" w:lastColumn="0" w:oddVBand="0" w:evenVBand="0" w:oddHBand="0" w:evenHBand="1" w:firstRowFirstColumn="0" w:firstRowLastColumn="0" w:lastRowFirstColumn="0" w:lastRowLastColumn="0"/>
        </w:trPr>
        <w:tc>
          <w:tcPr>
            <w:tcW w:w="6349" w:type="dxa"/>
          </w:tcPr>
          <w:p w:rsidR="00C07272" w:rsidRDefault="00C07272" w:rsidP="00C07272">
            <w:pPr>
              <w:suppressAutoHyphens w:val="0"/>
              <w:autoSpaceDE w:val="0"/>
              <w:autoSpaceDN w:val="0"/>
              <w:spacing w:before="0" w:after="0" w:line="240" w:lineRule="auto"/>
            </w:pPr>
            <w:r w:rsidRPr="00DF76BF">
              <w:t>Develop a coordinated approach to addressing</w:t>
            </w:r>
            <w:r>
              <w:t xml:space="preserve"> overarching</w:t>
            </w:r>
            <w:r w:rsidRPr="00DF76BF">
              <w:t xml:space="preserve"> policy priorities across the program, initially focussing on </w:t>
            </w:r>
            <w:r>
              <w:t>public financial management</w:t>
            </w:r>
            <w:r w:rsidR="00890190">
              <w:t xml:space="preserve"> (PFM)</w:t>
            </w:r>
            <w:r>
              <w:t xml:space="preserve"> </w:t>
            </w:r>
          </w:p>
          <w:p w:rsidR="00C07272" w:rsidRPr="00880004" w:rsidRDefault="00C07272" w:rsidP="00C07272">
            <w:pPr>
              <w:keepLines/>
              <w:spacing w:before="40" w:after="40" w:line="200" w:lineRule="atLeast"/>
              <w:rPr>
                <w:rFonts w:asciiTheme="minorHAnsi" w:eastAsia="Times New Roman" w:hAnsiTheme="minorHAnsi"/>
                <w:iCs/>
                <w:szCs w:val="17"/>
                <w:lang w:eastAsia="en-US"/>
              </w:rPr>
            </w:pPr>
          </w:p>
        </w:tc>
        <w:tc>
          <w:tcPr>
            <w:tcW w:w="949" w:type="dxa"/>
            <w:shd w:val="clear" w:color="auto" w:fill="72AF2F"/>
          </w:tcPr>
          <w:p w:rsidR="00C07272" w:rsidRPr="00880004" w:rsidRDefault="00C86E17" w:rsidP="00EA510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Achieved </w:t>
            </w:r>
          </w:p>
        </w:tc>
        <w:tc>
          <w:tcPr>
            <w:tcW w:w="6763" w:type="dxa"/>
          </w:tcPr>
          <w:p w:rsidR="00C07272" w:rsidRPr="00880004" w:rsidRDefault="004538C1" w:rsidP="004538C1">
            <w:pPr>
              <w:keepLines/>
              <w:spacing w:before="40" w:after="40" w:line="200" w:lineRule="atLeast"/>
              <w:rPr>
                <w:rFonts w:asciiTheme="minorHAnsi" w:eastAsia="Times New Roman" w:hAnsiTheme="minorHAnsi"/>
                <w:iCs/>
                <w:color w:val="92D050"/>
                <w:szCs w:val="17"/>
                <w:lang w:eastAsia="en-US"/>
              </w:rPr>
            </w:pPr>
            <w:r>
              <w:t xml:space="preserve">Procurement of </w:t>
            </w:r>
            <w:r w:rsidR="00C07272" w:rsidRPr="00890190">
              <w:t>PFM adviser</w:t>
            </w:r>
            <w:r>
              <w:t xml:space="preserve"> </w:t>
            </w:r>
            <w:r w:rsidR="00C07272" w:rsidRPr="00890190">
              <w:t>underwa</w:t>
            </w:r>
            <w:r w:rsidR="00890190">
              <w:t>y</w:t>
            </w:r>
            <w:r>
              <w:t>, to be finalised October 2018</w:t>
            </w:r>
            <w:r w:rsidR="00890190">
              <w:t>.</w:t>
            </w:r>
          </w:p>
        </w:tc>
      </w:tr>
      <w:tr w:rsidR="00C07272" w:rsidRPr="00C61187" w:rsidTr="00EE74F1">
        <w:trPr>
          <w:cnfStyle w:val="000000010000" w:firstRow="0" w:lastRow="0" w:firstColumn="0" w:lastColumn="0" w:oddVBand="0" w:evenVBand="0" w:oddHBand="0" w:evenHBand="1" w:firstRowFirstColumn="0" w:firstRowLastColumn="0" w:lastRowFirstColumn="0" w:lastRowLastColumn="0"/>
        </w:trPr>
        <w:tc>
          <w:tcPr>
            <w:tcW w:w="6349" w:type="dxa"/>
          </w:tcPr>
          <w:p w:rsidR="00C07272" w:rsidRDefault="00C07272" w:rsidP="00C07272">
            <w:pPr>
              <w:suppressAutoHyphens w:val="0"/>
              <w:autoSpaceDE w:val="0"/>
              <w:autoSpaceDN w:val="0"/>
              <w:spacing w:before="0" w:after="0" w:line="240" w:lineRule="auto"/>
            </w:pPr>
            <w:r>
              <w:t>Strengthen gender equality in programs including: health – by developing a major focus on women and girls in the new design; TC Pam recovery – by supporting government to progress implementation of the gender equality and social protection project; and GfG – through engaging gender equality expertise.</w:t>
            </w:r>
          </w:p>
          <w:p w:rsidR="00C07272" w:rsidRPr="00880004" w:rsidRDefault="00C07272" w:rsidP="00C07272">
            <w:pPr>
              <w:keepLines/>
              <w:spacing w:before="40" w:after="40" w:line="200" w:lineRule="atLeast"/>
              <w:rPr>
                <w:rFonts w:asciiTheme="minorHAnsi" w:eastAsia="Times New Roman" w:hAnsiTheme="minorHAnsi"/>
                <w:iCs/>
                <w:szCs w:val="17"/>
                <w:lang w:eastAsia="en-US"/>
              </w:rPr>
            </w:pPr>
          </w:p>
        </w:tc>
        <w:tc>
          <w:tcPr>
            <w:tcW w:w="949" w:type="dxa"/>
            <w:shd w:val="clear" w:color="auto" w:fill="7FB64D" w:themeFill="accent3" w:themeFillShade="BF"/>
          </w:tcPr>
          <w:p w:rsidR="00C07272" w:rsidRPr="00880004" w:rsidRDefault="00FD6EF6" w:rsidP="00C07272">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3" w:type="dxa"/>
          </w:tcPr>
          <w:p w:rsidR="00C07272" w:rsidRPr="00880004" w:rsidRDefault="00C07272" w:rsidP="008A425D">
            <w:pPr>
              <w:keepLines/>
              <w:spacing w:before="40" w:after="40" w:line="200" w:lineRule="atLeast"/>
              <w:rPr>
                <w:rFonts w:asciiTheme="minorHAnsi" w:eastAsia="Times New Roman" w:hAnsiTheme="minorHAnsi"/>
                <w:iCs/>
                <w:color w:val="409F68" w:themeColor="accent6"/>
                <w:szCs w:val="17"/>
                <w:lang w:eastAsia="en-US"/>
              </w:rPr>
            </w:pPr>
            <w:r w:rsidRPr="00B806C5">
              <w:t xml:space="preserve">Health design </w:t>
            </w:r>
            <w:r w:rsidR="000D7E91">
              <w:t xml:space="preserve">consultations completed June 2018, gender specialist included in design team, design document due end </w:t>
            </w:r>
            <w:r w:rsidR="00AD54BA">
              <w:t>October</w:t>
            </w:r>
            <w:r w:rsidR="000D7E91">
              <w:t xml:space="preserve"> 2018. </w:t>
            </w:r>
            <w:r w:rsidRPr="00B806C5">
              <w:t xml:space="preserve">New </w:t>
            </w:r>
            <w:r w:rsidR="00FD6EF6">
              <w:t xml:space="preserve">gender equality </w:t>
            </w:r>
            <w:r w:rsidR="00C86E17" w:rsidRPr="00F10258">
              <w:t xml:space="preserve">initiative </w:t>
            </w:r>
            <w:r w:rsidR="00C86E17" w:rsidRPr="003F2A3F">
              <w:t>agreed</w:t>
            </w:r>
            <w:r w:rsidRPr="00F10258">
              <w:t xml:space="preserve"> </w:t>
            </w:r>
            <w:r w:rsidR="00C86E17" w:rsidRPr="00F10258">
              <w:t>for</w:t>
            </w:r>
            <w:r w:rsidR="00C86E17">
              <w:t xml:space="preserve"> </w:t>
            </w:r>
            <w:r w:rsidR="00FD6EF6">
              <w:t>TC Pam</w:t>
            </w:r>
            <w:r w:rsidRPr="00B806C5">
              <w:t xml:space="preserve"> Recovery</w:t>
            </w:r>
            <w:r w:rsidR="00FD6EF6">
              <w:t xml:space="preserve"> program</w:t>
            </w:r>
            <w:r w:rsidRPr="00B806C5">
              <w:t xml:space="preserve">. GfG </w:t>
            </w:r>
            <w:r w:rsidR="00F10258">
              <w:t>Gender Equality adviser recruited, with first inputs planned for quarter 3, 2018</w:t>
            </w:r>
            <w:r>
              <w:t>.</w:t>
            </w:r>
          </w:p>
        </w:tc>
      </w:tr>
      <w:tr w:rsidR="00C07272" w:rsidRPr="00C61187" w:rsidTr="00EE74F1">
        <w:trPr>
          <w:cnfStyle w:val="000000010000" w:firstRow="0" w:lastRow="0" w:firstColumn="0" w:lastColumn="0" w:oddVBand="0" w:evenVBand="0" w:oddHBand="0" w:evenHBand="1" w:firstRowFirstColumn="0" w:firstRowLastColumn="0" w:lastRowFirstColumn="0" w:lastRowLastColumn="0"/>
        </w:trPr>
        <w:tc>
          <w:tcPr>
            <w:tcW w:w="6349" w:type="dxa"/>
          </w:tcPr>
          <w:p w:rsidR="00C07272" w:rsidRDefault="00C07272" w:rsidP="00C07272">
            <w:pPr>
              <w:suppressAutoHyphens w:val="0"/>
              <w:autoSpaceDE w:val="0"/>
              <w:autoSpaceDN w:val="0"/>
              <w:spacing w:before="0" w:after="0" w:line="240" w:lineRule="auto"/>
            </w:pPr>
            <w:r>
              <w:t>Increase mainstreaming of disability inclusion across investments, including increasing access to skills development opportunities for people with a disability.</w:t>
            </w:r>
          </w:p>
          <w:p w:rsidR="00C07272" w:rsidRPr="00880004" w:rsidRDefault="00C07272" w:rsidP="00C07272">
            <w:pPr>
              <w:keepLines/>
              <w:spacing w:before="40" w:after="40" w:line="200" w:lineRule="atLeast"/>
              <w:rPr>
                <w:rFonts w:asciiTheme="minorHAnsi" w:eastAsia="Times New Roman" w:hAnsiTheme="minorHAnsi"/>
                <w:iCs/>
                <w:szCs w:val="17"/>
                <w:lang w:eastAsia="en-US"/>
              </w:rPr>
            </w:pPr>
          </w:p>
        </w:tc>
        <w:tc>
          <w:tcPr>
            <w:tcW w:w="949" w:type="dxa"/>
            <w:shd w:val="clear" w:color="auto" w:fill="7FB64D" w:themeFill="accent3" w:themeFillShade="BF"/>
          </w:tcPr>
          <w:p w:rsidR="00C86E17" w:rsidRDefault="00C86E17" w:rsidP="00C07272">
            <w:pPr>
              <w:keepLines/>
              <w:spacing w:before="40" w:after="40" w:line="200" w:lineRule="atLeast"/>
              <w:jc w:val="center"/>
              <w:rPr>
                <w:rFonts w:asciiTheme="minorHAnsi" w:eastAsia="Times New Roman" w:hAnsiTheme="minorHAnsi"/>
                <w:iCs/>
                <w:color w:val="FFFFFF" w:themeColor="background1"/>
                <w:szCs w:val="17"/>
                <w:lang w:eastAsia="en-US"/>
              </w:rPr>
            </w:pPr>
          </w:p>
          <w:p w:rsidR="00C07272" w:rsidRPr="00880004" w:rsidRDefault="00FD6EF6" w:rsidP="00C07272">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3" w:type="dxa"/>
          </w:tcPr>
          <w:p w:rsidR="00C07272" w:rsidRPr="00880004" w:rsidRDefault="00C07272" w:rsidP="00915BCC">
            <w:pPr>
              <w:keepLines/>
              <w:spacing w:before="40" w:after="40" w:line="200" w:lineRule="atLeast"/>
              <w:rPr>
                <w:rFonts w:asciiTheme="minorHAnsi" w:eastAsia="Times New Roman" w:hAnsiTheme="minorHAnsi"/>
                <w:iCs/>
                <w:color w:val="409F68" w:themeColor="accent6"/>
                <w:szCs w:val="17"/>
                <w:lang w:eastAsia="en-US"/>
              </w:rPr>
            </w:pPr>
            <w:r w:rsidRPr="00B806C5">
              <w:t>Supported GoV to develop new National Disability</w:t>
            </w:r>
            <w:r w:rsidR="0050555F">
              <w:t xml:space="preserve"> Inclusive Development Policy</w:t>
            </w:r>
            <w:r w:rsidRPr="00B806C5">
              <w:t xml:space="preserve"> </w:t>
            </w:r>
            <w:r w:rsidR="0050555F">
              <w:t>2018-2025</w:t>
            </w:r>
            <w:r w:rsidRPr="00B806C5">
              <w:t xml:space="preserve">. </w:t>
            </w:r>
            <w:r w:rsidR="008A6843">
              <w:t>VSP</w:t>
            </w:r>
            <w:r w:rsidRPr="00B806C5">
              <w:t xml:space="preserve"> increased access to skills development opportunities for people with a disability. </w:t>
            </w:r>
            <w:r w:rsidR="007D055E">
              <w:t xml:space="preserve">Additional mainstreaming </w:t>
            </w:r>
            <w:r w:rsidRPr="00B806C5">
              <w:t xml:space="preserve">efforts </w:t>
            </w:r>
            <w:r w:rsidR="007D055E">
              <w:t xml:space="preserve">implemented </w:t>
            </w:r>
            <w:r w:rsidRPr="00B806C5">
              <w:t>across</w:t>
            </w:r>
            <w:r w:rsidR="00C86E17">
              <w:t xml:space="preserve"> </w:t>
            </w:r>
            <w:r w:rsidRPr="00B806C5">
              <w:t>investments and new designs</w:t>
            </w:r>
            <w:r w:rsidR="000D7E91">
              <w:t xml:space="preserve">, including in VSP and </w:t>
            </w:r>
            <w:r w:rsidR="0050555F">
              <w:t>H</w:t>
            </w:r>
            <w:r w:rsidR="000D7E91">
              <w:t>SP (refer text)</w:t>
            </w:r>
            <w:r w:rsidRPr="00B806C5">
              <w:t>.</w:t>
            </w:r>
          </w:p>
        </w:tc>
      </w:tr>
      <w:tr w:rsidR="00C07272" w:rsidRPr="00C61187" w:rsidTr="00E77FAD">
        <w:trPr>
          <w:cnfStyle w:val="000000010000" w:firstRow="0" w:lastRow="0" w:firstColumn="0" w:lastColumn="0" w:oddVBand="0" w:evenVBand="0" w:oddHBand="0" w:evenHBand="1" w:firstRowFirstColumn="0" w:firstRowLastColumn="0" w:lastRowFirstColumn="0" w:lastRowLastColumn="0"/>
        </w:trPr>
        <w:tc>
          <w:tcPr>
            <w:tcW w:w="6349" w:type="dxa"/>
          </w:tcPr>
          <w:p w:rsidR="00C07272" w:rsidRPr="00DF76BF" w:rsidRDefault="00C07272" w:rsidP="00C07272">
            <w:pPr>
              <w:suppressAutoHyphens w:val="0"/>
              <w:autoSpaceDE w:val="0"/>
              <w:autoSpaceDN w:val="0"/>
              <w:spacing w:before="0" w:after="0" w:line="240" w:lineRule="auto"/>
            </w:pPr>
            <w:r w:rsidRPr="00DF76BF">
              <w:t>Increase investment in whole of program analysis and reporting by engaging an M&amp;E advisor.</w:t>
            </w:r>
          </w:p>
          <w:p w:rsidR="00C07272" w:rsidRDefault="00C07272" w:rsidP="00C07272">
            <w:pPr>
              <w:keepLines/>
              <w:spacing w:before="40" w:after="40" w:line="200" w:lineRule="atLeast"/>
              <w:rPr>
                <w:rFonts w:eastAsia="Times New Roman"/>
                <w:iCs/>
                <w:szCs w:val="17"/>
              </w:rPr>
            </w:pPr>
          </w:p>
        </w:tc>
        <w:tc>
          <w:tcPr>
            <w:tcW w:w="949" w:type="dxa"/>
            <w:shd w:val="clear" w:color="auto" w:fill="72AF2F"/>
          </w:tcPr>
          <w:p w:rsidR="00C07272" w:rsidRPr="00880004" w:rsidRDefault="00851D3A" w:rsidP="00C07272">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C07272" w:rsidRPr="00880004" w:rsidRDefault="00AD54BA" w:rsidP="008A425D">
            <w:pPr>
              <w:keepLines/>
              <w:spacing w:before="40" w:after="40" w:line="200" w:lineRule="atLeast"/>
              <w:rPr>
                <w:rFonts w:eastAsia="Times New Roman"/>
                <w:iCs/>
                <w:color w:val="409F68" w:themeColor="accent6"/>
                <w:szCs w:val="17"/>
              </w:rPr>
            </w:pPr>
            <w:r>
              <w:t xml:space="preserve">M&amp;E/Performance </w:t>
            </w:r>
            <w:r w:rsidR="00C07272" w:rsidRPr="00B806C5">
              <w:t xml:space="preserve">adviser </w:t>
            </w:r>
            <w:r w:rsidR="00E77FAD">
              <w:t xml:space="preserve">engaged and </w:t>
            </w:r>
            <w:r w:rsidR="00C07272" w:rsidRPr="00B806C5">
              <w:t>working</w:t>
            </w:r>
            <w:r w:rsidR="00E77FAD">
              <w:t xml:space="preserve"> across </w:t>
            </w:r>
            <w:r w:rsidR="00C07272" w:rsidRPr="00B806C5">
              <w:t xml:space="preserve">the </w:t>
            </w:r>
            <w:r w:rsidR="00E77FAD">
              <w:t xml:space="preserve">aid </w:t>
            </w:r>
            <w:r w:rsidR="00C07272" w:rsidRPr="00B806C5">
              <w:t>program on an ongoing basis.</w:t>
            </w:r>
          </w:p>
        </w:tc>
      </w:tr>
      <w:tr w:rsidR="00C07272" w:rsidRPr="00C61187" w:rsidTr="00E77FAD">
        <w:trPr>
          <w:cnfStyle w:val="000000010000" w:firstRow="0" w:lastRow="0" w:firstColumn="0" w:lastColumn="0" w:oddVBand="0" w:evenVBand="0" w:oddHBand="0" w:evenHBand="1" w:firstRowFirstColumn="0" w:firstRowLastColumn="0" w:lastRowFirstColumn="0" w:lastRowLastColumn="0"/>
        </w:trPr>
        <w:tc>
          <w:tcPr>
            <w:tcW w:w="6349" w:type="dxa"/>
          </w:tcPr>
          <w:p w:rsidR="00C07272" w:rsidRPr="00DF76BF" w:rsidRDefault="00C07272" w:rsidP="00C07272">
            <w:pPr>
              <w:suppressAutoHyphens w:val="0"/>
              <w:autoSpaceDE w:val="0"/>
              <w:autoSpaceDN w:val="0"/>
              <w:spacing w:before="0" w:after="0" w:line="240" w:lineRule="auto"/>
            </w:pPr>
            <w:r>
              <w:t xml:space="preserve">Improve </w:t>
            </w:r>
            <w:r w:rsidRPr="00DF76BF">
              <w:t xml:space="preserve">efficiencies by transferring management of the Australia Awards (Vanuatu) to a contractor. </w:t>
            </w:r>
          </w:p>
          <w:p w:rsidR="00C07272" w:rsidRDefault="00C07272" w:rsidP="00C07272">
            <w:pPr>
              <w:keepLines/>
              <w:spacing w:before="40" w:after="40" w:line="200" w:lineRule="atLeast"/>
              <w:rPr>
                <w:rFonts w:eastAsia="Times New Roman"/>
                <w:iCs/>
                <w:szCs w:val="17"/>
              </w:rPr>
            </w:pPr>
          </w:p>
        </w:tc>
        <w:tc>
          <w:tcPr>
            <w:tcW w:w="949" w:type="dxa"/>
            <w:shd w:val="clear" w:color="auto" w:fill="72AF2F"/>
          </w:tcPr>
          <w:p w:rsidR="00C07272" w:rsidRPr="00880004" w:rsidRDefault="00851D3A" w:rsidP="00C07272">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C07272" w:rsidRPr="00880004" w:rsidRDefault="00C07272" w:rsidP="00FB776D">
            <w:pPr>
              <w:keepLines/>
              <w:spacing w:before="40" w:after="40" w:line="200" w:lineRule="atLeast"/>
              <w:rPr>
                <w:rFonts w:eastAsia="Times New Roman"/>
                <w:iCs/>
                <w:color w:val="409F68" w:themeColor="accent6"/>
                <w:szCs w:val="17"/>
              </w:rPr>
            </w:pPr>
            <w:r w:rsidRPr="00B806C5">
              <w:t xml:space="preserve">Australia Awards has been outsourced. </w:t>
            </w:r>
          </w:p>
        </w:tc>
      </w:tr>
      <w:tr w:rsidR="00C07272" w:rsidRPr="00C61187" w:rsidTr="00E77FAD">
        <w:trPr>
          <w:cnfStyle w:val="000000010000" w:firstRow="0" w:lastRow="0" w:firstColumn="0" w:lastColumn="0" w:oddVBand="0" w:evenVBand="0" w:oddHBand="0" w:evenHBand="1" w:firstRowFirstColumn="0" w:firstRowLastColumn="0" w:lastRowFirstColumn="0" w:lastRowLastColumn="0"/>
        </w:trPr>
        <w:tc>
          <w:tcPr>
            <w:tcW w:w="6349" w:type="dxa"/>
          </w:tcPr>
          <w:p w:rsidR="00C07272" w:rsidRDefault="00C07272" w:rsidP="00C07272">
            <w:pPr>
              <w:suppressAutoHyphens w:val="0"/>
              <w:autoSpaceDE w:val="0"/>
              <w:autoSpaceDN w:val="0"/>
              <w:spacing w:before="0" w:after="0" w:line="240" w:lineRule="auto"/>
            </w:pPr>
            <w:r>
              <w:t>Implement the remediation plan for the TC</w:t>
            </w:r>
            <w:r w:rsidRPr="00DF76BF">
              <w:t xml:space="preserve"> Pam recovery </w:t>
            </w:r>
            <w:r>
              <w:t xml:space="preserve">program. </w:t>
            </w:r>
          </w:p>
          <w:p w:rsidR="00C07272" w:rsidRDefault="00C07272" w:rsidP="00C07272">
            <w:pPr>
              <w:keepLines/>
              <w:spacing w:before="40" w:after="40" w:line="200" w:lineRule="atLeast"/>
              <w:rPr>
                <w:rFonts w:eastAsia="Times New Roman"/>
                <w:iCs/>
                <w:szCs w:val="17"/>
              </w:rPr>
            </w:pPr>
          </w:p>
        </w:tc>
        <w:tc>
          <w:tcPr>
            <w:tcW w:w="949" w:type="dxa"/>
            <w:shd w:val="clear" w:color="auto" w:fill="72AF2F"/>
          </w:tcPr>
          <w:p w:rsidR="00C07272" w:rsidRPr="00880004" w:rsidRDefault="00E77FAD" w:rsidP="00C07272">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C07272" w:rsidRPr="00880004" w:rsidRDefault="00E77FAD" w:rsidP="00E77FAD">
            <w:pPr>
              <w:keepLines/>
              <w:spacing w:before="40" w:after="40" w:line="200" w:lineRule="atLeast"/>
              <w:rPr>
                <w:rFonts w:eastAsia="Times New Roman"/>
                <w:iCs/>
                <w:color w:val="409F68" w:themeColor="accent6"/>
                <w:szCs w:val="17"/>
              </w:rPr>
            </w:pPr>
            <w:r>
              <w:t>Remediation Plan implemented: the TC Pam Recovery program is no longer rated as an Investment Requiring Improvement</w:t>
            </w:r>
            <w:r w:rsidR="00C07272" w:rsidRPr="00B806C5">
              <w:t>.</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33AB7" w:rsidRDefault="002A51CA" w:rsidP="00400B0F">
      <w:pPr>
        <w:pStyle w:val="Subtitle"/>
        <w:numPr>
          <w:ilvl w:val="0"/>
          <w:numId w:val="0"/>
        </w:numPr>
      </w:pPr>
      <w:r w:rsidRPr="00C61187">
        <w:rPr>
          <w:rFonts w:ascii="Franklin Gothic Book" w:eastAsia="Times New Roman" w:hAnsi="Franklin Gothic Book"/>
          <w:sz w:val="21"/>
        </w:rPr>
        <w:lastRenderedPageBreak/>
        <w:t xml:space="preserve"> </w:t>
      </w:r>
      <w:r w:rsidR="00400B0F" w:rsidRPr="00400B0F">
        <w:t xml:space="preserve">Annex B </w:t>
      </w:r>
      <w:r w:rsidR="00033AB7">
        <w:t>–</w:t>
      </w:r>
      <w:r w:rsidR="00400B0F" w:rsidRPr="00400B0F">
        <w:t xml:space="preserve"> </w:t>
      </w:r>
      <w:r w:rsidR="00033AB7">
        <w:t>PERFORMANCE BENCHMARKS</w:t>
      </w:r>
    </w:p>
    <w:p w:rsidR="00CE5DF0" w:rsidRDefault="00320251" w:rsidP="00CE5DF0">
      <w:r w:rsidRPr="00320251">
        <w:rPr>
          <w:rFonts w:ascii="Franklin Gothic Book" w:eastAsia="Times New Roman" w:hAnsi="Franklin Gothic Book"/>
          <w:b/>
          <w:sz w:val="24"/>
          <w:szCs w:val="24"/>
        </w:rPr>
        <w:t>Progress towards Performance Benchmarks in 201</w:t>
      </w:r>
      <w:r w:rsidR="002D37BC">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2D37BC">
        <w:rPr>
          <w:rFonts w:ascii="Franklin Gothic Book" w:eastAsia="Times New Roman" w:hAnsi="Franklin Gothic Book"/>
          <w:b/>
          <w:sz w:val="24"/>
          <w:szCs w:val="24"/>
        </w:rPr>
        <w:t>8</w:t>
      </w:r>
    </w:p>
    <w:tbl>
      <w:tblPr>
        <w:tblStyle w:val="DFATTable10"/>
        <w:tblW w:w="5000" w:type="pct"/>
        <w:tblLook w:val="04A0" w:firstRow="1" w:lastRow="0" w:firstColumn="1" w:lastColumn="0" w:noHBand="0" w:noVBand="1"/>
      </w:tblPr>
      <w:tblGrid>
        <w:gridCol w:w="2211"/>
        <w:gridCol w:w="2211"/>
        <w:gridCol w:w="1332"/>
        <w:gridCol w:w="8419"/>
      </w:tblGrid>
      <w:tr w:rsidR="007F6D78" w:rsidRPr="007F6D78" w:rsidTr="00F40C0D">
        <w:trPr>
          <w:tblHeader/>
        </w:trPr>
        <w:tc>
          <w:tcPr>
            <w:tcW w:w="780" w:type="pct"/>
            <w:tcMar>
              <w:top w:w="57" w:type="dxa"/>
              <w:bottom w:w="57" w:type="dxa"/>
            </w:tcMar>
          </w:tcPr>
          <w:p w:rsidR="007F6D78" w:rsidRPr="007F6D78" w:rsidRDefault="007F6D78" w:rsidP="007F6D78">
            <w:pPr>
              <w:keepLines/>
              <w:spacing w:before="80" w:after="80" w:line="200" w:lineRule="atLeast"/>
              <w:rPr>
                <w:rFonts w:asciiTheme="minorHAnsi" w:eastAsia="Times New Roman" w:hAnsiTheme="minorHAnsi"/>
                <w:b/>
                <w:iCs/>
                <w:szCs w:val="17"/>
                <w:lang w:eastAsia="en-US"/>
              </w:rPr>
            </w:pPr>
            <w:r w:rsidRPr="007F6D78">
              <w:rPr>
                <w:rFonts w:asciiTheme="minorHAnsi" w:eastAsia="Times New Roman" w:hAnsiTheme="minorHAnsi"/>
                <w:b/>
                <w:iCs/>
                <w:szCs w:val="17"/>
                <w:lang w:eastAsia="en-US"/>
              </w:rPr>
              <w:t>Aid objective</w:t>
            </w:r>
          </w:p>
        </w:tc>
        <w:tc>
          <w:tcPr>
            <w:tcW w:w="780" w:type="pct"/>
          </w:tcPr>
          <w:p w:rsidR="007F6D78" w:rsidRPr="007F6D78" w:rsidRDefault="007F6D78" w:rsidP="007F6D78">
            <w:pPr>
              <w:keepLines/>
              <w:spacing w:before="80" w:after="80" w:line="200" w:lineRule="atLeast"/>
              <w:rPr>
                <w:rFonts w:asciiTheme="minorHAnsi" w:eastAsia="Times New Roman" w:hAnsiTheme="minorHAnsi"/>
                <w:b/>
                <w:iCs/>
                <w:szCs w:val="17"/>
                <w:lang w:eastAsia="en-US"/>
              </w:rPr>
            </w:pPr>
            <w:r w:rsidRPr="007F6D78">
              <w:rPr>
                <w:rFonts w:asciiTheme="minorHAnsi" w:eastAsia="Times New Roman" w:hAnsiTheme="minorHAnsi"/>
                <w:b/>
                <w:iCs/>
                <w:szCs w:val="17"/>
                <w:lang w:eastAsia="en-US"/>
              </w:rPr>
              <w:t xml:space="preserve">Performance Benchmark </w:t>
            </w:r>
          </w:p>
        </w:tc>
        <w:tc>
          <w:tcPr>
            <w:tcW w:w="470" w:type="pct"/>
          </w:tcPr>
          <w:p w:rsidR="007F6D78" w:rsidRPr="007F6D78" w:rsidRDefault="007F6D78" w:rsidP="007F6D78">
            <w:pPr>
              <w:keepLines/>
              <w:spacing w:before="80" w:after="80" w:line="200" w:lineRule="atLeast"/>
              <w:jc w:val="center"/>
              <w:rPr>
                <w:rFonts w:asciiTheme="minorHAnsi" w:eastAsia="Times New Roman" w:hAnsiTheme="minorHAnsi"/>
                <w:b/>
                <w:iCs/>
                <w:szCs w:val="17"/>
                <w:lang w:eastAsia="en-US"/>
              </w:rPr>
            </w:pPr>
            <w:r w:rsidRPr="007F6D78">
              <w:rPr>
                <w:rFonts w:asciiTheme="minorHAnsi" w:eastAsia="Times New Roman" w:hAnsiTheme="minorHAnsi"/>
                <w:b/>
                <w:iCs/>
                <w:szCs w:val="17"/>
                <w:lang w:eastAsia="en-US"/>
              </w:rPr>
              <w:t>Rating</w:t>
            </w:r>
          </w:p>
        </w:tc>
        <w:tc>
          <w:tcPr>
            <w:tcW w:w="2970" w:type="pct"/>
          </w:tcPr>
          <w:p w:rsidR="007F6D78" w:rsidRPr="007F6D78" w:rsidRDefault="007F6D78">
            <w:pPr>
              <w:keepLines/>
              <w:spacing w:before="80" w:after="80" w:line="200" w:lineRule="atLeast"/>
              <w:jc w:val="center"/>
              <w:rPr>
                <w:rFonts w:asciiTheme="minorHAnsi" w:eastAsia="Times New Roman" w:hAnsiTheme="minorHAnsi"/>
                <w:b/>
                <w:iCs/>
                <w:szCs w:val="17"/>
                <w:lang w:eastAsia="en-US"/>
              </w:rPr>
            </w:pPr>
            <w:r w:rsidRPr="007F6D78">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7</w:t>
            </w:r>
            <w:r w:rsidRPr="007F6D78">
              <w:rPr>
                <w:rFonts w:asciiTheme="minorHAnsi" w:eastAsia="Times New Roman" w:hAnsiTheme="minorHAnsi"/>
                <w:b/>
                <w:iCs/>
                <w:szCs w:val="17"/>
                <w:lang w:eastAsia="en-US"/>
              </w:rPr>
              <w:t>-1</w:t>
            </w:r>
            <w:r>
              <w:rPr>
                <w:rFonts w:asciiTheme="minorHAnsi" w:eastAsia="Times New Roman" w:hAnsiTheme="minorHAnsi"/>
                <w:b/>
                <w:iCs/>
                <w:szCs w:val="17"/>
                <w:lang w:eastAsia="en-US"/>
              </w:rPr>
              <w:t>8</w:t>
            </w: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lang w:eastAsia="en-US"/>
              </w:rPr>
            </w:pPr>
            <w:r w:rsidRPr="00772167">
              <w:rPr>
                <w:rFonts w:ascii="Franklin Gothic Book" w:eastAsia="Times New Roman" w:hAnsi="Franklin Gothic Book"/>
                <w:iCs/>
                <w:szCs w:val="17"/>
              </w:rPr>
              <w:t>Build better infrastructure and an environment for economic opportunity</w:t>
            </w:r>
          </w:p>
        </w:tc>
        <w:tc>
          <w:tcPr>
            <w:tcW w:w="780" w:type="pct"/>
          </w:tcPr>
          <w:p w:rsidR="007F6D78" w:rsidRPr="00E16CD2" w:rsidRDefault="00681334">
            <w:pPr>
              <w:keepLines/>
              <w:spacing w:before="40" w:after="40" w:line="200" w:lineRule="atLeast"/>
              <w:rPr>
                <w:rFonts w:ascii="Franklin Gothic Book" w:eastAsia="Times New Roman" w:hAnsi="Franklin Gothic Book"/>
                <w:iCs/>
                <w:szCs w:val="17"/>
                <w:lang w:eastAsia="en-US"/>
              </w:rPr>
            </w:pPr>
            <w:r w:rsidRPr="00E16CD2">
              <w:rPr>
                <w:rFonts w:ascii="Franklin Gothic Book" w:eastAsia="Times New Roman" w:hAnsi="Franklin Gothic Book"/>
                <w:iCs/>
                <w:szCs w:val="17"/>
              </w:rPr>
              <w:t xml:space="preserve">Kilometres of </w:t>
            </w:r>
            <w:r w:rsidR="007F6D78" w:rsidRPr="00E16CD2">
              <w:rPr>
                <w:rFonts w:ascii="Franklin Gothic Book" w:eastAsia="Times New Roman" w:hAnsi="Franklin Gothic Book"/>
                <w:iCs/>
                <w:szCs w:val="17"/>
              </w:rPr>
              <w:t>urban roads resealed/asphalt concreted</w:t>
            </w:r>
            <w:r w:rsidRPr="00E16CD2">
              <w:rPr>
                <w:rFonts w:ascii="Franklin Gothic Book" w:eastAsia="Times New Roman" w:hAnsi="Franklin Gothic Book"/>
                <w:iCs/>
                <w:szCs w:val="17"/>
              </w:rPr>
              <w:t xml:space="preserve"> (target 8 km)</w:t>
            </w:r>
          </w:p>
        </w:tc>
        <w:tc>
          <w:tcPr>
            <w:tcW w:w="470" w:type="pct"/>
            <w:shd w:val="clear" w:color="auto" w:fill="92D050"/>
          </w:tcPr>
          <w:p w:rsidR="007F6D78" w:rsidRPr="00E16CD2" w:rsidRDefault="000F74A5" w:rsidP="007F6D78">
            <w:pPr>
              <w:keepLines/>
              <w:spacing w:before="40" w:after="40" w:line="200" w:lineRule="atLeast"/>
              <w:jc w:val="center"/>
              <w:rPr>
                <w:rFonts w:asciiTheme="minorHAnsi" w:eastAsia="Times New Roman" w:hAnsiTheme="minorHAnsi"/>
                <w:iCs/>
                <w:color w:val="FFFFFF" w:themeColor="background1"/>
                <w:szCs w:val="17"/>
                <w:lang w:eastAsia="en-US"/>
              </w:rPr>
            </w:pPr>
            <w:r w:rsidRPr="008A425D">
              <w:rPr>
                <w:rFonts w:eastAsia="Times New Roman"/>
                <w:iCs/>
                <w:color w:val="FFFFFF" w:themeColor="background1"/>
                <w:szCs w:val="17"/>
              </w:rPr>
              <w:t xml:space="preserve">Not </w:t>
            </w:r>
            <w:r w:rsidR="00FD6EF6" w:rsidRPr="008A425D">
              <w:rPr>
                <w:rFonts w:eastAsia="Times New Roman"/>
                <w:iCs/>
                <w:color w:val="FFFFFF" w:themeColor="background1"/>
                <w:szCs w:val="17"/>
              </w:rPr>
              <w:t>Achieved</w:t>
            </w:r>
          </w:p>
        </w:tc>
        <w:tc>
          <w:tcPr>
            <w:tcW w:w="2970" w:type="pct"/>
          </w:tcPr>
          <w:p w:rsidR="007F6D78" w:rsidRPr="00E16CD2" w:rsidRDefault="000F74A5" w:rsidP="000F74A5">
            <w:pPr>
              <w:keepLines/>
              <w:spacing w:before="40" w:after="40" w:line="200" w:lineRule="atLeast"/>
              <w:rPr>
                <w:rFonts w:ascii="Franklin Gothic Book" w:eastAsia="Times New Roman" w:hAnsi="Franklin Gothic Book"/>
                <w:iCs/>
                <w:szCs w:val="17"/>
              </w:rPr>
            </w:pPr>
            <w:r w:rsidRPr="008A425D">
              <w:rPr>
                <w:rFonts w:ascii="Franklin Gothic Book" w:eastAsia="Times New Roman" w:hAnsi="Franklin Gothic Book"/>
                <w:iCs/>
                <w:szCs w:val="17"/>
              </w:rPr>
              <w:t>5.8</w:t>
            </w:r>
            <w:r w:rsidR="00835767" w:rsidRPr="008A425D">
              <w:rPr>
                <w:rFonts w:ascii="Franklin Gothic Book" w:eastAsia="Times New Roman" w:hAnsi="Franklin Gothic Book"/>
                <w:iCs/>
                <w:szCs w:val="17"/>
              </w:rPr>
              <w:t xml:space="preserve"> </w:t>
            </w:r>
            <w:r w:rsidR="00FC0E91" w:rsidRPr="008A425D">
              <w:rPr>
                <w:rFonts w:ascii="Franklin Gothic Book" w:eastAsia="Times New Roman" w:hAnsi="Franklin Gothic Book"/>
                <w:iCs/>
                <w:szCs w:val="17"/>
              </w:rPr>
              <w:t>km of urban roads resealed.</w:t>
            </w:r>
            <w:r w:rsidR="00FC0E91" w:rsidRPr="00E16CD2">
              <w:rPr>
                <w:rFonts w:ascii="Franklin Gothic Book" w:eastAsia="Times New Roman" w:hAnsi="Franklin Gothic Book"/>
                <w:iCs/>
                <w:szCs w:val="17"/>
              </w:rPr>
              <w:t xml:space="preserve"> </w:t>
            </w: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rPr>
            </w:pPr>
          </w:p>
        </w:tc>
        <w:tc>
          <w:tcPr>
            <w:tcW w:w="780" w:type="pct"/>
          </w:tcPr>
          <w:p w:rsidR="007F6D78" w:rsidRPr="00772167" w:rsidRDefault="00681334">
            <w:pPr>
              <w:keepLines/>
              <w:spacing w:before="40" w:after="40" w:line="200" w:lineRule="atLeast"/>
              <w:rPr>
                <w:rFonts w:ascii="Franklin Gothic Book" w:eastAsia="Times New Roman" w:hAnsi="Franklin Gothic Book"/>
                <w:iCs/>
                <w:szCs w:val="17"/>
              </w:rPr>
            </w:pPr>
            <w:r w:rsidRPr="00772167">
              <w:rPr>
                <w:rFonts w:ascii="Franklin Gothic Book" w:eastAsia="Times New Roman" w:hAnsi="Franklin Gothic Book"/>
                <w:iCs/>
                <w:szCs w:val="17"/>
              </w:rPr>
              <w:t>Number of</w:t>
            </w:r>
            <w:r w:rsidR="007F6D78" w:rsidRPr="00772167">
              <w:rPr>
                <w:rFonts w:ascii="Franklin Gothic Book" w:eastAsia="Times New Roman" w:hAnsi="Franklin Gothic Book"/>
                <w:iCs/>
                <w:szCs w:val="17"/>
              </w:rPr>
              <w:t xml:space="preserve"> bank accounts opened in rural areas</w:t>
            </w:r>
            <w:r w:rsidRPr="00772167">
              <w:rPr>
                <w:rFonts w:ascii="Franklin Gothic Book" w:eastAsia="Times New Roman" w:hAnsi="Franklin Gothic Book"/>
                <w:iCs/>
                <w:szCs w:val="17"/>
              </w:rPr>
              <w:t xml:space="preserve"> </w:t>
            </w:r>
          </w:p>
        </w:tc>
        <w:tc>
          <w:tcPr>
            <w:tcW w:w="470" w:type="pct"/>
            <w:shd w:val="clear" w:color="auto" w:fill="92D050"/>
          </w:tcPr>
          <w:p w:rsidR="007F6D78" w:rsidRPr="00681334" w:rsidRDefault="00890190" w:rsidP="007F6D7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Not Applicable</w:t>
            </w:r>
          </w:p>
        </w:tc>
        <w:tc>
          <w:tcPr>
            <w:tcW w:w="2970" w:type="pct"/>
          </w:tcPr>
          <w:p w:rsidR="007F6D78" w:rsidRPr="00772167" w:rsidRDefault="00890190" w:rsidP="007F6D78">
            <w:pPr>
              <w:keepLines/>
              <w:spacing w:before="40" w:after="40" w:line="200" w:lineRule="atLeast"/>
              <w:rPr>
                <w:rFonts w:ascii="Franklin Gothic Book" w:eastAsia="Times New Roman" w:hAnsi="Franklin Gothic Book"/>
                <w:iCs/>
                <w:szCs w:val="17"/>
                <w:lang w:eastAsia="en-US"/>
              </w:rPr>
            </w:pPr>
            <w:r>
              <w:rPr>
                <w:rFonts w:ascii="Franklin Gothic Book" w:eastAsia="Times New Roman" w:hAnsi="Franklin Gothic Book"/>
                <w:iCs/>
                <w:szCs w:val="17"/>
              </w:rPr>
              <w:t>GfG program no longer involved in supporting this activity.</w:t>
            </w:r>
            <w:r w:rsidR="00CE5DF5">
              <w:rPr>
                <w:rFonts w:ascii="Franklin Gothic Book" w:eastAsia="Times New Roman" w:hAnsi="Franklin Gothic Book"/>
                <w:iCs/>
                <w:szCs w:val="17"/>
              </w:rPr>
              <w:t xml:space="preserve"> New </w:t>
            </w:r>
            <w:r w:rsidR="00390920">
              <w:rPr>
                <w:rFonts w:ascii="Franklin Gothic Book" w:eastAsia="Times New Roman" w:hAnsi="Franklin Gothic Book"/>
                <w:iCs/>
                <w:szCs w:val="17"/>
              </w:rPr>
              <w:t xml:space="preserve">Objective 1 </w:t>
            </w:r>
            <w:r w:rsidR="00AD54BA">
              <w:rPr>
                <w:rFonts w:ascii="Franklin Gothic Book" w:eastAsia="Times New Roman" w:hAnsi="Franklin Gothic Book"/>
                <w:iCs/>
                <w:szCs w:val="17"/>
              </w:rPr>
              <w:t>benchmark</w:t>
            </w:r>
            <w:r w:rsidR="00CE5DF5">
              <w:rPr>
                <w:rFonts w:ascii="Franklin Gothic Book" w:eastAsia="Times New Roman" w:hAnsi="Franklin Gothic Book"/>
                <w:iCs/>
                <w:szCs w:val="17"/>
              </w:rPr>
              <w:t xml:space="preserve"> proposed for 2018-19.</w:t>
            </w: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rPr>
            </w:pPr>
          </w:p>
        </w:tc>
        <w:tc>
          <w:tcPr>
            <w:tcW w:w="780" w:type="pct"/>
          </w:tcPr>
          <w:p w:rsidR="007F6D78" w:rsidRPr="00772167" w:rsidRDefault="00681334">
            <w:pPr>
              <w:keepLines/>
              <w:spacing w:before="40" w:after="40" w:line="200" w:lineRule="atLeast"/>
              <w:rPr>
                <w:rFonts w:ascii="Franklin Gothic Book" w:eastAsia="Times New Roman" w:hAnsi="Franklin Gothic Book"/>
                <w:iCs/>
                <w:szCs w:val="17"/>
              </w:rPr>
            </w:pPr>
            <w:r w:rsidRPr="00772167">
              <w:rPr>
                <w:rFonts w:ascii="Franklin Gothic Book" w:eastAsia="Times New Roman" w:hAnsi="Franklin Gothic Book"/>
                <w:iCs/>
                <w:szCs w:val="17"/>
              </w:rPr>
              <w:t>S</w:t>
            </w:r>
            <w:r w:rsidR="007F6D78" w:rsidRPr="00772167">
              <w:rPr>
                <w:rFonts w:ascii="Franklin Gothic Book" w:eastAsia="Times New Roman" w:hAnsi="Franklin Gothic Book"/>
                <w:iCs/>
                <w:szCs w:val="17"/>
              </w:rPr>
              <w:t>elf-employed TVET trainees report higher incomes following training</w:t>
            </w:r>
            <w:r w:rsidRPr="00772167">
              <w:rPr>
                <w:rFonts w:ascii="Franklin Gothic Book" w:eastAsia="Times New Roman" w:hAnsi="Franklin Gothic Book"/>
                <w:iCs/>
                <w:szCs w:val="17"/>
              </w:rPr>
              <w:t xml:space="preserve"> (target 80%)</w:t>
            </w:r>
          </w:p>
        </w:tc>
        <w:tc>
          <w:tcPr>
            <w:tcW w:w="470" w:type="pct"/>
            <w:shd w:val="clear" w:color="auto" w:fill="92D050"/>
          </w:tcPr>
          <w:p w:rsidR="007F6D78" w:rsidRPr="00B97FCD" w:rsidRDefault="00890190" w:rsidP="0089019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TBA</w:t>
            </w:r>
          </w:p>
        </w:tc>
        <w:tc>
          <w:tcPr>
            <w:tcW w:w="2970" w:type="pct"/>
          </w:tcPr>
          <w:p w:rsidR="007F6D78" w:rsidRPr="00772167" w:rsidRDefault="007F0073" w:rsidP="007F6D78">
            <w:pPr>
              <w:keepLines/>
              <w:spacing w:before="40" w:after="40" w:line="200" w:lineRule="atLeast"/>
              <w:rPr>
                <w:rFonts w:ascii="Franklin Gothic Book" w:eastAsia="Times New Roman" w:hAnsi="Franklin Gothic Book"/>
                <w:iCs/>
                <w:szCs w:val="17"/>
              </w:rPr>
            </w:pPr>
            <w:r>
              <w:rPr>
                <w:rFonts w:ascii="Franklin Gothic Book" w:eastAsia="Times New Roman" w:hAnsi="Franklin Gothic Book"/>
                <w:iCs/>
                <w:szCs w:val="17"/>
              </w:rPr>
              <w:t>Data not available due to transition in program management</w:t>
            </w:r>
            <w:r w:rsidR="00890190">
              <w:rPr>
                <w:rFonts w:ascii="Franklin Gothic Book" w:eastAsia="Times New Roman" w:hAnsi="Franklin Gothic Book"/>
                <w:iCs/>
                <w:szCs w:val="17"/>
              </w:rPr>
              <w:t>. New baseline to be established</w:t>
            </w:r>
            <w:r w:rsidR="00CE5DF5">
              <w:rPr>
                <w:rFonts w:ascii="Franklin Gothic Book" w:eastAsia="Times New Roman" w:hAnsi="Franklin Gothic Book"/>
                <w:iCs/>
                <w:szCs w:val="17"/>
              </w:rPr>
              <w:t xml:space="preserve"> in 2018-19</w:t>
            </w:r>
            <w:r w:rsidR="00890190">
              <w:rPr>
                <w:rFonts w:ascii="Franklin Gothic Book" w:eastAsia="Times New Roman" w:hAnsi="Franklin Gothic Book"/>
                <w:iCs/>
                <w:szCs w:val="17"/>
              </w:rPr>
              <w:t xml:space="preserve"> (refer Annex E)</w:t>
            </w:r>
          </w:p>
        </w:tc>
      </w:tr>
      <w:tr w:rsidR="007F6D78" w:rsidRPr="007F6D78" w:rsidTr="00772167">
        <w:trPr>
          <w:trHeight w:val="1226"/>
        </w:trPr>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lang w:eastAsia="en-US"/>
              </w:rPr>
            </w:pPr>
            <w:r w:rsidRPr="00772167">
              <w:rPr>
                <w:rFonts w:ascii="Franklin Gothic Book" w:eastAsia="Times New Roman" w:hAnsi="Franklin Gothic Book"/>
                <w:iCs/>
                <w:szCs w:val="17"/>
                <w:lang w:eastAsia="en-US"/>
              </w:rPr>
              <w:t xml:space="preserve">Improve early education and essential health services </w:t>
            </w:r>
          </w:p>
        </w:tc>
        <w:tc>
          <w:tcPr>
            <w:tcW w:w="780" w:type="pct"/>
          </w:tcPr>
          <w:p w:rsidR="007F6D78" w:rsidRPr="00772167" w:rsidRDefault="00681334">
            <w:pPr>
              <w:keepLines/>
              <w:spacing w:before="40" w:after="40" w:line="200" w:lineRule="atLeast"/>
              <w:rPr>
                <w:rFonts w:ascii="Franklin Gothic Book" w:eastAsia="Times New Roman" w:hAnsi="Franklin Gothic Book"/>
                <w:iCs/>
                <w:szCs w:val="17"/>
                <w:lang w:eastAsia="en-US"/>
              </w:rPr>
            </w:pPr>
            <w:r w:rsidRPr="00772167">
              <w:rPr>
                <w:rFonts w:ascii="Franklin Gothic Book" w:eastAsia="Times New Roman" w:hAnsi="Franklin Gothic Book"/>
                <w:iCs/>
                <w:szCs w:val="17"/>
                <w:lang w:eastAsia="en-US"/>
              </w:rPr>
              <w:t>L</w:t>
            </w:r>
            <w:r w:rsidR="007F6D78" w:rsidRPr="00772167">
              <w:rPr>
                <w:rFonts w:ascii="Franklin Gothic Book" w:eastAsia="Times New Roman" w:hAnsi="Franklin Gothic Book"/>
                <w:iCs/>
                <w:szCs w:val="17"/>
                <w:lang w:eastAsia="en-US"/>
              </w:rPr>
              <w:t xml:space="preserve">iteracy and numeracy rates in Year 4 students </w:t>
            </w:r>
          </w:p>
        </w:tc>
        <w:tc>
          <w:tcPr>
            <w:tcW w:w="470" w:type="pct"/>
            <w:shd w:val="clear" w:color="auto" w:fill="92D050"/>
          </w:tcPr>
          <w:p w:rsidR="007F6D78" w:rsidRPr="00772167" w:rsidRDefault="003F2A3F" w:rsidP="007F6D78">
            <w:pPr>
              <w:keepLines/>
              <w:spacing w:before="40" w:after="40" w:line="200" w:lineRule="atLeast"/>
              <w:jc w:val="center"/>
              <w:rPr>
                <w:rFonts w:asciiTheme="minorHAnsi" w:eastAsia="Times New Roman" w:hAnsiTheme="minorHAnsi"/>
                <w:iCs/>
                <w:color w:val="FFFFFF" w:themeColor="background1"/>
                <w:szCs w:val="17"/>
                <w:lang w:eastAsia="en-US"/>
              </w:rPr>
            </w:pPr>
            <w:r w:rsidRPr="00772167">
              <w:rPr>
                <w:rFonts w:eastAsia="Times New Roman"/>
                <w:iCs/>
                <w:color w:val="FFFFFF" w:themeColor="background1"/>
                <w:szCs w:val="17"/>
              </w:rPr>
              <w:t>Achieved</w:t>
            </w:r>
          </w:p>
        </w:tc>
        <w:tc>
          <w:tcPr>
            <w:tcW w:w="2970" w:type="pct"/>
          </w:tcPr>
          <w:p w:rsidR="005F61E7" w:rsidRPr="0017474D" w:rsidRDefault="005F61E7" w:rsidP="005F61E7">
            <w:pPr>
              <w:spacing w:before="40" w:after="40" w:line="200" w:lineRule="atLeast"/>
              <w:rPr>
                <w:rFonts w:ascii="Franklin Gothic Book" w:hAnsi="Franklin Gothic Book"/>
                <w:szCs w:val="17"/>
                <w:lang w:val="en-AU"/>
              </w:rPr>
            </w:pPr>
            <w:r w:rsidRPr="005F61E7">
              <w:rPr>
                <w:rFonts w:ascii="Franklin Gothic Book" w:hAnsi="Franklin Gothic Book"/>
                <w:szCs w:val="17"/>
              </w:rPr>
              <w:t>Baseline data established (VANSTA 2017):</w:t>
            </w:r>
          </w:p>
          <w:p w:rsidR="005F61E7" w:rsidRPr="0017474D" w:rsidRDefault="005F61E7" w:rsidP="005F61E7">
            <w:pPr>
              <w:spacing w:before="40" w:after="40" w:line="200" w:lineRule="atLeast"/>
              <w:rPr>
                <w:rFonts w:ascii="Franklin Gothic Book" w:hAnsi="Franklin Gothic Book"/>
                <w:szCs w:val="17"/>
              </w:rPr>
            </w:pPr>
            <w:r w:rsidRPr="005F61E7">
              <w:rPr>
                <w:rFonts w:ascii="Franklin Gothic Book" w:hAnsi="Franklin Gothic Book"/>
                <w:szCs w:val="17"/>
              </w:rPr>
              <w:t xml:space="preserve">English literacy year 4 - 65% meeting </w:t>
            </w:r>
            <w:r w:rsidRPr="0017474D">
              <w:rPr>
                <w:rFonts w:ascii="Franklin Gothic Book" w:hAnsi="Franklin Gothic Book"/>
                <w:szCs w:val="17"/>
              </w:rPr>
              <w:t>or exceeding</w:t>
            </w:r>
            <w:r w:rsidRPr="005F61E7">
              <w:rPr>
                <w:rFonts w:ascii="Franklin Gothic Book" w:hAnsi="Franklin Gothic Book"/>
                <w:szCs w:val="17"/>
              </w:rPr>
              <w:t xml:space="preserve"> the minimum</w:t>
            </w:r>
            <w:r w:rsidRPr="0017474D">
              <w:rPr>
                <w:rFonts w:ascii="Franklin Gothic Book" w:hAnsi="Franklin Gothic Book"/>
                <w:szCs w:val="17"/>
              </w:rPr>
              <w:t xml:space="preserve"> </w:t>
            </w:r>
            <w:r w:rsidRPr="005F61E7">
              <w:rPr>
                <w:rFonts w:ascii="Franklin Gothic Book" w:hAnsi="Franklin Gothic Book"/>
                <w:szCs w:val="17"/>
              </w:rPr>
              <w:t xml:space="preserve">standard. </w:t>
            </w:r>
            <w:r w:rsidRPr="0017474D">
              <w:rPr>
                <w:rFonts w:ascii="Franklin Gothic Book" w:hAnsi="Franklin Gothic Book"/>
                <w:szCs w:val="17"/>
              </w:rPr>
              <w:t>Boys 58% Girls 73%</w:t>
            </w:r>
          </w:p>
          <w:p w:rsidR="005F61E7" w:rsidRPr="005F61E7" w:rsidRDefault="005F61E7" w:rsidP="005F61E7">
            <w:pPr>
              <w:spacing w:before="40" w:after="40" w:line="200" w:lineRule="atLeast"/>
              <w:rPr>
                <w:rFonts w:ascii="Franklin Gothic Book" w:hAnsi="Franklin Gothic Book"/>
                <w:szCs w:val="17"/>
                <w:lang w:eastAsia="en-US"/>
              </w:rPr>
            </w:pPr>
            <w:r w:rsidRPr="005F61E7">
              <w:rPr>
                <w:rFonts w:ascii="Franklin Gothic Book" w:hAnsi="Franklin Gothic Book"/>
                <w:szCs w:val="17"/>
              </w:rPr>
              <w:t xml:space="preserve">French literacy year 4 - 64% meeting </w:t>
            </w:r>
            <w:r w:rsidRPr="0017474D">
              <w:rPr>
                <w:rFonts w:ascii="Franklin Gothic Book" w:hAnsi="Franklin Gothic Book"/>
                <w:szCs w:val="17"/>
              </w:rPr>
              <w:t>or exceeding</w:t>
            </w:r>
            <w:r w:rsidRPr="005F61E7">
              <w:rPr>
                <w:rFonts w:ascii="Franklin Gothic Book" w:hAnsi="Franklin Gothic Book"/>
                <w:szCs w:val="17"/>
              </w:rPr>
              <w:t xml:space="preserve"> the minimum standard. </w:t>
            </w:r>
            <w:r w:rsidRPr="0017474D">
              <w:rPr>
                <w:rFonts w:ascii="Franklin Gothic Book" w:hAnsi="Franklin Gothic Book"/>
                <w:szCs w:val="17"/>
              </w:rPr>
              <w:t>Boys 59% Girls 71%</w:t>
            </w:r>
          </w:p>
          <w:p w:rsidR="005F61E7" w:rsidRPr="005F61E7" w:rsidRDefault="005F61E7" w:rsidP="005F61E7">
            <w:pPr>
              <w:spacing w:before="40" w:after="40" w:line="200" w:lineRule="atLeast"/>
              <w:rPr>
                <w:rFonts w:ascii="Franklin Gothic Book" w:hAnsi="Franklin Gothic Book"/>
                <w:szCs w:val="17"/>
              </w:rPr>
            </w:pPr>
            <w:r w:rsidRPr="005F61E7">
              <w:rPr>
                <w:rFonts w:ascii="Franklin Gothic Book" w:hAnsi="Franklin Gothic Book"/>
                <w:szCs w:val="17"/>
              </w:rPr>
              <w:t xml:space="preserve">Numeracy year 4 – 85% meeting </w:t>
            </w:r>
            <w:r w:rsidRPr="0017474D">
              <w:rPr>
                <w:rFonts w:ascii="Franklin Gothic Book" w:hAnsi="Franklin Gothic Book"/>
                <w:szCs w:val="17"/>
              </w:rPr>
              <w:t>or exceeding</w:t>
            </w:r>
            <w:r w:rsidRPr="005F61E7">
              <w:rPr>
                <w:rFonts w:ascii="Franklin Gothic Book" w:hAnsi="Franklin Gothic Book"/>
                <w:szCs w:val="17"/>
              </w:rPr>
              <w:t xml:space="preserve"> the minimum standard. </w:t>
            </w:r>
            <w:r w:rsidRPr="0017474D">
              <w:rPr>
                <w:rFonts w:ascii="Franklin Gothic Book" w:hAnsi="Franklin Gothic Book"/>
                <w:szCs w:val="17"/>
              </w:rPr>
              <w:t>Boys 84% Girls 88%</w:t>
            </w:r>
          </w:p>
          <w:p w:rsidR="006836A5" w:rsidRPr="00772167" w:rsidRDefault="006836A5">
            <w:pPr>
              <w:keepLines/>
              <w:spacing w:before="40" w:after="40" w:line="200" w:lineRule="atLeast"/>
              <w:rPr>
                <w:rFonts w:ascii="Franklin Gothic Book" w:eastAsia="Times New Roman" w:hAnsi="Franklin Gothic Book"/>
                <w:iCs/>
                <w:szCs w:val="17"/>
                <w:lang w:eastAsia="en-US"/>
              </w:rPr>
            </w:pP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rPr>
            </w:pPr>
          </w:p>
        </w:tc>
        <w:tc>
          <w:tcPr>
            <w:tcW w:w="780" w:type="pct"/>
          </w:tcPr>
          <w:p w:rsidR="007F6D78" w:rsidRPr="00772167" w:rsidRDefault="00681334">
            <w:pPr>
              <w:keepLines/>
              <w:spacing w:before="40" w:after="40" w:line="200" w:lineRule="atLeast"/>
              <w:rPr>
                <w:rFonts w:ascii="Franklin Gothic Book" w:eastAsia="Times New Roman" w:hAnsi="Franklin Gothic Book"/>
                <w:iCs/>
                <w:szCs w:val="17"/>
              </w:rPr>
            </w:pPr>
            <w:r w:rsidRPr="00772167">
              <w:rPr>
                <w:rFonts w:ascii="Franklin Gothic Book" w:eastAsia="Times New Roman" w:hAnsi="Franklin Gothic Book"/>
                <w:iCs/>
                <w:szCs w:val="17"/>
              </w:rPr>
              <w:t>Proportion of</w:t>
            </w:r>
            <w:r w:rsidR="007F6D78" w:rsidRPr="00772167">
              <w:rPr>
                <w:rFonts w:ascii="Franklin Gothic Book" w:eastAsia="Times New Roman" w:hAnsi="Franklin Gothic Book"/>
                <w:iCs/>
                <w:szCs w:val="17"/>
              </w:rPr>
              <w:t xml:space="preserve"> immunised children</w:t>
            </w:r>
            <w:r w:rsidRPr="00772167">
              <w:rPr>
                <w:rFonts w:ascii="Franklin Gothic Book" w:eastAsia="Times New Roman" w:hAnsi="Franklin Gothic Book"/>
                <w:iCs/>
                <w:szCs w:val="17"/>
              </w:rPr>
              <w:t xml:space="preserve"> (0-5 years)</w:t>
            </w:r>
            <w:r w:rsidR="007F6D78" w:rsidRPr="00772167">
              <w:rPr>
                <w:rFonts w:ascii="Franklin Gothic Book" w:eastAsia="Times New Roman" w:hAnsi="Franklin Gothic Book"/>
                <w:iCs/>
                <w:szCs w:val="17"/>
              </w:rPr>
              <w:t>, using routine immunisation systems (</w:t>
            </w:r>
            <w:r w:rsidRPr="00772167">
              <w:rPr>
                <w:rFonts w:ascii="Franklin Gothic Book" w:eastAsia="Times New Roman" w:hAnsi="Franklin Gothic Book"/>
                <w:iCs/>
                <w:szCs w:val="17"/>
              </w:rPr>
              <w:t>target 87%</w:t>
            </w:r>
            <w:r w:rsidR="007F6D78" w:rsidRPr="00772167">
              <w:rPr>
                <w:rFonts w:ascii="Franklin Gothic Book" w:eastAsia="Times New Roman" w:hAnsi="Franklin Gothic Book"/>
                <w:iCs/>
                <w:szCs w:val="17"/>
              </w:rPr>
              <w:t>)</w:t>
            </w:r>
          </w:p>
        </w:tc>
        <w:tc>
          <w:tcPr>
            <w:tcW w:w="470" w:type="pct"/>
            <w:shd w:val="clear" w:color="auto" w:fill="92D050"/>
          </w:tcPr>
          <w:p w:rsidR="007F6D78" w:rsidRPr="00772167" w:rsidRDefault="003F2A3F" w:rsidP="007F6D78">
            <w:pPr>
              <w:keepLines/>
              <w:spacing w:before="40" w:after="40" w:line="200" w:lineRule="atLeast"/>
              <w:jc w:val="center"/>
              <w:rPr>
                <w:rFonts w:asciiTheme="minorHAnsi" w:eastAsia="Times New Roman" w:hAnsiTheme="minorHAnsi"/>
                <w:iCs/>
                <w:color w:val="FFFFFF" w:themeColor="background1"/>
                <w:szCs w:val="17"/>
              </w:rPr>
            </w:pPr>
            <w:r w:rsidRPr="00B97FCD">
              <w:rPr>
                <w:rFonts w:eastAsia="Times New Roman"/>
                <w:iCs/>
                <w:color w:val="FFFFFF" w:themeColor="background1"/>
                <w:szCs w:val="17"/>
              </w:rPr>
              <w:t>Achieved</w:t>
            </w:r>
          </w:p>
        </w:tc>
        <w:tc>
          <w:tcPr>
            <w:tcW w:w="2970" w:type="pct"/>
          </w:tcPr>
          <w:p w:rsidR="007F6D78" w:rsidRPr="00772167" w:rsidRDefault="007C4A1B">
            <w:pPr>
              <w:keepLines/>
              <w:spacing w:before="40" w:after="40" w:line="200" w:lineRule="atLeast"/>
              <w:rPr>
                <w:rFonts w:ascii="Franklin Gothic Book" w:eastAsia="Times New Roman" w:hAnsi="Franklin Gothic Book"/>
                <w:iCs/>
                <w:szCs w:val="17"/>
              </w:rPr>
            </w:pPr>
            <w:r w:rsidRPr="00772167">
              <w:rPr>
                <w:rFonts w:ascii="Franklin Gothic Book" w:hAnsi="Franklin Gothic Book" w:cs="Times New Roman"/>
                <w:szCs w:val="17"/>
              </w:rPr>
              <w:t>N</w:t>
            </w:r>
            <w:r w:rsidR="0009151F" w:rsidRPr="00772167">
              <w:rPr>
                <w:rFonts w:ascii="Franklin Gothic Book" w:hAnsi="Franklin Gothic Book" w:cs="Times New Roman"/>
                <w:szCs w:val="17"/>
              </w:rPr>
              <w:t>ational coverage of Pentavalent 3 (Diphtheria, Hepatitis B and Type B Haemophilus Influenza) is 93.9% and Measles and Rubella Vaccine is 88%.</w:t>
            </w: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rPr>
            </w:pPr>
            <w:r w:rsidRPr="00772167">
              <w:rPr>
                <w:rFonts w:ascii="Franklin Gothic Book" w:eastAsia="Times New Roman" w:hAnsi="Franklin Gothic Book"/>
                <w:iCs/>
                <w:szCs w:val="17"/>
                <w:lang w:eastAsia="en-US"/>
              </w:rPr>
              <w:t>Improve community safety and resilience</w:t>
            </w:r>
            <w:r w:rsidRPr="00772167">
              <w:rPr>
                <w:rFonts w:ascii="Franklin Gothic Book" w:eastAsia="Times New Roman" w:hAnsi="Franklin Gothic Book"/>
                <w:iCs/>
                <w:szCs w:val="17"/>
              </w:rPr>
              <w:t xml:space="preserve"> </w:t>
            </w:r>
          </w:p>
        </w:tc>
        <w:tc>
          <w:tcPr>
            <w:tcW w:w="780" w:type="pct"/>
          </w:tcPr>
          <w:p w:rsidR="007F6D78" w:rsidRPr="00772167" w:rsidRDefault="007C4A1B">
            <w:pPr>
              <w:keepLines/>
              <w:spacing w:before="40" w:after="40" w:line="200" w:lineRule="atLeast"/>
              <w:rPr>
                <w:rFonts w:ascii="Franklin Gothic Book" w:eastAsia="Times New Roman" w:hAnsi="Franklin Gothic Book"/>
                <w:iCs/>
                <w:szCs w:val="17"/>
              </w:rPr>
            </w:pPr>
            <w:r w:rsidRPr="00772167">
              <w:rPr>
                <w:rFonts w:ascii="Franklin Gothic Book" w:eastAsia="Times New Roman" w:hAnsi="Franklin Gothic Book"/>
                <w:iCs/>
                <w:szCs w:val="17"/>
              </w:rPr>
              <w:t>N</w:t>
            </w:r>
            <w:r w:rsidR="007F6D78" w:rsidRPr="00772167">
              <w:rPr>
                <w:rFonts w:ascii="Franklin Gothic Book" w:eastAsia="Times New Roman" w:hAnsi="Franklin Gothic Book"/>
                <w:iCs/>
                <w:szCs w:val="17"/>
              </w:rPr>
              <w:t>umber of women survivors of violence provided counselling</w:t>
            </w:r>
            <w:r w:rsidRPr="00772167">
              <w:rPr>
                <w:rFonts w:ascii="Franklin Gothic Book" w:eastAsia="Times New Roman" w:hAnsi="Franklin Gothic Book"/>
                <w:iCs/>
                <w:szCs w:val="17"/>
              </w:rPr>
              <w:t>,</w:t>
            </w:r>
            <w:r w:rsidR="007F6D78" w:rsidRPr="00772167">
              <w:rPr>
                <w:rFonts w:ascii="Franklin Gothic Book" w:eastAsia="Times New Roman" w:hAnsi="Franklin Gothic Book"/>
                <w:iCs/>
                <w:szCs w:val="17"/>
              </w:rPr>
              <w:t xml:space="preserve"> support and legal services (</w:t>
            </w:r>
            <w:r w:rsidRPr="00772167">
              <w:rPr>
                <w:rFonts w:ascii="Franklin Gothic Book" w:eastAsia="Times New Roman" w:hAnsi="Franklin Gothic Book"/>
                <w:iCs/>
                <w:szCs w:val="17"/>
              </w:rPr>
              <w:t>target 4,000</w:t>
            </w:r>
            <w:r w:rsidR="007F6D78" w:rsidRPr="00772167">
              <w:rPr>
                <w:rFonts w:ascii="Franklin Gothic Book" w:eastAsia="Times New Roman" w:hAnsi="Franklin Gothic Book"/>
                <w:iCs/>
                <w:szCs w:val="17"/>
              </w:rPr>
              <w:t>)</w:t>
            </w:r>
          </w:p>
        </w:tc>
        <w:tc>
          <w:tcPr>
            <w:tcW w:w="470" w:type="pct"/>
            <w:shd w:val="clear" w:color="auto" w:fill="92D050"/>
          </w:tcPr>
          <w:p w:rsidR="007F6D78" w:rsidRPr="00772167" w:rsidRDefault="003F2A3F" w:rsidP="007F6D78">
            <w:pPr>
              <w:keepLines/>
              <w:spacing w:before="40" w:after="40" w:line="200" w:lineRule="atLeast"/>
              <w:jc w:val="center"/>
              <w:rPr>
                <w:rFonts w:asciiTheme="minorHAnsi" w:hAnsiTheme="minorHAnsi" w:cs="Times New Roman"/>
                <w:color w:val="FFFFFF" w:themeColor="background1"/>
                <w:szCs w:val="24"/>
              </w:rPr>
            </w:pPr>
            <w:r w:rsidRPr="00772167">
              <w:rPr>
                <w:rFonts w:cs="Times New Roman"/>
                <w:color w:val="FFFFFF" w:themeColor="background1"/>
                <w:szCs w:val="24"/>
              </w:rPr>
              <w:t>Achieved</w:t>
            </w:r>
          </w:p>
        </w:tc>
        <w:tc>
          <w:tcPr>
            <w:tcW w:w="2970" w:type="pct"/>
          </w:tcPr>
          <w:p w:rsidR="007F6D78" w:rsidRPr="00E16CD2" w:rsidRDefault="00277683" w:rsidP="00E16CD2">
            <w:pPr>
              <w:keepLines/>
              <w:spacing w:before="40" w:after="40" w:line="200" w:lineRule="atLeast"/>
              <w:rPr>
                <w:rFonts w:ascii="Franklin Gothic Book" w:hAnsi="Franklin Gothic Book" w:cs="Times New Roman"/>
                <w:szCs w:val="17"/>
              </w:rPr>
            </w:pPr>
            <w:r w:rsidRPr="008A425D">
              <w:rPr>
                <w:rFonts w:ascii="Franklin Gothic Book" w:hAnsi="Franklin Gothic Book" w:cs="Times New Roman"/>
                <w:szCs w:val="17"/>
              </w:rPr>
              <w:t>6,</w:t>
            </w:r>
            <w:r w:rsidR="00A810F3" w:rsidRPr="008A425D">
              <w:rPr>
                <w:rFonts w:ascii="Franklin Gothic Book" w:hAnsi="Franklin Gothic Book" w:cs="Times New Roman"/>
                <w:szCs w:val="17"/>
              </w:rPr>
              <w:t>063</w:t>
            </w:r>
            <w:r w:rsidR="00145BD5" w:rsidRPr="008A425D">
              <w:rPr>
                <w:rFonts w:ascii="Franklin Gothic Book" w:hAnsi="Franklin Gothic Book" w:cs="Times New Roman"/>
                <w:szCs w:val="17"/>
              </w:rPr>
              <w:t xml:space="preserve"> clien</w:t>
            </w:r>
            <w:r w:rsidR="00145BD5" w:rsidRPr="00E16CD2">
              <w:rPr>
                <w:rFonts w:ascii="Franklin Gothic Book" w:hAnsi="Franklin Gothic Book" w:cs="Times New Roman"/>
                <w:szCs w:val="17"/>
              </w:rPr>
              <w:t xml:space="preserve">ts accessed </w:t>
            </w:r>
            <w:r w:rsidR="00F10258" w:rsidRPr="00E16CD2">
              <w:rPr>
                <w:rFonts w:ascii="Franklin Gothic Book" w:hAnsi="Franklin Gothic Book" w:cs="Times New Roman"/>
                <w:szCs w:val="17"/>
              </w:rPr>
              <w:t>counselling</w:t>
            </w:r>
            <w:r w:rsidR="00F10258" w:rsidRPr="00AA71B9">
              <w:rPr>
                <w:rFonts w:ascii="Franklin Gothic Book" w:hAnsi="Franklin Gothic Book" w:cs="Times New Roman"/>
                <w:szCs w:val="17"/>
              </w:rPr>
              <w:t xml:space="preserve"> support and legal services from Vanuatu Women’s Centre</w:t>
            </w:r>
            <w:r w:rsidR="00145BD5" w:rsidRPr="00E16CD2">
              <w:rPr>
                <w:rFonts w:ascii="Franklin Gothic Book" w:hAnsi="Franklin Gothic Book" w:cs="Times New Roman"/>
                <w:szCs w:val="17"/>
              </w:rPr>
              <w:t>.</w:t>
            </w:r>
          </w:p>
        </w:tc>
      </w:tr>
      <w:tr w:rsidR="007F6D78" w:rsidRPr="007F6D78" w:rsidTr="00F40C0D">
        <w:tc>
          <w:tcPr>
            <w:tcW w:w="780" w:type="pct"/>
            <w:tcMar>
              <w:top w:w="57" w:type="dxa"/>
              <w:bottom w:w="57" w:type="dxa"/>
            </w:tcMar>
          </w:tcPr>
          <w:p w:rsidR="007F6D78" w:rsidRPr="00772167" w:rsidRDefault="007F6D78" w:rsidP="007F6D78">
            <w:pPr>
              <w:keepLines/>
              <w:spacing w:before="40" w:after="40" w:line="200" w:lineRule="atLeast"/>
              <w:rPr>
                <w:rFonts w:ascii="Franklin Gothic Book" w:eastAsia="Times New Roman" w:hAnsi="Franklin Gothic Book"/>
                <w:iCs/>
                <w:szCs w:val="17"/>
                <w:lang w:eastAsia="en-US"/>
              </w:rPr>
            </w:pPr>
            <w:r w:rsidRPr="00772167">
              <w:rPr>
                <w:rFonts w:ascii="Franklin Gothic Book" w:eastAsia="Times New Roman" w:hAnsi="Franklin Gothic Book"/>
                <w:iCs/>
                <w:szCs w:val="17"/>
                <w:lang w:eastAsia="en-US"/>
              </w:rPr>
              <w:t>Support cyclone recovery and reconstruction</w:t>
            </w:r>
          </w:p>
        </w:tc>
        <w:tc>
          <w:tcPr>
            <w:tcW w:w="780" w:type="pct"/>
          </w:tcPr>
          <w:p w:rsidR="007F6D78" w:rsidRPr="00772167" w:rsidRDefault="007C4A1B">
            <w:pPr>
              <w:keepLines/>
              <w:spacing w:before="40" w:after="40" w:line="200" w:lineRule="atLeast"/>
              <w:rPr>
                <w:rFonts w:ascii="Franklin Gothic Book" w:eastAsia="Times New Roman" w:hAnsi="Franklin Gothic Book"/>
                <w:iCs/>
                <w:szCs w:val="17"/>
                <w:lang w:eastAsia="en-US"/>
              </w:rPr>
            </w:pPr>
            <w:r w:rsidRPr="00772167">
              <w:rPr>
                <w:rFonts w:ascii="Franklin Gothic Book" w:eastAsia="Times New Roman" w:hAnsi="Franklin Gothic Book"/>
                <w:iCs/>
                <w:szCs w:val="17"/>
                <w:lang w:eastAsia="en-US"/>
              </w:rPr>
              <w:t xml:space="preserve">Proportion of </w:t>
            </w:r>
            <w:r w:rsidR="007F6D78" w:rsidRPr="00772167">
              <w:rPr>
                <w:rFonts w:ascii="Franklin Gothic Book" w:eastAsia="Times New Roman" w:hAnsi="Franklin Gothic Book"/>
                <w:iCs/>
                <w:szCs w:val="17"/>
                <w:lang w:eastAsia="en-US"/>
              </w:rPr>
              <w:t>Australia’s $3</w:t>
            </w:r>
            <w:r w:rsidRPr="00772167">
              <w:rPr>
                <w:rFonts w:ascii="Franklin Gothic Book" w:eastAsia="Times New Roman" w:hAnsi="Franklin Gothic Book"/>
                <w:iCs/>
                <w:szCs w:val="17"/>
                <w:lang w:eastAsia="en-US"/>
              </w:rPr>
              <w:t>4.7</w:t>
            </w:r>
            <w:r w:rsidR="007F6D78" w:rsidRPr="00772167">
              <w:rPr>
                <w:rFonts w:ascii="Franklin Gothic Book" w:eastAsia="Times New Roman" w:hAnsi="Franklin Gothic Book"/>
                <w:iCs/>
                <w:szCs w:val="17"/>
                <w:lang w:eastAsia="en-US"/>
              </w:rPr>
              <w:t>m long-term recovery support allocated to recovery projects (</w:t>
            </w:r>
            <w:r w:rsidRPr="00772167">
              <w:rPr>
                <w:rFonts w:ascii="Franklin Gothic Book" w:eastAsia="Times New Roman" w:hAnsi="Franklin Gothic Book"/>
                <w:iCs/>
                <w:szCs w:val="17"/>
                <w:lang w:eastAsia="en-US"/>
              </w:rPr>
              <w:t>target 100%)</w:t>
            </w:r>
          </w:p>
        </w:tc>
        <w:tc>
          <w:tcPr>
            <w:tcW w:w="470" w:type="pct"/>
            <w:shd w:val="clear" w:color="auto" w:fill="92D050"/>
          </w:tcPr>
          <w:p w:rsidR="007F6D78" w:rsidRPr="00772167" w:rsidRDefault="007C4A1B">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003F2A3F" w:rsidRPr="00772167">
              <w:rPr>
                <w:rFonts w:eastAsia="Times New Roman"/>
                <w:iCs/>
                <w:color w:val="FFFFFF" w:themeColor="background1"/>
                <w:szCs w:val="17"/>
              </w:rPr>
              <w:t>chieved</w:t>
            </w:r>
          </w:p>
        </w:tc>
        <w:tc>
          <w:tcPr>
            <w:tcW w:w="2970" w:type="pct"/>
          </w:tcPr>
          <w:p w:rsidR="007F6D78" w:rsidRPr="00772167" w:rsidRDefault="007F1938" w:rsidP="00223BD4">
            <w:pPr>
              <w:keepLines/>
              <w:spacing w:before="40" w:after="40" w:line="200" w:lineRule="atLeast"/>
              <w:rPr>
                <w:rFonts w:ascii="Franklin Gothic Book" w:eastAsia="Times New Roman" w:hAnsi="Franklin Gothic Book"/>
                <w:iCs/>
                <w:szCs w:val="17"/>
                <w:lang w:eastAsia="en-US"/>
              </w:rPr>
            </w:pPr>
            <w:r w:rsidRPr="00772167">
              <w:rPr>
                <w:rFonts w:ascii="Franklin Gothic Book" w:hAnsi="Franklin Gothic Book" w:cs="Times New Roman"/>
                <w:szCs w:val="17"/>
              </w:rPr>
              <w:t>9</w:t>
            </w:r>
            <w:r w:rsidR="00F10258" w:rsidRPr="00772167">
              <w:rPr>
                <w:rFonts w:ascii="Franklin Gothic Book" w:hAnsi="Franklin Gothic Book" w:cs="Times New Roman"/>
                <w:szCs w:val="17"/>
              </w:rPr>
              <w:t xml:space="preserve">9 </w:t>
            </w:r>
            <w:r w:rsidR="00457CA7" w:rsidRPr="00772167">
              <w:rPr>
                <w:rFonts w:ascii="Franklin Gothic Book" w:hAnsi="Franklin Gothic Book" w:cs="Times New Roman"/>
                <w:szCs w:val="17"/>
              </w:rPr>
              <w:t>%</w:t>
            </w:r>
            <w:r w:rsidR="00F10258" w:rsidRPr="00772167">
              <w:rPr>
                <w:rFonts w:ascii="Franklin Gothic Book" w:hAnsi="Franklin Gothic Book" w:cs="Times New Roman"/>
                <w:szCs w:val="17"/>
              </w:rPr>
              <w:t xml:space="preserve"> </w:t>
            </w:r>
            <w:r w:rsidR="00CD0AA2" w:rsidRPr="00772167">
              <w:rPr>
                <w:rFonts w:ascii="Franklin Gothic Book" w:hAnsi="Franklin Gothic Book" w:cs="Times New Roman"/>
                <w:szCs w:val="17"/>
              </w:rPr>
              <w:t>(</w:t>
            </w:r>
            <w:r w:rsidRPr="00772167">
              <w:rPr>
                <w:rFonts w:ascii="Franklin Gothic Book" w:hAnsi="Franklin Gothic Book" w:cs="Times New Roman"/>
                <w:szCs w:val="17"/>
              </w:rPr>
              <w:t>$3</w:t>
            </w:r>
            <w:r w:rsidR="003F2A3F" w:rsidRPr="00772167">
              <w:rPr>
                <w:rFonts w:ascii="Franklin Gothic Book" w:hAnsi="Franklin Gothic Book" w:cs="Times New Roman"/>
                <w:szCs w:val="17"/>
              </w:rPr>
              <w:t>4</w:t>
            </w:r>
            <w:r w:rsidRPr="00772167">
              <w:rPr>
                <w:rFonts w:ascii="Franklin Gothic Book" w:hAnsi="Franklin Gothic Book" w:cs="Times New Roman"/>
                <w:szCs w:val="17"/>
              </w:rPr>
              <w:t>.</w:t>
            </w:r>
            <w:r w:rsidR="003F2A3F" w:rsidRPr="00772167">
              <w:rPr>
                <w:rFonts w:ascii="Franklin Gothic Book" w:hAnsi="Franklin Gothic Book" w:cs="Times New Roman"/>
                <w:szCs w:val="17"/>
              </w:rPr>
              <w:t>4</w:t>
            </w:r>
            <w:r w:rsidRPr="00772167">
              <w:rPr>
                <w:rFonts w:ascii="Franklin Gothic Book" w:hAnsi="Franklin Gothic Book" w:cs="Times New Roman"/>
                <w:szCs w:val="17"/>
              </w:rPr>
              <w:t xml:space="preserve"> </w:t>
            </w:r>
            <w:r w:rsidR="00CD0AA2" w:rsidRPr="00772167">
              <w:rPr>
                <w:rFonts w:ascii="Franklin Gothic Book" w:hAnsi="Franklin Gothic Book" w:cs="Times New Roman"/>
                <w:szCs w:val="17"/>
              </w:rPr>
              <w:t xml:space="preserve">M) of Australia’s </w:t>
            </w:r>
            <w:r w:rsidR="003F2A3F" w:rsidRPr="00772167">
              <w:rPr>
                <w:rFonts w:ascii="Franklin Gothic Book" w:hAnsi="Franklin Gothic Book" w:cs="Times New Roman"/>
                <w:szCs w:val="17"/>
              </w:rPr>
              <w:t xml:space="preserve">TC Pam Recovery </w:t>
            </w:r>
            <w:r w:rsidR="00CD0AA2" w:rsidRPr="00772167">
              <w:rPr>
                <w:rFonts w:ascii="Franklin Gothic Book" w:hAnsi="Franklin Gothic Book" w:cs="Times New Roman"/>
                <w:szCs w:val="17"/>
              </w:rPr>
              <w:t xml:space="preserve">funding has been </w:t>
            </w:r>
            <w:r w:rsidR="002E5295" w:rsidRPr="00772167">
              <w:rPr>
                <w:rFonts w:ascii="Franklin Gothic Book" w:hAnsi="Franklin Gothic Book" w:cs="Times New Roman"/>
                <w:szCs w:val="17"/>
              </w:rPr>
              <w:t>programmed</w:t>
            </w:r>
            <w:r w:rsidR="007C4A1B" w:rsidRPr="00772167">
              <w:rPr>
                <w:rFonts w:ascii="Franklin Gothic Book" w:hAnsi="Franklin Gothic Book" w:cs="Times New Roman"/>
                <w:szCs w:val="17"/>
              </w:rPr>
              <w:t>, with 1</w:t>
            </w:r>
            <w:r w:rsidR="00457CA7" w:rsidRPr="00772167">
              <w:rPr>
                <w:rFonts w:ascii="Franklin Gothic Book" w:hAnsi="Franklin Gothic Book" w:cs="Times New Roman"/>
                <w:szCs w:val="17"/>
              </w:rPr>
              <w:t>%</w:t>
            </w:r>
            <w:r w:rsidR="007C4A1B" w:rsidRPr="00772167">
              <w:rPr>
                <w:rFonts w:ascii="Franklin Gothic Book" w:hAnsi="Franklin Gothic Book" w:cs="Times New Roman"/>
                <w:szCs w:val="17"/>
              </w:rPr>
              <w:t xml:space="preserve"> remaining for </w:t>
            </w:r>
            <w:r w:rsidR="000B6B0B">
              <w:rPr>
                <w:rFonts w:ascii="Franklin Gothic Book" w:hAnsi="Franklin Gothic Book" w:cs="Times New Roman"/>
                <w:szCs w:val="17"/>
              </w:rPr>
              <w:t>contingencies</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CE5DF0" w:rsidRDefault="00CE5DF0" w:rsidP="007B4865">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 xml:space="preserve">Performance Benchmarks </w:t>
      </w:r>
      <w:r w:rsidR="00320251" w:rsidRPr="007B4865">
        <w:rPr>
          <w:rFonts w:ascii="Franklin Gothic Book" w:eastAsia="Times New Roman" w:hAnsi="Franklin Gothic Book"/>
          <w:b/>
          <w:sz w:val="24"/>
          <w:szCs w:val="24"/>
        </w:rPr>
        <w:t>for remainder of A</w:t>
      </w:r>
      <w:r w:rsidR="007B4865">
        <w:rPr>
          <w:rFonts w:ascii="Franklin Gothic Book" w:eastAsia="Times New Roman" w:hAnsi="Franklin Gothic Book"/>
          <w:b/>
          <w:sz w:val="24"/>
          <w:szCs w:val="24"/>
        </w:rPr>
        <w:t xml:space="preserve">id </w:t>
      </w:r>
      <w:r w:rsidR="00320251" w:rsidRPr="007B4865">
        <w:rPr>
          <w:rFonts w:ascii="Franklin Gothic Book" w:eastAsia="Times New Roman" w:hAnsi="Franklin Gothic Book"/>
          <w:b/>
          <w:sz w:val="24"/>
          <w:szCs w:val="24"/>
        </w:rPr>
        <w:t>I</w:t>
      </w:r>
      <w:r w:rsidR="007B4865">
        <w:rPr>
          <w:rFonts w:ascii="Franklin Gothic Book" w:eastAsia="Times New Roman" w:hAnsi="Franklin Gothic Book"/>
          <w:b/>
          <w:sz w:val="24"/>
          <w:szCs w:val="24"/>
        </w:rPr>
        <w:t xml:space="preserve">nvestment </w:t>
      </w:r>
      <w:r w:rsidR="00320251" w:rsidRPr="007B4865">
        <w:rPr>
          <w:rFonts w:ascii="Franklin Gothic Book" w:eastAsia="Times New Roman" w:hAnsi="Franklin Gothic Book"/>
          <w:b/>
          <w:sz w:val="24"/>
          <w:szCs w:val="24"/>
        </w:rPr>
        <w:t>P</w:t>
      </w:r>
      <w:r w:rsidR="00C7297E">
        <w:rPr>
          <w:rFonts w:ascii="Franklin Gothic Book" w:eastAsia="Times New Roman" w:hAnsi="Franklin Gothic Book"/>
          <w:b/>
          <w:sz w:val="24"/>
          <w:szCs w:val="24"/>
        </w:rPr>
        <w:t>lan</w:t>
      </w:r>
      <w:r w:rsidR="00FA6D9E">
        <w:rPr>
          <w:rFonts w:ascii="Franklin Gothic Book" w:eastAsia="Times New Roman" w:hAnsi="Franklin Gothic Book"/>
          <w:b/>
          <w:sz w:val="24"/>
          <w:szCs w:val="24"/>
        </w:rPr>
        <w:t xml:space="preserve"> to 2018-19</w:t>
      </w:r>
    </w:p>
    <w:tbl>
      <w:tblPr>
        <w:tblStyle w:val="DFATTable"/>
        <w:tblW w:w="4946" w:type="pct"/>
        <w:tblLook w:val="04A0" w:firstRow="1" w:lastRow="0" w:firstColumn="1" w:lastColumn="0" w:noHBand="0" w:noVBand="1"/>
      </w:tblPr>
      <w:tblGrid>
        <w:gridCol w:w="2246"/>
        <w:gridCol w:w="4231"/>
        <w:gridCol w:w="4013"/>
        <w:gridCol w:w="1082"/>
        <w:gridCol w:w="2448"/>
      </w:tblGrid>
      <w:tr w:rsidR="007F6D78" w:rsidTr="003339B9">
        <w:trPr>
          <w:trHeight w:val="331"/>
        </w:trPr>
        <w:tc>
          <w:tcPr>
            <w:tcW w:w="801" w:type="pct"/>
            <w:tcBorders>
              <w:top w:val="single" w:sz="12" w:space="0" w:color="auto"/>
              <w:left w:val="nil"/>
              <w:bottom w:val="nil"/>
              <w:right w:val="nil"/>
            </w:tcBorders>
          </w:tcPr>
          <w:p w:rsidR="007F6D78" w:rsidRPr="00BE6C6D" w:rsidRDefault="007F6D78" w:rsidP="00F40C0D">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rsidR="007F6D78" w:rsidRPr="00BE6C6D" w:rsidRDefault="007F6D78" w:rsidP="00F40C0D">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431" w:type="pct"/>
            <w:tcBorders>
              <w:top w:val="single" w:sz="12" w:space="0" w:color="auto"/>
              <w:left w:val="nil"/>
              <w:bottom w:val="nil"/>
              <w:right w:val="nil"/>
            </w:tcBorders>
            <w:hideMark/>
          </w:tcPr>
          <w:p w:rsidR="007F6D78" w:rsidRPr="00BE6C6D" w:rsidRDefault="007F6D78" w:rsidP="00F40C0D">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386" w:type="pct"/>
            <w:tcBorders>
              <w:top w:val="single" w:sz="12" w:space="0" w:color="auto"/>
              <w:left w:val="nil"/>
              <w:bottom w:val="nil"/>
              <w:right w:val="nil"/>
            </w:tcBorders>
          </w:tcPr>
          <w:p w:rsidR="007F6D78" w:rsidRPr="00BE6C6D" w:rsidRDefault="007F6D78">
            <w:pPr>
              <w:pStyle w:val="NormalIndented"/>
              <w:ind w:left="33"/>
              <w:jc w:val="center"/>
              <w:rPr>
                <w:rFonts w:asciiTheme="minorHAnsi" w:hAnsiTheme="minorHAnsi"/>
                <w:b/>
              </w:rPr>
            </w:pPr>
          </w:p>
        </w:tc>
        <w:tc>
          <w:tcPr>
            <w:tcW w:w="873" w:type="pct"/>
            <w:tcBorders>
              <w:top w:val="single" w:sz="12" w:space="0" w:color="auto"/>
              <w:left w:val="nil"/>
              <w:bottom w:val="nil"/>
              <w:right w:val="nil"/>
            </w:tcBorders>
          </w:tcPr>
          <w:p w:rsidR="007F6D78" w:rsidRPr="00BE6C6D" w:rsidRDefault="007F6D78" w:rsidP="00F40C0D">
            <w:pPr>
              <w:pStyle w:val="NormalIndented"/>
              <w:ind w:left="34"/>
              <w:jc w:val="center"/>
              <w:rPr>
                <w:rFonts w:asciiTheme="minorHAnsi" w:hAnsiTheme="minorHAnsi"/>
                <w:b/>
              </w:rPr>
            </w:pPr>
          </w:p>
        </w:tc>
      </w:tr>
      <w:tr w:rsidR="007F6D78" w:rsidTr="003339B9">
        <w:trPr>
          <w:trHeight w:val="984"/>
        </w:trPr>
        <w:tc>
          <w:tcPr>
            <w:tcW w:w="801" w:type="pct"/>
            <w:vMerge w:val="restart"/>
            <w:tcBorders>
              <w:top w:val="nil"/>
              <w:left w:val="nil"/>
              <w:right w:val="nil"/>
            </w:tcBorders>
          </w:tcPr>
          <w:p w:rsidR="007F6D78" w:rsidRPr="00772167" w:rsidRDefault="007F6D78" w:rsidP="00F40C0D">
            <w:pPr>
              <w:pStyle w:val="NormalIndented"/>
              <w:rPr>
                <w:rFonts w:asciiTheme="minorHAnsi" w:eastAsia="Times New Roman" w:hAnsiTheme="minorHAnsi"/>
                <w:iCs/>
                <w:szCs w:val="17"/>
              </w:rPr>
            </w:pPr>
            <w:r w:rsidRPr="00FA6D9E">
              <w:rPr>
                <w:rFonts w:eastAsia="Times New Roman"/>
                <w:iCs/>
                <w:szCs w:val="17"/>
              </w:rPr>
              <w:t>Objective 1: Build resilient infrastructure and an environment for trade and economic opportunity, including in the productive sectors.</w:t>
            </w:r>
          </w:p>
        </w:tc>
        <w:tc>
          <w:tcPr>
            <w:tcW w:w="1509" w:type="pct"/>
            <w:tcBorders>
              <w:top w:val="nil"/>
              <w:left w:val="nil"/>
              <w:bottom w:val="nil"/>
              <w:right w:val="nil"/>
            </w:tcBorders>
          </w:tcPr>
          <w:p w:rsidR="007F6D78" w:rsidRPr="00772167" w:rsidRDefault="00C3488C" w:rsidP="00C3488C">
            <w:pPr>
              <w:pStyle w:val="NormalIndented"/>
              <w:rPr>
                <w:rFonts w:asciiTheme="minorHAnsi" w:eastAsia="Times New Roman" w:hAnsiTheme="minorHAnsi"/>
                <w:iCs/>
                <w:szCs w:val="17"/>
              </w:rPr>
            </w:pPr>
            <w:r w:rsidRPr="00FA6D9E">
              <w:rPr>
                <w:rFonts w:eastAsia="Times New Roman"/>
                <w:iCs/>
                <w:szCs w:val="17"/>
              </w:rPr>
              <w:t>Annual change in VAT revenue (%)</w:t>
            </w:r>
            <w:r w:rsidRPr="00FA6D9E">
              <w:rPr>
                <w:rStyle w:val="FootnoteReference"/>
                <w:rFonts w:eastAsia="Times New Roman"/>
                <w:iCs/>
                <w:szCs w:val="17"/>
              </w:rPr>
              <w:footnoteReference w:id="33"/>
            </w:r>
          </w:p>
        </w:tc>
        <w:tc>
          <w:tcPr>
            <w:tcW w:w="1431" w:type="pct"/>
            <w:tcBorders>
              <w:top w:val="nil"/>
              <w:left w:val="nil"/>
              <w:bottom w:val="nil"/>
              <w:right w:val="nil"/>
            </w:tcBorders>
          </w:tcPr>
          <w:p w:rsidR="007F6D78" w:rsidRPr="00772167" w:rsidRDefault="00C3488C" w:rsidP="00F40C0D">
            <w:pPr>
              <w:pStyle w:val="NormalIndented"/>
              <w:ind w:left="33"/>
              <w:jc w:val="center"/>
              <w:rPr>
                <w:rFonts w:asciiTheme="minorHAnsi" w:hAnsiTheme="minorHAnsi"/>
                <w:i/>
                <w:color w:val="808080" w:themeColor="background1" w:themeShade="80"/>
                <w:szCs w:val="17"/>
              </w:rPr>
            </w:pPr>
            <w:r w:rsidRPr="00772167">
              <w:rPr>
                <w:i/>
                <w:color w:val="808080" w:themeColor="background1" w:themeShade="80"/>
                <w:szCs w:val="17"/>
              </w:rPr>
              <w:t>TBC</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vMerge/>
            <w:tcBorders>
              <w:left w:val="nil"/>
              <w:bottom w:val="nil"/>
              <w:right w:val="nil"/>
            </w:tcBorders>
          </w:tcPr>
          <w:p w:rsidR="007F6D78" w:rsidRPr="00772167" w:rsidRDefault="007F6D78" w:rsidP="00F40C0D">
            <w:pPr>
              <w:pStyle w:val="NormalIndented"/>
              <w:rPr>
                <w:rFonts w:asciiTheme="minorHAnsi" w:eastAsia="Times New Roman" w:hAnsiTheme="minorHAnsi"/>
                <w:iCs/>
                <w:szCs w:val="17"/>
              </w:rPr>
            </w:pPr>
          </w:p>
        </w:tc>
        <w:tc>
          <w:tcPr>
            <w:tcW w:w="1509" w:type="pct"/>
            <w:tcBorders>
              <w:top w:val="nil"/>
              <w:left w:val="nil"/>
              <w:bottom w:val="nil"/>
              <w:right w:val="nil"/>
            </w:tcBorders>
          </w:tcPr>
          <w:p w:rsidR="007F6D78" w:rsidRPr="00772167" w:rsidRDefault="00C3488C" w:rsidP="00F40C0D">
            <w:pPr>
              <w:pStyle w:val="NormalIndented"/>
              <w:rPr>
                <w:rFonts w:asciiTheme="minorHAnsi" w:eastAsia="Times New Roman" w:hAnsiTheme="minorHAnsi"/>
                <w:iCs/>
                <w:szCs w:val="17"/>
              </w:rPr>
            </w:pPr>
            <w:r w:rsidRPr="00FA6D9E">
              <w:rPr>
                <w:rFonts w:eastAsia="Times New Roman"/>
                <w:iCs/>
                <w:szCs w:val="17"/>
              </w:rPr>
              <w:t>Vanuatu Rural Access Index</w:t>
            </w:r>
            <w:r w:rsidRPr="00FA6D9E">
              <w:rPr>
                <w:rStyle w:val="FootnoteReference"/>
                <w:rFonts w:eastAsia="Times New Roman"/>
                <w:iCs/>
                <w:szCs w:val="17"/>
              </w:rPr>
              <w:footnoteReference w:id="34"/>
            </w:r>
            <w:r w:rsidRPr="00FA6D9E">
              <w:rPr>
                <w:rFonts w:eastAsia="Times New Roman"/>
                <w:iCs/>
                <w:szCs w:val="17"/>
              </w:rPr>
              <w:t xml:space="preserve"> and Length of rural roads maintained, rehabilitated or repaired (km)</w:t>
            </w:r>
          </w:p>
        </w:tc>
        <w:tc>
          <w:tcPr>
            <w:tcW w:w="1431" w:type="pct"/>
            <w:tcBorders>
              <w:top w:val="nil"/>
              <w:left w:val="nil"/>
              <w:bottom w:val="nil"/>
              <w:right w:val="nil"/>
            </w:tcBorders>
          </w:tcPr>
          <w:p w:rsidR="007F6D78" w:rsidRPr="00772167" w:rsidRDefault="00EA1D26" w:rsidP="00C3488C">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55</w:t>
            </w:r>
            <w:r w:rsidR="00C3488C" w:rsidRPr="00223BD4">
              <w:rPr>
                <w:i/>
                <w:color w:val="808080" w:themeColor="background1" w:themeShade="80"/>
                <w:szCs w:val="17"/>
              </w:rPr>
              <w:t>%</w:t>
            </w:r>
          </w:p>
          <w:p w:rsidR="00C3488C" w:rsidRPr="00772167" w:rsidRDefault="007F1938" w:rsidP="005960AB">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550</w:t>
            </w:r>
            <w:r w:rsidR="00C3488C" w:rsidRPr="00223BD4">
              <w:rPr>
                <w:i/>
                <w:color w:val="808080" w:themeColor="background1" w:themeShade="80"/>
                <w:szCs w:val="17"/>
              </w:rPr>
              <w:t>km</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vMerge/>
            <w:tcBorders>
              <w:top w:val="nil"/>
              <w:left w:val="nil"/>
              <w:bottom w:val="nil"/>
              <w:right w:val="nil"/>
            </w:tcBorders>
          </w:tcPr>
          <w:p w:rsidR="007F6D78" w:rsidRPr="00772167" w:rsidRDefault="007F6D78" w:rsidP="00F40C0D">
            <w:pPr>
              <w:pStyle w:val="NormalIndented"/>
              <w:rPr>
                <w:rFonts w:asciiTheme="minorHAnsi" w:eastAsia="Times New Roman" w:hAnsiTheme="minorHAnsi"/>
                <w:iCs/>
                <w:szCs w:val="17"/>
              </w:rPr>
            </w:pPr>
          </w:p>
        </w:tc>
        <w:tc>
          <w:tcPr>
            <w:tcW w:w="1509" w:type="pct"/>
            <w:tcBorders>
              <w:top w:val="nil"/>
              <w:left w:val="nil"/>
              <w:bottom w:val="nil"/>
              <w:right w:val="nil"/>
            </w:tcBorders>
          </w:tcPr>
          <w:p w:rsidR="007F6D78" w:rsidRPr="00772167" w:rsidRDefault="00C3488C" w:rsidP="00C3488C">
            <w:pPr>
              <w:pStyle w:val="NormalIndented"/>
              <w:rPr>
                <w:rFonts w:asciiTheme="minorHAnsi" w:eastAsia="Times New Roman" w:hAnsiTheme="minorHAnsi"/>
                <w:iCs/>
                <w:szCs w:val="17"/>
              </w:rPr>
            </w:pPr>
            <w:r w:rsidRPr="00FA6D9E">
              <w:rPr>
                <w:rFonts w:eastAsia="Times New Roman"/>
                <w:iCs/>
                <w:szCs w:val="17"/>
              </w:rPr>
              <w:t>Number of ni-Vanuatu women and men engaged in seasonal worker program</w:t>
            </w:r>
          </w:p>
        </w:tc>
        <w:tc>
          <w:tcPr>
            <w:tcW w:w="1431" w:type="pct"/>
            <w:tcBorders>
              <w:top w:val="nil"/>
              <w:left w:val="nil"/>
              <w:bottom w:val="nil"/>
              <w:right w:val="nil"/>
            </w:tcBorders>
          </w:tcPr>
          <w:p w:rsidR="00C3488C" w:rsidRPr="00772167" w:rsidRDefault="00C3488C" w:rsidP="00F40C0D">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550/2850</w:t>
            </w:r>
            <w:r w:rsidR="00AD54BA">
              <w:rPr>
                <w:i/>
                <w:color w:val="808080" w:themeColor="background1" w:themeShade="80"/>
                <w:szCs w:val="17"/>
              </w:rPr>
              <w:t xml:space="preserve"> </w:t>
            </w:r>
            <w:r w:rsidRPr="00223BD4">
              <w:rPr>
                <w:i/>
                <w:color w:val="808080" w:themeColor="background1" w:themeShade="80"/>
                <w:szCs w:val="17"/>
              </w:rPr>
              <w:t>(3,400)</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vMerge w:val="restart"/>
            <w:tcBorders>
              <w:top w:val="nil"/>
              <w:left w:val="nil"/>
              <w:bottom w:val="nil"/>
              <w:right w:val="nil"/>
            </w:tcBorders>
          </w:tcPr>
          <w:p w:rsidR="007F6D78" w:rsidRPr="00772167" w:rsidRDefault="007F6D78" w:rsidP="00F40C0D">
            <w:pPr>
              <w:pStyle w:val="NormalIndented"/>
              <w:rPr>
                <w:rFonts w:asciiTheme="minorHAnsi" w:eastAsia="Times New Roman" w:hAnsiTheme="minorHAnsi"/>
                <w:iCs/>
                <w:szCs w:val="17"/>
              </w:rPr>
            </w:pPr>
            <w:r w:rsidRPr="00FA6D9E">
              <w:rPr>
                <w:rFonts w:eastAsia="Times New Roman"/>
                <w:iCs/>
                <w:szCs w:val="17"/>
              </w:rPr>
              <w:t>Objective 2: Improve early education and essential health facilities.</w:t>
            </w:r>
          </w:p>
        </w:tc>
        <w:tc>
          <w:tcPr>
            <w:tcW w:w="1509" w:type="pct"/>
            <w:tcBorders>
              <w:top w:val="nil"/>
              <w:left w:val="nil"/>
              <w:bottom w:val="nil"/>
              <w:right w:val="nil"/>
            </w:tcBorders>
          </w:tcPr>
          <w:p w:rsidR="007F6D78" w:rsidRPr="00772167" w:rsidRDefault="00C3488C" w:rsidP="00C3488C">
            <w:pPr>
              <w:pStyle w:val="NormalIndented"/>
              <w:rPr>
                <w:rFonts w:asciiTheme="minorHAnsi" w:eastAsia="Times New Roman" w:hAnsiTheme="minorHAnsi"/>
                <w:iCs/>
                <w:szCs w:val="17"/>
              </w:rPr>
            </w:pPr>
            <w:r w:rsidRPr="00FA6D9E">
              <w:rPr>
                <w:rFonts w:eastAsia="Times New Roman"/>
                <w:iCs/>
                <w:szCs w:val="17"/>
              </w:rPr>
              <w:t xml:space="preserve">Proportion of Year 4 students </w:t>
            </w:r>
            <w:r w:rsidR="00661E43">
              <w:rPr>
                <w:rFonts w:eastAsia="Times New Roman"/>
                <w:iCs/>
                <w:szCs w:val="17"/>
              </w:rPr>
              <w:t xml:space="preserve">(girls/boys) </w:t>
            </w:r>
            <w:r w:rsidRPr="00FA6D9E">
              <w:rPr>
                <w:rFonts w:eastAsia="Times New Roman"/>
                <w:iCs/>
                <w:szCs w:val="17"/>
              </w:rPr>
              <w:t>meeting national literacy &amp; numeracy standard (%)</w:t>
            </w:r>
            <w:r w:rsidRPr="00FA6D9E">
              <w:rPr>
                <w:rStyle w:val="FootnoteReference"/>
                <w:rFonts w:eastAsia="Times New Roman"/>
                <w:iCs/>
                <w:szCs w:val="17"/>
              </w:rPr>
              <w:footnoteReference w:id="35"/>
            </w:r>
          </w:p>
        </w:tc>
        <w:tc>
          <w:tcPr>
            <w:tcW w:w="1431" w:type="pct"/>
            <w:tcBorders>
              <w:top w:val="nil"/>
              <w:left w:val="nil"/>
              <w:bottom w:val="nil"/>
              <w:right w:val="nil"/>
            </w:tcBorders>
          </w:tcPr>
          <w:p w:rsidR="007F6D78" w:rsidRPr="00772167" w:rsidRDefault="00C3488C" w:rsidP="00C3488C">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[2019 cohort]</w:t>
            </w:r>
          </w:p>
          <w:p w:rsidR="00C3488C" w:rsidRPr="00772167" w:rsidRDefault="00C3488C" w:rsidP="00C3488C">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TBC</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vMerge/>
            <w:tcBorders>
              <w:top w:val="nil"/>
              <w:left w:val="nil"/>
              <w:bottom w:val="nil"/>
              <w:right w:val="nil"/>
            </w:tcBorders>
          </w:tcPr>
          <w:p w:rsidR="007F6D78" w:rsidRPr="00772167" w:rsidRDefault="007F6D78" w:rsidP="00F40C0D">
            <w:pPr>
              <w:pStyle w:val="NormalIndented"/>
              <w:rPr>
                <w:rFonts w:asciiTheme="minorHAnsi" w:eastAsia="Times New Roman" w:hAnsiTheme="minorHAnsi"/>
                <w:iCs/>
                <w:szCs w:val="17"/>
              </w:rPr>
            </w:pPr>
          </w:p>
        </w:tc>
        <w:tc>
          <w:tcPr>
            <w:tcW w:w="1509" w:type="pct"/>
            <w:tcBorders>
              <w:top w:val="nil"/>
              <w:left w:val="nil"/>
              <w:bottom w:val="nil"/>
              <w:right w:val="nil"/>
            </w:tcBorders>
          </w:tcPr>
          <w:p w:rsidR="007F6D78" w:rsidRPr="00772167" w:rsidRDefault="00C3488C" w:rsidP="00F40C0D">
            <w:pPr>
              <w:pStyle w:val="NormalIndented"/>
              <w:rPr>
                <w:rFonts w:asciiTheme="minorHAnsi" w:eastAsia="Times New Roman" w:hAnsiTheme="minorHAnsi"/>
                <w:iCs/>
                <w:szCs w:val="17"/>
              </w:rPr>
            </w:pPr>
            <w:r w:rsidRPr="00FA6D9E">
              <w:rPr>
                <w:rFonts w:eastAsia="Times New Roman"/>
                <w:iCs/>
                <w:szCs w:val="17"/>
              </w:rPr>
              <w:t>Proportion of children (0-5yrs) with full routine immunisation (%)</w:t>
            </w:r>
          </w:p>
        </w:tc>
        <w:tc>
          <w:tcPr>
            <w:tcW w:w="1431" w:type="pct"/>
            <w:tcBorders>
              <w:top w:val="nil"/>
              <w:left w:val="nil"/>
              <w:bottom w:val="nil"/>
              <w:right w:val="nil"/>
            </w:tcBorders>
          </w:tcPr>
          <w:p w:rsidR="007F6D78" w:rsidRPr="00772167" w:rsidRDefault="0024542A" w:rsidP="00772167">
            <w:pPr>
              <w:pStyle w:val="NormalIndented"/>
              <w:ind w:left="33"/>
              <w:jc w:val="center"/>
              <w:rPr>
                <w:rFonts w:asciiTheme="minorHAnsi" w:hAnsiTheme="minorHAnsi"/>
                <w:i/>
                <w:color w:val="808080" w:themeColor="background1" w:themeShade="80"/>
                <w:szCs w:val="17"/>
              </w:rPr>
            </w:pPr>
            <w:r w:rsidRPr="00223BD4">
              <w:rPr>
                <w:i/>
                <w:color w:val="808080" w:themeColor="background1" w:themeShade="80"/>
                <w:szCs w:val="17"/>
              </w:rPr>
              <w:t>9</w:t>
            </w:r>
            <w:r w:rsidR="009F3A66">
              <w:rPr>
                <w:i/>
                <w:color w:val="808080" w:themeColor="background1" w:themeShade="80"/>
                <w:szCs w:val="17"/>
              </w:rPr>
              <w:t>4</w:t>
            </w:r>
            <w:r w:rsidR="007F6D78" w:rsidRPr="00772167">
              <w:rPr>
                <w:i/>
                <w:color w:val="808080" w:themeColor="background1" w:themeShade="80"/>
                <w:szCs w:val="17"/>
              </w:rPr>
              <w:t>%</w:t>
            </w:r>
            <w:r w:rsidR="00C3488C" w:rsidRPr="00772167">
              <w:rPr>
                <w:i/>
                <w:color w:val="808080" w:themeColor="background1" w:themeShade="80"/>
                <w:szCs w:val="17"/>
              </w:rPr>
              <w:t xml:space="preserve"> DPT3</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tcBorders>
              <w:top w:val="nil"/>
              <w:left w:val="nil"/>
              <w:bottom w:val="nil"/>
              <w:right w:val="nil"/>
            </w:tcBorders>
          </w:tcPr>
          <w:p w:rsidR="007F6D78" w:rsidRPr="00772167" w:rsidRDefault="007F6D78" w:rsidP="00F40C0D">
            <w:pPr>
              <w:pStyle w:val="NormalIndented"/>
              <w:rPr>
                <w:rFonts w:asciiTheme="minorHAnsi" w:eastAsia="Times New Roman" w:hAnsiTheme="minorHAnsi"/>
                <w:iCs/>
                <w:szCs w:val="17"/>
              </w:rPr>
            </w:pPr>
            <w:r w:rsidRPr="00FA6D9E">
              <w:rPr>
                <w:rFonts w:eastAsia="Times New Roman"/>
                <w:iCs/>
                <w:szCs w:val="17"/>
              </w:rPr>
              <w:t xml:space="preserve">Objective 3: Improve community safety and resilience. </w:t>
            </w:r>
          </w:p>
        </w:tc>
        <w:tc>
          <w:tcPr>
            <w:tcW w:w="1509" w:type="pct"/>
            <w:tcBorders>
              <w:top w:val="nil"/>
              <w:left w:val="nil"/>
              <w:bottom w:val="nil"/>
              <w:right w:val="nil"/>
            </w:tcBorders>
          </w:tcPr>
          <w:p w:rsidR="007F6D78" w:rsidRPr="00772167" w:rsidRDefault="007F6D78" w:rsidP="00610F71">
            <w:pPr>
              <w:pStyle w:val="NormalIndented"/>
              <w:rPr>
                <w:rFonts w:asciiTheme="minorHAnsi" w:eastAsia="Times New Roman" w:hAnsiTheme="minorHAnsi"/>
                <w:iCs/>
                <w:szCs w:val="17"/>
              </w:rPr>
            </w:pPr>
            <w:r w:rsidRPr="00FA6D9E">
              <w:rPr>
                <w:rFonts w:eastAsia="Times New Roman"/>
                <w:iCs/>
                <w:szCs w:val="17"/>
              </w:rPr>
              <w:t xml:space="preserve">Number of women </w:t>
            </w:r>
            <w:r w:rsidR="00610F71" w:rsidRPr="00FA6D9E">
              <w:rPr>
                <w:rFonts w:eastAsia="Times New Roman"/>
                <w:iCs/>
                <w:szCs w:val="17"/>
              </w:rPr>
              <w:t xml:space="preserve">and children </w:t>
            </w:r>
            <w:r w:rsidRPr="00FA6D9E">
              <w:rPr>
                <w:rFonts w:eastAsia="Times New Roman"/>
                <w:iCs/>
                <w:szCs w:val="17"/>
              </w:rPr>
              <w:t>survivors of violence provided counselling, support</w:t>
            </w:r>
            <w:r w:rsidR="00610F71" w:rsidRPr="00FA6D9E">
              <w:rPr>
                <w:rFonts w:eastAsia="Times New Roman"/>
                <w:iCs/>
                <w:szCs w:val="17"/>
              </w:rPr>
              <w:t xml:space="preserve">, </w:t>
            </w:r>
            <w:r w:rsidRPr="00FA6D9E">
              <w:rPr>
                <w:rFonts w:eastAsia="Times New Roman"/>
                <w:iCs/>
                <w:szCs w:val="17"/>
              </w:rPr>
              <w:t xml:space="preserve"> legal services</w:t>
            </w:r>
            <w:r w:rsidR="00610F71" w:rsidRPr="00FA6D9E">
              <w:rPr>
                <w:rStyle w:val="FootnoteReference"/>
                <w:rFonts w:eastAsia="Times New Roman"/>
                <w:iCs/>
                <w:szCs w:val="17"/>
              </w:rPr>
              <w:footnoteReference w:id="36"/>
            </w:r>
            <w:r w:rsidR="00610F71" w:rsidRPr="00FA6D9E">
              <w:rPr>
                <w:rFonts w:eastAsia="Times New Roman"/>
                <w:iCs/>
                <w:szCs w:val="17"/>
              </w:rPr>
              <w:t xml:space="preserve"> and/or police services</w:t>
            </w:r>
          </w:p>
        </w:tc>
        <w:tc>
          <w:tcPr>
            <w:tcW w:w="1431" w:type="pct"/>
            <w:tcBorders>
              <w:top w:val="nil"/>
              <w:left w:val="nil"/>
              <w:bottom w:val="nil"/>
              <w:right w:val="nil"/>
            </w:tcBorders>
          </w:tcPr>
          <w:p w:rsidR="007F6D78" w:rsidRPr="00772167" w:rsidRDefault="00277683" w:rsidP="00277683">
            <w:pPr>
              <w:pStyle w:val="NormalIndented"/>
              <w:ind w:left="33"/>
              <w:jc w:val="center"/>
              <w:rPr>
                <w:rFonts w:asciiTheme="minorHAnsi" w:hAnsiTheme="minorHAnsi"/>
                <w:i/>
                <w:color w:val="808080" w:themeColor="background1" w:themeShade="80"/>
                <w:szCs w:val="17"/>
              </w:rPr>
            </w:pPr>
            <w:r>
              <w:rPr>
                <w:i/>
                <w:color w:val="808080" w:themeColor="background1" w:themeShade="80"/>
                <w:szCs w:val="17"/>
              </w:rPr>
              <w:t>8</w:t>
            </w:r>
            <w:r w:rsidR="00610F71" w:rsidRPr="00223BD4">
              <w:rPr>
                <w:i/>
                <w:color w:val="808080" w:themeColor="background1" w:themeShade="80"/>
                <w:szCs w:val="17"/>
              </w:rPr>
              <w:t>,</w:t>
            </w:r>
            <w:r>
              <w:rPr>
                <w:i/>
                <w:color w:val="808080" w:themeColor="background1" w:themeShade="80"/>
                <w:szCs w:val="17"/>
              </w:rPr>
              <w:t>5</w:t>
            </w:r>
            <w:r w:rsidR="007F6D78" w:rsidRPr="00223BD4">
              <w:rPr>
                <w:i/>
                <w:color w:val="808080" w:themeColor="background1" w:themeShade="80"/>
                <w:szCs w:val="17"/>
              </w:rPr>
              <w:t>00</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r w:rsidR="007F6D78" w:rsidTr="003339B9">
        <w:trPr>
          <w:trHeight w:val="984"/>
        </w:trPr>
        <w:tc>
          <w:tcPr>
            <w:tcW w:w="801" w:type="pct"/>
            <w:tcBorders>
              <w:top w:val="nil"/>
              <w:left w:val="nil"/>
              <w:bottom w:val="nil"/>
              <w:right w:val="nil"/>
            </w:tcBorders>
          </w:tcPr>
          <w:p w:rsidR="007F6D78" w:rsidRPr="00772167" w:rsidRDefault="007F6D78" w:rsidP="00F40C0D">
            <w:pPr>
              <w:pStyle w:val="NormalIndented"/>
              <w:rPr>
                <w:rFonts w:asciiTheme="minorHAnsi" w:eastAsia="Times New Roman" w:hAnsiTheme="minorHAnsi"/>
                <w:iCs/>
                <w:szCs w:val="17"/>
              </w:rPr>
            </w:pPr>
            <w:r w:rsidRPr="00FA6D9E">
              <w:rPr>
                <w:rFonts w:eastAsia="Times New Roman"/>
                <w:iCs/>
                <w:szCs w:val="17"/>
              </w:rPr>
              <w:t xml:space="preserve">Objective 4: Supporting cyclone recovery and reconstruction. </w:t>
            </w:r>
          </w:p>
        </w:tc>
        <w:tc>
          <w:tcPr>
            <w:tcW w:w="1509" w:type="pct"/>
            <w:tcBorders>
              <w:top w:val="nil"/>
              <w:left w:val="nil"/>
              <w:bottom w:val="nil"/>
              <w:right w:val="nil"/>
            </w:tcBorders>
          </w:tcPr>
          <w:p w:rsidR="007F6D78" w:rsidRPr="00772167" w:rsidRDefault="00610F71" w:rsidP="0094193A">
            <w:pPr>
              <w:pStyle w:val="NormalIndented"/>
              <w:rPr>
                <w:rFonts w:asciiTheme="minorHAnsi" w:eastAsia="Times New Roman" w:hAnsiTheme="minorHAnsi"/>
                <w:iCs/>
                <w:szCs w:val="17"/>
              </w:rPr>
            </w:pPr>
            <w:r w:rsidRPr="00FA6D9E">
              <w:rPr>
                <w:rFonts w:eastAsia="Times New Roman"/>
                <w:iCs/>
                <w:szCs w:val="17"/>
              </w:rPr>
              <w:t xml:space="preserve">Number of public service delivery </w:t>
            </w:r>
            <w:r w:rsidR="0094193A">
              <w:rPr>
                <w:rFonts w:eastAsia="Times New Roman"/>
                <w:iCs/>
                <w:szCs w:val="17"/>
              </w:rPr>
              <w:t>facilities</w:t>
            </w:r>
            <w:r w:rsidR="003F2A3F" w:rsidRPr="00FA6D9E">
              <w:rPr>
                <w:rFonts w:eastAsia="Times New Roman"/>
                <w:iCs/>
                <w:szCs w:val="17"/>
              </w:rPr>
              <w:t xml:space="preserve"> </w:t>
            </w:r>
            <w:r w:rsidRPr="00FA6D9E">
              <w:rPr>
                <w:rFonts w:eastAsia="Times New Roman"/>
                <w:iCs/>
                <w:szCs w:val="17"/>
              </w:rPr>
              <w:t>reconstructed or repaired</w:t>
            </w:r>
          </w:p>
        </w:tc>
        <w:tc>
          <w:tcPr>
            <w:tcW w:w="1431" w:type="pct"/>
            <w:tcBorders>
              <w:top w:val="nil"/>
              <w:left w:val="nil"/>
              <w:bottom w:val="nil"/>
              <w:right w:val="nil"/>
            </w:tcBorders>
          </w:tcPr>
          <w:p w:rsidR="007F6D78" w:rsidRPr="00772167" w:rsidRDefault="00610F71" w:rsidP="00772167">
            <w:pPr>
              <w:pStyle w:val="NormalIndented"/>
              <w:ind w:left="33"/>
              <w:jc w:val="center"/>
              <w:rPr>
                <w:rFonts w:asciiTheme="minorHAnsi" w:hAnsiTheme="minorHAnsi"/>
                <w:i/>
                <w:color w:val="808080" w:themeColor="background1" w:themeShade="80"/>
                <w:szCs w:val="17"/>
              </w:rPr>
            </w:pPr>
            <w:r w:rsidRPr="00772167">
              <w:rPr>
                <w:i/>
                <w:color w:val="808080" w:themeColor="background1" w:themeShade="80"/>
                <w:szCs w:val="17"/>
              </w:rPr>
              <w:t>2</w:t>
            </w:r>
            <w:r w:rsidR="0098729D">
              <w:rPr>
                <w:i/>
                <w:color w:val="808080" w:themeColor="background1" w:themeShade="80"/>
                <w:szCs w:val="17"/>
              </w:rPr>
              <w:t>2</w:t>
            </w:r>
            <w:r w:rsidR="003F2A3F" w:rsidRPr="00772167">
              <w:rPr>
                <w:i/>
                <w:color w:val="808080" w:themeColor="background1" w:themeShade="80"/>
                <w:szCs w:val="17"/>
              </w:rPr>
              <w:t>0</w:t>
            </w:r>
          </w:p>
        </w:tc>
        <w:tc>
          <w:tcPr>
            <w:tcW w:w="386" w:type="pct"/>
            <w:tcBorders>
              <w:top w:val="nil"/>
              <w:left w:val="nil"/>
              <w:bottom w:val="nil"/>
              <w:right w:val="nil"/>
            </w:tcBorders>
          </w:tcPr>
          <w:p w:rsidR="007F6D78" w:rsidRPr="00BE6C6D" w:rsidRDefault="007F6D78" w:rsidP="00F40C0D">
            <w:pPr>
              <w:pStyle w:val="NormalIndented"/>
              <w:jc w:val="center"/>
              <w:rPr>
                <w:i/>
                <w:color w:val="808080" w:themeColor="background1" w:themeShade="80"/>
                <w:szCs w:val="20"/>
              </w:rPr>
            </w:pPr>
          </w:p>
        </w:tc>
        <w:tc>
          <w:tcPr>
            <w:tcW w:w="873" w:type="pct"/>
            <w:tcBorders>
              <w:top w:val="nil"/>
              <w:left w:val="nil"/>
              <w:bottom w:val="nil"/>
              <w:right w:val="nil"/>
            </w:tcBorders>
          </w:tcPr>
          <w:p w:rsidR="007F6D78" w:rsidRPr="00BE6C6D" w:rsidRDefault="007F6D78" w:rsidP="00F40C0D">
            <w:pPr>
              <w:pStyle w:val="NormalIndented"/>
              <w:ind w:left="0"/>
              <w:jc w:val="center"/>
              <w:rPr>
                <w:i/>
                <w:color w:val="808080" w:themeColor="background1" w:themeShade="80"/>
                <w:szCs w:val="20"/>
              </w:rPr>
            </w:pPr>
          </w:p>
        </w:tc>
      </w:tr>
    </w:tbl>
    <w:p w:rsidR="00400B0F" w:rsidRPr="00772167" w:rsidRDefault="00400B0F" w:rsidP="002D37BC">
      <w:pPr>
        <w:suppressAutoHyphens w:val="0"/>
        <w:spacing w:before="0" w:after="120" w:line="440" w:lineRule="atLeast"/>
        <w:rPr>
          <w:sz w:val="38"/>
          <w:szCs w:val="38"/>
        </w:rPr>
      </w:pPr>
      <w:r w:rsidRPr="003339B9">
        <w:rPr>
          <w:rFonts w:ascii="Franklin Gothic Book" w:eastAsia="Times New Roman" w:hAnsi="Franklin Gothic Book"/>
          <w:i/>
          <w:sz w:val="21"/>
        </w:rPr>
        <w:br w:type="page"/>
      </w:r>
      <w:r w:rsidRPr="00772167">
        <w:rPr>
          <w:sz w:val="38"/>
          <w:szCs w:val="38"/>
        </w:rPr>
        <w:lastRenderedPageBreak/>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rsidR="00400B0F" w:rsidRPr="00880004" w:rsidRDefault="00400B0F" w:rsidP="006F27B1">
            <w:pPr>
              <w:keepLines/>
              <w:spacing w:line="200" w:lineRule="atLeast"/>
              <w:rPr>
                <w:rFonts w:asciiTheme="minorHAnsi" w:eastAsia="Times New Roman" w:hAnsiTheme="minorHAnsi"/>
                <w:b w:val="0"/>
                <w:iCs/>
                <w:szCs w:val="17"/>
                <w:lang w:eastAsia="en-US"/>
              </w:rPr>
            </w:pPr>
            <w:r w:rsidRPr="00880004">
              <w:rPr>
                <w:rFonts w:asciiTheme="minorHAnsi" w:eastAsia="Times New Roman" w:hAnsiTheme="minorHAnsi"/>
                <w:iCs/>
                <w:szCs w:val="17"/>
                <w:lang w:eastAsia="en-US"/>
              </w:rPr>
              <w:t xml:space="preserve">(if applicable) </w:t>
            </w:r>
          </w:p>
        </w:tc>
        <w:tc>
          <w:tcPr>
            <w:tcW w:w="465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24542A"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24542A" w:rsidRPr="003F2A3F" w:rsidRDefault="0024542A" w:rsidP="0024542A">
            <w:pPr>
              <w:keepLines/>
              <w:spacing w:before="40" w:after="40" w:line="200" w:lineRule="atLeast"/>
              <w:rPr>
                <w:rFonts w:asciiTheme="minorHAnsi" w:eastAsia="Times New Roman" w:hAnsiTheme="minorHAnsi"/>
                <w:b w:val="0"/>
                <w:iCs/>
                <w:szCs w:val="17"/>
                <w:lang w:eastAsia="en-US"/>
              </w:rPr>
            </w:pPr>
            <w:r w:rsidRPr="003F2A3F">
              <w:rPr>
                <w:rFonts w:asciiTheme="minorHAnsi" w:eastAsia="Times New Roman" w:hAnsiTheme="minorHAnsi"/>
                <w:b w:val="0"/>
                <w:iCs/>
                <w:szCs w:val="17"/>
                <w:lang w:eastAsia="en-US"/>
              </w:rPr>
              <w:t xml:space="preserve">INL732 </w:t>
            </w:r>
            <w:r w:rsidRPr="003F2A3F">
              <w:rPr>
                <w:rFonts w:asciiTheme="minorHAnsi" w:eastAsia="Times New Roman" w:hAnsiTheme="minorHAnsi"/>
                <w:b w:val="0"/>
                <w:iCs/>
                <w:szCs w:val="17"/>
              </w:rPr>
              <w:t>Tropical Cyclone Pam long-term recovery program</w:t>
            </w:r>
          </w:p>
          <w:p w:rsidR="0024542A" w:rsidRPr="003F2A3F" w:rsidRDefault="0024542A" w:rsidP="0024542A">
            <w:pPr>
              <w:keepLines/>
              <w:spacing w:before="40" w:after="40" w:line="200" w:lineRule="atLeast"/>
              <w:rPr>
                <w:rFonts w:asciiTheme="minorHAnsi" w:eastAsia="Times New Roman" w:hAnsiTheme="minorHAnsi"/>
                <w:b w:val="0"/>
                <w:iCs/>
                <w:szCs w:val="17"/>
                <w:lang w:eastAsia="en-US"/>
              </w:rPr>
            </w:pPr>
          </w:p>
          <w:p w:rsidR="0024542A" w:rsidRPr="003F2A3F" w:rsidRDefault="0024542A" w:rsidP="0024542A">
            <w:pPr>
              <w:keepLines/>
              <w:spacing w:before="40" w:after="40" w:line="200" w:lineRule="atLeast"/>
              <w:rPr>
                <w:rFonts w:asciiTheme="minorHAnsi" w:eastAsia="Times New Roman" w:hAnsiTheme="minorHAnsi"/>
                <w:b w:val="0"/>
                <w:iCs/>
                <w:szCs w:val="17"/>
                <w:lang w:eastAsia="en-US"/>
              </w:rPr>
            </w:pPr>
          </w:p>
        </w:tc>
        <w:tc>
          <w:tcPr>
            <w:tcW w:w="4657" w:type="dxa"/>
          </w:tcPr>
          <w:p w:rsidR="0024542A" w:rsidRPr="0024542A" w:rsidRDefault="00C169AA" w:rsidP="0024542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Evaluation of the Tropical Cyclone Pam Recovery Program</w:t>
            </w:r>
          </w:p>
        </w:tc>
        <w:tc>
          <w:tcPr>
            <w:tcW w:w="1397" w:type="dxa"/>
          </w:tcPr>
          <w:p w:rsidR="0024542A" w:rsidRPr="0024542A" w:rsidRDefault="007D055E" w:rsidP="007D055E">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Evaluation deferred to mid-2018. Field work undertaken June</w:t>
            </w:r>
            <w:r w:rsidR="00390920">
              <w:rPr>
                <w:rFonts w:asciiTheme="minorHAnsi" w:eastAsia="Times New Roman" w:hAnsiTheme="minorHAnsi"/>
                <w:b w:val="0"/>
                <w:iCs/>
                <w:szCs w:val="17"/>
                <w:lang w:eastAsia="en-US"/>
              </w:rPr>
              <w:t>.</w:t>
            </w:r>
            <w:r>
              <w:rPr>
                <w:rFonts w:asciiTheme="minorHAnsi" w:eastAsia="Times New Roman" w:hAnsiTheme="minorHAnsi"/>
                <w:b w:val="0"/>
                <w:iCs/>
                <w:szCs w:val="17"/>
                <w:lang w:eastAsia="en-US"/>
              </w:rPr>
              <w:t xml:space="preserve"> Final R</w:t>
            </w:r>
            <w:r w:rsidR="00C169AA">
              <w:rPr>
                <w:rFonts w:asciiTheme="minorHAnsi" w:eastAsia="Times New Roman" w:hAnsiTheme="minorHAnsi"/>
                <w:b w:val="0"/>
                <w:iCs/>
                <w:szCs w:val="17"/>
                <w:lang w:eastAsia="en-US"/>
              </w:rPr>
              <w:t xml:space="preserve">eport </w:t>
            </w:r>
            <w:r>
              <w:rPr>
                <w:rFonts w:asciiTheme="minorHAnsi" w:eastAsia="Times New Roman" w:hAnsiTheme="minorHAnsi"/>
                <w:b w:val="0"/>
                <w:iCs/>
                <w:szCs w:val="17"/>
                <w:lang w:eastAsia="en-US"/>
              </w:rPr>
              <w:t>due October 2018.</w:t>
            </w:r>
          </w:p>
        </w:tc>
        <w:tc>
          <w:tcPr>
            <w:tcW w:w="1953" w:type="dxa"/>
          </w:tcPr>
          <w:p w:rsidR="0024542A" w:rsidRPr="0024542A" w:rsidRDefault="0024542A" w:rsidP="0024542A">
            <w:pPr>
              <w:keepLines/>
              <w:spacing w:before="40" w:after="40" w:line="200" w:lineRule="atLeast"/>
              <w:rPr>
                <w:rFonts w:asciiTheme="minorHAnsi" w:eastAsia="Times New Roman" w:hAnsiTheme="minorHAnsi"/>
                <w:b w:val="0"/>
                <w:iCs/>
                <w:szCs w:val="17"/>
                <w:lang w:eastAsia="en-US"/>
              </w:rPr>
            </w:pPr>
          </w:p>
        </w:tc>
        <w:tc>
          <w:tcPr>
            <w:tcW w:w="1671" w:type="dxa"/>
          </w:tcPr>
          <w:p w:rsidR="0024542A" w:rsidRPr="0024542A" w:rsidRDefault="0024542A" w:rsidP="0024542A">
            <w:pPr>
              <w:keepLines/>
              <w:spacing w:before="40" w:after="40" w:line="200" w:lineRule="atLeast"/>
              <w:rPr>
                <w:rFonts w:asciiTheme="minorHAnsi" w:eastAsia="Times New Roman" w:hAnsiTheme="minorHAnsi"/>
                <w:b w:val="0"/>
                <w:iCs/>
                <w:szCs w:val="17"/>
                <w:lang w:eastAsia="en-US"/>
              </w:rPr>
            </w:pPr>
          </w:p>
        </w:tc>
        <w:tc>
          <w:tcPr>
            <w:tcW w:w="1515" w:type="dxa"/>
          </w:tcPr>
          <w:p w:rsidR="0024542A" w:rsidRPr="0024542A" w:rsidRDefault="0024542A" w:rsidP="0024542A">
            <w:pPr>
              <w:keepLines/>
              <w:spacing w:before="40" w:after="40" w:line="200" w:lineRule="atLeast"/>
              <w:rPr>
                <w:rFonts w:asciiTheme="minorHAnsi" w:eastAsia="Times New Roman" w:hAnsiTheme="minorHAnsi"/>
                <w:b w:val="0"/>
                <w:iCs/>
                <w:szCs w:val="17"/>
                <w:lang w:eastAsia="en-US"/>
              </w:rPr>
            </w:pPr>
          </w:p>
        </w:tc>
      </w:tr>
    </w:tbl>
    <w:p w:rsidR="00245863" w:rsidRPr="008C2F58" w:rsidRDefault="00245863" w:rsidP="00245863">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65"/>
        <w:gridCol w:w="2359"/>
        <w:gridCol w:w="2446"/>
        <w:gridCol w:w="2215"/>
        <w:gridCol w:w="2333"/>
        <w:gridCol w:w="2355"/>
      </w:tblGrid>
      <w:tr w:rsidR="00245863" w:rsidRPr="00C61187" w:rsidTr="00B71D1C">
        <w:tc>
          <w:tcPr>
            <w:tcW w:w="2472"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81"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w:t>
            </w:r>
            <w:r w:rsidR="005170B2">
              <w:rPr>
                <w:rFonts w:asciiTheme="minorHAnsi" w:eastAsia="Times New Roman" w:hAnsiTheme="minorHAnsi"/>
                <w:b/>
                <w:iCs/>
                <w:szCs w:val="17"/>
                <w:lang w:eastAsia="en-US"/>
              </w:rPr>
              <w:t xml:space="preserve">number and name </w:t>
            </w:r>
          </w:p>
        </w:tc>
        <w:tc>
          <w:tcPr>
            <w:tcW w:w="2459"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227"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48"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62" w:type="dxa"/>
          </w:tcPr>
          <w:p w:rsidR="00245863" w:rsidRPr="00880004" w:rsidRDefault="00245863" w:rsidP="00B71D1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245863" w:rsidRPr="00C61187" w:rsidTr="00B71D1C">
        <w:tc>
          <w:tcPr>
            <w:tcW w:w="2472" w:type="dxa"/>
          </w:tcPr>
          <w:p w:rsidR="00245863" w:rsidRPr="006C4A69" w:rsidRDefault="00245863" w:rsidP="00245863">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 xml:space="preserve">Independent Evaluation of the Tropical Cyclone Pam Recovery Program </w:t>
            </w:r>
          </w:p>
        </w:tc>
        <w:tc>
          <w:tcPr>
            <w:tcW w:w="2381" w:type="dxa"/>
          </w:tcPr>
          <w:p w:rsidR="00245863" w:rsidRPr="006C4A69" w:rsidRDefault="00245863" w:rsidP="00245863">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INL732 Tropical Cyclone Pam long-term recovery program</w:t>
            </w:r>
          </w:p>
        </w:tc>
        <w:tc>
          <w:tcPr>
            <w:tcW w:w="2459" w:type="dxa"/>
          </w:tcPr>
          <w:p w:rsidR="00245863" w:rsidRPr="006C4A69" w:rsidRDefault="00245863" w:rsidP="00245863">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June 2018</w:t>
            </w:r>
          </w:p>
        </w:tc>
        <w:tc>
          <w:tcPr>
            <w:tcW w:w="2227" w:type="dxa"/>
          </w:tcPr>
          <w:p w:rsidR="00245863" w:rsidRPr="006C4A69" w:rsidRDefault="00245863" w:rsidP="00245863">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 xml:space="preserve">December 2018 </w:t>
            </w:r>
          </w:p>
        </w:tc>
        <w:tc>
          <w:tcPr>
            <w:tcW w:w="2348" w:type="dxa"/>
          </w:tcPr>
          <w:p w:rsidR="00245863" w:rsidRPr="006C4A69" w:rsidRDefault="00661E43">
            <w:pPr>
              <w:keepLines/>
              <w:spacing w:before="40" w:after="40" w:line="200" w:lineRule="atLeast"/>
              <w:rPr>
                <w:rFonts w:asciiTheme="minorHAnsi" w:eastAsia="Times New Roman" w:hAnsiTheme="minorHAnsi"/>
                <w:iCs/>
                <w:color w:val="000000" w:themeColor="text1" w:themeShade="BF"/>
                <w:szCs w:val="17"/>
                <w:lang w:eastAsia="en-US"/>
              </w:rPr>
            </w:pPr>
            <w:r w:rsidRPr="006C4A69">
              <w:rPr>
                <w:rFonts w:asciiTheme="minorHAnsi" w:eastAsia="Times New Roman" w:hAnsiTheme="minorHAnsi"/>
                <w:iCs/>
                <w:szCs w:val="17"/>
              </w:rPr>
              <w:t>The evaluation will assess progress against end of program outcomes and consider the program’s modality and governance arrangements to inform future DFAT-funded recovery programs.</w:t>
            </w:r>
          </w:p>
        </w:tc>
        <w:tc>
          <w:tcPr>
            <w:tcW w:w="2362" w:type="dxa"/>
          </w:tcPr>
          <w:p w:rsidR="00245863" w:rsidRPr="006C4A69" w:rsidRDefault="00245863" w:rsidP="00B71D1C">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  DFAT led (includes consultants engaged by DFAT)</w:t>
            </w:r>
          </w:p>
          <w:p w:rsidR="00245863" w:rsidRPr="006C4A69" w:rsidRDefault="00245863" w:rsidP="005170B2">
            <w:pPr>
              <w:keepLines/>
              <w:spacing w:before="40" w:after="40" w:line="200" w:lineRule="atLeast"/>
              <w:rPr>
                <w:rFonts w:asciiTheme="minorHAnsi" w:eastAsia="Times New Roman" w:hAnsiTheme="minorHAnsi"/>
                <w:iCs/>
                <w:szCs w:val="17"/>
                <w:lang w:eastAsia="en-US"/>
              </w:rPr>
            </w:pPr>
            <w:r w:rsidRPr="006C4A69">
              <w:rPr>
                <w:rFonts w:asciiTheme="minorHAnsi" w:eastAsia="Times New Roman" w:hAnsiTheme="minorHAnsi"/>
                <w:iCs/>
                <w:szCs w:val="17"/>
              </w:rPr>
              <w:t xml:space="preserve"> </w:t>
            </w:r>
          </w:p>
        </w:tc>
      </w:tr>
    </w:tbl>
    <w:p w:rsidR="00400B0F" w:rsidRPr="00C61187" w:rsidRDefault="00400B0F" w:rsidP="00400B0F">
      <w:pPr>
        <w:rPr>
          <w:b/>
        </w:rPr>
        <w:sectPr w:rsidR="00400B0F" w:rsidRPr="00C61187" w:rsidSect="008C2F58">
          <w:headerReference w:type="even" r:id="rId31"/>
          <w:headerReference w:type="default" r:id="rId32"/>
          <w:headerReference w:type="first" r:id="rId33"/>
          <w:footerReference w:type="first" r:id="rId34"/>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Default="00400B0F" w:rsidP="004E0264">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461"/>
        <w:gridCol w:w="1743"/>
        <w:gridCol w:w="1055"/>
        <w:gridCol w:w="3062"/>
        <w:gridCol w:w="1273"/>
        <w:gridCol w:w="1064"/>
        <w:gridCol w:w="1053"/>
        <w:gridCol w:w="1064"/>
        <w:gridCol w:w="1053"/>
        <w:gridCol w:w="632"/>
      </w:tblGrid>
      <w:tr w:rsidR="008F2EE9" w:rsidRPr="00C61187" w:rsidTr="001C7A30">
        <w:trPr>
          <w:cnfStyle w:val="000000010000" w:firstRow="0" w:lastRow="0" w:firstColumn="0" w:lastColumn="0" w:oddVBand="0" w:evenVBand="0" w:oddHBand="0" w:evenHBand="1" w:firstRowFirstColumn="0" w:firstRowLastColumn="0" w:lastRowFirstColumn="0" w:lastRowLastColumn="0"/>
          <w:trHeight w:val="1413"/>
        </w:trPr>
        <w:tc>
          <w:tcPr>
            <w:tcW w:w="836" w:type="pct"/>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94080" behindDoc="0" locked="0" layoutInCell="1" allowOverlap="1" wp14:anchorId="58B264C9" wp14:editId="4ED15EFE">
                  <wp:simplePos x="0" y="0"/>
                  <wp:positionH relativeFrom="column">
                    <wp:posOffset>0</wp:posOffset>
                  </wp:positionH>
                  <wp:positionV relativeFrom="paragraph">
                    <wp:posOffset>0</wp:posOffset>
                  </wp:positionV>
                  <wp:extent cx="1857375" cy="228600"/>
                  <wp:effectExtent l="0" t="0" r="9525" b="0"/>
                  <wp:wrapNone/>
                  <wp:docPr id="49" name="Picture 4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593"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355"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1049"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30"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358"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354"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358"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354"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204"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0946E0"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Borders>
              <w:top w:val="single" w:sz="4" w:space="0" w:color="auto"/>
            </w:tcBorders>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Investment 1</w:t>
            </w:r>
            <w:r>
              <w:rPr>
                <w:rFonts w:asciiTheme="minorHAnsi" w:eastAsia="Times New Roman" w:hAnsiTheme="minorHAnsi"/>
                <w:iCs/>
                <w:szCs w:val="17"/>
                <w:lang w:eastAsia="en-US"/>
              </w:rPr>
              <w:t xml:space="preserve"> – INH654</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Australia Awards – Vanuatu In Country Costs</w:t>
            </w:r>
          </w:p>
        </w:tc>
        <w:tc>
          <w:tcPr>
            <w:tcW w:w="593" w:type="pct"/>
            <w:vMerge w:val="restart"/>
            <w:tcBorders>
              <w:top w:val="single" w:sz="4" w:space="0" w:color="auto"/>
            </w:tcBorders>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7,867,438</w:t>
            </w:r>
            <w:r w:rsidRPr="00880004">
              <w:rPr>
                <w:rFonts w:asciiTheme="minorHAnsi" w:hAnsiTheme="minorHAnsi" w:cs="Franklin Gothic Book"/>
                <w:color w:val="000000"/>
                <w:szCs w:val="17"/>
              </w:rPr>
              <w:t xml:space="preserve"> </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2007-2018</w:t>
            </w:r>
            <w:r w:rsidRPr="00880004">
              <w:rPr>
                <w:rFonts w:asciiTheme="minorHAnsi" w:eastAsia="Times New Roman" w:hAnsiTheme="minorHAnsi"/>
                <w:iCs/>
                <w:szCs w:val="17"/>
                <w:lang w:eastAsia="en-US"/>
              </w:rPr>
              <w:t xml:space="preserve"> </w:t>
            </w:r>
          </w:p>
        </w:tc>
        <w:tc>
          <w:tcPr>
            <w:tcW w:w="355" w:type="pct"/>
            <w:tcBorders>
              <w:top w:val="single" w:sz="4" w:space="0" w:color="auto"/>
            </w:tcBorders>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31"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tcBorders>
              <w:top w:val="single" w:sz="4" w:space="0" w:color="auto"/>
            </w:tcBorders>
            <w:shd w:val="clear" w:color="auto" w:fill="92D05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204" w:type="pct"/>
            <w:tcBorders>
              <w:top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431"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204"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Investment 2</w:t>
            </w:r>
            <w:r>
              <w:rPr>
                <w:rFonts w:asciiTheme="minorHAnsi" w:eastAsia="Times New Roman" w:hAnsiTheme="minorHAnsi"/>
                <w:iCs/>
                <w:szCs w:val="17"/>
                <w:lang w:eastAsia="en-US"/>
              </w:rPr>
              <w:t xml:space="preserve"> – INI637</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Won Smolbag Theatre Community Partnership</w:t>
            </w:r>
          </w:p>
        </w:tc>
        <w:tc>
          <w:tcPr>
            <w:tcW w:w="593" w:type="pct"/>
            <w:vMerge w:val="restart"/>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17,216,555</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2010-2021</w:t>
            </w:r>
            <w:r w:rsidRPr="00880004">
              <w:rPr>
                <w:rFonts w:asciiTheme="minorHAnsi" w:eastAsia="Times New Roman" w:hAnsiTheme="minorHAnsi"/>
                <w:iCs/>
                <w:szCs w:val="17"/>
                <w:lang w:eastAsia="en-US"/>
              </w:rPr>
              <w:t xml:space="preserve"> </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31"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92D05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shd w:val="clear" w:color="auto" w:fill="92D050"/>
              </w:rPr>
              <w:t>5</w:t>
            </w:r>
          </w:p>
        </w:tc>
        <w:tc>
          <w:tcPr>
            <w:tcW w:w="204" w:type="pct"/>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31"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8"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4"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204"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Investment 3</w:t>
            </w:r>
            <w:r>
              <w:rPr>
                <w:rFonts w:asciiTheme="minorHAnsi" w:eastAsia="Times New Roman" w:hAnsiTheme="minorHAnsi"/>
                <w:iCs/>
                <w:szCs w:val="17"/>
                <w:lang w:eastAsia="en-US"/>
              </w:rPr>
              <w:t xml:space="preserve"> –INJ438</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Vanuatu Health Sector Support 2010-2019</w:t>
            </w:r>
          </w:p>
        </w:tc>
        <w:tc>
          <w:tcPr>
            <w:tcW w:w="593"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$49,232,273</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2010-2019</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31"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8"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4" w:type="pct"/>
            <w:shd w:val="clear" w:color="auto" w:fill="FF000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2</w:t>
            </w:r>
          </w:p>
        </w:tc>
        <w:tc>
          <w:tcPr>
            <w:tcW w:w="204"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C61187"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31" w:type="pct"/>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4" w:type="pct"/>
            <w:shd w:val="clear" w:color="auto" w:fill="FF0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2</w:t>
            </w:r>
          </w:p>
        </w:tc>
        <w:tc>
          <w:tcPr>
            <w:tcW w:w="204"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0946E0"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Borders>
              <w:top w:val="single" w:sz="4" w:space="0" w:color="auto"/>
            </w:tcBorders>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4 – INK372</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Vanuatu Education Support Program</w:t>
            </w:r>
          </w:p>
        </w:tc>
        <w:tc>
          <w:tcPr>
            <w:tcW w:w="593" w:type="pct"/>
            <w:vMerge w:val="restart"/>
            <w:tcBorders>
              <w:top w:val="single" w:sz="4" w:space="0" w:color="auto"/>
            </w:tcBorders>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43,630,505</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2012-2019</w:t>
            </w:r>
            <w:r w:rsidRPr="00880004">
              <w:rPr>
                <w:rFonts w:asciiTheme="minorHAnsi" w:eastAsia="Times New Roman" w:hAnsiTheme="minorHAnsi"/>
                <w:iCs/>
                <w:szCs w:val="17"/>
                <w:lang w:eastAsia="en-US"/>
              </w:rPr>
              <w:t xml:space="preserve"> </w:t>
            </w:r>
          </w:p>
        </w:tc>
        <w:tc>
          <w:tcPr>
            <w:tcW w:w="355" w:type="pct"/>
            <w:tcBorders>
              <w:top w:val="single" w:sz="4" w:space="0" w:color="auto"/>
            </w:tcBorders>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tcBorders>
              <w:top w:val="single" w:sz="4" w:space="0" w:color="auto"/>
            </w:tcBorders>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31" w:type="pct"/>
            <w:tcBorders>
              <w:top w:val="single" w:sz="4" w:space="0" w:color="auto"/>
            </w:tcBorders>
            <w:shd w:val="clear" w:color="auto" w:fill="92D05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8" w:type="pct"/>
            <w:tcBorders>
              <w:top w:val="single" w:sz="4" w:space="0" w:color="auto"/>
            </w:tcBorders>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tcBorders>
              <w:top w:val="single" w:sz="4" w:space="0" w:color="auto"/>
            </w:tcBorders>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8" w:type="pct"/>
            <w:tcBorders>
              <w:top w:val="single" w:sz="4" w:space="0" w:color="auto"/>
            </w:tcBorders>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tcBorders>
              <w:top w:val="single" w:sz="4" w:space="0" w:color="auto"/>
            </w:tcBorders>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204" w:type="pct"/>
            <w:tcBorders>
              <w:top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431"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8"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4"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204"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5 – INK455</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Governance for Growth Phase 2</w:t>
            </w:r>
          </w:p>
        </w:tc>
        <w:tc>
          <w:tcPr>
            <w:tcW w:w="593" w:type="pct"/>
            <w:vMerge w:val="restart"/>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32,000,000</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2012-2018</w:t>
            </w:r>
            <w:r w:rsidRPr="00880004">
              <w:rPr>
                <w:rFonts w:asciiTheme="minorHAnsi" w:eastAsia="Times New Roman" w:hAnsiTheme="minorHAnsi"/>
                <w:iCs/>
                <w:szCs w:val="17"/>
                <w:lang w:eastAsia="en-US"/>
              </w:rPr>
              <w:t xml:space="preserve"> </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auto"/>
            <w:noWrap/>
          </w:tcPr>
          <w:p w:rsidR="008F2EE9" w:rsidRPr="00CF4624" w:rsidRDefault="008F2EE9" w:rsidP="00F40C0D">
            <w:pPr>
              <w:keepLines/>
              <w:spacing w:before="40" w:after="40" w:line="200" w:lineRule="atLeast"/>
              <w:jc w:val="center"/>
              <w:rPr>
                <w:rFonts w:asciiTheme="minorHAnsi" w:eastAsia="Times New Roman" w:hAnsiTheme="minorHAnsi"/>
                <w:iCs/>
                <w:szCs w:val="17"/>
                <w:lang w:eastAsia="en-US"/>
              </w:rPr>
            </w:pPr>
            <w:r w:rsidRPr="00CF4624">
              <w:rPr>
                <w:rFonts w:asciiTheme="minorHAnsi" w:eastAsia="Times New Roman" w:hAnsiTheme="minorHAnsi"/>
                <w:iCs/>
                <w:color w:val="FF0000"/>
                <w:szCs w:val="17"/>
                <w:lang w:eastAsia="en-US"/>
              </w:rPr>
              <w:t>See FAQC Rating</w:t>
            </w:r>
          </w:p>
        </w:tc>
        <w:tc>
          <w:tcPr>
            <w:tcW w:w="431" w:type="pct"/>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204" w:type="pct"/>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431"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204"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6 – INK721</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Port Vila Urban Development Project</w:t>
            </w:r>
          </w:p>
        </w:tc>
        <w:tc>
          <w:tcPr>
            <w:tcW w:w="593"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$26,500,000</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2012-2018</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31"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8"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FFFF0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204"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31"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8" w:type="pct"/>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4"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8" w:type="pct"/>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4" w:type="pct"/>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204"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val="restart"/>
            <w:tcBorders>
              <w:top w:val="single" w:sz="4" w:space="0" w:color="auto"/>
            </w:tcBorders>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7 – INK771</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Vanuatu Transport Sector Support Program Phase 2</w:t>
            </w:r>
          </w:p>
        </w:tc>
        <w:tc>
          <w:tcPr>
            <w:tcW w:w="593" w:type="pct"/>
            <w:vMerge w:val="restart"/>
            <w:tcBorders>
              <w:top w:val="single" w:sz="4" w:space="0" w:color="auto"/>
            </w:tcBorders>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33,083,280</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w:t>
            </w:r>
            <w:r>
              <w:rPr>
                <w:rFonts w:asciiTheme="minorHAnsi" w:eastAsia="Times New Roman" w:hAnsiTheme="minorHAnsi"/>
                <w:iCs/>
                <w:szCs w:val="17"/>
                <w:lang w:eastAsia="en-US"/>
              </w:rPr>
              <w:t>012-2018</w:t>
            </w:r>
            <w:r w:rsidRPr="00880004">
              <w:rPr>
                <w:rFonts w:asciiTheme="minorHAnsi" w:eastAsia="Times New Roman" w:hAnsiTheme="minorHAnsi"/>
                <w:iCs/>
                <w:szCs w:val="17"/>
                <w:lang w:eastAsia="en-US"/>
              </w:rPr>
              <w:t xml:space="preserve"> </w:t>
            </w:r>
          </w:p>
        </w:tc>
        <w:tc>
          <w:tcPr>
            <w:tcW w:w="355" w:type="pct"/>
            <w:tcBorders>
              <w:top w:val="single" w:sz="4" w:space="0" w:color="auto"/>
            </w:tcBorders>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tcBorders>
              <w:top w:val="single" w:sz="4" w:space="0" w:color="auto"/>
            </w:tcBorders>
            <w:shd w:val="clear" w:color="auto" w:fill="auto"/>
            <w:noWrap/>
          </w:tcPr>
          <w:p w:rsidR="008F2EE9" w:rsidRPr="00CF4624" w:rsidRDefault="008F2EE9" w:rsidP="00F40C0D">
            <w:pPr>
              <w:keepLines/>
              <w:spacing w:before="40" w:after="40" w:line="200" w:lineRule="atLeast"/>
              <w:jc w:val="center"/>
              <w:rPr>
                <w:rFonts w:asciiTheme="minorHAnsi" w:eastAsia="Times New Roman" w:hAnsiTheme="minorHAnsi"/>
                <w:iCs/>
                <w:szCs w:val="17"/>
                <w:lang w:eastAsia="en-US"/>
              </w:rPr>
            </w:pPr>
            <w:r w:rsidRPr="00CF4624">
              <w:rPr>
                <w:rFonts w:asciiTheme="minorHAnsi" w:eastAsia="Times New Roman" w:hAnsiTheme="minorHAnsi"/>
                <w:iCs/>
                <w:color w:val="FF0000"/>
                <w:szCs w:val="17"/>
                <w:lang w:eastAsia="en-US"/>
              </w:rPr>
              <w:t xml:space="preserve">See FAQC Rating </w:t>
            </w:r>
          </w:p>
        </w:tc>
        <w:tc>
          <w:tcPr>
            <w:tcW w:w="431" w:type="pct"/>
            <w:tcBorders>
              <w:top w:val="single" w:sz="4" w:space="0" w:color="auto"/>
            </w:tcBorders>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top w:val="single" w:sz="4" w:space="0" w:color="auto"/>
            </w:tcBorders>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top w:val="single" w:sz="4" w:space="0" w:color="auto"/>
            </w:tcBorders>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top w:val="single" w:sz="4" w:space="0" w:color="auto"/>
            </w:tcBorders>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top w:val="single" w:sz="4" w:space="0" w:color="auto"/>
            </w:tcBorders>
            <w:shd w:val="clear" w:color="auto" w:fill="auto"/>
            <w:noWrap/>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204" w:type="pct"/>
            <w:tcBorders>
              <w:top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7"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431"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204"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bl>
    <w:p w:rsidR="001C7A30" w:rsidRDefault="001C7A30">
      <w:r>
        <w:br w:type="page"/>
      </w:r>
    </w:p>
    <w:tbl>
      <w:tblPr>
        <w:tblStyle w:val="APPR"/>
        <w:tblW w:w="5000" w:type="pct"/>
        <w:tblLook w:val="0000" w:firstRow="0" w:lastRow="0" w:firstColumn="0" w:lastColumn="0" w:noHBand="0" w:noVBand="0"/>
      </w:tblPr>
      <w:tblGrid>
        <w:gridCol w:w="2459"/>
        <w:gridCol w:w="1743"/>
        <w:gridCol w:w="1055"/>
        <w:gridCol w:w="3062"/>
        <w:gridCol w:w="1271"/>
        <w:gridCol w:w="1064"/>
        <w:gridCol w:w="1053"/>
        <w:gridCol w:w="1064"/>
        <w:gridCol w:w="1053"/>
        <w:gridCol w:w="636"/>
      </w:tblGrid>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lastRenderedPageBreak/>
              <w:t>Investment 8 – INL732</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Tropical Cyclone Pam Recovery Package</w:t>
            </w:r>
          </w:p>
        </w:tc>
        <w:tc>
          <w:tcPr>
            <w:tcW w:w="593" w:type="pct"/>
            <w:vMerge w:val="restart"/>
          </w:tcPr>
          <w:p w:rsidR="008F2EE9"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41,489,511</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2015-2018</w:t>
            </w:r>
            <w:r w:rsidRPr="00880004">
              <w:rPr>
                <w:rFonts w:asciiTheme="minorHAnsi" w:eastAsia="Times New Roman" w:hAnsiTheme="minorHAnsi"/>
                <w:iCs/>
                <w:szCs w:val="17"/>
                <w:lang w:eastAsia="en-US"/>
              </w:rPr>
              <w:t xml:space="preserve"> </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081391"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30"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C000"/>
            <w:noWrap/>
          </w:tcPr>
          <w:p w:rsidR="008F2EE9" w:rsidRPr="0098729D" w:rsidRDefault="00D641DE" w:rsidP="00622F99">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205" w:type="pct"/>
            <w:shd w:val="clear" w:color="auto" w:fill="auto"/>
          </w:tcPr>
          <w:p w:rsidR="008F2EE9" w:rsidRPr="00905E1D" w:rsidRDefault="008F2EE9" w:rsidP="00F40C0D">
            <w:pPr>
              <w:keepLines/>
              <w:spacing w:before="40" w:after="40" w:line="200" w:lineRule="atLeast"/>
              <w:jc w:val="center"/>
              <w:rPr>
                <w:rFonts w:asciiTheme="minorHAnsi" w:eastAsia="Times New Roman" w:hAnsiTheme="minorHAnsi"/>
                <w:b/>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30"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4"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FFC0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3</w:t>
            </w:r>
          </w:p>
        </w:tc>
        <w:tc>
          <w:tcPr>
            <w:tcW w:w="205"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9 – INL997</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Vanuatu Australia Policing &amp; Justice Program</w:t>
            </w:r>
          </w:p>
        </w:tc>
        <w:tc>
          <w:tcPr>
            <w:tcW w:w="593"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$24,310,000</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2016-2021</w:t>
            </w:r>
          </w:p>
        </w:tc>
        <w:tc>
          <w:tcPr>
            <w:tcW w:w="355" w:type="pct"/>
          </w:tcPr>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30" w:type="pct"/>
            <w:shd w:val="clear" w:color="auto" w:fill="FFC0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205"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Exempt AQC</w:t>
            </w:r>
          </w:p>
        </w:tc>
        <w:tc>
          <w:tcPr>
            <w:tcW w:w="430" w:type="pct"/>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205"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1049"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430"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bottom w:val="single" w:sz="4" w:space="0" w:color="auto"/>
            </w:tcBorders>
            <w:shd w:val="clear" w:color="auto" w:fill="auto"/>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205"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10 – INM038</w:t>
            </w:r>
          </w:p>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Vanuatu Skills for Economic Growth</w:t>
            </w:r>
          </w:p>
        </w:tc>
        <w:tc>
          <w:tcPr>
            <w:tcW w:w="593" w:type="pct"/>
            <w:vMerge w:val="restart"/>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21,282,554</w:t>
            </w:r>
            <w:r w:rsidRPr="00880004">
              <w:rPr>
                <w:rFonts w:asciiTheme="minorHAnsi" w:hAnsiTheme="minorHAnsi" w:cs="Franklin Gothic Book"/>
                <w:color w:val="000000"/>
                <w:szCs w:val="17"/>
              </w:rPr>
              <w:t xml:space="preserve"> </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w:t>
            </w:r>
            <w:r>
              <w:rPr>
                <w:rFonts w:asciiTheme="minorHAnsi" w:eastAsia="Times New Roman" w:hAnsiTheme="minorHAnsi"/>
                <w:iCs/>
                <w:szCs w:val="17"/>
                <w:lang w:eastAsia="en-US"/>
              </w:rPr>
              <w:t>16-2022</w:t>
            </w:r>
          </w:p>
        </w:tc>
        <w:tc>
          <w:tcPr>
            <w:tcW w:w="355" w:type="pct"/>
          </w:tcPr>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6</w:t>
            </w:r>
          </w:p>
        </w:tc>
        <w:tc>
          <w:tcPr>
            <w:tcW w:w="430"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92D050"/>
            <w:noWrap/>
          </w:tcPr>
          <w:p w:rsidR="008F2EE9" w:rsidRPr="0098729D" w:rsidRDefault="00E97B1C"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6</w:t>
            </w:r>
          </w:p>
        </w:tc>
        <w:tc>
          <w:tcPr>
            <w:tcW w:w="354"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205" w:type="pct"/>
            <w:shd w:val="clear" w:color="auto" w:fill="auto"/>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430"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8" w:type="pct"/>
            <w:tcBorders>
              <w:bottom w:val="single" w:sz="4" w:space="0" w:color="auto"/>
            </w:tcBorders>
            <w:shd w:val="clear" w:color="auto" w:fill="FFFF0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354"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8"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354" w:type="pct"/>
            <w:tcBorders>
              <w:bottom w:val="single" w:sz="4" w:space="0" w:color="auto"/>
            </w:tcBorders>
            <w:shd w:val="clear" w:color="auto" w:fill="92D050"/>
            <w:noWrap/>
          </w:tcPr>
          <w:p w:rsidR="008F2EE9" w:rsidRPr="0017474D" w:rsidRDefault="008F2EE9" w:rsidP="00F40C0D">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205"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11 – INM045</w:t>
            </w:r>
          </w:p>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Pacific Women - Vanuatu</w:t>
            </w:r>
          </w:p>
        </w:tc>
        <w:tc>
          <w:tcPr>
            <w:tcW w:w="593" w:type="pct"/>
            <w:vMerge w:val="restart"/>
          </w:tcPr>
          <w:p w:rsidR="008F2EE9"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$8,450,000</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2016-2021</w:t>
            </w:r>
          </w:p>
        </w:tc>
        <w:tc>
          <w:tcPr>
            <w:tcW w:w="355" w:type="pct"/>
          </w:tcPr>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2018 AQC</w:t>
            </w:r>
          </w:p>
        </w:tc>
        <w:tc>
          <w:tcPr>
            <w:tcW w:w="1049"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6</w:t>
            </w:r>
          </w:p>
        </w:tc>
        <w:tc>
          <w:tcPr>
            <w:tcW w:w="430" w:type="pct"/>
            <w:shd w:val="clear" w:color="auto" w:fill="92D050"/>
            <w:noWrap/>
          </w:tcPr>
          <w:p w:rsidR="008F2EE9" w:rsidRPr="0098729D" w:rsidRDefault="00E97B1C"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8"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358"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354"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205"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Exempt AQC</w:t>
            </w:r>
          </w:p>
        </w:tc>
        <w:tc>
          <w:tcPr>
            <w:tcW w:w="430"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205"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Borders>
              <w:top w:val="single" w:sz="4" w:space="0" w:color="auto"/>
            </w:tcBorders>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Investment 1</w:t>
            </w:r>
            <w:r>
              <w:rPr>
                <w:rFonts w:asciiTheme="minorHAnsi" w:eastAsia="Times New Roman" w:hAnsiTheme="minorHAnsi"/>
                <w:iCs/>
                <w:szCs w:val="17"/>
                <w:lang w:eastAsia="en-US"/>
              </w:rPr>
              <w:t>2 – INM393</w:t>
            </w:r>
          </w:p>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Governance for Growth Phase 3</w:t>
            </w:r>
          </w:p>
        </w:tc>
        <w:tc>
          <w:tcPr>
            <w:tcW w:w="593" w:type="pct"/>
            <w:vMerge w:val="restart"/>
            <w:tcBorders>
              <w:top w:val="single" w:sz="4" w:space="0" w:color="auto"/>
            </w:tcBorders>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20,000,000</w:t>
            </w:r>
            <w:r w:rsidRPr="00880004">
              <w:rPr>
                <w:rFonts w:asciiTheme="minorHAnsi" w:hAnsiTheme="minorHAnsi" w:cs="Franklin Gothic Book"/>
                <w:color w:val="000000"/>
                <w:szCs w:val="17"/>
              </w:rPr>
              <w:t xml:space="preserve"> </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2017-2021</w:t>
            </w:r>
            <w:r w:rsidRPr="00880004">
              <w:rPr>
                <w:rFonts w:asciiTheme="minorHAnsi" w:eastAsia="Times New Roman" w:hAnsiTheme="minorHAnsi"/>
                <w:iCs/>
                <w:szCs w:val="17"/>
                <w:lang w:eastAsia="en-US"/>
              </w:rPr>
              <w:t xml:space="preserve"> </w:t>
            </w:r>
          </w:p>
        </w:tc>
        <w:tc>
          <w:tcPr>
            <w:tcW w:w="355" w:type="pct"/>
            <w:tcBorders>
              <w:top w:val="single" w:sz="4" w:space="0" w:color="auto"/>
            </w:tcBorders>
          </w:tcPr>
          <w:p w:rsidR="008F2EE9" w:rsidRPr="005814F6" w:rsidRDefault="008F2EE9" w:rsidP="00F40C0D">
            <w:pPr>
              <w:keepLines/>
              <w:spacing w:before="40" w:after="40" w:line="200" w:lineRule="atLeast"/>
              <w:rPr>
                <w:rFonts w:asciiTheme="minorHAnsi" w:eastAsia="Times New Roman" w:hAnsiTheme="minorHAnsi"/>
                <w:b/>
                <w:iCs/>
                <w:szCs w:val="17"/>
                <w:lang w:eastAsia="en-US"/>
              </w:rPr>
            </w:pPr>
            <w:r w:rsidRPr="005814F6">
              <w:rPr>
                <w:rFonts w:asciiTheme="minorHAnsi" w:eastAsia="Times New Roman" w:hAnsiTheme="minorHAnsi"/>
                <w:b/>
                <w:iCs/>
                <w:szCs w:val="17"/>
                <w:lang w:eastAsia="en-US"/>
              </w:rPr>
              <w:t>2018 AQC</w:t>
            </w:r>
          </w:p>
        </w:tc>
        <w:tc>
          <w:tcPr>
            <w:tcW w:w="1049" w:type="pct"/>
            <w:tcBorders>
              <w:top w:val="single" w:sz="4" w:space="0" w:color="auto"/>
            </w:tcBorders>
            <w:shd w:val="clear" w:color="auto" w:fill="auto"/>
            <w:noWrap/>
          </w:tcPr>
          <w:p w:rsidR="008F2EE9" w:rsidRPr="005814F6" w:rsidRDefault="00D06F9E" w:rsidP="00F40C0D">
            <w:pPr>
              <w:keepLines/>
              <w:spacing w:before="40" w:after="40" w:line="200" w:lineRule="atLeast"/>
              <w:jc w:val="center"/>
              <w:rPr>
                <w:rFonts w:asciiTheme="minorHAnsi" w:eastAsia="Times New Roman" w:hAnsiTheme="minorHAnsi"/>
                <w:b/>
                <w:iCs/>
                <w:szCs w:val="17"/>
                <w:lang w:eastAsia="en-US"/>
              </w:rPr>
            </w:pPr>
            <w:r w:rsidRPr="00CF4624">
              <w:rPr>
                <w:rFonts w:asciiTheme="minorHAnsi" w:eastAsia="Times New Roman" w:hAnsiTheme="minorHAnsi"/>
                <w:iCs/>
                <w:color w:val="FF0000"/>
                <w:szCs w:val="17"/>
                <w:lang w:eastAsia="en-US"/>
              </w:rPr>
              <w:t>See FAQC Rating</w:t>
            </w:r>
          </w:p>
        </w:tc>
        <w:tc>
          <w:tcPr>
            <w:tcW w:w="430" w:type="pct"/>
            <w:tcBorders>
              <w:top w:val="single" w:sz="4" w:space="0" w:color="auto"/>
            </w:tcBorders>
            <w:shd w:val="clear" w:color="auto" w:fill="auto"/>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top w:val="single" w:sz="4" w:space="0" w:color="auto"/>
            </w:tcBorders>
            <w:shd w:val="clear" w:color="auto" w:fill="auto"/>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top w:val="single" w:sz="4" w:space="0" w:color="auto"/>
            </w:tcBorders>
            <w:shd w:val="clear" w:color="auto" w:fill="auto"/>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8" w:type="pct"/>
            <w:tcBorders>
              <w:top w:val="single" w:sz="4" w:space="0" w:color="auto"/>
            </w:tcBorders>
            <w:shd w:val="clear" w:color="auto" w:fill="auto"/>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354" w:type="pct"/>
            <w:tcBorders>
              <w:top w:val="single" w:sz="4" w:space="0" w:color="auto"/>
            </w:tcBorders>
            <w:shd w:val="clear" w:color="auto" w:fill="auto"/>
            <w:noWrap/>
          </w:tcPr>
          <w:p w:rsidR="008F2EE9" w:rsidRPr="005814F6" w:rsidRDefault="008F2EE9" w:rsidP="00F40C0D">
            <w:pPr>
              <w:keepLines/>
              <w:spacing w:before="40" w:after="40" w:line="200" w:lineRule="atLeast"/>
              <w:jc w:val="center"/>
              <w:rPr>
                <w:rFonts w:asciiTheme="minorHAnsi" w:eastAsia="Times New Roman" w:hAnsiTheme="minorHAnsi"/>
                <w:b/>
                <w:iCs/>
                <w:szCs w:val="17"/>
                <w:lang w:eastAsia="en-US"/>
              </w:rPr>
            </w:pPr>
          </w:p>
        </w:tc>
        <w:tc>
          <w:tcPr>
            <w:tcW w:w="205" w:type="pct"/>
            <w:tcBorders>
              <w:top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Borders>
              <w:bottom w:val="single" w:sz="4" w:space="0" w:color="auto"/>
            </w:tcBorders>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430"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8"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54" w:type="pct"/>
            <w:tcBorders>
              <w:bottom w:val="single" w:sz="4" w:space="0" w:color="auto"/>
            </w:tcBorders>
            <w:shd w:val="clear" w:color="auto" w:fill="auto"/>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205" w:type="pct"/>
            <w:tcBorders>
              <w:bottom w:val="single" w:sz="4" w:space="0" w:color="auto"/>
            </w:tcBorders>
            <w:shd w:val="clear" w:color="auto" w:fill="auto"/>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r w:rsidR="00762494"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val="restart"/>
          </w:tcPr>
          <w:p w:rsidR="00C169AA" w:rsidRDefault="00C169AA" w:rsidP="00C169AA">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sidR="00CE5DF5">
              <w:rPr>
                <w:rFonts w:asciiTheme="minorHAnsi" w:eastAsia="Times New Roman" w:hAnsiTheme="minorHAnsi"/>
                <w:iCs/>
                <w:szCs w:val="17"/>
                <w:lang w:eastAsia="en-US"/>
              </w:rPr>
              <w:t>13</w:t>
            </w:r>
            <w:r>
              <w:rPr>
                <w:rFonts w:asciiTheme="minorHAnsi" w:eastAsia="Times New Roman" w:hAnsiTheme="minorHAnsi"/>
                <w:iCs/>
                <w:szCs w:val="17"/>
                <w:lang w:eastAsia="en-US"/>
              </w:rPr>
              <w:t xml:space="preserve"> – INM402</w:t>
            </w:r>
          </w:p>
          <w:p w:rsidR="00C169AA" w:rsidRPr="00465512" w:rsidRDefault="00C169AA" w:rsidP="00C169AA">
            <w:pPr>
              <w:keepLines/>
              <w:spacing w:before="40" w:after="40" w:line="200" w:lineRule="atLeast"/>
              <w:rPr>
                <w:rFonts w:asciiTheme="minorHAnsi" w:eastAsia="Times New Roman" w:hAnsiTheme="minorHAnsi"/>
                <w:b/>
                <w:iCs/>
                <w:szCs w:val="17"/>
                <w:lang w:eastAsia="en-US"/>
              </w:rPr>
            </w:pPr>
            <w:r w:rsidRPr="00465512">
              <w:rPr>
                <w:rFonts w:asciiTheme="minorHAnsi" w:eastAsia="Times New Roman" w:hAnsiTheme="minorHAnsi"/>
                <w:b/>
                <w:iCs/>
                <w:szCs w:val="17"/>
                <w:lang w:eastAsia="en-US"/>
              </w:rPr>
              <w:t>Volcano Response &amp; Recovery</w:t>
            </w:r>
          </w:p>
        </w:tc>
        <w:tc>
          <w:tcPr>
            <w:tcW w:w="593" w:type="pct"/>
            <w:vMerge w:val="restart"/>
          </w:tcPr>
          <w:p w:rsidR="00C169AA" w:rsidRDefault="00C169AA" w:rsidP="00C169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$3,550,000</w:t>
            </w:r>
          </w:p>
          <w:p w:rsidR="00C169AA" w:rsidRPr="00880004" w:rsidRDefault="00C169AA" w:rsidP="00C169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2017-2018</w:t>
            </w:r>
          </w:p>
        </w:tc>
        <w:tc>
          <w:tcPr>
            <w:tcW w:w="355" w:type="pct"/>
          </w:tcPr>
          <w:p w:rsidR="00C169AA" w:rsidRPr="00CF4624" w:rsidRDefault="00C169AA" w:rsidP="00C169AA">
            <w:pPr>
              <w:keepLines/>
              <w:spacing w:before="40" w:after="40" w:line="200" w:lineRule="atLeast"/>
              <w:rPr>
                <w:rFonts w:asciiTheme="minorHAnsi" w:eastAsia="Times New Roman" w:hAnsiTheme="minorHAnsi"/>
                <w:b/>
                <w:iCs/>
                <w:szCs w:val="17"/>
                <w:lang w:eastAsia="en-US"/>
              </w:rPr>
            </w:pPr>
            <w:r w:rsidRPr="00CF4624">
              <w:rPr>
                <w:rFonts w:asciiTheme="minorHAnsi" w:eastAsia="Times New Roman" w:hAnsiTheme="minorHAnsi"/>
                <w:b/>
                <w:iCs/>
                <w:szCs w:val="17"/>
                <w:lang w:eastAsia="en-US"/>
              </w:rPr>
              <w:t>2018 AQC</w:t>
            </w:r>
          </w:p>
        </w:tc>
        <w:tc>
          <w:tcPr>
            <w:tcW w:w="1049" w:type="pct"/>
            <w:shd w:val="clear" w:color="auto" w:fill="auto"/>
            <w:noWrap/>
          </w:tcPr>
          <w:p w:rsidR="00C169AA" w:rsidRPr="00465512" w:rsidRDefault="00762494" w:rsidP="00C169AA">
            <w:pPr>
              <w:keepLines/>
              <w:spacing w:before="40" w:after="40" w:line="200" w:lineRule="atLeast"/>
              <w:jc w:val="center"/>
              <w:rPr>
                <w:rFonts w:asciiTheme="minorHAnsi" w:eastAsia="Times New Roman" w:hAnsiTheme="minorHAnsi"/>
                <w:b/>
                <w:iCs/>
                <w:szCs w:val="17"/>
                <w:lang w:eastAsia="en-US"/>
              </w:rPr>
            </w:pPr>
            <w:r w:rsidRPr="00CF4624">
              <w:rPr>
                <w:rFonts w:asciiTheme="minorHAnsi" w:eastAsia="Times New Roman" w:hAnsiTheme="minorHAnsi"/>
                <w:iCs/>
                <w:color w:val="FF0000"/>
                <w:szCs w:val="17"/>
                <w:lang w:eastAsia="en-US"/>
              </w:rPr>
              <w:t xml:space="preserve">See </w:t>
            </w:r>
            <w:r w:rsidR="00D06F9E">
              <w:rPr>
                <w:rFonts w:asciiTheme="minorHAnsi" w:eastAsia="Times New Roman" w:hAnsiTheme="minorHAnsi"/>
                <w:iCs/>
                <w:color w:val="FF0000"/>
                <w:szCs w:val="17"/>
                <w:lang w:eastAsia="en-US"/>
              </w:rPr>
              <w:t>F</w:t>
            </w:r>
            <w:r w:rsidRPr="00CF4624">
              <w:rPr>
                <w:rFonts w:asciiTheme="minorHAnsi" w:eastAsia="Times New Roman" w:hAnsiTheme="minorHAnsi"/>
                <w:iCs/>
                <w:color w:val="FF0000"/>
                <w:szCs w:val="17"/>
                <w:lang w:eastAsia="en-US"/>
              </w:rPr>
              <w:t>AQC Rating</w:t>
            </w:r>
          </w:p>
        </w:tc>
        <w:tc>
          <w:tcPr>
            <w:tcW w:w="430" w:type="pct"/>
            <w:shd w:val="clear" w:color="auto" w:fill="auto"/>
            <w:noWrap/>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c>
          <w:tcPr>
            <w:tcW w:w="358" w:type="pct"/>
            <w:shd w:val="clear" w:color="auto" w:fill="auto"/>
            <w:noWrap/>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c>
          <w:tcPr>
            <w:tcW w:w="354" w:type="pct"/>
            <w:shd w:val="clear" w:color="auto" w:fill="auto"/>
            <w:noWrap/>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c>
          <w:tcPr>
            <w:tcW w:w="358" w:type="pct"/>
            <w:shd w:val="clear" w:color="auto" w:fill="auto"/>
            <w:noWrap/>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c>
          <w:tcPr>
            <w:tcW w:w="354" w:type="pct"/>
            <w:shd w:val="clear" w:color="auto" w:fill="auto"/>
            <w:noWrap/>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c>
          <w:tcPr>
            <w:tcW w:w="205" w:type="pct"/>
            <w:shd w:val="clear" w:color="auto" w:fill="auto"/>
          </w:tcPr>
          <w:p w:rsidR="00C169AA" w:rsidRPr="00880004" w:rsidRDefault="00C169AA" w:rsidP="00C169AA">
            <w:pPr>
              <w:keepLines/>
              <w:spacing w:before="40" w:after="40" w:line="200" w:lineRule="atLeast"/>
              <w:jc w:val="center"/>
              <w:rPr>
                <w:rFonts w:asciiTheme="minorHAnsi" w:eastAsia="Times New Roman" w:hAnsiTheme="minorHAnsi"/>
                <w:iCs/>
                <w:szCs w:val="17"/>
                <w:lang w:eastAsia="en-US"/>
              </w:rPr>
            </w:pPr>
          </w:p>
        </w:tc>
      </w:tr>
      <w:tr w:rsidR="008F2EE9" w:rsidRPr="00880004" w:rsidTr="001C7A30">
        <w:trPr>
          <w:cnfStyle w:val="000000010000" w:firstRow="0" w:lastRow="0" w:firstColumn="0" w:lastColumn="0" w:oddVBand="0" w:evenVBand="0" w:oddHBand="0" w:evenHBand="1" w:firstRowFirstColumn="0" w:firstRowLastColumn="0" w:lastRowFirstColumn="0" w:lastRowLastColumn="0"/>
          <w:trHeight w:val="284"/>
        </w:trPr>
        <w:tc>
          <w:tcPr>
            <w:tcW w:w="836"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593" w:type="pct"/>
            <w:vMerge/>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p>
        </w:tc>
        <w:tc>
          <w:tcPr>
            <w:tcW w:w="355" w:type="pct"/>
          </w:tcPr>
          <w:p w:rsidR="008F2EE9" w:rsidRPr="00880004"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80004">
              <w:rPr>
                <w:rFonts w:asciiTheme="minorHAnsi" w:eastAsia="Times New Roman" w:hAnsiTheme="minorHAnsi"/>
                <w:iCs/>
                <w:szCs w:val="17"/>
                <w:lang w:eastAsia="en-US"/>
              </w:rPr>
              <w:t xml:space="preserve"> AQC</w:t>
            </w:r>
          </w:p>
        </w:tc>
        <w:tc>
          <w:tcPr>
            <w:tcW w:w="1049"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430"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8"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354" w:type="pct"/>
            <w:noWrap/>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c>
          <w:tcPr>
            <w:tcW w:w="205" w:type="pct"/>
          </w:tcPr>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p>
        </w:tc>
      </w:tr>
    </w:tbl>
    <w:p w:rsidR="008F2EE9" w:rsidRDefault="008F2EE9" w:rsidP="004E0264"/>
    <w:p w:rsidR="008F2EE9" w:rsidRDefault="008F2EE9" w:rsidP="004E0264"/>
    <w:p w:rsidR="008F2EE9" w:rsidRPr="00C61187" w:rsidRDefault="008F2EE9" w:rsidP="004E0264"/>
    <w:p w:rsidR="00400B0F" w:rsidRPr="00C61187" w:rsidRDefault="00400B0F" w:rsidP="00400B0F">
      <w:pPr>
        <w:rPr>
          <w:iCs/>
        </w:rPr>
      </w:pPr>
    </w:p>
    <w:p w:rsidR="00A56F14" w:rsidRDefault="00A56F14" w:rsidP="00400B0F">
      <w:pPr>
        <w:keepNext/>
        <w:numPr>
          <w:ilvl w:val="2"/>
          <w:numId w:val="0"/>
        </w:numPr>
        <w:spacing w:before="240" w:after="120"/>
        <w:outlineLvl w:val="2"/>
        <w:rPr>
          <w:rFonts w:ascii="Helvetica" w:eastAsia="Times New Roman" w:hAnsi="Helvetica" w:cs="Arial"/>
          <w:b/>
          <w:color w:val="124486"/>
          <w:kern w:val="28"/>
          <w:lang w:eastAsia="zh-CN"/>
        </w:rPr>
      </w:pPr>
    </w:p>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A56F14" w:rsidRDefault="00A56F14" w:rsidP="00A56F14"/>
    <w:p w:rsidR="00400B0F" w:rsidRDefault="00400B0F">
      <w:pPr>
        <w:suppressAutoHyphens w:val="0"/>
        <w:spacing w:before="0" w:after="120" w:line="440" w:lineRule="atLeast"/>
      </w:pPr>
      <w:r>
        <w:br w:type="page"/>
      </w:r>
    </w:p>
    <w:p w:rsidR="00D641DE" w:rsidRPr="004E0264" w:rsidRDefault="00D641DE" w:rsidP="00D641DE">
      <w:pPr>
        <w:keepNext/>
        <w:numPr>
          <w:ilvl w:val="2"/>
          <w:numId w:val="0"/>
        </w:numPr>
        <w:spacing w:before="240" w:after="120"/>
        <w:outlineLvl w:val="2"/>
      </w:pPr>
      <w:r w:rsidRPr="00784031">
        <w:rPr>
          <w:rFonts w:asciiTheme="majorHAnsi" w:eastAsiaTheme="majorEastAsia" w:hAnsiTheme="majorHAnsi" w:cstheme="majorBidi"/>
          <w:caps/>
          <w:sz w:val="38"/>
          <w:szCs w:val="26"/>
        </w:rPr>
        <w:lastRenderedPageBreak/>
        <w:t>HAQC ratings</w:t>
      </w:r>
      <w:r w:rsidRPr="00C61187">
        <w:rPr>
          <w:rFonts w:ascii="Franklin Gothic Book" w:eastAsia="Times New Roman" w:hAnsi="Franklin Gothic Book"/>
          <w:sz w:val="21"/>
        </w:rPr>
        <w:t xml:space="preserve"> </w:t>
      </w:r>
    </w:p>
    <w:p w:rsidR="00D641DE" w:rsidRPr="00C61187" w:rsidRDefault="00D641DE" w:rsidP="00D641DE">
      <w:r w:rsidRPr="00C61187">
        <w:t xml:space="preserve">Humanitarian response AQCs assess performance over the previous 12 months (ratings are not compared to previous years). </w:t>
      </w:r>
    </w:p>
    <w:tbl>
      <w:tblPr>
        <w:tblStyle w:val="APPR"/>
        <w:tblW w:w="4579" w:type="pct"/>
        <w:tblLook w:val="0000" w:firstRow="0" w:lastRow="0" w:firstColumn="0" w:lastColumn="0" w:noHBand="0" w:noVBand="0"/>
      </w:tblPr>
      <w:tblGrid>
        <w:gridCol w:w="2585"/>
        <w:gridCol w:w="1875"/>
        <w:gridCol w:w="1194"/>
        <w:gridCol w:w="1189"/>
        <w:gridCol w:w="127"/>
        <w:gridCol w:w="1209"/>
        <w:gridCol w:w="1189"/>
        <w:gridCol w:w="125"/>
        <w:gridCol w:w="1207"/>
        <w:gridCol w:w="1189"/>
        <w:gridCol w:w="126"/>
        <w:gridCol w:w="1100"/>
        <w:gridCol w:w="127"/>
      </w:tblGrid>
      <w:tr w:rsidR="00D641DE" w:rsidRPr="00C61187" w:rsidTr="0026667E">
        <w:trPr>
          <w:gridAfter w:val="1"/>
          <w:cnfStyle w:val="000000010000" w:firstRow="0" w:lastRow="0" w:firstColumn="0" w:lastColumn="0" w:oddVBand="0" w:evenVBand="0" w:oddHBand="0" w:evenHBand="1" w:firstRowFirstColumn="0" w:firstRowLastColumn="0" w:lastRowFirstColumn="0" w:lastRowLastColumn="0"/>
          <w:wAfter w:w="21" w:type="pct"/>
          <w:trHeight w:val="1413"/>
        </w:trPr>
        <w:tc>
          <w:tcPr>
            <w:tcW w:w="969" w:type="pct"/>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700224" behindDoc="0" locked="0" layoutInCell="1" allowOverlap="1" wp14:anchorId="5136064C" wp14:editId="209C6B27">
                  <wp:simplePos x="0" y="0"/>
                  <wp:positionH relativeFrom="column">
                    <wp:posOffset>0</wp:posOffset>
                  </wp:positionH>
                  <wp:positionV relativeFrom="paragraph">
                    <wp:posOffset>0</wp:posOffset>
                  </wp:positionV>
                  <wp:extent cx="1857375" cy="228600"/>
                  <wp:effectExtent l="0" t="0" r="9525" b="0"/>
                  <wp:wrapNone/>
                  <wp:docPr id="71" name="Picture 7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704" w:type="pct"/>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44" w:type="pct"/>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w:t>
            </w:r>
            <w:r w:rsidRPr="00880004">
              <w:rPr>
                <w:rFonts w:asciiTheme="minorHAnsi" w:eastAsia="Times New Roman" w:hAnsiTheme="minorHAnsi"/>
                <w:b/>
                <w:iCs/>
                <w:szCs w:val="17"/>
                <w:lang w:eastAsia="en-US"/>
              </w:rPr>
              <w:t>elevance</w:t>
            </w:r>
          </w:p>
        </w:tc>
        <w:tc>
          <w:tcPr>
            <w:tcW w:w="442" w:type="pct"/>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r w:rsidRPr="00880004" w:rsidDel="00762494">
              <w:rPr>
                <w:rFonts w:asciiTheme="minorHAnsi" w:eastAsia="Times New Roman" w:hAnsiTheme="minorHAnsi"/>
                <w:b/>
                <w:iCs/>
                <w:szCs w:val="17"/>
                <w:lang w:eastAsia="en-US"/>
              </w:rPr>
              <w:t xml:space="preserve"> </w:t>
            </w:r>
          </w:p>
        </w:tc>
        <w:tc>
          <w:tcPr>
            <w:tcW w:w="488" w:type="pct"/>
            <w:gridSpan w:val="2"/>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w:t>
            </w:r>
            <w:r w:rsidRPr="00880004">
              <w:rPr>
                <w:rFonts w:asciiTheme="minorHAnsi" w:eastAsia="Times New Roman" w:hAnsiTheme="minorHAnsi"/>
                <w:b/>
                <w:iCs/>
                <w:szCs w:val="17"/>
                <w:lang w:eastAsia="en-US"/>
              </w:rPr>
              <w:t>fficiency</w:t>
            </w:r>
          </w:p>
        </w:tc>
        <w:tc>
          <w:tcPr>
            <w:tcW w:w="442" w:type="pct"/>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r w:rsidRPr="00880004" w:rsidDel="00762494">
              <w:rPr>
                <w:rFonts w:asciiTheme="minorHAnsi" w:eastAsia="Times New Roman" w:hAnsiTheme="minorHAnsi"/>
                <w:b/>
                <w:iCs/>
                <w:szCs w:val="17"/>
                <w:lang w:eastAsia="en-US"/>
              </w:rPr>
              <w:t xml:space="preserve"> </w:t>
            </w:r>
          </w:p>
        </w:tc>
        <w:tc>
          <w:tcPr>
            <w:tcW w:w="486" w:type="pct"/>
            <w:gridSpan w:val="2"/>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Gender Equality</w:t>
            </w:r>
          </w:p>
        </w:tc>
        <w:tc>
          <w:tcPr>
            <w:tcW w:w="442" w:type="pct"/>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Protection</w:t>
            </w:r>
          </w:p>
        </w:tc>
        <w:tc>
          <w:tcPr>
            <w:tcW w:w="445" w:type="pct"/>
            <w:gridSpan w:val="2"/>
            <w:textDirection w:val="btLr"/>
          </w:tcPr>
          <w:p w:rsidR="00D641DE" w:rsidRPr="00880004" w:rsidRDefault="00D641DE" w:rsidP="0026667E">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Connectedness</w:t>
            </w:r>
          </w:p>
        </w:tc>
      </w:tr>
      <w:tr w:rsidR="00D641DE" w:rsidRPr="00C61187" w:rsidTr="0026667E">
        <w:trPr>
          <w:cnfStyle w:val="000000010000" w:firstRow="0" w:lastRow="0" w:firstColumn="0" w:lastColumn="0" w:oddVBand="0" w:evenVBand="0" w:oddHBand="0" w:evenHBand="1" w:firstRowFirstColumn="0" w:firstRowLastColumn="0" w:lastRowFirstColumn="0" w:lastRowLastColumn="0"/>
          <w:trHeight w:val="284"/>
        </w:trPr>
        <w:tc>
          <w:tcPr>
            <w:tcW w:w="969" w:type="pct"/>
          </w:tcPr>
          <w:p w:rsidR="00D641DE" w:rsidRDefault="00D641DE" w:rsidP="0026667E">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Pr>
                <w:rFonts w:asciiTheme="minorHAnsi" w:eastAsia="Times New Roman" w:hAnsiTheme="minorHAnsi"/>
                <w:iCs/>
                <w:szCs w:val="17"/>
                <w:lang w:eastAsia="en-US"/>
              </w:rPr>
              <w:t>1</w:t>
            </w:r>
            <w:r w:rsidR="00CE5DF5">
              <w:rPr>
                <w:rFonts w:asciiTheme="minorHAnsi" w:eastAsia="Times New Roman" w:hAnsiTheme="minorHAnsi"/>
                <w:iCs/>
                <w:szCs w:val="17"/>
                <w:lang w:eastAsia="en-US"/>
              </w:rPr>
              <w:t>3</w:t>
            </w:r>
            <w:r>
              <w:rPr>
                <w:rFonts w:asciiTheme="minorHAnsi" w:eastAsia="Times New Roman" w:hAnsiTheme="minorHAnsi"/>
                <w:iCs/>
                <w:szCs w:val="17"/>
                <w:lang w:eastAsia="en-US"/>
              </w:rPr>
              <w:t xml:space="preserve"> – INM402</w:t>
            </w:r>
          </w:p>
          <w:p w:rsidR="00D641DE" w:rsidRPr="00880004" w:rsidRDefault="00D641DE" w:rsidP="0026667E">
            <w:pPr>
              <w:keepLines/>
              <w:spacing w:before="40" w:after="40" w:line="200" w:lineRule="atLeast"/>
              <w:rPr>
                <w:rFonts w:asciiTheme="minorHAnsi" w:eastAsia="Times New Roman" w:hAnsiTheme="minorHAnsi"/>
                <w:iCs/>
                <w:szCs w:val="17"/>
                <w:lang w:eastAsia="en-US"/>
              </w:rPr>
            </w:pPr>
            <w:r w:rsidRPr="00465512">
              <w:rPr>
                <w:rFonts w:asciiTheme="minorHAnsi" w:eastAsia="Times New Roman" w:hAnsiTheme="minorHAnsi"/>
                <w:b/>
                <w:iCs/>
                <w:szCs w:val="17"/>
                <w:lang w:eastAsia="en-US"/>
              </w:rPr>
              <w:t>Volcano Response &amp; Recovery</w:t>
            </w:r>
          </w:p>
        </w:tc>
        <w:tc>
          <w:tcPr>
            <w:tcW w:w="704" w:type="pct"/>
          </w:tcPr>
          <w:p w:rsidR="00D641DE" w:rsidRDefault="00D641DE" w:rsidP="0026667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$3,550,000</w:t>
            </w:r>
          </w:p>
          <w:p w:rsidR="00D641DE" w:rsidRPr="00880004" w:rsidRDefault="00D641DE" w:rsidP="0026667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2017-2018</w:t>
            </w:r>
          </w:p>
        </w:tc>
        <w:tc>
          <w:tcPr>
            <w:tcW w:w="444" w:type="pct"/>
            <w:shd w:val="clear" w:color="auto" w:fill="92D050"/>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480" w:type="pct"/>
            <w:gridSpan w:val="2"/>
            <w:shd w:val="clear" w:color="auto" w:fill="92D050"/>
            <w:noWrap/>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450" w:type="pct"/>
            <w:shd w:val="clear" w:color="auto" w:fill="92D050"/>
            <w:noWrap/>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c>
          <w:tcPr>
            <w:tcW w:w="479" w:type="pct"/>
            <w:gridSpan w:val="2"/>
            <w:shd w:val="clear" w:color="auto" w:fill="FFFF00"/>
            <w:noWrap/>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49" w:type="pct"/>
            <w:shd w:val="clear" w:color="auto" w:fill="FFFF00"/>
            <w:noWrap/>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79" w:type="pct"/>
            <w:gridSpan w:val="2"/>
            <w:shd w:val="clear" w:color="auto" w:fill="FFFF00"/>
            <w:noWrap/>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4</w:t>
            </w:r>
          </w:p>
        </w:tc>
        <w:tc>
          <w:tcPr>
            <w:tcW w:w="440" w:type="pct"/>
            <w:gridSpan w:val="2"/>
            <w:shd w:val="clear" w:color="auto" w:fill="92D050"/>
          </w:tcPr>
          <w:p w:rsidR="00D641DE" w:rsidRPr="0017474D" w:rsidRDefault="00D641DE" w:rsidP="0026667E">
            <w:pPr>
              <w:keepLines/>
              <w:spacing w:before="40" w:after="40" w:line="200" w:lineRule="atLeast"/>
              <w:jc w:val="center"/>
              <w:rPr>
                <w:rFonts w:asciiTheme="minorHAnsi" w:eastAsia="Times New Roman" w:hAnsiTheme="minorHAnsi"/>
                <w:b/>
                <w:iCs/>
                <w:szCs w:val="17"/>
                <w:lang w:eastAsia="en-US"/>
              </w:rPr>
            </w:pPr>
            <w:r w:rsidRPr="0017474D">
              <w:rPr>
                <w:rFonts w:eastAsia="Times New Roman"/>
                <w:b/>
                <w:iCs/>
                <w:szCs w:val="17"/>
              </w:rPr>
              <w:t>5</w:t>
            </w:r>
          </w:p>
        </w:tc>
      </w:tr>
    </w:tbl>
    <w:p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t>FAQC ratings</w:t>
      </w:r>
      <w:r w:rsidRPr="00C61187">
        <w:rPr>
          <w:rFonts w:ascii="Helvetica" w:eastAsia="Times New Roman" w:hAnsi="Helvetica" w:cs="Arial"/>
          <w:b/>
          <w:color w:val="124486"/>
          <w:kern w:val="28"/>
          <w:lang w:eastAsia="zh-CN"/>
        </w:rPr>
        <w:t xml:space="preserve"> </w:t>
      </w:r>
    </w:p>
    <w:p w:rsidR="008F2EE9" w:rsidRPr="00C61187" w:rsidRDefault="008F2EE9" w:rsidP="008F2EE9">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665"/>
        <w:gridCol w:w="1932"/>
        <w:gridCol w:w="1234"/>
        <w:gridCol w:w="1231"/>
        <w:gridCol w:w="1234"/>
        <w:gridCol w:w="1231"/>
        <w:gridCol w:w="1234"/>
        <w:gridCol w:w="1231"/>
        <w:gridCol w:w="1234"/>
        <w:gridCol w:w="1234"/>
      </w:tblGrid>
      <w:tr w:rsidR="008F2EE9" w:rsidRPr="00C61187" w:rsidTr="00F40C0D">
        <w:trPr>
          <w:cnfStyle w:val="000000010000" w:firstRow="0" w:lastRow="0" w:firstColumn="0" w:lastColumn="0" w:oddVBand="0" w:evenVBand="0" w:oddHBand="0" w:evenHBand="1" w:firstRowFirstColumn="0" w:firstRowLastColumn="0" w:lastRowFirstColumn="0" w:lastRowLastColumn="0"/>
          <w:trHeight w:val="1505"/>
        </w:trPr>
        <w:tc>
          <w:tcPr>
            <w:tcW w:w="907" w:type="pct"/>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96128" behindDoc="0" locked="0" layoutInCell="1" allowOverlap="1" wp14:anchorId="2BC76CF8" wp14:editId="1CAC299B">
                  <wp:simplePos x="0" y="0"/>
                  <wp:positionH relativeFrom="column">
                    <wp:posOffset>0</wp:posOffset>
                  </wp:positionH>
                  <wp:positionV relativeFrom="paragraph">
                    <wp:posOffset>0</wp:posOffset>
                  </wp:positionV>
                  <wp:extent cx="1857375" cy="228600"/>
                  <wp:effectExtent l="0" t="0" r="9525" b="0"/>
                  <wp:wrapNone/>
                  <wp:docPr id="55" name="Picture 5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9"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7"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416"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7"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6"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7"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6" w:type="pct"/>
            <w:noWrap/>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7"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12" w:type="pct"/>
            <w:textDirection w:val="btLr"/>
          </w:tcPr>
          <w:p w:rsidR="008F2EE9" w:rsidRPr="00880004" w:rsidRDefault="008F2EE9" w:rsidP="00F40C0D">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8F2EE9" w:rsidRPr="00C61187" w:rsidTr="00622F99">
        <w:trPr>
          <w:cnfStyle w:val="000000010000" w:firstRow="0" w:lastRow="0" w:firstColumn="0" w:lastColumn="0" w:oddVBand="0" w:evenVBand="0" w:oddHBand="0" w:evenHBand="1" w:firstRowFirstColumn="0" w:firstRowLastColumn="0" w:lastRowFirstColumn="0" w:lastRowLastColumn="0"/>
          <w:trHeight w:val="284"/>
        </w:trPr>
        <w:tc>
          <w:tcPr>
            <w:tcW w:w="907" w:type="pct"/>
          </w:tcPr>
          <w:p w:rsidR="008F2EE9" w:rsidRDefault="008F2EE9" w:rsidP="00F40C0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w:t>
            </w:r>
            <w:r w:rsidR="00CE5DF5">
              <w:rPr>
                <w:rFonts w:asciiTheme="minorHAnsi" w:eastAsia="Times New Roman" w:hAnsiTheme="minorHAnsi"/>
                <w:iCs/>
                <w:szCs w:val="17"/>
                <w:lang w:eastAsia="en-US"/>
              </w:rPr>
              <w:t>5</w:t>
            </w:r>
            <w:r>
              <w:rPr>
                <w:rFonts w:asciiTheme="minorHAnsi" w:eastAsia="Times New Roman" w:hAnsiTheme="minorHAnsi"/>
                <w:iCs/>
                <w:szCs w:val="17"/>
                <w:lang w:eastAsia="en-US"/>
              </w:rPr>
              <w:t xml:space="preserve"> – INK455</w:t>
            </w:r>
          </w:p>
          <w:p w:rsidR="008F2EE9" w:rsidRPr="00905E1D" w:rsidRDefault="008F2EE9" w:rsidP="00F40C0D">
            <w:pPr>
              <w:keepLines/>
              <w:spacing w:before="40" w:after="40" w:line="200" w:lineRule="atLeast"/>
              <w:rPr>
                <w:rFonts w:asciiTheme="minorHAnsi" w:eastAsia="Times New Roman" w:hAnsiTheme="minorHAnsi"/>
                <w:b/>
                <w:iCs/>
                <w:szCs w:val="17"/>
                <w:lang w:eastAsia="en-US"/>
              </w:rPr>
            </w:pPr>
            <w:r w:rsidRPr="00905E1D">
              <w:rPr>
                <w:rFonts w:asciiTheme="minorHAnsi" w:eastAsia="Times New Roman" w:hAnsiTheme="minorHAnsi"/>
                <w:b/>
                <w:iCs/>
                <w:szCs w:val="17"/>
                <w:lang w:eastAsia="en-US"/>
              </w:rPr>
              <w:t>Governance for Growth Phase 2</w:t>
            </w:r>
          </w:p>
        </w:tc>
        <w:tc>
          <w:tcPr>
            <w:tcW w:w="659" w:type="pct"/>
          </w:tcPr>
          <w:p w:rsidR="008F2EE9" w:rsidRPr="00880004" w:rsidRDefault="008F2EE9" w:rsidP="00F40C0D">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32,000,000</w:t>
            </w:r>
            <w:r w:rsidRPr="00880004">
              <w:rPr>
                <w:rFonts w:asciiTheme="minorHAnsi" w:hAnsiTheme="minorHAnsi" w:cs="Franklin Gothic Book"/>
                <w:color w:val="000000"/>
                <w:szCs w:val="17"/>
              </w:rPr>
              <w:t xml:space="preserve"> </w:t>
            </w:r>
            <w:r>
              <w:rPr>
                <w:rFonts w:asciiTheme="minorHAnsi" w:hAnsiTheme="minorHAnsi" w:cs="Franklin Gothic Book"/>
                <w:color w:val="000000"/>
                <w:szCs w:val="17"/>
              </w:rPr>
              <w:t xml:space="preserve">    </w:t>
            </w:r>
          </w:p>
          <w:p w:rsidR="008F2EE9" w:rsidRPr="00880004" w:rsidRDefault="008F2EE9" w:rsidP="00F40C0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2012-2018</w:t>
            </w:r>
            <w:r w:rsidRPr="00880004">
              <w:rPr>
                <w:rFonts w:asciiTheme="minorHAnsi" w:eastAsia="Times New Roman" w:hAnsiTheme="minorHAnsi"/>
                <w:iCs/>
                <w:szCs w:val="17"/>
                <w:lang w:eastAsia="en-US"/>
              </w:rPr>
              <w:t xml:space="preserve"> </w:t>
            </w:r>
          </w:p>
        </w:tc>
        <w:tc>
          <w:tcPr>
            <w:tcW w:w="417" w:type="pct"/>
            <w:shd w:val="clear" w:color="auto" w:fill="FFFF00"/>
            <w:noWrap/>
          </w:tcPr>
          <w:p w:rsidR="008F2EE9" w:rsidRPr="0098729D" w:rsidRDefault="006E42E7"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16" w:type="pct"/>
            <w:shd w:val="clear" w:color="auto" w:fill="92D050"/>
            <w:noWrap/>
          </w:tcPr>
          <w:p w:rsidR="008F2EE9" w:rsidRPr="0098729D" w:rsidRDefault="006E42E7"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17" w:type="pct"/>
            <w:shd w:val="clear" w:color="auto" w:fill="92D05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5</w:t>
            </w:r>
          </w:p>
        </w:tc>
        <w:tc>
          <w:tcPr>
            <w:tcW w:w="416"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17"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16" w:type="pct"/>
            <w:shd w:val="clear" w:color="auto" w:fill="FFFF00"/>
            <w:noWrap/>
          </w:tcPr>
          <w:p w:rsidR="008F2EE9" w:rsidRPr="0098729D" w:rsidRDefault="008F2EE9"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4</w:t>
            </w:r>
          </w:p>
        </w:tc>
        <w:tc>
          <w:tcPr>
            <w:tcW w:w="417" w:type="pct"/>
            <w:shd w:val="clear" w:color="auto" w:fill="FFFF00"/>
          </w:tcPr>
          <w:p w:rsidR="008F2EE9" w:rsidRPr="0098729D" w:rsidRDefault="006E42E7" w:rsidP="00F40C0D">
            <w:pPr>
              <w:keepLines/>
              <w:spacing w:before="40" w:after="40" w:line="200" w:lineRule="atLeast"/>
              <w:jc w:val="center"/>
              <w:rPr>
                <w:rFonts w:asciiTheme="minorHAnsi" w:eastAsia="Times New Roman" w:hAnsiTheme="minorHAnsi"/>
                <w:b/>
                <w:iCs/>
                <w:szCs w:val="17"/>
                <w:lang w:eastAsia="en-US"/>
              </w:rPr>
            </w:pPr>
            <w:r w:rsidRPr="0098729D">
              <w:rPr>
                <w:rFonts w:eastAsia="Times New Roman"/>
                <w:b/>
                <w:iCs/>
                <w:szCs w:val="17"/>
              </w:rPr>
              <w:t>3</w:t>
            </w:r>
          </w:p>
        </w:tc>
        <w:tc>
          <w:tcPr>
            <w:tcW w:w="412" w:type="pct"/>
            <w:shd w:val="clear" w:color="auto" w:fill="auto"/>
          </w:tcPr>
          <w:p w:rsidR="008F2EE9" w:rsidRDefault="008F2EE9" w:rsidP="00F40C0D">
            <w:pPr>
              <w:keepLines/>
              <w:spacing w:before="40" w:after="40" w:line="200" w:lineRule="atLeast"/>
              <w:jc w:val="center"/>
              <w:rPr>
                <w:rFonts w:asciiTheme="minorHAnsi" w:eastAsia="Times New Roman" w:hAnsiTheme="minorHAnsi"/>
                <w:iCs/>
                <w:szCs w:val="17"/>
                <w:lang w:eastAsia="en-US"/>
              </w:rPr>
            </w:pPr>
          </w:p>
          <w:p w:rsidR="008F2EE9" w:rsidRPr="00880004" w:rsidRDefault="008F2EE9" w:rsidP="00F40C0D">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8F2EE9" w:rsidRPr="00905E1D" w:rsidTr="00F40C0D">
        <w:trPr>
          <w:cnfStyle w:val="000000010000" w:firstRow="0" w:lastRow="0" w:firstColumn="0" w:lastColumn="0" w:oddVBand="0" w:evenVBand="0" w:oddHBand="0" w:evenHBand="1" w:firstRowFirstColumn="0" w:firstRowLastColumn="0" w:lastRowFirstColumn="0" w:lastRowLastColumn="0"/>
          <w:trHeight w:val="284"/>
        </w:trPr>
        <w:tc>
          <w:tcPr>
            <w:tcW w:w="907" w:type="pct"/>
            <w:tcBorders>
              <w:top w:val="single" w:sz="4" w:space="0" w:color="auto"/>
            </w:tcBorders>
          </w:tcPr>
          <w:p w:rsidR="008F2EE9" w:rsidRDefault="00CE5DF5" w:rsidP="00F40C0D">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Investment 7</w:t>
            </w:r>
            <w:r w:rsidR="008F2EE9">
              <w:rPr>
                <w:rFonts w:asciiTheme="minorHAnsi" w:eastAsia="Times New Roman" w:hAnsiTheme="minorHAnsi"/>
                <w:iCs/>
                <w:szCs w:val="17"/>
              </w:rPr>
              <w:t xml:space="preserve"> – INK771</w:t>
            </w:r>
          </w:p>
          <w:p w:rsidR="008F2EE9" w:rsidRPr="00905E1D" w:rsidRDefault="008F2EE9" w:rsidP="00F40C0D">
            <w:pPr>
              <w:keepLines/>
              <w:spacing w:before="40" w:after="40" w:line="200" w:lineRule="atLeast"/>
              <w:rPr>
                <w:rFonts w:asciiTheme="minorHAnsi" w:eastAsia="Times New Roman" w:hAnsiTheme="minorHAnsi"/>
                <w:b/>
                <w:iCs/>
                <w:szCs w:val="17"/>
              </w:rPr>
            </w:pPr>
            <w:r w:rsidRPr="00905E1D">
              <w:rPr>
                <w:rFonts w:asciiTheme="minorHAnsi" w:eastAsia="Times New Roman" w:hAnsiTheme="minorHAnsi"/>
                <w:b/>
                <w:iCs/>
                <w:szCs w:val="17"/>
              </w:rPr>
              <w:t>Vanuatu Transport Sector Support Program Phase 2</w:t>
            </w:r>
          </w:p>
        </w:tc>
        <w:tc>
          <w:tcPr>
            <w:tcW w:w="659" w:type="pct"/>
            <w:tcBorders>
              <w:top w:val="single" w:sz="4" w:space="0" w:color="auto"/>
            </w:tcBorders>
          </w:tcPr>
          <w:p w:rsidR="008F2EE9" w:rsidRDefault="008F2EE9" w:rsidP="00F40C0D">
            <w:pPr>
              <w:autoSpaceDE w:val="0"/>
              <w:autoSpaceDN w:val="0"/>
              <w:adjustRightInd w:val="0"/>
              <w:rPr>
                <w:rFonts w:asciiTheme="minorHAnsi" w:hAnsiTheme="minorHAnsi" w:cs="Franklin Gothic Book"/>
                <w:color w:val="000000"/>
                <w:szCs w:val="17"/>
              </w:rPr>
            </w:pPr>
            <w:r w:rsidRPr="00905E1D">
              <w:rPr>
                <w:rFonts w:asciiTheme="minorHAnsi" w:hAnsiTheme="minorHAnsi" w:cs="Franklin Gothic Book"/>
                <w:color w:val="000000"/>
                <w:szCs w:val="17"/>
              </w:rPr>
              <w:t>$33,549,536</w:t>
            </w:r>
          </w:p>
          <w:p w:rsidR="008F2EE9" w:rsidRPr="00905E1D" w:rsidRDefault="008F2EE9" w:rsidP="00F40C0D">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2012-2018</w:t>
            </w:r>
          </w:p>
        </w:tc>
        <w:tc>
          <w:tcPr>
            <w:tcW w:w="417" w:type="pct"/>
            <w:tcBorders>
              <w:top w:val="single" w:sz="4" w:space="0" w:color="auto"/>
            </w:tcBorders>
            <w:shd w:val="clear" w:color="auto" w:fill="92D050"/>
            <w:noWrap/>
          </w:tcPr>
          <w:p w:rsidR="008F2EE9" w:rsidRPr="0098729D" w:rsidRDefault="006E42E7"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4</w:t>
            </w:r>
          </w:p>
        </w:tc>
        <w:tc>
          <w:tcPr>
            <w:tcW w:w="416" w:type="pct"/>
            <w:tcBorders>
              <w:top w:val="single" w:sz="4" w:space="0" w:color="auto"/>
            </w:tcBorders>
            <w:shd w:val="clear" w:color="auto" w:fill="92D050"/>
            <w:noWrap/>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5</w:t>
            </w:r>
          </w:p>
        </w:tc>
        <w:tc>
          <w:tcPr>
            <w:tcW w:w="417" w:type="pct"/>
            <w:tcBorders>
              <w:top w:val="single" w:sz="4" w:space="0" w:color="auto"/>
            </w:tcBorders>
            <w:shd w:val="clear" w:color="auto" w:fill="92D050"/>
            <w:noWrap/>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5</w:t>
            </w:r>
          </w:p>
        </w:tc>
        <w:tc>
          <w:tcPr>
            <w:tcW w:w="416" w:type="pct"/>
            <w:tcBorders>
              <w:top w:val="single" w:sz="4" w:space="0" w:color="auto"/>
            </w:tcBorders>
            <w:shd w:val="clear" w:color="auto" w:fill="FFFF00"/>
            <w:noWrap/>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4</w:t>
            </w:r>
          </w:p>
        </w:tc>
        <w:tc>
          <w:tcPr>
            <w:tcW w:w="417" w:type="pct"/>
            <w:tcBorders>
              <w:top w:val="single" w:sz="4" w:space="0" w:color="auto"/>
            </w:tcBorders>
            <w:shd w:val="clear" w:color="auto" w:fill="92D050"/>
            <w:noWrap/>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5</w:t>
            </w:r>
          </w:p>
        </w:tc>
        <w:tc>
          <w:tcPr>
            <w:tcW w:w="416" w:type="pct"/>
            <w:tcBorders>
              <w:top w:val="single" w:sz="4" w:space="0" w:color="auto"/>
            </w:tcBorders>
            <w:shd w:val="clear" w:color="auto" w:fill="FFFF00"/>
            <w:noWrap/>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4</w:t>
            </w:r>
          </w:p>
        </w:tc>
        <w:tc>
          <w:tcPr>
            <w:tcW w:w="417" w:type="pct"/>
            <w:tcBorders>
              <w:top w:val="single" w:sz="4" w:space="0" w:color="auto"/>
            </w:tcBorders>
            <w:shd w:val="clear" w:color="auto" w:fill="FFFF00"/>
          </w:tcPr>
          <w:p w:rsidR="008F2EE9" w:rsidRPr="0098729D" w:rsidDel="00E10582" w:rsidRDefault="008F2EE9" w:rsidP="00F40C0D">
            <w:pPr>
              <w:keepLines/>
              <w:spacing w:before="40" w:after="40" w:line="200" w:lineRule="atLeast"/>
              <w:jc w:val="center"/>
              <w:rPr>
                <w:rFonts w:asciiTheme="minorHAnsi" w:eastAsia="Times New Roman" w:hAnsiTheme="minorHAnsi"/>
                <w:b/>
                <w:iCs/>
                <w:szCs w:val="17"/>
              </w:rPr>
            </w:pPr>
            <w:r w:rsidRPr="0098729D">
              <w:rPr>
                <w:rFonts w:eastAsia="Times New Roman"/>
                <w:b/>
                <w:iCs/>
                <w:szCs w:val="17"/>
              </w:rPr>
              <w:t>4</w:t>
            </w:r>
          </w:p>
        </w:tc>
        <w:tc>
          <w:tcPr>
            <w:tcW w:w="412" w:type="pct"/>
            <w:tcBorders>
              <w:top w:val="single" w:sz="4" w:space="0" w:color="auto"/>
            </w:tcBorders>
            <w:shd w:val="clear" w:color="auto" w:fill="auto"/>
          </w:tcPr>
          <w:p w:rsidR="008F2EE9" w:rsidRPr="00905E1D" w:rsidRDefault="008F2EE9" w:rsidP="00F40C0D">
            <w:pPr>
              <w:keepLines/>
              <w:spacing w:before="40" w:after="40" w:line="200" w:lineRule="atLeast"/>
              <w:jc w:val="center"/>
              <w:rPr>
                <w:rFonts w:asciiTheme="minorHAnsi" w:eastAsia="Times New Roman" w:hAnsiTheme="minorHAnsi"/>
                <w:iCs/>
                <w:szCs w:val="17"/>
              </w:rPr>
            </w:pPr>
            <w:r w:rsidRPr="00905E1D">
              <w:rPr>
                <w:rFonts w:asciiTheme="minorHAnsi" w:eastAsia="Times New Roman" w:hAnsiTheme="minorHAnsi"/>
                <w:iCs/>
                <w:szCs w:val="17"/>
              </w:rPr>
              <w:t>N/A</w:t>
            </w:r>
          </w:p>
          <w:p w:rsidR="008F2EE9" w:rsidRPr="00905E1D" w:rsidDel="00E10582" w:rsidRDefault="008F2EE9" w:rsidP="00F40C0D">
            <w:pPr>
              <w:keepLines/>
              <w:spacing w:before="40" w:after="40" w:line="200" w:lineRule="atLeast"/>
              <w:jc w:val="center"/>
              <w:rPr>
                <w:rFonts w:asciiTheme="minorHAnsi" w:eastAsia="Times New Roman" w:hAnsiTheme="minorHAnsi"/>
                <w:iCs/>
                <w:szCs w:val="17"/>
              </w:rPr>
            </w:pP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4E0264" w:rsidRDefault="00400B0F" w:rsidP="00622F99">
      <w:pPr>
        <w:spacing w:before="20" w:after="20" w:line="180" w:lineRule="atLeast"/>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r w:rsidR="004E0264">
        <w:br w:type="page"/>
      </w:r>
    </w:p>
    <w:p w:rsidR="004435EC" w:rsidRPr="002569B6" w:rsidRDefault="00400B0F" w:rsidP="00B97FCD">
      <w:pPr>
        <w:pStyle w:val="Heading2"/>
        <w:keepLines w:val="0"/>
        <w:suppressLineNumbers/>
        <w:spacing w:before="120" w:line="240" w:lineRule="auto"/>
        <w:contextualSpacing w:val="0"/>
        <w:rPr>
          <w:rFonts w:asciiTheme="minorHAnsi" w:hAnsiTheme="minorHAnsi"/>
          <w:szCs w:val="38"/>
        </w:rPr>
      </w:pPr>
      <w:r w:rsidRPr="002569B6">
        <w:rPr>
          <w:rFonts w:asciiTheme="minorHAnsi" w:hAnsiTheme="minorHAnsi"/>
          <w:bCs/>
          <w:iCs/>
          <w:spacing w:val="-10"/>
          <w:kern w:val="28"/>
          <w:szCs w:val="38"/>
        </w:rPr>
        <w:lastRenderedPageBreak/>
        <w:t xml:space="preserve">Annex E – </w:t>
      </w:r>
      <w:r w:rsidR="004435EC" w:rsidRPr="002569B6">
        <w:rPr>
          <w:rFonts w:asciiTheme="minorHAnsi" w:hAnsiTheme="minorHAnsi"/>
          <w:szCs w:val="38"/>
        </w:rPr>
        <w:t>Performance Assessment Framework</w:t>
      </w:r>
    </w:p>
    <w:p w:rsidR="004435EC" w:rsidRDefault="004435EC" w:rsidP="004435EC">
      <w:pPr>
        <w:pStyle w:val="Caption"/>
      </w:pPr>
      <w:r w:rsidRPr="000A002E">
        <w:t>Performance Assessment Framework for Australian Development Cooperation in Vanuatu 2015–16 to 2018-19</w:t>
      </w:r>
    </w:p>
    <w:tbl>
      <w:tblPr>
        <w:tblStyle w:val="LightShading"/>
        <w:tblW w:w="15170" w:type="dxa"/>
        <w:tblLayout w:type="fixed"/>
        <w:tblLook w:val="04A0" w:firstRow="1" w:lastRow="0" w:firstColumn="1" w:lastColumn="0" w:noHBand="0" w:noVBand="1"/>
      </w:tblPr>
      <w:tblGrid>
        <w:gridCol w:w="3828"/>
        <w:gridCol w:w="1984"/>
        <w:gridCol w:w="1843"/>
        <w:gridCol w:w="1559"/>
        <w:gridCol w:w="1701"/>
        <w:gridCol w:w="4255"/>
      </w:tblGrid>
      <w:tr w:rsidR="004435EC" w:rsidRPr="006D2BA6" w:rsidTr="004435E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828" w:type="dxa"/>
            <w:hideMark/>
          </w:tcPr>
          <w:p w:rsidR="004435EC" w:rsidRPr="006D2BA6" w:rsidRDefault="004435EC" w:rsidP="004435EC">
            <w:pPr>
              <w:rPr>
                <w:rFonts w:ascii="Franklin Gothic Book" w:hAnsi="Franklin Gothic Book"/>
                <w:color w:val="000000"/>
                <w:sz w:val="21"/>
                <w:szCs w:val="21"/>
              </w:rPr>
            </w:pPr>
            <w:r w:rsidRPr="006D2BA6">
              <w:rPr>
                <w:rFonts w:ascii="Franklin Gothic Book" w:hAnsi="Franklin Gothic Book"/>
                <w:color w:val="000000"/>
                <w:sz w:val="21"/>
                <w:szCs w:val="21"/>
              </w:rPr>
              <w:t>S</w:t>
            </w:r>
            <w:r>
              <w:rPr>
                <w:rFonts w:ascii="Franklin Gothic Book" w:hAnsi="Franklin Gothic Book"/>
                <w:color w:val="000000"/>
                <w:sz w:val="21"/>
                <w:szCs w:val="21"/>
              </w:rPr>
              <w:t>trategic</w:t>
            </w:r>
            <w:r w:rsidRPr="006D2BA6">
              <w:rPr>
                <w:rFonts w:ascii="Franklin Gothic Book" w:hAnsi="Franklin Gothic Book"/>
                <w:color w:val="000000"/>
                <w:sz w:val="21"/>
                <w:szCs w:val="21"/>
              </w:rPr>
              <w:t xml:space="preserve"> Development Objective</w:t>
            </w:r>
            <w:r>
              <w:rPr>
                <w:rFonts w:ascii="Franklin Gothic Book" w:hAnsi="Franklin Gothic Book"/>
                <w:color w:val="000000"/>
                <w:sz w:val="21"/>
                <w:szCs w:val="21"/>
              </w:rPr>
              <w:t xml:space="preserve"> 1</w:t>
            </w:r>
          </w:p>
        </w:tc>
        <w:tc>
          <w:tcPr>
            <w:tcW w:w="11342" w:type="dxa"/>
            <w:gridSpan w:val="5"/>
            <w:shd w:val="clear" w:color="auto" w:fill="auto"/>
            <w:hideMark/>
          </w:tcPr>
          <w:p w:rsidR="004435EC" w:rsidRPr="002C39EB" w:rsidRDefault="004435EC" w:rsidP="0094193A">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1"/>
                <w:szCs w:val="21"/>
              </w:rPr>
            </w:pPr>
            <w:r w:rsidRPr="00D54D77">
              <w:rPr>
                <w:rFonts w:ascii="Franklin Gothic Book" w:hAnsi="Franklin Gothic Book"/>
                <w:color w:val="000000"/>
                <w:sz w:val="21"/>
                <w:szCs w:val="21"/>
              </w:rPr>
              <w:t>Building resilient infrastructure and an environment for economic opportunity</w:t>
            </w:r>
            <w:r>
              <w:rPr>
                <w:rFonts w:ascii="Franklin Gothic Book" w:hAnsi="Franklin Gothic Book"/>
                <w:color w:val="000000"/>
                <w:sz w:val="21"/>
                <w:szCs w:val="21"/>
              </w:rPr>
              <w:t xml:space="preserve"> [</w:t>
            </w:r>
            <w:r w:rsidR="0094193A">
              <w:rPr>
                <w:rFonts w:ascii="Franklin Gothic Book" w:hAnsi="Franklin Gothic Book"/>
                <w:color w:val="000000"/>
                <w:sz w:val="21"/>
                <w:szCs w:val="21"/>
              </w:rPr>
              <w:t>48</w:t>
            </w:r>
            <w:r>
              <w:rPr>
                <w:rFonts w:ascii="Franklin Gothic Book" w:hAnsi="Franklin Gothic Book"/>
                <w:color w:val="000000"/>
                <w:sz w:val="21"/>
                <w:szCs w:val="21"/>
              </w:rPr>
              <w:t>% Bilateral ODA in 201</w:t>
            </w:r>
            <w:r w:rsidR="0094193A">
              <w:rPr>
                <w:rFonts w:ascii="Franklin Gothic Book" w:hAnsi="Franklin Gothic Book"/>
                <w:color w:val="000000"/>
                <w:sz w:val="21"/>
                <w:szCs w:val="21"/>
              </w:rPr>
              <w:t>7-18</w:t>
            </w:r>
            <w:r>
              <w:rPr>
                <w:rFonts w:ascii="Franklin Gothic Book" w:hAnsi="Franklin Gothic Book"/>
                <w:color w:val="000000"/>
                <w:sz w:val="21"/>
                <w:szCs w:val="21"/>
              </w:rPr>
              <w:t>]</w:t>
            </w:r>
          </w:p>
        </w:tc>
      </w:tr>
      <w:tr w:rsidR="004435EC" w:rsidRPr="006D2BA6" w:rsidTr="00772167">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3828" w:type="dxa"/>
            <w:tcBorders>
              <w:bottom w:val="nil"/>
            </w:tcBorders>
            <w:vAlign w:val="center"/>
            <w:hideMark/>
          </w:tcPr>
          <w:p w:rsidR="004435EC" w:rsidRPr="00A258D1" w:rsidRDefault="004435EC" w:rsidP="004435EC">
            <w:pPr>
              <w:rPr>
                <w:rFonts w:ascii="Franklin Gothic Book" w:hAnsi="Franklin Gothic Book"/>
                <w:color w:val="000000"/>
                <w:sz w:val="20"/>
                <w:szCs w:val="20"/>
                <w:highlight w:val="green"/>
              </w:rPr>
            </w:pPr>
            <w:r w:rsidRPr="00EA6B27">
              <w:rPr>
                <w:rFonts w:ascii="Franklin Gothic Book" w:hAnsi="Franklin Gothic Book"/>
                <w:color w:val="000000" w:themeColor="text1"/>
                <w:sz w:val="20"/>
                <w:szCs w:val="20"/>
              </w:rPr>
              <w:t>Indicators</w:t>
            </w:r>
          </w:p>
        </w:tc>
        <w:tc>
          <w:tcPr>
            <w:tcW w:w="1984"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2015–16</w:t>
            </w:r>
          </w:p>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themeColor="text1"/>
                <w:sz w:val="20"/>
                <w:szCs w:val="20"/>
              </w:rPr>
            </w:pPr>
            <w:r w:rsidRPr="008A425D">
              <w:rPr>
                <w:rFonts w:ascii="Franklin Gothic Book" w:hAnsi="Franklin Gothic Book"/>
                <w:bCs w:val="0"/>
                <w:color w:val="000000"/>
                <w:sz w:val="20"/>
                <w:szCs w:val="20"/>
              </w:rPr>
              <w:t>Baseline</w:t>
            </w:r>
          </w:p>
        </w:tc>
        <w:tc>
          <w:tcPr>
            <w:tcW w:w="1843"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8A425D">
              <w:rPr>
                <w:rFonts w:ascii="Franklin Gothic Book" w:hAnsi="Franklin Gothic Book"/>
                <w:color w:val="000000"/>
                <w:sz w:val="20"/>
                <w:szCs w:val="20"/>
              </w:rPr>
              <w:t>2016–17</w:t>
            </w:r>
          </w:p>
          <w:p w:rsidR="00D62E22" w:rsidRPr="008A425D"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Result</w:t>
            </w:r>
          </w:p>
        </w:tc>
        <w:tc>
          <w:tcPr>
            <w:tcW w:w="1559"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8A425D">
              <w:rPr>
                <w:rFonts w:ascii="Franklin Gothic Book" w:hAnsi="Franklin Gothic Book"/>
                <w:color w:val="000000"/>
                <w:sz w:val="20"/>
                <w:szCs w:val="20"/>
              </w:rPr>
              <w:t>2017–18</w:t>
            </w:r>
          </w:p>
          <w:p w:rsidR="00D62E22" w:rsidRPr="008A425D"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Result</w:t>
            </w:r>
          </w:p>
        </w:tc>
        <w:tc>
          <w:tcPr>
            <w:tcW w:w="1701" w:type="dxa"/>
            <w:tcBorders>
              <w:bottom w:val="nil"/>
            </w:tcBorders>
            <w:vAlign w:val="center"/>
          </w:tcPr>
          <w:p w:rsidR="004435EC" w:rsidRPr="008A425D" w:rsidRDefault="004435EC" w:rsidP="008A425D">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bCs w:val="0"/>
                <w:color w:val="000000"/>
                <w:sz w:val="20"/>
                <w:szCs w:val="20"/>
              </w:rPr>
              <w:t>2018-19</w:t>
            </w:r>
          </w:p>
          <w:p w:rsidR="00D62E22" w:rsidRPr="008A425D" w:rsidRDefault="00D62E22" w:rsidP="008A425D">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bCs w:val="0"/>
                <w:color w:val="000000"/>
                <w:sz w:val="20"/>
                <w:szCs w:val="20"/>
              </w:rPr>
              <w:t>Target</w:t>
            </w:r>
          </w:p>
        </w:tc>
        <w:tc>
          <w:tcPr>
            <w:tcW w:w="4255" w:type="dxa"/>
            <w:tcBorders>
              <w:bottom w:val="nil"/>
            </w:tcBorders>
            <w:vAlign w:val="center"/>
          </w:tcPr>
          <w:p w:rsidR="004435EC" w:rsidRPr="006B3654"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Data source</w:t>
            </w:r>
            <w:r>
              <w:rPr>
                <w:rFonts w:ascii="Franklin Gothic Book" w:hAnsi="Franklin Gothic Book"/>
                <w:color w:val="000000"/>
                <w:sz w:val="20"/>
                <w:szCs w:val="20"/>
              </w:rPr>
              <w:t>s</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DDECD0" w:themeFill="accent3" w:themeFillTint="66"/>
          </w:tcPr>
          <w:p w:rsidR="004435EC" w:rsidRPr="00497664" w:rsidRDefault="004435EC" w:rsidP="004435EC">
            <w:pPr>
              <w:rPr>
                <w:rFonts w:ascii="Franklin Gothic Book" w:hAnsi="Franklin Gothic Book"/>
                <w:b w:val="0"/>
                <w:color w:val="000000"/>
                <w:sz w:val="20"/>
                <w:szCs w:val="20"/>
              </w:rPr>
            </w:pPr>
            <w:r w:rsidRPr="00497664">
              <w:rPr>
                <w:rFonts w:ascii="Franklin Gothic Book" w:hAnsi="Franklin Gothic Book"/>
                <w:b w:val="0"/>
                <w:color w:val="000000"/>
                <w:sz w:val="20"/>
                <w:szCs w:val="20"/>
              </w:rPr>
              <w:t>Annual change in VAT revenue (%)</w:t>
            </w:r>
            <w:r w:rsidRPr="00497664">
              <w:rPr>
                <w:rStyle w:val="FootnoteReference"/>
                <w:color w:val="000000"/>
              </w:rPr>
              <w:footnoteReference w:id="37"/>
            </w:r>
          </w:p>
        </w:tc>
        <w:tc>
          <w:tcPr>
            <w:tcW w:w="1984"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VU</w:t>
            </w:r>
            <w:r w:rsidR="00552CF1">
              <w:rPr>
                <w:rFonts w:ascii="Franklin Gothic Book" w:hAnsi="Franklin Gothic Book"/>
                <w:color w:val="000000"/>
                <w:sz w:val="20"/>
                <w:szCs w:val="20"/>
              </w:rPr>
              <w:t>V</w:t>
            </w:r>
            <w:r>
              <w:rPr>
                <w:rFonts w:ascii="Franklin Gothic Book" w:hAnsi="Franklin Gothic Book"/>
                <w:color w:val="000000"/>
                <w:sz w:val="20"/>
                <w:szCs w:val="20"/>
              </w:rPr>
              <w:t>6 Billion</w:t>
            </w:r>
          </w:p>
          <w:p w:rsidR="004435EC" w:rsidRPr="0024028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[APPR 2016]</w:t>
            </w:r>
          </w:p>
        </w:tc>
        <w:tc>
          <w:tcPr>
            <w:tcW w:w="1843" w:type="dxa"/>
            <w:tcBorders>
              <w:top w:val="nil"/>
            </w:tcBorders>
            <w:shd w:val="clear" w:color="auto" w:fill="DDECD0" w:themeFill="accent3" w:themeFillTint="66"/>
          </w:tcPr>
          <w:p w:rsidR="004435EC" w:rsidRDefault="006413E7" w:rsidP="00772167">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w:t>
            </w:r>
          </w:p>
        </w:tc>
        <w:tc>
          <w:tcPr>
            <w:tcW w:w="1559" w:type="dxa"/>
            <w:tcBorders>
              <w:top w:val="nil"/>
            </w:tcBorders>
            <w:shd w:val="clear" w:color="auto" w:fill="DDECD0" w:themeFill="accent3" w:themeFillTint="66"/>
          </w:tcPr>
          <w:p w:rsidR="004435EC" w:rsidRDefault="006413E7" w:rsidP="00772167">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7%</w:t>
            </w:r>
          </w:p>
        </w:tc>
        <w:tc>
          <w:tcPr>
            <w:tcW w:w="1701" w:type="dxa"/>
            <w:tcBorders>
              <w:top w:val="nil"/>
            </w:tcBorders>
            <w:shd w:val="clear" w:color="auto" w:fill="DDECD0" w:themeFill="accent3" w:themeFillTint="66"/>
          </w:tcPr>
          <w:p w:rsidR="004435EC" w:rsidRPr="006B3654" w:rsidRDefault="00890190"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TBC</w:t>
            </w:r>
          </w:p>
        </w:tc>
        <w:tc>
          <w:tcPr>
            <w:tcW w:w="425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 xml:space="preserve">Reserve Bank data, DCIR Monitoring Data &amp; </w:t>
            </w:r>
            <w:r w:rsidRPr="00C20AE3">
              <w:rPr>
                <w:rFonts w:ascii="Franklin Gothic Book" w:hAnsi="Franklin Gothic Book"/>
                <w:color w:val="000000"/>
                <w:sz w:val="16"/>
                <w:szCs w:val="16"/>
              </w:rPr>
              <w:t>MFEM GFS Tables</w:t>
            </w:r>
            <w:r>
              <w:rPr>
                <w:rFonts w:ascii="Franklin Gothic Book" w:hAnsi="Franklin Gothic Book"/>
                <w:color w:val="000000"/>
                <w:sz w:val="16"/>
                <w:szCs w:val="16"/>
              </w:rPr>
              <w:t xml:space="preserve"> plus </w:t>
            </w:r>
            <w:r w:rsidRPr="00C20AE3">
              <w:rPr>
                <w:rFonts w:ascii="Franklin Gothic Book" w:hAnsi="Franklin Gothic Book"/>
                <w:color w:val="000000"/>
                <w:sz w:val="16"/>
                <w:szCs w:val="16"/>
              </w:rPr>
              <w:t>GfG monitoring records from partners</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p>
        </w:tc>
      </w:tr>
      <w:tr w:rsidR="004435EC" w:rsidRPr="006D2BA6"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C1E7E0" w:themeFill="accent1" w:themeFillTint="66"/>
          </w:tcPr>
          <w:p w:rsidR="004435EC" w:rsidRPr="00254F50" w:rsidRDefault="004435EC" w:rsidP="004435EC">
            <w:pPr>
              <w:rPr>
                <w:rFonts w:ascii="Franklin Gothic Book" w:hAnsi="Franklin Gothic Book"/>
                <w:b w:val="0"/>
                <w:color w:val="000000"/>
                <w:sz w:val="20"/>
                <w:szCs w:val="20"/>
              </w:rPr>
            </w:pPr>
            <w:r w:rsidRPr="00254F50">
              <w:rPr>
                <w:rFonts w:ascii="Franklin Gothic Book" w:hAnsi="Franklin Gothic Book"/>
                <w:b w:val="0"/>
                <w:color w:val="000000"/>
                <w:sz w:val="20"/>
                <w:szCs w:val="20"/>
              </w:rPr>
              <w:t>Financial flows through Financial Service Bureaux (VU</w:t>
            </w:r>
            <w:r w:rsidR="00552CF1">
              <w:rPr>
                <w:rFonts w:ascii="Franklin Gothic Book" w:hAnsi="Franklin Gothic Book"/>
                <w:b w:val="0"/>
                <w:color w:val="000000"/>
                <w:sz w:val="20"/>
                <w:szCs w:val="20"/>
              </w:rPr>
              <w:t>V</w:t>
            </w:r>
            <w:r w:rsidRPr="00254F50">
              <w:rPr>
                <w:rFonts w:ascii="Franklin Gothic Book" w:hAnsi="Franklin Gothic Book"/>
                <w:b w:val="0"/>
                <w:color w:val="000000"/>
                <w:sz w:val="20"/>
                <w:szCs w:val="20"/>
              </w:rPr>
              <w:t>)</w:t>
            </w:r>
          </w:p>
          <w:p w:rsidR="004435EC" w:rsidRPr="00254F50" w:rsidRDefault="004435EC" w:rsidP="004435EC">
            <w:pPr>
              <w:rPr>
                <w:rFonts w:ascii="Franklin Gothic Book" w:hAnsi="Franklin Gothic Book"/>
                <w:b w:val="0"/>
                <w:color w:val="000000"/>
                <w:sz w:val="16"/>
                <w:szCs w:val="16"/>
              </w:rPr>
            </w:pPr>
          </w:p>
        </w:tc>
        <w:tc>
          <w:tcPr>
            <w:tcW w:w="1984" w:type="dxa"/>
            <w:tcBorders>
              <w:top w:val="nil"/>
            </w:tcBorders>
            <w:shd w:val="clear" w:color="auto" w:fill="C1E7E0" w:themeFill="accent1" w:themeFillTint="66"/>
          </w:tcPr>
          <w:p w:rsidR="004435EC" w:rsidRPr="009C2173"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p>
        </w:tc>
        <w:tc>
          <w:tcPr>
            <w:tcW w:w="1843" w:type="dxa"/>
            <w:tcBorders>
              <w:top w:val="nil"/>
            </w:tcBorders>
            <w:shd w:val="clear" w:color="auto" w:fill="C1E7E0" w:themeFill="accent1" w:themeFillTint="66"/>
          </w:tcPr>
          <w:p w:rsidR="004435EC" w:rsidRDefault="006413E7" w:rsidP="0077216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VU</w:t>
            </w:r>
            <w:r w:rsidR="00552CF1">
              <w:rPr>
                <w:rFonts w:ascii="Franklin Gothic Book" w:hAnsi="Franklin Gothic Book"/>
                <w:color w:val="000000"/>
                <w:sz w:val="20"/>
                <w:szCs w:val="20"/>
              </w:rPr>
              <w:t>V</w:t>
            </w:r>
            <w:r>
              <w:rPr>
                <w:rFonts w:ascii="Franklin Gothic Book" w:hAnsi="Franklin Gothic Book"/>
                <w:color w:val="000000"/>
                <w:sz w:val="20"/>
                <w:szCs w:val="20"/>
              </w:rPr>
              <w:t>456m</w:t>
            </w:r>
          </w:p>
        </w:tc>
        <w:tc>
          <w:tcPr>
            <w:tcW w:w="1559" w:type="dxa"/>
            <w:tcBorders>
              <w:top w:val="nil"/>
            </w:tcBorders>
            <w:shd w:val="clear" w:color="auto" w:fill="C1E7E0" w:themeFill="accent1" w:themeFillTint="66"/>
          </w:tcPr>
          <w:p w:rsidR="004435EC" w:rsidRDefault="006413E7" w:rsidP="00772167">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VU</w:t>
            </w:r>
            <w:r w:rsidR="00552CF1">
              <w:rPr>
                <w:rFonts w:ascii="Franklin Gothic Book" w:hAnsi="Franklin Gothic Book"/>
                <w:color w:val="000000"/>
                <w:sz w:val="20"/>
                <w:szCs w:val="20"/>
              </w:rPr>
              <w:t>V</w:t>
            </w:r>
            <w:r>
              <w:rPr>
                <w:rFonts w:ascii="Franklin Gothic Book" w:hAnsi="Franklin Gothic Book"/>
                <w:color w:val="000000"/>
                <w:sz w:val="20"/>
                <w:szCs w:val="20"/>
              </w:rPr>
              <w:t>629m</w:t>
            </w:r>
          </w:p>
        </w:tc>
        <w:tc>
          <w:tcPr>
            <w:tcW w:w="1701" w:type="dxa"/>
            <w:tcBorders>
              <w:top w:val="nil"/>
            </w:tcBorders>
            <w:shd w:val="clear" w:color="auto" w:fill="C1E7E0" w:themeFill="accent1" w:themeFillTint="66"/>
          </w:tcPr>
          <w:p w:rsidR="004435EC" w:rsidRPr="006B3654" w:rsidRDefault="006413E7"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TBC</w:t>
            </w:r>
          </w:p>
        </w:tc>
        <w:tc>
          <w:tcPr>
            <w:tcW w:w="4255" w:type="dxa"/>
            <w:tcBorders>
              <w:top w:val="nil"/>
              <w:bottom w:val="nil"/>
            </w:tcBorders>
            <w:shd w:val="clear" w:color="auto" w:fill="C1E7E0" w:themeFill="accent1" w:themeFillTint="66"/>
          </w:tcPr>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MFEM GFS Tables</w:t>
            </w:r>
          </w:p>
          <w:p w:rsidR="004435EC"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GfG monitoring records from partners</w:t>
            </w:r>
          </w:p>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highlight w:val="yellow"/>
              </w:rPr>
            </w:pPr>
            <w:r>
              <w:rPr>
                <w:rFonts w:ascii="Franklin Gothic Book" w:hAnsi="Franklin Gothic Book"/>
                <w:color w:val="000000"/>
                <w:sz w:val="16"/>
                <w:szCs w:val="16"/>
              </w:rPr>
              <w:t>Line agency accounts and SMART Stream data</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DDECD0" w:themeFill="accent3" w:themeFillTint="66"/>
          </w:tcPr>
          <w:p w:rsidR="004435EC" w:rsidRDefault="004435EC" w:rsidP="004435EC">
            <w:pPr>
              <w:rPr>
                <w:rFonts w:ascii="Franklin Gothic Book" w:hAnsi="Franklin Gothic Book"/>
                <w:b w:val="0"/>
                <w:color w:val="000000"/>
                <w:sz w:val="20"/>
                <w:szCs w:val="20"/>
              </w:rPr>
            </w:pPr>
            <w:r w:rsidRPr="00BE0D04">
              <w:rPr>
                <w:rFonts w:ascii="Franklin Gothic Book" w:hAnsi="Franklin Gothic Book"/>
                <w:b w:val="0"/>
                <w:color w:val="000000"/>
                <w:sz w:val="20"/>
                <w:szCs w:val="20"/>
              </w:rPr>
              <w:t>Financial Action Task Force listing for Vanuatu counter-terrorism financing and anti-money laundering systems</w:t>
            </w:r>
          </w:p>
          <w:p w:rsidR="004435EC" w:rsidRPr="00BE0D04" w:rsidRDefault="004435EC" w:rsidP="004435EC">
            <w:pPr>
              <w:rPr>
                <w:rFonts w:ascii="Franklin Gothic Book" w:hAnsi="Franklin Gothic Book"/>
                <w:b w:val="0"/>
                <w:color w:val="000000"/>
                <w:sz w:val="16"/>
                <w:szCs w:val="16"/>
              </w:rPr>
            </w:pPr>
          </w:p>
        </w:tc>
        <w:tc>
          <w:tcPr>
            <w:tcW w:w="1984" w:type="dxa"/>
            <w:tcBorders>
              <w:top w:val="nil"/>
              <w:bottom w:val="nil"/>
            </w:tcBorders>
            <w:shd w:val="clear" w:color="auto" w:fill="DDECD0" w:themeFill="accent3" w:themeFillTint="66"/>
          </w:tcPr>
          <w:p w:rsidR="004435EC" w:rsidRPr="0024028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White list</w:t>
            </w:r>
          </w:p>
        </w:tc>
        <w:tc>
          <w:tcPr>
            <w:tcW w:w="1843" w:type="dxa"/>
            <w:tcBorders>
              <w:top w:val="nil"/>
              <w:bottom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Grey list</w:t>
            </w:r>
          </w:p>
        </w:tc>
        <w:tc>
          <w:tcPr>
            <w:tcW w:w="1559" w:type="dxa"/>
            <w:tcBorders>
              <w:top w:val="nil"/>
              <w:bottom w:val="nil"/>
            </w:tcBorders>
            <w:shd w:val="clear" w:color="auto" w:fill="DDECD0" w:themeFill="accent3" w:themeFillTint="66"/>
          </w:tcPr>
          <w:p w:rsidR="004435EC" w:rsidRDefault="004435EC" w:rsidP="00072B0E">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 xml:space="preserve">White List </w:t>
            </w:r>
          </w:p>
        </w:tc>
        <w:tc>
          <w:tcPr>
            <w:tcW w:w="1701" w:type="dxa"/>
            <w:tcBorders>
              <w:top w:val="nil"/>
              <w:bottom w:val="nil"/>
            </w:tcBorders>
            <w:shd w:val="clear" w:color="auto" w:fill="DDECD0" w:themeFill="accent3" w:themeFillTint="66"/>
          </w:tcPr>
          <w:p w:rsidR="004435EC" w:rsidRPr="006B3654"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White list</w:t>
            </w:r>
          </w:p>
        </w:tc>
        <w:tc>
          <w:tcPr>
            <w:tcW w:w="425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FATF Listing and IMF Article IV Consultations</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GfG monitoring records</w:t>
            </w:r>
          </w:p>
        </w:tc>
      </w:tr>
      <w:tr w:rsidR="004435EC" w:rsidRPr="006D2BA6"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C1E7E0" w:themeFill="accent1" w:themeFillTint="66"/>
          </w:tcPr>
          <w:p w:rsidR="004435EC" w:rsidRDefault="004435EC" w:rsidP="004435EC">
            <w:pPr>
              <w:rPr>
                <w:rFonts w:ascii="Franklin Gothic Book" w:hAnsi="Franklin Gothic Book"/>
                <w:b w:val="0"/>
                <w:color w:val="000000"/>
                <w:sz w:val="20"/>
                <w:szCs w:val="20"/>
              </w:rPr>
            </w:pPr>
            <w:r>
              <w:rPr>
                <w:rFonts w:ascii="Franklin Gothic Book" w:hAnsi="Franklin Gothic Book"/>
                <w:b w:val="0"/>
                <w:color w:val="000000"/>
                <w:sz w:val="20"/>
                <w:szCs w:val="20"/>
              </w:rPr>
              <w:t>World Bank Country Policy and Institutional Assessment rating for budget and financial management</w:t>
            </w:r>
          </w:p>
          <w:p w:rsidR="004435EC" w:rsidRPr="008A771C" w:rsidRDefault="004435EC" w:rsidP="004435EC">
            <w:pPr>
              <w:rPr>
                <w:rFonts w:ascii="Franklin Gothic Book" w:hAnsi="Franklin Gothic Book"/>
                <w:b w:val="0"/>
                <w:color w:val="000000"/>
                <w:sz w:val="16"/>
                <w:szCs w:val="16"/>
              </w:rPr>
            </w:pPr>
          </w:p>
        </w:tc>
        <w:tc>
          <w:tcPr>
            <w:tcW w:w="1984" w:type="dxa"/>
            <w:tcBorders>
              <w:top w:val="nil"/>
              <w:bottom w:val="nil"/>
            </w:tcBorders>
            <w:shd w:val="clear" w:color="auto" w:fill="C1E7E0" w:themeFill="accent1" w:themeFillTint="66"/>
          </w:tcPr>
          <w:p w:rsidR="004435EC" w:rsidRPr="009C2173"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3.5</w:t>
            </w:r>
          </w:p>
        </w:tc>
        <w:tc>
          <w:tcPr>
            <w:tcW w:w="1843"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3.5</w:t>
            </w:r>
          </w:p>
        </w:tc>
        <w:tc>
          <w:tcPr>
            <w:tcW w:w="1559"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3.5</w:t>
            </w:r>
          </w:p>
        </w:tc>
        <w:tc>
          <w:tcPr>
            <w:tcW w:w="1701" w:type="dxa"/>
            <w:tcBorders>
              <w:top w:val="nil"/>
              <w:bottom w:val="nil"/>
            </w:tcBorders>
            <w:shd w:val="clear" w:color="auto" w:fill="C1E7E0" w:themeFill="accent1" w:themeFillTint="66"/>
          </w:tcPr>
          <w:p w:rsidR="004435EC" w:rsidRPr="006B3654"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3.5</w:t>
            </w:r>
          </w:p>
        </w:tc>
        <w:tc>
          <w:tcPr>
            <w:tcW w:w="4255" w:type="dxa"/>
            <w:tcBorders>
              <w:top w:val="nil"/>
              <w:bottom w:val="nil"/>
            </w:tcBorders>
            <w:shd w:val="clear" w:color="auto" w:fill="C1E7E0" w:themeFill="accent1" w:themeFillTint="66"/>
          </w:tcPr>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 xml:space="preserve">World Bank CPIA reports (Indicator </w:t>
            </w:r>
            <w:r w:rsidRPr="00C20AE3">
              <w:rPr>
                <w:rFonts w:ascii="Calibri" w:hAnsi="Calibri" w:cs="Calibri"/>
                <w:color w:val="000000"/>
                <w:sz w:val="16"/>
                <w:szCs w:val="16"/>
              </w:rPr>
              <w:t xml:space="preserve">IQ.CPA.FINQ.XQ) </w:t>
            </w:r>
            <w:r w:rsidRPr="00C20AE3">
              <w:rPr>
                <w:rFonts w:ascii="Franklin Gothic Book" w:hAnsi="Franklin Gothic Book"/>
                <w:color w:val="000000"/>
                <w:sz w:val="16"/>
                <w:szCs w:val="16"/>
              </w:rPr>
              <w:t xml:space="preserve">plus IMF Article IV Consultations.  See: </w:t>
            </w:r>
            <w:hyperlink r:id="rId35" w:history="1">
              <w:r w:rsidRPr="00C20AE3">
                <w:rPr>
                  <w:rStyle w:val="Hyperlink"/>
                  <w:rFonts w:ascii="Franklin Gothic Book" w:hAnsi="Franklin Gothic Book"/>
                  <w:sz w:val="16"/>
                  <w:szCs w:val="16"/>
                </w:rPr>
                <w:t>https://data.worldbank.org/data-catalog/CPIA</w:t>
              </w:r>
            </w:hyperlink>
            <w:r w:rsidRPr="00C20AE3">
              <w:rPr>
                <w:rFonts w:ascii="Franklin Gothic Book" w:hAnsi="Franklin Gothic Book"/>
                <w:color w:val="000000"/>
                <w:sz w:val="16"/>
                <w:szCs w:val="16"/>
              </w:rPr>
              <w:t xml:space="preserve"> </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DDECD0" w:themeFill="accent3" w:themeFillTint="66"/>
          </w:tcPr>
          <w:p w:rsidR="004435EC" w:rsidRPr="00497664" w:rsidRDefault="004435EC" w:rsidP="004435EC">
            <w:pPr>
              <w:rPr>
                <w:rFonts w:ascii="Franklin Gothic Book" w:hAnsi="Franklin Gothic Book"/>
                <w:b w:val="0"/>
                <w:color w:val="000000"/>
                <w:sz w:val="20"/>
                <w:szCs w:val="20"/>
              </w:rPr>
            </w:pPr>
            <w:r>
              <w:rPr>
                <w:rFonts w:ascii="Franklin Gothic Book" w:hAnsi="Franklin Gothic Book"/>
                <w:b w:val="0"/>
                <w:color w:val="000000"/>
                <w:sz w:val="20"/>
                <w:szCs w:val="20"/>
              </w:rPr>
              <w:t xml:space="preserve">Vanuatu Rural Access Index </w:t>
            </w:r>
            <w:r w:rsidRPr="006D24E3">
              <w:rPr>
                <w:rStyle w:val="FootnoteReference"/>
                <w:color w:val="000000"/>
                <w:sz w:val="12"/>
              </w:rPr>
              <w:footnoteReference w:id="38"/>
            </w:r>
            <w:r>
              <w:rPr>
                <w:rFonts w:ascii="Franklin Gothic Book" w:hAnsi="Franklin Gothic Book"/>
                <w:b w:val="0"/>
                <w:color w:val="000000"/>
                <w:sz w:val="20"/>
                <w:szCs w:val="20"/>
              </w:rPr>
              <w:t>and Length of rural roads maintained or repaired (km)</w:t>
            </w:r>
          </w:p>
          <w:p w:rsidR="004435EC" w:rsidRPr="002D3094" w:rsidRDefault="004435EC" w:rsidP="004435EC">
            <w:pPr>
              <w:rPr>
                <w:rFonts w:ascii="Franklin Gothic Book" w:hAnsi="Franklin Gothic Book"/>
                <w:b w:val="0"/>
                <w:color w:val="000000"/>
                <w:sz w:val="16"/>
                <w:szCs w:val="16"/>
              </w:rPr>
            </w:pPr>
          </w:p>
        </w:tc>
        <w:tc>
          <w:tcPr>
            <w:tcW w:w="1984" w:type="dxa"/>
            <w:tcBorders>
              <w:top w:val="nil"/>
            </w:tcBorders>
            <w:shd w:val="clear" w:color="auto" w:fill="DDECD0" w:themeFill="accent3" w:themeFillTint="66"/>
          </w:tcPr>
          <w:p w:rsidR="004435EC" w:rsidRPr="0024028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41</w:t>
            </w:r>
            <w:r w:rsidRPr="006D24E3">
              <w:rPr>
                <w:rStyle w:val="FootnoteReference"/>
                <w:color w:val="000000"/>
                <w:sz w:val="12"/>
              </w:rPr>
              <w:footnoteReference w:id="39"/>
            </w:r>
            <w:r>
              <w:rPr>
                <w:rFonts w:ascii="Franklin Gothic Book" w:hAnsi="Franklin Gothic Book"/>
                <w:color w:val="000000"/>
                <w:sz w:val="20"/>
                <w:szCs w:val="20"/>
              </w:rPr>
              <w:t>%</w:t>
            </w:r>
            <w:r>
              <w:rPr>
                <w:rFonts w:ascii="Franklin Gothic Book" w:hAnsi="Franklin Gothic Book"/>
                <w:color w:val="000000"/>
                <w:sz w:val="20"/>
                <w:szCs w:val="20"/>
              </w:rPr>
              <w:br/>
              <w:t>597 km</w:t>
            </w:r>
          </w:p>
        </w:tc>
        <w:tc>
          <w:tcPr>
            <w:tcW w:w="1843"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54</w:t>
            </w:r>
            <w:r w:rsidRPr="006D24E3">
              <w:rPr>
                <w:rStyle w:val="FootnoteReference"/>
                <w:color w:val="000000"/>
                <w:sz w:val="12"/>
              </w:rPr>
              <w:footnoteReference w:id="40"/>
            </w:r>
            <w:r>
              <w:rPr>
                <w:rFonts w:ascii="Franklin Gothic Book" w:hAnsi="Franklin Gothic Book"/>
                <w:color w:val="000000"/>
                <w:sz w:val="20"/>
                <w:szCs w:val="20"/>
              </w:rPr>
              <w:br/>
              <w:t>691 km</w:t>
            </w:r>
          </w:p>
        </w:tc>
        <w:tc>
          <w:tcPr>
            <w:tcW w:w="1559"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54.5%</w:t>
            </w:r>
            <w:r>
              <w:rPr>
                <w:rFonts w:ascii="Franklin Gothic Book" w:hAnsi="Franklin Gothic Book"/>
                <w:color w:val="000000"/>
                <w:sz w:val="20"/>
                <w:szCs w:val="20"/>
              </w:rPr>
              <w:br/>
              <w:t>525km</w:t>
            </w:r>
          </w:p>
        </w:tc>
        <w:tc>
          <w:tcPr>
            <w:tcW w:w="1701" w:type="dxa"/>
            <w:tcBorders>
              <w:top w:val="nil"/>
            </w:tcBorders>
            <w:shd w:val="clear" w:color="auto" w:fill="DDECD0" w:themeFill="accent3" w:themeFillTint="66"/>
          </w:tcPr>
          <w:p w:rsidR="00045AFE" w:rsidRDefault="00045AFE" w:rsidP="00772167">
            <w:pPr>
              <w:spacing w:before="0" w:after="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772167">
            <w:pPr>
              <w:spacing w:before="0" w:after="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55%</w:t>
            </w:r>
          </w:p>
          <w:p w:rsidR="004435EC" w:rsidRPr="006B3654" w:rsidRDefault="004435EC" w:rsidP="00772167">
            <w:pPr>
              <w:spacing w:before="0" w:after="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550km</w:t>
            </w:r>
          </w:p>
        </w:tc>
        <w:tc>
          <w:tcPr>
            <w:tcW w:w="425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R4D monitoring data</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PWD records and monitoring data</w:t>
            </w:r>
          </w:p>
        </w:tc>
      </w:tr>
      <w:tr w:rsidR="004435EC" w:rsidRPr="00497664"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C1E7E0" w:themeFill="accent1" w:themeFillTint="66"/>
          </w:tcPr>
          <w:p w:rsidR="004435EC" w:rsidRPr="00497664" w:rsidRDefault="004435EC" w:rsidP="004435EC">
            <w:pPr>
              <w:rPr>
                <w:rFonts w:ascii="Franklin Gothic Book" w:hAnsi="Franklin Gothic Book"/>
                <w:b w:val="0"/>
                <w:color w:val="000000"/>
                <w:sz w:val="20"/>
                <w:szCs w:val="20"/>
              </w:rPr>
            </w:pPr>
            <w:r w:rsidRPr="00497664">
              <w:rPr>
                <w:rFonts w:ascii="Franklin Gothic Book" w:hAnsi="Franklin Gothic Book"/>
                <w:b w:val="0"/>
                <w:color w:val="000000"/>
                <w:sz w:val="20"/>
                <w:szCs w:val="20"/>
              </w:rPr>
              <w:lastRenderedPageBreak/>
              <w:t>Proportion of procurement contracts issued for Island Based Contractors, Community Based Contractors</w:t>
            </w:r>
            <w:r>
              <w:rPr>
                <w:rFonts w:ascii="Franklin Gothic Book" w:hAnsi="Franklin Gothic Book"/>
                <w:b w:val="0"/>
                <w:color w:val="000000"/>
                <w:sz w:val="20"/>
                <w:szCs w:val="20"/>
              </w:rPr>
              <w:t xml:space="preserve"> (%)</w:t>
            </w:r>
            <w:r w:rsidRPr="00497664">
              <w:rPr>
                <w:rStyle w:val="FootnoteReference"/>
                <w:color w:val="000000"/>
              </w:rPr>
              <w:footnoteReference w:id="41"/>
            </w:r>
          </w:p>
          <w:p w:rsidR="004435EC" w:rsidRPr="002D3094" w:rsidRDefault="004435EC" w:rsidP="004435EC">
            <w:pPr>
              <w:rPr>
                <w:rFonts w:ascii="Franklin Gothic Book" w:hAnsi="Franklin Gothic Book"/>
                <w:b w:val="0"/>
                <w:color w:val="000000"/>
                <w:sz w:val="16"/>
                <w:szCs w:val="16"/>
              </w:rPr>
            </w:pPr>
          </w:p>
        </w:tc>
        <w:tc>
          <w:tcPr>
            <w:tcW w:w="1984" w:type="dxa"/>
            <w:tcBorders>
              <w:top w:val="nil"/>
            </w:tcBorders>
            <w:shd w:val="clear" w:color="auto" w:fill="C1E7E0" w:themeFill="accent1" w:themeFillTint="66"/>
          </w:tcPr>
          <w:p w:rsidR="004435EC" w:rsidRPr="00497664" w:rsidRDefault="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IBC – 2</w:t>
            </w:r>
            <w:r w:rsidR="00C66CA2">
              <w:rPr>
                <w:rFonts w:ascii="Franklin Gothic Book" w:hAnsi="Franklin Gothic Book"/>
                <w:color w:val="000000"/>
                <w:sz w:val="20"/>
                <w:szCs w:val="20"/>
              </w:rPr>
              <w:t>6</w:t>
            </w:r>
            <w:r>
              <w:rPr>
                <w:rFonts w:ascii="Franklin Gothic Book" w:hAnsi="Franklin Gothic Book"/>
                <w:color w:val="000000"/>
                <w:sz w:val="20"/>
                <w:szCs w:val="20"/>
              </w:rPr>
              <w:t>%</w:t>
            </w:r>
            <w:r>
              <w:rPr>
                <w:rFonts w:ascii="Franklin Gothic Book" w:hAnsi="Franklin Gothic Book"/>
                <w:color w:val="000000"/>
                <w:sz w:val="20"/>
                <w:szCs w:val="20"/>
              </w:rPr>
              <w:br/>
              <w:t>CBC – 7</w:t>
            </w:r>
            <w:r w:rsidR="00C66CA2">
              <w:rPr>
                <w:rFonts w:ascii="Franklin Gothic Book" w:hAnsi="Franklin Gothic Book"/>
                <w:color w:val="000000"/>
                <w:sz w:val="20"/>
                <w:szCs w:val="20"/>
              </w:rPr>
              <w:t>3</w:t>
            </w:r>
            <w:r>
              <w:rPr>
                <w:rFonts w:ascii="Franklin Gothic Book" w:hAnsi="Franklin Gothic Book"/>
                <w:color w:val="000000"/>
                <w:sz w:val="20"/>
                <w:szCs w:val="20"/>
              </w:rPr>
              <w:t>%</w:t>
            </w:r>
          </w:p>
        </w:tc>
        <w:tc>
          <w:tcPr>
            <w:tcW w:w="1843" w:type="dxa"/>
            <w:tcBorders>
              <w:top w:val="nil"/>
            </w:tcBorders>
            <w:shd w:val="clear" w:color="auto" w:fill="C1E7E0" w:themeFill="accent1" w:themeFillTint="66"/>
          </w:tcPr>
          <w:p w:rsidR="004435EC" w:rsidRPr="00497664" w:rsidRDefault="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 xml:space="preserve">IBC – </w:t>
            </w:r>
            <w:r w:rsidR="00C66CA2">
              <w:rPr>
                <w:rFonts w:ascii="Franklin Gothic Book" w:hAnsi="Franklin Gothic Book"/>
                <w:color w:val="000000"/>
                <w:sz w:val="20"/>
                <w:szCs w:val="20"/>
              </w:rPr>
              <w:t>10</w:t>
            </w:r>
            <w:r>
              <w:rPr>
                <w:rFonts w:ascii="Franklin Gothic Book" w:hAnsi="Franklin Gothic Book"/>
                <w:color w:val="000000"/>
                <w:sz w:val="20"/>
                <w:szCs w:val="20"/>
              </w:rPr>
              <w:t>%</w:t>
            </w:r>
            <w:r>
              <w:rPr>
                <w:rFonts w:ascii="Franklin Gothic Book" w:hAnsi="Franklin Gothic Book"/>
                <w:color w:val="000000"/>
                <w:sz w:val="20"/>
                <w:szCs w:val="20"/>
              </w:rPr>
              <w:br/>
              <w:t xml:space="preserve">CBC – </w:t>
            </w:r>
            <w:r w:rsidR="00C66CA2">
              <w:rPr>
                <w:rFonts w:ascii="Franklin Gothic Book" w:hAnsi="Franklin Gothic Book"/>
                <w:color w:val="000000"/>
                <w:sz w:val="20"/>
                <w:szCs w:val="20"/>
              </w:rPr>
              <w:t>87</w:t>
            </w:r>
            <w:r>
              <w:rPr>
                <w:rFonts w:ascii="Franklin Gothic Book" w:hAnsi="Franklin Gothic Book"/>
                <w:color w:val="000000"/>
                <w:sz w:val="20"/>
                <w:szCs w:val="20"/>
              </w:rPr>
              <w:t>%</w:t>
            </w:r>
          </w:p>
        </w:tc>
        <w:tc>
          <w:tcPr>
            <w:tcW w:w="1559" w:type="dxa"/>
            <w:tcBorders>
              <w:top w:val="nil"/>
            </w:tcBorders>
            <w:shd w:val="clear" w:color="auto" w:fill="C1E7E0" w:themeFill="accent1" w:themeFillTint="66"/>
          </w:tcPr>
          <w:p w:rsidR="004435EC" w:rsidRPr="00497664"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 xml:space="preserve">IBC – </w:t>
            </w:r>
            <w:r w:rsidR="00C66CA2">
              <w:rPr>
                <w:rFonts w:ascii="Franklin Gothic Book" w:hAnsi="Franklin Gothic Book"/>
                <w:color w:val="000000"/>
                <w:sz w:val="20"/>
                <w:szCs w:val="20"/>
              </w:rPr>
              <w:t>76</w:t>
            </w:r>
            <w:r>
              <w:rPr>
                <w:rFonts w:ascii="Franklin Gothic Book" w:hAnsi="Franklin Gothic Book"/>
                <w:color w:val="000000"/>
                <w:sz w:val="20"/>
                <w:szCs w:val="20"/>
              </w:rPr>
              <w:t>%</w:t>
            </w:r>
            <w:r>
              <w:rPr>
                <w:rFonts w:ascii="Franklin Gothic Book" w:hAnsi="Franklin Gothic Book"/>
                <w:color w:val="000000"/>
                <w:sz w:val="20"/>
                <w:szCs w:val="20"/>
              </w:rPr>
              <w:br/>
              <w:t xml:space="preserve">CBC – </w:t>
            </w:r>
            <w:r w:rsidR="00BB71FB">
              <w:rPr>
                <w:rFonts w:ascii="Franklin Gothic Book" w:hAnsi="Franklin Gothic Book"/>
                <w:color w:val="000000"/>
                <w:sz w:val="20"/>
                <w:szCs w:val="20"/>
              </w:rPr>
              <w:t>24</w:t>
            </w:r>
            <w:r>
              <w:rPr>
                <w:rFonts w:ascii="Franklin Gothic Book" w:hAnsi="Franklin Gothic Book"/>
                <w:color w:val="000000"/>
                <w:sz w:val="20"/>
                <w:szCs w:val="20"/>
              </w:rPr>
              <w:t>%</w:t>
            </w:r>
          </w:p>
        </w:tc>
        <w:tc>
          <w:tcPr>
            <w:tcW w:w="1701" w:type="dxa"/>
            <w:tcBorders>
              <w:top w:val="nil"/>
            </w:tcBorders>
            <w:shd w:val="clear" w:color="auto" w:fill="C1E7E0" w:themeFill="accent1" w:themeFillTint="66"/>
          </w:tcPr>
          <w:p w:rsidR="004435EC" w:rsidRPr="00497664" w:rsidRDefault="00BB71FB"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TBA</w:t>
            </w:r>
          </w:p>
        </w:tc>
        <w:tc>
          <w:tcPr>
            <w:tcW w:w="4255" w:type="dxa"/>
            <w:tcBorders>
              <w:top w:val="nil"/>
              <w:bottom w:val="nil"/>
            </w:tcBorders>
            <w:shd w:val="clear" w:color="auto" w:fill="C1E7E0" w:themeFill="accent1" w:themeFillTint="66"/>
          </w:tcPr>
          <w:p w:rsidR="004435EC" w:rsidRPr="00C20AE3" w:rsidRDefault="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MIPU and PWD, R4D monitoring data</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C1E7E0" w:themeFill="accent1" w:themeFillTint="66"/>
          </w:tcPr>
          <w:p w:rsidR="004435EC" w:rsidRPr="002D3094" w:rsidRDefault="004435EC">
            <w:pPr>
              <w:rPr>
                <w:rFonts w:ascii="Franklin Gothic Book" w:hAnsi="Franklin Gothic Book"/>
                <w:b w:val="0"/>
                <w:color w:val="000000"/>
                <w:sz w:val="16"/>
                <w:szCs w:val="16"/>
              </w:rPr>
            </w:pPr>
            <w:r>
              <w:rPr>
                <w:rFonts w:ascii="Franklin Gothic Book" w:hAnsi="Franklin Gothic Book"/>
                <w:b w:val="0"/>
                <w:color w:val="000000"/>
                <w:sz w:val="20"/>
                <w:szCs w:val="20"/>
              </w:rPr>
              <w:t>Quantity of sewage disposed of in the Septage Treatment Facility</w:t>
            </w:r>
          </w:p>
        </w:tc>
        <w:tc>
          <w:tcPr>
            <w:tcW w:w="1984" w:type="dxa"/>
            <w:tcBorders>
              <w:top w:val="nil"/>
              <w:bottom w:val="nil"/>
            </w:tcBorders>
            <w:shd w:val="clear" w:color="auto" w:fill="C1E7E0" w:themeFill="accent1" w:themeFillTint="66"/>
          </w:tcPr>
          <w:p w:rsidR="004435EC" w:rsidRPr="009C2173"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843" w:type="dxa"/>
            <w:tcBorders>
              <w:top w:val="nil"/>
              <w:bottom w:val="nil"/>
            </w:tcBorders>
            <w:shd w:val="clear" w:color="auto" w:fill="C1E7E0" w:themeFill="accent1" w:themeFillTint="66"/>
          </w:tcPr>
          <w:p w:rsidR="004435EC" w:rsidRPr="000730A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20"/>
                <w:szCs w:val="20"/>
              </w:rPr>
              <w:t>N/A</w:t>
            </w:r>
          </w:p>
        </w:tc>
        <w:tc>
          <w:tcPr>
            <w:tcW w:w="1559" w:type="dxa"/>
            <w:tcBorders>
              <w:top w:val="nil"/>
              <w:bottom w:val="nil"/>
            </w:tcBorders>
            <w:shd w:val="clear" w:color="auto" w:fill="C1E7E0" w:themeFill="accent1" w:themeFillTint="66"/>
          </w:tcPr>
          <w:p w:rsidR="004435EC" w:rsidRPr="00BB71FB" w:rsidRDefault="004435EC" w:rsidP="0077216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BB71FB">
              <w:rPr>
                <w:rFonts w:ascii="Franklin Gothic Book" w:hAnsi="Franklin Gothic Book"/>
                <w:color w:val="000000"/>
                <w:sz w:val="20"/>
                <w:szCs w:val="20"/>
              </w:rPr>
              <w:t>2,028,000</w:t>
            </w:r>
            <w:r w:rsidRPr="00772167">
              <w:rPr>
                <w:rStyle w:val="FootnoteReference"/>
                <w:rFonts w:ascii="Franklin Gothic Book" w:hAnsi="Franklin Gothic Book"/>
                <w:color w:val="000000"/>
              </w:rPr>
              <w:footnoteReference w:id="42"/>
            </w:r>
          </w:p>
          <w:p w:rsidR="004435EC" w:rsidRPr="00BB71FB" w:rsidRDefault="004435EC" w:rsidP="0077216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BB71FB">
              <w:rPr>
                <w:rFonts w:ascii="Franklin Gothic Book" w:hAnsi="Franklin Gothic Book"/>
                <w:color w:val="000000"/>
                <w:sz w:val="16"/>
                <w:szCs w:val="16"/>
              </w:rPr>
              <w:t>Liquid waste volume</w:t>
            </w:r>
          </w:p>
        </w:tc>
        <w:tc>
          <w:tcPr>
            <w:tcW w:w="1701" w:type="dxa"/>
            <w:tcBorders>
              <w:top w:val="nil"/>
              <w:bottom w:val="nil"/>
            </w:tcBorders>
            <w:shd w:val="clear" w:color="auto" w:fill="C1E7E0" w:themeFill="accent1" w:themeFillTint="66"/>
          </w:tcPr>
          <w:p w:rsidR="00BB71FB" w:rsidRDefault="00BB71FB" w:rsidP="0077216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20"/>
                <w:szCs w:val="20"/>
              </w:rPr>
              <w:t>3</w:t>
            </w:r>
            <w:r w:rsidR="004435EC" w:rsidRPr="00BB71FB">
              <w:rPr>
                <w:rFonts w:ascii="Franklin Gothic Book" w:hAnsi="Franklin Gothic Book"/>
                <w:color w:val="000000"/>
                <w:sz w:val="20"/>
                <w:szCs w:val="20"/>
              </w:rPr>
              <w:t>,000,000</w:t>
            </w:r>
            <w:r w:rsidR="004435EC" w:rsidRPr="00BB71FB">
              <w:rPr>
                <w:rFonts w:ascii="Franklin Gothic Book" w:hAnsi="Franklin Gothic Book"/>
                <w:color w:val="000000"/>
                <w:sz w:val="20"/>
                <w:szCs w:val="20"/>
              </w:rPr>
              <w:br/>
            </w:r>
            <w:r w:rsidR="004435EC" w:rsidRPr="00772167">
              <w:rPr>
                <w:rFonts w:ascii="Franklin Gothic Book" w:hAnsi="Franklin Gothic Book"/>
                <w:color w:val="000000"/>
                <w:sz w:val="16"/>
                <w:szCs w:val="16"/>
              </w:rPr>
              <w:t xml:space="preserve">Liquid waste </w:t>
            </w:r>
          </w:p>
          <w:p w:rsidR="004435EC" w:rsidRPr="00BB71FB" w:rsidRDefault="004435EC" w:rsidP="0077216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16"/>
                <w:szCs w:val="16"/>
              </w:rPr>
              <w:t>volume</w:t>
            </w:r>
          </w:p>
        </w:tc>
        <w:tc>
          <w:tcPr>
            <w:tcW w:w="4255" w:type="dxa"/>
            <w:tcBorders>
              <w:top w:val="nil"/>
              <w:bottom w:val="nil"/>
            </w:tcBorders>
            <w:shd w:val="clear" w:color="auto" w:fill="C1E7E0" w:themeFill="accent1" w:themeFillTint="66"/>
          </w:tcPr>
          <w:p w:rsidR="004435EC"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MIPU and PVU</w:t>
            </w:r>
            <w:r>
              <w:rPr>
                <w:rFonts w:ascii="Franklin Gothic Book" w:hAnsi="Franklin Gothic Book"/>
                <w:color w:val="000000"/>
                <w:sz w:val="16"/>
                <w:szCs w:val="16"/>
              </w:rPr>
              <w:t>DP</w:t>
            </w:r>
            <w:r w:rsidRPr="00C20AE3">
              <w:rPr>
                <w:rFonts w:ascii="Franklin Gothic Book" w:hAnsi="Franklin Gothic Book"/>
                <w:color w:val="000000"/>
                <w:sz w:val="16"/>
                <w:szCs w:val="16"/>
              </w:rPr>
              <w:t xml:space="preserve"> monitoring data</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Port Vila Municipal Council data</w:t>
            </w:r>
          </w:p>
        </w:tc>
      </w:tr>
      <w:tr w:rsidR="004435EC" w:rsidRPr="006D2BA6"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DDECD0" w:themeFill="accent3" w:themeFillTint="66"/>
          </w:tcPr>
          <w:p w:rsidR="004435EC" w:rsidRPr="0078487A" w:rsidRDefault="004435EC">
            <w:pPr>
              <w:rPr>
                <w:rFonts w:ascii="Franklin Gothic Book" w:hAnsi="Franklin Gothic Book"/>
                <w:b w:val="0"/>
                <w:color w:val="000000"/>
                <w:sz w:val="16"/>
                <w:szCs w:val="16"/>
              </w:rPr>
            </w:pPr>
            <w:r w:rsidRPr="0078487A">
              <w:rPr>
                <w:rFonts w:ascii="Franklin Gothic Book" w:hAnsi="Franklin Gothic Book"/>
                <w:b w:val="0"/>
                <w:color w:val="000000"/>
                <w:sz w:val="20"/>
                <w:szCs w:val="20"/>
              </w:rPr>
              <w:t xml:space="preserve">Variations </w:t>
            </w:r>
            <w:r>
              <w:rPr>
                <w:rFonts w:ascii="Franklin Gothic Book" w:hAnsi="Franklin Gothic Book"/>
                <w:b w:val="0"/>
                <w:color w:val="000000"/>
                <w:sz w:val="20"/>
                <w:szCs w:val="20"/>
              </w:rPr>
              <w:t>&amp;</w:t>
            </w:r>
            <w:r w:rsidRPr="0078487A">
              <w:rPr>
                <w:rFonts w:ascii="Franklin Gothic Book" w:hAnsi="Franklin Gothic Book"/>
                <w:b w:val="0"/>
                <w:color w:val="000000"/>
                <w:sz w:val="20"/>
                <w:szCs w:val="20"/>
              </w:rPr>
              <w:t xml:space="preserve"> virements between </w:t>
            </w:r>
            <w:r>
              <w:rPr>
                <w:rFonts w:ascii="Franklin Gothic Book" w:hAnsi="Franklin Gothic Book"/>
                <w:b w:val="0"/>
                <w:color w:val="000000"/>
                <w:sz w:val="20"/>
                <w:szCs w:val="20"/>
              </w:rPr>
              <w:t xml:space="preserve">approved national </w:t>
            </w:r>
            <w:r w:rsidRPr="0078487A">
              <w:rPr>
                <w:rFonts w:ascii="Franklin Gothic Book" w:hAnsi="Franklin Gothic Book"/>
                <w:b w:val="0"/>
                <w:color w:val="000000"/>
                <w:sz w:val="20"/>
                <w:szCs w:val="20"/>
              </w:rPr>
              <w:t xml:space="preserve">budget </w:t>
            </w:r>
            <w:r>
              <w:rPr>
                <w:rFonts w:ascii="Franklin Gothic Book" w:hAnsi="Franklin Gothic Book"/>
                <w:b w:val="0"/>
                <w:color w:val="000000"/>
                <w:sz w:val="20"/>
                <w:szCs w:val="20"/>
              </w:rPr>
              <w:t>&amp;</w:t>
            </w:r>
            <w:r w:rsidRPr="0078487A">
              <w:rPr>
                <w:rFonts w:ascii="Franklin Gothic Book" w:hAnsi="Franklin Gothic Book"/>
                <w:b w:val="0"/>
                <w:color w:val="000000"/>
                <w:sz w:val="20"/>
                <w:szCs w:val="20"/>
              </w:rPr>
              <w:t xml:space="preserve"> outturn (% </w:t>
            </w:r>
            <w:r>
              <w:rPr>
                <w:rFonts w:ascii="Franklin Gothic Book" w:hAnsi="Franklin Gothic Book"/>
                <w:b w:val="0"/>
                <w:color w:val="000000"/>
                <w:sz w:val="20"/>
                <w:szCs w:val="20"/>
              </w:rPr>
              <w:t>&amp;</w:t>
            </w:r>
            <w:r w:rsidRPr="0078487A">
              <w:rPr>
                <w:rFonts w:ascii="Franklin Gothic Book" w:hAnsi="Franklin Gothic Book"/>
                <w:b w:val="0"/>
                <w:color w:val="000000"/>
                <w:sz w:val="20"/>
                <w:szCs w:val="20"/>
              </w:rPr>
              <w:t xml:space="preserve"> VU</w:t>
            </w:r>
            <w:r w:rsidR="00552CF1">
              <w:rPr>
                <w:rFonts w:ascii="Franklin Gothic Book" w:hAnsi="Franklin Gothic Book"/>
                <w:b w:val="0"/>
                <w:color w:val="000000"/>
                <w:sz w:val="20"/>
                <w:szCs w:val="20"/>
              </w:rPr>
              <w:t>V</w:t>
            </w:r>
            <w:r w:rsidR="00BB71FB">
              <w:rPr>
                <w:rFonts w:ascii="Franklin Gothic Book" w:hAnsi="Franklin Gothic Book"/>
                <w:b w:val="0"/>
                <w:color w:val="000000"/>
                <w:sz w:val="20"/>
                <w:szCs w:val="20"/>
              </w:rPr>
              <w:t>)</w:t>
            </w:r>
          </w:p>
        </w:tc>
        <w:tc>
          <w:tcPr>
            <w:tcW w:w="1984" w:type="dxa"/>
            <w:tcBorders>
              <w:top w:val="nil"/>
            </w:tcBorders>
            <w:shd w:val="clear" w:color="auto" w:fill="DDECD0" w:themeFill="accent3" w:themeFillTint="66"/>
          </w:tcPr>
          <w:p w:rsidR="004435EC" w:rsidRPr="0024028A"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843" w:type="dxa"/>
            <w:tcBorders>
              <w:top w:val="nil"/>
            </w:tcBorders>
            <w:shd w:val="clear" w:color="auto" w:fill="DDECD0" w:themeFill="accent3"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559" w:type="dxa"/>
            <w:tcBorders>
              <w:top w:val="nil"/>
            </w:tcBorders>
            <w:shd w:val="clear" w:color="auto" w:fill="DDECD0" w:themeFill="accent3"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701" w:type="dxa"/>
            <w:tcBorders>
              <w:top w:val="nil"/>
            </w:tcBorders>
            <w:shd w:val="clear" w:color="auto" w:fill="DDECD0" w:themeFill="accent3" w:themeFillTint="66"/>
          </w:tcPr>
          <w:p w:rsidR="004435EC" w:rsidRPr="006B3654"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Baseline TBC</w:t>
            </w:r>
          </w:p>
        </w:tc>
        <w:tc>
          <w:tcPr>
            <w:tcW w:w="4255" w:type="dxa"/>
            <w:tcBorders>
              <w:top w:val="nil"/>
              <w:bottom w:val="nil"/>
            </w:tcBorders>
            <w:shd w:val="clear" w:color="auto" w:fill="DDECD0" w:themeFill="accent3" w:themeFillTint="66"/>
          </w:tcPr>
          <w:p w:rsidR="004435EC"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MFEM GFS Tables</w:t>
            </w:r>
            <w:r>
              <w:rPr>
                <w:rFonts w:ascii="Franklin Gothic Book" w:hAnsi="Franklin Gothic Book"/>
                <w:color w:val="000000"/>
                <w:sz w:val="16"/>
                <w:szCs w:val="16"/>
              </w:rPr>
              <w:t xml:space="preserve">; </w:t>
            </w:r>
            <w:r w:rsidRPr="00C20AE3">
              <w:rPr>
                <w:rFonts w:ascii="Franklin Gothic Book" w:hAnsi="Franklin Gothic Book"/>
                <w:color w:val="000000"/>
                <w:sz w:val="16"/>
                <w:szCs w:val="16"/>
              </w:rPr>
              <w:t>GfG monitoring records</w:t>
            </w:r>
          </w:p>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highlight w:val="yellow"/>
              </w:rPr>
            </w:pPr>
            <w:r>
              <w:rPr>
                <w:rFonts w:ascii="Franklin Gothic Book" w:hAnsi="Franklin Gothic Book"/>
                <w:color w:val="000000"/>
                <w:sz w:val="16"/>
                <w:szCs w:val="16"/>
              </w:rPr>
              <w:t>Sector program and line Ministry financial records</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DDECD0" w:themeFill="accent3" w:themeFillTint="66"/>
          </w:tcPr>
          <w:p w:rsidR="004435EC" w:rsidRPr="0078487A" w:rsidRDefault="004435EC" w:rsidP="004435EC">
            <w:pPr>
              <w:rPr>
                <w:rFonts w:ascii="Franklin Gothic Book" w:hAnsi="Franklin Gothic Book"/>
                <w:color w:val="000000"/>
                <w:sz w:val="20"/>
                <w:szCs w:val="20"/>
              </w:rPr>
            </w:pPr>
          </w:p>
        </w:tc>
        <w:tc>
          <w:tcPr>
            <w:tcW w:w="1984" w:type="dxa"/>
            <w:tcBorders>
              <w:top w:val="nil"/>
            </w:tcBorders>
            <w:shd w:val="clear" w:color="auto" w:fill="DDECD0" w:themeFill="accent3" w:themeFillTint="66"/>
          </w:tcPr>
          <w:p w:rsidR="004435EC" w:rsidRPr="0024028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tc>
        <w:tc>
          <w:tcPr>
            <w:tcW w:w="1843"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tc>
        <w:tc>
          <w:tcPr>
            <w:tcW w:w="1559"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tc>
        <w:tc>
          <w:tcPr>
            <w:tcW w:w="1701" w:type="dxa"/>
            <w:tcBorders>
              <w:top w:val="nil"/>
            </w:tcBorders>
            <w:shd w:val="clear" w:color="auto" w:fill="DDECD0" w:themeFill="accent3" w:themeFillTint="66"/>
          </w:tcPr>
          <w:p w:rsidR="004435EC" w:rsidRPr="006B3654"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tc>
        <w:tc>
          <w:tcPr>
            <w:tcW w:w="425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p>
        </w:tc>
      </w:tr>
      <w:tr w:rsidR="004435EC" w:rsidRPr="006D2BA6"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C1E7E0" w:themeFill="accent1" w:themeFillTint="66"/>
          </w:tcPr>
          <w:p w:rsidR="004435EC" w:rsidRPr="002D3094" w:rsidRDefault="004435EC" w:rsidP="00CB655E">
            <w:pPr>
              <w:rPr>
                <w:rFonts w:ascii="Franklin Gothic Book" w:hAnsi="Franklin Gothic Book"/>
                <w:b w:val="0"/>
                <w:color w:val="000000"/>
                <w:sz w:val="16"/>
                <w:szCs w:val="16"/>
              </w:rPr>
            </w:pPr>
            <w:r>
              <w:rPr>
                <w:rFonts w:ascii="Franklin Gothic Book" w:hAnsi="Franklin Gothic Book"/>
                <w:b w:val="0"/>
                <w:color w:val="000000"/>
                <w:sz w:val="20"/>
                <w:szCs w:val="20"/>
              </w:rPr>
              <w:t>Number of ni-Vanuatu women</w:t>
            </w:r>
            <w:r w:rsidR="00CB655E">
              <w:rPr>
                <w:rStyle w:val="FootnoteReference"/>
                <w:rFonts w:ascii="Franklin Gothic Book" w:hAnsi="Franklin Gothic Book"/>
                <w:b w:val="0"/>
                <w:color w:val="000000"/>
                <w:sz w:val="20"/>
                <w:szCs w:val="20"/>
              </w:rPr>
              <w:footnoteReference w:id="43"/>
            </w:r>
            <w:r>
              <w:rPr>
                <w:rFonts w:ascii="Franklin Gothic Book" w:hAnsi="Franklin Gothic Book"/>
                <w:b w:val="0"/>
                <w:color w:val="000000"/>
                <w:sz w:val="20"/>
                <w:szCs w:val="20"/>
              </w:rPr>
              <w:t xml:space="preserve"> and men engaged in seasonal worker program</w:t>
            </w:r>
            <w:r w:rsidR="00CB655E">
              <w:rPr>
                <w:rFonts w:ascii="Franklin Gothic Book" w:hAnsi="Franklin Gothic Book"/>
                <w:b w:val="0"/>
                <w:color w:val="000000"/>
                <w:sz w:val="20"/>
                <w:szCs w:val="20"/>
              </w:rPr>
              <w:t xml:space="preserve"> </w:t>
            </w:r>
          </w:p>
        </w:tc>
        <w:tc>
          <w:tcPr>
            <w:tcW w:w="1984" w:type="dxa"/>
            <w:tcBorders>
              <w:top w:val="nil"/>
              <w:bottom w:val="nil"/>
            </w:tcBorders>
            <w:shd w:val="clear" w:color="auto" w:fill="C1E7E0" w:themeFill="accent1" w:themeFillTint="66"/>
          </w:tcPr>
          <w:p w:rsidR="004435EC" w:rsidRPr="00A349CF"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192</w:t>
            </w:r>
            <w:r w:rsidRPr="00A349CF">
              <w:rPr>
                <w:rFonts w:ascii="Franklin Gothic Book" w:hAnsi="Franklin Gothic Book"/>
                <w:color w:val="000000"/>
                <w:sz w:val="28"/>
                <w:szCs w:val="28"/>
              </w:rPr>
              <w:sym w:font="Webdings" w:char="F081"/>
            </w:r>
            <w:r>
              <w:rPr>
                <w:rFonts w:ascii="Franklin Gothic Book" w:hAnsi="Franklin Gothic Book"/>
                <w:color w:val="000000"/>
                <w:sz w:val="20"/>
                <w:szCs w:val="20"/>
              </w:rPr>
              <w:t>| 1,006</w:t>
            </w:r>
            <w:r w:rsidRPr="00A349CF">
              <w:rPr>
                <w:rFonts w:ascii="Franklin Gothic Book" w:hAnsi="Franklin Gothic Book"/>
                <w:color w:val="000000"/>
                <w:sz w:val="28"/>
                <w:szCs w:val="28"/>
              </w:rPr>
              <w:sym w:font="Webdings" w:char="F080"/>
            </w:r>
          </w:p>
          <w:p w:rsidR="004435EC" w:rsidRPr="009C2173"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A349CF">
              <w:rPr>
                <w:rFonts w:ascii="Franklin Gothic Book" w:hAnsi="Franklin Gothic Book"/>
                <w:color w:val="000000"/>
                <w:sz w:val="16"/>
                <w:szCs w:val="16"/>
              </w:rPr>
              <w:t>[</w:t>
            </w:r>
            <w:r>
              <w:rPr>
                <w:rFonts w:ascii="Franklin Gothic Book" w:hAnsi="Franklin Gothic Book"/>
                <w:color w:val="000000"/>
                <w:sz w:val="16"/>
                <w:szCs w:val="16"/>
              </w:rPr>
              <w:t>Labour Mobility Team</w:t>
            </w:r>
            <w:r w:rsidRPr="00A349CF">
              <w:rPr>
                <w:rFonts w:ascii="Franklin Gothic Book" w:hAnsi="Franklin Gothic Book"/>
                <w:color w:val="000000"/>
                <w:sz w:val="16"/>
                <w:szCs w:val="16"/>
              </w:rPr>
              <w:t>]</w:t>
            </w:r>
          </w:p>
        </w:tc>
        <w:tc>
          <w:tcPr>
            <w:tcW w:w="1843" w:type="dxa"/>
            <w:tcBorders>
              <w:top w:val="nil"/>
              <w:bottom w:val="nil"/>
            </w:tcBorders>
            <w:shd w:val="clear" w:color="auto" w:fill="C1E7E0" w:themeFill="accent1" w:themeFillTint="66"/>
          </w:tcPr>
          <w:p w:rsidR="004435EC" w:rsidRPr="00A349CF"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395</w:t>
            </w:r>
            <w:r w:rsidRPr="00A349CF">
              <w:rPr>
                <w:rFonts w:ascii="Franklin Gothic Book" w:hAnsi="Franklin Gothic Book"/>
                <w:color w:val="000000"/>
                <w:sz w:val="28"/>
                <w:szCs w:val="28"/>
              </w:rPr>
              <w:sym w:font="Webdings" w:char="F081"/>
            </w:r>
            <w:r>
              <w:rPr>
                <w:rFonts w:ascii="Franklin Gothic Book" w:hAnsi="Franklin Gothic Book"/>
                <w:color w:val="000000"/>
                <w:sz w:val="20"/>
                <w:szCs w:val="20"/>
              </w:rPr>
              <w:t>| 2,149</w:t>
            </w:r>
            <w:r w:rsidRPr="00A349CF">
              <w:rPr>
                <w:rFonts w:ascii="Franklin Gothic Book" w:hAnsi="Franklin Gothic Book"/>
                <w:color w:val="000000"/>
                <w:sz w:val="28"/>
                <w:szCs w:val="28"/>
              </w:rPr>
              <w:sym w:font="Webdings" w:char="F080"/>
            </w:r>
          </w:p>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A349CF">
              <w:rPr>
                <w:rFonts w:ascii="Franklin Gothic Book" w:hAnsi="Franklin Gothic Book"/>
                <w:color w:val="000000"/>
                <w:sz w:val="16"/>
                <w:szCs w:val="16"/>
              </w:rPr>
              <w:t>[</w:t>
            </w:r>
            <w:r>
              <w:rPr>
                <w:rFonts w:ascii="Franklin Gothic Book" w:hAnsi="Franklin Gothic Book"/>
                <w:color w:val="000000"/>
                <w:sz w:val="16"/>
                <w:szCs w:val="16"/>
              </w:rPr>
              <w:t>Labour Mobility Team</w:t>
            </w:r>
            <w:r w:rsidRPr="00A349CF">
              <w:rPr>
                <w:rFonts w:ascii="Franklin Gothic Book" w:hAnsi="Franklin Gothic Book"/>
                <w:color w:val="000000"/>
                <w:sz w:val="16"/>
                <w:szCs w:val="16"/>
              </w:rPr>
              <w:t>]</w:t>
            </w:r>
          </w:p>
        </w:tc>
        <w:tc>
          <w:tcPr>
            <w:tcW w:w="1559"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520</w:t>
            </w:r>
            <w:r w:rsidRPr="00A349CF">
              <w:rPr>
                <w:rFonts w:ascii="Franklin Gothic Book" w:hAnsi="Franklin Gothic Book"/>
                <w:color w:val="000000"/>
                <w:sz w:val="28"/>
                <w:szCs w:val="28"/>
              </w:rPr>
              <w:sym w:font="Webdings" w:char="F081"/>
            </w:r>
            <w:r>
              <w:rPr>
                <w:rFonts w:ascii="Franklin Gothic Book" w:hAnsi="Franklin Gothic Book"/>
                <w:color w:val="000000"/>
                <w:sz w:val="20"/>
                <w:szCs w:val="20"/>
              </w:rPr>
              <w:t>| 2,828</w:t>
            </w:r>
            <w:r w:rsidRPr="00A349CF">
              <w:rPr>
                <w:rFonts w:ascii="Franklin Gothic Book" w:hAnsi="Franklin Gothic Book"/>
                <w:color w:val="000000"/>
                <w:sz w:val="28"/>
                <w:szCs w:val="28"/>
              </w:rPr>
              <w:sym w:font="Webdings" w:char="F080"/>
            </w:r>
          </w:p>
        </w:tc>
        <w:tc>
          <w:tcPr>
            <w:tcW w:w="1701" w:type="dxa"/>
            <w:tcBorders>
              <w:top w:val="nil"/>
              <w:bottom w:val="nil"/>
            </w:tcBorders>
            <w:shd w:val="clear" w:color="auto" w:fill="C1E7E0" w:themeFill="accent1" w:themeFillTint="66"/>
          </w:tcPr>
          <w:p w:rsidR="004435EC" w:rsidRPr="006B3654" w:rsidRDefault="004435EC" w:rsidP="004435EC">
            <w:pPr>
              <w:ind w:left="-109" w:firstLine="109"/>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550</w:t>
            </w:r>
            <w:r w:rsidRPr="00A349CF">
              <w:rPr>
                <w:rFonts w:ascii="Franklin Gothic Book" w:hAnsi="Franklin Gothic Book"/>
                <w:color w:val="000000"/>
                <w:sz w:val="28"/>
                <w:szCs w:val="28"/>
              </w:rPr>
              <w:sym w:font="Webdings" w:char="F081"/>
            </w:r>
            <w:r>
              <w:rPr>
                <w:rFonts w:ascii="Franklin Gothic Book" w:hAnsi="Franklin Gothic Book"/>
                <w:color w:val="000000"/>
                <w:sz w:val="20"/>
                <w:szCs w:val="20"/>
              </w:rPr>
              <w:t>| 2,850</w:t>
            </w:r>
            <w:r w:rsidRPr="00A349CF">
              <w:rPr>
                <w:rFonts w:ascii="Franklin Gothic Book" w:hAnsi="Franklin Gothic Book"/>
                <w:color w:val="000000"/>
                <w:sz w:val="28"/>
                <w:szCs w:val="28"/>
              </w:rPr>
              <w:sym w:font="Webdings" w:char="F080"/>
            </w:r>
          </w:p>
        </w:tc>
        <w:tc>
          <w:tcPr>
            <w:tcW w:w="4255" w:type="dxa"/>
            <w:tcBorders>
              <w:top w:val="nil"/>
              <w:bottom w:val="nil"/>
            </w:tcBorders>
            <w:shd w:val="clear" w:color="auto" w:fill="C1E7E0" w:themeFill="accent1" w:themeFillTint="66"/>
          </w:tcPr>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Australian Government and LMAP</w:t>
            </w:r>
            <w:r w:rsidRPr="00C20AE3">
              <w:rPr>
                <w:rFonts w:ascii="Franklin Gothic Book" w:hAnsi="Franklin Gothic Book"/>
                <w:color w:val="000000"/>
                <w:sz w:val="16"/>
                <w:szCs w:val="16"/>
              </w:rPr>
              <w:t xml:space="preserve"> monitoring data</w:t>
            </w:r>
          </w:p>
        </w:tc>
      </w:tr>
      <w:tr w:rsidR="004435EC" w:rsidRPr="006D2BA6" w:rsidTr="0077216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DDECD0" w:themeFill="accent3" w:themeFillTint="66"/>
          </w:tcPr>
          <w:p w:rsidR="004435EC" w:rsidRPr="00497664" w:rsidRDefault="0098729D">
            <w:pPr>
              <w:rPr>
                <w:rFonts w:ascii="Franklin Gothic Book" w:hAnsi="Franklin Gothic Book"/>
                <w:b w:val="0"/>
                <w:color w:val="000000"/>
                <w:sz w:val="20"/>
                <w:szCs w:val="20"/>
              </w:rPr>
            </w:pPr>
            <w:r>
              <w:rPr>
                <w:rFonts w:ascii="Franklin Gothic Book" w:hAnsi="Franklin Gothic Book"/>
                <w:b w:val="0"/>
                <w:color w:val="000000"/>
                <w:sz w:val="20"/>
                <w:szCs w:val="20"/>
              </w:rPr>
              <w:t>Proportion of VSP</w:t>
            </w:r>
            <w:r w:rsidR="004435EC">
              <w:rPr>
                <w:rFonts w:ascii="Franklin Gothic Book" w:hAnsi="Franklin Gothic Book"/>
                <w:b w:val="0"/>
                <w:color w:val="000000"/>
                <w:sz w:val="20"/>
                <w:szCs w:val="20"/>
              </w:rPr>
              <w:t xml:space="preserve"> clients</w:t>
            </w:r>
            <w:r>
              <w:rPr>
                <w:rFonts w:ascii="Franklin Gothic Book" w:hAnsi="Franklin Gothic Book"/>
                <w:b w:val="0"/>
                <w:color w:val="000000"/>
                <w:sz w:val="20"/>
                <w:szCs w:val="20"/>
              </w:rPr>
              <w:t xml:space="preserve"> who increase their income following training</w:t>
            </w:r>
          </w:p>
        </w:tc>
        <w:tc>
          <w:tcPr>
            <w:tcW w:w="1984" w:type="dxa"/>
            <w:tcBorders>
              <w:top w:val="nil"/>
              <w:bottom w:val="nil"/>
            </w:tcBorders>
            <w:shd w:val="clear" w:color="auto" w:fill="DDECD0" w:themeFill="accent3" w:themeFillTint="66"/>
          </w:tcPr>
          <w:p w:rsidR="004435EC" w:rsidRPr="00A349C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68%</w:t>
            </w:r>
            <w:r w:rsidRPr="00A349CF">
              <w:rPr>
                <w:rFonts w:ascii="Franklin Gothic Book" w:hAnsi="Franklin Gothic Book"/>
                <w:color w:val="000000"/>
                <w:sz w:val="28"/>
                <w:szCs w:val="28"/>
              </w:rPr>
              <w:sym w:font="Webdings" w:char="F081"/>
            </w:r>
            <w:r>
              <w:rPr>
                <w:rFonts w:ascii="Franklin Gothic Book" w:hAnsi="Franklin Gothic Book"/>
                <w:color w:val="000000"/>
                <w:sz w:val="20"/>
                <w:szCs w:val="20"/>
              </w:rPr>
              <w:t xml:space="preserve">| 61% </w:t>
            </w:r>
            <w:r w:rsidRPr="00A349CF">
              <w:rPr>
                <w:rFonts w:ascii="Franklin Gothic Book" w:hAnsi="Franklin Gothic Book"/>
                <w:color w:val="000000"/>
                <w:sz w:val="28"/>
                <w:szCs w:val="28"/>
              </w:rPr>
              <w:sym w:font="Webdings" w:char="F080"/>
            </w:r>
          </w:p>
          <w:p w:rsidR="004435EC" w:rsidRPr="00A349C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A349CF">
              <w:rPr>
                <w:rFonts w:ascii="Franklin Gothic Book" w:hAnsi="Franklin Gothic Book"/>
                <w:color w:val="000000"/>
                <w:sz w:val="16"/>
                <w:szCs w:val="16"/>
              </w:rPr>
              <w:t>[2015 TVET Annual report Table 5, p45]</w:t>
            </w:r>
          </w:p>
        </w:tc>
        <w:tc>
          <w:tcPr>
            <w:tcW w:w="1843" w:type="dxa"/>
            <w:tcBorders>
              <w:top w:val="nil"/>
              <w:bottom w:val="nil"/>
            </w:tcBorders>
            <w:shd w:val="clear" w:color="auto" w:fill="DDECD0" w:themeFill="accent3" w:themeFillTint="66"/>
          </w:tcPr>
          <w:p w:rsidR="004435EC" w:rsidRDefault="006413E7"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20"/>
                <w:szCs w:val="20"/>
              </w:rPr>
              <w:t>N/A</w:t>
            </w:r>
          </w:p>
          <w:p w:rsidR="004435EC" w:rsidRPr="007C4076"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p>
        </w:tc>
        <w:tc>
          <w:tcPr>
            <w:tcW w:w="1559" w:type="dxa"/>
            <w:tcBorders>
              <w:top w:val="nil"/>
              <w:bottom w:val="nil"/>
            </w:tcBorders>
            <w:shd w:val="clear" w:color="auto" w:fill="DDECD0" w:themeFill="accent3" w:themeFillTint="66"/>
          </w:tcPr>
          <w:p w:rsidR="004435EC" w:rsidRDefault="006413E7" w:rsidP="00772167">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701" w:type="dxa"/>
            <w:tcBorders>
              <w:top w:val="nil"/>
              <w:bottom w:val="nil"/>
            </w:tcBorders>
            <w:shd w:val="clear" w:color="auto" w:fill="DDECD0" w:themeFill="accent3" w:themeFillTint="66"/>
          </w:tcPr>
          <w:p w:rsidR="004435EC" w:rsidRPr="006B3654"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New baseline TBC</w:t>
            </w:r>
          </w:p>
        </w:tc>
        <w:tc>
          <w:tcPr>
            <w:tcW w:w="4255" w:type="dxa"/>
            <w:tcBorders>
              <w:top w:val="nil"/>
              <w:bottom w:val="nil"/>
            </w:tcBorders>
            <w:shd w:val="clear" w:color="auto" w:fill="DDECD0" w:themeFill="accent3" w:themeFillTint="66"/>
          </w:tcPr>
          <w:p w:rsidR="004435EC"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Skills Partnership</w:t>
            </w:r>
            <w:r w:rsidRPr="00C20AE3">
              <w:rPr>
                <w:rFonts w:ascii="Franklin Gothic Book" w:hAnsi="Franklin Gothic Book"/>
                <w:color w:val="000000"/>
                <w:sz w:val="16"/>
                <w:szCs w:val="16"/>
              </w:rPr>
              <w:t xml:space="preserve"> monitoring data disaggregated by location, sex and disability.</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p>
        </w:tc>
      </w:tr>
      <w:tr w:rsidR="004435EC" w:rsidRPr="006D2BA6" w:rsidTr="00772167">
        <w:trPr>
          <w:trHeight w:val="227"/>
        </w:trPr>
        <w:tc>
          <w:tcPr>
            <w:cnfStyle w:val="001000000000" w:firstRow="0" w:lastRow="0" w:firstColumn="1" w:lastColumn="0" w:oddVBand="0" w:evenVBand="0" w:oddHBand="0" w:evenHBand="0" w:firstRowFirstColumn="0" w:firstRowLastColumn="0" w:lastRowFirstColumn="0" w:lastRowLastColumn="0"/>
            <w:tcW w:w="3828" w:type="dxa"/>
            <w:tcBorders>
              <w:top w:val="nil"/>
              <w:bottom w:val="nil"/>
            </w:tcBorders>
            <w:shd w:val="clear" w:color="auto" w:fill="C1E7E0" w:themeFill="accent1" w:themeFillTint="66"/>
          </w:tcPr>
          <w:p w:rsidR="004435EC" w:rsidRPr="008A771C" w:rsidRDefault="004435EC" w:rsidP="004435EC">
            <w:pPr>
              <w:rPr>
                <w:rFonts w:ascii="Franklin Gothic Book" w:hAnsi="Franklin Gothic Book"/>
                <w:b w:val="0"/>
                <w:color w:val="000000"/>
                <w:sz w:val="20"/>
                <w:szCs w:val="20"/>
              </w:rPr>
            </w:pPr>
            <w:r w:rsidRPr="002D3094">
              <w:rPr>
                <w:rFonts w:ascii="Franklin Gothic Book" w:hAnsi="Franklin Gothic Book"/>
                <w:b w:val="0"/>
                <w:color w:val="000000"/>
                <w:sz w:val="20"/>
                <w:szCs w:val="20"/>
              </w:rPr>
              <w:t>Number of Australian tourists travelling to Vanuatu</w:t>
            </w:r>
          </w:p>
        </w:tc>
        <w:tc>
          <w:tcPr>
            <w:tcW w:w="1984"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46,900</w:t>
            </w:r>
          </w:p>
          <w:p w:rsidR="004435EC" w:rsidRPr="00A349CF"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A349CF">
              <w:rPr>
                <w:rFonts w:ascii="Franklin Gothic Book" w:hAnsi="Franklin Gothic Book"/>
                <w:color w:val="000000"/>
                <w:sz w:val="16"/>
                <w:szCs w:val="16"/>
              </w:rPr>
              <w:t>[</w:t>
            </w:r>
            <w:r>
              <w:rPr>
                <w:rFonts w:ascii="Franklin Gothic Book" w:hAnsi="Franklin Gothic Book"/>
                <w:color w:val="000000"/>
                <w:sz w:val="16"/>
                <w:szCs w:val="16"/>
              </w:rPr>
              <w:t>DIBP OAD d</w:t>
            </w:r>
            <w:r w:rsidRPr="00C204FF">
              <w:rPr>
                <w:rFonts w:ascii="Franklin Gothic Book" w:hAnsi="Franklin Gothic Book"/>
                <w:color w:val="000000"/>
                <w:sz w:val="16"/>
                <w:szCs w:val="16"/>
              </w:rPr>
              <w:t>ata</w:t>
            </w:r>
            <w:r>
              <w:rPr>
                <w:rFonts w:ascii="Franklin Gothic Book" w:hAnsi="Franklin Gothic Book"/>
                <w:color w:val="000000"/>
                <w:sz w:val="16"/>
                <w:szCs w:val="16"/>
              </w:rPr>
              <w:t>]</w:t>
            </w:r>
          </w:p>
        </w:tc>
        <w:tc>
          <w:tcPr>
            <w:tcW w:w="1843"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54,637</w:t>
            </w:r>
          </w:p>
          <w:p w:rsidR="004435EC" w:rsidRPr="00A349CF"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A349CF">
              <w:rPr>
                <w:rFonts w:ascii="Franklin Gothic Book" w:hAnsi="Franklin Gothic Book"/>
                <w:color w:val="000000"/>
                <w:sz w:val="16"/>
                <w:szCs w:val="16"/>
              </w:rPr>
              <w:t>[</w:t>
            </w:r>
            <w:r>
              <w:rPr>
                <w:rFonts w:ascii="Franklin Gothic Book" w:hAnsi="Franklin Gothic Book"/>
                <w:color w:val="000000"/>
                <w:sz w:val="16"/>
                <w:szCs w:val="16"/>
              </w:rPr>
              <w:t>DIBP OAD data</w:t>
            </w:r>
            <w:r w:rsidRPr="00A349CF">
              <w:rPr>
                <w:rFonts w:ascii="Franklin Gothic Book" w:hAnsi="Franklin Gothic Book"/>
                <w:color w:val="000000"/>
                <w:sz w:val="16"/>
                <w:szCs w:val="16"/>
              </w:rPr>
              <w:t>]</w:t>
            </w:r>
          </w:p>
        </w:tc>
        <w:tc>
          <w:tcPr>
            <w:tcW w:w="1559" w:type="dxa"/>
            <w:tcBorders>
              <w:top w:val="nil"/>
              <w:bottom w:val="nil"/>
            </w:tcBorders>
            <w:shd w:val="clear" w:color="auto" w:fill="C1E7E0" w:themeFill="accent1" w:themeFillTint="66"/>
          </w:tcPr>
          <w:p w:rsidR="004435EC" w:rsidRDefault="006413E7"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57,237</w:t>
            </w:r>
          </w:p>
        </w:tc>
        <w:tc>
          <w:tcPr>
            <w:tcW w:w="1701" w:type="dxa"/>
            <w:tcBorders>
              <w:top w:val="nil"/>
              <w:bottom w:val="nil"/>
            </w:tcBorders>
            <w:shd w:val="clear" w:color="auto" w:fill="C1E7E0" w:themeFill="accent1" w:themeFillTint="66"/>
          </w:tcPr>
          <w:p w:rsidR="004435EC" w:rsidRPr="006B3654" w:rsidRDefault="00457CA7"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w:t>
            </w:r>
            <w:r w:rsidR="00890190">
              <w:rPr>
                <w:rFonts w:ascii="Franklin Gothic Book" w:hAnsi="Franklin Gothic Book"/>
                <w:color w:val="000000"/>
                <w:sz w:val="20"/>
                <w:szCs w:val="20"/>
              </w:rPr>
              <w:t>C</w:t>
            </w:r>
          </w:p>
        </w:tc>
        <w:tc>
          <w:tcPr>
            <w:tcW w:w="4255" w:type="dxa"/>
            <w:tcBorders>
              <w:top w:val="nil"/>
              <w:bottom w:val="nil"/>
            </w:tcBorders>
            <w:shd w:val="clear" w:color="auto" w:fill="C1E7E0" w:themeFill="accent1" w:themeFillTint="66"/>
            <w:vAlign w:val="center"/>
          </w:tcPr>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 xml:space="preserve">Vanuatu </w:t>
            </w:r>
            <w:r>
              <w:rPr>
                <w:rFonts w:ascii="Franklin Gothic Book" w:hAnsi="Franklin Gothic Book"/>
                <w:color w:val="000000"/>
                <w:sz w:val="16"/>
                <w:szCs w:val="16"/>
              </w:rPr>
              <w:t>National Statistics Office data</w:t>
            </w:r>
          </w:p>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DIBP OAD Pivot tables + Tourism Research Australia</w:t>
            </w:r>
          </w:p>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p>
        </w:tc>
      </w:tr>
    </w:tbl>
    <w:p w:rsidR="004435EC" w:rsidRDefault="004435EC" w:rsidP="004435EC">
      <w:pPr>
        <w:rPr>
          <w:rFonts w:ascii="Franklin Gothic Book" w:hAnsi="Franklin Gothic Book"/>
          <w:sz w:val="21"/>
        </w:rPr>
      </w:pPr>
    </w:p>
    <w:tbl>
      <w:tblPr>
        <w:tblStyle w:val="LightShading"/>
        <w:tblW w:w="15168" w:type="dxa"/>
        <w:tblLayout w:type="fixed"/>
        <w:tblLook w:val="04A0" w:firstRow="1" w:lastRow="0" w:firstColumn="1" w:lastColumn="0" w:noHBand="0" w:noVBand="1"/>
      </w:tblPr>
      <w:tblGrid>
        <w:gridCol w:w="3969"/>
        <w:gridCol w:w="1985"/>
        <w:gridCol w:w="1843"/>
        <w:gridCol w:w="1383"/>
        <w:gridCol w:w="1593"/>
        <w:gridCol w:w="4395"/>
      </w:tblGrid>
      <w:tr w:rsidR="004435EC" w:rsidRPr="006D2BA6" w:rsidTr="004435E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3969" w:type="dxa"/>
            <w:hideMark/>
          </w:tcPr>
          <w:p w:rsidR="004435EC" w:rsidRPr="006D2BA6" w:rsidRDefault="004435EC" w:rsidP="004435EC">
            <w:pPr>
              <w:rPr>
                <w:rFonts w:ascii="Franklin Gothic Book" w:hAnsi="Franklin Gothic Book"/>
                <w:color w:val="000000"/>
                <w:sz w:val="21"/>
                <w:szCs w:val="21"/>
              </w:rPr>
            </w:pPr>
            <w:r w:rsidRPr="006D2BA6">
              <w:rPr>
                <w:rFonts w:ascii="Franklin Gothic Book" w:hAnsi="Franklin Gothic Book"/>
                <w:color w:val="000000"/>
                <w:sz w:val="21"/>
                <w:szCs w:val="21"/>
              </w:rPr>
              <w:lastRenderedPageBreak/>
              <w:t>S</w:t>
            </w:r>
            <w:r>
              <w:rPr>
                <w:rFonts w:ascii="Franklin Gothic Book" w:hAnsi="Franklin Gothic Book"/>
                <w:color w:val="000000"/>
                <w:sz w:val="21"/>
                <w:szCs w:val="21"/>
              </w:rPr>
              <w:t>trategic</w:t>
            </w:r>
            <w:r w:rsidRPr="006D2BA6">
              <w:rPr>
                <w:rFonts w:ascii="Franklin Gothic Book" w:hAnsi="Franklin Gothic Book"/>
                <w:color w:val="000000"/>
                <w:sz w:val="21"/>
                <w:szCs w:val="21"/>
              </w:rPr>
              <w:t xml:space="preserve"> Development Objective</w:t>
            </w:r>
            <w:r>
              <w:rPr>
                <w:rFonts w:ascii="Franklin Gothic Book" w:hAnsi="Franklin Gothic Book"/>
                <w:color w:val="000000"/>
                <w:sz w:val="21"/>
                <w:szCs w:val="21"/>
              </w:rPr>
              <w:t xml:space="preserve"> 2</w:t>
            </w:r>
          </w:p>
        </w:tc>
        <w:tc>
          <w:tcPr>
            <w:tcW w:w="11199" w:type="dxa"/>
            <w:gridSpan w:val="5"/>
            <w:shd w:val="clear" w:color="auto" w:fill="auto"/>
            <w:hideMark/>
          </w:tcPr>
          <w:p w:rsidR="004435EC" w:rsidRPr="002C39EB" w:rsidRDefault="004435EC" w:rsidP="0094193A">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1"/>
                <w:szCs w:val="21"/>
              </w:rPr>
            </w:pPr>
            <w:r w:rsidRPr="001E6216">
              <w:rPr>
                <w:rFonts w:ascii="Franklin Gothic Book" w:hAnsi="Franklin Gothic Book"/>
                <w:color w:val="000000"/>
                <w:sz w:val="21"/>
                <w:szCs w:val="21"/>
              </w:rPr>
              <w:t>Improving early education and essential health services</w:t>
            </w:r>
            <w:r>
              <w:rPr>
                <w:rFonts w:ascii="Franklin Gothic Book" w:hAnsi="Franklin Gothic Book"/>
                <w:color w:val="000000"/>
                <w:sz w:val="21"/>
                <w:szCs w:val="21"/>
              </w:rPr>
              <w:t xml:space="preserve"> [2</w:t>
            </w:r>
            <w:r w:rsidR="0094193A">
              <w:rPr>
                <w:rFonts w:ascii="Franklin Gothic Book" w:hAnsi="Franklin Gothic Book"/>
                <w:color w:val="000000"/>
                <w:sz w:val="21"/>
                <w:szCs w:val="21"/>
              </w:rPr>
              <w:t>5</w:t>
            </w:r>
            <w:r>
              <w:rPr>
                <w:rFonts w:ascii="Franklin Gothic Book" w:hAnsi="Franklin Gothic Book"/>
                <w:color w:val="000000"/>
                <w:sz w:val="21"/>
                <w:szCs w:val="21"/>
              </w:rPr>
              <w:t>% Bilateral ODA in 201</w:t>
            </w:r>
            <w:r w:rsidR="0094193A">
              <w:rPr>
                <w:rFonts w:ascii="Franklin Gothic Book" w:hAnsi="Franklin Gothic Book"/>
                <w:color w:val="000000"/>
                <w:sz w:val="21"/>
                <w:szCs w:val="21"/>
              </w:rPr>
              <w:t>7-18</w:t>
            </w:r>
            <w:r>
              <w:rPr>
                <w:rFonts w:ascii="Franklin Gothic Book" w:hAnsi="Franklin Gothic Book"/>
                <w:color w:val="000000"/>
                <w:sz w:val="21"/>
                <w:szCs w:val="21"/>
              </w:rPr>
              <w:t>]</w:t>
            </w:r>
          </w:p>
        </w:tc>
      </w:tr>
      <w:tr w:rsidR="004435EC" w:rsidRPr="006D2BA6" w:rsidTr="004435EC">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vAlign w:val="center"/>
            <w:hideMark/>
          </w:tcPr>
          <w:p w:rsidR="004435EC" w:rsidRPr="00A258D1" w:rsidRDefault="004435EC" w:rsidP="004435EC">
            <w:pPr>
              <w:rPr>
                <w:rFonts w:ascii="Franklin Gothic Book" w:hAnsi="Franklin Gothic Book"/>
                <w:color w:val="000000"/>
                <w:sz w:val="20"/>
                <w:szCs w:val="20"/>
                <w:highlight w:val="green"/>
              </w:rPr>
            </w:pPr>
            <w:r w:rsidRPr="00EA6B27">
              <w:rPr>
                <w:rFonts w:ascii="Franklin Gothic Book" w:hAnsi="Franklin Gothic Book"/>
                <w:color w:val="000000" w:themeColor="text1"/>
                <w:sz w:val="20"/>
                <w:szCs w:val="20"/>
              </w:rPr>
              <w:t>Indicators</w:t>
            </w:r>
          </w:p>
        </w:tc>
        <w:tc>
          <w:tcPr>
            <w:tcW w:w="1985"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2015–16</w:t>
            </w:r>
          </w:p>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themeColor="text1"/>
                <w:sz w:val="20"/>
                <w:szCs w:val="20"/>
              </w:rPr>
            </w:pPr>
            <w:r w:rsidRPr="008A425D">
              <w:rPr>
                <w:rFonts w:ascii="Franklin Gothic Book" w:hAnsi="Franklin Gothic Book"/>
                <w:bCs w:val="0"/>
                <w:color w:val="000000"/>
                <w:sz w:val="20"/>
                <w:szCs w:val="20"/>
              </w:rPr>
              <w:t>Baseline</w:t>
            </w:r>
          </w:p>
        </w:tc>
        <w:tc>
          <w:tcPr>
            <w:tcW w:w="1843"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8A425D">
              <w:rPr>
                <w:rFonts w:ascii="Franklin Gothic Book" w:hAnsi="Franklin Gothic Book"/>
                <w:color w:val="000000"/>
                <w:sz w:val="20"/>
                <w:szCs w:val="20"/>
              </w:rPr>
              <w:t>2016–17</w:t>
            </w:r>
          </w:p>
          <w:p w:rsidR="00D62E22" w:rsidRPr="008A425D"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Result</w:t>
            </w:r>
          </w:p>
        </w:tc>
        <w:tc>
          <w:tcPr>
            <w:tcW w:w="1383"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8A425D">
              <w:rPr>
                <w:rFonts w:ascii="Franklin Gothic Book" w:hAnsi="Franklin Gothic Book"/>
                <w:color w:val="000000"/>
                <w:sz w:val="20"/>
                <w:szCs w:val="20"/>
              </w:rPr>
              <w:t>2017–18</w:t>
            </w:r>
          </w:p>
          <w:p w:rsidR="00D62E22" w:rsidRPr="008A425D"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color w:val="000000"/>
                <w:sz w:val="20"/>
                <w:szCs w:val="20"/>
              </w:rPr>
              <w:t>Result</w:t>
            </w:r>
          </w:p>
        </w:tc>
        <w:tc>
          <w:tcPr>
            <w:tcW w:w="1593" w:type="dxa"/>
            <w:tcBorders>
              <w:bottom w:val="nil"/>
            </w:tcBorders>
            <w:vAlign w:val="center"/>
          </w:tcPr>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bCs w:val="0"/>
                <w:color w:val="000000"/>
                <w:sz w:val="20"/>
                <w:szCs w:val="20"/>
              </w:rPr>
              <w:t>2018-19</w:t>
            </w:r>
          </w:p>
          <w:p w:rsidR="00D62E22" w:rsidRPr="008A425D"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8A425D">
              <w:rPr>
                <w:rFonts w:ascii="Franklin Gothic Book" w:hAnsi="Franklin Gothic Book"/>
                <w:bCs w:val="0"/>
                <w:color w:val="000000"/>
                <w:sz w:val="20"/>
                <w:szCs w:val="20"/>
              </w:rPr>
              <w:t>Target</w:t>
            </w:r>
          </w:p>
        </w:tc>
        <w:tc>
          <w:tcPr>
            <w:tcW w:w="4395" w:type="dxa"/>
            <w:tcBorders>
              <w:bottom w:val="nil"/>
            </w:tcBorders>
            <w:vAlign w:val="center"/>
          </w:tcPr>
          <w:p w:rsidR="004435EC" w:rsidRPr="006B3654"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Data source</w:t>
            </w:r>
            <w:r>
              <w:rPr>
                <w:rFonts w:ascii="Franklin Gothic Book" w:hAnsi="Franklin Gothic Book"/>
                <w:color w:val="000000"/>
                <w:sz w:val="20"/>
                <w:szCs w:val="20"/>
              </w:rPr>
              <w:t>s</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69" w:type="dxa"/>
            <w:tcBorders>
              <w:top w:val="nil"/>
            </w:tcBorders>
            <w:shd w:val="clear" w:color="auto" w:fill="DDECD0" w:themeFill="accent3" w:themeFillTint="66"/>
          </w:tcPr>
          <w:p w:rsidR="004435EC" w:rsidRPr="008A771C" w:rsidRDefault="004435EC" w:rsidP="004435EC">
            <w:pPr>
              <w:rPr>
                <w:rFonts w:ascii="Franklin Gothic Book" w:hAnsi="Franklin Gothic Book"/>
                <w:b w:val="0"/>
                <w:color w:val="000000"/>
                <w:sz w:val="20"/>
                <w:szCs w:val="20"/>
              </w:rPr>
            </w:pPr>
            <w:r w:rsidRPr="008A771C">
              <w:rPr>
                <w:rFonts w:ascii="Franklin Gothic Book" w:hAnsi="Franklin Gothic Book"/>
                <w:b w:val="0"/>
                <w:color w:val="000000"/>
                <w:sz w:val="20"/>
                <w:szCs w:val="20"/>
              </w:rPr>
              <w:t xml:space="preserve">Proportion Yr4 students </w:t>
            </w:r>
            <w:r w:rsidR="00661E43">
              <w:rPr>
                <w:rFonts w:ascii="Franklin Gothic Book" w:hAnsi="Franklin Gothic Book"/>
                <w:b w:val="0"/>
                <w:color w:val="000000"/>
                <w:sz w:val="20"/>
                <w:szCs w:val="20"/>
              </w:rPr>
              <w:t xml:space="preserve">(girls and boys) </w:t>
            </w:r>
            <w:r w:rsidRPr="008A771C">
              <w:rPr>
                <w:rFonts w:ascii="Franklin Gothic Book" w:hAnsi="Franklin Gothic Book"/>
                <w:b w:val="0"/>
                <w:color w:val="000000"/>
                <w:sz w:val="20"/>
                <w:szCs w:val="20"/>
              </w:rPr>
              <w:t xml:space="preserve">meeting national literacy </w:t>
            </w:r>
            <w:r>
              <w:rPr>
                <w:rFonts w:ascii="Franklin Gothic Book" w:hAnsi="Franklin Gothic Book"/>
                <w:b w:val="0"/>
                <w:color w:val="000000"/>
                <w:sz w:val="20"/>
                <w:szCs w:val="20"/>
              </w:rPr>
              <w:t>&amp;</w:t>
            </w:r>
            <w:r w:rsidRPr="008A771C">
              <w:rPr>
                <w:rFonts w:ascii="Franklin Gothic Book" w:hAnsi="Franklin Gothic Book"/>
                <w:b w:val="0"/>
                <w:color w:val="000000"/>
                <w:sz w:val="20"/>
                <w:szCs w:val="20"/>
              </w:rPr>
              <w:t xml:space="preserve"> numeracy standard (%) </w:t>
            </w:r>
            <w:r w:rsidRPr="008A771C">
              <w:rPr>
                <w:rStyle w:val="FootnoteReference"/>
                <w:color w:val="000000"/>
              </w:rPr>
              <w:footnoteReference w:id="44"/>
            </w:r>
          </w:p>
          <w:p w:rsidR="004435EC" w:rsidRPr="008A771C" w:rsidRDefault="004435EC" w:rsidP="006C4A69">
            <w:pPr>
              <w:spacing w:before="40" w:after="40" w:line="200" w:lineRule="atLeast"/>
              <w:rPr>
                <w:rFonts w:ascii="Franklin Gothic Book" w:hAnsi="Franklin Gothic Book"/>
                <w:b w:val="0"/>
                <w:color w:val="000000"/>
                <w:sz w:val="16"/>
                <w:szCs w:val="16"/>
              </w:rPr>
            </w:pPr>
          </w:p>
        </w:tc>
        <w:tc>
          <w:tcPr>
            <w:tcW w:w="1985" w:type="dxa"/>
            <w:tcBorders>
              <w:top w:val="nil"/>
            </w:tcBorders>
            <w:shd w:val="clear" w:color="auto" w:fill="DDECD0" w:themeFill="accent3" w:themeFillTint="66"/>
          </w:tcPr>
          <w:p w:rsidR="004435EC" w:rsidRPr="007073F6"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7073F6">
              <w:rPr>
                <w:rFonts w:ascii="Franklin Gothic Book" w:hAnsi="Franklin Gothic Book"/>
                <w:color w:val="000000"/>
                <w:sz w:val="16"/>
                <w:szCs w:val="16"/>
              </w:rPr>
              <w:t>Literacy 25%</w:t>
            </w:r>
          </w:p>
          <w:p w:rsidR="004435EC" w:rsidRPr="007073F6"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7073F6">
              <w:rPr>
                <w:rFonts w:ascii="Franklin Gothic Book" w:hAnsi="Franklin Gothic Book"/>
                <w:color w:val="000000"/>
                <w:sz w:val="16"/>
                <w:szCs w:val="16"/>
              </w:rPr>
              <w:t xml:space="preserve">Numeracy  50% </w:t>
            </w:r>
          </w:p>
          <w:p w:rsidR="004435EC" w:rsidRPr="00F42305"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p>
        </w:tc>
        <w:tc>
          <w:tcPr>
            <w:tcW w:w="1843" w:type="dxa"/>
            <w:tcBorders>
              <w:top w:val="nil"/>
            </w:tcBorders>
            <w:shd w:val="clear" w:color="auto" w:fill="DDECD0" w:themeFill="accent3" w:themeFillTint="66"/>
          </w:tcPr>
          <w:p w:rsidR="004435EC" w:rsidRPr="008A771C" w:rsidRDefault="006413E7" w:rsidP="00772167">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16"/>
                <w:szCs w:val="16"/>
              </w:rPr>
              <w:t>N/A</w:t>
            </w:r>
          </w:p>
        </w:tc>
        <w:tc>
          <w:tcPr>
            <w:tcW w:w="1383" w:type="dxa"/>
            <w:tcBorders>
              <w:top w:val="nil"/>
            </w:tcBorders>
            <w:shd w:val="clear" w:color="auto" w:fill="DDECD0" w:themeFill="accent3" w:themeFillTint="66"/>
          </w:tcPr>
          <w:p w:rsidR="004435EC" w:rsidRDefault="004435EC"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Literacy (E) 65%</w:t>
            </w:r>
          </w:p>
          <w:p w:rsidR="006C4A69" w:rsidRDefault="006C4A69"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(73%G/58%B)</w:t>
            </w:r>
          </w:p>
          <w:p w:rsidR="004435EC" w:rsidRDefault="004435EC"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Literacy (F) 64%</w:t>
            </w:r>
          </w:p>
          <w:p w:rsidR="006C4A69" w:rsidRDefault="006C4A69"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(71%G/59%B)</w:t>
            </w:r>
          </w:p>
          <w:p w:rsidR="006C4A69" w:rsidRDefault="004435EC"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Numeracy  85%</w:t>
            </w:r>
          </w:p>
          <w:p w:rsidR="004435EC" w:rsidRPr="00F42305" w:rsidRDefault="006C4A69" w:rsidP="006C4A69">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88%G/84%B)</w:t>
            </w:r>
            <w:r w:rsidR="004435EC">
              <w:rPr>
                <w:rFonts w:ascii="Franklin Gothic Book" w:hAnsi="Franklin Gothic Book"/>
                <w:color w:val="000000"/>
                <w:sz w:val="16"/>
                <w:szCs w:val="16"/>
              </w:rPr>
              <w:t xml:space="preserve"> </w:t>
            </w:r>
          </w:p>
        </w:tc>
        <w:tc>
          <w:tcPr>
            <w:tcW w:w="1593" w:type="dxa"/>
            <w:tcBorders>
              <w:top w:val="nil"/>
            </w:tcBorders>
            <w:shd w:val="clear" w:color="auto" w:fill="DDECD0" w:themeFill="accent3" w:themeFillTint="66"/>
          </w:tcPr>
          <w:p w:rsidR="004435EC" w:rsidRDefault="004435EC" w:rsidP="006C4A69">
            <w:pPr>
              <w:spacing w:before="0" w:after="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F42305">
              <w:rPr>
                <w:rFonts w:ascii="Franklin Gothic Book" w:hAnsi="Franklin Gothic Book"/>
                <w:color w:val="000000"/>
                <w:sz w:val="16"/>
                <w:szCs w:val="16"/>
              </w:rPr>
              <w:t>[2019 Cohort]</w:t>
            </w:r>
          </w:p>
          <w:p w:rsidR="004435EC" w:rsidRPr="00F42305" w:rsidRDefault="004435EC" w:rsidP="006C4A69">
            <w:pPr>
              <w:spacing w:before="0" w:after="0"/>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TB</w:t>
            </w:r>
            <w:r w:rsidR="00890190">
              <w:rPr>
                <w:rFonts w:ascii="Franklin Gothic Book" w:hAnsi="Franklin Gothic Book"/>
                <w:color w:val="000000"/>
                <w:sz w:val="16"/>
                <w:szCs w:val="16"/>
              </w:rPr>
              <w:t>C</w:t>
            </w:r>
          </w:p>
        </w:tc>
        <w:tc>
          <w:tcPr>
            <w:tcW w:w="439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VANSTA data 2009 and 2017, National</w:t>
            </w:r>
            <w:r w:rsidRPr="00C20AE3">
              <w:rPr>
                <w:rFonts w:ascii="Franklin Gothic Book" w:hAnsi="Franklin Gothic Book"/>
                <w:color w:val="000000"/>
                <w:sz w:val="16"/>
                <w:szCs w:val="16"/>
              </w:rPr>
              <w:t xml:space="preserve"> Year 4 test data from MoE</w:t>
            </w:r>
            <w:r>
              <w:rPr>
                <w:rFonts w:ascii="Franklin Gothic Book" w:hAnsi="Franklin Gothic Book"/>
                <w:color w:val="000000"/>
                <w:sz w:val="16"/>
                <w:szCs w:val="16"/>
              </w:rPr>
              <w:t>T</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VESP monitoring data</w:t>
            </w:r>
            <w:r>
              <w:rPr>
                <w:rFonts w:ascii="Franklin Gothic Book" w:hAnsi="Franklin Gothic Book"/>
                <w:color w:val="000000"/>
                <w:sz w:val="16"/>
                <w:szCs w:val="16"/>
              </w:rPr>
              <w:t xml:space="preserve"> </w:t>
            </w:r>
          </w:p>
        </w:tc>
      </w:tr>
      <w:tr w:rsidR="004435EC" w:rsidRPr="006D2BA6" w:rsidTr="004435EC">
        <w:trPr>
          <w:trHeight w:val="227"/>
        </w:trPr>
        <w:tc>
          <w:tcPr>
            <w:cnfStyle w:val="001000000000" w:firstRow="0" w:lastRow="0" w:firstColumn="1" w:lastColumn="0" w:oddVBand="0" w:evenVBand="0" w:oddHBand="0" w:evenHBand="0" w:firstRowFirstColumn="0" w:firstRowLastColumn="0" w:lastRowFirstColumn="0" w:lastRowLastColumn="0"/>
            <w:tcW w:w="3969" w:type="dxa"/>
            <w:tcBorders>
              <w:top w:val="nil"/>
            </w:tcBorders>
            <w:shd w:val="clear" w:color="auto" w:fill="C1E7E0" w:themeFill="accent1" w:themeFillTint="66"/>
          </w:tcPr>
          <w:p w:rsidR="004435EC" w:rsidRPr="008A771C" w:rsidRDefault="004435EC" w:rsidP="004435EC">
            <w:pPr>
              <w:rPr>
                <w:rFonts w:ascii="Franklin Gothic Book" w:hAnsi="Franklin Gothic Book"/>
                <w:b w:val="0"/>
                <w:color w:val="000000"/>
                <w:sz w:val="20"/>
                <w:szCs w:val="20"/>
              </w:rPr>
            </w:pPr>
            <w:r w:rsidRPr="008A771C">
              <w:rPr>
                <w:rFonts w:ascii="Franklin Gothic Book" w:hAnsi="Franklin Gothic Book"/>
                <w:b w:val="0"/>
                <w:color w:val="000000"/>
                <w:sz w:val="20"/>
                <w:szCs w:val="20"/>
              </w:rPr>
              <w:t>Proportion of schools complying with the school grant acquittal process (%)</w:t>
            </w:r>
          </w:p>
          <w:p w:rsidR="004435EC" w:rsidRPr="008A771C" w:rsidRDefault="004435EC" w:rsidP="004435EC">
            <w:pPr>
              <w:rPr>
                <w:rFonts w:ascii="Franklin Gothic Book" w:hAnsi="Franklin Gothic Book"/>
                <w:b w:val="0"/>
                <w:color w:val="000000"/>
                <w:sz w:val="16"/>
                <w:szCs w:val="16"/>
              </w:rPr>
            </w:pPr>
          </w:p>
        </w:tc>
        <w:tc>
          <w:tcPr>
            <w:tcW w:w="1985" w:type="dxa"/>
            <w:tcBorders>
              <w:top w:val="nil"/>
            </w:tcBorders>
            <w:shd w:val="clear" w:color="auto" w:fill="C1E7E0" w:themeFill="accent1" w:themeFillTint="66"/>
          </w:tcPr>
          <w:p w:rsidR="004435EC" w:rsidRPr="008A771C" w:rsidRDefault="006413E7"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843" w:type="dxa"/>
            <w:tcBorders>
              <w:top w:val="nil"/>
            </w:tcBorders>
            <w:shd w:val="clear" w:color="auto" w:fill="C1E7E0" w:themeFill="accent1" w:themeFillTint="66"/>
          </w:tcPr>
          <w:p w:rsidR="004435EC" w:rsidRPr="008A771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88%</w:t>
            </w:r>
          </w:p>
        </w:tc>
        <w:tc>
          <w:tcPr>
            <w:tcW w:w="1383" w:type="dxa"/>
            <w:tcBorders>
              <w:top w:val="nil"/>
            </w:tcBorders>
            <w:shd w:val="clear" w:color="auto" w:fill="C1E7E0" w:themeFill="accent1" w:themeFillTint="66"/>
          </w:tcPr>
          <w:p w:rsidR="004435EC" w:rsidRPr="008A771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87%</w:t>
            </w:r>
          </w:p>
        </w:tc>
        <w:tc>
          <w:tcPr>
            <w:tcW w:w="1593" w:type="dxa"/>
            <w:tcBorders>
              <w:top w:val="nil"/>
            </w:tcBorders>
            <w:shd w:val="clear" w:color="auto" w:fill="C1E7E0" w:themeFill="accent1" w:themeFillTint="66"/>
          </w:tcPr>
          <w:p w:rsidR="004435EC" w:rsidRPr="008A771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w:t>
            </w:r>
            <w:r w:rsidR="00890190">
              <w:rPr>
                <w:rFonts w:ascii="Franklin Gothic Book" w:hAnsi="Franklin Gothic Book"/>
                <w:color w:val="000000"/>
                <w:sz w:val="20"/>
                <w:szCs w:val="20"/>
              </w:rPr>
              <w:t>C</w:t>
            </w:r>
          </w:p>
        </w:tc>
        <w:tc>
          <w:tcPr>
            <w:tcW w:w="4395" w:type="dxa"/>
            <w:tcBorders>
              <w:top w:val="nil"/>
              <w:bottom w:val="nil"/>
            </w:tcBorders>
            <w:shd w:val="clear" w:color="auto" w:fill="C1E7E0" w:themeFill="accent1" w:themeFillTint="66"/>
          </w:tcPr>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MoE</w:t>
            </w:r>
            <w:r>
              <w:rPr>
                <w:rFonts w:ascii="Franklin Gothic Book" w:hAnsi="Franklin Gothic Book"/>
                <w:color w:val="000000"/>
                <w:sz w:val="16"/>
                <w:szCs w:val="16"/>
              </w:rPr>
              <w:t>T</w:t>
            </w:r>
            <w:r w:rsidRPr="00C20AE3">
              <w:rPr>
                <w:rFonts w:ascii="Franklin Gothic Book" w:hAnsi="Franklin Gothic Book"/>
                <w:color w:val="000000"/>
                <w:sz w:val="16"/>
                <w:szCs w:val="16"/>
              </w:rPr>
              <w:t xml:space="preserve"> monitoring data</w:t>
            </w:r>
          </w:p>
          <w:p w:rsidR="004435EC" w:rsidRPr="00C20AE3"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VESP monitoring data</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69" w:type="dxa"/>
            <w:tcBorders>
              <w:top w:val="nil"/>
            </w:tcBorders>
            <w:shd w:val="clear" w:color="auto" w:fill="DDECD0" w:themeFill="accent3" w:themeFillTint="66"/>
          </w:tcPr>
          <w:p w:rsidR="004435EC" w:rsidRDefault="004435EC" w:rsidP="004435EC">
            <w:pPr>
              <w:rPr>
                <w:rFonts w:ascii="Franklin Gothic Book" w:hAnsi="Franklin Gothic Book"/>
                <w:b w:val="0"/>
                <w:color w:val="000000"/>
                <w:sz w:val="20"/>
                <w:szCs w:val="20"/>
              </w:rPr>
            </w:pPr>
            <w:r w:rsidRPr="00671219">
              <w:rPr>
                <w:rFonts w:ascii="Franklin Gothic Book" w:hAnsi="Franklin Gothic Book"/>
                <w:b w:val="0"/>
                <w:color w:val="000000"/>
                <w:sz w:val="20"/>
                <w:szCs w:val="20"/>
              </w:rPr>
              <w:t xml:space="preserve">Proportion of children </w:t>
            </w:r>
            <w:r>
              <w:rPr>
                <w:rFonts w:ascii="Franklin Gothic Book" w:hAnsi="Franklin Gothic Book"/>
                <w:b w:val="0"/>
                <w:color w:val="000000"/>
                <w:sz w:val="20"/>
                <w:szCs w:val="20"/>
              </w:rPr>
              <w:t xml:space="preserve">(0-5yrs) </w:t>
            </w:r>
            <w:r w:rsidRPr="00671219">
              <w:rPr>
                <w:rFonts w:ascii="Franklin Gothic Book" w:hAnsi="Franklin Gothic Book"/>
                <w:b w:val="0"/>
                <w:color w:val="000000"/>
                <w:sz w:val="20"/>
                <w:szCs w:val="20"/>
              </w:rPr>
              <w:t xml:space="preserve">with full routine immunisation (%) </w:t>
            </w:r>
            <w:r w:rsidRPr="00671219">
              <w:rPr>
                <w:rStyle w:val="FootnoteReference"/>
                <w:color w:val="000000"/>
              </w:rPr>
              <w:footnoteReference w:id="45"/>
            </w:r>
          </w:p>
          <w:p w:rsidR="004435EC" w:rsidRPr="00FD0B62" w:rsidRDefault="004435EC" w:rsidP="004435EC">
            <w:pPr>
              <w:rPr>
                <w:rFonts w:ascii="Franklin Gothic Book" w:hAnsi="Franklin Gothic Book"/>
                <w:b w:val="0"/>
                <w:color w:val="000000"/>
                <w:sz w:val="16"/>
                <w:szCs w:val="16"/>
              </w:rPr>
            </w:pPr>
          </w:p>
        </w:tc>
        <w:tc>
          <w:tcPr>
            <w:tcW w:w="1985"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68.5%</w:t>
            </w:r>
          </w:p>
          <w:p w:rsidR="004435EC" w:rsidRPr="00966B41"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966B41">
              <w:rPr>
                <w:rFonts w:ascii="Franklin Gothic Book" w:hAnsi="Franklin Gothic Book"/>
                <w:color w:val="000000"/>
                <w:sz w:val="16"/>
                <w:szCs w:val="16"/>
              </w:rPr>
              <w:t>[2016 APPR]</w:t>
            </w:r>
          </w:p>
        </w:tc>
        <w:tc>
          <w:tcPr>
            <w:tcW w:w="1843"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81% DPT3/84% MCV1</w:t>
            </w:r>
            <w:r>
              <w:rPr>
                <w:rStyle w:val="FootnoteReference"/>
                <w:color w:val="000000"/>
              </w:rPr>
              <w:footnoteReference w:id="46"/>
            </w:r>
          </w:p>
          <w:p w:rsidR="004435EC" w:rsidRPr="00DE273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DE273A">
              <w:rPr>
                <w:rFonts w:ascii="Franklin Gothic Book" w:hAnsi="Franklin Gothic Book"/>
                <w:color w:val="000000"/>
                <w:sz w:val="16"/>
                <w:szCs w:val="16"/>
              </w:rPr>
              <w:t>[2017 APPR]</w:t>
            </w:r>
          </w:p>
        </w:tc>
        <w:tc>
          <w:tcPr>
            <w:tcW w:w="1383"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93</w:t>
            </w:r>
            <w:r w:rsidR="00457CA7">
              <w:rPr>
                <w:rFonts w:ascii="Franklin Gothic Book" w:hAnsi="Franklin Gothic Book"/>
                <w:color w:val="000000"/>
                <w:sz w:val="20"/>
                <w:szCs w:val="20"/>
              </w:rPr>
              <w:t>.9</w:t>
            </w:r>
            <w:r>
              <w:rPr>
                <w:rFonts w:ascii="Franklin Gothic Book" w:hAnsi="Franklin Gothic Book"/>
                <w:color w:val="000000"/>
                <w:sz w:val="20"/>
                <w:szCs w:val="20"/>
              </w:rPr>
              <w:t>% DPT3/MR1</w:t>
            </w:r>
            <w:r>
              <w:rPr>
                <w:rStyle w:val="FootnoteReference"/>
                <w:color w:val="000000"/>
              </w:rPr>
              <w:footnoteReference w:id="47"/>
            </w:r>
            <w:r>
              <w:rPr>
                <w:rFonts w:ascii="Franklin Gothic Book" w:hAnsi="Franklin Gothic Book"/>
                <w:color w:val="000000"/>
                <w:sz w:val="20"/>
                <w:szCs w:val="20"/>
              </w:rPr>
              <w:t xml:space="preserve"> 88%</w:t>
            </w:r>
          </w:p>
        </w:tc>
        <w:tc>
          <w:tcPr>
            <w:tcW w:w="1593" w:type="dxa"/>
            <w:tcBorders>
              <w:top w:val="nil"/>
            </w:tcBorders>
            <w:shd w:val="clear" w:color="auto" w:fill="DDECD0" w:themeFill="accent3" w:themeFillTint="66"/>
          </w:tcPr>
          <w:p w:rsidR="0094193A" w:rsidRDefault="004435EC" w:rsidP="0094193A">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9</w:t>
            </w:r>
            <w:r w:rsidR="00457CA7">
              <w:rPr>
                <w:rFonts w:ascii="Franklin Gothic Book" w:hAnsi="Franklin Gothic Book"/>
                <w:color w:val="000000"/>
                <w:sz w:val="20"/>
                <w:szCs w:val="20"/>
              </w:rPr>
              <w:t>4</w:t>
            </w:r>
            <w:r>
              <w:rPr>
                <w:rFonts w:ascii="Franklin Gothic Book" w:hAnsi="Franklin Gothic Book"/>
                <w:color w:val="000000"/>
                <w:sz w:val="20"/>
                <w:szCs w:val="20"/>
              </w:rPr>
              <w:t>% DPT3/</w:t>
            </w:r>
          </w:p>
          <w:p w:rsidR="004435EC" w:rsidRPr="006B3654" w:rsidRDefault="004435EC" w:rsidP="0094193A">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MR1 88%</w:t>
            </w:r>
          </w:p>
        </w:tc>
        <w:tc>
          <w:tcPr>
            <w:tcW w:w="4395" w:type="dxa"/>
            <w:tcBorders>
              <w:top w:val="nil"/>
              <w:bottom w:val="nil"/>
            </w:tcBorders>
            <w:shd w:val="clear" w:color="auto" w:fill="DDECD0" w:themeFill="accent3" w:themeFillTint="66"/>
          </w:tcPr>
          <w:p w:rsidR="004435EC" w:rsidRPr="00FD2F80"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FD2F80">
              <w:rPr>
                <w:rFonts w:ascii="Franklin Gothic Book" w:hAnsi="Franklin Gothic Book"/>
                <w:color w:val="000000"/>
                <w:sz w:val="16"/>
                <w:szCs w:val="16"/>
              </w:rPr>
              <w:t>Vanuatu Health Information System, UNICEF monitoring data</w:t>
            </w:r>
          </w:p>
        </w:tc>
      </w:tr>
      <w:tr w:rsidR="004435EC" w:rsidRPr="006D2BA6" w:rsidTr="004435EC">
        <w:trPr>
          <w:trHeight w:val="227"/>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shd w:val="clear" w:color="auto" w:fill="C1E7E0" w:themeFill="accent1" w:themeFillTint="66"/>
          </w:tcPr>
          <w:p w:rsidR="004435EC" w:rsidRDefault="004435EC" w:rsidP="004435EC">
            <w:pPr>
              <w:rPr>
                <w:rFonts w:ascii="Franklin Gothic Book" w:hAnsi="Franklin Gothic Book"/>
                <w:b w:val="0"/>
                <w:color w:val="000000"/>
                <w:sz w:val="20"/>
                <w:szCs w:val="20"/>
              </w:rPr>
            </w:pPr>
            <w:r w:rsidRPr="00671219">
              <w:rPr>
                <w:rFonts w:ascii="Franklin Gothic Book" w:hAnsi="Franklin Gothic Book"/>
                <w:b w:val="0"/>
                <w:color w:val="000000"/>
                <w:sz w:val="20"/>
                <w:szCs w:val="20"/>
              </w:rPr>
              <w:t>Maternal mortality ratio</w:t>
            </w:r>
            <w:r>
              <w:rPr>
                <w:rFonts w:ascii="Franklin Gothic Book" w:hAnsi="Franklin Gothic Book"/>
                <w:b w:val="0"/>
                <w:color w:val="000000"/>
                <w:sz w:val="20"/>
                <w:szCs w:val="20"/>
              </w:rPr>
              <w:t xml:space="preserve"> (/10,000) </w:t>
            </w:r>
            <w:r>
              <w:rPr>
                <w:rStyle w:val="FootnoteReference"/>
                <w:color w:val="000000"/>
              </w:rPr>
              <w:footnoteReference w:id="48"/>
            </w:r>
          </w:p>
          <w:p w:rsidR="004435EC" w:rsidRDefault="004435EC" w:rsidP="004435EC">
            <w:pPr>
              <w:rPr>
                <w:rFonts w:ascii="Franklin Gothic Book" w:hAnsi="Franklin Gothic Book"/>
                <w:b w:val="0"/>
                <w:color w:val="000000"/>
                <w:sz w:val="16"/>
                <w:szCs w:val="16"/>
                <w:highlight w:val="yellow"/>
              </w:rPr>
            </w:pPr>
          </w:p>
          <w:p w:rsidR="004435EC" w:rsidRPr="00E56E6A" w:rsidRDefault="004435EC" w:rsidP="004435EC">
            <w:pPr>
              <w:rPr>
                <w:rFonts w:ascii="Franklin Gothic Book" w:hAnsi="Franklin Gothic Book"/>
                <w:b w:val="0"/>
                <w:color w:val="000000"/>
                <w:sz w:val="16"/>
                <w:szCs w:val="16"/>
                <w:highlight w:val="yellow"/>
              </w:rPr>
            </w:pPr>
          </w:p>
        </w:tc>
        <w:tc>
          <w:tcPr>
            <w:tcW w:w="1985"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7.8</w:t>
            </w:r>
          </w:p>
          <w:p w:rsidR="004435EC" w:rsidRPr="00FD2F80"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FD2F80">
              <w:rPr>
                <w:rFonts w:ascii="Franklin Gothic Book" w:hAnsi="Franklin Gothic Book"/>
                <w:color w:val="000000"/>
                <w:sz w:val="16"/>
                <w:szCs w:val="16"/>
              </w:rPr>
              <w:t>[WDI Indicators]</w:t>
            </w:r>
          </w:p>
        </w:tc>
        <w:tc>
          <w:tcPr>
            <w:tcW w:w="1843"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10</w:t>
            </w:r>
          </w:p>
        </w:tc>
        <w:tc>
          <w:tcPr>
            <w:tcW w:w="1383" w:type="dxa"/>
            <w:tcBorders>
              <w:top w:val="nil"/>
              <w:bottom w:val="nil"/>
            </w:tcBorders>
            <w:shd w:val="clear" w:color="auto" w:fill="C1E7E0" w:themeFill="accent1" w:themeFillTint="66"/>
          </w:tcPr>
          <w:p w:rsidR="004435EC"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12.3</w:t>
            </w:r>
          </w:p>
        </w:tc>
        <w:tc>
          <w:tcPr>
            <w:tcW w:w="1593" w:type="dxa"/>
            <w:tcBorders>
              <w:top w:val="nil"/>
              <w:bottom w:val="nil"/>
            </w:tcBorders>
            <w:shd w:val="clear" w:color="auto" w:fill="C1E7E0" w:themeFill="accent1" w:themeFillTint="66"/>
          </w:tcPr>
          <w:p w:rsidR="004435EC" w:rsidRPr="006B3654" w:rsidRDefault="006413E7"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TB</w:t>
            </w:r>
            <w:r w:rsidR="00890190">
              <w:rPr>
                <w:rFonts w:ascii="Franklin Gothic Book" w:hAnsi="Franklin Gothic Book"/>
                <w:color w:val="000000"/>
                <w:sz w:val="20"/>
                <w:szCs w:val="20"/>
              </w:rPr>
              <w:t>C</w:t>
            </w:r>
          </w:p>
        </w:tc>
        <w:tc>
          <w:tcPr>
            <w:tcW w:w="4395" w:type="dxa"/>
            <w:tcBorders>
              <w:top w:val="nil"/>
              <w:bottom w:val="nil"/>
            </w:tcBorders>
            <w:shd w:val="clear" w:color="auto" w:fill="C1E7E0" w:themeFill="accent1" w:themeFillTint="66"/>
          </w:tcPr>
          <w:p w:rsidR="004435EC"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 xml:space="preserve">World Bank </w:t>
            </w:r>
            <w:r w:rsidRPr="00FD2F80">
              <w:rPr>
                <w:rFonts w:ascii="Franklin Gothic Book" w:hAnsi="Franklin Gothic Book"/>
                <w:color w:val="000000"/>
                <w:sz w:val="16"/>
                <w:szCs w:val="16"/>
              </w:rPr>
              <w:t>World Development Indicator [SH.STA.MMRT]</w:t>
            </w:r>
          </w:p>
          <w:p w:rsidR="004435EC" w:rsidRPr="00FD2F80"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UNICEF monitoring data and Vanuatu HIS</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4" w:space="0" w:color="auto"/>
            </w:tcBorders>
            <w:shd w:val="clear" w:color="auto" w:fill="DDECD0" w:themeFill="accent3" w:themeFillTint="66"/>
          </w:tcPr>
          <w:p w:rsidR="004435EC" w:rsidRDefault="004435EC" w:rsidP="004435EC">
            <w:pPr>
              <w:rPr>
                <w:rFonts w:ascii="Franklin Gothic Book" w:hAnsi="Franklin Gothic Book"/>
                <w:b w:val="0"/>
                <w:color w:val="000000"/>
                <w:sz w:val="20"/>
                <w:szCs w:val="20"/>
                <w:vertAlign w:val="superscript"/>
              </w:rPr>
            </w:pPr>
            <w:r w:rsidRPr="0092249B">
              <w:rPr>
                <w:rFonts w:ascii="Franklin Gothic Book" w:hAnsi="Franklin Gothic Book"/>
                <w:b w:val="0"/>
                <w:color w:val="000000"/>
                <w:sz w:val="20"/>
                <w:szCs w:val="20"/>
              </w:rPr>
              <w:t xml:space="preserve">Number of women and </w:t>
            </w:r>
            <w:r w:rsidRPr="00745170">
              <w:rPr>
                <w:rFonts w:ascii="Franklin Gothic Book" w:hAnsi="Franklin Gothic Book"/>
                <w:b w:val="0"/>
                <w:color w:val="000000"/>
                <w:sz w:val="20"/>
                <w:szCs w:val="20"/>
              </w:rPr>
              <w:t>men (by province)</w:t>
            </w:r>
            <w:r w:rsidRPr="0092249B">
              <w:rPr>
                <w:rFonts w:ascii="Franklin Gothic Book" w:hAnsi="Franklin Gothic Book"/>
                <w:b w:val="0"/>
                <w:color w:val="000000"/>
                <w:sz w:val="20"/>
                <w:szCs w:val="20"/>
              </w:rPr>
              <w:t xml:space="preserve"> trained with Australian support and working in </w:t>
            </w:r>
            <w:r>
              <w:rPr>
                <w:rFonts w:ascii="Franklin Gothic Book" w:hAnsi="Franklin Gothic Book"/>
                <w:b w:val="0"/>
                <w:color w:val="000000"/>
                <w:sz w:val="20"/>
                <w:szCs w:val="20"/>
              </w:rPr>
              <w:t xml:space="preserve">front-line </w:t>
            </w:r>
            <w:r w:rsidRPr="0092249B">
              <w:rPr>
                <w:rFonts w:ascii="Franklin Gothic Book" w:hAnsi="Franklin Gothic Book"/>
                <w:b w:val="0"/>
                <w:color w:val="000000"/>
                <w:sz w:val="20"/>
                <w:szCs w:val="20"/>
              </w:rPr>
              <w:t xml:space="preserve">positions where they </w:t>
            </w:r>
            <w:r>
              <w:rPr>
                <w:rFonts w:ascii="Franklin Gothic Book" w:hAnsi="Franklin Gothic Book"/>
                <w:b w:val="0"/>
                <w:color w:val="000000"/>
                <w:sz w:val="20"/>
                <w:szCs w:val="20"/>
              </w:rPr>
              <w:t>deliver</w:t>
            </w:r>
            <w:r w:rsidRPr="0092249B">
              <w:rPr>
                <w:rFonts w:ascii="Franklin Gothic Book" w:hAnsi="Franklin Gothic Book"/>
                <w:b w:val="0"/>
                <w:color w:val="000000"/>
                <w:sz w:val="20"/>
                <w:szCs w:val="20"/>
              </w:rPr>
              <w:t xml:space="preserve"> </w:t>
            </w:r>
            <w:r>
              <w:rPr>
                <w:rFonts w:ascii="Franklin Gothic Book" w:hAnsi="Franklin Gothic Book"/>
                <w:b w:val="0"/>
                <w:color w:val="000000"/>
                <w:sz w:val="20"/>
                <w:szCs w:val="20"/>
              </w:rPr>
              <w:t>public education and health services</w:t>
            </w:r>
          </w:p>
          <w:p w:rsidR="004435EC" w:rsidRPr="00BB20E5" w:rsidRDefault="004435EC" w:rsidP="004435EC">
            <w:pPr>
              <w:rPr>
                <w:rFonts w:ascii="Franklin Gothic Book" w:hAnsi="Franklin Gothic Book"/>
                <w:b w:val="0"/>
                <w:color w:val="000000"/>
                <w:sz w:val="16"/>
                <w:szCs w:val="16"/>
              </w:rPr>
            </w:pPr>
          </w:p>
        </w:tc>
        <w:tc>
          <w:tcPr>
            <w:tcW w:w="1985" w:type="dxa"/>
            <w:tcBorders>
              <w:top w:val="nil"/>
              <w:bottom w:val="single" w:sz="4" w:space="0" w:color="auto"/>
            </w:tcBorders>
            <w:shd w:val="clear" w:color="auto" w:fill="DDECD0" w:themeFill="accent3" w:themeFillTint="66"/>
          </w:tcPr>
          <w:p w:rsidR="004435EC" w:rsidRPr="00111860" w:rsidRDefault="006413E7"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7"/>
                <w:szCs w:val="17"/>
              </w:rPr>
            </w:pPr>
            <w:r>
              <w:rPr>
                <w:rFonts w:ascii="Franklin Gothic Book" w:hAnsi="Franklin Gothic Book"/>
                <w:color w:val="000000"/>
                <w:sz w:val="20"/>
                <w:szCs w:val="20"/>
              </w:rPr>
              <w:t>N/A</w:t>
            </w:r>
          </w:p>
        </w:tc>
        <w:tc>
          <w:tcPr>
            <w:tcW w:w="1843" w:type="dxa"/>
            <w:tcBorders>
              <w:top w:val="nil"/>
              <w:bottom w:val="single" w:sz="4" w:space="0" w:color="auto"/>
            </w:tcBorders>
            <w:shd w:val="clear" w:color="auto" w:fill="DDECD0" w:themeFill="accent3" w:themeFillTint="66"/>
          </w:tcPr>
          <w:p w:rsidR="004435EC" w:rsidRPr="00E7029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8"/>
                <w:szCs w:val="18"/>
              </w:rPr>
            </w:pPr>
            <w:r w:rsidRPr="00E7029F">
              <w:rPr>
                <w:rFonts w:ascii="Franklin Gothic Book" w:hAnsi="Franklin Gothic Book"/>
                <w:color w:val="000000"/>
                <w:sz w:val="18"/>
                <w:szCs w:val="18"/>
              </w:rPr>
              <w:t>888</w:t>
            </w:r>
            <w:r w:rsidRPr="00E7029F">
              <w:rPr>
                <w:rFonts w:ascii="Franklin Gothic Book" w:hAnsi="Franklin Gothic Book"/>
                <w:color w:val="000000"/>
                <w:sz w:val="18"/>
                <w:szCs w:val="18"/>
              </w:rPr>
              <w:sym w:font="Webdings" w:char="F081"/>
            </w:r>
            <w:r w:rsidRPr="00E7029F">
              <w:rPr>
                <w:rFonts w:ascii="Franklin Gothic Book" w:hAnsi="Franklin Gothic Book"/>
                <w:color w:val="000000"/>
                <w:sz w:val="18"/>
                <w:szCs w:val="18"/>
              </w:rPr>
              <w:t>| 808</w:t>
            </w:r>
            <w:r w:rsidRPr="00E7029F">
              <w:rPr>
                <w:rFonts w:ascii="Franklin Gothic Book" w:hAnsi="Franklin Gothic Book"/>
                <w:color w:val="000000"/>
                <w:sz w:val="18"/>
                <w:szCs w:val="18"/>
              </w:rPr>
              <w:sym w:font="Webdings" w:char="F080"/>
            </w:r>
            <w:r w:rsidRPr="00E7029F">
              <w:rPr>
                <w:rStyle w:val="FootnoteReference"/>
                <w:color w:val="000000"/>
              </w:rPr>
              <w:footnoteReference w:id="49"/>
            </w:r>
          </w:p>
        </w:tc>
        <w:tc>
          <w:tcPr>
            <w:tcW w:w="1383" w:type="dxa"/>
            <w:tcBorders>
              <w:top w:val="nil"/>
              <w:bottom w:val="single" w:sz="4" w:space="0" w:color="auto"/>
            </w:tcBorders>
            <w:shd w:val="clear" w:color="auto" w:fill="DDECD0" w:themeFill="accent3" w:themeFillTint="66"/>
          </w:tcPr>
          <w:p w:rsidR="004435EC" w:rsidRPr="00E7029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8"/>
                <w:szCs w:val="18"/>
              </w:rPr>
            </w:pPr>
            <w:r w:rsidRPr="00E7029F">
              <w:rPr>
                <w:rFonts w:ascii="Franklin Gothic Book" w:hAnsi="Franklin Gothic Book"/>
                <w:color w:val="000000"/>
                <w:sz w:val="18"/>
                <w:szCs w:val="18"/>
              </w:rPr>
              <w:t>842</w:t>
            </w:r>
            <w:r w:rsidRPr="00E7029F">
              <w:rPr>
                <w:rFonts w:ascii="Franklin Gothic Book" w:hAnsi="Franklin Gothic Book"/>
                <w:color w:val="000000"/>
                <w:sz w:val="18"/>
                <w:szCs w:val="18"/>
              </w:rPr>
              <w:sym w:font="Webdings" w:char="F081"/>
            </w:r>
            <w:r w:rsidRPr="00E7029F">
              <w:rPr>
                <w:rFonts w:ascii="Franklin Gothic Book" w:hAnsi="Franklin Gothic Book"/>
                <w:color w:val="000000"/>
                <w:sz w:val="18"/>
                <w:szCs w:val="18"/>
              </w:rPr>
              <w:t>|498</w:t>
            </w:r>
            <w:r w:rsidRPr="00E7029F">
              <w:rPr>
                <w:rFonts w:ascii="Franklin Gothic Book" w:hAnsi="Franklin Gothic Book"/>
                <w:color w:val="000000"/>
                <w:sz w:val="18"/>
                <w:szCs w:val="18"/>
              </w:rPr>
              <w:sym w:font="Webdings" w:char="F080"/>
            </w:r>
            <w:r w:rsidRPr="00E7029F">
              <w:rPr>
                <w:rStyle w:val="FootnoteReference"/>
                <w:color w:val="000000"/>
              </w:rPr>
              <w:footnoteReference w:id="50"/>
            </w:r>
          </w:p>
          <w:p w:rsidR="004435EC" w:rsidRPr="00E7029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8"/>
                <w:szCs w:val="18"/>
              </w:rPr>
            </w:pPr>
          </w:p>
          <w:p w:rsidR="004435EC" w:rsidRPr="00E7029F"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8"/>
                <w:szCs w:val="18"/>
              </w:rPr>
            </w:pPr>
          </w:p>
        </w:tc>
        <w:tc>
          <w:tcPr>
            <w:tcW w:w="1593" w:type="dxa"/>
            <w:tcBorders>
              <w:top w:val="nil"/>
              <w:bottom w:val="single" w:sz="4" w:space="0" w:color="auto"/>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 xml:space="preserve">   </w:t>
            </w:r>
            <w:r w:rsidR="006413E7">
              <w:rPr>
                <w:rFonts w:ascii="Franklin Gothic Book" w:hAnsi="Franklin Gothic Book"/>
                <w:color w:val="000000"/>
                <w:sz w:val="20"/>
                <w:szCs w:val="20"/>
              </w:rPr>
              <w:t>TB</w:t>
            </w:r>
            <w:r w:rsidR="00890190">
              <w:rPr>
                <w:rFonts w:ascii="Franklin Gothic Book" w:hAnsi="Franklin Gothic Book"/>
                <w:color w:val="000000"/>
                <w:sz w:val="20"/>
                <w:szCs w:val="20"/>
              </w:rPr>
              <w:t>C</w:t>
            </w:r>
          </w:p>
          <w:p w:rsidR="004435EC" w:rsidRPr="006B3654"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 xml:space="preserve">  </w:t>
            </w:r>
          </w:p>
        </w:tc>
        <w:tc>
          <w:tcPr>
            <w:tcW w:w="4395" w:type="dxa"/>
            <w:tcBorders>
              <w:top w:val="nil"/>
              <w:bottom w:val="single" w:sz="4" w:space="0" w:color="auto"/>
            </w:tcBorders>
            <w:shd w:val="clear" w:color="auto" w:fill="DDECD0" w:themeFill="accent3" w:themeFillTint="66"/>
          </w:tcPr>
          <w:p w:rsidR="004435EC" w:rsidRPr="00F20540"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F20540">
              <w:rPr>
                <w:rFonts w:ascii="Franklin Gothic Book" w:hAnsi="Franklin Gothic Book"/>
                <w:color w:val="000000"/>
                <w:sz w:val="16"/>
                <w:szCs w:val="16"/>
              </w:rPr>
              <w:t xml:space="preserve">Australia Awards; Health sector initiatives; Education sector initiatives; </w:t>
            </w:r>
          </w:p>
        </w:tc>
      </w:tr>
    </w:tbl>
    <w:p w:rsidR="004435EC" w:rsidRDefault="004435EC" w:rsidP="004435EC">
      <w:pPr>
        <w:rPr>
          <w:rFonts w:ascii="Franklin Gothic Book" w:hAnsi="Franklin Gothic Book"/>
          <w:sz w:val="21"/>
        </w:rPr>
      </w:pPr>
    </w:p>
    <w:tbl>
      <w:tblPr>
        <w:tblStyle w:val="LightShading"/>
        <w:tblW w:w="15168" w:type="dxa"/>
        <w:tblLayout w:type="fixed"/>
        <w:tblLook w:val="04A0" w:firstRow="1" w:lastRow="0" w:firstColumn="1" w:lastColumn="0" w:noHBand="0" w:noVBand="1"/>
      </w:tblPr>
      <w:tblGrid>
        <w:gridCol w:w="4678"/>
        <w:gridCol w:w="1559"/>
        <w:gridCol w:w="1418"/>
        <w:gridCol w:w="1525"/>
        <w:gridCol w:w="1593"/>
        <w:gridCol w:w="4395"/>
      </w:tblGrid>
      <w:tr w:rsidR="004435EC" w:rsidRPr="006D2BA6" w:rsidTr="004435EC">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4678" w:type="dxa"/>
            <w:hideMark/>
          </w:tcPr>
          <w:p w:rsidR="004435EC" w:rsidRPr="006D2BA6" w:rsidRDefault="004435EC" w:rsidP="004435EC">
            <w:pPr>
              <w:rPr>
                <w:rFonts w:ascii="Franklin Gothic Book" w:hAnsi="Franklin Gothic Book"/>
                <w:color w:val="000000"/>
                <w:sz w:val="21"/>
                <w:szCs w:val="21"/>
              </w:rPr>
            </w:pPr>
            <w:r w:rsidRPr="006D2BA6">
              <w:rPr>
                <w:rFonts w:ascii="Franklin Gothic Book" w:hAnsi="Franklin Gothic Book"/>
                <w:color w:val="000000"/>
                <w:sz w:val="21"/>
                <w:szCs w:val="21"/>
              </w:rPr>
              <w:t>S</w:t>
            </w:r>
            <w:r>
              <w:rPr>
                <w:rFonts w:ascii="Franklin Gothic Book" w:hAnsi="Franklin Gothic Book"/>
                <w:color w:val="000000"/>
                <w:sz w:val="21"/>
                <w:szCs w:val="21"/>
              </w:rPr>
              <w:t>trategic</w:t>
            </w:r>
            <w:r w:rsidRPr="006D2BA6">
              <w:rPr>
                <w:rFonts w:ascii="Franklin Gothic Book" w:hAnsi="Franklin Gothic Book"/>
                <w:color w:val="000000"/>
                <w:sz w:val="21"/>
                <w:szCs w:val="21"/>
              </w:rPr>
              <w:t xml:space="preserve"> Development Objective</w:t>
            </w:r>
            <w:r>
              <w:rPr>
                <w:rFonts w:ascii="Franklin Gothic Book" w:hAnsi="Franklin Gothic Book"/>
                <w:color w:val="000000"/>
                <w:sz w:val="21"/>
                <w:szCs w:val="21"/>
              </w:rPr>
              <w:t xml:space="preserve"> 3</w:t>
            </w:r>
          </w:p>
        </w:tc>
        <w:tc>
          <w:tcPr>
            <w:tcW w:w="10490" w:type="dxa"/>
            <w:gridSpan w:val="5"/>
            <w:shd w:val="clear" w:color="auto" w:fill="auto"/>
            <w:hideMark/>
          </w:tcPr>
          <w:p w:rsidR="004435EC" w:rsidRPr="002C39EB" w:rsidRDefault="004435EC" w:rsidP="0094193A">
            <w:pP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1"/>
                <w:szCs w:val="21"/>
              </w:rPr>
            </w:pPr>
            <w:r w:rsidRPr="001E6216">
              <w:rPr>
                <w:rFonts w:ascii="Franklin Gothic Book" w:hAnsi="Franklin Gothic Book"/>
                <w:color w:val="000000"/>
                <w:sz w:val="21"/>
                <w:szCs w:val="21"/>
              </w:rPr>
              <w:t>Improving community safety and resilience</w:t>
            </w:r>
            <w:r>
              <w:rPr>
                <w:rFonts w:ascii="Franklin Gothic Book" w:hAnsi="Franklin Gothic Book"/>
                <w:color w:val="000000"/>
                <w:sz w:val="21"/>
                <w:szCs w:val="21"/>
              </w:rPr>
              <w:t xml:space="preserve"> [19% Bilateral ODA in 201</w:t>
            </w:r>
            <w:r w:rsidR="0094193A">
              <w:rPr>
                <w:rFonts w:ascii="Franklin Gothic Book" w:hAnsi="Franklin Gothic Book"/>
                <w:color w:val="000000"/>
                <w:sz w:val="21"/>
                <w:szCs w:val="21"/>
              </w:rPr>
              <w:t>7-18</w:t>
            </w:r>
            <w:r>
              <w:rPr>
                <w:rFonts w:ascii="Franklin Gothic Book" w:hAnsi="Franklin Gothic Book"/>
                <w:color w:val="000000"/>
                <w:sz w:val="21"/>
                <w:szCs w:val="21"/>
              </w:rPr>
              <w:t>]</w:t>
            </w:r>
          </w:p>
        </w:tc>
      </w:tr>
      <w:tr w:rsidR="004435EC" w:rsidRPr="006D2BA6" w:rsidTr="004435EC">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4678" w:type="dxa"/>
            <w:tcBorders>
              <w:bottom w:val="nil"/>
            </w:tcBorders>
            <w:vAlign w:val="center"/>
            <w:hideMark/>
          </w:tcPr>
          <w:p w:rsidR="004435EC" w:rsidRPr="00A258D1" w:rsidRDefault="004435EC" w:rsidP="004435EC">
            <w:pPr>
              <w:rPr>
                <w:rFonts w:ascii="Franklin Gothic Book" w:hAnsi="Franklin Gothic Book"/>
                <w:color w:val="000000"/>
                <w:sz w:val="20"/>
                <w:szCs w:val="20"/>
                <w:highlight w:val="green"/>
              </w:rPr>
            </w:pPr>
            <w:r w:rsidRPr="00EA6B27">
              <w:rPr>
                <w:rFonts w:ascii="Franklin Gothic Book" w:hAnsi="Franklin Gothic Book"/>
                <w:color w:val="000000" w:themeColor="text1"/>
                <w:sz w:val="20"/>
                <w:szCs w:val="20"/>
              </w:rPr>
              <w:t>Indicators</w:t>
            </w:r>
          </w:p>
        </w:tc>
        <w:tc>
          <w:tcPr>
            <w:tcW w:w="1559" w:type="dxa"/>
            <w:tcBorders>
              <w:bottom w:val="nil"/>
            </w:tcBorders>
            <w:vAlign w:val="center"/>
          </w:tcPr>
          <w:p w:rsidR="004435EC"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2015–16</w:t>
            </w:r>
          </w:p>
          <w:p w:rsidR="004435EC" w:rsidRPr="008A425D"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themeColor="text1"/>
                <w:sz w:val="20"/>
                <w:szCs w:val="20"/>
              </w:rPr>
            </w:pPr>
            <w:r w:rsidRPr="008A425D">
              <w:rPr>
                <w:rFonts w:ascii="Franklin Gothic Book" w:hAnsi="Franklin Gothic Book"/>
                <w:bCs w:val="0"/>
                <w:color w:val="000000"/>
                <w:sz w:val="20"/>
                <w:szCs w:val="20"/>
              </w:rPr>
              <w:t>Baseline</w:t>
            </w:r>
          </w:p>
        </w:tc>
        <w:tc>
          <w:tcPr>
            <w:tcW w:w="1418" w:type="dxa"/>
            <w:tcBorders>
              <w:bottom w:val="nil"/>
            </w:tcBorders>
            <w:vAlign w:val="center"/>
          </w:tcPr>
          <w:p w:rsidR="004435EC"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6B3654">
              <w:rPr>
                <w:rFonts w:ascii="Franklin Gothic Book" w:hAnsi="Franklin Gothic Book"/>
                <w:color w:val="000000"/>
                <w:sz w:val="20"/>
                <w:szCs w:val="20"/>
              </w:rPr>
              <w:t>2016–17</w:t>
            </w:r>
          </w:p>
          <w:p w:rsidR="00D62E22" w:rsidRPr="006B3654"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Pr>
                <w:rFonts w:ascii="Franklin Gothic Book" w:hAnsi="Franklin Gothic Book"/>
                <w:color w:val="000000"/>
                <w:sz w:val="20"/>
                <w:szCs w:val="20"/>
              </w:rPr>
              <w:t>Result</w:t>
            </w:r>
          </w:p>
        </w:tc>
        <w:tc>
          <w:tcPr>
            <w:tcW w:w="1525" w:type="dxa"/>
            <w:tcBorders>
              <w:bottom w:val="nil"/>
            </w:tcBorders>
            <w:vAlign w:val="center"/>
          </w:tcPr>
          <w:p w:rsidR="004435EC"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6B3654">
              <w:rPr>
                <w:rFonts w:ascii="Franklin Gothic Book" w:hAnsi="Franklin Gothic Book"/>
                <w:color w:val="000000"/>
                <w:sz w:val="20"/>
                <w:szCs w:val="20"/>
              </w:rPr>
              <w:t>2017–18</w:t>
            </w:r>
          </w:p>
          <w:p w:rsidR="00D62E22" w:rsidRPr="006B3654"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Pr>
                <w:rFonts w:ascii="Franklin Gothic Book" w:hAnsi="Franklin Gothic Book"/>
                <w:color w:val="000000"/>
                <w:sz w:val="20"/>
                <w:szCs w:val="20"/>
              </w:rPr>
              <w:t>Result</w:t>
            </w:r>
          </w:p>
        </w:tc>
        <w:tc>
          <w:tcPr>
            <w:tcW w:w="1593" w:type="dxa"/>
            <w:tcBorders>
              <w:bottom w:val="nil"/>
            </w:tcBorders>
            <w:vAlign w:val="center"/>
          </w:tcPr>
          <w:p w:rsidR="004435EC"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D54D77">
              <w:rPr>
                <w:rFonts w:ascii="Franklin Gothic Book" w:hAnsi="Franklin Gothic Book"/>
                <w:bCs w:val="0"/>
                <w:color w:val="000000"/>
                <w:sz w:val="20"/>
                <w:szCs w:val="20"/>
              </w:rPr>
              <w:t>201</w:t>
            </w:r>
            <w:r>
              <w:rPr>
                <w:rFonts w:ascii="Franklin Gothic Book" w:hAnsi="Franklin Gothic Book"/>
                <w:bCs w:val="0"/>
                <w:color w:val="000000"/>
                <w:sz w:val="20"/>
                <w:szCs w:val="20"/>
              </w:rPr>
              <w:t>8</w:t>
            </w:r>
            <w:r w:rsidRPr="00D54D77">
              <w:rPr>
                <w:rFonts w:ascii="Franklin Gothic Book" w:hAnsi="Franklin Gothic Book"/>
                <w:bCs w:val="0"/>
                <w:color w:val="000000"/>
                <w:sz w:val="20"/>
                <w:szCs w:val="20"/>
              </w:rPr>
              <w:t>-19</w:t>
            </w:r>
          </w:p>
          <w:p w:rsidR="00D62E22" w:rsidRPr="00D54D77" w:rsidRDefault="00D62E22"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Pr>
                <w:rFonts w:ascii="Franklin Gothic Book" w:hAnsi="Franklin Gothic Book"/>
                <w:bCs w:val="0"/>
                <w:color w:val="000000"/>
                <w:sz w:val="20"/>
                <w:szCs w:val="20"/>
              </w:rPr>
              <w:t>Target</w:t>
            </w:r>
          </w:p>
        </w:tc>
        <w:tc>
          <w:tcPr>
            <w:tcW w:w="4395" w:type="dxa"/>
            <w:tcBorders>
              <w:bottom w:val="nil"/>
            </w:tcBorders>
            <w:vAlign w:val="center"/>
          </w:tcPr>
          <w:p w:rsidR="004435EC" w:rsidRPr="006B3654" w:rsidRDefault="004435EC" w:rsidP="004435EC">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Data source</w:t>
            </w:r>
            <w:r>
              <w:rPr>
                <w:rFonts w:ascii="Franklin Gothic Book" w:hAnsi="Franklin Gothic Book"/>
                <w:color w:val="000000"/>
                <w:sz w:val="20"/>
                <w:szCs w:val="20"/>
              </w:rPr>
              <w:t>s</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tcBorders>
              <w:top w:val="nil"/>
            </w:tcBorders>
            <w:shd w:val="clear" w:color="auto" w:fill="DDECD0" w:themeFill="accent3" w:themeFillTint="66"/>
          </w:tcPr>
          <w:p w:rsidR="004435EC" w:rsidRDefault="004435EC" w:rsidP="004435EC">
            <w:pPr>
              <w:rPr>
                <w:rFonts w:ascii="Franklin Gothic Book" w:hAnsi="Franklin Gothic Book"/>
                <w:b w:val="0"/>
                <w:color w:val="000000"/>
                <w:sz w:val="20"/>
                <w:szCs w:val="20"/>
              </w:rPr>
            </w:pPr>
            <w:r>
              <w:rPr>
                <w:rFonts w:ascii="Franklin Gothic Book" w:hAnsi="Franklin Gothic Book"/>
                <w:b w:val="0"/>
                <w:color w:val="000000"/>
                <w:sz w:val="20"/>
                <w:szCs w:val="20"/>
              </w:rPr>
              <w:t>Average number of days for completion of a criminal matter through the State Prosecutions/Magistrates Court</w:t>
            </w:r>
          </w:p>
          <w:p w:rsidR="004435EC" w:rsidRPr="001D69F5" w:rsidRDefault="004435EC" w:rsidP="004435EC">
            <w:pPr>
              <w:rPr>
                <w:rFonts w:ascii="Franklin Gothic Book" w:hAnsi="Franklin Gothic Book"/>
                <w:b w:val="0"/>
                <w:color w:val="000000"/>
                <w:sz w:val="16"/>
                <w:szCs w:val="16"/>
              </w:rPr>
            </w:pPr>
          </w:p>
          <w:p w:rsidR="004435EC" w:rsidRPr="0078487A" w:rsidRDefault="004435EC">
            <w:pPr>
              <w:rPr>
                <w:rFonts w:ascii="Franklin Gothic Book" w:hAnsi="Franklin Gothic Book"/>
                <w:b w:val="0"/>
                <w:color w:val="000000"/>
                <w:sz w:val="16"/>
                <w:szCs w:val="16"/>
              </w:rPr>
            </w:pPr>
            <w:r>
              <w:rPr>
                <w:rFonts w:ascii="Franklin Gothic Book" w:hAnsi="Franklin Gothic Book"/>
                <w:b w:val="0"/>
                <w:color w:val="000000"/>
                <w:sz w:val="20"/>
                <w:szCs w:val="20"/>
              </w:rPr>
              <w:t>Average number of days for completion of a criminal matter through the Office of the Public Prosecution/Supreme Court</w:t>
            </w:r>
          </w:p>
        </w:tc>
        <w:tc>
          <w:tcPr>
            <w:tcW w:w="1559"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78487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418"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78487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n/a</w:t>
            </w:r>
          </w:p>
        </w:tc>
        <w:tc>
          <w:tcPr>
            <w:tcW w:w="1525"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907</w:t>
            </w:r>
            <w:r>
              <w:rPr>
                <w:rFonts w:ascii="Franklin Gothic Book" w:hAnsi="Franklin Gothic Book"/>
                <w:color w:val="000000"/>
                <w:sz w:val="20"/>
                <w:szCs w:val="20"/>
              </w:rPr>
              <w:br/>
              <w:t>(baseline)</w:t>
            </w: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78487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887</w:t>
            </w:r>
            <w:r>
              <w:rPr>
                <w:rFonts w:ascii="Franklin Gothic Book" w:hAnsi="Franklin Gothic Book"/>
                <w:color w:val="000000"/>
                <w:sz w:val="20"/>
                <w:szCs w:val="20"/>
              </w:rPr>
              <w:br/>
              <w:t>(baseline)</w:t>
            </w:r>
          </w:p>
        </w:tc>
        <w:tc>
          <w:tcPr>
            <w:tcW w:w="1593" w:type="dxa"/>
            <w:tcBorders>
              <w:top w:val="nil"/>
            </w:tcBorders>
            <w:shd w:val="clear" w:color="auto" w:fill="DDECD0" w:themeFill="accent3" w:themeFillTint="66"/>
          </w:tcPr>
          <w:p w:rsidR="004435EC" w:rsidRPr="00457CA7"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875</w:t>
            </w:r>
          </w:p>
          <w:p w:rsidR="004435EC" w:rsidRPr="00457CA7"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457CA7"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457CA7"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p>
          <w:p w:rsidR="004435EC" w:rsidRPr="0078487A"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850</w:t>
            </w:r>
          </w:p>
        </w:tc>
        <w:tc>
          <w:tcPr>
            <w:tcW w:w="4395" w:type="dxa"/>
            <w:tcBorders>
              <w:top w:val="nil"/>
              <w:bottom w:val="nil"/>
            </w:tcBorders>
            <w:shd w:val="clear" w:color="auto" w:fill="DDECD0" w:themeFill="accent3" w:themeFillTint="66"/>
          </w:tcPr>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Law and Justice System monitoring records</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20AE3">
              <w:rPr>
                <w:rFonts w:ascii="Franklin Gothic Book" w:hAnsi="Franklin Gothic Book"/>
                <w:color w:val="000000"/>
                <w:sz w:val="16"/>
                <w:szCs w:val="16"/>
              </w:rPr>
              <w:t>DFAT L&amp;J Program monitoring data</w:t>
            </w:r>
          </w:p>
        </w:tc>
      </w:tr>
      <w:tr w:rsidR="004435EC" w:rsidRPr="006D2BA6" w:rsidTr="004435EC">
        <w:trPr>
          <w:trHeight w:val="227"/>
        </w:trPr>
        <w:tc>
          <w:tcPr>
            <w:cnfStyle w:val="001000000000" w:firstRow="0" w:lastRow="0" w:firstColumn="1" w:lastColumn="0" w:oddVBand="0" w:evenVBand="0" w:oddHBand="0" w:evenHBand="0" w:firstRowFirstColumn="0" w:firstRowLastColumn="0" w:lastRowFirstColumn="0" w:lastRowLastColumn="0"/>
            <w:tcW w:w="4678" w:type="dxa"/>
            <w:tcBorders>
              <w:top w:val="nil"/>
            </w:tcBorders>
            <w:shd w:val="clear" w:color="auto" w:fill="C1E7E0" w:themeFill="accent1" w:themeFillTint="66"/>
          </w:tcPr>
          <w:p w:rsidR="004435EC" w:rsidRPr="00FF1221" w:rsidRDefault="004435EC" w:rsidP="004435EC">
            <w:pPr>
              <w:rPr>
                <w:rFonts w:ascii="Franklin Gothic Book" w:hAnsi="Franklin Gothic Book"/>
                <w:b w:val="0"/>
                <w:color w:val="000000"/>
                <w:sz w:val="20"/>
                <w:szCs w:val="20"/>
              </w:rPr>
            </w:pPr>
            <w:r w:rsidRPr="00FF1221">
              <w:rPr>
                <w:rFonts w:ascii="Franklin Gothic Book" w:hAnsi="Franklin Gothic Book"/>
                <w:b w:val="0"/>
                <w:color w:val="000000"/>
                <w:sz w:val="20"/>
                <w:szCs w:val="20"/>
              </w:rPr>
              <w:t>Number of women and children survivors of violence provided counselling support</w:t>
            </w:r>
            <w:r>
              <w:rPr>
                <w:rFonts w:ascii="Franklin Gothic Book" w:hAnsi="Franklin Gothic Book"/>
                <w:b w:val="0"/>
                <w:color w:val="000000"/>
                <w:sz w:val="20"/>
                <w:szCs w:val="20"/>
              </w:rPr>
              <w:t>,</w:t>
            </w:r>
            <w:r w:rsidRPr="00FF1221">
              <w:rPr>
                <w:rFonts w:ascii="Franklin Gothic Book" w:hAnsi="Franklin Gothic Book"/>
                <w:b w:val="0"/>
                <w:color w:val="000000"/>
                <w:sz w:val="20"/>
                <w:szCs w:val="20"/>
              </w:rPr>
              <w:t xml:space="preserve"> legal services</w:t>
            </w:r>
            <w:r>
              <w:rPr>
                <w:rStyle w:val="FootnoteReference"/>
                <w:color w:val="000000"/>
              </w:rPr>
              <w:footnoteReference w:id="51"/>
            </w:r>
            <w:r>
              <w:rPr>
                <w:rFonts w:ascii="Franklin Gothic Book" w:hAnsi="Franklin Gothic Book"/>
                <w:b w:val="0"/>
                <w:color w:val="000000"/>
                <w:sz w:val="20"/>
                <w:szCs w:val="20"/>
              </w:rPr>
              <w:t xml:space="preserve"> and/or police services</w:t>
            </w:r>
          </w:p>
          <w:p w:rsidR="004435EC" w:rsidRPr="00FF1221" w:rsidRDefault="004435EC" w:rsidP="004435EC">
            <w:pPr>
              <w:rPr>
                <w:rFonts w:ascii="Franklin Gothic Book" w:hAnsi="Franklin Gothic Book"/>
                <w:b w:val="0"/>
                <w:color w:val="000000"/>
                <w:sz w:val="16"/>
                <w:szCs w:val="16"/>
              </w:rPr>
            </w:pPr>
          </w:p>
        </w:tc>
        <w:tc>
          <w:tcPr>
            <w:tcW w:w="1559" w:type="dxa"/>
            <w:tcBorders>
              <w:top w:val="nil"/>
            </w:tcBorders>
            <w:shd w:val="clear" w:color="auto" w:fill="C1E7E0" w:themeFill="accent1" w:themeFillTint="66"/>
          </w:tcPr>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6,858</w:t>
            </w:r>
          </w:p>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772167">
              <w:rPr>
                <w:rFonts w:ascii="Franklin Gothic Book" w:hAnsi="Franklin Gothic Book"/>
                <w:color w:val="000000"/>
                <w:sz w:val="16"/>
                <w:szCs w:val="16"/>
              </w:rPr>
              <w:t>[2016 APPR]</w:t>
            </w:r>
          </w:p>
        </w:tc>
        <w:tc>
          <w:tcPr>
            <w:tcW w:w="1418" w:type="dxa"/>
            <w:tcBorders>
              <w:top w:val="nil"/>
            </w:tcBorders>
            <w:shd w:val="clear" w:color="auto" w:fill="C1E7E0" w:themeFill="accent1" w:themeFillTint="66"/>
          </w:tcPr>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7,246</w:t>
            </w:r>
          </w:p>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772167">
              <w:rPr>
                <w:rFonts w:ascii="Franklin Gothic Book" w:hAnsi="Franklin Gothic Book"/>
                <w:color w:val="000000"/>
                <w:sz w:val="16"/>
                <w:szCs w:val="16"/>
              </w:rPr>
              <w:t>[DFAT ADR]</w:t>
            </w:r>
          </w:p>
        </w:tc>
        <w:tc>
          <w:tcPr>
            <w:tcW w:w="1525" w:type="dxa"/>
            <w:tcBorders>
              <w:top w:val="nil"/>
            </w:tcBorders>
            <w:shd w:val="clear" w:color="auto" w:fill="C1E7E0" w:themeFill="accent1" w:themeFillTint="66"/>
          </w:tcPr>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7</w:t>
            </w:r>
            <w:r w:rsidR="00457CA7" w:rsidRPr="00772167">
              <w:rPr>
                <w:rFonts w:ascii="Franklin Gothic Book" w:hAnsi="Franklin Gothic Book"/>
                <w:color w:val="000000"/>
                <w:sz w:val="20"/>
                <w:szCs w:val="20"/>
              </w:rPr>
              <w:t>,</w:t>
            </w:r>
            <w:r w:rsidR="008149AA" w:rsidRPr="00772167">
              <w:rPr>
                <w:rFonts w:ascii="Franklin Gothic Book" w:hAnsi="Franklin Gothic Book"/>
                <w:color w:val="000000"/>
                <w:sz w:val="20"/>
                <w:szCs w:val="20"/>
              </w:rPr>
              <w:t>318</w:t>
            </w:r>
          </w:p>
          <w:p w:rsidR="004435EC" w:rsidRPr="0077216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16"/>
                <w:szCs w:val="16"/>
              </w:rPr>
              <w:t>[VWC]</w:t>
            </w:r>
          </w:p>
        </w:tc>
        <w:tc>
          <w:tcPr>
            <w:tcW w:w="1593" w:type="dxa"/>
            <w:tcBorders>
              <w:top w:val="nil"/>
            </w:tcBorders>
            <w:shd w:val="clear" w:color="auto" w:fill="C1E7E0" w:themeFill="accent1" w:themeFillTint="66"/>
          </w:tcPr>
          <w:p w:rsidR="004435EC" w:rsidRDefault="00277683"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w:t>
            </w:r>
            <w:r w:rsidR="004435EC">
              <w:rPr>
                <w:rFonts w:ascii="Franklin Gothic Book" w:hAnsi="Franklin Gothic Book"/>
                <w:color w:val="000000"/>
                <w:sz w:val="20"/>
                <w:szCs w:val="20"/>
              </w:rPr>
              <w:t>,</w:t>
            </w:r>
            <w:r>
              <w:rPr>
                <w:rFonts w:ascii="Franklin Gothic Book" w:hAnsi="Franklin Gothic Book"/>
                <w:color w:val="000000"/>
                <w:sz w:val="20"/>
                <w:szCs w:val="20"/>
              </w:rPr>
              <w:t>5</w:t>
            </w:r>
            <w:r w:rsidR="004435EC">
              <w:rPr>
                <w:rFonts w:ascii="Franklin Gothic Book" w:hAnsi="Franklin Gothic Book"/>
                <w:color w:val="000000"/>
                <w:sz w:val="20"/>
                <w:szCs w:val="20"/>
              </w:rPr>
              <w:t>00</w:t>
            </w:r>
            <w:r w:rsidR="004435EC">
              <w:rPr>
                <w:rStyle w:val="FootnoteReference"/>
                <w:color w:val="000000"/>
              </w:rPr>
              <w:footnoteReference w:id="52"/>
            </w:r>
          </w:p>
          <w:p w:rsidR="004435EC" w:rsidRPr="006B3654"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[VWC &amp; PIMS]</w:t>
            </w:r>
          </w:p>
        </w:tc>
        <w:tc>
          <w:tcPr>
            <w:tcW w:w="4395" w:type="dxa"/>
            <w:tcBorders>
              <w:top w:val="nil"/>
              <w:bottom w:val="nil"/>
            </w:tcBorders>
            <w:shd w:val="clear" w:color="auto" w:fill="C1E7E0" w:themeFill="accent1" w:themeFillTint="66"/>
          </w:tcPr>
          <w:p w:rsidR="004435EC" w:rsidRPr="00EE435A"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EE435A">
              <w:rPr>
                <w:rFonts w:ascii="Franklin Gothic Book" w:hAnsi="Franklin Gothic Book"/>
                <w:color w:val="000000"/>
                <w:sz w:val="16"/>
                <w:szCs w:val="16"/>
              </w:rPr>
              <w:t xml:space="preserve">UN Women (2016) </w:t>
            </w:r>
            <w:r w:rsidRPr="00EE435A">
              <w:rPr>
                <w:rFonts w:ascii="Franklin Gothic Book" w:hAnsi="Franklin Gothic Book"/>
                <w:i/>
                <w:color w:val="000000"/>
                <w:sz w:val="16"/>
                <w:szCs w:val="16"/>
              </w:rPr>
              <w:t>Women and Children’s Access to the Formal Justice System in Vanuatu</w:t>
            </w:r>
            <w:r w:rsidRPr="00EE435A">
              <w:rPr>
                <w:rFonts w:ascii="Franklin Gothic Book" w:hAnsi="Franklin Gothic Book"/>
                <w:color w:val="000000"/>
                <w:sz w:val="16"/>
                <w:szCs w:val="16"/>
              </w:rPr>
              <w:t xml:space="preserve">. </w:t>
            </w:r>
            <w:hyperlink r:id="rId36" w:history="1">
              <w:r w:rsidRPr="00EE435A">
                <w:rPr>
                  <w:rStyle w:val="Hyperlink"/>
                  <w:rFonts w:ascii="Franklin Gothic Book" w:hAnsi="Franklin Gothic Book"/>
                  <w:sz w:val="12"/>
                  <w:szCs w:val="12"/>
                </w:rPr>
                <w:t>www.asiapacific.unwomen.org</w:t>
              </w:r>
            </w:hyperlink>
            <w:r w:rsidRPr="00EE435A">
              <w:rPr>
                <w:rFonts w:ascii="Franklin Gothic Book" w:hAnsi="Franklin Gothic Book"/>
                <w:color w:val="000000"/>
                <w:sz w:val="16"/>
                <w:szCs w:val="16"/>
              </w:rPr>
              <w:t xml:space="preserve"> </w:t>
            </w:r>
            <w:r>
              <w:rPr>
                <w:rFonts w:ascii="Franklin Gothic Book" w:hAnsi="Franklin Gothic Book"/>
                <w:color w:val="000000"/>
                <w:sz w:val="16"/>
                <w:szCs w:val="16"/>
              </w:rPr>
              <w:t>estimates around 23,000 women victims in total per year.</w:t>
            </w:r>
          </w:p>
          <w:p w:rsidR="004435EC" w:rsidRPr="00EE435A" w:rsidRDefault="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6"/>
                <w:szCs w:val="16"/>
              </w:rPr>
              <w:t>Vanuatu Women’s Centre and Police Information Management System.</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shd w:val="clear" w:color="auto" w:fill="DDECD0" w:themeFill="accent3" w:themeFillTint="66"/>
          </w:tcPr>
          <w:p w:rsidR="004435EC" w:rsidRDefault="004435EC" w:rsidP="004435EC">
            <w:r w:rsidRPr="005E26AB">
              <w:rPr>
                <w:rFonts w:ascii="Franklin Gothic Book" w:hAnsi="Franklin Gothic Book"/>
                <w:b w:val="0"/>
                <w:color w:val="000000"/>
                <w:sz w:val="20"/>
                <w:szCs w:val="20"/>
              </w:rPr>
              <w:t>Proportion of population with access to technologies that convey early warnings</w:t>
            </w:r>
            <w:r>
              <w:rPr>
                <w:rStyle w:val="FootnoteReference"/>
                <w:color w:val="000000"/>
              </w:rPr>
              <w:footnoteReference w:id="53"/>
            </w:r>
          </w:p>
          <w:p w:rsidR="004435EC" w:rsidRPr="005E26AB" w:rsidRDefault="004435EC" w:rsidP="004435EC">
            <w:pPr>
              <w:rPr>
                <w:rFonts w:ascii="Franklin Gothic Book" w:hAnsi="Franklin Gothic Book"/>
                <w:b w:val="0"/>
                <w:color w:val="000000"/>
                <w:sz w:val="16"/>
                <w:szCs w:val="16"/>
                <w:highlight w:val="yellow"/>
              </w:rPr>
            </w:pPr>
          </w:p>
        </w:tc>
        <w:tc>
          <w:tcPr>
            <w:tcW w:w="1559" w:type="dxa"/>
            <w:tcBorders>
              <w:top w:val="nil"/>
              <w:bottom w:val="nil"/>
            </w:tcBorders>
            <w:shd w:val="clear" w:color="auto" w:fill="DDECD0" w:themeFill="accent3" w:themeFillTint="66"/>
          </w:tcPr>
          <w:p w:rsidR="004435EC" w:rsidRPr="009C2173"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66%</w:t>
            </w:r>
          </w:p>
        </w:tc>
        <w:tc>
          <w:tcPr>
            <w:tcW w:w="1418"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71%</w:t>
            </w:r>
          </w:p>
        </w:tc>
        <w:tc>
          <w:tcPr>
            <w:tcW w:w="1525" w:type="dxa"/>
            <w:tcBorders>
              <w:top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75%</w:t>
            </w:r>
          </w:p>
        </w:tc>
        <w:tc>
          <w:tcPr>
            <w:tcW w:w="1593" w:type="dxa"/>
            <w:tcBorders>
              <w:top w:val="nil"/>
            </w:tcBorders>
            <w:shd w:val="clear" w:color="auto" w:fill="DDECD0" w:themeFill="accent3" w:themeFillTint="66"/>
          </w:tcPr>
          <w:p w:rsidR="004435EC" w:rsidRPr="006B3654"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80%</w:t>
            </w:r>
          </w:p>
        </w:tc>
        <w:tc>
          <w:tcPr>
            <w:tcW w:w="4395" w:type="dxa"/>
            <w:tcBorders>
              <w:top w:val="nil"/>
              <w:bottom w:val="nil"/>
            </w:tcBorders>
            <w:shd w:val="clear" w:color="auto" w:fill="DDECD0" w:themeFill="accent3" w:themeFillTint="66"/>
          </w:tcPr>
          <w:p w:rsidR="004435EC"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C62254">
              <w:rPr>
                <w:rFonts w:ascii="Franklin Gothic Book" w:hAnsi="Franklin Gothic Book"/>
                <w:color w:val="000000"/>
                <w:sz w:val="16"/>
                <w:szCs w:val="16"/>
              </w:rPr>
              <w:t>Mobile cellular subscriptions (per 100 people)</w:t>
            </w:r>
          </w:p>
          <w:p w:rsidR="004435EC" w:rsidRPr="00C20AE3"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highlight w:val="yellow"/>
              </w:rPr>
            </w:pPr>
            <w:r>
              <w:rPr>
                <w:rFonts w:ascii="Franklin Gothic Book" w:hAnsi="Franklin Gothic Book"/>
                <w:color w:val="000000"/>
                <w:sz w:val="16"/>
                <w:szCs w:val="16"/>
              </w:rPr>
              <w:t>[WDI I</w:t>
            </w:r>
            <w:r w:rsidRPr="00C62254">
              <w:rPr>
                <w:rFonts w:ascii="Franklin Gothic Book" w:hAnsi="Franklin Gothic Book"/>
                <w:color w:val="000000"/>
                <w:sz w:val="16"/>
                <w:szCs w:val="16"/>
              </w:rPr>
              <w:t>T.CEL.SETS.P2</w:t>
            </w:r>
            <w:r>
              <w:rPr>
                <w:rFonts w:ascii="Franklin Gothic Book" w:hAnsi="Franklin Gothic Book"/>
                <w:color w:val="000000"/>
                <w:sz w:val="16"/>
                <w:szCs w:val="16"/>
              </w:rPr>
              <w:t>] – note aggregate number, does not demonstrate coverage</w:t>
            </w:r>
          </w:p>
        </w:tc>
      </w:tr>
      <w:tr w:rsidR="004435EC" w:rsidRPr="006D2BA6" w:rsidTr="004435EC">
        <w:trPr>
          <w:trHeight w:val="227"/>
        </w:trPr>
        <w:tc>
          <w:tcPr>
            <w:cnfStyle w:val="001000000000" w:firstRow="0" w:lastRow="0" w:firstColumn="1" w:lastColumn="0" w:oddVBand="0" w:evenVBand="0" w:oddHBand="0" w:evenHBand="0" w:firstRowFirstColumn="0" w:firstRowLastColumn="0" w:lastRowFirstColumn="0" w:lastRowLastColumn="0"/>
            <w:tcW w:w="4678" w:type="dxa"/>
            <w:shd w:val="clear" w:color="auto" w:fill="C1E7E0" w:themeFill="accent1" w:themeFillTint="66"/>
          </w:tcPr>
          <w:p w:rsidR="004435EC" w:rsidRDefault="004435EC" w:rsidP="004435EC">
            <w:pPr>
              <w:rPr>
                <w:rFonts w:ascii="Franklin Gothic Book" w:hAnsi="Franklin Gothic Book"/>
                <w:b w:val="0"/>
                <w:color w:val="000000"/>
                <w:sz w:val="20"/>
                <w:szCs w:val="20"/>
                <w:vertAlign w:val="superscript"/>
              </w:rPr>
            </w:pPr>
            <w:r w:rsidRPr="0092249B">
              <w:rPr>
                <w:rFonts w:ascii="Franklin Gothic Book" w:hAnsi="Franklin Gothic Book"/>
                <w:b w:val="0"/>
                <w:color w:val="000000"/>
                <w:sz w:val="20"/>
                <w:szCs w:val="20"/>
              </w:rPr>
              <w:t xml:space="preserve">Number of women </w:t>
            </w:r>
            <w:r>
              <w:rPr>
                <w:rFonts w:ascii="Franklin Gothic Book" w:hAnsi="Franklin Gothic Book"/>
                <w:b w:val="0"/>
                <w:color w:val="000000"/>
                <w:sz w:val="20"/>
                <w:szCs w:val="20"/>
              </w:rPr>
              <w:t>&amp;</w:t>
            </w:r>
            <w:r w:rsidRPr="0092249B">
              <w:rPr>
                <w:rFonts w:ascii="Franklin Gothic Book" w:hAnsi="Franklin Gothic Book"/>
                <w:b w:val="0"/>
                <w:color w:val="000000"/>
                <w:sz w:val="20"/>
                <w:szCs w:val="20"/>
              </w:rPr>
              <w:t xml:space="preserve"> </w:t>
            </w:r>
            <w:r w:rsidRPr="00745170">
              <w:rPr>
                <w:rFonts w:ascii="Franklin Gothic Book" w:hAnsi="Franklin Gothic Book"/>
                <w:b w:val="0"/>
                <w:color w:val="000000"/>
                <w:sz w:val="20"/>
                <w:szCs w:val="20"/>
              </w:rPr>
              <w:t>men (by province) trained</w:t>
            </w:r>
            <w:r w:rsidRPr="0092249B">
              <w:rPr>
                <w:rFonts w:ascii="Franklin Gothic Book" w:hAnsi="Franklin Gothic Book"/>
                <w:b w:val="0"/>
                <w:color w:val="000000"/>
                <w:sz w:val="20"/>
                <w:szCs w:val="20"/>
              </w:rPr>
              <w:t xml:space="preserve"> with Australian support </w:t>
            </w:r>
            <w:r>
              <w:rPr>
                <w:rFonts w:ascii="Franklin Gothic Book" w:hAnsi="Franklin Gothic Book"/>
                <w:b w:val="0"/>
                <w:color w:val="000000"/>
                <w:sz w:val="20"/>
                <w:szCs w:val="20"/>
              </w:rPr>
              <w:t>&amp;</w:t>
            </w:r>
            <w:r w:rsidRPr="0092249B">
              <w:rPr>
                <w:rFonts w:ascii="Franklin Gothic Book" w:hAnsi="Franklin Gothic Book"/>
                <w:b w:val="0"/>
                <w:color w:val="000000"/>
                <w:sz w:val="20"/>
                <w:szCs w:val="20"/>
              </w:rPr>
              <w:t xml:space="preserve"> working in </w:t>
            </w:r>
            <w:r>
              <w:rPr>
                <w:rFonts w:ascii="Franklin Gothic Book" w:hAnsi="Franklin Gothic Book"/>
                <w:b w:val="0"/>
                <w:color w:val="000000"/>
                <w:sz w:val="20"/>
                <w:szCs w:val="20"/>
              </w:rPr>
              <w:t xml:space="preserve">front-line </w:t>
            </w:r>
            <w:r w:rsidRPr="0092249B">
              <w:rPr>
                <w:rFonts w:ascii="Franklin Gothic Book" w:hAnsi="Franklin Gothic Book"/>
                <w:b w:val="0"/>
                <w:color w:val="000000"/>
                <w:sz w:val="20"/>
                <w:szCs w:val="20"/>
              </w:rPr>
              <w:t xml:space="preserve">positions where they </w:t>
            </w:r>
            <w:r>
              <w:rPr>
                <w:rFonts w:ascii="Franklin Gothic Book" w:hAnsi="Franklin Gothic Book"/>
                <w:b w:val="0"/>
                <w:color w:val="000000"/>
                <w:sz w:val="20"/>
                <w:szCs w:val="20"/>
              </w:rPr>
              <w:t>deliver</w:t>
            </w:r>
            <w:r w:rsidRPr="0092249B">
              <w:rPr>
                <w:rFonts w:ascii="Franklin Gothic Book" w:hAnsi="Franklin Gothic Book"/>
                <w:b w:val="0"/>
                <w:color w:val="000000"/>
                <w:sz w:val="20"/>
                <w:szCs w:val="20"/>
              </w:rPr>
              <w:t xml:space="preserve"> </w:t>
            </w:r>
            <w:r>
              <w:rPr>
                <w:rFonts w:ascii="Franklin Gothic Book" w:hAnsi="Franklin Gothic Book"/>
                <w:b w:val="0"/>
                <w:color w:val="000000"/>
                <w:sz w:val="20"/>
                <w:szCs w:val="20"/>
              </w:rPr>
              <w:t>law and justice services</w:t>
            </w:r>
          </w:p>
          <w:p w:rsidR="004435EC" w:rsidRPr="00BB20E5" w:rsidRDefault="004435EC" w:rsidP="004435EC">
            <w:pPr>
              <w:rPr>
                <w:rFonts w:ascii="Franklin Gothic Book" w:hAnsi="Franklin Gothic Book"/>
                <w:b w:val="0"/>
                <w:color w:val="000000"/>
                <w:sz w:val="16"/>
                <w:szCs w:val="16"/>
              </w:rPr>
            </w:pPr>
          </w:p>
        </w:tc>
        <w:tc>
          <w:tcPr>
            <w:tcW w:w="1559" w:type="dxa"/>
            <w:shd w:val="clear" w:color="auto" w:fill="C1E7E0" w:themeFill="accent1" w:themeFillTint="66"/>
          </w:tcPr>
          <w:p w:rsidR="004435EC" w:rsidRPr="00E56E6A"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8"/>
                <w:szCs w:val="18"/>
              </w:rPr>
              <w:t>228</w:t>
            </w:r>
            <w:r w:rsidRPr="00E7029F">
              <w:rPr>
                <w:rFonts w:ascii="Franklin Gothic Book" w:hAnsi="Franklin Gothic Book"/>
                <w:color w:val="000000"/>
                <w:sz w:val="18"/>
                <w:szCs w:val="18"/>
              </w:rPr>
              <w:sym w:font="Webdings" w:char="F081"/>
            </w:r>
            <w:r w:rsidRPr="00E7029F">
              <w:rPr>
                <w:rFonts w:ascii="Franklin Gothic Book" w:hAnsi="Franklin Gothic Book"/>
                <w:color w:val="000000"/>
                <w:sz w:val="18"/>
                <w:szCs w:val="18"/>
              </w:rPr>
              <w:t xml:space="preserve">| </w:t>
            </w:r>
            <w:r>
              <w:rPr>
                <w:rFonts w:ascii="Franklin Gothic Book" w:hAnsi="Franklin Gothic Book"/>
                <w:color w:val="000000"/>
                <w:sz w:val="18"/>
                <w:szCs w:val="18"/>
              </w:rPr>
              <w:t>363</w:t>
            </w:r>
            <w:r w:rsidRPr="00E7029F">
              <w:rPr>
                <w:rFonts w:ascii="Franklin Gothic Book" w:hAnsi="Franklin Gothic Book"/>
                <w:color w:val="000000"/>
                <w:sz w:val="18"/>
                <w:szCs w:val="18"/>
              </w:rPr>
              <w:sym w:font="Webdings" w:char="F080"/>
            </w:r>
          </w:p>
        </w:tc>
        <w:tc>
          <w:tcPr>
            <w:tcW w:w="1418" w:type="dxa"/>
            <w:shd w:val="clear" w:color="auto" w:fill="C1E7E0" w:themeFill="accent1" w:themeFillTint="66"/>
          </w:tcPr>
          <w:p w:rsidR="004435EC" w:rsidRPr="00E56E6A"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Pr>
                <w:rFonts w:ascii="Franklin Gothic Book" w:hAnsi="Franklin Gothic Book"/>
                <w:color w:val="000000"/>
                <w:sz w:val="18"/>
                <w:szCs w:val="18"/>
              </w:rPr>
              <w:t>171</w:t>
            </w:r>
            <w:r w:rsidRPr="00E7029F">
              <w:rPr>
                <w:rFonts w:ascii="Franklin Gothic Book" w:hAnsi="Franklin Gothic Book"/>
                <w:color w:val="000000"/>
                <w:sz w:val="18"/>
                <w:szCs w:val="18"/>
              </w:rPr>
              <w:sym w:font="Webdings" w:char="F081"/>
            </w:r>
            <w:r w:rsidRPr="00E7029F">
              <w:rPr>
                <w:rFonts w:ascii="Franklin Gothic Book" w:hAnsi="Franklin Gothic Book"/>
                <w:color w:val="000000"/>
                <w:sz w:val="18"/>
                <w:szCs w:val="18"/>
              </w:rPr>
              <w:t xml:space="preserve">| </w:t>
            </w:r>
            <w:r>
              <w:rPr>
                <w:rFonts w:ascii="Franklin Gothic Book" w:hAnsi="Franklin Gothic Book"/>
                <w:color w:val="000000"/>
                <w:sz w:val="18"/>
                <w:szCs w:val="18"/>
              </w:rPr>
              <w:t>330</w:t>
            </w:r>
            <w:r w:rsidRPr="00E7029F">
              <w:rPr>
                <w:rFonts w:ascii="Franklin Gothic Book" w:hAnsi="Franklin Gothic Book"/>
                <w:color w:val="000000"/>
                <w:sz w:val="18"/>
                <w:szCs w:val="18"/>
              </w:rPr>
              <w:sym w:font="Webdings" w:char="F080"/>
            </w:r>
          </w:p>
        </w:tc>
        <w:tc>
          <w:tcPr>
            <w:tcW w:w="1525" w:type="dxa"/>
            <w:shd w:val="clear" w:color="auto" w:fill="C1E7E0" w:themeFill="accent1" w:themeFillTint="66"/>
          </w:tcPr>
          <w:p w:rsidR="004435EC" w:rsidRPr="00457CA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18"/>
                <w:szCs w:val="18"/>
              </w:rPr>
              <w:t>115</w:t>
            </w:r>
            <w:r w:rsidRPr="00772167">
              <w:rPr>
                <w:rFonts w:ascii="Franklin Gothic Book" w:hAnsi="Franklin Gothic Book"/>
                <w:color w:val="000000"/>
                <w:sz w:val="18"/>
                <w:szCs w:val="18"/>
              </w:rPr>
              <w:sym w:font="Webdings" w:char="F081"/>
            </w:r>
            <w:r w:rsidRPr="00772167">
              <w:rPr>
                <w:rFonts w:ascii="Franklin Gothic Book" w:hAnsi="Franklin Gothic Book"/>
                <w:color w:val="000000"/>
                <w:sz w:val="18"/>
                <w:szCs w:val="18"/>
              </w:rPr>
              <w:t>| 263</w:t>
            </w:r>
            <w:r w:rsidRPr="00457CA7">
              <w:rPr>
                <w:rFonts w:ascii="Franklin Gothic Book" w:hAnsi="Franklin Gothic Book"/>
                <w:color w:val="000000"/>
                <w:sz w:val="18"/>
                <w:szCs w:val="18"/>
              </w:rPr>
              <w:sym w:font="Webdings" w:char="F080"/>
            </w:r>
          </w:p>
        </w:tc>
        <w:tc>
          <w:tcPr>
            <w:tcW w:w="1593" w:type="dxa"/>
            <w:shd w:val="clear" w:color="auto" w:fill="C1E7E0" w:themeFill="accent1" w:themeFillTint="66"/>
          </w:tcPr>
          <w:p w:rsidR="004435EC" w:rsidRPr="00457CA7" w:rsidRDefault="004435EC" w:rsidP="004435EC">
            <w:pPr>
              <w:jc w:val="cente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18"/>
                <w:szCs w:val="18"/>
              </w:rPr>
              <w:t>130</w:t>
            </w:r>
            <w:r w:rsidRPr="00772167">
              <w:rPr>
                <w:rFonts w:ascii="Franklin Gothic Book" w:hAnsi="Franklin Gothic Book"/>
                <w:color w:val="000000"/>
                <w:sz w:val="18"/>
                <w:szCs w:val="18"/>
              </w:rPr>
              <w:sym w:font="Webdings" w:char="F081"/>
            </w:r>
            <w:r w:rsidRPr="00772167">
              <w:rPr>
                <w:rFonts w:ascii="Franklin Gothic Book" w:hAnsi="Franklin Gothic Book"/>
                <w:color w:val="000000"/>
                <w:sz w:val="18"/>
                <w:szCs w:val="18"/>
              </w:rPr>
              <w:t>| 280</w:t>
            </w:r>
            <w:r w:rsidRPr="00457CA7">
              <w:rPr>
                <w:rFonts w:ascii="Franklin Gothic Book" w:hAnsi="Franklin Gothic Book"/>
                <w:color w:val="000000"/>
                <w:sz w:val="18"/>
                <w:szCs w:val="18"/>
              </w:rPr>
              <w:sym w:font="Webdings" w:char="F080"/>
            </w:r>
          </w:p>
        </w:tc>
        <w:tc>
          <w:tcPr>
            <w:tcW w:w="4395" w:type="dxa"/>
            <w:shd w:val="clear" w:color="auto" w:fill="C1E7E0" w:themeFill="accent1" w:themeFillTint="66"/>
          </w:tcPr>
          <w:p w:rsidR="004435EC" w:rsidRPr="00745170" w:rsidRDefault="004435EC" w:rsidP="004435EC">
            <w:pPr>
              <w:cnfStyle w:val="000000000000" w:firstRow="0" w:lastRow="0" w:firstColumn="0" w:lastColumn="0" w:oddVBand="0" w:evenVBand="0" w:oddHBand="0" w:evenHBand="0" w:firstRowFirstColumn="0" w:firstRowLastColumn="0" w:lastRowFirstColumn="0" w:lastRowLastColumn="0"/>
              <w:rPr>
                <w:rFonts w:ascii="Franklin Gothic Book" w:hAnsi="Franklin Gothic Book"/>
                <w:color w:val="000000"/>
                <w:sz w:val="16"/>
                <w:szCs w:val="16"/>
              </w:rPr>
            </w:pPr>
            <w:r w:rsidRPr="00745170">
              <w:rPr>
                <w:rFonts w:ascii="Franklin Gothic Book" w:hAnsi="Franklin Gothic Book"/>
                <w:color w:val="000000"/>
                <w:sz w:val="16"/>
                <w:szCs w:val="16"/>
              </w:rPr>
              <w:t>Australia Awards; Police and other law and justice sector initiatives</w:t>
            </w:r>
          </w:p>
        </w:tc>
      </w:tr>
    </w:tbl>
    <w:p w:rsidR="001C7A30" w:rsidRDefault="001C7A30">
      <w:r>
        <w:rPr>
          <w:b/>
          <w:bCs/>
        </w:rPr>
        <w:br w:type="page"/>
      </w:r>
    </w:p>
    <w:tbl>
      <w:tblPr>
        <w:tblStyle w:val="LightShading"/>
        <w:tblW w:w="15168" w:type="dxa"/>
        <w:tblLayout w:type="fixed"/>
        <w:tblLook w:val="04A0" w:firstRow="1" w:lastRow="0" w:firstColumn="1" w:lastColumn="0" w:noHBand="0" w:noVBand="1"/>
      </w:tblPr>
      <w:tblGrid>
        <w:gridCol w:w="4678"/>
        <w:gridCol w:w="1384"/>
        <w:gridCol w:w="1593"/>
        <w:gridCol w:w="1525"/>
        <w:gridCol w:w="1593"/>
        <w:gridCol w:w="4395"/>
      </w:tblGrid>
      <w:tr w:rsidR="004435EC" w:rsidRPr="00890190" w:rsidTr="00890190">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hideMark/>
          </w:tcPr>
          <w:p w:rsidR="004435EC" w:rsidRPr="0094193A" w:rsidRDefault="004435EC" w:rsidP="004435EC">
            <w:pPr>
              <w:rPr>
                <w:rFonts w:ascii="Franklin Gothic Book" w:hAnsi="Franklin Gothic Book"/>
                <w:color w:val="000000"/>
                <w:sz w:val="21"/>
                <w:szCs w:val="21"/>
              </w:rPr>
            </w:pPr>
            <w:r w:rsidRPr="0094193A">
              <w:rPr>
                <w:rFonts w:ascii="Franklin Gothic Book" w:hAnsi="Franklin Gothic Book"/>
                <w:color w:val="000000"/>
                <w:sz w:val="21"/>
                <w:szCs w:val="21"/>
              </w:rPr>
              <w:lastRenderedPageBreak/>
              <w:t>Strategic Development Objective 4</w:t>
            </w:r>
          </w:p>
        </w:tc>
        <w:tc>
          <w:tcPr>
            <w:tcW w:w="10490" w:type="dxa"/>
            <w:gridSpan w:val="5"/>
            <w:shd w:val="clear" w:color="auto" w:fill="FFFFFF" w:themeFill="background1"/>
            <w:hideMark/>
          </w:tcPr>
          <w:p w:rsidR="004435EC" w:rsidRPr="00890190" w:rsidRDefault="004435EC" w:rsidP="0094193A">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21"/>
                <w:szCs w:val="21"/>
              </w:rPr>
            </w:pPr>
            <w:r w:rsidRPr="00890190">
              <w:rPr>
                <w:rFonts w:ascii="Franklin Gothic Book" w:hAnsi="Franklin Gothic Book"/>
                <w:color w:val="000000"/>
                <w:sz w:val="21"/>
                <w:szCs w:val="21"/>
              </w:rPr>
              <w:t>Supporting cyclone recovery and reconstruction [</w:t>
            </w:r>
            <w:r w:rsidR="0094193A" w:rsidRPr="00890190">
              <w:rPr>
                <w:rFonts w:ascii="Franklin Gothic Book" w:hAnsi="Franklin Gothic Book"/>
                <w:color w:val="000000"/>
                <w:sz w:val="21"/>
                <w:szCs w:val="21"/>
              </w:rPr>
              <w:t>8</w:t>
            </w:r>
            <w:r w:rsidRPr="00890190">
              <w:rPr>
                <w:rFonts w:ascii="Franklin Gothic Book" w:hAnsi="Franklin Gothic Book"/>
                <w:color w:val="000000"/>
                <w:sz w:val="21"/>
                <w:szCs w:val="21"/>
              </w:rPr>
              <w:t>% Bilateral ODA in 201</w:t>
            </w:r>
            <w:r w:rsidR="0094193A" w:rsidRPr="00890190">
              <w:rPr>
                <w:rFonts w:ascii="Franklin Gothic Book" w:hAnsi="Franklin Gothic Book"/>
                <w:color w:val="000000"/>
                <w:sz w:val="21"/>
                <w:szCs w:val="21"/>
              </w:rPr>
              <w:t>7-18</w:t>
            </w:r>
            <w:r w:rsidRPr="00890190">
              <w:rPr>
                <w:rFonts w:ascii="Franklin Gothic Book" w:hAnsi="Franklin Gothic Book"/>
                <w:color w:val="000000"/>
                <w:sz w:val="21"/>
                <w:szCs w:val="21"/>
              </w:rPr>
              <w:t>]</w:t>
            </w:r>
          </w:p>
        </w:tc>
      </w:tr>
      <w:tr w:rsidR="001C7A30" w:rsidRPr="006D2BA6" w:rsidTr="004435EC">
        <w:trPr>
          <w:cnfStyle w:val="100000000000" w:firstRow="1" w:lastRow="0" w:firstColumn="0" w:lastColumn="0" w:oddVBand="0" w:evenVBand="0" w:oddHBand="0" w:evenHBand="0" w:firstRowFirstColumn="0" w:firstRowLastColumn="0" w:lastRowFirstColumn="0" w:lastRowLastColumn="0"/>
          <w:trHeight w:val="3"/>
          <w:tblHeader/>
        </w:trPr>
        <w:tc>
          <w:tcPr>
            <w:cnfStyle w:val="001000000000" w:firstRow="0" w:lastRow="0" w:firstColumn="1" w:lastColumn="0" w:oddVBand="0" w:evenVBand="0" w:oddHBand="0" w:evenHBand="0" w:firstRowFirstColumn="0" w:firstRowLastColumn="0" w:lastRowFirstColumn="0" w:lastRowLastColumn="0"/>
            <w:tcW w:w="4678" w:type="dxa"/>
            <w:tcBorders>
              <w:bottom w:val="nil"/>
            </w:tcBorders>
            <w:vAlign w:val="center"/>
            <w:hideMark/>
          </w:tcPr>
          <w:p w:rsidR="001C7A30" w:rsidRPr="00A258D1" w:rsidRDefault="001C7A30" w:rsidP="001C7A30">
            <w:pPr>
              <w:rPr>
                <w:rFonts w:ascii="Franklin Gothic Book" w:hAnsi="Franklin Gothic Book"/>
                <w:color w:val="000000"/>
                <w:sz w:val="20"/>
                <w:szCs w:val="20"/>
                <w:highlight w:val="green"/>
              </w:rPr>
            </w:pPr>
            <w:r w:rsidRPr="00EA6B27">
              <w:rPr>
                <w:rFonts w:ascii="Franklin Gothic Book" w:hAnsi="Franklin Gothic Book"/>
                <w:color w:val="000000" w:themeColor="text1"/>
                <w:sz w:val="20"/>
                <w:szCs w:val="20"/>
              </w:rPr>
              <w:t>Indicators</w:t>
            </w:r>
          </w:p>
        </w:tc>
        <w:tc>
          <w:tcPr>
            <w:tcW w:w="1384" w:type="dxa"/>
            <w:tcBorders>
              <w:bottom w:val="nil"/>
            </w:tcBorders>
            <w:vAlign w:val="center"/>
          </w:tcPr>
          <w:p w:rsidR="001C7A30"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2015–16</w:t>
            </w:r>
          </w:p>
          <w:p w:rsidR="001C7A30" w:rsidRPr="008A425D"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themeColor="text1"/>
                <w:sz w:val="20"/>
                <w:szCs w:val="20"/>
              </w:rPr>
            </w:pPr>
            <w:r w:rsidRPr="008A425D">
              <w:rPr>
                <w:rFonts w:ascii="Franklin Gothic Book" w:hAnsi="Franklin Gothic Book"/>
                <w:color w:val="000000"/>
                <w:sz w:val="20"/>
                <w:szCs w:val="20"/>
              </w:rPr>
              <w:t>Baseline</w:t>
            </w:r>
          </w:p>
        </w:tc>
        <w:tc>
          <w:tcPr>
            <w:tcW w:w="1593" w:type="dxa"/>
            <w:tcBorders>
              <w:bottom w:val="nil"/>
            </w:tcBorders>
            <w:vAlign w:val="center"/>
          </w:tcPr>
          <w:p w:rsidR="001C7A30"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6B3654">
              <w:rPr>
                <w:rFonts w:ascii="Franklin Gothic Book" w:hAnsi="Franklin Gothic Book"/>
                <w:color w:val="000000"/>
                <w:sz w:val="20"/>
                <w:szCs w:val="20"/>
              </w:rPr>
              <w:t>2016–17</w:t>
            </w:r>
          </w:p>
          <w:p w:rsidR="00D62E22" w:rsidRPr="006B3654" w:rsidRDefault="00D62E22"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Pr>
                <w:rFonts w:ascii="Franklin Gothic Book" w:hAnsi="Franklin Gothic Book"/>
                <w:color w:val="000000"/>
                <w:sz w:val="20"/>
                <w:szCs w:val="20"/>
              </w:rPr>
              <w:t>Result</w:t>
            </w:r>
          </w:p>
        </w:tc>
        <w:tc>
          <w:tcPr>
            <w:tcW w:w="1525" w:type="dxa"/>
            <w:tcBorders>
              <w:bottom w:val="nil"/>
            </w:tcBorders>
            <w:vAlign w:val="center"/>
          </w:tcPr>
          <w:p w:rsidR="001C7A30"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color w:val="000000"/>
                <w:sz w:val="20"/>
                <w:szCs w:val="20"/>
              </w:rPr>
            </w:pPr>
            <w:r w:rsidRPr="006B3654">
              <w:rPr>
                <w:rFonts w:ascii="Franklin Gothic Book" w:hAnsi="Franklin Gothic Book"/>
                <w:color w:val="000000"/>
                <w:sz w:val="20"/>
                <w:szCs w:val="20"/>
              </w:rPr>
              <w:t>2017–18</w:t>
            </w:r>
          </w:p>
          <w:p w:rsidR="00D62E22" w:rsidRPr="006B3654" w:rsidRDefault="00D62E22"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Pr>
                <w:rFonts w:ascii="Franklin Gothic Book" w:hAnsi="Franklin Gothic Book"/>
                <w:color w:val="000000"/>
                <w:sz w:val="20"/>
                <w:szCs w:val="20"/>
              </w:rPr>
              <w:t>Result</w:t>
            </w:r>
          </w:p>
        </w:tc>
        <w:tc>
          <w:tcPr>
            <w:tcW w:w="1593" w:type="dxa"/>
            <w:tcBorders>
              <w:bottom w:val="nil"/>
            </w:tcBorders>
            <w:vAlign w:val="center"/>
          </w:tcPr>
          <w:p w:rsidR="001C7A30"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sidRPr="00D54D77">
              <w:rPr>
                <w:rFonts w:ascii="Franklin Gothic Book" w:hAnsi="Franklin Gothic Book"/>
                <w:color w:val="000000"/>
                <w:sz w:val="20"/>
                <w:szCs w:val="20"/>
              </w:rPr>
              <w:t>201</w:t>
            </w:r>
            <w:r>
              <w:rPr>
                <w:rFonts w:ascii="Franklin Gothic Book" w:hAnsi="Franklin Gothic Book"/>
                <w:color w:val="000000"/>
                <w:sz w:val="20"/>
                <w:szCs w:val="20"/>
              </w:rPr>
              <w:t>8</w:t>
            </w:r>
            <w:r w:rsidRPr="00D54D77">
              <w:rPr>
                <w:rFonts w:ascii="Franklin Gothic Book" w:hAnsi="Franklin Gothic Book"/>
                <w:color w:val="000000"/>
                <w:sz w:val="20"/>
                <w:szCs w:val="20"/>
              </w:rPr>
              <w:t>-19</w:t>
            </w:r>
          </w:p>
          <w:p w:rsidR="00D62E22" w:rsidRPr="00D54D77" w:rsidRDefault="00D62E22"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Cs w:val="0"/>
                <w:color w:val="000000"/>
                <w:sz w:val="20"/>
                <w:szCs w:val="20"/>
              </w:rPr>
            </w:pPr>
            <w:r>
              <w:rPr>
                <w:rFonts w:ascii="Franklin Gothic Book" w:hAnsi="Franklin Gothic Book"/>
                <w:color w:val="000000"/>
                <w:sz w:val="20"/>
                <w:szCs w:val="20"/>
              </w:rPr>
              <w:t>Target</w:t>
            </w:r>
          </w:p>
        </w:tc>
        <w:tc>
          <w:tcPr>
            <w:tcW w:w="4395" w:type="dxa"/>
            <w:tcBorders>
              <w:bottom w:val="nil"/>
            </w:tcBorders>
            <w:vAlign w:val="center"/>
          </w:tcPr>
          <w:p w:rsidR="001C7A30" w:rsidRPr="006B3654" w:rsidRDefault="001C7A30" w:rsidP="001C7A30">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bCs w:val="0"/>
                <w:color w:val="000000"/>
                <w:sz w:val="20"/>
                <w:szCs w:val="20"/>
              </w:rPr>
            </w:pPr>
            <w:r w:rsidRPr="006B3654">
              <w:rPr>
                <w:rFonts w:ascii="Franklin Gothic Book" w:hAnsi="Franklin Gothic Book"/>
                <w:color w:val="000000"/>
                <w:sz w:val="20"/>
                <w:szCs w:val="20"/>
              </w:rPr>
              <w:t>Data source</w:t>
            </w:r>
            <w:r>
              <w:rPr>
                <w:rFonts w:ascii="Franklin Gothic Book" w:hAnsi="Franklin Gothic Book"/>
                <w:color w:val="000000"/>
                <w:sz w:val="20"/>
                <w:szCs w:val="20"/>
              </w:rPr>
              <w:t>s</w:t>
            </w:r>
          </w:p>
        </w:tc>
      </w:tr>
      <w:tr w:rsidR="004435EC" w:rsidRPr="006D2BA6" w:rsidTr="004435E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tcBorders>
              <w:top w:val="nil"/>
              <w:bottom w:val="nil"/>
            </w:tcBorders>
            <w:shd w:val="clear" w:color="auto" w:fill="DDECD0" w:themeFill="accent3" w:themeFillTint="66"/>
          </w:tcPr>
          <w:p w:rsidR="004435EC" w:rsidRPr="00745170" w:rsidRDefault="004435EC" w:rsidP="008F2F5C">
            <w:pPr>
              <w:rPr>
                <w:rFonts w:ascii="Franklin Gothic Book" w:hAnsi="Franklin Gothic Book"/>
                <w:b w:val="0"/>
                <w:color w:val="000000"/>
                <w:sz w:val="16"/>
                <w:szCs w:val="16"/>
              </w:rPr>
            </w:pPr>
            <w:r w:rsidRPr="00745170">
              <w:rPr>
                <w:rFonts w:ascii="Franklin Gothic Book" w:hAnsi="Franklin Gothic Book"/>
                <w:b w:val="0"/>
                <w:color w:val="000000"/>
                <w:sz w:val="20"/>
                <w:szCs w:val="20"/>
              </w:rPr>
              <w:t xml:space="preserve">Number of public service delivery </w:t>
            </w:r>
            <w:r w:rsidR="008644C6">
              <w:rPr>
                <w:rFonts w:ascii="Franklin Gothic Book" w:hAnsi="Franklin Gothic Book"/>
                <w:b w:val="0"/>
                <w:color w:val="000000"/>
                <w:sz w:val="20"/>
                <w:szCs w:val="20"/>
              </w:rPr>
              <w:t>facilities</w:t>
            </w:r>
            <w:r w:rsidRPr="00745170">
              <w:rPr>
                <w:rFonts w:ascii="Franklin Gothic Book" w:hAnsi="Franklin Gothic Book"/>
                <w:b w:val="0"/>
                <w:color w:val="000000"/>
                <w:sz w:val="20"/>
                <w:szCs w:val="20"/>
              </w:rPr>
              <w:t xml:space="preserve"> reconstructed or repaired</w:t>
            </w:r>
          </w:p>
        </w:tc>
        <w:tc>
          <w:tcPr>
            <w:tcW w:w="1384" w:type="dxa"/>
            <w:tcBorders>
              <w:top w:val="nil"/>
              <w:bottom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143</w:t>
            </w:r>
          </w:p>
          <w:p w:rsidR="004435EC" w:rsidRPr="00075083"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075083">
              <w:rPr>
                <w:rFonts w:ascii="Franklin Gothic Book" w:hAnsi="Franklin Gothic Book"/>
                <w:color w:val="000000"/>
                <w:sz w:val="16"/>
                <w:szCs w:val="16"/>
              </w:rPr>
              <w:t>[2016 APPR]</w:t>
            </w:r>
          </w:p>
        </w:tc>
        <w:tc>
          <w:tcPr>
            <w:tcW w:w="1593" w:type="dxa"/>
            <w:tcBorders>
              <w:top w:val="nil"/>
              <w:bottom w:val="nil"/>
            </w:tcBorders>
            <w:shd w:val="clear" w:color="auto" w:fill="DDECD0" w:themeFill="accent3" w:themeFillTint="66"/>
          </w:tcPr>
          <w:p w:rsidR="004435EC"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sidRPr="00772167">
              <w:rPr>
                <w:rFonts w:ascii="Franklin Gothic Book" w:hAnsi="Franklin Gothic Book"/>
                <w:color w:val="000000"/>
                <w:sz w:val="20"/>
                <w:szCs w:val="20"/>
              </w:rPr>
              <w:t>1</w:t>
            </w:r>
            <w:r w:rsidR="009F3A66">
              <w:rPr>
                <w:rFonts w:ascii="Franklin Gothic Book" w:hAnsi="Franklin Gothic Book"/>
                <w:color w:val="000000"/>
                <w:sz w:val="20"/>
                <w:szCs w:val="20"/>
              </w:rPr>
              <w:t>0</w:t>
            </w:r>
            <w:r w:rsidRPr="00772167">
              <w:rPr>
                <w:rFonts w:ascii="Franklin Gothic Book" w:hAnsi="Franklin Gothic Book"/>
                <w:color w:val="000000"/>
                <w:sz w:val="20"/>
                <w:szCs w:val="20"/>
              </w:rPr>
              <w:t>0</w:t>
            </w:r>
          </w:p>
          <w:p w:rsidR="004435EC" w:rsidRPr="00075083" w:rsidRDefault="004435EC" w:rsidP="004435E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075083">
              <w:rPr>
                <w:rFonts w:ascii="Franklin Gothic Book" w:hAnsi="Franklin Gothic Book"/>
                <w:color w:val="000000"/>
                <w:sz w:val="16"/>
                <w:szCs w:val="16"/>
              </w:rPr>
              <w:t>[2017 APPR]</w:t>
            </w:r>
          </w:p>
        </w:tc>
        <w:tc>
          <w:tcPr>
            <w:tcW w:w="1525" w:type="dxa"/>
            <w:tcBorders>
              <w:top w:val="nil"/>
              <w:bottom w:val="nil"/>
            </w:tcBorders>
            <w:shd w:val="clear" w:color="auto" w:fill="DDECD0" w:themeFill="accent3" w:themeFillTint="66"/>
          </w:tcPr>
          <w:p w:rsidR="004435EC" w:rsidRDefault="004435EC" w:rsidP="008F2F5C">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2</w:t>
            </w:r>
            <w:r w:rsidR="009F3A66">
              <w:rPr>
                <w:rFonts w:ascii="Franklin Gothic Book" w:hAnsi="Franklin Gothic Book"/>
                <w:color w:val="000000"/>
                <w:sz w:val="20"/>
                <w:szCs w:val="20"/>
              </w:rPr>
              <w:t>1</w:t>
            </w:r>
            <w:r w:rsidR="008644C6">
              <w:rPr>
                <w:rFonts w:ascii="Franklin Gothic Book" w:hAnsi="Franklin Gothic Book"/>
                <w:color w:val="000000"/>
                <w:sz w:val="20"/>
                <w:szCs w:val="20"/>
              </w:rPr>
              <w:t>3</w:t>
            </w:r>
          </w:p>
        </w:tc>
        <w:tc>
          <w:tcPr>
            <w:tcW w:w="1593" w:type="dxa"/>
            <w:tcBorders>
              <w:top w:val="nil"/>
              <w:bottom w:val="nil"/>
            </w:tcBorders>
            <w:shd w:val="clear" w:color="auto" w:fill="DDECD0" w:themeFill="accent3" w:themeFillTint="66"/>
          </w:tcPr>
          <w:p w:rsidR="004435EC" w:rsidRPr="006B3654" w:rsidRDefault="009F3A66" w:rsidP="00772167">
            <w:pPr>
              <w:jc w:val="cente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20"/>
                <w:szCs w:val="20"/>
              </w:rPr>
            </w:pPr>
            <w:r>
              <w:rPr>
                <w:rFonts w:ascii="Franklin Gothic Book" w:hAnsi="Franklin Gothic Book"/>
                <w:color w:val="000000"/>
                <w:sz w:val="20"/>
                <w:szCs w:val="20"/>
              </w:rPr>
              <w:t>2</w:t>
            </w:r>
            <w:r w:rsidR="0098729D">
              <w:rPr>
                <w:rFonts w:ascii="Franklin Gothic Book" w:hAnsi="Franklin Gothic Book"/>
                <w:color w:val="000000"/>
                <w:sz w:val="20"/>
                <w:szCs w:val="20"/>
              </w:rPr>
              <w:t>2</w:t>
            </w:r>
            <w:r>
              <w:rPr>
                <w:rFonts w:ascii="Franklin Gothic Book" w:hAnsi="Franklin Gothic Book"/>
                <w:color w:val="000000"/>
                <w:sz w:val="20"/>
                <w:szCs w:val="20"/>
              </w:rPr>
              <w:t>0</w:t>
            </w:r>
          </w:p>
        </w:tc>
        <w:tc>
          <w:tcPr>
            <w:tcW w:w="4395" w:type="dxa"/>
            <w:tcBorders>
              <w:top w:val="nil"/>
              <w:bottom w:val="nil"/>
            </w:tcBorders>
            <w:shd w:val="clear" w:color="auto" w:fill="DDECD0" w:themeFill="accent3" w:themeFillTint="66"/>
          </w:tcPr>
          <w:p w:rsidR="004435EC" w:rsidRPr="00FF74B5" w:rsidRDefault="004435EC" w:rsidP="004435EC">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olor w:val="000000"/>
                <w:sz w:val="16"/>
                <w:szCs w:val="16"/>
              </w:rPr>
            </w:pPr>
            <w:r w:rsidRPr="00FF74B5">
              <w:rPr>
                <w:rFonts w:ascii="Franklin Gothic Book" w:hAnsi="Franklin Gothic Book"/>
                <w:color w:val="000000"/>
                <w:sz w:val="16"/>
                <w:szCs w:val="16"/>
              </w:rPr>
              <w:t>TC Pam and Ambae program</w:t>
            </w:r>
            <w:r>
              <w:rPr>
                <w:rFonts w:ascii="Franklin Gothic Book" w:hAnsi="Franklin Gothic Book"/>
                <w:color w:val="000000"/>
                <w:sz w:val="16"/>
                <w:szCs w:val="16"/>
              </w:rPr>
              <w:t>s</w:t>
            </w:r>
            <w:r w:rsidRPr="00FF74B5">
              <w:rPr>
                <w:rFonts w:ascii="Franklin Gothic Book" w:hAnsi="Franklin Gothic Book"/>
                <w:color w:val="000000"/>
                <w:sz w:val="16"/>
                <w:szCs w:val="16"/>
              </w:rPr>
              <w:t xml:space="preserve"> monitoring data</w:t>
            </w:r>
          </w:p>
        </w:tc>
      </w:tr>
    </w:tbl>
    <w:p w:rsidR="004435EC" w:rsidRDefault="004435EC" w:rsidP="004435EC">
      <w:pPr>
        <w:pStyle w:val="BodyText"/>
        <w:spacing w:after="0" w:line="240" w:lineRule="auto"/>
        <w:rPr>
          <w:sz w:val="16"/>
          <w:szCs w:val="16"/>
        </w:rPr>
      </w:pPr>
    </w:p>
    <w:tbl>
      <w:tblPr>
        <w:tblStyle w:val="LightShading"/>
        <w:tblW w:w="15168" w:type="dxa"/>
        <w:tblLayout w:type="fixed"/>
        <w:tblLook w:val="04A0" w:firstRow="1" w:lastRow="0" w:firstColumn="1" w:lastColumn="0" w:noHBand="0" w:noVBand="1"/>
      </w:tblPr>
      <w:tblGrid>
        <w:gridCol w:w="4678"/>
        <w:gridCol w:w="1384"/>
        <w:gridCol w:w="1593"/>
        <w:gridCol w:w="1525"/>
        <w:gridCol w:w="1593"/>
        <w:gridCol w:w="4395"/>
      </w:tblGrid>
      <w:tr w:rsidR="009F3A66" w:rsidRPr="001D69F5" w:rsidTr="0077216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tcBorders>
              <w:top w:val="nil"/>
              <w:bottom w:val="single" w:sz="4" w:space="0" w:color="auto"/>
            </w:tcBorders>
            <w:shd w:val="clear" w:color="auto" w:fill="C1E7E0" w:themeFill="accent1" w:themeFillTint="66"/>
          </w:tcPr>
          <w:p w:rsidR="009F3A66" w:rsidRDefault="009F3A66" w:rsidP="00772167">
            <w:pPr>
              <w:rPr>
                <w:rFonts w:ascii="Franklin Gothic Book" w:hAnsi="Franklin Gothic Book"/>
                <w:b w:val="0"/>
                <w:color w:val="000000"/>
                <w:sz w:val="20"/>
                <w:szCs w:val="20"/>
              </w:rPr>
            </w:pPr>
            <w:bookmarkStart w:id="2" w:name="_Performance_Assessment_Framework"/>
            <w:bookmarkEnd w:id="2"/>
            <w:r>
              <w:rPr>
                <w:rFonts w:ascii="Franklin Gothic Book" w:hAnsi="Franklin Gothic Book"/>
                <w:b w:val="0"/>
                <w:color w:val="000000"/>
                <w:sz w:val="20"/>
                <w:szCs w:val="20"/>
              </w:rPr>
              <w:t>Proportion of communities with current</w:t>
            </w:r>
            <w:r w:rsidRPr="005E26AB">
              <w:rPr>
                <w:rFonts w:ascii="Franklin Gothic Book" w:hAnsi="Franklin Gothic Book"/>
                <w:b w:val="0"/>
                <w:color w:val="000000"/>
                <w:sz w:val="20"/>
                <w:szCs w:val="20"/>
              </w:rPr>
              <w:t xml:space="preserve"> support plans for coordination, planning, preparedness, response and recovery</w:t>
            </w:r>
            <w:r>
              <w:rPr>
                <w:rStyle w:val="FootnoteReference"/>
                <w:color w:val="000000"/>
              </w:rPr>
              <w:footnoteReference w:id="54"/>
            </w:r>
          </w:p>
          <w:p w:rsidR="009F3A66" w:rsidRPr="005E26AB" w:rsidRDefault="009F3A66" w:rsidP="00772167">
            <w:pPr>
              <w:rPr>
                <w:rFonts w:ascii="Franklin Gothic Book" w:hAnsi="Franklin Gothic Book"/>
                <w:b w:val="0"/>
                <w:color w:val="000000"/>
                <w:sz w:val="16"/>
                <w:szCs w:val="16"/>
                <w:highlight w:val="yellow"/>
              </w:rPr>
            </w:pPr>
          </w:p>
        </w:tc>
        <w:tc>
          <w:tcPr>
            <w:tcW w:w="1384" w:type="dxa"/>
            <w:tcBorders>
              <w:top w:val="nil"/>
              <w:bottom w:val="single" w:sz="4" w:space="0" w:color="auto"/>
            </w:tcBorders>
            <w:shd w:val="clear" w:color="auto" w:fill="C1E7E0" w:themeFill="accent1" w:themeFillTint="66"/>
          </w:tcPr>
          <w:p w:rsidR="009F3A66" w:rsidRPr="00772167" w:rsidRDefault="009F3A66" w:rsidP="00772167">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20"/>
                <w:szCs w:val="20"/>
              </w:rPr>
            </w:pPr>
            <w:r w:rsidRPr="00772167">
              <w:rPr>
                <w:rFonts w:ascii="Franklin Gothic Book" w:hAnsi="Franklin Gothic Book"/>
                <w:b w:val="0"/>
                <w:color w:val="000000"/>
                <w:sz w:val="20"/>
                <w:szCs w:val="20"/>
              </w:rPr>
              <w:t>N/A</w:t>
            </w:r>
          </w:p>
        </w:tc>
        <w:tc>
          <w:tcPr>
            <w:tcW w:w="1593" w:type="dxa"/>
            <w:tcBorders>
              <w:top w:val="nil"/>
              <w:bottom w:val="single" w:sz="4" w:space="0" w:color="auto"/>
            </w:tcBorders>
            <w:shd w:val="clear" w:color="auto" w:fill="C1E7E0" w:themeFill="accent1" w:themeFillTint="66"/>
          </w:tcPr>
          <w:p w:rsidR="009F3A66" w:rsidRPr="00772167" w:rsidRDefault="009F3A66" w:rsidP="00772167">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20"/>
                <w:szCs w:val="20"/>
              </w:rPr>
            </w:pPr>
            <w:r w:rsidRPr="00772167">
              <w:rPr>
                <w:rFonts w:ascii="Franklin Gothic Book" w:hAnsi="Franklin Gothic Book"/>
                <w:b w:val="0"/>
                <w:color w:val="000000"/>
                <w:sz w:val="20"/>
                <w:szCs w:val="20"/>
              </w:rPr>
              <w:t>N/A</w:t>
            </w:r>
          </w:p>
        </w:tc>
        <w:tc>
          <w:tcPr>
            <w:tcW w:w="1525" w:type="dxa"/>
            <w:tcBorders>
              <w:top w:val="nil"/>
              <w:bottom w:val="single" w:sz="4" w:space="0" w:color="auto"/>
            </w:tcBorders>
            <w:shd w:val="clear" w:color="auto" w:fill="C1E7E0" w:themeFill="accent1" w:themeFillTint="66"/>
          </w:tcPr>
          <w:p w:rsidR="009F3A66" w:rsidRPr="00772167" w:rsidRDefault="009F3A66" w:rsidP="00772167">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20"/>
                <w:szCs w:val="20"/>
              </w:rPr>
            </w:pPr>
            <w:r w:rsidRPr="00772167">
              <w:rPr>
                <w:rFonts w:ascii="Franklin Gothic Book" w:hAnsi="Franklin Gothic Book"/>
                <w:b w:val="0"/>
                <w:color w:val="000000"/>
                <w:sz w:val="20"/>
                <w:szCs w:val="20"/>
              </w:rPr>
              <w:t>10%</w:t>
            </w:r>
          </w:p>
        </w:tc>
        <w:tc>
          <w:tcPr>
            <w:tcW w:w="1593" w:type="dxa"/>
            <w:tcBorders>
              <w:top w:val="nil"/>
              <w:bottom w:val="single" w:sz="4" w:space="0" w:color="auto"/>
            </w:tcBorders>
            <w:shd w:val="clear" w:color="auto" w:fill="C1E7E0" w:themeFill="accent1" w:themeFillTint="66"/>
          </w:tcPr>
          <w:p w:rsidR="009F3A66" w:rsidRPr="00772167" w:rsidRDefault="009F3A66" w:rsidP="00772167">
            <w:pPr>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20"/>
                <w:szCs w:val="20"/>
              </w:rPr>
            </w:pPr>
            <w:r w:rsidRPr="00772167">
              <w:rPr>
                <w:rFonts w:ascii="Franklin Gothic Book" w:hAnsi="Franklin Gothic Book"/>
                <w:b w:val="0"/>
                <w:color w:val="000000"/>
                <w:sz w:val="20"/>
                <w:szCs w:val="20"/>
              </w:rPr>
              <w:t>15%</w:t>
            </w:r>
          </w:p>
        </w:tc>
        <w:tc>
          <w:tcPr>
            <w:tcW w:w="4395" w:type="dxa"/>
            <w:tcBorders>
              <w:top w:val="nil"/>
              <w:bottom w:val="single" w:sz="4" w:space="0" w:color="auto"/>
            </w:tcBorders>
            <w:shd w:val="clear" w:color="auto" w:fill="C1E7E0" w:themeFill="accent1" w:themeFillTint="66"/>
          </w:tcPr>
          <w:p w:rsidR="009F3A66" w:rsidRPr="00772167" w:rsidRDefault="009F3A66" w:rsidP="00772167">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16"/>
                <w:szCs w:val="16"/>
              </w:rPr>
            </w:pPr>
            <w:r w:rsidRPr="00772167">
              <w:rPr>
                <w:rFonts w:ascii="Franklin Gothic Book" w:hAnsi="Franklin Gothic Book"/>
                <w:b w:val="0"/>
                <w:color w:val="000000"/>
                <w:sz w:val="16"/>
                <w:szCs w:val="16"/>
              </w:rPr>
              <w:t>NDMO monitoring data</w:t>
            </w:r>
          </w:p>
          <w:p w:rsidR="009F3A66" w:rsidRPr="00772167" w:rsidRDefault="009F3A66" w:rsidP="00772167">
            <w:pPr>
              <w:cnfStyle w:val="100000000000" w:firstRow="1" w:lastRow="0" w:firstColumn="0" w:lastColumn="0" w:oddVBand="0" w:evenVBand="0" w:oddHBand="0" w:evenHBand="0" w:firstRowFirstColumn="0" w:firstRowLastColumn="0" w:lastRowFirstColumn="0" w:lastRowLastColumn="0"/>
              <w:rPr>
                <w:rFonts w:ascii="Franklin Gothic Book" w:hAnsi="Franklin Gothic Book"/>
                <w:b w:val="0"/>
                <w:color w:val="000000"/>
                <w:sz w:val="16"/>
                <w:szCs w:val="16"/>
              </w:rPr>
            </w:pPr>
            <w:r w:rsidRPr="00772167">
              <w:rPr>
                <w:rFonts w:ascii="Franklin Gothic Book" w:hAnsi="Franklin Gothic Book"/>
                <w:b w:val="0"/>
                <w:color w:val="000000"/>
                <w:sz w:val="16"/>
                <w:szCs w:val="16"/>
              </w:rPr>
              <w:t>[NSDP Target is 80% by 2030]</w:t>
            </w:r>
          </w:p>
        </w:tc>
      </w:tr>
    </w:tbl>
    <w:p w:rsidR="00CA7DD8" w:rsidRDefault="00CA7DD8" w:rsidP="004435EC">
      <w:pPr>
        <w:spacing w:before="20" w:after="20" w:line="180" w:lineRule="atLeast"/>
      </w:pPr>
    </w:p>
    <w:p w:rsidR="00CA7DD8" w:rsidRDefault="00CA7DD8" w:rsidP="00784031"/>
    <w:p w:rsidR="006C4F09" w:rsidRPr="005C78DB" w:rsidRDefault="006C4F09" w:rsidP="00A5708E"/>
    <w:sectPr w:rsidR="006C4F09" w:rsidRPr="005C78DB" w:rsidSect="00A5708E">
      <w:headerReference w:type="default" r:id="rId37"/>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5E" w:rsidRDefault="00E03F5E" w:rsidP="00EF4574">
      <w:pPr>
        <w:spacing w:before="0" w:after="0" w:line="240" w:lineRule="auto"/>
      </w:pPr>
      <w:r>
        <w:separator/>
      </w:r>
    </w:p>
  </w:endnote>
  <w:endnote w:type="continuationSeparator" w:id="0">
    <w:p w:rsidR="00E03F5E" w:rsidRDefault="00E03F5E"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SegoeUI-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FE" w:rsidRDefault="00E8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239248"/>
      <w:docPartObj>
        <w:docPartGallery w:val="Page Numbers (Bottom of Page)"/>
        <w:docPartUnique/>
      </w:docPartObj>
    </w:sdtPr>
    <w:sdtEndPr>
      <w:rPr>
        <w:noProof/>
      </w:rPr>
    </w:sdtEndPr>
    <w:sdtContent>
      <w:p w:rsidR="00E03F5E" w:rsidRDefault="00E03F5E">
        <w:pPr>
          <w:pStyle w:val="Footer"/>
        </w:pPr>
        <w:r>
          <w:fldChar w:fldCharType="begin"/>
        </w:r>
        <w:r>
          <w:instrText xml:space="preserve"> PAGE   \* MERGEFORMAT </w:instrText>
        </w:r>
        <w:r>
          <w:fldChar w:fldCharType="separate"/>
        </w:r>
        <w:r w:rsidR="00E668DD">
          <w:rPr>
            <w:noProof/>
          </w:rPr>
          <w:t>4</w:t>
        </w:r>
        <w:r>
          <w:rPr>
            <w:noProof/>
          </w:rPr>
          <w:fldChar w:fldCharType="end"/>
        </w:r>
      </w:p>
    </w:sdtContent>
  </w:sdt>
  <w:p w:rsidR="00E03F5E" w:rsidRDefault="00E0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FE" w:rsidRDefault="00E844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Pr="00CD0E4B" w:rsidRDefault="00E03F5E" w:rsidP="00784031">
    <w:pPr>
      <w:pStyle w:val="Footer"/>
    </w:pPr>
    <w:r w:rsidRPr="00CD0E4B">
      <w:rPr>
        <w:noProof/>
        <w:lang w:val="en-AU" w:eastAsia="en-AU"/>
      </w:rPr>
      <w:drawing>
        <wp:inline distT="0" distB="0" distL="0" distR="0" wp14:anchorId="65EBBD1C" wp14:editId="1FC2C978">
          <wp:extent cx="90000" cy="74520"/>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E03F5E" w:rsidRPr="00CD0E4B" w:rsidRDefault="00E03F5E"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5E" w:rsidRPr="008C5A0E" w:rsidRDefault="00E03F5E" w:rsidP="001D663E">
      <w:pPr>
        <w:pStyle w:val="Footer"/>
        <w:pBdr>
          <w:top w:val="single" w:sz="4" w:space="1" w:color="495965" w:themeColor="text2"/>
        </w:pBdr>
      </w:pPr>
    </w:p>
  </w:footnote>
  <w:footnote w:type="continuationSeparator" w:id="0">
    <w:p w:rsidR="00E03F5E" w:rsidRDefault="00E03F5E" w:rsidP="00EF4574">
      <w:pPr>
        <w:spacing w:before="0" w:after="0" w:line="240" w:lineRule="auto"/>
      </w:pPr>
      <w:r>
        <w:continuationSeparator/>
      </w:r>
    </w:p>
  </w:footnote>
  <w:footnote w:id="1">
    <w:p w:rsidR="00E03F5E" w:rsidRPr="0017474D" w:rsidRDefault="00E03F5E" w:rsidP="002958AE">
      <w:pPr>
        <w:pStyle w:val="FootnoteText"/>
        <w:rPr>
          <w:sz w:val="16"/>
          <w:szCs w:val="16"/>
          <w:lang w:val="en-AU"/>
        </w:rPr>
      </w:pPr>
      <w:r>
        <w:rPr>
          <w:rStyle w:val="FootnoteReference"/>
        </w:rPr>
        <w:footnoteRef/>
      </w:r>
      <w:r>
        <w:t xml:space="preserve"> </w:t>
      </w:r>
      <w:r w:rsidRPr="0017474D">
        <w:rPr>
          <w:sz w:val="16"/>
          <w:szCs w:val="16"/>
          <w:lang w:val="en-US"/>
        </w:rPr>
        <w:t xml:space="preserve">IMF (2018) </w:t>
      </w:r>
      <w:r w:rsidRPr="0017474D">
        <w:rPr>
          <w:i/>
          <w:sz w:val="16"/>
          <w:szCs w:val="16"/>
          <w:lang w:val="en-US"/>
        </w:rPr>
        <w:t>2018 Article IV Consultation Staff Report</w:t>
      </w:r>
      <w:r w:rsidRPr="0017474D">
        <w:rPr>
          <w:sz w:val="16"/>
          <w:szCs w:val="16"/>
          <w:lang w:val="en-US"/>
        </w:rPr>
        <w:t>.  International Monetary Fund, Washington DC, USA.</w:t>
      </w:r>
    </w:p>
  </w:footnote>
  <w:footnote w:id="2">
    <w:p w:rsidR="00E03F5E" w:rsidRPr="001E4C81" w:rsidRDefault="00E03F5E" w:rsidP="002958AE">
      <w:pPr>
        <w:pStyle w:val="FootnoteText"/>
        <w:spacing w:before="0"/>
        <w:rPr>
          <w:sz w:val="16"/>
          <w:szCs w:val="16"/>
          <w:lang w:val="en-AU"/>
        </w:rPr>
      </w:pPr>
      <w:r w:rsidRPr="00915BCC">
        <w:rPr>
          <w:rStyle w:val="FootnoteReference"/>
          <w:sz w:val="16"/>
          <w:szCs w:val="16"/>
        </w:rPr>
        <w:footnoteRef/>
      </w:r>
      <w:r w:rsidRPr="00915BCC">
        <w:rPr>
          <w:sz w:val="16"/>
          <w:szCs w:val="16"/>
        </w:rPr>
        <w:t xml:space="preserve"> </w:t>
      </w:r>
      <w:r w:rsidRPr="00915BCC">
        <w:rPr>
          <w:sz w:val="16"/>
          <w:szCs w:val="16"/>
          <w:lang w:val="en-AU"/>
        </w:rPr>
        <w:t>Foreign Policy White Paper 2018</w:t>
      </w:r>
      <w:r w:rsidRPr="001E4C81">
        <w:rPr>
          <w:sz w:val="16"/>
          <w:szCs w:val="16"/>
          <w:lang w:val="en-AU"/>
        </w:rPr>
        <w:t>: https://www.fpwhitepaper.gov.au/</w:t>
      </w:r>
    </w:p>
  </w:footnote>
  <w:footnote w:id="3">
    <w:p w:rsidR="00E03F5E" w:rsidRPr="000650BF" w:rsidRDefault="00E03F5E" w:rsidP="000650BF">
      <w:pPr>
        <w:pStyle w:val="FootnoteText"/>
        <w:spacing w:before="0" w:line="240" w:lineRule="auto"/>
        <w:rPr>
          <w:rFonts w:ascii="Calibri Light" w:hAnsi="Calibri Light"/>
          <w:sz w:val="16"/>
          <w:szCs w:val="16"/>
          <w:lang w:val="en-AU"/>
        </w:rPr>
      </w:pPr>
      <w:r w:rsidRPr="000650BF">
        <w:rPr>
          <w:rStyle w:val="FootnoteReference"/>
          <w:rFonts w:ascii="Calibri Light" w:hAnsi="Calibri Light"/>
          <w:sz w:val="16"/>
          <w:szCs w:val="16"/>
        </w:rPr>
        <w:footnoteRef/>
      </w:r>
      <w:r w:rsidRPr="000650BF">
        <w:rPr>
          <w:rFonts w:ascii="Calibri Light" w:hAnsi="Calibri Light"/>
          <w:sz w:val="16"/>
          <w:szCs w:val="16"/>
        </w:rPr>
        <w:t xml:space="preserve"> </w:t>
      </w:r>
      <w:r w:rsidRPr="001E4C81">
        <w:rPr>
          <w:rFonts w:ascii="Calibri Light" w:hAnsi="Calibri Light"/>
          <w:sz w:val="16"/>
          <w:szCs w:val="16"/>
          <w:lang w:val="en-US"/>
        </w:rPr>
        <w:t>https://www.imf.org/en/Publications/CR/Issues/2018/04/26/Vanuatu-2018-Article-IV-Consultation-Press-Release-and-Staff-Report-45821</w:t>
      </w:r>
    </w:p>
  </w:footnote>
  <w:footnote w:id="4">
    <w:p w:rsidR="00E03F5E" w:rsidRPr="000650BF" w:rsidRDefault="00E03F5E" w:rsidP="000650BF">
      <w:pPr>
        <w:pStyle w:val="FootnoteText"/>
        <w:spacing w:before="0" w:line="240" w:lineRule="auto"/>
        <w:rPr>
          <w:rFonts w:ascii="Calibri Light" w:hAnsi="Calibri Light"/>
          <w:sz w:val="16"/>
          <w:szCs w:val="16"/>
          <w:lang w:val="en-US"/>
        </w:rPr>
      </w:pPr>
      <w:r w:rsidRPr="000650BF">
        <w:rPr>
          <w:rStyle w:val="FootnoteReference"/>
          <w:rFonts w:ascii="Calibri Light" w:hAnsi="Calibri Light"/>
          <w:sz w:val="16"/>
          <w:szCs w:val="16"/>
        </w:rPr>
        <w:footnoteRef/>
      </w:r>
      <w:r w:rsidRPr="000650BF">
        <w:rPr>
          <w:rFonts w:ascii="Calibri Light" w:hAnsi="Calibri Light"/>
          <w:sz w:val="16"/>
          <w:szCs w:val="16"/>
        </w:rPr>
        <w:t xml:space="preserve"> </w:t>
      </w:r>
      <w:r w:rsidRPr="004F63FA">
        <w:rPr>
          <w:rFonts w:ascii="Calibri Light" w:hAnsi="Calibri Light"/>
          <w:sz w:val="16"/>
          <w:szCs w:val="16"/>
        </w:rPr>
        <w:t>https://www.imf.org/en/Publications/CR/Issues/2018/04/26/Vanuatu-2018-Article-IV-Consultation-Press-Release-and-Staff-Report-45821</w:t>
      </w:r>
    </w:p>
  </w:footnote>
  <w:footnote w:id="5">
    <w:p w:rsidR="00E03F5E" w:rsidRPr="000650BF" w:rsidRDefault="00E03F5E" w:rsidP="000650BF">
      <w:pPr>
        <w:spacing w:before="0" w:after="0" w:line="240" w:lineRule="auto"/>
        <w:rPr>
          <w:rFonts w:ascii="Calibri Light" w:hAnsi="Calibri Light"/>
          <w:sz w:val="16"/>
          <w:szCs w:val="16"/>
          <w:lang w:val="en-AU"/>
        </w:rPr>
      </w:pPr>
      <w:r w:rsidRPr="000650BF">
        <w:rPr>
          <w:rStyle w:val="FootnoteReference"/>
          <w:rFonts w:ascii="Calibri Light" w:hAnsi="Calibri Light"/>
          <w:sz w:val="16"/>
          <w:szCs w:val="16"/>
        </w:rPr>
        <w:footnoteRef/>
      </w:r>
      <w:r w:rsidRPr="000650BF">
        <w:rPr>
          <w:rFonts w:ascii="Calibri Light" w:hAnsi="Calibri Light"/>
          <w:sz w:val="16"/>
          <w:szCs w:val="16"/>
        </w:rPr>
        <w:t xml:space="preserve"> This includes US$83 million of multilateral debt, mostly to the Asian Development Bank (ADB – 14% of PPG debt, equivalent to 7% of GDP) and US$207 million of bilateral debt, mostly to the China EXIM Bank (CEXIM – 36% of PPG debt, equivalent to 17% GDP).  </w:t>
      </w:r>
      <w:r w:rsidRPr="000650BF">
        <w:rPr>
          <w:rStyle w:val="CommentReference"/>
          <w:rFonts w:ascii="Calibri Light" w:hAnsi="Calibri Light"/>
        </w:rPr>
        <w:t xml:space="preserve"> </w:t>
      </w:r>
    </w:p>
  </w:footnote>
  <w:footnote w:id="6">
    <w:p w:rsidR="00E03F5E" w:rsidRPr="0017474D" w:rsidRDefault="00E03F5E" w:rsidP="0017474D">
      <w:pPr>
        <w:pStyle w:val="FootnoteText"/>
        <w:spacing w:before="0" w:line="240" w:lineRule="auto"/>
        <w:rPr>
          <w:sz w:val="16"/>
          <w:szCs w:val="16"/>
          <w:lang w:val="en-AU"/>
        </w:rPr>
      </w:pPr>
      <w:r w:rsidRPr="0017474D">
        <w:rPr>
          <w:rStyle w:val="FootnoteReference"/>
          <w:sz w:val="16"/>
          <w:szCs w:val="16"/>
        </w:rPr>
        <w:footnoteRef/>
      </w:r>
      <w:r w:rsidRPr="0017474D">
        <w:rPr>
          <w:sz w:val="16"/>
          <w:szCs w:val="16"/>
        </w:rPr>
        <w:t xml:space="preserve"> </w:t>
      </w:r>
      <w:r w:rsidRPr="004F63FA">
        <w:rPr>
          <w:rFonts w:ascii="Calibri Light" w:hAnsi="Calibri Light"/>
          <w:sz w:val="16"/>
          <w:szCs w:val="16"/>
          <w:lang w:val="en-US"/>
        </w:rPr>
        <w:t>https://www.imf.org/en/Publications/CR/Issues/2018/04/26/Vanuatu-2018-Article-IV-Consultation-Press-Release-and-Staff-Report-45821</w:t>
      </w:r>
    </w:p>
  </w:footnote>
  <w:footnote w:id="7">
    <w:p w:rsidR="00E03F5E" w:rsidRPr="000650BF" w:rsidRDefault="00E03F5E">
      <w:pPr>
        <w:pStyle w:val="FootnoteText"/>
        <w:spacing w:before="0" w:line="240" w:lineRule="auto"/>
        <w:rPr>
          <w:sz w:val="16"/>
          <w:szCs w:val="16"/>
          <w:lang w:val="en-AU"/>
        </w:rPr>
      </w:pPr>
      <w:r w:rsidRPr="00915BCC">
        <w:rPr>
          <w:rStyle w:val="FootnoteReference"/>
          <w:sz w:val="16"/>
          <w:szCs w:val="16"/>
        </w:rPr>
        <w:footnoteRef/>
      </w:r>
      <w:r w:rsidRPr="00915BCC">
        <w:rPr>
          <w:sz w:val="16"/>
          <w:szCs w:val="16"/>
        </w:rPr>
        <w:t xml:space="preserve"> http://hdr.undp.org/en/2016-report</w:t>
      </w:r>
    </w:p>
  </w:footnote>
  <w:footnote w:id="8">
    <w:p w:rsidR="00E03F5E" w:rsidRPr="0017474D" w:rsidRDefault="00E03F5E" w:rsidP="0017474D">
      <w:pPr>
        <w:pStyle w:val="FootnoteText"/>
        <w:spacing w:before="0"/>
        <w:rPr>
          <w:sz w:val="16"/>
          <w:szCs w:val="16"/>
          <w:lang w:val="en-AU"/>
        </w:rPr>
      </w:pPr>
      <w:r w:rsidRPr="0017474D">
        <w:rPr>
          <w:rStyle w:val="FootnoteReference"/>
          <w:sz w:val="16"/>
          <w:szCs w:val="16"/>
        </w:rPr>
        <w:footnoteRef/>
      </w:r>
      <w:r w:rsidRPr="0017474D">
        <w:rPr>
          <w:sz w:val="16"/>
          <w:szCs w:val="16"/>
        </w:rPr>
        <w:t xml:space="preserve"> </w:t>
      </w:r>
      <w:r w:rsidRPr="0017474D">
        <w:rPr>
          <w:sz w:val="16"/>
          <w:szCs w:val="16"/>
          <w:lang w:val="en-AU"/>
        </w:rPr>
        <w:t>Vanuatu National Statistics Office &amp; UNDP: Vanuatu Hardship &amp; Poverty Report 2012 (based on 2010 HIES data)</w:t>
      </w:r>
    </w:p>
  </w:footnote>
  <w:footnote w:id="9">
    <w:p w:rsidR="00E03F5E" w:rsidRPr="00915BCC" w:rsidRDefault="00E03F5E" w:rsidP="005A4264">
      <w:pPr>
        <w:pStyle w:val="FootnoteText"/>
        <w:spacing w:before="0" w:line="240" w:lineRule="auto"/>
        <w:rPr>
          <w:rFonts w:ascii="Calibri Light" w:hAnsi="Calibri Light"/>
          <w:sz w:val="16"/>
          <w:szCs w:val="16"/>
          <w:lang w:val="en-AU"/>
        </w:rPr>
      </w:pPr>
      <w:r w:rsidRPr="00915BCC">
        <w:rPr>
          <w:rStyle w:val="FootnoteReference"/>
          <w:rFonts w:ascii="Calibri Light" w:hAnsi="Calibri Light"/>
          <w:sz w:val="16"/>
          <w:szCs w:val="16"/>
        </w:rPr>
        <w:footnoteRef/>
      </w:r>
      <w:r w:rsidRPr="00915BCC">
        <w:rPr>
          <w:rFonts w:ascii="Calibri Light" w:hAnsi="Calibri Light"/>
          <w:sz w:val="16"/>
          <w:szCs w:val="16"/>
        </w:rPr>
        <w:t xml:space="preserve"> </w:t>
      </w:r>
      <w:r w:rsidRPr="00915BCC">
        <w:rPr>
          <w:rFonts w:ascii="Calibri Light" w:hAnsi="Calibri Light"/>
          <w:sz w:val="16"/>
          <w:szCs w:val="16"/>
          <w:lang w:val="en-AU"/>
        </w:rPr>
        <w:t>Vanuatu Education Management Information system; 2015 – ECC: 0.98; Years 1-6: 0.97)</w:t>
      </w:r>
    </w:p>
  </w:footnote>
  <w:footnote w:id="10">
    <w:p w:rsidR="00E03F5E" w:rsidRPr="000650BF" w:rsidRDefault="00E03F5E">
      <w:pPr>
        <w:pStyle w:val="FootnoteText"/>
        <w:spacing w:before="0" w:line="240" w:lineRule="auto"/>
        <w:rPr>
          <w:sz w:val="16"/>
          <w:szCs w:val="16"/>
          <w:lang w:val="en-AU"/>
        </w:rPr>
      </w:pPr>
      <w:r w:rsidRPr="00915BCC">
        <w:rPr>
          <w:rStyle w:val="FootnoteReference"/>
          <w:sz w:val="16"/>
          <w:szCs w:val="16"/>
        </w:rPr>
        <w:footnoteRef/>
      </w:r>
      <w:r w:rsidRPr="00915BCC">
        <w:rPr>
          <w:sz w:val="16"/>
          <w:szCs w:val="16"/>
        </w:rPr>
        <w:t xml:space="preserve"> </w:t>
      </w:r>
      <w:hyperlink r:id="rId1" w:history="1">
        <w:r w:rsidRPr="00012BAB">
          <w:rPr>
            <w:rStyle w:val="Hyperlink"/>
            <w:color w:val="677370" w:themeColor="background2" w:themeShade="80"/>
            <w:sz w:val="16"/>
            <w:szCs w:val="16"/>
          </w:rPr>
          <w:t>https://stats.oecd.org</w:t>
        </w:r>
      </w:hyperlink>
      <w:r w:rsidRPr="00012BAB">
        <w:rPr>
          <w:color w:val="677370" w:themeColor="background2" w:themeShade="80"/>
          <w:sz w:val="16"/>
          <w:szCs w:val="16"/>
        </w:rPr>
        <w:t>: 2016 data for ODA to Vanuatu from DAC countries only (excludes China which does not publish ODA figures)</w:t>
      </w:r>
    </w:p>
  </w:footnote>
  <w:footnote w:id="11">
    <w:p w:rsidR="00E03F5E" w:rsidRPr="00F538CC" w:rsidRDefault="00E03F5E" w:rsidP="008A425D">
      <w:pPr>
        <w:rPr>
          <w:sz w:val="16"/>
          <w:szCs w:val="16"/>
          <w:lang w:val="en-AU"/>
        </w:rPr>
      </w:pPr>
      <w:r w:rsidRPr="00915BCC">
        <w:rPr>
          <w:rStyle w:val="FootnoteReference"/>
          <w:sz w:val="16"/>
          <w:szCs w:val="16"/>
        </w:rPr>
        <w:footnoteRef/>
      </w:r>
      <w:r w:rsidRPr="00915BCC">
        <w:rPr>
          <w:sz w:val="16"/>
          <w:szCs w:val="16"/>
        </w:rPr>
        <w:t xml:space="preserve"> </w:t>
      </w:r>
      <w:r w:rsidRPr="008A425D">
        <w:rPr>
          <w:color w:val="1F497D"/>
          <w:sz w:val="16"/>
          <w:szCs w:val="16"/>
        </w:rPr>
        <w:t xml:space="preserve"> </w:t>
      </w:r>
      <w:hyperlink r:id="rId2" w:history="1">
        <w:r w:rsidRPr="00F538CC">
          <w:rPr>
            <w:rStyle w:val="Hyperlink"/>
            <w:color w:val="495965" w:themeColor="text2"/>
            <w:sz w:val="16"/>
            <w:szCs w:val="16"/>
          </w:rPr>
          <w:t>https://stats.oecd.org</w:t>
        </w:r>
      </w:hyperlink>
      <w:r w:rsidRPr="00F538CC">
        <w:rPr>
          <w:sz w:val="16"/>
          <w:szCs w:val="16"/>
        </w:rPr>
        <w:t>: 2016 data for ODA to Vanuatu from DAC countries only (excludes China which does not publish ODA figures)</w:t>
      </w:r>
    </w:p>
  </w:footnote>
  <w:footnote w:id="12">
    <w:p w:rsidR="00E03F5E" w:rsidRPr="00F538CC" w:rsidRDefault="00E03F5E">
      <w:pPr>
        <w:pStyle w:val="FootnoteText"/>
        <w:rPr>
          <w:sz w:val="16"/>
          <w:szCs w:val="16"/>
          <w:lang w:val="en-AU"/>
        </w:rPr>
      </w:pPr>
      <w:r w:rsidRPr="00F538CC">
        <w:rPr>
          <w:rStyle w:val="FootnoteReference"/>
          <w:sz w:val="16"/>
          <w:szCs w:val="16"/>
        </w:rPr>
        <w:footnoteRef/>
      </w:r>
      <w:r w:rsidRPr="00F538CC">
        <w:rPr>
          <w:sz w:val="16"/>
          <w:szCs w:val="16"/>
        </w:rPr>
        <w:t xml:space="preserve"> $35m for TC Pam Recovery was provided to the Vanuatu Government in 2014-15 and while the program continues it is not reflected in 2017-18 expenditure, 2017-18 expenditure includes AUD3.55m for the Ambae response</w:t>
      </w:r>
    </w:p>
  </w:footnote>
  <w:footnote w:id="13">
    <w:p w:rsidR="00E03F5E" w:rsidRPr="005D20F9" w:rsidRDefault="00E03F5E">
      <w:pPr>
        <w:pStyle w:val="FootnoteText"/>
        <w:rPr>
          <w:sz w:val="16"/>
          <w:szCs w:val="16"/>
          <w:lang w:val="en-AU"/>
        </w:rPr>
      </w:pPr>
      <w:r w:rsidRPr="005D20F9">
        <w:rPr>
          <w:rStyle w:val="FootnoteReference"/>
          <w:sz w:val="16"/>
          <w:szCs w:val="16"/>
        </w:rPr>
        <w:footnoteRef/>
      </w:r>
      <w:r w:rsidRPr="005D20F9">
        <w:rPr>
          <w:sz w:val="16"/>
          <w:szCs w:val="16"/>
        </w:rPr>
        <w:t xml:space="preserve"> </w:t>
      </w:r>
      <w:r w:rsidRPr="005D20F9">
        <w:rPr>
          <w:sz w:val="16"/>
          <w:szCs w:val="16"/>
          <w:lang w:val="en-AU"/>
        </w:rPr>
        <w:t>The FATF is an international body mandated to combat money laundering and terrorism financing.</w:t>
      </w:r>
    </w:p>
  </w:footnote>
  <w:footnote w:id="14">
    <w:p w:rsidR="00E03F5E" w:rsidRPr="00A1360C" w:rsidRDefault="00E03F5E" w:rsidP="00A1360C">
      <w:pPr>
        <w:pStyle w:val="FootnoteText"/>
        <w:spacing w:before="0" w:line="240" w:lineRule="auto"/>
        <w:rPr>
          <w:sz w:val="16"/>
          <w:szCs w:val="16"/>
          <w:lang w:val="en-AU"/>
        </w:rPr>
      </w:pPr>
      <w:r w:rsidRPr="00A1360C">
        <w:rPr>
          <w:rStyle w:val="FootnoteReference"/>
          <w:sz w:val="16"/>
          <w:szCs w:val="16"/>
        </w:rPr>
        <w:footnoteRef/>
      </w:r>
      <w:r w:rsidRPr="00A1360C">
        <w:rPr>
          <w:sz w:val="16"/>
          <w:szCs w:val="16"/>
        </w:rPr>
        <w:t xml:space="preserve"> </w:t>
      </w:r>
      <w:r>
        <w:rPr>
          <w:sz w:val="16"/>
          <w:szCs w:val="16"/>
        </w:rPr>
        <w:t>Including</w:t>
      </w:r>
      <w:r w:rsidRPr="00A1360C">
        <w:rPr>
          <w:sz w:val="16"/>
          <w:szCs w:val="16"/>
        </w:rPr>
        <w:t xml:space="preserve"> the </w:t>
      </w:r>
      <w:r w:rsidRPr="00A1360C">
        <w:rPr>
          <w:i/>
          <w:sz w:val="16"/>
          <w:szCs w:val="16"/>
        </w:rPr>
        <w:t xml:space="preserve">Convention on Multilateral Administrative assistance in Tax Matters (June 2018); International Convention on the Harmonised Commodity Description and Coding System (March 2018); </w:t>
      </w:r>
      <w:r>
        <w:rPr>
          <w:i/>
          <w:sz w:val="16"/>
          <w:szCs w:val="16"/>
        </w:rPr>
        <w:t xml:space="preserve">and </w:t>
      </w:r>
      <w:r w:rsidRPr="00A1360C">
        <w:rPr>
          <w:i/>
          <w:sz w:val="16"/>
          <w:szCs w:val="16"/>
        </w:rPr>
        <w:t xml:space="preserve">contracting party to the World Customs Organisation </w:t>
      </w:r>
      <w:r w:rsidRPr="00A1360C">
        <w:rPr>
          <w:sz w:val="16"/>
          <w:szCs w:val="16"/>
        </w:rPr>
        <w:t xml:space="preserve">Revised Kyoto Convention. </w:t>
      </w:r>
    </w:p>
  </w:footnote>
  <w:footnote w:id="15">
    <w:p w:rsidR="00E03F5E" w:rsidRPr="00A1360C" w:rsidRDefault="00E03F5E" w:rsidP="00A1360C">
      <w:pPr>
        <w:pStyle w:val="FootnoteText"/>
        <w:spacing w:before="0" w:line="240" w:lineRule="auto"/>
        <w:rPr>
          <w:sz w:val="16"/>
          <w:szCs w:val="16"/>
          <w:lang w:val="en-US"/>
        </w:rPr>
      </w:pPr>
      <w:r w:rsidRPr="00A1360C">
        <w:rPr>
          <w:rStyle w:val="FootnoteReference"/>
          <w:sz w:val="16"/>
          <w:szCs w:val="16"/>
        </w:rPr>
        <w:footnoteRef/>
      </w:r>
      <w:r w:rsidRPr="00A1360C">
        <w:rPr>
          <w:sz w:val="16"/>
          <w:szCs w:val="16"/>
        </w:rPr>
        <w:t xml:space="preserve"> </w:t>
      </w:r>
      <w:r w:rsidRPr="004F63FA">
        <w:rPr>
          <w:sz w:val="16"/>
          <w:szCs w:val="16"/>
        </w:rPr>
        <w:t>https://www.imf.org/en/Publications/CR/Issues/2018/04/26/Vanuatu-2018-Article-IV-Consultation-Press-Release-and-Staff-Report-45821</w:t>
      </w:r>
    </w:p>
  </w:footnote>
  <w:footnote w:id="16">
    <w:p w:rsidR="00E03F5E" w:rsidRPr="00A1360C" w:rsidRDefault="00E03F5E" w:rsidP="00A1360C">
      <w:pPr>
        <w:pStyle w:val="FootnoteText"/>
        <w:spacing w:before="0" w:line="240" w:lineRule="auto"/>
        <w:rPr>
          <w:sz w:val="16"/>
          <w:szCs w:val="16"/>
          <w:lang w:val="en-AU"/>
        </w:rPr>
      </w:pPr>
      <w:r w:rsidRPr="00A1360C">
        <w:rPr>
          <w:rStyle w:val="FootnoteReference"/>
          <w:sz w:val="16"/>
          <w:szCs w:val="16"/>
        </w:rPr>
        <w:footnoteRef/>
      </w:r>
      <w:r w:rsidRPr="00A1360C">
        <w:rPr>
          <w:sz w:val="16"/>
          <w:szCs w:val="16"/>
        </w:rPr>
        <w:t xml:space="preserve"> </w:t>
      </w:r>
      <w:r w:rsidRPr="00A1360C">
        <w:rPr>
          <w:sz w:val="16"/>
          <w:szCs w:val="16"/>
          <w:lang w:val="en-AU"/>
        </w:rPr>
        <w:t>Government of Vanuatu, Ministry of Finance and Economic Management Half-Year Economic and Fiscal Update (31 July 2018)</w:t>
      </w:r>
    </w:p>
  </w:footnote>
  <w:footnote w:id="17">
    <w:p w:rsidR="00E03F5E" w:rsidRPr="00A1360C" w:rsidRDefault="00E03F5E" w:rsidP="00A1360C">
      <w:pPr>
        <w:pStyle w:val="FootnoteText"/>
        <w:spacing w:before="0" w:line="240" w:lineRule="auto"/>
        <w:rPr>
          <w:sz w:val="16"/>
          <w:szCs w:val="16"/>
          <w:lang w:val="en-US"/>
        </w:rPr>
      </w:pPr>
      <w:r w:rsidRPr="00A1360C">
        <w:rPr>
          <w:rStyle w:val="FootnoteReference"/>
          <w:sz w:val="16"/>
          <w:szCs w:val="16"/>
        </w:rPr>
        <w:footnoteRef/>
      </w:r>
      <w:r w:rsidRPr="00A1360C">
        <w:rPr>
          <w:sz w:val="16"/>
          <w:szCs w:val="16"/>
        </w:rPr>
        <w:t xml:space="preserve"> Government of Vanuatu (2017) </w:t>
      </w:r>
      <w:r w:rsidRPr="00A1360C">
        <w:rPr>
          <w:i/>
          <w:sz w:val="16"/>
          <w:szCs w:val="16"/>
        </w:rPr>
        <w:t>Budget and Fiscal Strategy Report 2018</w:t>
      </w:r>
      <w:r w:rsidRPr="00A1360C">
        <w:rPr>
          <w:sz w:val="16"/>
          <w:szCs w:val="16"/>
        </w:rPr>
        <w:t xml:space="preserve">. </w:t>
      </w:r>
      <w:hyperlink r:id="rId3" w:history="1">
        <w:r w:rsidRPr="00A1360C">
          <w:rPr>
            <w:rStyle w:val="Hyperlink"/>
            <w:color w:val="495965" w:themeColor="text2"/>
            <w:sz w:val="16"/>
            <w:szCs w:val="16"/>
            <w:lang w:val="en-US"/>
          </w:rPr>
          <w:t>https://doft.gov.vu/images/2018/Vol-1--2-Budget-Book-2018-English.pdf</w:t>
        </w:r>
      </w:hyperlink>
      <w:r w:rsidRPr="00A1360C">
        <w:rPr>
          <w:sz w:val="16"/>
          <w:szCs w:val="16"/>
          <w:lang w:val="en-US"/>
        </w:rPr>
        <w:t xml:space="preserve"> </w:t>
      </w:r>
    </w:p>
  </w:footnote>
  <w:footnote w:id="18">
    <w:p w:rsidR="00E03F5E" w:rsidRPr="00994DE4" w:rsidRDefault="00E03F5E" w:rsidP="00C82E19">
      <w:pPr>
        <w:pStyle w:val="FootnoteText"/>
        <w:spacing w:before="0"/>
        <w:rPr>
          <w:sz w:val="16"/>
          <w:szCs w:val="16"/>
          <w:lang w:val="en-AU"/>
        </w:rPr>
      </w:pPr>
      <w:r w:rsidRPr="00994DE4">
        <w:rPr>
          <w:rStyle w:val="FootnoteReference"/>
          <w:sz w:val="16"/>
          <w:szCs w:val="16"/>
        </w:rPr>
        <w:footnoteRef/>
      </w:r>
      <w:r w:rsidRPr="00994DE4">
        <w:rPr>
          <w:sz w:val="16"/>
          <w:szCs w:val="16"/>
        </w:rPr>
        <w:t xml:space="preserve"> </w:t>
      </w:r>
      <w:r w:rsidRPr="00994DE4">
        <w:rPr>
          <w:rFonts w:ascii="Calibri Light" w:hAnsi="Calibri Light"/>
          <w:sz w:val="16"/>
          <w:szCs w:val="16"/>
        </w:rPr>
        <w:t xml:space="preserve">There </w:t>
      </w:r>
      <w:r w:rsidRPr="0019017E">
        <w:rPr>
          <w:rFonts w:ascii="Calibri Light" w:hAnsi="Calibri Light"/>
          <w:sz w:val="16"/>
          <w:szCs w:val="16"/>
        </w:rPr>
        <w:t xml:space="preserve">are </w:t>
      </w:r>
      <w:r w:rsidRPr="00994DE4">
        <w:rPr>
          <w:rFonts w:ascii="Calibri Light" w:hAnsi="Calibri Light"/>
          <w:sz w:val="16"/>
          <w:szCs w:val="16"/>
        </w:rPr>
        <w:t>also cultural differences, with women’s contribution at 25 per cent in Shefa and 42 per cent in Sanma province.</w:t>
      </w:r>
    </w:p>
  </w:footnote>
  <w:footnote w:id="19">
    <w:p w:rsidR="00E03F5E" w:rsidRPr="00994DE4" w:rsidRDefault="00E03F5E" w:rsidP="00A5708E">
      <w:pPr>
        <w:pStyle w:val="FootnoteText"/>
        <w:spacing w:before="0"/>
        <w:rPr>
          <w:sz w:val="16"/>
          <w:szCs w:val="16"/>
          <w:lang w:val="en-AU"/>
        </w:rPr>
      </w:pPr>
      <w:r w:rsidRPr="00994DE4">
        <w:rPr>
          <w:rStyle w:val="FootnoteReference"/>
          <w:sz w:val="16"/>
          <w:szCs w:val="16"/>
        </w:rPr>
        <w:footnoteRef/>
      </w:r>
      <w:r w:rsidRPr="00994DE4">
        <w:rPr>
          <w:sz w:val="16"/>
          <w:szCs w:val="16"/>
        </w:rPr>
        <w:t xml:space="preserve"> RAI is </w:t>
      </w:r>
      <w:r>
        <w:rPr>
          <w:sz w:val="16"/>
          <w:szCs w:val="16"/>
        </w:rPr>
        <w:t>%</w:t>
      </w:r>
      <w:r w:rsidRPr="00994DE4">
        <w:rPr>
          <w:sz w:val="16"/>
          <w:szCs w:val="16"/>
        </w:rPr>
        <w:t xml:space="preserve"> of population </w:t>
      </w:r>
      <w:r>
        <w:rPr>
          <w:sz w:val="16"/>
          <w:szCs w:val="16"/>
        </w:rPr>
        <w:t>living</w:t>
      </w:r>
      <w:r w:rsidRPr="00994DE4">
        <w:rPr>
          <w:sz w:val="16"/>
          <w:szCs w:val="16"/>
        </w:rPr>
        <w:t xml:space="preserve"> within 2 k</w:t>
      </w:r>
      <w:r>
        <w:rPr>
          <w:sz w:val="16"/>
          <w:szCs w:val="16"/>
        </w:rPr>
        <w:t>m</w:t>
      </w:r>
      <w:r w:rsidRPr="00994DE4">
        <w:rPr>
          <w:sz w:val="16"/>
          <w:szCs w:val="16"/>
        </w:rPr>
        <w:t xml:space="preserve"> (20min walk) of an all </w:t>
      </w:r>
      <w:r>
        <w:rPr>
          <w:sz w:val="16"/>
          <w:szCs w:val="16"/>
        </w:rPr>
        <w:t xml:space="preserve">–year-round passable </w:t>
      </w:r>
      <w:r w:rsidRPr="00994DE4">
        <w:rPr>
          <w:sz w:val="16"/>
          <w:szCs w:val="16"/>
        </w:rPr>
        <w:t>road connecting with that areas’ economic and services hub.</w:t>
      </w:r>
    </w:p>
  </w:footnote>
  <w:footnote w:id="20">
    <w:p w:rsidR="00E03F5E" w:rsidRPr="00B77F96" w:rsidRDefault="00E03F5E" w:rsidP="0017474D">
      <w:pPr>
        <w:pStyle w:val="FootnoteText"/>
        <w:spacing w:before="0" w:line="240" w:lineRule="auto"/>
        <w:rPr>
          <w:rFonts w:ascii="Calibri Light" w:hAnsi="Calibri Light"/>
          <w:sz w:val="16"/>
          <w:szCs w:val="16"/>
          <w:lang w:val="en-US"/>
        </w:rPr>
      </w:pPr>
      <w:r w:rsidRPr="00994DE4">
        <w:rPr>
          <w:rStyle w:val="FootnoteReference"/>
          <w:rFonts w:ascii="Calibri Light" w:hAnsi="Calibri Light"/>
          <w:sz w:val="16"/>
          <w:szCs w:val="16"/>
        </w:rPr>
        <w:footnoteRef/>
      </w:r>
      <w:r w:rsidRPr="00994DE4">
        <w:rPr>
          <w:rFonts w:ascii="Calibri Light" w:hAnsi="Calibri Light"/>
          <w:sz w:val="16"/>
          <w:szCs w:val="16"/>
        </w:rPr>
        <w:t xml:space="preserve"> </w:t>
      </w:r>
      <w:r w:rsidRPr="00B77F96">
        <w:rPr>
          <w:rFonts w:ascii="Calibri Light" w:hAnsi="Calibri Light"/>
          <w:sz w:val="16"/>
          <w:szCs w:val="16"/>
        </w:rPr>
        <w:t>DFAT (2017) Vanuatu Australia Award Graduate Tracer Study.  Department of Foreign Affairs and Trade, Canberra, Australia.</w:t>
      </w:r>
    </w:p>
  </w:footnote>
  <w:footnote w:id="21">
    <w:p w:rsidR="00E03F5E" w:rsidRPr="00B77F96" w:rsidRDefault="00E03F5E" w:rsidP="0017474D">
      <w:pPr>
        <w:pStyle w:val="FootnoteText"/>
        <w:spacing w:before="0" w:line="240" w:lineRule="auto"/>
        <w:rPr>
          <w:rFonts w:ascii="Calibri Light" w:hAnsi="Calibri Light"/>
          <w:sz w:val="16"/>
          <w:szCs w:val="16"/>
          <w:lang w:val="en-AU"/>
        </w:rPr>
      </w:pPr>
      <w:r w:rsidRPr="00B77F96">
        <w:rPr>
          <w:rStyle w:val="FootnoteReference"/>
          <w:rFonts w:ascii="Calibri Light" w:hAnsi="Calibri Light"/>
          <w:sz w:val="16"/>
          <w:szCs w:val="16"/>
        </w:rPr>
        <w:footnoteRef/>
      </w:r>
      <w:r w:rsidRPr="00B77F96">
        <w:rPr>
          <w:rFonts w:ascii="Calibri Light" w:hAnsi="Calibri Light"/>
          <w:sz w:val="16"/>
          <w:szCs w:val="16"/>
        </w:rPr>
        <w:t xml:space="preserve"> http://documents.worldbank.org/curated/en/572391522153097172/Maximizing-the-development-impacts-from-temporary-migration-recommendations-for-Australia-s-seasonal-worker-program</w:t>
      </w:r>
      <w:r w:rsidRPr="00B77F96" w:rsidDel="007A4F34">
        <w:rPr>
          <w:rFonts w:ascii="Calibri Light" w:hAnsi="Calibri Light"/>
          <w:sz w:val="16"/>
          <w:szCs w:val="16"/>
          <w:highlight w:val="yellow"/>
        </w:rPr>
        <w:t xml:space="preserve"> </w:t>
      </w:r>
    </w:p>
  </w:footnote>
  <w:footnote w:id="22">
    <w:p w:rsidR="00E03F5E" w:rsidRPr="0094193A" w:rsidRDefault="00E03F5E" w:rsidP="0094193A">
      <w:pPr>
        <w:pStyle w:val="FootnoteText"/>
        <w:spacing w:before="0" w:line="240" w:lineRule="auto"/>
        <w:rPr>
          <w:sz w:val="16"/>
          <w:szCs w:val="16"/>
        </w:rPr>
      </w:pPr>
      <w:r w:rsidRPr="0094193A">
        <w:rPr>
          <w:rStyle w:val="FootnoteReference"/>
          <w:sz w:val="16"/>
          <w:szCs w:val="16"/>
        </w:rPr>
        <w:footnoteRef/>
      </w:r>
      <w:r w:rsidRPr="0094193A">
        <w:rPr>
          <w:sz w:val="16"/>
          <w:szCs w:val="16"/>
        </w:rPr>
        <w:t xml:space="preserve"> The Vanuatu Education Sector Program (2013-2017) Mid Term Review, December 2016</w:t>
      </w:r>
    </w:p>
  </w:footnote>
  <w:footnote w:id="23">
    <w:p w:rsidR="00E03F5E" w:rsidRPr="0094193A" w:rsidRDefault="00E03F5E" w:rsidP="0094193A">
      <w:pPr>
        <w:pStyle w:val="FootnoteText"/>
        <w:spacing w:before="0" w:line="240" w:lineRule="auto"/>
        <w:rPr>
          <w:sz w:val="16"/>
          <w:szCs w:val="16"/>
          <w:lang w:val="en-AU"/>
        </w:rPr>
      </w:pPr>
      <w:r w:rsidRPr="0094193A">
        <w:rPr>
          <w:rStyle w:val="FootnoteReference"/>
          <w:sz w:val="16"/>
          <w:szCs w:val="16"/>
        </w:rPr>
        <w:footnoteRef/>
      </w:r>
      <w:r w:rsidRPr="0094193A">
        <w:rPr>
          <w:sz w:val="16"/>
          <w:szCs w:val="16"/>
        </w:rPr>
        <w:t xml:space="preserve"> </w:t>
      </w:r>
      <w:r w:rsidRPr="0094193A">
        <w:rPr>
          <w:sz w:val="16"/>
          <w:szCs w:val="16"/>
          <w:lang w:val="en-AU"/>
        </w:rPr>
        <w:t>Vanuatu Education Support Program, Curriculum Monitoring Study Phase 1 Report, September 2017</w:t>
      </w:r>
    </w:p>
  </w:footnote>
  <w:footnote w:id="24">
    <w:p w:rsidR="00E03F5E" w:rsidRPr="0094193A" w:rsidRDefault="00E03F5E" w:rsidP="0094193A">
      <w:pPr>
        <w:pStyle w:val="FootnoteText"/>
        <w:spacing w:before="0" w:line="240" w:lineRule="auto"/>
        <w:rPr>
          <w:lang w:val="en-AU"/>
        </w:rPr>
      </w:pPr>
      <w:r w:rsidRPr="0094193A">
        <w:rPr>
          <w:rStyle w:val="FootnoteReference"/>
          <w:sz w:val="16"/>
          <w:szCs w:val="16"/>
        </w:rPr>
        <w:footnoteRef/>
      </w:r>
      <w:r w:rsidRPr="0094193A">
        <w:rPr>
          <w:sz w:val="16"/>
          <w:szCs w:val="16"/>
        </w:rPr>
        <w:t xml:space="preserve"> The Vanuatu Education Sector Program </w:t>
      </w:r>
      <w:r w:rsidRPr="0094193A">
        <w:rPr>
          <w:rFonts w:cs="Calibri Light"/>
          <w:sz w:val="16"/>
          <w:szCs w:val="16"/>
        </w:rPr>
        <w:t>Gender, Disability and Social Inclusion Strategy Review (2017)</w:t>
      </w:r>
    </w:p>
  </w:footnote>
  <w:footnote w:id="25">
    <w:p w:rsidR="00E03F5E" w:rsidRPr="00277683" w:rsidRDefault="00E03F5E" w:rsidP="003E50D5">
      <w:pPr>
        <w:spacing w:before="0" w:after="0" w:line="240" w:lineRule="auto"/>
        <w:rPr>
          <w:rFonts w:ascii="Calibri Light" w:hAnsi="Calibri Light"/>
          <w:sz w:val="16"/>
          <w:szCs w:val="16"/>
        </w:rPr>
      </w:pPr>
      <w:r w:rsidRPr="00277683">
        <w:rPr>
          <w:rFonts w:ascii="Calibri Light" w:hAnsi="Calibri Light"/>
          <w:sz w:val="16"/>
          <w:szCs w:val="16"/>
          <w:vertAlign w:val="superscript"/>
        </w:rPr>
        <w:footnoteRef/>
      </w:r>
      <w:r w:rsidRPr="00277683">
        <w:rPr>
          <w:rFonts w:ascii="Calibri Light" w:hAnsi="Calibri Light"/>
          <w:sz w:val="16"/>
          <w:szCs w:val="16"/>
          <w:vertAlign w:val="superscript"/>
        </w:rPr>
        <w:t xml:space="preserve"> </w:t>
      </w:r>
      <w:r w:rsidRPr="00277683">
        <w:rPr>
          <w:rFonts w:ascii="Calibri Light" w:hAnsi="Calibri Light"/>
          <w:sz w:val="16"/>
          <w:szCs w:val="16"/>
        </w:rPr>
        <w:t xml:space="preserve">Vanuatu Women’s Centre. (2011). Vanuatu National Survey on Women’s Lives and Family Relationships. Port Vila: VWC. </w:t>
      </w:r>
    </w:p>
  </w:footnote>
  <w:footnote w:id="26">
    <w:p w:rsidR="00E03F5E" w:rsidRPr="00277683" w:rsidRDefault="00E03F5E">
      <w:pPr>
        <w:pStyle w:val="FootnoteText"/>
        <w:rPr>
          <w:sz w:val="16"/>
          <w:szCs w:val="16"/>
          <w:lang w:val="en-AU"/>
        </w:rPr>
      </w:pPr>
      <w:r w:rsidRPr="00277683">
        <w:rPr>
          <w:rStyle w:val="FootnoteReference"/>
          <w:sz w:val="16"/>
          <w:szCs w:val="16"/>
        </w:rPr>
        <w:footnoteRef/>
      </w:r>
      <w:r w:rsidRPr="00277683">
        <w:rPr>
          <w:sz w:val="16"/>
          <w:szCs w:val="16"/>
        </w:rPr>
        <w:t xml:space="preserve"> </w:t>
      </w:r>
      <w:r w:rsidRPr="00277683">
        <w:rPr>
          <w:rFonts w:ascii="Calibri Light" w:hAnsi="Calibri Light"/>
          <w:sz w:val="16"/>
          <w:szCs w:val="16"/>
        </w:rPr>
        <w:t xml:space="preserve">Seventy per cent of cases with the Office of the Public Prosecutor (OPP) relate to family or sexual violence.  </w:t>
      </w:r>
    </w:p>
  </w:footnote>
  <w:footnote w:id="27">
    <w:p w:rsidR="00E03F5E" w:rsidRPr="00326E19" w:rsidRDefault="00E03F5E">
      <w:pPr>
        <w:pStyle w:val="FootnoteText"/>
        <w:rPr>
          <w:sz w:val="16"/>
          <w:szCs w:val="16"/>
          <w:lang w:val="en-AU"/>
        </w:rPr>
      </w:pPr>
      <w:r w:rsidRPr="0017474D">
        <w:rPr>
          <w:rStyle w:val="FootnoteReference"/>
          <w:sz w:val="16"/>
          <w:szCs w:val="16"/>
        </w:rPr>
        <w:footnoteRef/>
      </w:r>
      <w:r w:rsidRPr="0017474D">
        <w:rPr>
          <w:sz w:val="16"/>
          <w:szCs w:val="16"/>
        </w:rPr>
        <w:t xml:space="preserve"> </w:t>
      </w:r>
      <w:r w:rsidRPr="00326E19">
        <w:rPr>
          <w:sz w:val="16"/>
          <w:szCs w:val="16"/>
          <w:lang w:val="en-AU"/>
        </w:rPr>
        <w:t>This included in-principle agreement for $1.3M, which was confirmed in July 2018. The benchmark target for 2017-18 was 100 per cent.</w:t>
      </w:r>
    </w:p>
  </w:footnote>
  <w:footnote w:id="28">
    <w:p w:rsidR="00E03F5E" w:rsidRPr="00326E19" w:rsidRDefault="00E03F5E" w:rsidP="00994DE4">
      <w:pPr>
        <w:pStyle w:val="FootnoteText"/>
        <w:spacing w:before="0" w:line="240" w:lineRule="auto"/>
        <w:rPr>
          <w:rFonts w:ascii="Calibri Light" w:hAnsi="Calibri Light"/>
          <w:sz w:val="16"/>
          <w:szCs w:val="16"/>
        </w:rPr>
      </w:pPr>
      <w:r w:rsidRPr="00326E19">
        <w:rPr>
          <w:rStyle w:val="FootnoteReference"/>
          <w:rFonts w:ascii="Calibri Light" w:hAnsi="Calibri Light"/>
          <w:sz w:val="16"/>
          <w:szCs w:val="16"/>
        </w:rPr>
        <w:footnoteRef/>
      </w:r>
      <w:r w:rsidRPr="00326E19">
        <w:rPr>
          <w:rFonts w:ascii="Calibri Light" w:hAnsi="Calibri Light"/>
          <w:sz w:val="16"/>
          <w:szCs w:val="16"/>
        </w:rPr>
        <w:t xml:space="preserve"> Australia provided $35m: $34.7M directly to GoV and</w:t>
      </w:r>
      <w:r w:rsidRPr="00326E19">
        <w:rPr>
          <w:rFonts w:ascii="Calibri Light" w:hAnsi="Calibri Light" w:cs="Arial"/>
          <w:sz w:val="16"/>
          <w:szCs w:val="16"/>
        </w:rPr>
        <w:t xml:space="preserve"> $300,000 to support DFAT's internal staffing, monitoring and evaluation costs. </w:t>
      </w:r>
      <w:r w:rsidRPr="00326E19">
        <w:rPr>
          <w:rFonts w:ascii="Calibri Light" w:hAnsi="Calibri Light" w:cs="Calibri"/>
          <w:sz w:val="16"/>
          <w:szCs w:val="16"/>
        </w:rPr>
        <w:t xml:space="preserve"> </w:t>
      </w:r>
    </w:p>
  </w:footnote>
  <w:footnote w:id="29">
    <w:p w:rsidR="00E03F5E" w:rsidRPr="00326E19" w:rsidRDefault="00E03F5E" w:rsidP="00994DE4">
      <w:pPr>
        <w:pStyle w:val="FootnoteText"/>
        <w:spacing w:before="0" w:line="240" w:lineRule="auto"/>
        <w:rPr>
          <w:rFonts w:ascii="Calibri Light" w:hAnsi="Calibri Light"/>
          <w:sz w:val="16"/>
          <w:szCs w:val="16"/>
        </w:rPr>
      </w:pPr>
      <w:r w:rsidRPr="00326E19">
        <w:rPr>
          <w:rStyle w:val="FootnoteReference"/>
          <w:rFonts w:ascii="Calibri Light" w:hAnsi="Calibri Light"/>
          <w:sz w:val="16"/>
          <w:szCs w:val="16"/>
        </w:rPr>
        <w:footnoteRef/>
      </w:r>
      <w:r w:rsidRPr="00326E19">
        <w:rPr>
          <w:rFonts w:ascii="Calibri Light" w:hAnsi="Calibri Light"/>
          <w:sz w:val="16"/>
          <w:szCs w:val="16"/>
        </w:rPr>
        <w:t xml:space="preserve"> TC Pam Long Term Recovery Program: M&amp;E Progress Report Mid-Year Snapshot June 2018</w:t>
      </w:r>
    </w:p>
  </w:footnote>
  <w:footnote w:id="30">
    <w:p w:rsidR="00E03F5E" w:rsidRPr="00A5708E" w:rsidRDefault="00E03F5E" w:rsidP="000D7E91">
      <w:pPr>
        <w:pStyle w:val="FootnoteText"/>
        <w:spacing w:before="0" w:line="240" w:lineRule="auto"/>
        <w:rPr>
          <w:rFonts w:ascii="Calibri Light" w:hAnsi="Calibri Light"/>
          <w:sz w:val="16"/>
          <w:szCs w:val="16"/>
        </w:rPr>
      </w:pPr>
      <w:r w:rsidRPr="00A5708E">
        <w:rPr>
          <w:rStyle w:val="FootnoteReference"/>
          <w:sz w:val="16"/>
          <w:szCs w:val="16"/>
        </w:rPr>
        <w:footnoteRef/>
      </w:r>
      <w:r w:rsidRPr="00A5708E">
        <w:rPr>
          <w:sz w:val="16"/>
          <w:szCs w:val="16"/>
        </w:rPr>
        <w:t xml:space="preserve"> </w:t>
      </w:r>
      <w:r w:rsidRPr="00A5708E">
        <w:rPr>
          <w:rFonts w:ascii="Calibri Light" w:hAnsi="Calibri Light"/>
          <w:sz w:val="16"/>
          <w:szCs w:val="16"/>
        </w:rPr>
        <w:t xml:space="preserve">Through existing partnerships, DFAT support VWC and WSB to provide services such as counselling in evacuation centres, </w:t>
      </w:r>
      <w:r w:rsidRPr="00A5708E">
        <w:rPr>
          <w:rFonts w:ascii="Calibri Light" w:hAnsi="Calibri Light" w:cs="Calibri"/>
          <w:sz w:val="16"/>
          <w:szCs w:val="16"/>
        </w:rPr>
        <w:t>disaster risk resilience awareness and preparedness training and shelter support.</w:t>
      </w:r>
    </w:p>
  </w:footnote>
  <w:footnote w:id="31">
    <w:p w:rsidR="00E03F5E" w:rsidRPr="00301DCF" w:rsidRDefault="00E03F5E">
      <w:pPr>
        <w:spacing w:before="0" w:after="0" w:line="240" w:lineRule="auto"/>
        <w:rPr>
          <w:rFonts w:ascii="Calibri Light" w:hAnsi="Calibri Light"/>
          <w:sz w:val="16"/>
          <w:szCs w:val="16"/>
          <w:lang w:val="en-AU"/>
        </w:rPr>
      </w:pPr>
      <w:r w:rsidRPr="004F12CB">
        <w:rPr>
          <w:rStyle w:val="FootnoteReference"/>
          <w:rFonts w:ascii="Calibri Light" w:hAnsi="Calibri Light"/>
          <w:sz w:val="16"/>
          <w:szCs w:val="16"/>
        </w:rPr>
        <w:footnoteRef/>
      </w:r>
      <w:r w:rsidRPr="004F12CB">
        <w:rPr>
          <w:rFonts w:ascii="Calibri Light" w:hAnsi="Calibri Light"/>
          <w:sz w:val="16"/>
          <w:szCs w:val="16"/>
        </w:rPr>
        <w:t xml:space="preserve"> </w:t>
      </w:r>
      <w:r w:rsidRPr="0017474D">
        <w:rPr>
          <w:rFonts w:ascii="Calibri Light" w:hAnsi="Calibri Light"/>
          <w:sz w:val="16"/>
          <w:szCs w:val="16"/>
        </w:rPr>
        <w:t>Evaluative studies planned include: organisational sustainability in rural roads maintenance; justice system performance; impacts (inc. unintended) on the Tanna local economy of TC Pam R</w:t>
      </w:r>
      <w:r>
        <w:rPr>
          <w:rFonts w:ascii="Calibri Light" w:hAnsi="Calibri Light"/>
          <w:sz w:val="16"/>
          <w:szCs w:val="16"/>
        </w:rPr>
        <w:t xml:space="preserve">ecovery program, effectiveness </w:t>
      </w:r>
      <w:r w:rsidRPr="0017474D">
        <w:rPr>
          <w:rFonts w:ascii="Calibri Light" w:hAnsi="Calibri Light"/>
          <w:sz w:val="16"/>
          <w:szCs w:val="16"/>
        </w:rPr>
        <w:t>of</w:t>
      </w:r>
      <w:r>
        <w:rPr>
          <w:rFonts w:ascii="Calibri Light" w:hAnsi="Calibri Light"/>
          <w:sz w:val="16"/>
          <w:szCs w:val="16"/>
        </w:rPr>
        <w:t xml:space="preserve"> using</w:t>
      </w:r>
      <w:r w:rsidRPr="0017474D">
        <w:rPr>
          <w:rFonts w:ascii="Calibri Light" w:hAnsi="Calibri Light"/>
          <w:sz w:val="16"/>
          <w:szCs w:val="16"/>
        </w:rPr>
        <w:t xml:space="preserve"> project management units within GoV and VSP client tracer studies</w:t>
      </w:r>
      <w:r w:rsidRPr="00301DCF">
        <w:rPr>
          <w:rFonts w:ascii="Calibri Light" w:hAnsi="Calibri Light"/>
          <w:sz w:val="16"/>
          <w:szCs w:val="16"/>
        </w:rPr>
        <w:t>.</w:t>
      </w:r>
    </w:p>
  </w:footnote>
  <w:footnote w:id="32">
    <w:p w:rsidR="00E03F5E" w:rsidRPr="0017474D" w:rsidRDefault="00E03F5E" w:rsidP="0017474D">
      <w:pPr>
        <w:pStyle w:val="FootnoteText"/>
        <w:spacing w:before="0" w:line="240" w:lineRule="auto"/>
        <w:rPr>
          <w:sz w:val="16"/>
          <w:szCs w:val="16"/>
          <w:lang w:val="en-AU"/>
        </w:rPr>
      </w:pPr>
      <w:r w:rsidRPr="0017474D">
        <w:rPr>
          <w:rStyle w:val="FootnoteReference"/>
          <w:sz w:val="16"/>
          <w:szCs w:val="16"/>
        </w:rPr>
        <w:footnoteRef/>
      </w:r>
      <w:r w:rsidRPr="0017474D">
        <w:rPr>
          <w:sz w:val="16"/>
          <w:szCs w:val="16"/>
        </w:rPr>
        <w:t xml:space="preserve"> This excludes </w:t>
      </w:r>
      <w:r w:rsidRPr="0017474D">
        <w:rPr>
          <w:rFonts w:ascii="Calibri Light" w:hAnsi="Calibri Light"/>
          <w:sz w:val="16"/>
          <w:szCs w:val="16"/>
        </w:rPr>
        <w:t xml:space="preserve">Australia’s contribution for TC Pam Recovery efforts ($34.7 million) which was delivered entirely through government systems.  </w:t>
      </w:r>
    </w:p>
  </w:footnote>
  <w:footnote w:id="33">
    <w:p w:rsidR="00E03F5E" w:rsidRPr="00610F71" w:rsidRDefault="00E03F5E">
      <w:pPr>
        <w:pStyle w:val="FootnoteText"/>
        <w:rPr>
          <w:lang w:val="en-AU"/>
        </w:rPr>
      </w:pPr>
      <w:r>
        <w:rPr>
          <w:rStyle w:val="FootnoteReference"/>
        </w:rPr>
        <w:footnoteRef/>
      </w:r>
      <w:r>
        <w:t xml:space="preserve"> Linked to NSDP Indicator ECO1.2.1 [</w:t>
      </w:r>
      <w:r w:rsidRPr="00F024EC">
        <w:t>Change in government revenue</w:t>
      </w:r>
      <w:r>
        <w:t>]</w:t>
      </w:r>
    </w:p>
  </w:footnote>
  <w:footnote w:id="34">
    <w:p w:rsidR="00E03F5E" w:rsidRPr="00610F71" w:rsidRDefault="00E03F5E" w:rsidP="00C3488C">
      <w:pPr>
        <w:pStyle w:val="FootnoteText"/>
        <w:rPr>
          <w:lang w:val="en-AU"/>
        </w:rPr>
      </w:pPr>
      <w:r>
        <w:rPr>
          <w:rStyle w:val="FootnoteReference"/>
        </w:rPr>
        <w:footnoteRef/>
      </w:r>
      <w:r>
        <w:t xml:space="preserve"> RAI measured every 5 years (2012, 2017, 2020 (74% target), 2025(78% target) &amp; 2030 (82% target)), with the exception being 2020.</w:t>
      </w:r>
    </w:p>
  </w:footnote>
  <w:footnote w:id="35">
    <w:p w:rsidR="00E03F5E" w:rsidRPr="00610F71" w:rsidRDefault="00E03F5E">
      <w:pPr>
        <w:pStyle w:val="FootnoteText"/>
        <w:rPr>
          <w:lang w:val="en-AU"/>
        </w:rPr>
      </w:pPr>
      <w:r>
        <w:rPr>
          <w:rStyle w:val="FootnoteReference"/>
        </w:rPr>
        <w:footnoteRef/>
      </w:r>
      <w:r>
        <w:t xml:space="preserve"> NSDP Indicator ECO 2.3.1 and linked to SDG indicators 4.2 and 4.3</w:t>
      </w:r>
    </w:p>
  </w:footnote>
  <w:footnote w:id="36">
    <w:p w:rsidR="00E03F5E" w:rsidRPr="007E5684" w:rsidRDefault="00E03F5E" w:rsidP="00610F71">
      <w:pPr>
        <w:pStyle w:val="FootnoteText"/>
        <w:spacing w:line="240" w:lineRule="auto"/>
        <w:rPr>
          <w:lang w:val="en-US"/>
        </w:rPr>
      </w:pPr>
      <w:r>
        <w:rPr>
          <w:rStyle w:val="FootnoteReference"/>
        </w:rPr>
        <w:footnoteRef/>
      </w:r>
      <w:r>
        <w:t xml:space="preserve"> DFAT Aggregated Development Results (ADR) indicator</w:t>
      </w:r>
    </w:p>
    <w:p w:rsidR="00E03F5E" w:rsidRPr="00610F71" w:rsidRDefault="00E03F5E">
      <w:pPr>
        <w:pStyle w:val="FootnoteText"/>
        <w:rPr>
          <w:lang w:val="en-AU"/>
        </w:rPr>
      </w:pPr>
    </w:p>
  </w:footnote>
  <w:footnote w:id="37">
    <w:p w:rsidR="00E03F5E" w:rsidRDefault="00E03F5E" w:rsidP="004435EC">
      <w:pPr>
        <w:pStyle w:val="FootnoteText"/>
        <w:spacing w:line="240" w:lineRule="auto"/>
      </w:pPr>
      <w:r>
        <w:rPr>
          <w:rStyle w:val="FootnoteReference"/>
        </w:rPr>
        <w:footnoteRef/>
      </w:r>
      <w:r>
        <w:t xml:space="preserve"> Linked to NSDP Indicator ECO1.2.1 [</w:t>
      </w:r>
      <w:r w:rsidRPr="00F024EC">
        <w:t>Change in government revenue</w:t>
      </w:r>
      <w:r>
        <w:t>]</w:t>
      </w:r>
    </w:p>
  </w:footnote>
  <w:footnote w:id="38">
    <w:p w:rsidR="00E03F5E" w:rsidRDefault="00E03F5E" w:rsidP="004435EC">
      <w:pPr>
        <w:pStyle w:val="FootnoteText"/>
      </w:pPr>
      <w:r>
        <w:rPr>
          <w:rStyle w:val="FootnoteReference"/>
        </w:rPr>
        <w:footnoteRef/>
      </w:r>
      <w:r>
        <w:t xml:space="preserve"> RAI measured every 5 years (2012, 2017, 2020 (74% target), 2025(78% target) &amp; 2030 (82% target)), with the exception being 2020. </w:t>
      </w:r>
      <w:r w:rsidRPr="00994DE4">
        <w:rPr>
          <w:szCs w:val="16"/>
        </w:rPr>
        <w:t xml:space="preserve">RAI is percentage of population </w:t>
      </w:r>
      <w:r>
        <w:rPr>
          <w:szCs w:val="16"/>
        </w:rPr>
        <w:t>living</w:t>
      </w:r>
      <w:r w:rsidRPr="00994DE4">
        <w:rPr>
          <w:szCs w:val="16"/>
        </w:rPr>
        <w:t xml:space="preserve"> within 2 k</w:t>
      </w:r>
      <w:r>
        <w:rPr>
          <w:szCs w:val="16"/>
        </w:rPr>
        <w:t>m</w:t>
      </w:r>
      <w:r w:rsidRPr="00994DE4">
        <w:rPr>
          <w:szCs w:val="16"/>
        </w:rPr>
        <w:t xml:space="preserve"> (20min walk) of an all</w:t>
      </w:r>
      <w:r>
        <w:rPr>
          <w:szCs w:val="16"/>
        </w:rPr>
        <w:t>-year-round</w:t>
      </w:r>
      <w:r w:rsidRPr="00994DE4">
        <w:rPr>
          <w:szCs w:val="16"/>
        </w:rPr>
        <w:t xml:space="preserve"> road</w:t>
      </w:r>
      <w:r>
        <w:rPr>
          <w:szCs w:val="16"/>
        </w:rPr>
        <w:t xml:space="preserve"> </w:t>
      </w:r>
      <w:r w:rsidRPr="00994DE4">
        <w:rPr>
          <w:szCs w:val="16"/>
        </w:rPr>
        <w:t>connecting with that areas’ economic and services hub.</w:t>
      </w:r>
    </w:p>
  </w:footnote>
  <w:footnote w:id="39">
    <w:p w:rsidR="00E03F5E" w:rsidRDefault="00E03F5E" w:rsidP="004435EC">
      <w:pPr>
        <w:pStyle w:val="FootnoteText"/>
      </w:pPr>
      <w:r>
        <w:rPr>
          <w:rStyle w:val="FootnoteReference"/>
        </w:rPr>
        <w:footnoteRef/>
      </w:r>
      <w:r>
        <w:t xml:space="preserve"> RAI measured in 2012</w:t>
      </w:r>
    </w:p>
  </w:footnote>
  <w:footnote w:id="40">
    <w:p w:rsidR="00E03F5E" w:rsidRDefault="00E03F5E" w:rsidP="004435EC">
      <w:pPr>
        <w:pStyle w:val="FootnoteText"/>
      </w:pPr>
      <w:r>
        <w:rPr>
          <w:rStyle w:val="FootnoteReference"/>
        </w:rPr>
        <w:footnoteRef/>
      </w:r>
      <w:r>
        <w:t xml:space="preserve"> RAI measured in 2017</w:t>
      </w:r>
    </w:p>
  </w:footnote>
  <w:footnote w:id="41">
    <w:p w:rsidR="00E03F5E" w:rsidRDefault="00E03F5E" w:rsidP="004435EC">
      <w:pPr>
        <w:pStyle w:val="FootnoteText"/>
        <w:spacing w:line="240" w:lineRule="auto"/>
      </w:pPr>
      <w:r>
        <w:rPr>
          <w:rStyle w:val="FootnoteReference"/>
        </w:rPr>
        <w:footnoteRef/>
      </w:r>
      <w:r>
        <w:t xml:space="preserve"> NSDP Indicator ECO 2.8. Data provided from R4D program.</w:t>
      </w:r>
    </w:p>
  </w:footnote>
  <w:footnote w:id="42">
    <w:p w:rsidR="00E03F5E" w:rsidRDefault="00E03F5E" w:rsidP="004435EC">
      <w:pPr>
        <w:pStyle w:val="FootnoteText"/>
      </w:pPr>
      <w:r>
        <w:rPr>
          <w:rStyle w:val="FootnoteReference"/>
        </w:rPr>
        <w:footnoteRef/>
      </w:r>
      <w:r>
        <w:t xml:space="preserve"> Volume measured in February 2018</w:t>
      </w:r>
    </w:p>
  </w:footnote>
  <w:footnote w:id="43">
    <w:p w:rsidR="00E03F5E" w:rsidRPr="0017474D" w:rsidRDefault="00E03F5E">
      <w:pPr>
        <w:pStyle w:val="FootnoteText"/>
        <w:rPr>
          <w:lang w:val="en-AU"/>
        </w:rPr>
      </w:pPr>
      <w:r>
        <w:rPr>
          <w:rStyle w:val="FootnoteReference"/>
        </w:rPr>
        <w:footnoteRef/>
      </w:r>
      <w:r>
        <w:t xml:space="preserve"> </w:t>
      </w:r>
      <w:r>
        <w:rPr>
          <w:lang w:val="en-AU"/>
        </w:rPr>
        <w:t>Target of 30 per cent women</w:t>
      </w:r>
    </w:p>
  </w:footnote>
  <w:footnote w:id="44">
    <w:p w:rsidR="00E03F5E" w:rsidRPr="002D3094" w:rsidRDefault="00E03F5E" w:rsidP="004435EC">
      <w:pPr>
        <w:pStyle w:val="FootnoteText"/>
        <w:spacing w:line="240" w:lineRule="auto"/>
        <w:rPr>
          <w:lang w:val="en-US"/>
        </w:rPr>
      </w:pPr>
      <w:r>
        <w:rPr>
          <w:rStyle w:val="FootnoteReference"/>
        </w:rPr>
        <w:footnoteRef/>
      </w:r>
      <w:r>
        <w:t xml:space="preserve"> NSDP Indicator ECO 2.3.1 and linked to SDG indicators 4.2 and 4.3</w:t>
      </w:r>
    </w:p>
  </w:footnote>
  <w:footnote w:id="45">
    <w:p w:rsidR="00E03F5E" w:rsidRPr="00671219" w:rsidRDefault="00E03F5E" w:rsidP="004435EC">
      <w:pPr>
        <w:pStyle w:val="FootnoteText"/>
        <w:spacing w:line="240" w:lineRule="auto"/>
        <w:rPr>
          <w:lang w:val="en-US"/>
        </w:rPr>
      </w:pPr>
      <w:r>
        <w:rPr>
          <w:rStyle w:val="FootnoteReference"/>
        </w:rPr>
        <w:footnoteRef/>
      </w:r>
      <w:r>
        <w:t xml:space="preserve"> </w:t>
      </w:r>
      <w:r>
        <w:rPr>
          <w:lang w:val="en-US"/>
        </w:rPr>
        <w:t>Linked to NSDP Indicator SOC3.3.1 [</w:t>
      </w:r>
      <w:r w:rsidRPr="00671219">
        <w:rPr>
          <w:lang w:val="en-US"/>
        </w:rPr>
        <w:t>Diphtheria tetanus toxoid and pertussis (DTP3) immunisation coverage among 1 year olds</w:t>
      </w:r>
      <w:r>
        <w:rPr>
          <w:lang w:val="en-US"/>
        </w:rPr>
        <w:t>]</w:t>
      </w:r>
    </w:p>
  </w:footnote>
  <w:footnote w:id="46">
    <w:p w:rsidR="00E03F5E" w:rsidRDefault="00E03F5E" w:rsidP="004435EC">
      <w:pPr>
        <w:pStyle w:val="FootnoteText"/>
      </w:pPr>
      <w:r>
        <w:rPr>
          <w:rStyle w:val="FootnoteReference"/>
        </w:rPr>
        <w:footnoteRef/>
      </w:r>
      <w:r>
        <w:t xml:space="preserve"> 2020 target of 95% of children aged between 12-23 months receiving three doses of combined DTP3 vaccine in a year, administered by a trained health professional.  Measles containing vaccine first-dose (MCV1) part of routine immunisation.</w:t>
      </w:r>
    </w:p>
  </w:footnote>
  <w:footnote w:id="47">
    <w:p w:rsidR="00E03F5E" w:rsidRDefault="00E03F5E" w:rsidP="004435EC">
      <w:pPr>
        <w:pStyle w:val="FootnoteText"/>
      </w:pPr>
      <w:r>
        <w:rPr>
          <w:rStyle w:val="FootnoteReference"/>
        </w:rPr>
        <w:footnoteRef/>
      </w:r>
      <w:r>
        <w:t xml:space="preserve"> Measles and Rubella (MR1)</w:t>
      </w:r>
    </w:p>
  </w:footnote>
  <w:footnote w:id="48">
    <w:p w:rsidR="00E03F5E" w:rsidRPr="00671219" w:rsidRDefault="00E03F5E" w:rsidP="004435EC">
      <w:pPr>
        <w:pStyle w:val="FootnoteText"/>
        <w:spacing w:line="240" w:lineRule="auto"/>
        <w:rPr>
          <w:lang w:val="en-US"/>
        </w:rPr>
      </w:pPr>
      <w:r>
        <w:rPr>
          <w:rStyle w:val="FootnoteReference"/>
        </w:rPr>
        <w:footnoteRef/>
      </w:r>
      <w:r>
        <w:t xml:space="preserve"> NSDP Indicator ECO 3.1.2 and linked to SDG indicator 3.c.  There appears to be an increasing trend.  The 2017 MoH Annual report states that in reality, there were only three additional deaths in 2017 compared to nine in 2016.  In countries with small populations like Vanuatu, it is preferable to refer to the actual number of deaths and/or use moving averages rather than a stand along MMR due to the large fluctuations in the ratio that can occur due to only a few deaths.  </w:t>
      </w:r>
    </w:p>
  </w:footnote>
  <w:footnote w:id="49">
    <w:p w:rsidR="00E03F5E" w:rsidRDefault="00E03F5E" w:rsidP="004435EC">
      <w:pPr>
        <w:pStyle w:val="FootnoteText"/>
      </w:pPr>
      <w:r>
        <w:rPr>
          <w:rStyle w:val="FootnoteReference"/>
        </w:rPr>
        <w:footnoteRef/>
      </w:r>
      <w:r>
        <w:t xml:space="preserve"> Education training for teachers, principals and provincial officers eg new curriculum and support materials, language transition, school improvement planning, financial management.</w:t>
      </w:r>
    </w:p>
  </w:footnote>
  <w:footnote w:id="50">
    <w:p w:rsidR="00E03F5E" w:rsidRDefault="00E03F5E" w:rsidP="004435EC">
      <w:pPr>
        <w:pStyle w:val="FootnoteText"/>
      </w:pPr>
      <w:r>
        <w:rPr>
          <w:rStyle w:val="FootnoteReference"/>
        </w:rPr>
        <w:footnoteRef/>
      </w:r>
      <w:r>
        <w:t xml:space="preserve"> Health and Education (Malaria Case Management, Dip of Nursing, Grad Dip of Midwifery, VHW Annual planning training, VHW HIS refresher training.</w:t>
      </w:r>
    </w:p>
  </w:footnote>
  <w:footnote w:id="51">
    <w:p w:rsidR="00E03F5E" w:rsidRPr="007E5684" w:rsidRDefault="00E03F5E" w:rsidP="004435EC">
      <w:pPr>
        <w:pStyle w:val="FootnoteText"/>
        <w:spacing w:line="240" w:lineRule="auto"/>
        <w:rPr>
          <w:lang w:val="en-US"/>
        </w:rPr>
      </w:pPr>
      <w:r>
        <w:rPr>
          <w:rStyle w:val="FootnoteReference"/>
        </w:rPr>
        <w:footnoteRef/>
      </w:r>
      <w:r>
        <w:t xml:space="preserve"> DFAT Aggregated Development Results (ADR) indicator</w:t>
      </w:r>
    </w:p>
  </w:footnote>
  <w:footnote w:id="52">
    <w:p w:rsidR="00E03F5E" w:rsidRDefault="00E03F5E" w:rsidP="004435EC">
      <w:pPr>
        <w:pStyle w:val="FootnoteText"/>
      </w:pPr>
      <w:r>
        <w:rPr>
          <w:rStyle w:val="FootnoteReference"/>
        </w:rPr>
        <w:footnoteRef/>
      </w:r>
      <w:r>
        <w:t xml:space="preserve"> Vanuatu Women’s Centre and statistics from Police Information Management System. Please note that there is likely to be a small amount of overlap in data. This percentage overlap is difficult to quantify.</w:t>
      </w:r>
    </w:p>
  </w:footnote>
  <w:footnote w:id="53">
    <w:p w:rsidR="00E03F5E" w:rsidRPr="005E26AB" w:rsidRDefault="00E03F5E" w:rsidP="004435EC">
      <w:pPr>
        <w:pStyle w:val="FootnoteText"/>
        <w:spacing w:line="240" w:lineRule="auto"/>
        <w:rPr>
          <w:lang w:val="en-US"/>
        </w:rPr>
      </w:pPr>
      <w:r>
        <w:rPr>
          <w:rStyle w:val="FootnoteReference"/>
        </w:rPr>
        <w:footnoteRef/>
      </w:r>
      <w:r>
        <w:t xml:space="preserve"> NSDP Indicator ENV 3.2.2 and linked to SDG indicator 13.1</w:t>
      </w:r>
    </w:p>
  </w:footnote>
  <w:footnote w:id="54">
    <w:p w:rsidR="00E03F5E" w:rsidRPr="005E26AB" w:rsidRDefault="00E03F5E" w:rsidP="009F3A66">
      <w:pPr>
        <w:pStyle w:val="FootnoteText"/>
        <w:spacing w:line="240" w:lineRule="auto"/>
        <w:rPr>
          <w:lang w:val="en-US"/>
        </w:rPr>
      </w:pPr>
      <w:r>
        <w:rPr>
          <w:rStyle w:val="FootnoteReference"/>
        </w:rPr>
        <w:footnoteRef/>
      </w:r>
      <w:r>
        <w:t xml:space="preserve"> </w:t>
      </w:r>
      <w:r>
        <w:rPr>
          <w:lang w:val="en-US"/>
        </w:rPr>
        <w:t>NSDP Indicator ENV 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FE" w:rsidRDefault="00E84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Pr="00333501" w:rsidRDefault="00E03F5E" w:rsidP="008F56A8">
    <w:pPr>
      <w:pStyle w:val="Header"/>
      <w:jc w:val="left"/>
    </w:pPr>
    <w:r>
      <w:rPr>
        <w:noProof/>
        <w:lang w:val="en-AU" w:eastAsia="en-AU"/>
      </w:rPr>
      <w:drawing>
        <wp:anchor distT="0" distB="0" distL="114300" distR="114300" simplePos="0" relativeHeight="251681792" behindDoc="1" locked="1" layoutInCell="1" allowOverlap="1" wp14:anchorId="3B306B44" wp14:editId="4B8FD3D0">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FE" w:rsidRDefault="00E844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Default="00E03F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Pr="00333501" w:rsidRDefault="00E03F5E" w:rsidP="008F56A8">
    <w:pPr>
      <w:pStyle w:val="Header"/>
      <w:jc w:val="left"/>
    </w:pPr>
    <w:r>
      <w:rPr>
        <w:noProof/>
        <w:lang w:val="en-AU" w:eastAsia="en-AU"/>
      </w:rPr>
      <w:drawing>
        <wp:anchor distT="0" distB="0" distL="114300" distR="114300" simplePos="0" relativeHeight="251697152" behindDoc="1" locked="1" layoutInCell="1" allowOverlap="1" wp14:anchorId="6AE461CA" wp14:editId="568874CC">
          <wp:simplePos x="0" y="0"/>
          <wp:positionH relativeFrom="page">
            <wp:posOffset>160020</wp:posOffset>
          </wp:positionH>
          <wp:positionV relativeFrom="page">
            <wp:posOffset>160020</wp:posOffset>
          </wp:positionV>
          <wp:extent cx="10662285" cy="7545705"/>
          <wp:effectExtent l="0" t="0" r="571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Pr="003D352D" w:rsidRDefault="00E03F5E" w:rsidP="003D352D">
    <w:pPr>
      <w:pStyle w:val="Header"/>
      <w:jc w:val="left"/>
    </w:pPr>
    <w:r>
      <w:rPr>
        <w:noProof/>
        <w:lang w:val="en-AU" w:eastAsia="en-AU"/>
      </w:rPr>
      <w:drawing>
        <wp:anchor distT="0" distB="0" distL="114300" distR="114300" simplePos="0" relativeHeight="251695104" behindDoc="1" locked="1" layoutInCell="1" allowOverlap="1" wp14:anchorId="4BF59E09" wp14:editId="28BC96A3">
          <wp:simplePos x="0" y="0"/>
          <wp:positionH relativeFrom="page">
            <wp:posOffset>7620</wp:posOffset>
          </wp:positionH>
          <wp:positionV relativeFrom="page">
            <wp:posOffset>7620</wp:posOffset>
          </wp:positionV>
          <wp:extent cx="10662285" cy="7545705"/>
          <wp:effectExtent l="0" t="0" r="571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5E" w:rsidRPr="00333501" w:rsidRDefault="00E03F5E" w:rsidP="008F56A8">
    <w:pPr>
      <w:pStyle w:val="Header"/>
      <w:jc w:val="left"/>
    </w:pPr>
    <w:r>
      <w:rPr>
        <w:noProof/>
        <w:lang w:val="en-AU" w:eastAsia="en-AU"/>
      </w:rPr>
      <w:drawing>
        <wp:anchor distT="0" distB="0" distL="114300" distR="114300" simplePos="0" relativeHeight="251699200" behindDoc="1" locked="1" layoutInCell="1" allowOverlap="1" wp14:anchorId="0EB7C276" wp14:editId="3AABCF62">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6A8369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720"/>
      <w:lvlJc w:val="left"/>
      <w:pPr>
        <w:ind w:left="720" w:hanging="720"/>
      </w:pPr>
    </w:lvl>
    <w:lvl w:ilvl="3">
      <w:start w:val="1"/>
      <w:numFmt w:val="decimal"/>
      <w:lvlText w:val="%1.%2.%3.%4"/>
      <w:legacy w:legacy="1" w:legacySpace="0" w:legacyIndent="720"/>
      <w:lvlJc w:val="left"/>
      <w:pPr>
        <w:ind w:left="720" w:hanging="720"/>
      </w:p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01246017"/>
    <w:multiLevelType w:val="hybridMultilevel"/>
    <w:tmpl w:val="D0D86BDE"/>
    <w:lvl w:ilvl="0" w:tplc="3D1CAF48">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DD5F6C"/>
    <w:multiLevelType w:val="hybridMultilevel"/>
    <w:tmpl w:val="1474E498"/>
    <w:lvl w:ilvl="0" w:tplc="A64E8ED2">
      <w:start w:val="1"/>
      <w:numFmt w:val="bullet"/>
      <w:pStyle w:val="Talkingpoint"/>
      <w:lvlText w:val="•"/>
      <w:lvlJc w:val="left"/>
      <w:pPr>
        <w:ind w:left="360" w:hanging="360"/>
      </w:pPr>
      <w:rPr>
        <w:rFonts w:hint="default"/>
        <w:b w:val="0"/>
        <w:bCs w:val="0"/>
        <w:i w:val="0"/>
        <w:iCs w:val="0"/>
        <w:caps w:val="0"/>
        <w:strike w:val="0"/>
        <w:dstrike w:val="0"/>
        <w:vanish w:val="0"/>
        <w:color w:val="595959" w:themeColor="text1" w:themeTint="A6"/>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8A708E1A">
      <w:numFmt w:val="bullet"/>
      <w:lvlText w:val="-"/>
      <w:lvlJc w:val="left"/>
      <w:pPr>
        <w:ind w:left="1440" w:hanging="360"/>
      </w:pPr>
      <w:rPr>
        <w:rFonts w:ascii="Calibri" w:eastAsiaTheme="minorHAnsi" w:hAnsi="Calibri" w:cs="Calibri"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247FCE"/>
    <w:multiLevelType w:val="hybridMultilevel"/>
    <w:tmpl w:val="B1826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A91ED6"/>
    <w:multiLevelType w:val="hybridMultilevel"/>
    <w:tmpl w:val="4C2A6E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DC1B1F"/>
    <w:multiLevelType w:val="hybridMultilevel"/>
    <w:tmpl w:val="3F367A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0742A4"/>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0C052D"/>
    <w:multiLevelType w:val="hybridMultilevel"/>
    <w:tmpl w:val="8870B68E"/>
    <w:lvl w:ilvl="0" w:tplc="0C090005">
      <w:start w:val="1"/>
      <w:numFmt w:val="bullet"/>
      <w:lvlText w:val=""/>
      <w:lvlJc w:val="left"/>
      <w:pPr>
        <w:ind w:left="720" w:hanging="360"/>
      </w:pPr>
      <w:rPr>
        <w:rFonts w:ascii="Wingdings" w:hAnsi="Wingding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595570"/>
    <w:multiLevelType w:val="hybridMultilevel"/>
    <w:tmpl w:val="D042F704"/>
    <w:lvl w:ilvl="0" w:tplc="0C090005">
      <w:start w:val="1"/>
      <w:numFmt w:val="bullet"/>
      <w:lvlText w:val=""/>
      <w:lvlJc w:val="left"/>
      <w:pPr>
        <w:ind w:left="720" w:hanging="360"/>
      </w:pPr>
      <w:rPr>
        <w:rFonts w:ascii="Wingdings" w:hAnsi="Wingding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45318F"/>
    <w:multiLevelType w:val="hybridMultilevel"/>
    <w:tmpl w:val="0C7AEE72"/>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164B6AF6"/>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DF05D3"/>
    <w:multiLevelType w:val="hybridMultilevel"/>
    <w:tmpl w:val="6E205930"/>
    <w:lvl w:ilvl="0" w:tplc="DEBA3C4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8936DA"/>
    <w:multiLevelType w:val="hybridMultilevel"/>
    <w:tmpl w:val="0DD2B278"/>
    <w:lvl w:ilvl="0" w:tplc="3B5A37F4">
      <w:start w:val="62"/>
      <w:numFmt w:val="bullet"/>
      <w:lvlText w:val="-"/>
      <w:lvlJc w:val="left"/>
      <w:pPr>
        <w:ind w:left="720" w:hanging="360"/>
      </w:pPr>
      <w:rPr>
        <w:rFonts w:ascii="Calibri" w:eastAsiaTheme="majorEastAsia" w:hAnsi="Calibri" w:cstheme="maj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2B296C76"/>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F37B04"/>
    <w:multiLevelType w:val="hybridMultilevel"/>
    <w:tmpl w:val="375AD2DA"/>
    <w:lvl w:ilvl="0" w:tplc="11CAE6E4">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5D5FE5"/>
    <w:multiLevelType w:val="hybridMultilevel"/>
    <w:tmpl w:val="30CC73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826F5D"/>
    <w:multiLevelType w:val="hybridMultilevel"/>
    <w:tmpl w:val="7DC425CC"/>
    <w:lvl w:ilvl="0" w:tplc="034E3DFC">
      <w:start w:val="1"/>
      <w:numFmt w:val="decimal"/>
      <w:pStyle w:val="Background"/>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B573492"/>
    <w:multiLevelType w:val="hybridMultilevel"/>
    <w:tmpl w:val="EDE02B26"/>
    <w:lvl w:ilvl="0" w:tplc="C87AAEDE">
      <w:start w:val="700"/>
      <w:numFmt w:val="bullet"/>
      <w:lvlText w:val="-"/>
      <w:lvlJc w:val="left"/>
      <w:pPr>
        <w:ind w:left="720" w:hanging="360"/>
      </w:pPr>
      <w:rPr>
        <w:rFonts w:ascii="Calibri Light" w:eastAsiaTheme="minorHAnsi"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E14530D"/>
    <w:multiLevelType w:val="hybridMultilevel"/>
    <w:tmpl w:val="C51435BA"/>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44FD52F4"/>
    <w:multiLevelType w:val="hybridMultilevel"/>
    <w:tmpl w:val="49BE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1D7E40"/>
    <w:multiLevelType w:val="hybridMultilevel"/>
    <w:tmpl w:val="B5225472"/>
    <w:lvl w:ilvl="0" w:tplc="FBAC86F4">
      <w:numFmt w:val="bullet"/>
      <w:lvlText w:val="-"/>
      <w:lvlJc w:val="left"/>
      <w:pPr>
        <w:ind w:left="720" w:hanging="360"/>
      </w:pPr>
      <w:rPr>
        <w:rFonts w:ascii="Calibri" w:eastAsiaTheme="minorHAnsi" w:hAnsi="Calibri" w:cstheme="minorBidi" w:hint="default"/>
        <w:color w:val="0D0D0D" w:themeColor="text1" w:themeTint="F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0A592D"/>
    <w:multiLevelType w:val="hybridMultilevel"/>
    <w:tmpl w:val="E9AC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8A70C9"/>
    <w:multiLevelType w:val="hybridMultilevel"/>
    <w:tmpl w:val="4ABA2410"/>
    <w:lvl w:ilvl="0" w:tplc="FE8263B2">
      <w:numFmt w:val="bullet"/>
      <w:lvlText w:val="-"/>
      <w:lvlJc w:val="left"/>
      <w:pPr>
        <w:ind w:left="720" w:hanging="360"/>
      </w:pPr>
      <w:rPr>
        <w:rFonts w:ascii="Calibri Light" w:eastAsiaTheme="minorHAnsi" w:hAnsi="Calibri Light" w:cstheme="majorHAns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BE2E3B"/>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004A92"/>
    <w:multiLevelType w:val="hybridMultilevel"/>
    <w:tmpl w:val="9AB6E1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4AA57EB"/>
    <w:multiLevelType w:val="hybridMultilevel"/>
    <w:tmpl w:val="7E42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7" w15:restartNumberingAfterBreak="0">
    <w:nsid w:val="59B83903"/>
    <w:multiLevelType w:val="hybridMultilevel"/>
    <w:tmpl w:val="AB682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A345455"/>
    <w:multiLevelType w:val="hybridMultilevel"/>
    <w:tmpl w:val="238E6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7E572E"/>
    <w:multiLevelType w:val="hybridMultilevel"/>
    <w:tmpl w:val="A52896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A31986"/>
    <w:multiLevelType w:val="hybridMultilevel"/>
    <w:tmpl w:val="AE3002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3C1EA7"/>
    <w:multiLevelType w:val="multilevel"/>
    <w:tmpl w:val="43428892"/>
    <w:numStyleLink w:val="BulletsList"/>
  </w:abstractNum>
  <w:abstractNum w:abstractNumId="5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3" w15:restartNumberingAfterBreak="0">
    <w:nsid w:val="626F1A09"/>
    <w:multiLevelType w:val="hybridMultilevel"/>
    <w:tmpl w:val="CDF81ED6"/>
    <w:lvl w:ilvl="0" w:tplc="0C090005">
      <w:start w:val="1"/>
      <w:numFmt w:val="bullet"/>
      <w:lvlText w:val=""/>
      <w:lvlJc w:val="left"/>
      <w:pPr>
        <w:ind w:left="720" w:hanging="360"/>
      </w:pPr>
      <w:rPr>
        <w:rFonts w:ascii="Wingdings" w:hAnsi="Wingdings" w:hint="default"/>
      </w:rPr>
    </w:lvl>
    <w:lvl w:ilvl="1" w:tplc="3ACC2AB2">
      <w:numFmt w:val="bullet"/>
      <w:lvlText w:val="•"/>
      <w:lvlJc w:val="left"/>
      <w:pPr>
        <w:ind w:left="1440" w:hanging="36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0A5390"/>
    <w:multiLevelType w:val="hybridMultilevel"/>
    <w:tmpl w:val="259AFC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307BBD"/>
    <w:multiLevelType w:val="hybridMultilevel"/>
    <w:tmpl w:val="882450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C95358"/>
    <w:multiLevelType w:val="hybridMultilevel"/>
    <w:tmpl w:val="30FA4C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8" w15:restartNumberingAfterBreak="0">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CFE12A6"/>
    <w:multiLevelType w:val="hybridMultilevel"/>
    <w:tmpl w:val="6164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1"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7931C25"/>
    <w:multiLevelType w:val="hybridMultilevel"/>
    <w:tmpl w:val="E4BE0402"/>
    <w:lvl w:ilvl="0" w:tplc="0C090005">
      <w:start w:val="1"/>
      <w:numFmt w:val="bullet"/>
      <w:lvlText w:val=""/>
      <w:lvlJc w:val="left"/>
      <w:pPr>
        <w:ind w:left="609" w:hanging="360"/>
      </w:pPr>
      <w:rPr>
        <w:rFonts w:ascii="Wingdings" w:hAnsi="Wingdings" w:hint="default"/>
      </w:rPr>
    </w:lvl>
    <w:lvl w:ilvl="1" w:tplc="0C090003">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63" w15:restartNumberingAfterBreak="0">
    <w:nsid w:val="77AD099D"/>
    <w:multiLevelType w:val="hybridMultilevel"/>
    <w:tmpl w:val="FFB6A9B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0"/>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6"/>
  </w:num>
  <w:num w:numId="10">
    <w:abstractNumId w:val="5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51"/>
  </w:num>
  <w:num w:numId="22">
    <w:abstractNumId w:val="30"/>
  </w:num>
  <w:num w:numId="23">
    <w:abstractNumId w:val="30"/>
  </w:num>
  <w:num w:numId="24">
    <w:abstractNumId w:val="51"/>
  </w:num>
  <w:num w:numId="25">
    <w:abstractNumId w:val="51"/>
  </w:num>
  <w:num w:numId="26">
    <w:abstractNumId w:val="51"/>
  </w:num>
  <w:num w:numId="27">
    <w:abstractNumId w:val="46"/>
  </w:num>
  <w:num w:numId="28">
    <w:abstractNumId w:val="15"/>
  </w:num>
  <w:num w:numId="29">
    <w:abstractNumId w:val="15"/>
  </w:num>
  <w:num w:numId="30">
    <w:abstractNumId w:val="15"/>
  </w:num>
  <w:num w:numId="31">
    <w:abstractNumId w:val="31"/>
  </w:num>
  <w:num w:numId="32">
    <w:abstractNumId w:val="43"/>
  </w:num>
  <w:num w:numId="33">
    <w:abstractNumId w:val="61"/>
  </w:num>
  <w:num w:numId="34">
    <w:abstractNumId w:val="39"/>
  </w:num>
  <w:num w:numId="35">
    <w:abstractNumId w:val="23"/>
  </w:num>
  <w:num w:numId="36">
    <w:abstractNumId w:val="28"/>
  </w:num>
  <w:num w:numId="37">
    <w:abstractNumId w:val="25"/>
  </w:num>
  <w:num w:numId="38">
    <w:abstractNumId w:val="22"/>
  </w:num>
  <w:num w:numId="39">
    <w:abstractNumId w:val="42"/>
  </w:num>
  <w:num w:numId="40">
    <w:abstractNumId w:val="45"/>
  </w:num>
  <w:num w:numId="41">
    <w:abstractNumId w:val="29"/>
  </w:num>
  <w:num w:numId="42">
    <w:abstractNumId w:val="18"/>
  </w:num>
  <w:num w:numId="43">
    <w:abstractNumId w:val="38"/>
  </w:num>
  <w:num w:numId="44">
    <w:abstractNumId w:val="50"/>
  </w:num>
  <w:num w:numId="45">
    <w:abstractNumId w:val="57"/>
  </w:num>
  <w:num w:numId="46">
    <w:abstractNumId w:val="58"/>
  </w:num>
  <w:num w:numId="47">
    <w:abstractNumId w:val="34"/>
  </w:num>
  <w:num w:numId="48">
    <w:abstractNumId w:val="35"/>
  </w:num>
  <w:num w:numId="49">
    <w:abstractNumId w:val="12"/>
  </w:num>
  <w:num w:numId="50">
    <w:abstractNumId w:val="24"/>
  </w:num>
  <w:num w:numId="51">
    <w:abstractNumId w:val="27"/>
  </w:num>
  <w:num w:numId="52">
    <w:abstractNumId w:val="48"/>
  </w:num>
  <w:num w:numId="53">
    <w:abstractNumId w:val="41"/>
  </w:num>
  <w:num w:numId="54">
    <w:abstractNumId w:val="10"/>
  </w:num>
  <w:num w:numId="55">
    <w:abstractNumId w:val="37"/>
  </w:num>
  <w:num w:numId="56">
    <w:abstractNumId w:val="54"/>
  </w:num>
  <w:num w:numId="57">
    <w:abstractNumId w:val="11"/>
  </w:num>
  <w:num w:numId="58">
    <w:abstractNumId w:val="53"/>
  </w:num>
  <w:num w:numId="59">
    <w:abstractNumId w:val="14"/>
  </w:num>
  <w:num w:numId="60">
    <w:abstractNumId w:val="32"/>
  </w:num>
  <w:num w:numId="61">
    <w:abstractNumId w:val="55"/>
  </w:num>
  <w:num w:numId="62">
    <w:abstractNumId w:val="26"/>
  </w:num>
  <w:num w:numId="63">
    <w:abstractNumId w:val="62"/>
  </w:num>
  <w:num w:numId="64">
    <w:abstractNumId w:val="13"/>
  </w:num>
  <w:num w:numId="65">
    <w:abstractNumId w:val="56"/>
  </w:num>
  <w:num w:numId="66">
    <w:abstractNumId w:val="33"/>
  </w:num>
  <w:num w:numId="67">
    <w:abstractNumId w:val="59"/>
  </w:num>
  <w:num w:numId="68">
    <w:abstractNumId w:val="20"/>
  </w:num>
  <w:num w:numId="69">
    <w:abstractNumId w:val="44"/>
  </w:num>
  <w:num w:numId="70">
    <w:abstractNumId w:val="19"/>
  </w:num>
  <w:num w:numId="71">
    <w:abstractNumId w:val="17"/>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21"/>
  </w:num>
  <w:num w:numId="75">
    <w:abstractNumId w:val="47"/>
  </w:num>
  <w:num w:numId="76">
    <w:abstractNumId w:val="40"/>
  </w:num>
  <w:num w:numId="77">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F86"/>
    <w:rsid w:val="00001DA8"/>
    <w:rsid w:val="00003D08"/>
    <w:rsid w:val="00012AE4"/>
    <w:rsid w:val="00013702"/>
    <w:rsid w:val="00015316"/>
    <w:rsid w:val="0002080A"/>
    <w:rsid w:val="0002337B"/>
    <w:rsid w:val="0002782F"/>
    <w:rsid w:val="00027F29"/>
    <w:rsid w:val="00030AF3"/>
    <w:rsid w:val="00031446"/>
    <w:rsid w:val="00031512"/>
    <w:rsid w:val="00032CD6"/>
    <w:rsid w:val="000334B3"/>
    <w:rsid w:val="00033AB7"/>
    <w:rsid w:val="00045AFE"/>
    <w:rsid w:val="00050311"/>
    <w:rsid w:val="00050959"/>
    <w:rsid w:val="00054E4D"/>
    <w:rsid w:val="00055688"/>
    <w:rsid w:val="00060073"/>
    <w:rsid w:val="00060268"/>
    <w:rsid w:val="00063B00"/>
    <w:rsid w:val="000650BF"/>
    <w:rsid w:val="00072B0E"/>
    <w:rsid w:val="00072E87"/>
    <w:rsid w:val="000738E1"/>
    <w:rsid w:val="0007396A"/>
    <w:rsid w:val="00074ED8"/>
    <w:rsid w:val="00075E9F"/>
    <w:rsid w:val="00081391"/>
    <w:rsid w:val="00082DCB"/>
    <w:rsid w:val="00084483"/>
    <w:rsid w:val="0009151F"/>
    <w:rsid w:val="00093ED9"/>
    <w:rsid w:val="000946E0"/>
    <w:rsid w:val="00095408"/>
    <w:rsid w:val="00097412"/>
    <w:rsid w:val="000A0DBE"/>
    <w:rsid w:val="000A1123"/>
    <w:rsid w:val="000A53A5"/>
    <w:rsid w:val="000A596E"/>
    <w:rsid w:val="000A627B"/>
    <w:rsid w:val="000A6447"/>
    <w:rsid w:val="000B2410"/>
    <w:rsid w:val="000B3B64"/>
    <w:rsid w:val="000B5058"/>
    <w:rsid w:val="000B6B0B"/>
    <w:rsid w:val="000B7F9D"/>
    <w:rsid w:val="000C12C2"/>
    <w:rsid w:val="000C4C4D"/>
    <w:rsid w:val="000D0C24"/>
    <w:rsid w:val="000D34C5"/>
    <w:rsid w:val="000D410F"/>
    <w:rsid w:val="000D66D6"/>
    <w:rsid w:val="000D7E91"/>
    <w:rsid w:val="000E314A"/>
    <w:rsid w:val="000E5FCB"/>
    <w:rsid w:val="000F5A17"/>
    <w:rsid w:val="000F60B3"/>
    <w:rsid w:val="000F74A5"/>
    <w:rsid w:val="001103E6"/>
    <w:rsid w:val="00115356"/>
    <w:rsid w:val="00115AA2"/>
    <w:rsid w:val="00123508"/>
    <w:rsid w:val="00124E46"/>
    <w:rsid w:val="00131DFA"/>
    <w:rsid w:val="00143654"/>
    <w:rsid w:val="00145439"/>
    <w:rsid w:val="00145BD5"/>
    <w:rsid w:val="00147DF7"/>
    <w:rsid w:val="001541EA"/>
    <w:rsid w:val="001546A3"/>
    <w:rsid w:val="001605F5"/>
    <w:rsid w:val="001609DF"/>
    <w:rsid w:val="001621E5"/>
    <w:rsid w:val="00162218"/>
    <w:rsid w:val="00166962"/>
    <w:rsid w:val="0017474D"/>
    <w:rsid w:val="00174B8C"/>
    <w:rsid w:val="00176ED9"/>
    <w:rsid w:val="00180ADD"/>
    <w:rsid w:val="001831A1"/>
    <w:rsid w:val="00184818"/>
    <w:rsid w:val="00186EA3"/>
    <w:rsid w:val="0019017E"/>
    <w:rsid w:val="0019314E"/>
    <w:rsid w:val="00197D34"/>
    <w:rsid w:val="001A232A"/>
    <w:rsid w:val="001A2B82"/>
    <w:rsid w:val="001A653F"/>
    <w:rsid w:val="001B3C09"/>
    <w:rsid w:val="001B5019"/>
    <w:rsid w:val="001B7BDD"/>
    <w:rsid w:val="001C0078"/>
    <w:rsid w:val="001C72CE"/>
    <w:rsid w:val="001C7A30"/>
    <w:rsid w:val="001D275A"/>
    <w:rsid w:val="001D663E"/>
    <w:rsid w:val="001E1DC0"/>
    <w:rsid w:val="001E359F"/>
    <w:rsid w:val="001E4C81"/>
    <w:rsid w:val="001F4566"/>
    <w:rsid w:val="001F507E"/>
    <w:rsid w:val="001F61D5"/>
    <w:rsid w:val="001F6713"/>
    <w:rsid w:val="001F7B29"/>
    <w:rsid w:val="00200EB3"/>
    <w:rsid w:val="0020363F"/>
    <w:rsid w:val="0020717A"/>
    <w:rsid w:val="002104EC"/>
    <w:rsid w:val="00214546"/>
    <w:rsid w:val="00223BD4"/>
    <w:rsid w:val="00226348"/>
    <w:rsid w:val="00226C27"/>
    <w:rsid w:val="002309D8"/>
    <w:rsid w:val="00236A53"/>
    <w:rsid w:val="0024399C"/>
    <w:rsid w:val="002441A3"/>
    <w:rsid w:val="002446F3"/>
    <w:rsid w:val="0024542A"/>
    <w:rsid w:val="00245863"/>
    <w:rsid w:val="00245CBC"/>
    <w:rsid w:val="00247B81"/>
    <w:rsid w:val="00250976"/>
    <w:rsid w:val="00250EF6"/>
    <w:rsid w:val="00251BD0"/>
    <w:rsid w:val="00253C1C"/>
    <w:rsid w:val="002569B6"/>
    <w:rsid w:val="00260964"/>
    <w:rsid w:val="0026440F"/>
    <w:rsid w:val="00266649"/>
    <w:rsid w:val="0026667E"/>
    <w:rsid w:val="00266DBA"/>
    <w:rsid w:val="00267EC2"/>
    <w:rsid w:val="00271CA0"/>
    <w:rsid w:val="0027451B"/>
    <w:rsid w:val="00275DB7"/>
    <w:rsid w:val="0027602A"/>
    <w:rsid w:val="00277683"/>
    <w:rsid w:val="0028423B"/>
    <w:rsid w:val="00284957"/>
    <w:rsid w:val="0028602A"/>
    <w:rsid w:val="002873EF"/>
    <w:rsid w:val="002928D2"/>
    <w:rsid w:val="002958AE"/>
    <w:rsid w:val="002A355D"/>
    <w:rsid w:val="002A51CA"/>
    <w:rsid w:val="002A6643"/>
    <w:rsid w:val="002A66A4"/>
    <w:rsid w:val="002A6AC8"/>
    <w:rsid w:val="002B3E95"/>
    <w:rsid w:val="002B5E10"/>
    <w:rsid w:val="002C7250"/>
    <w:rsid w:val="002D2638"/>
    <w:rsid w:val="002D2B16"/>
    <w:rsid w:val="002D32FD"/>
    <w:rsid w:val="002D34C9"/>
    <w:rsid w:val="002D37BC"/>
    <w:rsid w:val="002E1EB1"/>
    <w:rsid w:val="002E4CC0"/>
    <w:rsid w:val="002E5295"/>
    <w:rsid w:val="002E5A32"/>
    <w:rsid w:val="002E5D8A"/>
    <w:rsid w:val="002E6322"/>
    <w:rsid w:val="002E657F"/>
    <w:rsid w:val="002E68B0"/>
    <w:rsid w:val="002F1C99"/>
    <w:rsid w:val="002F43F6"/>
    <w:rsid w:val="003002C0"/>
    <w:rsid w:val="00301144"/>
    <w:rsid w:val="00301CD6"/>
    <w:rsid w:val="00301DCF"/>
    <w:rsid w:val="00304A61"/>
    <w:rsid w:val="00304AAC"/>
    <w:rsid w:val="00305773"/>
    <w:rsid w:val="003120CE"/>
    <w:rsid w:val="0031278E"/>
    <w:rsid w:val="003148B7"/>
    <w:rsid w:val="003158C3"/>
    <w:rsid w:val="00317561"/>
    <w:rsid w:val="00320251"/>
    <w:rsid w:val="00324651"/>
    <w:rsid w:val="00326E19"/>
    <w:rsid w:val="003274CD"/>
    <w:rsid w:val="00332EC9"/>
    <w:rsid w:val="00333501"/>
    <w:rsid w:val="003339B9"/>
    <w:rsid w:val="003375CB"/>
    <w:rsid w:val="003379D3"/>
    <w:rsid w:val="00340554"/>
    <w:rsid w:val="00344180"/>
    <w:rsid w:val="003457C4"/>
    <w:rsid w:val="0035119D"/>
    <w:rsid w:val="00355379"/>
    <w:rsid w:val="00356AC5"/>
    <w:rsid w:val="003627CE"/>
    <w:rsid w:val="00363BCF"/>
    <w:rsid w:val="00365435"/>
    <w:rsid w:val="00370C63"/>
    <w:rsid w:val="0037261C"/>
    <w:rsid w:val="00372B31"/>
    <w:rsid w:val="00372C00"/>
    <w:rsid w:val="00375137"/>
    <w:rsid w:val="00375F94"/>
    <w:rsid w:val="003765BE"/>
    <w:rsid w:val="0038153F"/>
    <w:rsid w:val="003820AB"/>
    <w:rsid w:val="00385DFD"/>
    <w:rsid w:val="00385E23"/>
    <w:rsid w:val="00386A90"/>
    <w:rsid w:val="00390920"/>
    <w:rsid w:val="003A07E8"/>
    <w:rsid w:val="003A3180"/>
    <w:rsid w:val="003A44F8"/>
    <w:rsid w:val="003A571C"/>
    <w:rsid w:val="003B0821"/>
    <w:rsid w:val="003B1AFE"/>
    <w:rsid w:val="003B4F12"/>
    <w:rsid w:val="003B6C9A"/>
    <w:rsid w:val="003C3BBF"/>
    <w:rsid w:val="003C3CD6"/>
    <w:rsid w:val="003D16E3"/>
    <w:rsid w:val="003D352D"/>
    <w:rsid w:val="003E50D5"/>
    <w:rsid w:val="003E7835"/>
    <w:rsid w:val="003F2A3F"/>
    <w:rsid w:val="003F3549"/>
    <w:rsid w:val="003F4D71"/>
    <w:rsid w:val="00400449"/>
    <w:rsid w:val="00400B0F"/>
    <w:rsid w:val="00402A3B"/>
    <w:rsid w:val="00402ACC"/>
    <w:rsid w:val="00407A9B"/>
    <w:rsid w:val="00411D09"/>
    <w:rsid w:val="004120EC"/>
    <w:rsid w:val="00421B25"/>
    <w:rsid w:val="00423F31"/>
    <w:rsid w:val="00430B8D"/>
    <w:rsid w:val="00431899"/>
    <w:rsid w:val="00431E2C"/>
    <w:rsid w:val="0043564E"/>
    <w:rsid w:val="00435655"/>
    <w:rsid w:val="00436515"/>
    <w:rsid w:val="004371F2"/>
    <w:rsid w:val="00441CCC"/>
    <w:rsid w:val="004431A7"/>
    <w:rsid w:val="004432F0"/>
    <w:rsid w:val="004435EC"/>
    <w:rsid w:val="004538C1"/>
    <w:rsid w:val="00455871"/>
    <w:rsid w:val="00457CA7"/>
    <w:rsid w:val="00462C2B"/>
    <w:rsid w:val="004703AB"/>
    <w:rsid w:val="00482448"/>
    <w:rsid w:val="00484962"/>
    <w:rsid w:val="00486804"/>
    <w:rsid w:val="00495A79"/>
    <w:rsid w:val="00495E7A"/>
    <w:rsid w:val="004961D7"/>
    <w:rsid w:val="004977A1"/>
    <w:rsid w:val="004A0509"/>
    <w:rsid w:val="004A122C"/>
    <w:rsid w:val="004A2CD9"/>
    <w:rsid w:val="004A5698"/>
    <w:rsid w:val="004A7548"/>
    <w:rsid w:val="004B1010"/>
    <w:rsid w:val="004B3775"/>
    <w:rsid w:val="004B63EB"/>
    <w:rsid w:val="004C49C8"/>
    <w:rsid w:val="004C4E40"/>
    <w:rsid w:val="004C4FDF"/>
    <w:rsid w:val="004C6CBF"/>
    <w:rsid w:val="004C7014"/>
    <w:rsid w:val="004C75E9"/>
    <w:rsid w:val="004D093D"/>
    <w:rsid w:val="004D0BA0"/>
    <w:rsid w:val="004D2721"/>
    <w:rsid w:val="004D43F3"/>
    <w:rsid w:val="004D5156"/>
    <w:rsid w:val="004E0264"/>
    <w:rsid w:val="004E058F"/>
    <w:rsid w:val="004E3142"/>
    <w:rsid w:val="004E3B87"/>
    <w:rsid w:val="004E4C52"/>
    <w:rsid w:val="004E679E"/>
    <w:rsid w:val="004F12CB"/>
    <w:rsid w:val="004F1770"/>
    <w:rsid w:val="004F1779"/>
    <w:rsid w:val="004F437F"/>
    <w:rsid w:val="004F5E2F"/>
    <w:rsid w:val="004F63FA"/>
    <w:rsid w:val="005012F6"/>
    <w:rsid w:val="0050555F"/>
    <w:rsid w:val="005104D2"/>
    <w:rsid w:val="00510921"/>
    <w:rsid w:val="00510AD3"/>
    <w:rsid w:val="00510FAB"/>
    <w:rsid w:val="00513348"/>
    <w:rsid w:val="00513CF7"/>
    <w:rsid w:val="005170B2"/>
    <w:rsid w:val="00524CC3"/>
    <w:rsid w:val="00531F2D"/>
    <w:rsid w:val="00531F9D"/>
    <w:rsid w:val="005331EB"/>
    <w:rsid w:val="00533B5D"/>
    <w:rsid w:val="00535B5C"/>
    <w:rsid w:val="005360CD"/>
    <w:rsid w:val="00536DDC"/>
    <w:rsid w:val="005375E3"/>
    <w:rsid w:val="00543EB9"/>
    <w:rsid w:val="005455AA"/>
    <w:rsid w:val="005511BF"/>
    <w:rsid w:val="00552CF1"/>
    <w:rsid w:val="00553073"/>
    <w:rsid w:val="00553BD0"/>
    <w:rsid w:val="0056341E"/>
    <w:rsid w:val="005665CB"/>
    <w:rsid w:val="00567604"/>
    <w:rsid w:val="0057366D"/>
    <w:rsid w:val="00580D81"/>
    <w:rsid w:val="00585BD6"/>
    <w:rsid w:val="0059146A"/>
    <w:rsid w:val="0059150F"/>
    <w:rsid w:val="005960AB"/>
    <w:rsid w:val="00597FE3"/>
    <w:rsid w:val="005A152C"/>
    <w:rsid w:val="005A2579"/>
    <w:rsid w:val="005A4264"/>
    <w:rsid w:val="005A4564"/>
    <w:rsid w:val="005A6778"/>
    <w:rsid w:val="005A7FBC"/>
    <w:rsid w:val="005B4D42"/>
    <w:rsid w:val="005B55CD"/>
    <w:rsid w:val="005B5769"/>
    <w:rsid w:val="005C4320"/>
    <w:rsid w:val="005C5526"/>
    <w:rsid w:val="005D1352"/>
    <w:rsid w:val="005D20F9"/>
    <w:rsid w:val="005D3655"/>
    <w:rsid w:val="005D49BF"/>
    <w:rsid w:val="005D4A2F"/>
    <w:rsid w:val="005E3F81"/>
    <w:rsid w:val="005E606B"/>
    <w:rsid w:val="005E670D"/>
    <w:rsid w:val="005F17A1"/>
    <w:rsid w:val="005F61E7"/>
    <w:rsid w:val="00600479"/>
    <w:rsid w:val="0060056B"/>
    <w:rsid w:val="0060724D"/>
    <w:rsid w:val="00610F71"/>
    <w:rsid w:val="00611826"/>
    <w:rsid w:val="00614776"/>
    <w:rsid w:val="00614AE1"/>
    <w:rsid w:val="00615669"/>
    <w:rsid w:val="0061610A"/>
    <w:rsid w:val="00617C28"/>
    <w:rsid w:val="00622F99"/>
    <w:rsid w:val="00623283"/>
    <w:rsid w:val="00623BA1"/>
    <w:rsid w:val="00623C9F"/>
    <w:rsid w:val="00627FCC"/>
    <w:rsid w:val="006313C3"/>
    <w:rsid w:val="00632D4D"/>
    <w:rsid w:val="00632DE4"/>
    <w:rsid w:val="006346BC"/>
    <w:rsid w:val="00634A4E"/>
    <w:rsid w:val="006412A2"/>
    <w:rsid w:val="006413E7"/>
    <w:rsid w:val="00642D19"/>
    <w:rsid w:val="0064756B"/>
    <w:rsid w:val="00657AEE"/>
    <w:rsid w:val="00657D5C"/>
    <w:rsid w:val="00661E43"/>
    <w:rsid w:val="00662FFA"/>
    <w:rsid w:val="00663C41"/>
    <w:rsid w:val="00664D02"/>
    <w:rsid w:val="0066652A"/>
    <w:rsid w:val="006672FE"/>
    <w:rsid w:val="006724CE"/>
    <w:rsid w:val="00673515"/>
    <w:rsid w:val="00680522"/>
    <w:rsid w:val="00681334"/>
    <w:rsid w:val="00681F08"/>
    <w:rsid w:val="00682167"/>
    <w:rsid w:val="006836A5"/>
    <w:rsid w:val="006926A1"/>
    <w:rsid w:val="006A2D9E"/>
    <w:rsid w:val="006A34CA"/>
    <w:rsid w:val="006A43EB"/>
    <w:rsid w:val="006A5F02"/>
    <w:rsid w:val="006A7B62"/>
    <w:rsid w:val="006B0892"/>
    <w:rsid w:val="006B55AF"/>
    <w:rsid w:val="006C42AF"/>
    <w:rsid w:val="006C4A69"/>
    <w:rsid w:val="006C4F09"/>
    <w:rsid w:val="006D5F35"/>
    <w:rsid w:val="006D5FF5"/>
    <w:rsid w:val="006E182F"/>
    <w:rsid w:val="006E42E7"/>
    <w:rsid w:val="006E4563"/>
    <w:rsid w:val="006E4C15"/>
    <w:rsid w:val="006F27B1"/>
    <w:rsid w:val="006F450E"/>
    <w:rsid w:val="006F4BF6"/>
    <w:rsid w:val="00706FC3"/>
    <w:rsid w:val="007077EA"/>
    <w:rsid w:val="00711D8E"/>
    <w:rsid w:val="00712672"/>
    <w:rsid w:val="00716BA8"/>
    <w:rsid w:val="007222E6"/>
    <w:rsid w:val="007277F2"/>
    <w:rsid w:val="00734E3F"/>
    <w:rsid w:val="00736611"/>
    <w:rsid w:val="00736985"/>
    <w:rsid w:val="00745DF5"/>
    <w:rsid w:val="00753078"/>
    <w:rsid w:val="00756D66"/>
    <w:rsid w:val="00760C59"/>
    <w:rsid w:val="00762494"/>
    <w:rsid w:val="0076250F"/>
    <w:rsid w:val="007664C4"/>
    <w:rsid w:val="00771B53"/>
    <w:rsid w:val="00772167"/>
    <w:rsid w:val="00784031"/>
    <w:rsid w:val="007A4F34"/>
    <w:rsid w:val="007A5266"/>
    <w:rsid w:val="007B3D87"/>
    <w:rsid w:val="007B4865"/>
    <w:rsid w:val="007B6200"/>
    <w:rsid w:val="007B63CB"/>
    <w:rsid w:val="007C2540"/>
    <w:rsid w:val="007C2C04"/>
    <w:rsid w:val="007C2F60"/>
    <w:rsid w:val="007C4A1B"/>
    <w:rsid w:val="007C7418"/>
    <w:rsid w:val="007D0299"/>
    <w:rsid w:val="007D055E"/>
    <w:rsid w:val="007D2977"/>
    <w:rsid w:val="007D2E25"/>
    <w:rsid w:val="007D6837"/>
    <w:rsid w:val="007F0073"/>
    <w:rsid w:val="007F1784"/>
    <w:rsid w:val="007F1938"/>
    <w:rsid w:val="007F2B78"/>
    <w:rsid w:val="007F30AF"/>
    <w:rsid w:val="007F3395"/>
    <w:rsid w:val="007F6D78"/>
    <w:rsid w:val="00801B9F"/>
    <w:rsid w:val="008057FD"/>
    <w:rsid w:val="00810F09"/>
    <w:rsid w:val="0081296B"/>
    <w:rsid w:val="008149AA"/>
    <w:rsid w:val="0082040C"/>
    <w:rsid w:val="00822440"/>
    <w:rsid w:val="00825BD8"/>
    <w:rsid w:val="00832A9D"/>
    <w:rsid w:val="008336F5"/>
    <w:rsid w:val="00835767"/>
    <w:rsid w:val="00837109"/>
    <w:rsid w:val="00840708"/>
    <w:rsid w:val="008411DE"/>
    <w:rsid w:val="008437C9"/>
    <w:rsid w:val="008475F0"/>
    <w:rsid w:val="00850D0C"/>
    <w:rsid w:val="008518C3"/>
    <w:rsid w:val="00851D3A"/>
    <w:rsid w:val="00857C77"/>
    <w:rsid w:val="008618C5"/>
    <w:rsid w:val="00864210"/>
    <w:rsid w:val="008644C6"/>
    <w:rsid w:val="00866D4F"/>
    <w:rsid w:val="00874DB4"/>
    <w:rsid w:val="0087648D"/>
    <w:rsid w:val="00877B90"/>
    <w:rsid w:val="00880004"/>
    <w:rsid w:val="00884458"/>
    <w:rsid w:val="00890190"/>
    <w:rsid w:val="008913A8"/>
    <w:rsid w:val="00891471"/>
    <w:rsid w:val="00891631"/>
    <w:rsid w:val="008960A5"/>
    <w:rsid w:val="0089635F"/>
    <w:rsid w:val="008A109C"/>
    <w:rsid w:val="008A2338"/>
    <w:rsid w:val="008A425D"/>
    <w:rsid w:val="008A4C80"/>
    <w:rsid w:val="008A5AFE"/>
    <w:rsid w:val="008A6843"/>
    <w:rsid w:val="008B68D7"/>
    <w:rsid w:val="008B7733"/>
    <w:rsid w:val="008B7D42"/>
    <w:rsid w:val="008C2116"/>
    <w:rsid w:val="008C2F58"/>
    <w:rsid w:val="008C5A0E"/>
    <w:rsid w:val="008C7F02"/>
    <w:rsid w:val="008D3B16"/>
    <w:rsid w:val="008E01AC"/>
    <w:rsid w:val="008E41CE"/>
    <w:rsid w:val="008E56D7"/>
    <w:rsid w:val="008E63B7"/>
    <w:rsid w:val="008F0C31"/>
    <w:rsid w:val="008F16EB"/>
    <w:rsid w:val="008F21F1"/>
    <w:rsid w:val="008F2EE9"/>
    <w:rsid w:val="008F2F5C"/>
    <w:rsid w:val="008F30F0"/>
    <w:rsid w:val="008F443C"/>
    <w:rsid w:val="008F56A8"/>
    <w:rsid w:val="008F6E04"/>
    <w:rsid w:val="0090028D"/>
    <w:rsid w:val="00901505"/>
    <w:rsid w:val="00903FC7"/>
    <w:rsid w:val="00904B0E"/>
    <w:rsid w:val="00905F7B"/>
    <w:rsid w:val="00906FBF"/>
    <w:rsid w:val="0090768E"/>
    <w:rsid w:val="00907C75"/>
    <w:rsid w:val="00907CEE"/>
    <w:rsid w:val="009100E0"/>
    <w:rsid w:val="00915BCC"/>
    <w:rsid w:val="009215E4"/>
    <w:rsid w:val="009254B2"/>
    <w:rsid w:val="009310E4"/>
    <w:rsid w:val="00940A03"/>
    <w:rsid w:val="00940D2B"/>
    <w:rsid w:val="0094113B"/>
    <w:rsid w:val="0094193A"/>
    <w:rsid w:val="00942FAA"/>
    <w:rsid w:val="009466B1"/>
    <w:rsid w:val="00946A0C"/>
    <w:rsid w:val="00953950"/>
    <w:rsid w:val="009631FA"/>
    <w:rsid w:val="00966B55"/>
    <w:rsid w:val="00970924"/>
    <w:rsid w:val="00970EBB"/>
    <w:rsid w:val="00970F0F"/>
    <w:rsid w:val="00973F16"/>
    <w:rsid w:val="00974A71"/>
    <w:rsid w:val="00974C3C"/>
    <w:rsid w:val="00983999"/>
    <w:rsid w:val="009844FE"/>
    <w:rsid w:val="0098587B"/>
    <w:rsid w:val="0098729D"/>
    <w:rsid w:val="0099032A"/>
    <w:rsid w:val="009903F3"/>
    <w:rsid w:val="00992C76"/>
    <w:rsid w:val="00994DE4"/>
    <w:rsid w:val="00995915"/>
    <w:rsid w:val="0099624D"/>
    <w:rsid w:val="00997A02"/>
    <w:rsid w:val="00997ED7"/>
    <w:rsid w:val="009A0D75"/>
    <w:rsid w:val="009A1B5C"/>
    <w:rsid w:val="009A2ABF"/>
    <w:rsid w:val="009B3901"/>
    <w:rsid w:val="009B4D3B"/>
    <w:rsid w:val="009C0677"/>
    <w:rsid w:val="009C2BAE"/>
    <w:rsid w:val="009C4CBA"/>
    <w:rsid w:val="009C4EF2"/>
    <w:rsid w:val="009C5416"/>
    <w:rsid w:val="009D1F6E"/>
    <w:rsid w:val="009D2533"/>
    <w:rsid w:val="009D32CC"/>
    <w:rsid w:val="009D7407"/>
    <w:rsid w:val="009E0866"/>
    <w:rsid w:val="009E1FCB"/>
    <w:rsid w:val="009E21BA"/>
    <w:rsid w:val="009E3DDE"/>
    <w:rsid w:val="009E4406"/>
    <w:rsid w:val="009E7AAC"/>
    <w:rsid w:val="009E7BB8"/>
    <w:rsid w:val="009F3A66"/>
    <w:rsid w:val="009F5488"/>
    <w:rsid w:val="009F6423"/>
    <w:rsid w:val="00A002B0"/>
    <w:rsid w:val="00A0111C"/>
    <w:rsid w:val="00A0480F"/>
    <w:rsid w:val="00A1360C"/>
    <w:rsid w:val="00A136A8"/>
    <w:rsid w:val="00A20D4A"/>
    <w:rsid w:val="00A2177D"/>
    <w:rsid w:val="00A22657"/>
    <w:rsid w:val="00A23C1E"/>
    <w:rsid w:val="00A24A62"/>
    <w:rsid w:val="00A30685"/>
    <w:rsid w:val="00A31C9F"/>
    <w:rsid w:val="00A32EC3"/>
    <w:rsid w:val="00A4126B"/>
    <w:rsid w:val="00A41411"/>
    <w:rsid w:val="00A4144F"/>
    <w:rsid w:val="00A42AAF"/>
    <w:rsid w:val="00A43FA7"/>
    <w:rsid w:val="00A4454B"/>
    <w:rsid w:val="00A44AC2"/>
    <w:rsid w:val="00A464CC"/>
    <w:rsid w:val="00A46518"/>
    <w:rsid w:val="00A5070D"/>
    <w:rsid w:val="00A51450"/>
    <w:rsid w:val="00A54034"/>
    <w:rsid w:val="00A56F14"/>
    <w:rsid w:val="00A5708E"/>
    <w:rsid w:val="00A60199"/>
    <w:rsid w:val="00A63FB4"/>
    <w:rsid w:val="00A64B8E"/>
    <w:rsid w:val="00A80F95"/>
    <w:rsid w:val="00A810F3"/>
    <w:rsid w:val="00A8197B"/>
    <w:rsid w:val="00A85437"/>
    <w:rsid w:val="00A92F20"/>
    <w:rsid w:val="00A961EC"/>
    <w:rsid w:val="00AA4288"/>
    <w:rsid w:val="00AA5D41"/>
    <w:rsid w:val="00AA71B9"/>
    <w:rsid w:val="00AA748F"/>
    <w:rsid w:val="00AA7BE3"/>
    <w:rsid w:val="00AB0B23"/>
    <w:rsid w:val="00AB5E7F"/>
    <w:rsid w:val="00AC164A"/>
    <w:rsid w:val="00AC302F"/>
    <w:rsid w:val="00AC7988"/>
    <w:rsid w:val="00AD38ED"/>
    <w:rsid w:val="00AD4DDE"/>
    <w:rsid w:val="00AD54BA"/>
    <w:rsid w:val="00AD5F4F"/>
    <w:rsid w:val="00AD686A"/>
    <w:rsid w:val="00AE2016"/>
    <w:rsid w:val="00AE3F7C"/>
    <w:rsid w:val="00AE6233"/>
    <w:rsid w:val="00AF1B85"/>
    <w:rsid w:val="00AF1F65"/>
    <w:rsid w:val="00AF2050"/>
    <w:rsid w:val="00AF6983"/>
    <w:rsid w:val="00AF7151"/>
    <w:rsid w:val="00B03CA8"/>
    <w:rsid w:val="00B03E7E"/>
    <w:rsid w:val="00B052FA"/>
    <w:rsid w:val="00B130BA"/>
    <w:rsid w:val="00B1441C"/>
    <w:rsid w:val="00B178DB"/>
    <w:rsid w:val="00B32AE7"/>
    <w:rsid w:val="00B331DC"/>
    <w:rsid w:val="00B34217"/>
    <w:rsid w:val="00B37C19"/>
    <w:rsid w:val="00B438D3"/>
    <w:rsid w:val="00B4455F"/>
    <w:rsid w:val="00B55E19"/>
    <w:rsid w:val="00B55FD3"/>
    <w:rsid w:val="00B6027F"/>
    <w:rsid w:val="00B623A2"/>
    <w:rsid w:val="00B66FC6"/>
    <w:rsid w:val="00B71D1C"/>
    <w:rsid w:val="00B71E5E"/>
    <w:rsid w:val="00B72563"/>
    <w:rsid w:val="00B77F96"/>
    <w:rsid w:val="00B83EEC"/>
    <w:rsid w:val="00B97FCD"/>
    <w:rsid w:val="00BA0A5D"/>
    <w:rsid w:val="00BA0A91"/>
    <w:rsid w:val="00BA4B6D"/>
    <w:rsid w:val="00BA4C03"/>
    <w:rsid w:val="00BA5F9F"/>
    <w:rsid w:val="00BB254C"/>
    <w:rsid w:val="00BB26C5"/>
    <w:rsid w:val="00BB30BE"/>
    <w:rsid w:val="00BB5DC1"/>
    <w:rsid w:val="00BB71FB"/>
    <w:rsid w:val="00BB78D2"/>
    <w:rsid w:val="00BC31F1"/>
    <w:rsid w:val="00BC337C"/>
    <w:rsid w:val="00BC46DB"/>
    <w:rsid w:val="00BD178E"/>
    <w:rsid w:val="00BE1A23"/>
    <w:rsid w:val="00BE6C6D"/>
    <w:rsid w:val="00BE737D"/>
    <w:rsid w:val="00BF4DE6"/>
    <w:rsid w:val="00BF65AD"/>
    <w:rsid w:val="00C037C4"/>
    <w:rsid w:val="00C06565"/>
    <w:rsid w:val="00C07272"/>
    <w:rsid w:val="00C11BE8"/>
    <w:rsid w:val="00C169AA"/>
    <w:rsid w:val="00C16C2F"/>
    <w:rsid w:val="00C17F24"/>
    <w:rsid w:val="00C22CB3"/>
    <w:rsid w:val="00C2612F"/>
    <w:rsid w:val="00C3165B"/>
    <w:rsid w:val="00C3488C"/>
    <w:rsid w:val="00C34B13"/>
    <w:rsid w:val="00C35BE6"/>
    <w:rsid w:val="00C37399"/>
    <w:rsid w:val="00C37A44"/>
    <w:rsid w:val="00C406F0"/>
    <w:rsid w:val="00C409E4"/>
    <w:rsid w:val="00C42CDE"/>
    <w:rsid w:val="00C47024"/>
    <w:rsid w:val="00C500D7"/>
    <w:rsid w:val="00C5182A"/>
    <w:rsid w:val="00C51D07"/>
    <w:rsid w:val="00C53D22"/>
    <w:rsid w:val="00C6134D"/>
    <w:rsid w:val="00C61BB4"/>
    <w:rsid w:val="00C62793"/>
    <w:rsid w:val="00C63EE9"/>
    <w:rsid w:val="00C6626C"/>
    <w:rsid w:val="00C66CA2"/>
    <w:rsid w:val="00C7297E"/>
    <w:rsid w:val="00C72EF7"/>
    <w:rsid w:val="00C75FF9"/>
    <w:rsid w:val="00C77F77"/>
    <w:rsid w:val="00C82E19"/>
    <w:rsid w:val="00C86E17"/>
    <w:rsid w:val="00C90AA1"/>
    <w:rsid w:val="00C96484"/>
    <w:rsid w:val="00CA28E0"/>
    <w:rsid w:val="00CA37B1"/>
    <w:rsid w:val="00CA430A"/>
    <w:rsid w:val="00CA7DD8"/>
    <w:rsid w:val="00CA7E7E"/>
    <w:rsid w:val="00CB157D"/>
    <w:rsid w:val="00CB1959"/>
    <w:rsid w:val="00CB2FDC"/>
    <w:rsid w:val="00CB655E"/>
    <w:rsid w:val="00CC00C4"/>
    <w:rsid w:val="00CC6215"/>
    <w:rsid w:val="00CD0AA2"/>
    <w:rsid w:val="00CD0E4B"/>
    <w:rsid w:val="00CD5A06"/>
    <w:rsid w:val="00CE0155"/>
    <w:rsid w:val="00CE19F4"/>
    <w:rsid w:val="00CE3540"/>
    <w:rsid w:val="00CE494C"/>
    <w:rsid w:val="00CE5DF0"/>
    <w:rsid w:val="00CE5DF5"/>
    <w:rsid w:val="00CE7941"/>
    <w:rsid w:val="00CF651E"/>
    <w:rsid w:val="00D00802"/>
    <w:rsid w:val="00D0296C"/>
    <w:rsid w:val="00D03E79"/>
    <w:rsid w:val="00D06F9E"/>
    <w:rsid w:val="00D072E5"/>
    <w:rsid w:val="00D142DA"/>
    <w:rsid w:val="00D146A2"/>
    <w:rsid w:val="00D15A00"/>
    <w:rsid w:val="00D25CAB"/>
    <w:rsid w:val="00D32602"/>
    <w:rsid w:val="00D3315E"/>
    <w:rsid w:val="00D33BF8"/>
    <w:rsid w:val="00D40AEB"/>
    <w:rsid w:val="00D460DC"/>
    <w:rsid w:val="00D46D29"/>
    <w:rsid w:val="00D522DE"/>
    <w:rsid w:val="00D57767"/>
    <w:rsid w:val="00D57C94"/>
    <w:rsid w:val="00D57ED0"/>
    <w:rsid w:val="00D624F1"/>
    <w:rsid w:val="00D62E22"/>
    <w:rsid w:val="00D641DE"/>
    <w:rsid w:val="00D64BD1"/>
    <w:rsid w:val="00D67AFE"/>
    <w:rsid w:val="00D70498"/>
    <w:rsid w:val="00D70FB6"/>
    <w:rsid w:val="00D72760"/>
    <w:rsid w:val="00D72E2C"/>
    <w:rsid w:val="00D73714"/>
    <w:rsid w:val="00D739D8"/>
    <w:rsid w:val="00D73EFE"/>
    <w:rsid w:val="00D760F6"/>
    <w:rsid w:val="00D7692A"/>
    <w:rsid w:val="00D8045A"/>
    <w:rsid w:val="00D80A90"/>
    <w:rsid w:val="00D86954"/>
    <w:rsid w:val="00D86A45"/>
    <w:rsid w:val="00D93F51"/>
    <w:rsid w:val="00DA040F"/>
    <w:rsid w:val="00DA263F"/>
    <w:rsid w:val="00DA4210"/>
    <w:rsid w:val="00DA4295"/>
    <w:rsid w:val="00DA4A1E"/>
    <w:rsid w:val="00DA6975"/>
    <w:rsid w:val="00DC12CB"/>
    <w:rsid w:val="00DC394F"/>
    <w:rsid w:val="00DD1986"/>
    <w:rsid w:val="00DE084C"/>
    <w:rsid w:val="00DE4DDA"/>
    <w:rsid w:val="00DE4FB9"/>
    <w:rsid w:val="00DF0E6E"/>
    <w:rsid w:val="00DF1B4C"/>
    <w:rsid w:val="00DF47E5"/>
    <w:rsid w:val="00E03F5E"/>
    <w:rsid w:val="00E06487"/>
    <w:rsid w:val="00E0719C"/>
    <w:rsid w:val="00E16CD2"/>
    <w:rsid w:val="00E2379F"/>
    <w:rsid w:val="00E245D7"/>
    <w:rsid w:val="00E248F7"/>
    <w:rsid w:val="00E24AA6"/>
    <w:rsid w:val="00E27F06"/>
    <w:rsid w:val="00E34A3C"/>
    <w:rsid w:val="00E357B7"/>
    <w:rsid w:val="00E36C94"/>
    <w:rsid w:val="00E36F91"/>
    <w:rsid w:val="00E3749B"/>
    <w:rsid w:val="00E47CE3"/>
    <w:rsid w:val="00E50BFA"/>
    <w:rsid w:val="00E51618"/>
    <w:rsid w:val="00E53800"/>
    <w:rsid w:val="00E54875"/>
    <w:rsid w:val="00E6081F"/>
    <w:rsid w:val="00E668DD"/>
    <w:rsid w:val="00E6780A"/>
    <w:rsid w:val="00E71081"/>
    <w:rsid w:val="00E713E3"/>
    <w:rsid w:val="00E720A7"/>
    <w:rsid w:val="00E7248D"/>
    <w:rsid w:val="00E76063"/>
    <w:rsid w:val="00E76AA3"/>
    <w:rsid w:val="00E77FAD"/>
    <w:rsid w:val="00E80020"/>
    <w:rsid w:val="00E80A72"/>
    <w:rsid w:val="00E844FE"/>
    <w:rsid w:val="00E906FC"/>
    <w:rsid w:val="00E94CE5"/>
    <w:rsid w:val="00E95CD2"/>
    <w:rsid w:val="00E97B1C"/>
    <w:rsid w:val="00EA04B2"/>
    <w:rsid w:val="00EA1D26"/>
    <w:rsid w:val="00EA20F3"/>
    <w:rsid w:val="00EA510D"/>
    <w:rsid w:val="00EA5594"/>
    <w:rsid w:val="00EA5987"/>
    <w:rsid w:val="00EA69E9"/>
    <w:rsid w:val="00EB1C37"/>
    <w:rsid w:val="00EB25B6"/>
    <w:rsid w:val="00EB2D0F"/>
    <w:rsid w:val="00EB70C9"/>
    <w:rsid w:val="00EB7C8F"/>
    <w:rsid w:val="00EC4506"/>
    <w:rsid w:val="00ED0614"/>
    <w:rsid w:val="00ED0814"/>
    <w:rsid w:val="00ED0D0F"/>
    <w:rsid w:val="00ED2831"/>
    <w:rsid w:val="00ED43D1"/>
    <w:rsid w:val="00EE219F"/>
    <w:rsid w:val="00EE4EE1"/>
    <w:rsid w:val="00EE5E29"/>
    <w:rsid w:val="00EE652C"/>
    <w:rsid w:val="00EE74F1"/>
    <w:rsid w:val="00EF4574"/>
    <w:rsid w:val="00EF6543"/>
    <w:rsid w:val="00EF7524"/>
    <w:rsid w:val="00F03CF2"/>
    <w:rsid w:val="00F06379"/>
    <w:rsid w:val="00F10258"/>
    <w:rsid w:val="00F11207"/>
    <w:rsid w:val="00F13440"/>
    <w:rsid w:val="00F15B34"/>
    <w:rsid w:val="00F25E07"/>
    <w:rsid w:val="00F26475"/>
    <w:rsid w:val="00F2684E"/>
    <w:rsid w:val="00F30B51"/>
    <w:rsid w:val="00F35576"/>
    <w:rsid w:val="00F36864"/>
    <w:rsid w:val="00F40C0D"/>
    <w:rsid w:val="00F411BE"/>
    <w:rsid w:val="00F41CE2"/>
    <w:rsid w:val="00F426E5"/>
    <w:rsid w:val="00F47720"/>
    <w:rsid w:val="00F50511"/>
    <w:rsid w:val="00F50E0E"/>
    <w:rsid w:val="00F52894"/>
    <w:rsid w:val="00F52A76"/>
    <w:rsid w:val="00F5366C"/>
    <w:rsid w:val="00F538CC"/>
    <w:rsid w:val="00F5404C"/>
    <w:rsid w:val="00F54A39"/>
    <w:rsid w:val="00F55E8E"/>
    <w:rsid w:val="00F60CC7"/>
    <w:rsid w:val="00F61779"/>
    <w:rsid w:val="00F63A15"/>
    <w:rsid w:val="00F729EF"/>
    <w:rsid w:val="00F77CAE"/>
    <w:rsid w:val="00F77ECA"/>
    <w:rsid w:val="00F82271"/>
    <w:rsid w:val="00F8298B"/>
    <w:rsid w:val="00F83428"/>
    <w:rsid w:val="00F8358A"/>
    <w:rsid w:val="00F87ABC"/>
    <w:rsid w:val="00F901E8"/>
    <w:rsid w:val="00F921C4"/>
    <w:rsid w:val="00F9321F"/>
    <w:rsid w:val="00F95FF6"/>
    <w:rsid w:val="00F96BB9"/>
    <w:rsid w:val="00F97622"/>
    <w:rsid w:val="00FA6D9E"/>
    <w:rsid w:val="00FB0F7E"/>
    <w:rsid w:val="00FB776D"/>
    <w:rsid w:val="00FC0E91"/>
    <w:rsid w:val="00FC1897"/>
    <w:rsid w:val="00FC41C3"/>
    <w:rsid w:val="00FD1C82"/>
    <w:rsid w:val="00FD6EF6"/>
    <w:rsid w:val="00FE5F7F"/>
    <w:rsid w:val="00FE6D51"/>
    <w:rsid w:val="00FF0160"/>
    <w:rsid w:val="00FF09F3"/>
    <w:rsid w:val="00FF3E11"/>
    <w:rsid w:val="00FF5B47"/>
    <w:rsid w:val="00FF7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1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aliases w:val="D&amp;M Heading 2"/>
    <w:basedOn w:val="Heading1"/>
    <w:next w:val="Normal"/>
    <w:link w:val="Heading2Char"/>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nhideWhenUsed/>
    <w:qFormat/>
    <w:rsid w:val="00A4144F"/>
    <w:pPr>
      <w:spacing w:before="240" w:line="280" w:lineRule="atLeast"/>
      <w:outlineLvl w:val="3"/>
    </w:pPr>
    <w:rPr>
      <w:iCs/>
      <w:sz w:val="24"/>
    </w:rPr>
  </w:style>
  <w:style w:type="paragraph" w:styleId="Heading5">
    <w:name w:val="heading 5"/>
    <w:basedOn w:val="Heading4"/>
    <w:next w:val="Normal"/>
    <w:link w:val="Heading5Char"/>
    <w:unhideWhenUsed/>
    <w:qFormat/>
    <w:rsid w:val="00A4144F"/>
    <w:pPr>
      <w:spacing w:line="200" w:lineRule="atLeast"/>
      <w:outlineLvl w:val="4"/>
    </w:pPr>
    <w:rPr>
      <w:b/>
      <w:sz w:val="16"/>
    </w:rPr>
  </w:style>
  <w:style w:type="paragraph" w:styleId="Heading6">
    <w:name w:val="heading 6"/>
    <w:basedOn w:val="Heading5"/>
    <w:next w:val="Normal"/>
    <w:link w:val="Heading6Char"/>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nhideWhenUsed/>
    <w:qFormat/>
    <w:rsid w:val="00486804"/>
    <w:pPr>
      <w:outlineLvl w:val="6"/>
    </w:pPr>
    <w:rPr>
      <w:i/>
      <w:iCs w:val="0"/>
    </w:rPr>
  </w:style>
  <w:style w:type="paragraph" w:styleId="Heading8">
    <w:name w:val="heading 8"/>
    <w:basedOn w:val="Heading7"/>
    <w:next w:val="Normal"/>
    <w:link w:val="Heading8Char"/>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aliases w:val="D&amp;M 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 Char Char, Char,ft,single space,footnote text,fn,Footnote Text Char Char Char Char,Char Char,Char"/>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 Char Char Char1, Char Char2,ft Char1,single space Char1,footnote text Char1,fn Char1,Footnote Text Char Char Char Char Char1,Char Char Char,Char Char1"/>
    <w:basedOn w:val="DefaultParagraphFont"/>
    <w:link w:val="FootnoteText"/>
    <w:rsid w:val="008C5A0E"/>
    <w:rPr>
      <w:color w:val="495965" w:themeColor="text2"/>
      <w:sz w:val="12"/>
      <w:szCs w:val="20"/>
    </w:rPr>
  </w:style>
  <w:style w:type="character" w:styleId="FootnoteReference">
    <w:name w:val="footnote reference"/>
    <w:aliases w:val="ftref"/>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SegoeUI" w:hAnsi="SegoeU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Dot pt,F5 List Paragraph,List Paragraph1,No Spacing1,List Paragraph Char Char Char,Indicator Text,Numbered Para 1,Bullet Points,List Paragraph11,MAIN CONTENT,Párrafo de lista"/>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Dot pt Char,F5 List Paragraph Char,List Paragraph1 Char,No Spacing1 Char,List Paragraph Char Char Char Char,Indicator Text Char,Numbered Para 1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rsid w:val="005D13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E5A32"/>
    <w:rPr>
      <w:sz w:val="16"/>
      <w:szCs w:val="16"/>
    </w:rPr>
  </w:style>
  <w:style w:type="paragraph" w:styleId="CommentText">
    <w:name w:val="annotation text"/>
    <w:basedOn w:val="Normal"/>
    <w:link w:val="CommentTextChar"/>
    <w:uiPriority w:val="99"/>
    <w:unhideWhenUsed/>
    <w:rsid w:val="002E5A32"/>
    <w:pPr>
      <w:spacing w:line="240" w:lineRule="auto"/>
    </w:pPr>
    <w:rPr>
      <w:sz w:val="20"/>
      <w:szCs w:val="20"/>
    </w:rPr>
  </w:style>
  <w:style w:type="character" w:customStyle="1" w:styleId="CommentTextChar">
    <w:name w:val="Comment Text Char"/>
    <w:basedOn w:val="DefaultParagraphFont"/>
    <w:link w:val="CommentText"/>
    <w:uiPriority w:val="99"/>
    <w:rsid w:val="002E5A3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2E5A32"/>
    <w:rPr>
      <w:b/>
      <w:bCs/>
    </w:rPr>
  </w:style>
  <w:style w:type="character" w:customStyle="1" w:styleId="CommentSubjectChar">
    <w:name w:val="Comment Subject Char"/>
    <w:basedOn w:val="CommentTextChar"/>
    <w:link w:val="CommentSubject"/>
    <w:uiPriority w:val="99"/>
    <w:semiHidden/>
    <w:rsid w:val="002E5A32"/>
    <w:rPr>
      <w:b/>
      <w:bCs/>
      <w:color w:val="495965" w:themeColor="text2"/>
      <w:sz w:val="20"/>
      <w:szCs w:val="20"/>
      <w:lang w:val="en-GB"/>
    </w:rPr>
  </w:style>
  <w:style w:type="table" w:customStyle="1" w:styleId="DFATTable10">
    <w:name w:val="DFAT Table1"/>
    <w:basedOn w:val="TableNormal"/>
    <w:uiPriority w:val="99"/>
    <w:rsid w:val="007F6D78"/>
    <w:pPr>
      <w:spacing w:after="0" w:line="240" w:lineRule="auto"/>
    </w:pPr>
    <w:rPr>
      <w:rFonts w:ascii="Helvetica" w:hAnsi="Helvetica"/>
      <w:sz w:val="17"/>
      <w:lang w:eastAsia="en-AU"/>
    </w:rPr>
    <w:tblPr>
      <w:tblBorders>
        <w:top w:val="single" w:sz="12" w:space="0" w:color="auto"/>
        <w:bottom w:val="single" w:sz="12" w:space="0" w:color="auto"/>
      </w:tblBorders>
    </w:tblPr>
  </w:style>
  <w:style w:type="table" w:styleId="LightShading">
    <w:name w:val="Light Shading"/>
    <w:basedOn w:val="TableNormal"/>
    <w:uiPriority w:val="60"/>
    <w:rsid w:val="007D05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ub-desc">
    <w:name w:val="pub-desc"/>
    <w:basedOn w:val="Normal"/>
    <w:rsid w:val="000A1123"/>
    <w:pPr>
      <w:suppressAutoHyphens w:val="0"/>
      <w:spacing w:after="120" w:line="240" w:lineRule="auto"/>
    </w:pPr>
    <w:rPr>
      <w:rFonts w:ascii="Times New Roman" w:eastAsia="Times New Roman" w:hAnsi="Times New Roman" w:cs="Times New Roman"/>
      <w:color w:val="auto"/>
      <w:sz w:val="24"/>
      <w:szCs w:val="24"/>
      <w:lang w:val="en-AU" w:eastAsia="en-AU"/>
    </w:rPr>
  </w:style>
  <w:style w:type="paragraph" w:customStyle="1" w:styleId="Background">
    <w:name w:val="Background"/>
    <w:basedOn w:val="Normal"/>
    <w:qFormat/>
    <w:rsid w:val="000A1123"/>
    <w:pPr>
      <w:numPr>
        <w:numId w:val="47"/>
      </w:numPr>
      <w:suppressAutoHyphens w:val="0"/>
      <w:spacing w:after="360" w:line="288" w:lineRule="auto"/>
    </w:pPr>
    <w:rPr>
      <w:rFonts w:asciiTheme="majorHAnsi" w:hAnsiTheme="majorHAnsi"/>
      <w:color w:val="595959" w:themeColor="text1" w:themeTint="A6"/>
      <w:kern w:val="20"/>
      <w:sz w:val="24"/>
      <w:szCs w:val="24"/>
      <w:lang w:eastAsia="ja-JP"/>
    </w:rPr>
  </w:style>
  <w:style w:type="paragraph" w:styleId="PlainText">
    <w:name w:val="Plain Text"/>
    <w:basedOn w:val="Normal"/>
    <w:link w:val="PlainTextChar"/>
    <w:uiPriority w:val="99"/>
    <w:semiHidden/>
    <w:unhideWhenUsed/>
    <w:rsid w:val="000A1123"/>
    <w:pPr>
      <w:suppressAutoHyphens w:val="0"/>
      <w:spacing w:before="0" w:after="0" w:line="240" w:lineRule="auto"/>
    </w:pPr>
    <w:rPr>
      <w:rFonts w:ascii="Calibri" w:hAnsi="Calibri" w:cs="Times New Roman"/>
      <w:color w:val="auto"/>
      <w:lang w:val="en-AU"/>
    </w:rPr>
  </w:style>
  <w:style w:type="character" w:customStyle="1" w:styleId="PlainTextChar">
    <w:name w:val="Plain Text Char"/>
    <w:basedOn w:val="DefaultParagraphFont"/>
    <w:link w:val="PlainText"/>
    <w:uiPriority w:val="99"/>
    <w:semiHidden/>
    <w:rsid w:val="000A1123"/>
    <w:rPr>
      <w:rFonts w:ascii="Calibri" w:hAnsi="Calibri" w:cs="Times New Roman"/>
    </w:rPr>
  </w:style>
  <w:style w:type="paragraph" w:customStyle="1" w:styleId="Talkingpoint">
    <w:name w:val="Talking point"/>
    <w:basedOn w:val="Normal"/>
    <w:link w:val="TalkingpointChar"/>
    <w:qFormat/>
    <w:rsid w:val="00970EBB"/>
    <w:pPr>
      <w:numPr>
        <w:numId w:val="49"/>
      </w:numPr>
      <w:suppressAutoHyphens w:val="0"/>
      <w:spacing w:before="0" w:after="240" w:line="288" w:lineRule="auto"/>
    </w:pPr>
    <w:rPr>
      <w:rFonts w:asciiTheme="majorHAnsi" w:hAnsiTheme="majorHAnsi"/>
      <w:color w:val="595959" w:themeColor="text1" w:themeTint="A6"/>
      <w:kern w:val="20"/>
      <w:sz w:val="28"/>
      <w:szCs w:val="28"/>
      <w:lang w:eastAsia="ja-JP"/>
    </w:rPr>
  </w:style>
  <w:style w:type="character" w:customStyle="1" w:styleId="TalkingpointChar">
    <w:name w:val="Talking point Char"/>
    <w:basedOn w:val="DefaultParagraphFont"/>
    <w:link w:val="Talkingpoint"/>
    <w:rsid w:val="00970EBB"/>
    <w:rPr>
      <w:rFonts w:asciiTheme="majorHAnsi" w:hAnsiTheme="majorHAnsi"/>
      <w:color w:val="595959" w:themeColor="text1" w:themeTint="A6"/>
      <w:kern w:val="20"/>
      <w:sz w:val="28"/>
      <w:szCs w:val="28"/>
      <w:lang w:val="en-GB" w:eastAsia="ja-JP"/>
    </w:rPr>
  </w:style>
  <w:style w:type="character" w:customStyle="1" w:styleId="FootnoteTextChar1">
    <w:name w:val="Footnote Text Char1"/>
    <w:aliases w:val="Footnote Text Char Char, Char Char Char, Char Char1,ft Char,single space Char,footnote text Char,fn Char,Footnote Text Char Char Char Char Char"/>
    <w:basedOn w:val="DefaultParagraphFont"/>
    <w:rsid w:val="00B66FC6"/>
    <w:rPr>
      <w:lang w:eastAsia="en-US"/>
    </w:rPr>
  </w:style>
  <w:style w:type="paragraph" w:styleId="NormalWeb">
    <w:name w:val="Normal (Web)"/>
    <w:basedOn w:val="Normal"/>
    <w:uiPriority w:val="99"/>
    <w:unhideWhenUsed/>
    <w:rsid w:val="00CE3540"/>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s1">
    <w:name w:val="s1"/>
    <w:basedOn w:val="DefaultParagraphFont"/>
    <w:rsid w:val="004C6CBF"/>
  </w:style>
  <w:style w:type="character" w:customStyle="1" w:styleId="s2">
    <w:name w:val="s2"/>
    <w:basedOn w:val="DefaultParagraphFont"/>
    <w:rsid w:val="004C6CBF"/>
  </w:style>
  <w:style w:type="table" w:customStyle="1" w:styleId="TableGrid1">
    <w:name w:val="Table Grid1"/>
    <w:basedOn w:val="TableNormal"/>
    <w:next w:val="TableGrid"/>
    <w:uiPriority w:val="39"/>
    <w:rsid w:val="00A2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8003">
      <w:bodyDiv w:val="1"/>
      <w:marLeft w:val="0"/>
      <w:marRight w:val="0"/>
      <w:marTop w:val="0"/>
      <w:marBottom w:val="0"/>
      <w:divBdr>
        <w:top w:val="none" w:sz="0" w:space="0" w:color="auto"/>
        <w:left w:val="none" w:sz="0" w:space="0" w:color="auto"/>
        <w:bottom w:val="none" w:sz="0" w:space="0" w:color="auto"/>
        <w:right w:val="none" w:sz="0" w:space="0" w:color="auto"/>
      </w:divBdr>
      <w:divsChild>
        <w:div w:id="30108559">
          <w:marLeft w:val="0"/>
          <w:marRight w:val="0"/>
          <w:marTop w:val="0"/>
          <w:marBottom w:val="0"/>
          <w:divBdr>
            <w:top w:val="none" w:sz="0" w:space="0" w:color="auto"/>
            <w:left w:val="none" w:sz="0" w:space="0" w:color="auto"/>
            <w:bottom w:val="none" w:sz="0" w:space="0" w:color="auto"/>
            <w:right w:val="none" w:sz="0" w:space="0" w:color="auto"/>
          </w:divBdr>
          <w:divsChild>
            <w:div w:id="15585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7965">
      <w:bodyDiv w:val="1"/>
      <w:marLeft w:val="0"/>
      <w:marRight w:val="0"/>
      <w:marTop w:val="0"/>
      <w:marBottom w:val="0"/>
      <w:divBdr>
        <w:top w:val="none" w:sz="0" w:space="0" w:color="auto"/>
        <w:left w:val="none" w:sz="0" w:space="0" w:color="auto"/>
        <w:bottom w:val="none" w:sz="0" w:space="0" w:color="auto"/>
        <w:right w:val="none" w:sz="0" w:space="0" w:color="auto"/>
      </w:divBdr>
    </w:div>
    <w:div w:id="598029924">
      <w:bodyDiv w:val="1"/>
      <w:marLeft w:val="0"/>
      <w:marRight w:val="0"/>
      <w:marTop w:val="0"/>
      <w:marBottom w:val="0"/>
      <w:divBdr>
        <w:top w:val="none" w:sz="0" w:space="0" w:color="auto"/>
        <w:left w:val="none" w:sz="0" w:space="0" w:color="auto"/>
        <w:bottom w:val="none" w:sz="0" w:space="0" w:color="auto"/>
        <w:right w:val="none" w:sz="0" w:space="0" w:color="auto"/>
      </w:divBdr>
    </w:div>
    <w:div w:id="715007188">
      <w:bodyDiv w:val="1"/>
      <w:marLeft w:val="0"/>
      <w:marRight w:val="0"/>
      <w:marTop w:val="0"/>
      <w:marBottom w:val="0"/>
      <w:divBdr>
        <w:top w:val="none" w:sz="0" w:space="0" w:color="auto"/>
        <w:left w:val="none" w:sz="0" w:space="0" w:color="auto"/>
        <w:bottom w:val="none" w:sz="0" w:space="0" w:color="auto"/>
        <w:right w:val="none" w:sz="0" w:space="0" w:color="auto"/>
      </w:divBdr>
    </w:div>
    <w:div w:id="950476848">
      <w:bodyDiv w:val="1"/>
      <w:marLeft w:val="0"/>
      <w:marRight w:val="0"/>
      <w:marTop w:val="0"/>
      <w:marBottom w:val="0"/>
      <w:divBdr>
        <w:top w:val="none" w:sz="0" w:space="0" w:color="auto"/>
        <w:left w:val="none" w:sz="0" w:space="0" w:color="auto"/>
        <w:bottom w:val="none" w:sz="0" w:space="0" w:color="auto"/>
        <w:right w:val="none" w:sz="0" w:space="0" w:color="auto"/>
      </w:divBdr>
    </w:div>
    <w:div w:id="967081002">
      <w:bodyDiv w:val="1"/>
      <w:marLeft w:val="0"/>
      <w:marRight w:val="0"/>
      <w:marTop w:val="0"/>
      <w:marBottom w:val="0"/>
      <w:divBdr>
        <w:top w:val="none" w:sz="0" w:space="0" w:color="auto"/>
        <w:left w:val="none" w:sz="0" w:space="0" w:color="auto"/>
        <w:bottom w:val="none" w:sz="0" w:space="0" w:color="auto"/>
        <w:right w:val="none" w:sz="0" w:space="0" w:color="auto"/>
      </w:divBdr>
    </w:div>
    <w:div w:id="998340150">
      <w:bodyDiv w:val="1"/>
      <w:marLeft w:val="0"/>
      <w:marRight w:val="0"/>
      <w:marTop w:val="0"/>
      <w:marBottom w:val="0"/>
      <w:divBdr>
        <w:top w:val="none" w:sz="0" w:space="0" w:color="auto"/>
        <w:left w:val="none" w:sz="0" w:space="0" w:color="auto"/>
        <w:bottom w:val="none" w:sz="0" w:space="0" w:color="auto"/>
        <w:right w:val="none" w:sz="0" w:space="0" w:color="auto"/>
      </w:divBdr>
    </w:div>
    <w:div w:id="1048450604">
      <w:bodyDiv w:val="1"/>
      <w:marLeft w:val="0"/>
      <w:marRight w:val="0"/>
      <w:marTop w:val="0"/>
      <w:marBottom w:val="0"/>
      <w:divBdr>
        <w:top w:val="none" w:sz="0" w:space="0" w:color="auto"/>
        <w:left w:val="none" w:sz="0" w:space="0" w:color="auto"/>
        <w:bottom w:val="none" w:sz="0" w:space="0" w:color="auto"/>
        <w:right w:val="none" w:sz="0" w:space="0" w:color="auto"/>
      </w:divBdr>
    </w:div>
    <w:div w:id="1070805995">
      <w:bodyDiv w:val="1"/>
      <w:marLeft w:val="0"/>
      <w:marRight w:val="0"/>
      <w:marTop w:val="0"/>
      <w:marBottom w:val="0"/>
      <w:divBdr>
        <w:top w:val="none" w:sz="0" w:space="0" w:color="auto"/>
        <w:left w:val="none" w:sz="0" w:space="0" w:color="auto"/>
        <w:bottom w:val="none" w:sz="0" w:space="0" w:color="auto"/>
        <w:right w:val="none" w:sz="0" w:space="0" w:color="auto"/>
      </w:divBdr>
    </w:div>
    <w:div w:id="1292903430">
      <w:bodyDiv w:val="1"/>
      <w:marLeft w:val="0"/>
      <w:marRight w:val="0"/>
      <w:marTop w:val="0"/>
      <w:marBottom w:val="0"/>
      <w:divBdr>
        <w:top w:val="none" w:sz="0" w:space="0" w:color="auto"/>
        <w:left w:val="none" w:sz="0" w:space="0" w:color="auto"/>
        <w:bottom w:val="none" w:sz="0" w:space="0" w:color="auto"/>
        <w:right w:val="none" w:sz="0" w:space="0" w:color="auto"/>
      </w:divBdr>
    </w:div>
    <w:div w:id="1379279850">
      <w:bodyDiv w:val="1"/>
      <w:marLeft w:val="0"/>
      <w:marRight w:val="0"/>
      <w:marTop w:val="0"/>
      <w:marBottom w:val="0"/>
      <w:divBdr>
        <w:top w:val="none" w:sz="0" w:space="0" w:color="auto"/>
        <w:left w:val="none" w:sz="0" w:space="0" w:color="auto"/>
        <w:bottom w:val="none" w:sz="0" w:space="0" w:color="auto"/>
        <w:right w:val="none" w:sz="0" w:space="0" w:color="auto"/>
      </w:divBdr>
    </w:div>
    <w:div w:id="1421411488">
      <w:bodyDiv w:val="1"/>
      <w:marLeft w:val="0"/>
      <w:marRight w:val="0"/>
      <w:marTop w:val="0"/>
      <w:marBottom w:val="0"/>
      <w:divBdr>
        <w:top w:val="none" w:sz="0" w:space="0" w:color="auto"/>
        <w:left w:val="none" w:sz="0" w:space="0" w:color="auto"/>
        <w:bottom w:val="none" w:sz="0" w:space="0" w:color="auto"/>
        <w:right w:val="none" w:sz="0" w:space="0" w:color="auto"/>
      </w:divBdr>
    </w:div>
    <w:div w:id="1466000660">
      <w:bodyDiv w:val="1"/>
      <w:marLeft w:val="0"/>
      <w:marRight w:val="0"/>
      <w:marTop w:val="0"/>
      <w:marBottom w:val="0"/>
      <w:divBdr>
        <w:top w:val="none" w:sz="0" w:space="0" w:color="auto"/>
        <w:left w:val="none" w:sz="0" w:space="0" w:color="auto"/>
        <w:bottom w:val="none" w:sz="0" w:space="0" w:color="auto"/>
        <w:right w:val="none" w:sz="0" w:space="0" w:color="auto"/>
      </w:divBdr>
    </w:div>
    <w:div w:id="1468624195">
      <w:bodyDiv w:val="1"/>
      <w:marLeft w:val="0"/>
      <w:marRight w:val="0"/>
      <w:marTop w:val="0"/>
      <w:marBottom w:val="0"/>
      <w:divBdr>
        <w:top w:val="none" w:sz="0" w:space="0" w:color="auto"/>
        <w:left w:val="none" w:sz="0" w:space="0" w:color="auto"/>
        <w:bottom w:val="none" w:sz="0" w:space="0" w:color="auto"/>
        <w:right w:val="none" w:sz="0" w:space="0" w:color="auto"/>
      </w:divBdr>
    </w:div>
    <w:div w:id="1471901739">
      <w:bodyDiv w:val="1"/>
      <w:marLeft w:val="0"/>
      <w:marRight w:val="0"/>
      <w:marTop w:val="0"/>
      <w:marBottom w:val="0"/>
      <w:divBdr>
        <w:top w:val="none" w:sz="0" w:space="0" w:color="auto"/>
        <w:left w:val="none" w:sz="0" w:space="0" w:color="auto"/>
        <w:bottom w:val="none" w:sz="0" w:space="0" w:color="auto"/>
        <w:right w:val="none" w:sz="0" w:space="0" w:color="auto"/>
      </w:divBdr>
    </w:div>
    <w:div w:id="1481000770">
      <w:bodyDiv w:val="1"/>
      <w:marLeft w:val="0"/>
      <w:marRight w:val="0"/>
      <w:marTop w:val="0"/>
      <w:marBottom w:val="0"/>
      <w:divBdr>
        <w:top w:val="none" w:sz="0" w:space="0" w:color="auto"/>
        <w:left w:val="none" w:sz="0" w:space="0" w:color="auto"/>
        <w:bottom w:val="none" w:sz="0" w:space="0" w:color="auto"/>
        <w:right w:val="none" w:sz="0" w:space="0" w:color="auto"/>
      </w:divBdr>
    </w:div>
    <w:div w:id="1612514609">
      <w:bodyDiv w:val="1"/>
      <w:marLeft w:val="0"/>
      <w:marRight w:val="0"/>
      <w:marTop w:val="0"/>
      <w:marBottom w:val="0"/>
      <w:divBdr>
        <w:top w:val="none" w:sz="0" w:space="0" w:color="auto"/>
        <w:left w:val="none" w:sz="0" w:space="0" w:color="auto"/>
        <w:bottom w:val="none" w:sz="0" w:space="0" w:color="auto"/>
        <w:right w:val="none" w:sz="0" w:space="0" w:color="auto"/>
      </w:divBdr>
    </w:div>
    <w:div w:id="19377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eader" Target="header5.xm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www.asiapacific.unwomen.org"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hyperlink" Target="https://data.worldbank.org/data-catalog/CPI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6.png"/></Relationships>
</file>

<file path=word/_rels/footnotes.xml.rels><?xml version="1.0" encoding="UTF-8" standalone="yes"?>
<Relationships xmlns="http://schemas.openxmlformats.org/package/2006/relationships"><Relationship Id="rId3" Type="http://schemas.openxmlformats.org/officeDocument/2006/relationships/hyperlink" Target="https://doft.gov.vu/images/2018/Vol-1--2-Budget-Book-2018-English.pdf" TargetMode="External"/><Relationship Id="rId2" Type="http://schemas.openxmlformats.org/officeDocument/2006/relationships/hyperlink" Target="https://stats.oecd.org" TargetMode="External"/><Relationship Id="rId1" Type="http://schemas.openxmlformats.org/officeDocument/2006/relationships/hyperlink" Target="https://stats.oe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06D9-30F7-4DCC-8FC7-BB7D9D1A7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03A93-4C4E-4DA1-9FA9-109E32A8D5A0}">
  <ds:schemaRefs>
    <ds:schemaRef ds:uri="http://schemas.microsoft.com/sharepoint/v3/contenttype/forms"/>
  </ds:schemaRefs>
</ds:datastoreItem>
</file>

<file path=customXml/itemProps3.xml><?xml version="1.0" encoding="utf-8"?>
<ds:datastoreItem xmlns:ds="http://schemas.openxmlformats.org/officeDocument/2006/customXml" ds:itemID="{A9747E4A-8CC0-449C-B34A-6A596D84610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2912F49-6AB5-4FBD-9CC1-2C889BD6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10449</Words>
  <Characters>59560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Vanuatu Aid Program Performance Report 2017-18</vt:lpstr>
    </vt:vector>
  </TitlesOfParts>
  <Company/>
  <LinksUpToDate>false</LinksUpToDate>
  <CharactersWithSpaces>69870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Aid Program Performance Report 2017-18</dc:title>
  <dc:subject/>
  <dc:creator/>
  <cp:keywords/>
  <dc:description/>
  <cp:lastModifiedBy/>
  <cp:revision>1</cp:revision>
  <dcterms:created xsi:type="dcterms:W3CDTF">2018-11-16T01:26:00Z</dcterms:created>
  <dcterms:modified xsi:type="dcterms:W3CDTF">2018-11-16T01:26:00Z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76ff5657-d68f-4fa8-a6f4-67a1ca7554cd</vt:lpwstr>
  </property>
  <property fmtid="{D5CDD505-2E9C-101B-9397-08002B2CF9AE}" pid="3" name="ContentTypeId">
    <vt:lpwstr>0x01010050F19AC2165D2E47A5E6B7F563E4CF00</vt:lpwstr>
  </property>
  <property fmtid="{D5CDD505-2E9C-101B-9397-08002B2CF9AE}" pid="4" name="Order">
    <vt:r8>1199300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SEC">
    <vt:lpwstr>UNCLASSIFIED</vt:lpwstr>
  </property>
  <property fmtid="{D5CDD505-2E9C-101B-9397-08002B2CF9AE}" pid="11" name="DLM">
    <vt:lpwstr>No DLM</vt:lpwstr>
  </property>
</Properties>
</file>