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D417" w14:textId="77777777" w:rsidR="00872DDF" w:rsidRPr="009D6AB5" w:rsidRDefault="00872DDF" w:rsidP="00872DDF">
      <w:pPr>
        <w:jc w:val="center"/>
        <w:rPr>
          <w:b/>
          <w:bCs/>
          <w:sz w:val="24"/>
          <w:szCs w:val="24"/>
        </w:rPr>
      </w:pPr>
      <w:r w:rsidRPr="009D6AB5">
        <w:rPr>
          <w:b/>
          <w:bCs/>
          <w:sz w:val="24"/>
          <w:szCs w:val="24"/>
        </w:rPr>
        <w:t>HP Mid-Term Review Recommendations and Management Responses</w:t>
      </w:r>
    </w:p>
    <w:p w14:paraId="15177146" w14:textId="3F614912" w:rsidR="00872DDF" w:rsidRPr="00CD4F06" w:rsidRDefault="00872DDF" w:rsidP="00872DDF">
      <w:pPr>
        <w:shd w:val="clear" w:color="auto" w:fill="C00000"/>
        <w:jc w:val="center"/>
        <w:rPr>
          <w:b/>
          <w:bCs/>
          <w:sz w:val="24"/>
          <w:szCs w:val="24"/>
        </w:rPr>
      </w:pPr>
      <w:r w:rsidRPr="00CD4F06">
        <w:rPr>
          <w:b/>
          <w:bCs/>
          <w:sz w:val="24"/>
          <w:szCs w:val="24"/>
        </w:rPr>
        <w:t>Program Intent and Strategy</w:t>
      </w:r>
    </w:p>
    <w:tbl>
      <w:tblPr>
        <w:tblStyle w:val="TableGrid"/>
        <w:tblW w:w="0" w:type="auto"/>
        <w:tblLook w:val="04A0" w:firstRow="1" w:lastRow="0" w:firstColumn="1" w:lastColumn="0" w:noHBand="0" w:noVBand="1"/>
      </w:tblPr>
      <w:tblGrid>
        <w:gridCol w:w="4508"/>
        <w:gridCol w:w="4508"/>
      </w:tblGrid>
      <w:tr w:rsidR="00E96C9C" w:rsidRPr="00CD4F06" w14:paraId="1DDFB888" w14:textId="77777777" w:rsidTr="00E96C9C">
        <w:tc>
          <w:tcPr>
            <w:tcW w:w="4508" w:type="dxa"/>
            <w:shd w:val="clear" w:color="auto" w:fill="000000" w:themeFill="text1"/>
          </w:tcPr>
          <w:p w14:paraId="0EB3F226" w14:textId="44667BE9" w:rsidR="00E96C9C" w:rsidRPr="00CD4F06" w:rsidRDefault="00E96C9C" w:rsidP="00CD4F06">
            <w:pPr>
              <w:rPr>
                <w:rFonts w:eastAsia="Calibri" w:cstheme="minorHAnsi"/>
                <w:bCs/>
                <w:sz w:val="24"/>
                <w:szCs w:val="24"/>
              </w:rPr>
            </w:pPr>
            <w:r w:rsidRPr="00CD4F06">
              <w:rPr>
                <w:rFonts w:ascii="Calibri" w:hAnsi="Calibri" w:cs="Calibri"/>
                <w:b/>
                <w:color w:val="FFFFFF" w:themeColor="background1"/>
                <w:sz w:val="24"/>
                <w:szCs w:val="24"/>
              </w:rPr>
              <w:t>MTR Recommendations</w:t>
            </w:r>
          </w:p>
        </w:tc>
        <w:tc>
          <w:tcPr>
            <w:tcW w:w="4508" w:type="dxa"/>
            <w:shd w:val="clear" w:color="auto" w:fill="000000" w:themeFill="text1"/>
          </w:tcPr>
          <w:p w14:paraId="285D49AA" w14:textId="16C399C8" w:rsidR="00E96C9C" w:rsidRPr="00CD4F06" w:rsidRDefault="00E96C9C" w:rsidP="00CD4F06">
            <w:pPr>
              <w:rPr>
                <w:rFonts w:cstheme="minorHAnsi"/>
                <w:b/>
                <w:bCs/>
                <w:iCs/>
                <w:sz w:val="24"/>
                <w:szCs w:val="24"/>
              </w:rPr>
            </w:pPr>
            <w:r w:rsidRPr="00CD4F06">
              <w:rPr>
                <w:rFonts w:ascii="Calibri" w:hAnsi="Calibri" w:cs="Calibri"/>
                <w:b/>
                <w:color w:val="FFFFFF" w:themeColor="background1"/>
                <w:sz w:val="24"/>
                <w:szCs w:val="24"/>
              </w:rPr>
              <w:t>DFAT Management Responses</w:t>
            </w:r>
          </w:p>
        </w:tc>
      </w:tr>
      <w:tr w:rsidR="00872DDF" w:rsidRPr="00CD4F06" w14:paraId="0134F0C5" w14:textId="77777777" w:rsidTr="00872DDF">
        <w:tc>
          <w:tcPr>
            <w:tcW w:w="4508" w:type="dxa"/>
          </w:tcPr>
          <w:p w14:paraId="03937DA6" w14:textId="090D22C8" w:rsidR="00872DDF" w:rsidRPr="00CD4F06" w:rsidRDefault="00872DDF" w:rsidP="00CD4F06">
            <w:pPr>
              <w:rPr>
                <w:b/>
                <w:bCs/>
                <w:sz w:val="24"/>
                <w:szCs w:val="24"/>
              </w:rPr>
            </w:pPr>
            <w:r w:rsidRPr="00CD4F06">
              <w:rPr>
                <w:rFonts w:eastAsia="Calibri" w:cstheme="minorHAnsi"/>
                <w:bCs/>
                <w:sz w:val="24"/>
                <w:szCs w:val="24"/>
              </w:rPr>
              <w:t xml:space="preserve">1. DFAT and VAHP to better articulate and communicate the intent of, and strategy for, VAHP’s ongoing investment to support MoH leadership and strengthen the delivery of essential health services </w:t>
            </w:r>
            <w:r w:rsidRPr="00CD4F06">
              <w:rPr>
                <w:rFonts w:eastAsia="Calibri" w:cstheme="minorHAnsi"/>
                <w:sz w:val="24"/>
                <w:szCs w:val="24"/>
              </w:rPr>
              <w:t>(</w:t>
            </w:r>
            <w:proofErr w:type="gramStart"/>
            <w:r w:rsidRPr="00CD4F06">
              <w:rPr>
                <w:rFonts w:eastAsia="Calibri" w:cstheme="minorHAnsi"/>
                <w:sz w:val="24"/>
                <w:szCs w:val="24"/>
              </w:rPr>
              <w:t>i.e.</w:t>
            </w:r>
            <w:proofErr w:type="gramEnd"/>
            <w:r w:rsidRPr="00CD4F06">
              <w:rPr>
                <w:rFonts w:eastAsia="Calibri" w:cstheme="minorHAnsi"/>
                <w:sz w:val="24"/>
                <w:szCs w:val="24"/>
              </w:rPr>
              <w:t xml:space="preserve"> the area of focus of this Mid-term review).</w:t>
            </w:r>
          </w:p>
        </w:tc>
        <w:tc>
          <w:tcPr>
            <w:tcW w:w="4508" w:type="dxa"/>
          </w:tcPr>
          <w:p w14:paraId="4C480000" w14:textId="57FC04EF" w:rsidR="00872DDF" w:rsidRPr="00CD4F06" w:rsidRDefault="00872DDF" w:rsidP="00CD4F06">
            <w:pPr>
              <w:rPr>
                <w:b/>
                <w:bCs/>
                <w:sz w:val="24"/>
                <w:szCs w:val="24"/>
              </w:rPr>
            </w:pPr>
            <w:r w:rsidRPr="00CD4F06">
              <w:rPr>
                <w:rFonts w:cstheme="minorHAnsi"/>
                <w:b/>
                <w:bCs/>
                <w:iCs/>
                <w:sz w:val="24"/>
                <w:szCs w:val="24"/>
              </w:rPr>
              <w:t>Agree:</w:t>
            </w:r>
            <w:r w:rsidRPr="00CD4F06">
              <w:rPr>
                <w:rFonts w:cstheme="minorHAnsi"/>
                <w:iCs/>
                <w:sz w:val="24"/>
                <w:szCs w:val="24"/>
              </w:rPr>
              <w:t xml:space="preserve"> DFAT and VAHP will develop a shared vision on Australia’s intention in the health sector focusing on linking primary and tertiary health care and consolidating investments through a design update.</w:t>
            </w:r>
          </w:p>
        </w:tc>
      </w:tr>
      <w:tr w:rsidR="00872DDF" w:rsidRPr="00CD4F06" w14:paraId="37D25E50" w14:textId="77777777" w:rsidTr="00872DDF">
        <w:tc>
          <w:tcPr>
            <w:tcW w:w="4508" w:type="dxa"/>
          </w:tcPr>
          <w:p w14:paraId="67057734" w14:textId="7A561A17" w:rsidR="00872DDF" w:rsidRPr="00CD4F06" w:rsidRDefault="00872DDF" w:rsidP="00CD4F06">
            <w:pPr>
              <w:rPr>
                <w:b/>
                <w:bCs/>
                <w:sz w:val="24"/>
                <w:szCs w:val="24"/>
              </w:rPr>
            </w:pPr>
            <w:r w:rsidRPr="00CD4F06">
              <w:rPr>
                <w:rFonts w:eastAsia="Calibri" w:cstheme="minorHAnsi"/>
                <w:bCs/>
                <w:sz w:val="24"/>
                <w:szCs w:val="24"/>
              </w:rPr>
              <w:t xml:space="preserve">2. To facilitate engagement with </w:t>
            </w:r>
            <w:proofErr w:type="spellStart"/>
            <w:r w:rsidRPr="00CD4F06">
              <w:rPr>
                <w:rFonts w:eastAsia="Calibri" w:cstheme="minorHAnsi"/>
                <w:bCs/>
                <w:sz w:val="24"/>
                <w:szCs w:val="24"/>
              </w:rPr>
              <w:t>GoV</w:t>
            </w:r>
            <w:proofErr w:type="spellEnd"/>
            <w:r w:rsidRPr="00CD4F06">
              <w:rPr>
                <w:rFonts w:eastAsia="Calibri" w:cstheme="minorHAnsi"/>
                <w:bCs/>
                <w:sz w:val="24"/>
                <w:szCs w:val="24"/>
              </w:rPr>
              <w:t xml:space="preserve"> on strengthening essential health services (an area strongly related to, but also distinct within other streams of VAHP support – see Figure 3), this area of VAHP effort be given a recognised strapline/name</w:t>
            </w:r>
            <w:r w:rsidRPr="00CD4F06">
              <w:rPr>
                <w:rFonts w:cstheme="minorHAnsi"/>
                <w:sz w:val="24"/>
                <w:szCs w:val="24"/>
              </w:rPr>
              <w:t xml:space="preserve"> and be given explicit operational space</w:t>
            </w:r>
            <w:r w:rsidRPr="00CD4F06">
              <w:rPr>
                <w:rFonts w:eastAsia="Calibri" w:cstheme="minorHAnsi"/>
                <w:sz w:val="24"/>
                <w:szCs w:val="24"/>
              </w:rPr>
              <w:t xml:space="preserve"> and resourcing to ensure effective progress</w:t>
            </w:r>
            <w:r w:rsidRPr="00CD4F06">
              <w:rPr>
                <w:rFonts w:eastAsia="Calibri" w:cstheme="minorHAnsi"/>
                <w:bCs/>
                <w:sz w:val="24"/>
                <w:szCs w:val="24"/>
              </w:rPr>
              <w:t xml:space="preserve">. </w:t>
            </w:r>
          </w:p>
        </w:tc>
        <w:tc>
          <w:tcPr>
            <w:tcW w:w="4508" w:type="dxa"/>
          </w:tcPr>
          <w:p w14:paraId="57BAE43A" w14:textId="5433D951" w:rsidR="00872DDF" w:rsidRPr="00CD4F06" w:rsidRDefault="00872DDF" w:rsidP="00CD4F06">
            <w:pPr>
              <w:rPr>
                <w:b/>
                <w:bCs/>
                <w:sz w:val="24"/>
                <w:szCs w:val="24"/>
              </w:rPr>
            </w:pPr>
            <w:r w:rsidRPr="00CD4F06">
              <w:rPr>
                <w:rFonts w:cstheme="minorHAnsi"/>
                <w:b/>
                <w:bCs/>
                <w:iCs/>
                <w:sz w:val="24"/>
                <w:szCs w:val="24"/>
              </w:rPr>
              <w:t xml:space="preserve">Agree: </w:t>
            </w:r>
            <w:r w:rsidRPr="00CD4F06">
              <w:rPr>
                <w:rFonts w:cstheme="minorHAnsi"/>
                <w:iCs/>
                <w:sz w:val="24"/>
                <w:szCs w:val="24"/>
              </w:rPr>
              <w:t xml:space="preserve">VAHP will renew its focus on health service delivery through the </w:t>
            </w:r>
            <w:proofErr w:type="spellStart"/>
            <w:r w:rsidRPr="00CD4F06">
              <w:rPr>
                <w:rFonts w:cstheme="minorHAnsi"/>
                <w:iCs/>
                <w:sz w:val="24"/>
                <w:szCs w:val="24"/>
              </w:rPr>
              <w:t>Tasmalum</w:t>
            </w:r>
            <w:proofErr w:type="spellEnd"/>
            <w:r w:rsidRPr="00CD4F06">
              <w:rPr>
                <w:rFonts w:cstheme="minorHAnsi"/>
                <w:iCs/>
                <w:sz w:val="24"/>
                <w:szCs w:val="24"/>
              </w:rPr>
              <w:t xml:space="preserve"> working group and develop a framework for bottom-up assessment of primary health care delivery across a variety of settings.  DFAT will pursue a design update for the next phase of support and in doing so include a stronger distinction between and within streams of support including to consolidate and clarify Australia’s support in both Primary and Tertiary Health.</w:t>
            </w:r>
          </w:p>
        </w:tc>
      </w:tr>
    </w:tbl>
    <w:p w14:paraId="78696372" w14:textId="473FE4C2" w:rsidR="00872DDF" w:rsidRPr="00CD4F06" w:rsidRDefault="00872DDF" w:rsidP="00872DDF">
      <w:pPr>
        <w:shd w:val="clear" w:color="auto" w:fill="C00000"/>
        <w:jc w:val="center"/>
        <w:rPr>
          <w:b/>
          <w:bCs/>
          <w:sz w:val="24"/>
          <w:szCs w:val="24"/>
        </w:rPr>
      </w:pPr>
      <w:r w:rsidRPr="00CD4F06">
        <w:rPr>
          <w:b/>
          <w:bCs/>
          <w:sz w:val="24"/>
          <w:szCs w:val="24"/>
        </w:rPr>
        <w:t>VAHP Modalities</w:t>
      </w:r>
    </w:p>
    <w:tbl>
      <w:tblPr>
        <w:tblStyle w:val="TableGrid"/>
        <w:tblW w:w="0" w:type="auto"/>
        <w:tblLook w:val="04A0" w:firstRow="1" w:lastRow="0" w:firstColumn="1" w:lastColumn="0" w:noHBand="0" w:noVBand="1"/>
      </w:tblPr>
      <w:tblGrid>
        <w:gridCol w:w="4508"/>
        <w:gridCol w:w="4508"/>
      </w:tblGrid>
      <w:tr w:rsidR="00872DDF" w:rsidRPr="00CD4F06" w14:paraId="506CB41A" w14:textId="77777777" w:rsidTr="008C6DF1">
        <w:tc>
          <w:tcPr>
            <w:tcW w:w="4508" w:type="dxa"/>
          </w:tcPr>
          <w:p w14:paraId="372221EF" w14:textId="58696C88" w:rsidR="00872DDF" w:rsidRPr="00CD4F06" w:rsidRDefault="00872DDF" w:rsidP="00CD4F06">
            <w:pPr>
              <w:rPr>
                <w:b/>
                <w:bCs/>
                <w:sz w:val="24"/>
                <w:szCs w:val="24"/>
              </w:rPr>
            </w:pPr>
            <w:r w:rsidRPr="00CD4F06">
              <w:rPr>
                <w:rFonts w:ascii="Calibri" w:eastAsia="Calibri" w:hAnsi="Calibri" w:cs="Times New Roman"/>
                <w:sz w:val="24"/>
                <w:szCs w:val="24"/>
              </w:rPr>
              <w:t>3. The results framework and the updated theory of change (recommendation 2) lead prioritisation of strategic VAHP technical assistance inputs and policy dialogue inputs, with a stronger Provincial focus for the technical assistance.</w:t>
            </w:r>
          </w:p>
        </w:tc>
        <w:tc>
          <w:tcPr>
            <w:tcW w:w="4508" w:type="dxa"/>
          </w:tcPr>
          <w:p w14:paraId="337CA903" w14:textId="6C2B0F55" w:rsidR="00872DDF" w:rsidRPr="00CD4F06" w:rsidRDefault="00872DDF" w:rsidP="00CD4F06">
            <w:pPr>
              <w:rPr>
                <w:b/>
                <w:bCs/>
                <w:sz w:val="24"/>
                <w:szCs w:val="24"/>
              </w:rPr>
            </w:pPr>
            <w:r w:rsidRPr="00CD4F06">
              <w:rPr>
                <w:b/>
                <w:bCs/>
                <w:iCs/>
                <w:sz w:val="24"/>
                <w:szCs w:val="24"/>
              </w:rPr>
              <w:t xml:space="preserve">Agree: </w:t>
            </w:r>
            <w:r w:rsidRPr="00CD4F06">
              <w:rPr>
                <w:iCs/>
                <w:sz w:val="24"/>
                <w:szCs w:val="24"/>
              </w:rPr>
              <w:t xml:space="preserve">VAHP will update the TOC based on the Strategic Review &amp; Reflection Workshop. This work is already underway. A performance framework for </w:t>
            </w:r>
            <w:proofErr w:type="spellStart"/>
            <w:r w:rsidRPr="00CD4F06">
              <w:rPr>
                <w:iCs/>
                <w:sz w:val="24"/>
                <w:szCs w:val="24"/>
              </w:rPr>
              <w:t>Tasmalum</w:t>
            </w:r>
            <w:proofErr w:type="spellEnd"/>
            <w:r w:rsidRPr="00CD4F06">
              <w:rPr>
                <w:iCs/>
                <w:sz w:val="24"/>
                <w:szCs w:val="24"/>
              </w:rPr>
              <w:t xml:space="preserve"> and the whole of program is currently under development.</w:t>
            </w:r>
          </w:p>
        </w:tc>
      </w:tr>
      <w:tr w:rsidR="00872DDF" w:rsidRPr="00CD4F06" w14:paraId="021DBB48" w14:textId="77777777" w:rsidTr="008C6DF1">
        <w:tc>
          <w:tcPr>
            <w:tcW w:w="4508" w:type="dxa"/>
          </w:tcPr>
          <w:p w14:paraId="75462561" w14:textId="3B0D1F4C" w:rsidR="00872DDF" w:rsidRPr="00CD4F06" w:rsidRDefault="00872DDF" w:rsidP="00CD4F06">
            <w:pPr>
              <w:rPr>
                <w:b/>
                <w:bCs/>
                <w:sz w:val="24"/>
                <w:szCs w:val="24"/>
              </w:rPr>
            </w:pPr>
            <w:r w:rsidRPr="00CD4F06">
              <w:rPr>
                <w:rFonts w:ascii="Calibri" w:eastAsia="Calibri" w:hAnsi="Calibri" w:cs="Times New Roman"/>
                <w:bCs/>
                <w:sz w:val="24"/>
                <w:szCs w:val="24"/>
              </w:rPr>
              <w:t>4. VAHP consider a greater physical presence in MoH to enhance policy influence (see also recommendation 10).  The Direct Finance Agreement modality is addressed at recommendation 11.</w:t>
            </w:r>
          </w:p>
        </w:tc>
        <w:tc>
          <w:tcPr>
            <w:tcW w:w="4508" w:type="dxa"/>
          </w:tcPr>
          <w:p w14:paraId="1F14F593" w14:textId="01767AC2" w:rsidR="00872DDF" w:rsidRPr="00CD4F06" w:rsidRDefault="00872DDF" w:rsidP="00CD4F06">
            <w:pPr>
              <w:rPr>
                <w:b/>
                <w:bCs/>
                <w:sz w:val="24"/>
                <w:szCs w:val="24"/>
              </w:rPr>
            </w:pPr>
            <w:r w:rsidRPr="00CD4F06">
              <w:rPr>
                <w:b/>
                <w:bCs/>
                <w:iCs/>
                <w:sz w:val="24"/>
                <w:szCs w:val="24"/>
              </w:rPr>
              <w:t>Agree:</w:t>
            </w:r>
            <w:r w:rsidRPr="00CD4F06">
              <w:rPr>
                <w:iCs/>
                <w:sz w:val="24"/>
                <w:szCs w:val="24"/>
              </w:rPr>
              <w:t xml:space="preserve"> VAHP will consider options for a physical presence in MOH to enhance policy influence. VAHP to consult with MOH and other embedded programs such as VESP, R4D2 and WHO.</w:t>
            </w:r>
          </w:p>
        </w:tc>
      </w:tr>
    </w:tbl>
    <w:p w14:paraId="787B4368" w14:textId="67AB7496" w:rsidR="00872DDF" w:rsidRPr="00CD4F06" w:rsidRDefault="00872DDF" w:rsidP="00872DDF">
      <w:pPr>
        <w:shd w:val="clear" w:color="auto" w:fill="C00000"/>
        <w:jc w:val="center"/>
        <w:rPr>
          <w:b/>
          <w:bCs/>
          <w:sz w:val="24"/>
          <w:szCs w:val="24"/>
        </w:rPr>
      </w:pPr>
      <w:r w:rsidRPr="00CD4F06">
        <w:rPr>
          <w:rFonts w:ascii="Calibri" w:hAnsi="Calibri" w:cs="Calibri"/>
          <w:b/>
          <w:color w:val="FFFFFF"/>
          <w:sz w:val="24"/>
          <w:szCs w:val="24"/>
        </w:rPr>
        <w:t>PDIA approach</w:t>
      </w:r>
    </w:p>
    <w:tbl>
      <w:tblPr>
        <w:tblStyle w:val="TableGrid"/>
        <w:tblW w:w="0" w:type="auto"/>
        <w:tblLook w:val="04A0" w:firstRow="1" w:lastRow="0" w:firstColumn="1" w:lastColumn="0" w:noHBand="0" w:noVBand="1"/>
      </w:tblPr>
      <w:tblGrid>
        <w:gridCol w:w="4508"/>
        <w:gridCol w:w="4508"/>
      </w:tblGrid>
      <w:tr w:rsidR="00CD4F06" w:rsidRPr="00CD4F06" w14:paraId="4FC01943" w14:textId="77777777" w:rsidTr="008C6DF1">
        <w:tc>
          <w:tcPr>
            <w:tcW w:w="4508" w:type="dxa"/>
          </w:tcPr>
          <w:p w14:paraId="715C9034" w14:textId="08669724" w:rsidR="00CD4F06" w:rsidRPr="00CD4F06" w:rsidRDefault="00CD4F06" w:rsidP="00CD4F06">
            <w:pPr>
              <w:rPr>
                <w:b/>
                <w:bCs/>
                <w:sz w:val="24"/>
                <w:szCs w:val="24"/>
              </w:rPr>
            </w:pPr>
            <w:r w:rsidRPr="00CD4F06">
              <w:rPr>
                <w:rFonts w:ascii="Calibri" w:eastAsia="Calibri" w:hAnsi="Calibri" w:cs="Times New Roman"/>
                <w:bCs/>
                <w:sz w:val="24"/>
                <w:szCs w:val="24"/>
              </w:rPr>
              <w:t xml:space="preserve">5. VAHP draw on relevant expertise to review their perceived and actual ways of working with adaptive management and PDIA, with a view to using the approaches more effectively. </w:t>
            </w:r>
          </w:p>
        </w:tc>
        <w:tc>
          <w:tcPr>
            <w:tcW w:w="4508" w:type="dxa"/>
          </w:tcPr>
          <w:p w14:paraId="1A5F0D6E" w14:textId="77777777" w:rsidR="00CD4F06" w:rsidRDefault="00CD4F06" w:rsidP="00CD4F06">
            <w:pPr>
              <w:rPr>
                <w:iCs/>
                <w:sz w:val="24"/>
                <w:szCs w:val="24"/>
              </w:rPr>
            </w:pPr>
            <w:r w:rsidRPr="00CD4F06">
              <w:rPr>
                <w:b/>
                <w:bCs/>
                <w:iCs/>
                <w:sz w:val="24"/>
                <w:szCs w:val="24"/>
              </w:rPr>
              <w:t xml:space="preserve">Agree: </w:t>
            </w:r>
            <w:r w:rsidRPr="00CD4F06">
              <w:rPr>
                <w:iCs/>
                <w:sz w:val="24"/>
                <w:szCs w:val="24"/>
              </w:rPr>
              <w:t>VAHP will develop processes to communicate ways of working with adaptive management, PEA and PDIA for DFAT, counterparts and within VAHP. The MTR report raises whether Adaptive Management approaches such as PDIA are appropriate in Vanuatu. VAHP will engage DFAT and MOH senior management to re-confirm the appetite for change and commitment to adaptive approaches.</w:t>
            </w:r>
          </w:p>
          <w:p w14:paraId="3AEBD006" w14:textId="77777777" w:rsidR="00CD4F06" w:rsidRDefault="00CD4F06" w:rsidP="00CD4F06">
            <w:pPr>
              <w:rPr>
                <w:b/>
                <w:bCs/>
                <w:sz w:val="24"/>
                <w:szCs w:val="24"/>
              </w:rPr>
            </w:pPr>
          </w:p>
          <w:p w14:paraId="07151B2C" w14:textId="37AB1FB2" w:rsidR="00E96C9C" w:rsidRPr="00CD4F06" w:rsidRDefault="00E96C9C" w:rsidP="00CD4F06">
            <w:pPr>
              <w:rPr>
                <w:b/>
                <w:bCs/>
                <w:sz w:val="24"/>
                <w:szCs w:val="24"/>
              </w:rPr>
            </w:pPr>
          </w:p>
        </w:tc>
      </w:tr>
    </w:tbl>
    <w:p w14:paraId="5099DE7A" w14:textId="784931BB" w:rsidR="00872DDF" w:rsidRPr="00CD4F06" w:rsidRDefault="00CD4F06" w:rsidP="00CD4F06">
      <w:pPr>
        <w:shd w:val="clear" w:color="auto" w:fill="C00000"/>
        <w:jc w:val="center"/>
        <w:rPr>
          <w:b/>
          <w:bCs/>
          <w:sz w:val="24"/>
          <w:szCs w:val="24"/>
        </w:rPr>
      </w:pPr>
      <w:r w:rsidRPr="00AE2DA0">
        <w:rPr>
          <w:rFonts w:ascii="Calibri" w:hAnsi="Calibri" w:cs="Calibri"/>
          <w:b/>
          <w:color w:val="FFFFFF"/>
          <w:sz w:val="24"/>
          <w:szCs w:val="24"/>
        </w:rPr>
        <w:lastRenderedPageBreak/>
        <w:t>Provincial Focus</w:t>
      </w:r>
    </w:p>
    <w:tbl>
      <w:tblPr>
        <w:tblStyle w:val="TableGrid"/>
        <w:tblW w:w="0" w:type="auto"/>
        <w:tblLook w:val="04A0" w:firstRow="1" w:lastRow="0" w:firstColumn="1" w:lastColumn="0" w:noHBand="0" w:noVBand="1"/>
      </w:tblPr>
      <w:tblGrid>
        <w:gridCol w:w="4508"/>
        <w:gridCol w:w="4508"/>
      </w:tblGrid>
      <w:tr w:rsidR="00E96C9C" w:rsidRPr="00CD4F06" w14:paraId="5DEF5AD5" w14:textId="77777777" w:rsidTr="00E96C9C">
        <w:tc>
          <w:tcPr>
            <w:tcW w:w="4508" w:type="dxa"/>
            <w:shd w:val="clear" w:color="auto" w:fill="000000" w:themeFill="text1"/>
          </w:tcPr>
          <w:p w14:paraId="415BA1F2" w14:textId="6F07BBD5" w:rsidR="00E96C9C" w:rsidRPr="009F43A0" w:rsidRDefault="00E96C9C" w:rsidP="00CD4F06">
            <w:pPr>
              <w:rPr>
                <w:rFonts w:ascii="Calibri" w:eastAsia="Calibri" w:hAnsi="Calibri" w:cs="Times New Roman"/>
                <w:bCs/>
                <w:sz w:val="24"/>
                <w:szCs w:val="24"/>
              </w:rPr>
            </w:pPr>
            <w:r w:rsidRPr="00CD4F06">
              <w:rPr>
                <w:rFonts w:ascii="Calibri" w:hAnsi="Calibri" w:cs="Calibri"/>
                <w:b/>
                <w:color w:val="FFFFFF" w:themeColor="background1"/>
                <w:sz w:val="24"/>
                <w:szCs w:val="24"/>
              </w:rPr>
              <w:t>MTR Recommendations</w:t>
            </w:r>
          </w:p>
        </w:tc>
        <w:tc>
          <w:tcPr>
            <w:tcW w:w="4508" w:type="dxa"/>
            <w:shd w:val="clear" w:color="auto" w:fill="000000" w:themeFill="text1"/>
          </w:tcPr>
          <w:p w14:paraId="7360A6E3" w14:textId="130928BA" w:rsidR="00E96C9C" w:rsidRPr="00C37D86" w:rsidRDefault="00E96C9C" w:rsidP="00CD4F06">
            <w:pPr>
              <w:rPr>
                <w:b/>
                <w:bCs/>
                <w:iCs/>
                <w:sz w:val="24"/>
                <w:szCs w:val="24"/>
              </w:rPr>
            </w:pPr>
            <w:r w:rsidRPr="00CD4F06">
              <w:rPr>
                <w:rFonts w:ascii="Calibri" w:hAnsi="Calibri" w:cs="Calibri"/>
                <w:b/>
                <w:color w:val="FFFFFF" w:themeColor="background1"/>
                <w:sz w:val="24"/>
                <w:szCs w:val="24"/>
              </w:rPr>
              <w:t>DFAT Management Responses</w:t>
            </w:r>
          </w:p>
        </w:tc>
      </w:tr>
      <w:tr w:rsidR="00CD4F06" w:rsidRPr="00CD4F06" w14:paraId="465E5CF9" w14:textId="77777777" w:rsidTr="008C6DF1">
        <w:tc>
          <w:tcPr>
            <w:tcW w:w="4508" w:type="dxa"/>
          </w:tcPr>
          <w:p w14:paraId="7D1C3CE2" w14:textId="647D502B" w:rsidR="00CD4F06" w:rsidRPr="00CD4F06" w:rsidRDefault="00CD4F06" w:rsidP="00CD4F06">
            <w:pPr>
              <w:rPr>
                <w:b/>
                <w:bCs/>
                <w:sz w:val="24"/>
                <w:szCs w:val="24"/>
              </w:rPr>
            </w:pPr>
            <w:r w:rsidRPr="009F43A0">
              <w:rPr>
                <w:rFonts w:ascii="Calibri" w:eastAsia="Calibri" w:hAnsi="Calibri" w:cs="Times New Roman"/>
                <w:bCs/>
                <w:sz w:val="24"/>
                <w:szCs w:val="24"/>
              </w:rPr>
              <w:t>6. A new Provincial Health Adviser/Facilitator position be recruited and based in MoH Corporate for greater presence in MoH and with specific responsibility to advise and support partner coordination, Provincial planning and budgeting and support the ‘bottom-up’ Provincial Focus Strategy (working in close liaison with VAHP’s Provincial facilitators).</w:t>
            </w:r>
          </w:p>
        </w:tc>
        <w:tc>
          <w:tcPr>
            <w:tcW w:w="4508" w:type="dxa"/>
          </w:tcPr>
          <w:p w14:paraId="43F26D78" w14:textId="36798053" w:rsidR="00CD4F06" w:rsidRPr="00CD4F06" w:rsidRDefault="00CD4F06" w:rsidP="00CD4F06">
            <w:pPr>
              <w:rPr>
                <w:b/>
                <w:bCs/>
                <w:sz w:val="24"/>
                <w:szCs w:val="24"/>
              </w:rPr>
            </w:pPr>
            <w:r w:rsidRPr="00C37D86">
              <w:rPr>
                <w:b/>
                <w:bCs/>
                <w:iCs/>
                <w:sz w:val="24"/>
                <w:szCs w:val="24"/>
              </w:rPr>
              <w:t>Agree</w:t>
            </w:r>
            <w:r>
              <w:rPr>
                <w:b/>
                <w:bCs/>
                <w:iCs/>
                <w:sz w:val="24"/>
                <w:szCs w:val="24"/>
              </w:rPr>
              <w:t>:</w:t>
            </w:r>
            <w:r w:rsidRPr="00C37D86">
              <w:rPr>
                <w:b/>
                <w:bCs/>
                <w:iCs/>
                <w:sz w:val="24"/>
                <w:szCs w:val="24"/>
              </w:rPr>
              <w:t xml:space="preserve"> </w:t>
            </w:r>
            <w:r>
              <w:rPr>
                <w:rFonts w:ascii="Calibri" w:eastAsia="Calibri" w:hAnsi="Calibri" w:cs="Times New Roman"/>
                <w:bCs/>
                <w:sz w:val="24"/>
                <w:szCs w:val="24"/>
              </w:rPr>
              <w:t>In consultation with MoH, VAHP will explore the possibility of increasing its physical presence in MoH. VAHP will integrate the new and proposed Provincial Health Facilitator into the revised Public Health Advisor role. This role will be embedded in MOH, supported by the new Partnership Director, and will work across both the Corporate and Public Health Directorates.</w:t>
            </w:r>
          </w:p>
        </w:tc>
      </w:tr>
      <w:tr w:rsidR="00CD4F06" w:rsidRPr="00CD4F06" w14:paraId="07C1C75A" w14:textId="77777777" w:rsidTr="008C6DF1">
        <w:tc>
          <w:tcPr>
            <w:tcW w:w="4508" w:type="dxa"/>
          </w:tcPr>
          <w:p w14:paraId="2EDF459F" w14:textId="24BF8A62" w:rsidR="00CD4F06" w:rsidRPr="009F43A0" w:rsidRDefault="00CD4F06" w:rsidP="00CD4F06">
            <w:pPr>
              <w:rPr>
                <w:rFonts w:ascii="Calibri" w:eastAsia="Calibri" w:hAnsi="Calibri" w:cs="Times New Roman"/>
                <w:bCs/>
                <w:sz w:val="24"/>
                <w:szCs w:val="24"/>
              </w:rPr>
            </w:pPr>
            <w:r w:rsidRPr="009F43A0">
              <w:rPr>
                <w:rFonts w:ascii="Calibri" w:hAnsi="Calibri" w:cs="Calibri"/>
                <w:bCs/>
                <w:sz w:val="24"/>
                <w:szCs w:val="24"/>
              </w:rPr>
              <w:t xml:space="preserve">7. The </w:t>
            </w:r>
            <w:proofErr w:type="spellStart"/>
            <w:r w:rsidRPr="009F43A0">
              <w:rPr>
                <w:rFonts w:ascii="Calibri" w:hAnsi="Calibri" w:cs="Calibri"/>
                <w:bCs/>
                <w:sz w:val="24"/>
                <w:szCs w:val="24"/>
              </w:rPr>
              <w:t>Tasmalum</w:t>
            </w:r>
            <w:proofErr w:type="spellEnd"/>
            <w:r w:rsidRPr="009F43A0">
              <w:rPr>
                <w:rFonts w:ascii="Calibri" w:hAnsi="Calibri" w:cs="Calibri"/>
                <w:bCs/>
                <w:sz w:val="24"/>
                <w:szCs w:val="24"/>
              </w:rPr>
              <w:t xml:space="preserve"> Working Group urgently focus on the </w:t>
            </w:r>
            <w:r w:rsidRPr="009F43A0">
              <w:rPr>
                <w:rFonts w:ascii="Calibri" w:hAnsi="Calibri" w:cs="Calibri"/>
                <w:bCs/>
                <w:color w:val="404040" w:themeColor="text1" w:themeTint="BF"/>
                <w:sz w:val="24"/>
                <w:szCs w:val="24"/>
              </w:rPr>
              <w:t xml:space="preserve">strategic intent of the Pilot </w:t>
            </w:r>
            <w:r w:rsidRPr="009F43A0">
              <w:rPr>
                <w:rFonts w:ascii="Calibri" w:hAnsi="Calibri" w:cs="Calibri"/>
                <w:bCs/>
                <w:sz w:val="24"/>
                <w:szCs w:val="24"/>
              </w:rPr>
              <w:t>- what it is trying to achieve and demonstrate, in particular in relation to decentralisation, health systems strengthening and GEDSI; how success is being defined; over what time period the Pilot will run; and how it will be monitored and reported.</w:t>
            </w:r>
          </w:p>
        </w:tc>
        <w:tc>
          <w:tcPr>
            <w:tcW w:w="4508" w:type="dxa"/>
          </w:tcPr>
          <w:p w14:paraId="467EC113" w14:textId="632CA080" w:rsidR="00CD4F06" w:rsidRPr="00C37D86" w:rsidRDefault="00CD4F06" w:rsidP="00CD4F06">
            <w:pPr>
              <w:rPr>
                <w:b/>
                <w:bCs/>
                <w:iCs/>
                <w:sz w:val="24"/>
                <w:szCs w:val="24"/>
              </w:rPr>
            </w:pPr>
            <w:r w:rsidRPr="00C37D86">
              <w:rPr>
                <w:b/>
                <w:bCs/>
                <w:iCs/>
                <w:sz w:val="24"/>
                <w:szCs w:val="24"/>
              </w:rPr>
              <w:t>Agree</w:t>
            </w:r>
            <w:r>
              <w:rPr>
                <w:iCs/>
                <w:sz w:val="24"/>
                <w:szCs w:val="24"/>
              </w:rPr>
              <w:t xml:space="preserve">: </w:t>
            </w:r>
            <w:r w:rsidRPr="00C37D86">
              <w:rPr>
                <w:iCs/>
                <w:sz w:val="24"/>
                <w:szCs w:val="24"/>
              </w:rPr>
              <w:t xml:space="preserve">VAHP </w:t>
            </w:r>
            <w:r>
              <w:rPr>
                <w:iCs/>
                <w:sz w:val="24"/>
                <w:szCs w:val="24"/>
              </w:rPr>
              <w:t>will</w:t>
            </w:r>
            <w:r w:rsidRPr="00C37D86">
              <w:rPr>
                <w:iCs/>
                <w:sz w:val="24"/>
                <w:szCs w:val="24"/>
              </w:rPr>
              <w:t xml:space="preserve"> guide the strategic intent of the provincial pilot by developing a </w:t>
            </w:r>
            <w:proofErr w:type="spellStart"/>
            <w:r w:rsidRPr="00C37D86">
              <w:rPr>
                <w:iCs/>
                <w:sz w:val="24"/>
                <w:szCs w:val="24"/>
              </w:rPr>
              <w:t>Tasmalum</w:t>
            </w:r>
            <w:proofErr w:type="spellEnd"/>
            <w:r w:rsidRPr="00C37D86">
              <w:rPr>
                <w:iCs/>
                <w:sz w:val="24"/>
                <w:szCs w:val="24"/>
              </w:rPr>
              <w:t xml:space="preserve"> Health Centre Pilot Roadmap and a performance framework</w:t>
            </w:r>
            <w:r>
              <w:rPr>
                <w:iCs/>
                <w:sz w:val="24"/>
                <w:szCs w:val="24"/>
              </w:rPr>
              <w:t xml:space="preserve">.  This is already underway with links to the clinical services model and hospital masterplan project in the future. </w:t>
            </w:r>
          </w:p>
        </w:tc>
      </w:tr>
    </w:tbl>
    <w:p w14:paraId="68A0318F" w14:textId="15C6CA9F" w:rsidR="00CD4F06" w:rsidRPr="00CD4F06" w:rsidRDefault="00CD4F06" w:rsidP="00CD4F06">
      <w:pPr>
        <w:shd w:val="clear" w:color="auto" w:fill="C00000"/>
        <w:jc w:val="center"/>
        <w:rPr>
          <w:b/>
          <w:bCs/>
          <w:sz w:val="24"/>
          <w:szCs w:val="24"/>
        </w:rPr>
      </w:pPr>
      <w:r>
        <w:rPr>
          <w:rFonts w:ascii="Calibri" w:hAnsi="Calibri" w:cs="Calibri"/>
          <w:b/>
          <w:color w:val="FFFFFF"/>
          <w:sz w:val="24"/>
          <w:szCs w:val="24"/>
        </w:rPr>
        <w:t>Workforce Development</w:t>
      </w:r>
    </w:p>
    <w:tbl>
      <w:tblPr>
        <w:tblStyle w:val="TableGrid"/>
        <w:tblW w:w="0" w:type="auto"/>
        <w:tblLook w:val="04A0" w:firstRow="1" w:lastRow="0" w:firstColumn="1" w:lastColumn="0" w:noHBand="0" w:noVBand="1"/>
      </w:tblPr>
      <w:tblGrid>
        <w:gridCol w:w="4508"/>
        <w:gridCol w:w="4508"/>
      </w:tblGrid>
      <w:tr w:rsidR="00CD4F06" w:rsidRPr="00CD4F06" w14:paraId="176423A5" w14:textId="77777777" w:rsidTr="008C6DF1">
        <w:tc>
          <w:tcPr>
            <w:tcW w:w="4508" w:type="dxa"/>
          </w:tcPr>
          <w:p w14:paraId="1708E74E" w14:textId="2D96B82D" w:rsidR="00CD4F06" w:rsidRPr="00CD4F06" w:rsidRDefault="00CD4F06" w:rsidP="00CD4F06">
            <w:pPr>
              <w:rPr>
                <w:b/>
                <w:bCs/>
                <w:sz w:val="24"/>
                <w:szCs w:val="24"/>
              </w:rPr>
            </w:pPr>
            <w:r w:rsidRPr="009F43A0">
              <w:rPr>
                <w:rFonts w:ascii="Calibri" w:hAnsi="Calibri" w:cs="Calibri"/>
                <w:bCs/>
                <w:sz w:val="24"/>
                <w:szCs w:val="24"/>
              </w:rPr>
              <w:t xml:space="preserve">8. In close collaboration with the Public Service Commission (PSC) and the Vanuatu Qualifications Authority (VQA), VAHP build on current support to VCNE to scale up and prioritise </w:t>
            </w:r>
            <w:r w:rsidRPr="009F43A0">
              <w:rPr>
                <w:rFonts w:ascii="Calibri" w:eastAsia="Calibri" w:hAnsi="Calibri" w:cs="Times New Roman"/>
                <w:bCs/>
                <w:sz w:val="24"/>
                <w:szCs w:val="24"/>
              </w:rPr>
              <w:t>broader support to Nursing as the Partnership moves into Phase 2.</w:t>
            </w:r>
            <w:r w:rsidRPr="009F43A0">
              <w:rPr>
                <w:rFonts w:ascii="Calibri" w:hAnsi="Calibri" w:cs="Calibri"/>
                <w:bCs/>
                <w:sz w:val="24"/>
                <w:szCs w:val="24"/>
              </w:rPr>
              <w:t xml:space="preserve"> </w:t>
            </w:r>
          </w:p>
        </w:tc>
        <w:tc>
          <w:tcPr>
            <w:tcW w:w="4508" w:type="dxa"/>
          </w:tcPr>
          <w:p w14:paraId="4B9E6A63" w14:textId="301F3392" w:rsidR="00CD4F06" w:rsidRPr="00CD4F06" w:rsidRDefault="00CD4F06" w:rsidP="00CD4F06">
            <w:pPr>
              <w:rPr>
                <w:b/>
                <w:bCs/>
                <w:sz w:val="24"/>
                <w:szCs w:val="24"/>
              </w:rPr>
            </w:pPr>
            <w:r w:rsidRPr="00C37D86">
              <w:rPr>
                <w:b/>
                <w:bCs/>
                <w:iCs/>
                <w:sz w:val="24"/>
                <w:szCs w:val="24"/>
              </w:rPr>
              <w:t>Agree</w:t>
            </w:r>
            <w:r>
              <w:rPr>
                <w:b/>
                <w:bCs/>
                <w:iCs/>
                <w:sz w:val="24"/>
                <w:szCs w:val="24"/>
              </w:rPr>
              <w:t>:</w:t>
            </w:r>
            <w:r w:rsidRPr="00C37D86">
              <w:rPr>
                <w:iCs/>
                <w:sz w:val="24"/>
                <w:szCs w:val="24"/>
              </w:rPr>
              <w:t xml:space="preserve"> VAHP will focus on providing </w:t>
            </w:r>
            <w:r>
              <w:rPr>
                <w:iCs/>
                <w:sz w:val="24"/>
                <w:szCs w:val="24"/>
              </w:rPr>
              <w:t xml:space="preserve">enhanced </w:t>
            </w:r>
            <w:r w:rsidRPr="00C37D86">
              <w:rPr>
                <w:iCs/>
                <w:sz w:val="24"/>
                <w:szCs w:val="24"/>
              </w:rPr>
              <w:t>support and leadership to VCNE’s re-registration</w:t>
            </w:r>
            <w:r>
              <w:rPr>
                <w:iCs/>
                <w:sz w:val="24"/>
                <w:szCs w:val="24"/>
              </w:rPr>
              <w:t>.</w:t>
            </w:r>
            <w:r w:rsidRPr="00C37D86">
              <w:rPr>
                <w:iCs/>
                <w:sz w:val="24"/>
                <w:szCs w:val="24"/>
              </w:rPr>
              <w:t xml:space="preserve"> Support to the nursing workforce </w:t>
            </w:r>
            <w:r>
              <w:rPr>
                <w:iCs/>
                <w:sz w:val="24"/>
                <w:szCs w:val="24"/>
              </w:rPr>
              <w:t xml:space="preserve">will </w:t>
            </w:r>
            <w:r w:rsidRPr="00C37D86">
              <w:rPr>
                <w:iCs/>
                <w:sz w:val="24"/>
                <w:szCs w:val="24"/>
              </w:rPr>
              <w:t xml:space="preserve">also </w:t>
            </w:r>
            <w:r>
              <w:rPr>
                <w:iCs/>
                <w:sz w:val="24"/>
                <w:szCs w:val="24"/>
              </w:rPr>
              <w:t>be enhanced by the development of</w:t>
            </w:r>
            <w:r w:rsidRPr="00C37D86">
              <w:rPr>
                <w:iCs/>
                <w:sz w:val="24"/>
                <w:szCs w:val="24"/>
              </w:rPr>
              <w:t xml:space="preserve"> the clinical services model </w:t>
            </w:r>
            <w:r>
              <w:rPr>
                <w:iCs/>
                <w:sz w:val="24"/>
                <w:szCs w:val="24"/>
              </w:rPr>
              <w:t xml:space="preserve">and </w:t>
            </w:r>
            <w:r w:rsidRPr="00C37D86">
              <w:rPr>
                <w:iCs/>
                <w:sz w:val="24"/>
                <w:szCs w:val="24"/>
              </w:rPr>
              <w:t xml:space="preserve">the </w:t>
            </w:r>
            <w:r>
              <w:rPr>
                <w:iCs/>
                <w:sz w:val="24"/>
                <w:szCs w:val="24"/>
              </w:rPr>
              <w:t>h</w:t>
            </w:r>
            <w:r w:rsidRPr="00C37D86">
              <w:rPr>
                <w:iCs/>
                <w:sz w:val="24"/>
                <w:szCs w:val="24"/>
              </w:rPr>
              <w:t xml:space="preserve">ospital </w:t>
            </w:r>
            <w:r>
              <w:rPr>
                <w:iCs/>
                <w:sz w:val="24"/>
                <w:szCs w:val="24"/>
              </w:rPr>
              <w:t>m</w:t>
            </w:r>
            <w:r w:rsidRPr="00C37D86">
              <w:rPr>
                <w:iCs/>
                <w:sz w:val="24"/>
                <w:szCs w:val="24"/>
              </w:rPr>
              <w:t>aster plan</w:t>
            </w:r>
            <w:r>
              <w:rPr>
                <w:iCs/>
                <w:sz w:val="24"/>
                <w:szCs w:val="24"/>
              </w:rPr>
              <w:t xml:space="preserve"> project</w:t>
            </w:r>
            <w:r w:rsidRPr="00C37D86">
              <w:rPr>
                <w:iCs/>
                <w:sz w:val="24"/>
                <w:szCs w:val="24"/>
              </w:rPr>
              <w:t>.</w:t>
            </w:r>
            <w:r>
              <w:rPr>
                <w:iCs/>
                <w:sz w:val="24"/>
                <w:szCs w:val="24"/>
              </w:rPr>
              <w:t xml:space="preserve"> </w:t>
            </w:r>
          </w:p>
        </w:tc>
      </w:tr>
      <w:tr w:rsidR="00CD4F06" w:rsidRPr="00CD4F06" w14:paraId="577DEE4D" w14:textId="77777777" w:rsidTr="008C6DF1">
        <w:tc>
          <w:tcPr>
            <w:tcW w:w="4508" w:type="dxa"/>
          </w:tcPr>
          <w:p w14:paraId="77B835F3" w14:textId="7C4649A4" w:rsidR="00CD4F06" w:rsidRPr="009F43A0" w:rsidRDefault="00CD4F06" w:rsidP="00CD4F06">
            <w:pPr>
              <w:rPr>
                <w:rFonts w:ascii="Calibri" w:eastAsia="Calibri" w:hAnsi="Calibri" w:cs="Times New Roman"/>
                <w:bCs/>
                <w:sz w:val="24"/>
                <w:szCs w:val="24"/>
              </w:rPr>
            </w:pPr>
            <w:r w:rsidRPr="009F43A0">
              <w:rPr>
                <w:rFonts w:ascii="Calibri" w:hAnsi="Calibri" w:cs="Calibri"/>
                <w:bCs/>
                <w:sz w:val="24"/>
                <w:szCs w:val="24"/>
              </w:rPr>
              <w:t xml:space="preserve">9. In close collaboration with PSC and the VQA, VAHP increasingly support development of pre-training, and introduction of </w:t>
            </w:r>
            <w:r w:rsidRPr="009F43A0">
              <w:rPr>
                <w:rFonts w:ascii="Calibri" w:hAnsi="Calibri" w:cs="Calibri"/>
                <w:bCs/>
                <w:color w:val="404040" w:themeColor="text1" w:themeTint="BF"/>
                <w:sz w:val="24"/>
                <w:szCs w:val="24"/>
              </w:rPr>
              <w:t xml:space="preserve">in-service training, </w:t>
            </w:r>
            <w:r w:rsidRPr="009F43A0">
              <w:rPr>
                <w:rFonts w:ascii="Calibri" w:hAnsi="Calibri" w:cs="Calibri"/>
                <w:bCs/>
                <w:sz w:val="24"/>
                <w:szCs w:val="24"/>
              </w:rPr>
              <w:t xml:space="preserve">for nursing cadres. This to include exploring the potential for virtual training and taking the opportunity to </w:t>
            </w:r>
            <w:r w:rsidRPr="009F43A0">
              <w:rPr>
                <w:rFonts w:ascii="Calibri" w:eastAsia="Calibri" w:hAnsi="Calibri" w:cs="Times New Roman"/>
                <w:bCs/>
                <w:sz w:val="24"/>
                <w:szCs w:val="24"/>
              </w:rPr>
              <w:t>integrate GEDSI/Inclusive Health and climate considerations into relevant modules.</w:t>
            </w:r>
          </w:p>
        </w:tc>
        <w:tc>
          <w:tcPr>
            <w:tcW w:w="4508" w:type="dxa"/>
          </w:tcPr>
          <w:p w14:paraId="70FA9047" w14:textId="77D777EC" w:rsidR="00CD4F06" w:rsidRPr="00C37D86" w:rsidRDefault="00CD4F06" w:rsidP="00CD4F06">
            <w:pPr>
              <w:rPr>
                <w:b/>
                <w:bCs/>
                <w:iCs/>
                <w:sz w:val="24"/>
                <w:szCs w:val="24"/>
              </w:rPr>
            </w:pPr>
            <w:r w:rsidRPr="00C37D86">
              <w:rPr>
                <w:b/>
                <w:bCs/>
                <w:iCs/>
                <w:sz w:val="24"/>
                <w:szCs w:val="24"/>
              </w:rPr>
              <w:t>Agree</w:t>
            </w:r>
            <w:r>
              <w:rPr>
                <w:b/>
                <w:bCs/>
                <w:iCs/>
                <w:sz w:val="24"/>
                <w:szCs w:val="24"/>
              </w:rPr>
              <w:t>:</w:t>
            </w:r>
            <w:r w:rsidRPr="00C37D86">
              <w:rPr>
                <w:b/>
                <w:bCs/>
                <w:iCs/>
                <w:sz w:val="24"/>
                <w:szCs w:val="24"/>
              </w:rPr>
              <w:t xml:space="preserve"> </w:t>
            </w:r>
            <w:r w:rsidRPr="00C37D86">
              <w:rPr>
                <w:iCs/>
                <w:sz w:val="24"/>
                <w:szCs w:val="24"/>
              </w:rPr>
              <w:t>VAHP will provide support to MOH for in-service training for nursing cadres. VAHP will</w:t>
            </w:r>
            <w:r>
              <w:rPr>
                <w:iCs/>
                <w:sz w:val="24"/>
                <w:szCs w:val="24"/>
              </w:rPr>
              <w:t xml:space="preserve"> support MoH in its development of</w:t>
            </w:r>
            <w:r w:rsidRPr="00C37D86">
              <w:rPr>
                <w:iCs/>
                <w:sz w:val="24"/>
                <w:szCs w:val="24"/>
              </w:rPr>
              <w:t xml:space="preserve"> targeted training</w:t>
            </w:r>
            <w:r>
              <w:rPr>
                <w:iCs/>
                <w:sz w:val="24"/>
                <w:szCs w:val="24"/>
              </w:rPr>
              <w:t>. This may include technical resources or engagement of partners through the MoH systems and processes.</w:t>
            </w:r>
            <w:r w:rsidRPr="00C37D86">
              <w:rPr>
                <w:iCs/>
                <w:sz w:val="24"/>
                <w:szCs w:val="24"/>
              </w:rPr>
              <w:t xml:space="preserve"> </w:t>
            </w:r>
            <w:r>
              <w:rPr>
                <w:iCs/>
                <w:sz w:val="24"/>
                <w:szCs w:val="24"/>
              </w:rPr>
              <w:t xml:space="preserve"> For climate considerations VAHP may consult with Australia Pacific Climate Partnership.</w:t>
            </w:r>
          </w:p>
        </w:tc>
      </w:tr>
    </w:tbl>
    <w:p w14:paraId="5A5FBC8A" w14:textId="2A4C1C3C" w:rsidR="00872DDF" w:rsidRPr="00CD4F06" w:rsidRDefault="00CD4F06" w:rsidP="00CD4F06">
      <w:pPr>
        <w:shd w:val="clear" w:color="auto" w:fill="C00000"/>
        <w:jc w:val="center"/>
        <w:rPr>
          <w:sz w:val="24"/>
          <w:szCs w:val="24"/>
        </w:rPr>
      </w:pPr>
      <w:r>
        <w:rPr>
          <w:rFonts w:ascii="Calibri" w:hAnsi="Calibri" w:cs="Calibri"/>
          <w:b/>
          <w:color w:val="FFFFFF"/>
          <w:sz w:val="24"/>
          <w:szCs w:val="24"/>
        </w:rPr>
        <w:t xml:space="preserve">Health Sector </w:t>
      </w:r>
      <w:r w:rsidRPr="00AE2DA0">
        <w:rPr>
          <w:rFonts w:ascii="Calibri" w:hAnsi="Calibri" w:cs="Calibri"/>
          <w:b/>
          <w:color w:val="FFFFFF"/>
          <w:sz w:val="24"/>
          <w:szCs w:val="24"/>
        </w:rPr>
        <w:t>Coordination</w:t>
      </w:r>
    </w:p>
    <w:tbl>
      <w:tblPr>
        <w:tblStyle w:val="TableGrid"/>
        <w:tblW w:w="0" w:type="auto"/>
        <w:tblLook w:val="04A0" w:firstRow="1" w:lastRow="0" w:firstColumn="1" w:lastColumn="0" w:noHBand="0" w:noVBand="1"/>
      </w:tblPr>
      <w:tblGrid>
        <w:gridCol w:w="4508"/>
        <w:gridCol w:w="4508"/>
      </w:tblGrid>
      <w:tr w:rsidR="00CD4F06" w:rsidRPr="00CD4F06" w14:paraId="5F18EF60" w14:textId="77777777" w:rsidTr="008C6DF1">
        <w:tc>
          <w:tcPr>
            <w:tcW w:w="4508" w:type="dxa"/>
          </w:tcPr>
          <w:p w14:paraId="0F90D96F" w14:textId="61F2BBFC" w:rsidR="00CD4F06" w:rsidRPr="00CD4F06" w:rsidRDefault="00CD4F06" w:rsidP="00CD4F06">
            <w:pPr>
              <w:rPr>
                <w:rFonts w:cstheme="minorHAnsi"/>
                <w:bCs/>
                <w:sz w:val="24"/>
                <w:szCs w:val="24"/>
              </w:rPr>
            </w:pPr>
            <w:r w:rsidRPr="009F43A0">
              <w:rPr>
                <w:rFonts w:cstheme="minorHAnsi"/>
                <w:bCs/>
                <w:sz w:val="24"/>
                <w:szCs w:val="24"/>
              </w:rPr>
              <w:t xml:space="preserve">10. </w:t>
            </w:r>
            <w:r w:rsidRPr="009F43A0">
              <w:rPr>
                <w:rFonts w:ascii="Calibri" w:eastAsia="Calibri" w:hAnsi="Calibri" w:cs="Times New Roman"/>
                <w:bCs/>
                <w:sz w:val="24"/>
                <w:szCs w:val="24"/>
              </w:rPr>
              <w:t>DFAT, ideally in conjunction with or in support of WHO, consider proactively progressing informal donor coordination. A first step might be to co-host with WHO a health partners catch-up with a view to institutionalising such</w:t>
            </w:r>
            <w:r w:rsidRPr="009F43A0">
              <w:rPr>
                <w:rFonts w:cstheme="minorHAnsi"/>
                <w:bCs/>
                <w:sz w:val="24"/>
                <w:szCs w:val="24"/>
              </w:rPr>
              <w:t xml:space="preserve"> catchups on a regular basis. As a minimum, DFAT to consider </w:t>
            </w:r>
          </w:p>
        </w:tc>
        <w:tc>
          <w:tcPr>
            <w:tcW w:w="4508" w:type="dxa"/>
          </w:tcPr>
          <w:p w14:paraId="02E6FCA7" w14:textId="77777777" w:rsidR="00CD4F06" w:rsidRDefault="00CD4F06" w:rsidP="00CD4F06">
            <w:pPr>
              <w:rPr>
                <w:iCs/>
                <w:sz w:val="24"/>
                <w:szCs w:val="24"/>
              </w:rPr>
            </w:pPr>
            <w:r w:rsidRPr="00C37D86">
              <w:rPr>
                <w:b/>
                <w:bCs/>
                <w:iCs/>
                <w:sz w:val="24"/>
                <w:szCs w:val="24"/>
              </w:rPr>
              <w:t>Agree</w:t>
            </w:r>
            <w:r>
              <w:rPr>
                <w:b/>
                <w:bCs/>
                <w:iCs/>
                <w:sz w:val="24"/>
                <w:szCs w:val="24"/>
              </w:rPr>
              <w:t>:</w:t>
            </w:r>
            <w:r w:rsidRPr="00C37D86">
              <w:rPr>
                <w:b/>
                <w:bCs/>
                <w:iCs/>
                <w:sz w:val="24"/>
                <w:szCs w:val="24"/>
              </w:rPr>
              <w:t xml:space="preserve"> </w:t>
            </w:r>
            <w:r>
              <w:rPr>
                <w:iCs/>
                <w:sz w:val="24"/>
                <w:szCs w:val="24"/>
              </w:rPr>
              <w:t>In support of WHO’s broader leadership on donor coordination,</w:t>
            </w:r>
            <w:r w:rsidRPr="00C37D86">
              <w:rPr>
                <w:iCs/>
                <w:sz w:val="24"/>
                <w:szCs w:val="24"/>
              </w:rPr>
              <w:t xml:space="preserve"> DFAT will </w:t>
            </w:r>
            <w:r>
              <w:rPr>
                <w:iCs/>
                <w:sz w:val="24"/>
                <w:szCs w:val="24"/>
              </w:rPr>
              <w:t xml:space="preserve">additionally </w:t>
            </w:r>
            <w:r w:rsidRPr="00C37D86">
              <w:rPr>
                <w:iCs/>
                <w:sz w:val="24"/>
                <w:szCs w:val="24"/>
              </w:rPr>
              <w:t>focus on informal coordination with DFAT</w:t>
            </w:r>
            <w:r>
              <w:rPr>
                <w:iCs/>
                <w:sz w:val="24"/>
                <w:szCs w:val="24"/>
              </w:rPr>
              <w:t>-</w:t>
            </w:r>
            <w:r w:rsidRPr="00C37D86">
              <w:rPr>
                <w:iCs/>
                <w:sz w:val="24"/>
                <w:szCs w:val="24"/>
              </w:rPr>
              <w:t>funded partners. DFAT will use the master</w:t>
            </w:r>
            <w:r>
              <w:rPr>
                <w:iCs/>
                <w:sz w:val="24"/>
                <w:szCs w:val="24"/>
              </w:rPr>
              <w:t xml:space="preserve"> </w:t>
            </w:r>
            <w:r w:rsidRPr="00C37D86">
              <w:rPr>
                <w:iCs/>
                <w:sz w:val="24"/>
                <w:szCs w:val="24"/>
              </w:rPr>
              <w:t xml:space="preserve">plan work as a tool to </w:t>
            </w:r>
            <w:r>
              <w:rPr>
                <w:iCs/>
                <w:sz w:val="24"/>
                <w:szCs w:val="24"/>
              </w:rPr>
              <w:t>influence and support WHO to lead stronger</w:t>
            </w:r>
            <w:r w:rsidRPr="00C37D86">
              <w:rPr>
                <w:iCs/>
                <w:sz w:val="24"/>
                <w:szCs w:val="24"/>
              </w:rPr>
              <w:t xml:space="preserve"> </w:t>
            </w:r>
            <w:r>
              <w:rPr>
                <w:iCs/>
                <w:sz w:val="24"/>
                <w:szCs w:val="24"/>
              </w:rPr>
              <w:t>partner</w:t>
            </w:r>
            <w:r w:rsidRPr="00C37D86">
              <w:rPr>
                <w:iCs/>
                <w:sz w:val="24"/>
                <w:szCs w:val="24"/>
              </w:rPr>
              <w:t xml:space="preserve"> coordination and strengthen governance</w:t>
            </w:r>
          </w:p>
          <w:p w14:paraId="42F228ED" w14:textId="0398404A" w:rsidR="00E96C9C" w:rsidRPr="00CD4F06" w:rsidRDefault="00E96C9C" w:rsidP="00CD4F06">
            <w:pPr>
              <w:rPr>
                <w:b/>
                <w:bCs/>
                <w:sz w:val="24"/>
                <w:szCs w:val="24"/>
              </w:rPr>
            </w:pPr>
          </w:p>
        </w:tc>
      </w:tr>
      <w:tr w:rsidR="00CD4F06" w:rsidRPr="00CD4F06" w14:paraId="5C181911" w14:textId="77777777" w:rsidTr="00CD4F06">
        <w:tc>
          <w:tcPr>
            <w:tcW w:w="4508" w:type="dxa"/>
            <w:shd w:val="clear" w:color="auto" w:fill="000000" w:themeFill="text1"/>
          </w:tcPr>
          <w:p w14:paraId="5FDCC487" w14:textId="70A5F264" w:rsidR="00CD4F06" w:rsidRPr="009F43A0" w:rsidRDefault="00CD4F06" w:rsidP="00CD4F06">
            <w:pPr>
              <w:rPr>
                <w:rFonts w:cstheme="minorHAnsi"/>
                <w:bCs/>
                <w:sz w:val="24"/>
                <w:szCs w:val="24"/>
              </w:rPr>
            </w:pPr>
            <w:r w:rsidRPr="00CD4F06">
              <w:rPr>
                <w:rFonts w:ascii="Calibri" w:hAnsi="Calibri" w:cs="Calibri"/>
                <w:b/>
                <w:color w:val="FFFFFF" w:themeColor="background1"/>
                <w:sz w:val="24"/>
                <w:szCs w:val="24"/>
              </w:rPr>
              <w:lastRenderedPageBreak/>
              <w:t>MTR Recommendations</w:t>
            </w:r>
          </w:p>
        </w:tc>
        <w:tc>
          <w:tcPr>
            <w:tcW w:w="4508" w:type="dxa"/>
            <w:shd w:val="clear" w:color="auto" w:fill="000000" w:themeFill="text1"/>
          </w:tcPr>
          <w:p w14:paraId="336C4822" w14:textId="2950DE4A" w:rsidR="00CD4F06" w:rsidRPr="00C37D86" w:rsidRDefault="00CD4F06" w:rsidP="00CD4F06">
            <w:pPr>
              <w:rPr>
                <w:iCs/>
                <w:sz w:val="24"/>
                <w:szCs w:val="24"/>
              </w:rPr>
            </w:pPr>
            <w:r w:rsidRPr="00CD4F06">
              <w:rPr>
                <w:rFonts w:ascii="Calibri" w:hAnsi="Calibri" w:cs="Calibri"/>
                <w:b/>
                <w:color w:val="FFFFFF" w:themeColor="background1"/>
                <w:sz w:val="24"/>
                <w:szCs w:val="24"/>
              </w:rPr>
              <w:t>DFAT Management Responses</w:t>
            </w:r>
          </w:p>
        </w:tc>
      </w:tr>
      <w:tr w:rsidR="00CD4F06" w:rsidRPr="00CD4F06" w14:paraId="7A38313E" w14:textId="77777777" w:rsidTr="00CD4F06">
        <w:tc>
          <w:tcPr>
            <w:tcW w:w="4508" w:type="dxa"/>
          </w:tcPr>
          <w:p w14:paraId="769D6461" w14:textId="216FD5B3" w:rsidR="00CD4F06" w:rsidRPr="00CD4F06" w:rsidRDefault="00CD4F06" w:rsidP="00CD4F06">
            <w:pPr>
              <w:rPr>
                <w:b/>
                <w:bCs/>
                <w:sz w:val="24"/>
                <w:szCs w:val="24"/>
              </w:rPr>
            </w:pPr>
            <w:r w:rsidRPr="009F43A0">
              <w:rPr>
                <w:rFonts w:cstheme="minorHAnsi"/>
                <w:bCs/>
                <w:sz w:val="24"/>
                <w:szCs w:val="24"/>
              </w:rPr>
              <w:t>informally coordinating on a regular basis with the agencies to which it provides funding (WHO, UNICEF, UNFPA etc).</w:t>
            </w:r>
          </w:p>
        </w:tc>
        <w:tc>
          <w:tcPr>
            <w:tcW w:w="4508" w:type="dxa"/>
          </w:tcPr>
          <w:p w14:paraId="0F20D92C" w14:textId="6E61B9DE" w:rsidR="00CD4F06" w:rsidRPr="00CD4F06" w:rsidRDefault="00CD4F06" w:rsidP="00CD4F06">
            <w:pPr>
              <w:rPr>
                <w:b/>
                <w:bCs/>
                <w:sz w:val="24"/>
                <w:szCs w:val="24"/>
              </w:rPr>
            </w:pPr>
            <w:r w:rsidRPr="00C37D86">
              <w:rPr>
                <w:iCs/>
                <w:sz w:val="24"/>
                <w:szCs w:val="24"/>
              </w:rPr>
              <w:t xml:space="preserve">structures </w:t>
            </w:r>
            <w:r>
              <w:rPr>
                <w:iCs/>
                <w:sz w:val="24"/>
                <w:szCs w:val="24"/>
              </w:rPr>
              <w:t>from</w:t>
            </w:r>
            <w:r w:rsidRPr="00C37D86">
              <w:rPr>
                <w:iCs/>
                <w:sz w:val="24"/>
                <w:szCs w:val="24"/>
              </w:rPr>
              <w:t xml:space="preserve"> national </w:t>
            </w:r>
            <w:r>
              <w:rPr>
                <w:iCs/>
                <w:sz w:val="24"/>
                <w:szCs w:val="24"/>
              </w:rPr>
              <w:t xml:space="preserve">to </w:t>
            </w:r>
            <w:r w:rsidRPr="00C37D86">
              <w:rPr>
                <w:iCs/>
                <w:sz w:val="24"/>
                <w:szCs w:val="24"/>
              </w:rPr>
              <w:t>provincial l</w:t>
            </w:r>
            <w:r>
              <w:rPr>
                <w:iCs/>
                <w:sz w:val="24"/>
                <w:szCs w:val="24"/>
              </w:rPr>
              <w:t>evel.</w:t>
            </w:r>
          </w:p>
        </w:tc>
      </w:tr>
    </w:tbl>
    <w:p w14:paraId="16C146E9" w14:textId="0FCA1C3C" w:rsidR="00CD4F06" w:rsidRDefault="00CD4F06" w:rsidP="00CD4F06">
      <w:pPr>
        <w:shd w:val="clear" w:color="auto" w:fill="C00000"/>
        <w:jc w:val="center"/>
        <w:rPr>
          <w:rFonts w:ascii="Calibri" w:hAnsi="Calibri" w:cs="Calibri"/>
          <w:b/>
          <w:color w:val="FFFFFF"/>
          <w:sz w:val="24"/>
          <w:szCs w:val="24"/>
        </w:rPr>
      </w:pPr>
      <w:r>
        <w:rPr>
          <w:rFonts w:ascii="Calibri" w:hAnsi="Calibri" w:cs="Calibri"/>
          <w:b/>
          <w:color w:val="FFFFFF"/>
          <w:sz w:val="24"/>
          <w:szCs w:val="24"/>
        </w:rPr>
        <w:t>Direct Finance Agreement</w:t>
      </w:r>
    </w:p>
    <w:tbl>
      <w:tblPr>
        <w:tblStyle w:val="TableGrid"/>
        <w:tblW w:w="0" w:type="auto"/>
        <w:tblLook w:val="04A0" w:firstRow="1" w:lastRow="0" w:firstColumn="1" w:lastColumn="0" w:noHBand="0" w:noVBand="1"/>
      </w:tblPr>
      <w:tblGrid>
        <w:gridCol w:w="4508"/>
        <w:gridCol w:w="4508"/>
      </w:tblGrid>
      <w:tr w:rsidR="00CD4F06" w:rsidRPr="00CD4F06" w14:paraId="58E8451F" w14:textId="77777777" w:rsidTr="008C6DF1">
        <w:tc>
          <w:tcPr>
            <w:tcW w:w="4508" w:type="dxa"/>
          </w:tcPr>
          <w:p w14:paraId="4D2DF813" w14:textId="4BCDDE93" w:rsidR="00CD4F06" w:rsidRPr="00CD4F06" w:rsidRDefault="00CD4F06" w:rsidP="00CD4F06">
            <w:pPr>
              <w:rPr>
                <w:rFonts w:cstheme="minorHAnsi"/>
                <w:bCs/>
                <w:sz w:val="24"/>
                <w:szCs w:val="24"/>
              </w:rPr>
            </w:pPr>
            <w:r w:rsidRPr="009F43A0">
              <w:rPr>
                <w:rFonts w:cstheme="minorHAnsi"/>
                <w:sz w:val="24"/>
                <w:szCs w:val="24"/>
              </w:rPr>
              <w:t>11. Ways of working with DFA be reviewed with a view to making it more efficient.  Several specific recommendations are proposed at the end of section 3.4.2 of the report.</w:t>
            </w:r>
          </w:p>
        </w:tc>
        <w:tc>
          <w:tcPr>
            <w:tcW w:w="4508" w:type="dxa"/>
          </w:tcPr>
          <w:p w14:paraId="7792E1AB" w14:textId="31FB6B7C" w:rsidR="00CD4F06" w:rsidRPr="003B5B9C" w:rsidRDefault="00CD4F06" w:rsidP="00CD4F06">
            <w:pPr>
              <w:rPr>
                <w:iCs/>
                <w:sz w:val="24"/>
                <w:szCs w:val="24"/>
              </w:rPr>
            </w:pPr>
            <w:r w:rsidRPr="00C37D86">
              <w:rPr>
                <w:b/>
                <w:bCs/>
                <w:iCs/>
                <w:sz w:val="24"/>
                <w:szCs w:val="24"/>
              </w:rPr>
              <w:t xml:space="preserve">Agree </w:t>
            </w:r>
            <w:r w:rsidRPr="00C37D86">
              <w:rPr>
                <w:iCs/>
                <w:sz w:val="24"/>
                <w:szCs w:val="24"/>
              </w:rPr>
              <w:t>that VAHP will increase TA resourcing such as a PFM specialist to explore options to streamline DFA processes while ensuring the right balance between fiduciary risk and reputation risk. VAHP will work with DFAT to review and address reforms to the DFA and ensure DFA allocations are clearly aligned to the joint DFAT-</w:t>
            </w:r>
            <w:proofErr w:type="spellStart"/>
            <w:r w:rsidRPr="00C37D86">
              <w:rPr>
                <w:iCs/>
                <w:sz w:val="24"/>
                <w:szCs w:val="24"/>
              </w:rPr>
              <w:t>GoV</w:t>
            </w:r>
            <w:proofErr w:type="spellEnd"/>
            <w:r w:rsidRPr="00C37D86">
              <w:rPr>
                <w:iCs/>
                <w:sz w:val="24"/>
                <w:szCs w:val="24"/>
              </w:rPr>
              <w:t xml:space="preserve"> objectives for VAHP</w:t>
            </w:r>
            <w:r>
              <w:rPr>
                <w:iCs/>
                <w:sz w:val="24"/>
                <w:szCs w:val="24"/>
              </w:rPr>
              <w:t xml:space="preserve"> which are linked to the NSDP and the HSS</w:t>
            </w:r>
            <w:r w:rsidRPr="00C37D86">
              <w:rPr>
                <w:iCs/>
                <w:sz w:val="24"/>
                <w:szCs w:val="24"/>
              </w:rPr>
              <w:t>.</w:t>
            </w:r>
          </w:p>
        </w:tc>
      </w:tr>
    </w:tbl>
    <w:p w14:paraId="7B35163B" w14:textId="3710110F" w:rsidR="003B5B9C" w:rsidRDefault="003B5B9C" w:rsidP="003B5B9C">
      <w:pPr>
        <w:shd w:val="clear" w:color="auto" w:fill="C00000"/>
        <w:jc w:val="center"/>
        <w:rPr>
          <w:rFonts w:ascii="Calibri" w:hAnsi="Calibri" w:cs="Calibri"/>
          <w:b/>
          <w:color w:val="FFFFFF"/>
          <w:sz w:val="24"/>
          <w:szCs w:val="24"/>
        </w:rPr>
      </w:pPr>
      <w:r w:rsidRPr="00AE2DA0">
        <w:rPr>
          <w:rFonts w:ascii="Calibri" w:hAnsi="Calibri" w:cs="Calibri"/>
          <w:b/>
          <w:color w:val="FFFFFF"/>
          <w:sz w:val="24"/>
          <w:szCs w:val="24"/>
        </w:rPr>
        <w:t>GEDSI</w:t>
      </w:r>
    </w:p>
    <w:tbl>
      <w:tblPr>
        <w:tblStyle w:val="TableGrid"/>
        <w:tblW w:w="0" w:type="auto"/>
        <w:tblLook w:val="04A0" w:firstRow="1" w:lastRow="0" w:firstColumn="1" w:lastColumn="0" w:noHBand="0" w:noVBand="1"/>
      </w:tblPr>
      <w:tblGrid>
        <w:gridCol w:w="4508"/>
        <w:gridCol w:w="4508"/>
      </w:tblGrid>
      <w:tr w:rsidR="003B5B9C" w:rsidRPr="00CD4F06" w14:paraId="768B3498" w14:textId="77777777" w:rsidTr="008C6DF1">
        <w:tc>
          <w:tcPr>
            <w:tcW w:w="4508" w:type="dxa"/>
          </w:tcPr>
          <w:p w14:paraId="2239DC16" w14:textId="764F0086" w:rsidR="003B5B9C" w:rsidRPr="00CD4F06" w:rsidRDefault="003B5B9C" w:rsidP="003B5B9C">
            <w:pPr>
              <w:rPr>
                <w:rFonts w:cstheme="minorHAnsi"/>
                <w:bCs/>
                <w:sz w:val="24"/>
                <w:szCs w:val="24"/>
              </w:rPr>
            </w:pPr>
            <w:r w:rsidRPr="009F43A0">
              <w:rPr>
                <w:rFonts w:ascii="Calibri" w:hAnsi="Calibri" w:cs="Calibri"/>
                <w:bCs/>
                <w:sz w:val="24"/>
                <w:szCs w:val="24"/>
              </w:rPr>
              <w:t>12. Working closely with central agencies, VAHP expand Women in Leadership opportunities for nurses, including those at Provincial level, to support and model inclusive leadership.</w:t>
            </w:r>
          </w:p>
        </w:tc>
        <w:tc>
          <w:tcPr>
            <w:tcW w:w="4508" w:type="dxa"/>
          </w:tcPr>
          <w:p w14:paraId="0C6E1794" w14:textId="4FD40ED0" w:rsidR="003B5B9C" w:rsidRPr="00CD4F06" w:rsidRDefault="003B5B9C" w:rsidP="003B5B9C">
            <w:pPr>
              <w:rPr>
                <w:b/>
                <w:bCs/>
                <w:sz w:val="24"/>
                <w:szCs w:val="24"/>
              </w:rPr>
            </w:pPr>
            <w:r w:rsidRPr="00C37D86">
              <w:rPr>
                <w:b/>
                <w:bCs/>
                <w:iCs/>
                <w:sz w:val="24"/>
                <w:szCs w:val="24"/>
              </w:rPr>
              <w:t xml:space="preserve">Agree </w:t>
            </w:r>
            <w:r w:rsidRPr="00C37D86">
              <w:rPr>
                <w:iCs/>
                <w:sz w:val="24"/>
                <w:szCs w:val="24"/>
              </w:rPr>
              <w:t>to prioriti</w:t>
            </w:r>
            <w:r>
              <w:rPr>
                <w:iCs/>
                <w:sz w:val="24"/>
                <w:szCs w:val="24"/>
              </w:rPr>
              <w:t>se</w:t>
            </w:r>
            <w:r w:rsidRPr="00C37D86">
              <w:rPr>
                <w:iCs/>
                <w:sz w:val="24"/>
                <w:szCs w:val="24"/>
              </w:rPr>
              <w:t xml:space="preserve"> provincial participation in the Women in Leadership Program (WILP). The Technical Working Group is reviewing cohort 1 and considering cohort 2 to be in Santo. Northern Provincial Hospital Medical Superintendent and staff have already indicated their readiness. MOH Health executive will endorse this with </w:t>
            </w:r>
            <w:r>
              <w:rPr>
                <w:iCs/>
                <w:sz w:val="24"/>
                <w:szCs w:val="24"/>
              </w:rPr>
              <w:t xml:space="preserve">funding </w:t>
            </w:r>
            <w:r w:rsidRPr="00C37D86">
              <w:rPr>
                <w:iCs/>
                <w:sz w:val="24"/>
                <w:szCs w:val="24"/>
              </w:rPr>
              <w:t>support from the DFA.</w:t>
            </w:r>
          </w:p>
        </w:tc>
      </w:tr>
      <w:tr w:rsidR="003B5B9C" w:rsidRPr="00CD4F06" w14:paraId="66DC8E53" w14:textId="77777777" w:rsidTr="008C6DF1">
        <w:tc>
          <w:tcPr>
            <w:tcW w:w="4508" w:type="dxa"/>
          </w:tcPr>
          <w:p w14:paraId="3FE79FD4" w14:textId="15491E67" w:rsidR="003B5B9C" w:rsidRPr="00CD4F06" w:rsidRDefault="003B5B9C" w:rsidP="003B5B9C">
            <w:pPr>
              <w:rPr>
                <w:rFonts w:cstheme="minorHAnsi"/>
                <w:bCs/>
                <w:sz w:val="24"/>
                <w:szCs w:val="24"/>
              </w:rPr>
            </w:pPr>
            <w:r w:rsidRPr="009F43A0">
              <w:rPr>
                <w:rFonts w:ascii="Calibri" w:hAnsi="Calibri" w:cs="Calibri"/>
                <w:bCs/>
                <w:sz w:val="24"/>
                <w:szCs w:val="24"/>
              </w:rPr>
              <w:t xml:space="preserve">13. VAHP to build on current program of work in GBV to support the establishment of a register of on-call health professionals that are equipped and trained to respond to GBV service demands during times of emergency which are a more frequent occurrence due to climate change.  </w:t>
            </w:r>
          </w:p>
        </w:tc>
        <w:tc>
          <w:tcPr>
            <w:tcW w:w="4508" w:type="dxa"/>
          </w:tcPr>
          <w:p w14:paraId="33EB59B0" w14:textId="31200AEB" w:rsidR="003B5B9C" w:rsidRPr="00CD4F06" w:rsidRDefault="003B5B9C" w:rsidP="003B5B9C">
            <w:pPr>
              <w:rPr>
                <w:b/>
                <w:bCs/>
                <w:sz w:val="24"/>
                <w:szCs w:val="24"/>
              </w:rPr>
            </w:pPr>
            <w:r>
              <w:rPr>
                <w:b/>
                <w:bCs/>
                <w:iCs/>
                <w:sz w:val="24"/>
                <w:szCs w:val="24"/>
              </w:rPr>
              <w:t xml:space="preserve">Partially agree: </w:t>
            </w:r>
            <w:r w:rsidRPr="00B84D4E">
              <w:rPr>
                <w:iCs/>
                <w:sz w:val="24"/>
                <w:szCs w:val="24"/>
              </w:rPr>
              <w:t>DFAT will</w:t>
            </w:r>
            <w:r w:rsidRPr="00C37D86">
              <w:rPr>
                <w:iCs/>
                <w:sz w:val="24"/>
                <w:szCs w:val="24"/>
              </w:rPr>
              <w:t xml:space="preserve"> </w:t>
            </w:r>
            <w:r>
              <w:rPr>
                <w:iCs/>
                <w:sz w:val="24"/>
                <w:szCs w:val="24"/>
              </w:rPr>
              <w:t>capitalise on existing relevant DFAT-funded work in GBV through</w:t>
            </w:r>
            <w:r w:rsidRPr="00C37D86">
              <w:rPr>
                <w:iCs/>
                <w:sz w:val="24"/>
                <w:szCs w:val="24"/>
              </w:rPr>
              <w:t xml:space="preserve"> UNFPA</w:t>
            </w:r>
            <w:r>
              <w:rPr>
                <w:iCs/>
                <w:sz w:val="24"/>
                <w:szCs w:val="24"/>
              </w:rPr>
              <w:t>’s</w:t>
            </w:r>
            <w:r w:rsidRPr="00C37D86">
              <w:rPr>
                <w:iCs/>
                <w:sz w:val="24"/>
                <w:szCs w:val="24"/>
              </w:rPr>
              <w:t xml:space="preserve"> Transformative Agenda. VAHP </w:t>
            </w:r>
            <w:r>
              <w:rPr>
                <w:iCs/>
                <w:sz w:val="24"/>
                <w:szCs w:val="24"/>
              </w:rPr>
              <w:t xml:space="preserve">will also </w:t>
            </w:r>
            <w:r w:rsidRPr="00C37D86">
              <w:rPr>
                <w:iCs/>
                <w:sz w:val="24"/>
                <w:szCs w:val="24"/>
              </w:rPr>
              <w:t>coordinate efforts with other relevant partners</w:t>
            </w:r>
            <w:r>
              <w:rPr>
                <w:iCs/>
                <w:sz w:val="24"/>
                <w:szCs w:val="24"/>
              </w:rPr>
              <w:t xml:space="preserve"> working in this space</w:t>
            </w:r>
            <w:r w:rsidRPr="00C37D86">
              <w:rPr>
                <w:iCs/>
                <w:sz w:val="24"/>
                <w:szCs w:val="24"/>
              </w:rPr>
              <w:t xml:space="preserve"> like WHO.</w:t>
            </w:r>
          </w:p>
        </w:tc>
      </w:tr>
      <w:tr w:rsidR="003B5B9C" w:rsidRPr="00CD4F06" w14:paraId="7042B5CB" w14:textId="77777777" w:rsidTr="008C6DF1">
        <w:tc>
          <w:tcPr>
            <w:tcW w:w="4508" w:type="dxa"/>
          </w:tcPr>
          <w:p w14:paraId="16429C46" w14:textId="354FA75F" w:rsidR="003B5B9C" w:rsidRPr="00CD4F06" w:rsidRDefault="003B5B9C" w:rsidP="003B5B9C">
            <w:pPr>
              <w:rPr>
                <w:rFonts w:cstheme="minorHAnsi"/>
                <w:bCs/>
                <w:sz w:val="24"/>
                <w:szCs w:val="24"/>
              </w:rPr>
            </w:pPr>
            <w:r w:rsidRPr="009F43A0">
              <w:rPr>
                <w:rFonts w:ascii="Calibri" w:hAnsi="Calibri" w:cs="Calibri"/>
                <w:bCs/>
                <w:sz w:val="24"/>
                <w:szCs w:val="24"/>
              </w:rPr>
              <w:t xml:space="preserve">14. If continuing GBV focus into next phase VAHP work collaboratively to expand current activities to pilot and monitor a comprehensive GBV service package including testing referral pathways and other MoH approved ‘service ready’ elements at Provincial level, with a view to scaling in the next phase. </w:t>
            </w:r>
          </w:p>
        </w:tc>
        <w:tc>
          <w:tcPr>
            <w:tcW w:w="4508" w:type="dxa"/>
          </w:tcPr>
          <w:p w14:paraId="1471E3F4" w14:textId="4BD4C4B9" w:rsidR="003B5B9C" w:rsidRPr="00CD4F06" w:rsidRDefault="003B5B9C" w:rsidP="003B5B9C">
            <w:pPr>
              <w:rPr>
                <w:b/>
                <w:bCs/>
                <w:sz w:val="24"/>
                <w:szCs w:val="24"/>
              </w:rPr>
            </w:pPr>
            <w:r w:rsidRPr="00C37D86">
              <w:rPr>
                <w:b/>
                <w:bCs/>
                <w:iCs/>
                <w:sz w:val="24"/>
                <w:szCs w:val="24"/>
              </w:rPr>
              <w:t xml:space="preserve">Agree </w:t>
            </w:r>
            <w:r w:rsidRPr="00C37D86">
              <w:rPr>
                <w:iCs/>
                <w:sz w:val="24"/>
                <w:szCs w:val="24"/>
              </w:rPr>
              <w:t xml:space="preserve">that VAHP will work with the MOH inclusive </w:t>
            </w:r>
            <w:r>
              <w:rPr>
                <w:iCs/>
                <w:sz w:val="24"/>
                <w:szCs w:val="24"/>
              </w:rPr>
              <w:t>h</w:t>
            </w:r>
            <w:r w:rsidRPr="00C37D86">
              <w:rPr>
                <w:iCs/>
                <w:sz w:val="24"/>
                <w:szCs w:val="24"/>
              </w:rPr>
              <w:t xml:space="preserve">ealth </w:t>
            </w:r>
            <w:r>
              <w:rPr>
                <w:iCs/>
                <w:sz w:val="24"/>
                <w:szCs w:val="24"/>
              </w:rPr>
              <w:t>c</w:t>
            </w:r>
            <w:r w:rsidRPr="00C37D86">
              <w:rPr>
                <w:iCs/>
                <w:sz w:val="24"/>
                <w:szCs w:val="24"/>
              </w:rPr>
              <w:t xml:space="preserve">ommittee and </w:t>
            </w:r>
            <w:r>
              <w:rPr>
                <w:iCs/>
                <w:sz w:val="24"/>
                <w:szCs w:val="24"/>
              </w:rPr>
              <w:t>graduates</w:t>
            </w:r>
            <w:r w:rsidRPr="00C37D86">
              <w:rPr>
                <w:iCs/>
                <w:sz w:val="24"/>
                <w:szCs w:val="24"/>
              </w:rPr>
              <w:t xml:space="preserve"> of the WILP. VAHP will also partner with Vanuatu Skills Partnership given its established relationship with ADRA’s GBV prevention program and Vanuatu Women’s Centre at the provincial level.</w:t>
            </w:r>
          </w:p>
        </w:tc>
      </w:tr>
      <w:tr w:rsidR="003B5B9C" w:rsidRPr="00CD4F06" w14:paraId="07E0F9A1" w14:textId="77777777" w:rsidTr="008C6DF1">
        <w:tc>
          <w:tcPr>
            <w:tcW w:w="4508" w:type="dxa"/>
          </w:tcPr>
          <w:p w14:paraId="613CF4A9" w14:textId="3C8BC58C" w:rsidR="003B5B9C" w:rsidRPr="00CD4F06" w:rsidRDefault="003B5B9C" w:rsidP="003B5B9C">
            <w:pPr>
              <w:rPr>
                <w:rFonts w:cstheme="minorHAnsi"/>
                <w:bCs/>
                <w:sz w:val="24"/>
                <w:szCs w:val="24"/>
              </w:rPr>
            </w:pPr>
            <w:r w:rsidRPr="009F43A0">
              <w:rPr>
                <w:rFonts w:ascii="Calibri" w:hAnsi="Calibri" w:cs="Calibri"/>
                <w:bCs/>
                <w:sz w:val="24"/>
                <w:szCs w:val="24"/>
              </w:rPr>
              <w:t xml:space="preserve">15. As part of the </w:t>
            </w:r>
            <w:proofErr w:type="spellStart"/>
            <w:r w:rsidRPr="009F43A0">
              <w:rPr>
                <w:rFonts w:ascii="Calibri" w:hAnsi="Calibri" w:cs="Calibri"/>
                <w:bCs/>
                <w:sz w:val="24"/>
                <w:szCs w:val="24"/>
              </w:rPr>
              <w:t>Tasmalum</w:t>
            </w:r>
            <w:proofErr w:type="spellEnd"/>
            <w:r w:rsidRPr="009F43A0">
              <w:rPr>
                <w:rFonts w:ascii="Calibri" w:hAnsi="Calibri" w:cs="Calibri"/>
                <w:bCs/>
                <w:sz w:val="24"/>
                <w:szCs w:val="24"/>
              </w:rPr>
              <w:t xml:space="preserve"> pilot and together with the </w:t>
            </w:r>
            <w:proofErr w:type="spellStart"/>
            <w:r w:rsidRPr="009F43A0">
              <w:rPr>
                <w:rFonts w:ascii="Calibri" w:hAnsi="Calibri" w:cs="Calibri"/>
                <w:bCs/>
                <w:sz w:val="24"/>
                <w:szCs w:val="24"/>
              </w:rPr>
              <w:t>Tasmalum</w:t>
            </w:r>
            <w:proofErr w:type="spellEnd"/>
            <w:r w:rsidRPr="009F43A0">
              <w:rPr>
                <w:rFonts w:ascii="Calibri" w:hAnsi="Calibri" w:cs="Calibri"/>
                <w:bCs/>
                <w:sz w:val="24"/>
                <w:szCs w:val="24"/>
              </w:rPr>
              <w:t xml:space="preserve"> Working Group, explore opportunities for piloting disaggregated data collection and reporting as part of the overall demonstration activity.</w:t>
            </w:r>
          </w:p>
        </w:tc>
        <w:tc>
          <w:tcPr>
            <w:tcW w:w="4508" w:type="dxa"/>
          </w:tcPr>
          <w:p w14:paraId="7A82D2E1" w14:textId="59266B9E" w:rsidR="003B5B9C" w:rsidRPr="00CD4F06" w:rsidRDefault="003B5B9C" w:rsidP="003B5B9C">
            <w:pPr>
              <w:rPr>
                <w:b/>
                <w:bCs/>
                <w:sz w:val="24"/>
                <w:szCs w:val="24"/>
              </w:rPr>
            </w:pPr>
            <w:r w:rsidRPr="00C37D86">
              <w:rPr>
                <w:b/>
                <w:bCs/>
                <w:iCs/>
                <w:sz w:val="24"/>
                <w:szCs w:val="24"/>
              </w:rPr>
              <w:t xml:space="preserve">Agree </w:t>
            </w:r>
            <w:r w:rsidRPr="00C37D86">
              <w:rPr>
                <w:iCs/>
                <w:sz w:val="24"/>
                <w:szCs w:val="24"/>
              </w:rPr>
              <w:t xml:space="preserve">and VAHP will explore opportunities for piloting disaggregated data collecting and reporting during the forthcoming </w:t>
            </w:r>
            <w:proofErr w:type="spellStart"/>
            <w:r w:rsidRPr="00C37D86">
              <w:rPr>
                <w:iCs/>
                <w:sz w:val="24"/>
                <w:szCs w:val="24"/>
              </w:rPr>
              <w:t>Tasmalum</w:t>
            </w:r>
            <w:proofErr w:type="spellEnd"/>
            <w:r w:rsidRPr="00C37D86">
              <w:rPr>
                <w:iCs/>
                <w:sz w:val="24"/>
                <w:szCs w:val="24"/>
              </w:rPr>
              <w:t xml:space="preserve"> Theory of Change workshop.</w:t>
            </w:r>
          </w:p>
        </w:tc>
      </w:tr>
    </w:tbl>
    <w:p w14:paraId="3E92D673" w14:textId="3EA2C6CD" w:rsidR="003B5B9C" w:rsidRDefault="003B5B9C" w:rsidP="003B5B9C">
      <w:pPr>
        <w:tabs>
          <w:tab w:val="left" w:pos="2370"/>
        </w:tabs>
        <w:rPr>
          <w:rFonts w:ascii="Calibri" w:hAnsi="Calibri" w:cs="Calibri"/>
          <w:b/>
          <w:color w:val="FFFFFF"/>
          <w:sz w:val="24"/>
          <w:szCs w:val="24"/>
        </w:rPr>
      </w:pPr>
    </w:p>
    <w:p w14:paraId="77FF0AE9" w14:textId="67C1E8FB" w:rsidR="003B5B9C" w:rsidRDefault="003B5B9C" w:rsidP="003B5B9C">
      <w:pPr>
        <w:shd w:val="clear" w:color="auto" w:fill="C00000"/>
        <w:jc w:val="center"/>
        <w:rPr>
          <w:rFonts w:ascii="Calibri" w:hAnsi="Calibri" w:cs="Calibri"/>
          <w:b/>
          <w:color w:val="FFFFFF"/>
          <w:sz w:val="24"/>
          <w:szCs w:val="24"/>
        </w:rPr>
      </w:pPr>
      <w:r w:rsidRPr="00AE2DA0">
        <w:rPr>
          <w:rFonts w:ascii="Calibri" w:hAnsi="Calibri" w:cs="Calibri"/>
          <w:b/>
          <w:color w:val="FFFFFF"/>
          <w:sz w:val="24"/>
          <w:szCs w:val="24"/>
        </w:rPr>
        <w:lastRenderedPageBreak/>
        <w:t>Climate</w:t>
      </w:r>
    </w:p>
    <w:tbl>
      <w:tblPr>
        <w:tblStyle w:val="TableGrid"/>
        <w:tblW w:w="0" w:type="auto"/>
        <w:tblLook w:val="04A0" w:firstRow="1" w:lastRow="0" w:firstColumn="1" w:lastColumn="0" w:noHBand="0" w:noVBand="1"/>
      </w:tblPr>
      <w:tblGrid>
        <w:gridCol w:w="4508"/>
        <w:gridCol w:w="4508"/>
      </w:tblGrid>
      <w:tr w:rsidR="00E96C9C" w:rsidRPr="00CD4F06" w14:paraId="5A835931" w14:textId="77777777" w:rsidTr="00E96C9C">
        <w:tc>
          <w:tcPr>
            <w:tcW w:w="4508" w:type="dxa"/>
            <w:shd w:val="clear" w:color="auto" w:fill="000000" w:themeFill="text1"/>
          </w:tcPr>
          <w:p w14:paraId="636B63BF" w14:textId="62A826F6" w:rsidR="00E96C9C" w:rsidRPr="009F43A0" w:rsidRDefault="00E96C9C" w:rsidP="003B5B9C">
            <w:pPr>
              <w:rPr>
                <w:rFonts w:cstheme="minorHAnsi"/>
                <w:sz w:val="24"/>
                <w:szCs w:val="24"/>
                <w:lang w:val="en-US"/>
              </w:rPr>
            </w:pPr>
            <w:r w:rsidRPr="00CD4F06">
              <w:rPr>
                <w:rFonts w:ascii="Calibri" w:hAnsi="Calibri" w:cs="Calibri"/>
                <w:b/>
                <w:color w:val="FFFFFF" w:themeColor="background1"/>
                <w:sz w:val="24"/>
                <w:szCs w:val="24"/>
              </w:rPr>
              <w:t>MTR Recommendations</w:t>
            </w:r>
          </w:p>
        </w:tc>
        <w:tc>
          <w:tcPr>
            <w:tcW w:w="4508" w:type="dxa"/>
            <w:shd w:val="clear" w:color="auto" w:fill="000000" w:themeFill="text1"/>
          </w:tcPr>
          <w:p w14:paraId="29DE9192" w14:textId="65358C88" w:rsidR="00E96C9C" w:rsidRDefault="00E96C9C" w:rsidP="003B5B9C">
            <w:pPr>
              <w:rPr>
                <w:b/>
                <w:bCs/>
                <w:iCs/>
                <w:sz w:val="24"/>
                <w:szCs w:val="24"/>
              </w:rPr>
            </w:pPr>
            <w:r w:rsidRPr="00CD4F06">
              <w:rPr>
                <w:rFonts w:ascii="Calibri" w:hAnsi="Calibri" w:cs="Calibri"/>
                <w:b/>
                <w:color w:val="FFFFFF" w:themeColor="background1"/>
                <w:sz w:val="24"/>
                <w:szCs w:val="24"/>
              </w:rPr>
              <w:t>DFAT Management Responses</w:t>
            </w:r>
          </w:p>
        </w:tc>
      </w:tr>
      <w:tr w:rsidR="003B5B9C" w:rsidRPr="00CD4F06" w14:paraId="5372F883" w14:textId="77777777" w:rsidTr="008C6DF1">
        <w:tc>
          <w:tcPr>
            <w:tcW w:w="4508" w:type="dxa"/>
          </w:tcPr>
          <w:p w14:paraId="05637D24" w14:textId="3D45C1FC" w:rsidR="003B5B9C" w:rsidRPr="00CD4F06" w:rsidRDefault="003B5B9C" w:rsidP="003B5B9C">
            <w:pPr>
              <w:rPr>
                <w:rFonts w:cstheme="minorHAnsi"/>
                <w:bCs/>
                <w:sz w:val="24"/>
                <w:szCs w:val="24"/>
              </w:rPr>
            </w:pPr>
            <w:r w:rsidRPr="009F43A0">
              <w:rPr>
                <w:rFonts w:cstheme="minorHAnsi"/>
                <w:sz w:val="24"/>
                <w:szCs w:val="24"/>
                <w:lang w:val="en-US"/>
              </w:rPr>
              <w:t xml:space="preserve">16. DFAT and VAHP ensure VAHP-funded infrastructure, as well as building contractors, comply with DFAT safeguards and standards. </w:t>
            </w:r>
          </w:p>
        </w:tc>
        <w:tc>
          <w:tcPr>
            <w:tcW w:w="4508" w:type="dxa"/>
          </w:tcPr>
          <w:p w14:paraId="0F15D402" w14:textId="382FC69A" w:rsidR="003B5B9C" w:rsidRPr="00CD4F06" w:rsidRDefault="003B5B9C" w:rsidP="003B5B9C">
            <w:pPr>
              <w:rPr>
                <w:b/>
                <w:bCs/>
                <w:sz w:val="24"/>
                <w:szCs w:val="24"/>
              </w:rPr>
            </w:pPr>
            <w:r>
              <w:rPr>
                <w:b/>
                <w:bCs/>
                <w:iCs/>
                <w:sz w:val="24"/>
                <w:szCs w:val="24"/>
              </w:rPr>
              <w:t>Agree:</w:t>
            </w:r>
            <w:r w:rsidRPr="00C37D86">
              <w:rPr>
                <w:b/>
                <w:bCs/>
                <w:iCs/>
                <w:sz w:val="24"/>
                <w:szCs w:val="24"/>
              </w:rPr>
              <w:t xml:space="preserve"> </w:t>
            </w:r>
            <w:r w:rsidRPr="00B84D4E">
              <w:rPr>
                <w:iCs/>
                <w:sz w:val="24"/>
                <w:szCs w:val="24"/>
              </w:rPr>
              <w:t>Where possible DFAT and</w:t>
            </w:r>
            <w:r>
              <w:rPr>
                <w:iCs/>
                <w:sz w:val="24"/>
                <w:szCs w:val="24"/>
              </w:rPr>
              <w:t xml:space="preserve"> </w:t>
            </w:r>
            <w:r w:rsidRPr="00C37D86">
              <w:rPr>
                <w:iCs/>
                <w:sz w:val="24"/>
                <w:szCs w:val="24"/>
              </w:rPr>
              <w:t xml:space="preserve">VAHP </w:t>
            </w:r>
            <w:r>
              <w:rPr>
                <w:iCs/>
                <w:sz w:val="24"/>
                <w:szCs w:val="24"/>
              </w:rPr>
              <w:t xml:space="preserve">will ensure DFA funded infrastructure complies with DFAT’s Environmental and Social Safeguards Policy, by ensuring their awareness and capacity on mitigating environmental and social impact risk in the construction of facilities. </w:t>
            </w:r>
          </w:p>
        </w:tc>
      </w:tr>
      <w:tr w:rsidR="003B5B9C" w:rsidRPr="00CD4F06" w14:paraId="038110DD" w14:textId="77777777" w:rsidTr="008C6DF1">
        <w:tc>
          <w:tcPr>
            <w:tcW w:w="4508" w:type="dxa"/>
          </w:tcPr>
          <w:p w14:paraId="37F6388E" w14:textId="1BE2C48F" w:rsidR="003B5B9C" w:rsidRPr="009F43A0" w:rsidRDefault="003B5B9C" w:rsidP="003B5B9C">
            <w:pPr>
              <w:rPr>
                <w:rFonts w:cstheme="minorHAnsi"/>
                <w:sz w:val="24"/>
                <w:szCs w:val="24"/>
              </w:rPr>
            </w:pPr>
            <w:r w:rsidRPr="009F43A0">
              <w:rPr>
                <w:rFonts w:ascii="Calibri" w:hAnsi="Calibri" w:cs="Calibri"/>
                <w:sz w:val="24"/>
                <w:szCs w:val="24"/>
                <w:lang w:val="en-GB"/>
              </w:rPr>
              <w:t>17. At relevant opportunities, VAHP include climate resilience in various health training programs</w:t>
            </w:r>
            <w:r w:rsidRPr="009F43A0">
              <w:rPr>
                <w:rFonts w:ascii="Calibri" w:hAnsi="Calibri" w:cs="Calibri"/>
                <w:b/>
                <w:bCs/>
                <w:sz w:val="24"/>
                <w:szCs w:val="24"/>
                <w:lang w:val="en-GB"/>
              </w:rPr>
              <w:t>.</w:t>
            </w:r>
          </w:p>
        </w:tc>
        <w:tc>
          <w:tcPr>
            <w:tcW w:w="4508" w:type="dxa"/>
          </w:tcPr>
          <w:p w14:paraId="7BE46198" w14:textId="659B67C8" w:rsidR="003B5B9C" w:rsidRPr="00C37D86" w:rsidRDefault="003B5B9C" w:rsidP="003B5B9C">
            <w:pPr>
              <w:rPr>
                <w:b/>
                <w:bCs/>
                <w:iCs/>
                <w:sz w:val="24"/>
                <w:szCs w:val="24"/>
              </w:rPr>
            </w:pPr>
            <w:r w:rsidRPr="00C37D86">
              <w:rPr>
                <w:b/>
                <w:bCs/>
                <w:iCs/>
                <w:sz w:val="24"/>
                <w:szCs w:val="24"/>
              </w:rPr>
              <w:t xml:space="preserve">Agree </w:t>
            </w:r>
            <w:r w:rsidRPr="00C37D86">
              <w:rPr>
                <w:iCs/>
                <w:sz w:val="24"/>
                <w:szCs w:val="24"/>
              </w:rPr>
              <w:t>VAHP will work with S</w:t>
            </w:r>
            <w:r>
              <w:rPr>
                <w:iCs/>
                <w:sz w:val="24"/>
                <w:szCs w:val="24"/>
              </w:rPr>
              <w:t>ANMA</w:t>
            </w:r>
            <w:r w:rsidRPr="00C37D86">
              <w:rPr>
                <w:iCs/>
                <w:sz w:val="24"/>
                <w:szCs w:val="24"/>
              </w:rPr>
              <w:t xml:space="preserve"> Skills Centres and its ‘Skills for Health’ workstream to identify and deliver customised skills training for both the </w:t>
            </w:r>
            <w:proofErr w:type="spellStart"/>
            <w:r w:rsidRPr="00C37D86">
              <w:rPr>
                <w:iCs/>
                <w:sz w:val="24"/>
                <w:szCs w:val="24"/>
              </w:rPr>
              <w:t>Tasmalum</w:t>
            </w:r>
            <w:proofErr w:type="spellEnd"/>
            <w:r w:rsidRPr="00C37D86">
              <w:rPr>
                <w:iCs/>
                <w:sz w:val="24"/>
                <w:szCs w:val="24"/>
              </w:rPr>
              <w:t xml:space="preserve"> Health Centre Working Group and staff in priority areas such as IT training, data management, communication, and project management</w:t>
            </w:r>
            <w:r>
              <w:rPr>
                <w:iCs/>
                <w:sz w:val="24"/>
                <w:szCs w:val="24"/>
              </w:rPr>
              <w:t xml:space="preserve">. </w:t>
            </w:r>
            <w:r w:rsidRPr="00C37D86">
              <w:rPr>
                <w:iCs/>
                <w:sz w:val="24"/>
                <w:szCs w:val="24"/>
              </w:rPr>
              <w:t xml:space="preserve">VAHP will </w:t>
            </w:r>
            <w:r>
              <w:rPr>
                <w:iCs/>
                <w:sz w:val="24"/>
                <w:szCs w:val="24"/>
              </w:rPr>
              <w:t xml:space="preserve">also </w:t>
            </w:r>
            <w:r w:rsidRPr="00C37D86">
              <w:rPr>
                <w:iCs/>
                <w:sz w:val="24"/>
                <w:szCs w:val="24"/>
              </w:rPr>
              <w:t>work with VSP to integrate climate resilience.</w:t>
            </w:r>
          </w:p>
        </w:tc>
      </w:tr>
      <w:tr w:rsidR="003B5B9C" w:rsidRPr="00CD4F06" w14:paraId="416496FA" w14:textId="77777777" w:rsidTr="008C6DF1">
        <w:tc>
          <w:tcPr>
            <w:tcW w:w="4508" w:type="dxa"/>
          </w:tcPr>
          <w:p w14:paraId="79ED1D42" w14:textId="15E94896" w:rsidR="003B5B9C" w:rsidRPr="009F43A0" w:rsidRDefault="003B5B9C" w:rsidP="003B5B9C">
            <w:pPr>
              <w:rPr>
                <w:rFonts w:cstheme="minorHAnsi"/>
                <w:sz w:val="24"/>
                <w:szCs w:val="24"/>
              </w:rPr>
            </w:pPr>
            <w:r w:rsidRPr="009F43A0">
              <w:rPr>
                <w:rFonts w:ascii="Calibri" w:hAnsi="Calibri" w:cs="Calibri"/>
                <w:sz w:val="24"/>
                <w:szCs w:val="24"/>
                <w:lang w:val="en-GB"/>
              </w:rPr>
              <w:t>18. VAHP broker its Provincial relationships to facilitate potential Global Environment Facility funding opportunities for health.</w:t>
            </w:r>
          </w:p>
        </w:tc>
        <w:tc>
          <w:tcPr>
            <w:tcW w:w="4508" w:type="dxa"/>
          </w:tcPr>
          <w:p w14:paraId="18885654" w14:textId="31926FAB" w:rsidR="003B5B9C" w:rsidRPr="00C37D86" w:rsidRDefault="003B5B9C" w:rsidP="003B5B9C">
            <w:pPr>
              <w:rPr>
                <w:b/>
                <w:bCs/>
                <w:iCs/>
                <w:sz w:val="24"/>
                <w:szCs w:val="24"/>
              </w:rPr>
            </w:pPr>
            <w:r>
              <w:rPr>
                <w:b/>
                <w:bCs/>
                <w:iCs/>
                <w:sz w:val="24"/>
                <w:szCs w:val="24"/>
              </w:rPr>
              <w:t>Partially agree</w:t>
            </w:r>
            <w:r>
              <w:rPr>
                <w:iCs/>
                <w:sz w:val="24"/>
                <w:szCs w:val="24"/>
              </w:rPr>
              <w:t>:</w:t>
            </w:r>
            <w:r w:rsidRPr="00C37D86">
              <w:rPr>
                <w:iCs/>
                <w:sz w:val="24"/>
                <w:szCs w:val="24"/>
              </w:rPr>
              <w:t xml:space="preserve"> VAHP </w:t>
            </w:r>
            <w:r>
              <w:rPr>
                <w:iCs/>
                <w:sz w:val="24"/>
                <w:szCs w:val="24"/>
              </w:rPr>
              <w:t xml:space="preserve">and DFAT will explore existing relevant GEF funded opportunities to leverage and will consider potential future opportunities. </w:t>
            </w:r>
          </w:p>
        </w:tc>
      </w:tr>
    </w:tbl>
    <w:p w14:paraId="55E3D5BB" w14:textId="77777777" w:rsidR="003B5B9C" w:rsidRDefault="003B5B9C" w:rsidP="003B5B9C">
      <w:pPr>
        <w:shd w:val="clear" w:color="auto" w:fill="C00000"/>
        <w:jc w:val="center"/>
        <w:rPr>
          <w:rFonts w:ascii="Calibri" w:hAnsi="Calibri" w:cs="Calibri"/>
          <w:b/>
          <w:color w:val="FFFFFF"/>
          <w:sz w:val="24"/>
          <w:szCs w:val="24"/>
        </w:rPr>
      </w:pPr>
      <w:r w:rsidRPr="00AE2DA0">
        <w:rPr>
          <w:rFonts w:ascii="Calibri" w:hAnsi="Calibri" w:cs="Calibri"/>
          <w:b/>
          <w:color w:val="FFFFFF"/>
          <w:sz w:val="24"/>
          <w:szCs w:val="24"/>
        </w:rPr>
        <w:t>Climate</w:t>
      </w:r>
    </w:p>
    <w:tbl>
      <w:tblPr>
        <w:tblStyle w:val="TableGrid"/>
        <w:tblW w:w="0" w:type="auto"/>
        <w:tblLook w:val="04A0" w:firstRow="1" w:lastRow="0" w:firstColumn="1" w:lastColumn="0" w:noHBand="0" w:noVBand="1"/>
      </w:tblPr>
      <w:tblGrid>
        <w:gridCol w:w="4508"/>
        <w:gridCol w:w="4508"/>
      </w:tblGrid>
      <w:tr w:rsidR="003B5B9C" w:rsidRPr="00C37D86" w14:paraId="63F0DC04" w14:textId="77777777" w:rsidTr="008C6DF1">
        <w:tc>
          <w:tcPr>
            <w:tcW w:w="4508" w:type="dxa"/>
          </w:tcPr>
          <w:p w14:paraId="34C485D6" w14:textId="550DE2E7" w:rsidR="003B5B9C" w:rsidRPr="009F43A0" w:rsidRDefault="003B5B9C" w:rsidP="003B5B9C">
            <w:pPr>
              <w:rPr>
                <w:rFonts w:cstheme="minorHAnsi"/>
                <w:sz w:val="24"/>
                <w:szCs w:val="24"/>
              </w:rPr>
            </w:pPr>
            <w:r w:rsidRPr="009F43A0">
              <w:rPr>
                <w:rFonts w:ascii="Calibri" w:hAnsi="Calibri" w:cs="Calibri"/>
                <w:iCs/>
                <w:sz w:val="24"/>
                <w:szCs w:val="24"/>
                <w:lang w:val="en-US"/>
              </w:rPr>
              <w:t xml:space="preserve">19. M&amp;E and Adaptive Management expertise be urgently drawn into broader discussions of the future intent and strategies for VAHP. Outputs of that process should include an updated theory of change (complete with working assumptions) and a results framework that makes clear the level of ambition regarding what VAHP is trying to achieve and the indicators for monitoring progress against outcomes.  Results frameworks also to be developed and agreed for the Women in Leadership and </w:t>
            </w:r>
            <w:proofErr w:type="spellStart"/>
            <w:r w:rsidRPr="009F43A0">
              <w:rPr>
                <w:rFonts w:ascii="Calibri" w:hAnsi="Calibri" w:cs="Calibri"/>
                <w:iCs/>
                <w:sz w:val="24"/>
                <w:szCs w:val="24"/>
                <w:lang w:val="en-US"/>
              </w:rPr>
              <w:t>Tasmalum</w:t>
            </w:r>
            <w:proofErr w:type="spellEnd"/>
            <w:r w:rsidRPr="009F43A0">
              <w:rPr>
                <w:rFonts w:ascii="Calibri" w:hAnsi="Calibri" w:cs="Calibri"/>
                <w:iCs/>
                <w:sz w:val="24"/>
                <w:szCs w:val="24"/>
                <w:lang w:val="en-US"/>
              </w:rPr>
              <w:t xml:space="preserve"> Pilot initiatives.</w:t>
            </w:r>
          </w:p>
        </w:tc>
        <w:tc>
          <w:tcPr>
            <w:tcW w:w="4508" w:type="dxa"/>
          </w:tcPr>
          <w:p w14:paraId="724F36A9" w14:textId="2B852027" w:rsidR="003B5B9C" w:rsidRPr="00C37D86" w:rsidRDefault="003B5B9C" w:rsidP="003B5B9C">
            <w:pPr>
              <w:rPr>
                <w:b/>
                <w:bCs/>
                <w:iCs/>
                <w:sz w:val="24"/>
                <w:szCs w:val="24"/>
              </w:rPr>
            </w:pPr>
            <w:r w:rsidRPr="00C37D86">
              <w:rPr>
                <w:b/>
                <w:bCs/>
                <w:iCs/>
                <w:sz w:val="24"/>
                <w:szCs w:val="24"/>
              </w:rPr>
              <w:t>Agree</w:t>
            </w:r>
            <w:r>
              <w:rPr>
                <w:b/>
                <w:bCs/>
                <w:iCs/>
                <w:sz w:val="24"/>
                <w:szCs w:val="24"/>
              </w:rPr>
              <w:t>:</w:t>
            </w:r>
            <w:r w:rsidRPr="00C37D86">
              <w:rPr>
                <w:iCs/>
                <w:sz w:val="24"/>
                <w:szCs w:val="24"/>
              </w:rPr>
              <w:t xml:space="preserve"> </w:t>
            </w:r>
            <w:r>
              <w:rPr>
                <w:iCs/>
                <w:sz w:val="24"/>
                <w:szCs w:val="24"/>
              </w:rPr>
              <w:t>DFAT and VAHP will consider the future intent and strategies for VAHP including a revised theory of change and results framework.</w:t>
            </w:r>
          </w:p>
        </w:tc>
      </w:tr>
      <w:tr w:rsidR="003B5B9C" w:rsidRPr="00C37D86" w14:paraId="609952BE" w14:textId="77777777" w:rsidTr="008C6DF1">
        <w:tc>
          <w:tcPr>
            <w:tcW w:w="4508" w:type="dxa"/>
          </w:tcPr>
          <w:p w14:paraId="7C2FB49C" w14:textId="2D2F3CE1" w:rsidR="003B5B9C" w:rsidRPr="009F43A0" w:rsidRDefault="003B5B9C" w:rsidP="003B5B9C">
            <w:pPr>
              <w:rPr>
                <w:rFonts w:ascii="Calibri" w:hAnsi="Calibri" w:cs="Calibri"/>
                <w:sz w:val="24"/>
                <w:szCs w:val="24"/>
                <w:lang w:val="en-GB"/>
              </w:rPr>
            </w:pPr>
            <w:r w:rsidRPr="009F43A0">
              <w:rPr>
                <w:rFonts w:ascii="Calibri" w:hAnsi="Calibri" w:cs="Calibri"/>
                <w:iCs/>
                <w:sz w:val="24"/>
                <w:szCs w:val="24"/>
                <w:lang w:val="en-US"/>
              </w:rPr>
              <w:t>20. GEDSI considerations to be mainstreamed into the theory of change and results framework.</w:t>
            </w:r>
          </w:p>
        </w:tc>
        <w:tc>
          <w:tcPr>
            <w:tcW w:w="4508" w:type="dxa"/>
          </w:tcPr>
          <w:p w14:paraId="4D30B4EA" w14:textId="083F4CDF" w:rsidR="003B5B9C" w:rsidRPr="00C37D86" w:rsidRDefault="003B5B9C" w:rsidP="003B5B9C">
            <w:pPr>
              <w:rPr>
                <w:b/>
                <w:bCs/>
                <w:iCs/>
                <w:sz w:val="24"/>
                <w:szCs w:val="24"/>
              </w:rPr>
            </w:pPr>
            <w:r w:rsidRPr="00C37D86">
              <w:rPr>
                <w:b/>
                <w:bCs/>
                <w:iCs/>
                <w:sz w:val="24"/>
                <w:szCs w:val="24"/>
              </w:rPr>
              <w:t>Agree</w:t>
            </w:r>
            <w:r>
              <w:rPr>
                <w:b/>
                <w:bCs/>
                <w:iCs/>
                <w:sz w:val="24"/>
                <w:szCs w:val="24"/>
              </w:rPr>
              <w:t>:</w:t>
            </w:r>
            <w:r w:rsidRPr="00C37D86">
              <w:rPr>
                <w:b/>
                <w:bCs/>
                <w:iCs/>
                <w:sz w:val="24"/>
                <w:szCs w:val="24"/>
              </w:rPr>
              <w:t xml:space="preserve"> </w:t>
            </w:r>
            <w:r w:rsidRPr="00B84D4E">
              <w:rPr>
                <w:iCs/>
                <w:sz w:val="24"/>
                <w:szCs w:val="24"/>
              </w:rPr>
              <w:t>The revised theory of change and result framework will mainstream GEDSI consideration.</w:t>
            </w:r>
          </w:p>
        </w:tc>
      </w:tr>
      <w:tr w:rsidR="003B5B9C" w:rsidRPr="00C37D86" w14:paraId="776B8DF6" w14:textId="77777777" w:rsidTr="008C6DF1">
        <w:tc>
          <w:tcPr>
            <w:tcW w:w="4508" w:type="dxa"/>
          </w:tcPr>
          <w:p w14:paraId="0C28AB16" w14:textId="7F74C546" w:rsidR="003B5B9C" w:rsidRPr="009F43A0" w:rsidRDefault="003B5B9C" w:rsidP="003B5B9C">
            <w:pPr>
              <w:rPr>
                <w:rFonts w:ascii="Calibri" w:hAnsi="Calibri" w:cs="Calibri"/>
                <w:sz w:val="24"/>
                <w:szCs w:val="24"/>
                <w:lang w:val="en-GB"/>
              </w:rPr>
            </w:pPr>
            <w:r w:rsidRPr="009F43A0">
              <w:rPr>
                <w:rFonts w:ascii="Calibri" w:hAnsi="Calibri" w:cs="Calibri"/>
                <w:iCs/>
                <w:sz w:val="24"/>
                <w:szCs w:val="24"/>
                <w:lang w:val="en-US"/>
              </w:rPr>
              <w:t xml:space="preserve">21. </w:t>
            </w:r>
            <w:bookmarkStart w:id="0" w:name="_Hlk146614974"/>
            <w:r w:rsidRPr="009F43A0">
              <w:rPr>
                <w:rFonts w:ascii="Calibri" w:hAnsi="Calibri" w:cs="Calibri"/>
                <w:iCs/>
                <w:sz w:val="24"/>
                <w:szCs w:val="24"/>
                <w:lang w:val="en-US"/>
              </w:rPr>
              <w:t>DT Global increase M&amp;E TA support for the Program.</w:t>
            </w:r>
            <w:bookmarkEnd w:id="0"/>
          </w:p>
        </w:tc>
        <w:tc>
          <w:tcPr>
            <w:tcW w:w="4508" w:type="dxa"/>
          </w:tcPr>
          <w:p w14:paraId="0F38218B" w14:textId="3DC10C76" w:rsidR="003B5B9C" w:rsidRPr="00C37D86" w:rsidRDefault="003B5B9C" w:rsidP="003B5B9C">
            <w:pPr>
              <w:rPr>
                <w:b/>
                <w:bCs/>
                <w:iCs/>
                <w:sz w:val="24"/>
                <w:szCs w:val="24"/>
              </w:rPr>
            </w:pPr>
            <w:r>
              <w:rPr>
                <w:b/>
                <w:bCs/>
                <w:iCs/>
                <w:sz w:val="24"/>
                <w:szCs w:val="24"/>
              </w:rPr>
              <w:t>Disa</w:t>
            </w:r>
            <w:r w:rsidRPr="00C37D86">
              <w:rPr>
                <w:b/>
                <w:bCs/>
                <w:iCs/>
                <w:sz w:val="24"/>
                <w:szCs w:val="24"/>
              </w:rPr>
              <w:t>gree</w:t>
            </w:r>
            <w:r>
              <w:rPr>
                <w:b/>
                <w:bCs/>
                <w:iCs/>
                <w:sz w:val="24"/>
                <w:szCs w:val="24"/>
              </w:rPr>
              <w:t>:</w:t>
            </w:r>
            <w:r w:rsidRPr="00C37D86">
              <w:rPr>
                <w:iCs/>
                <w:sz w:val="24"/>
                <w:szCs w:val="24"/>
              </w:rPr>
              <w:t xml:space="preserve"> VAHP </w:t>
            </w:r>
            <w:r>
              <w:rPr>
                <w:iCs/>
                <w:sz w:val="24"/>
                <w:szCs w:val="24"/>
              </w:rPr>
              <w:t>will explore options to enhance M&amp;E support from within current resourcing. If VAHP identify a need for additional M&amp;E resourcing, a strong value for money argument will be prepared for DFAT’s consideration.</w:t>
            </w:r>
          </w:p>
        </w:tc>
      </w:tr>
    </w:tbl>
    <w:p w14:paraId="60DC2186" w14:textId="77777777" w:rsidR="003B5B9C" w:rsidRPr="003B5B9C" w:rsidRDefault="003B5B9C" w:rsidP="00E96C9C">
      <w:pPr>
        <w:tabs>
          <w:tab w:val="left" w:pos="2370"/>
        </w:tabs>
        <w:rPr>
          <w:rFonts w:ascii="Calibri" w:hAnsi="Calibri" w:cs="Calibri"/>
          <w:b/>
          <w:color w:val="FFFFFF"/>
          <w:sz w:val="24"/>
          <w:szCs w:val="24"/>
        </w:rPr>
      </w:pPr>
    </w:p>
    <w:sectPr w:rsidR="003B5B9C" w:rsidRPr="003B5B9C" w:rsidSect="00670A94">
      <w:pgSz w:w="11906" w:h="16838"/>
      <w:pgMar w:top="1134"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D365" w14:textId="77777777" w:rsidR="006A439C" w:rsidRDefault="006A439C" w:rsidP="006A439C">
      <w:pPr>
        <w:spacing w:after="0" w:line="240" w:lineRule="auto"/>
      </w:pPr>
      <w:r>
        <w:separator/>
      </w:r>
    </w:p>
  </w:endnote>
  <w:endnote w:type="continuationSeparator" w:id="0">
    <w:p w14:paraId="31EA63B5" w14:textId="77777777" w:rsidR="006A439C" w:rsidRDefault="006A439C" w:rsidP="006A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5F01" w14:textId="77777777" w:rsidR="006A439C" w:rsidRDefault="006A439C" w:rsidP="006A439C">
      <w:pPr>
        <w:spacing w:after="0" w:line="240" w:lineRule="auto"/>
      </w:pPr>
      <w:r>
        <w:separator/>
      </w:r>
    </w:p>
  </w:footnote>
  <w:footnote w:type="continuationSeparator" w:id="0">
    <w:p w14:paraId="78556120" w14:textId="77777777" w:rsidR="006A439C" w:rsidRDefault="006A439C" w:rsidP="006A4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F"/>
    <w:rsid w:val="003B5B9C"/>
    <w:rsid w:val="005D51E9"/>
    <w:rsid w:val="00636862"/>
    <w:rsid w:val="00670A94"/>
    <w:rsid w:val="006A439C"/>
    <w:rsid w:val="00732699"/>
    <w:rsid w:val="00872DDF"/>
    <w:rsid w:val="00881C92"/>
    <w:rsid w:val="008B5FDB"/>
    <w:rsid w:val="00CD4F06"/>
    <w:rsid w:val="00E96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C7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lain Table"/>
    <w:basedOn w:val="TableNormal"/>
    <w:uiPriority w:val="39"/>
    <w:rsid w:val="0087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699"/>
  </w:style>
  <w:style w:type="paragraph" w:styleId="Footer">
    <w:name w:val="footer"/>
    <w:basedOn w:val="Normal"/>
    <w:link w:val="FooterChar"/>
    <w:uiPriority w:val="99"/>
    <w:unhideWhenUsed/>
    <w:rsid w:val="00732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9334</Characters>
  <Application>Microsoft Office Word</Application>
  <DocSecurity>0</DocSecurity>
  <Lines>302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Mid-Term Review Recommendations and Management Responses</dc:title>
  <dc:subject/>
  <dc:creator/>
  <cp:keywords/>
  <dc:description/>
  <cp:lastModifiedBy/>
  <cp:revision>1</cp:revision>
  <dcterms:created xsi:type="dcterms:W3CDTF">2024-01-24T04:11:00Z</dcterms:created>
  <dcterms:modified xsi:type="dcterms:W3CDTF">2024-01-24T04:11:00Z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ies>
</file>