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C1A4" w14:textId="6DE02A18" w:rsidR="00C81048" w:rsidRPr="007451B9" w:rsidRDefault="00A86F3F" w:rsidP="00C81048">
      <w:pPr>
        <w:pStyle w:val="Heading1"/>
        <w:spacing w:before="0" w:after="0" w:line="240" w:lineRule="auto"/>
        <w:contextualSpacing w:val="0"/>
        <w:rPr>
          <w:color w:val="auto"/>
        </w:rPr>
      </w:pPr>
      <w:bookmarkStart w:id="0" w:name="_Toc475348267"/>
      <w:r>
        <w:rPr>
          <w:caps w:val="0"/>
          <w:color w:val="auto"/>
        </w:rPr>
        <w:t xml:space="preserve">DFAT </w:t>
      </w:r>
      <w:r w:rsidRPr="007451B9">
        <w:rPr>
          <w:caps w:val="0"/>
          <w:color w:val="auto"/>
        </w:rPr>
        <w:t>Management Response</w:t>
      </w:r>
      <w:r>
        <w:rPr>
          <w:caps w:val="0"/>
          <w:color w:val="auto"/>
        </w:rPr>
        <w:t>:</w:t>
      </w:r>
      <w:bookmarkEnd w:id="0"/>
      <w:r>
        <w:rPr>
          <w:caps w:val="0"/>
          <w:color w:val="auto"/>
        </w:rPr>
        <w:t xml:space="preserve"> Mid-Term Review </w:t>
      </w:r>
      <w:proofErr w:type="gramStart"/>
      <w:r>
        <w:rPr>
          <w:caps w:val="0"/>
          <w:color w:val="auto"/>
        </w:rPr>
        <w:t>Of</w:t>
      </w:r>
      <w:proofErr w:type="gramEnd"/>
      <w:r>
        <w:rPr>
          <w:caps w:val="0"/>
          <w:color w:val="auto"/>
        </w:rPr>
        <w:t xml:space="preserve"> The Vanuatu Education Support Program II (2022)</w:t>
      </w:r>
    </w:p>
    <w:p w14:paraId="1CF5EFB7" w14:textId="48417DF1" w:rsidR="001172C6" w:rsidRPr="00FE1707" w:rsidRDefault="001172C6" w:rsidP="001172C6">
      <w:pPr>
        <w:spacing w:line="240" w:lineRule="auto"/>
        <w:rPr>
          <w:b/>
          <w:bCs/>
        </w:rPr>
      </w:pPr>
      <w:r w:rsidRPr="00FE1707">
        <w:rPr>
          <w:b/>
          <w:bCs/>
        </w:rPr>
        <w:t>Purpose:</w:t>
      </w:r>
    </w:p>
    <w:p w14:paraId="5F8C814A" w14:textId="1D5032CB" w:rsidR="00927B12" w:rsidRDefault="00927B12" w:rsidP="001172C6">
      <w:pPr>
        <w:spacing w:line="240" w:lineRule="auto"/>
        <w:rPr>
          <w:rFonts w:cstheme="minorHAnsi"/>
        </w:rPr>
      </w:pPr>
      <w:r>
        <w:t xml:space="preserve">The Government of Australia, through </w:t>
      </w:r>
      <w:r w:rsidR="00122D07">
        <w:t>DFAT</w:t>
      </w:r>
      <w:r>
        <w:t>,</w:t>
      </w:r>
      <w:r w:rsidR="00122D07">
        <w:t xml:space="preserve"> commissioned </w:t>
      </w:r>
      <w:r w:rsidR="00590F46">
        <w:t>a mid-term review (MTR)</w:t>
      </w:r>
      <w:r w:rsidR="00122D07">
        <w:t xml:space="preserve"> of the Australian-funded</w:t>
      </w:r>
      <w:r w:rsidR="00BB1C19">
        <w:t xml:space="preserve"> Vanuatu </w:t>
      </w:r>
      <w:r w:rsidR="00590F46">
        <w:t xml:space="preserve">Education Support Program </w:t>
      </w:r>
      <w:r>
        <w:t xml:space="preserve">Phase </w:t>
      </w:r>
      <w:r w:rsidR="00590F46">
        <w:t>II</w:t>
      </w:r>
      <w:r w:rsidR="00BB1C19">
        <w:t xml:space="preserve"> </w:t>
      </w:r>
      <w:r w:rsidR="00122D07">
        <w:t>(V</w:t>
      </w:r>
      <w:r w:rsidR="00590F46">
        <w:t>ESP II</w:t>
      </w:r>
      <w:r w:rsidR="00122D07">
        <w:t xml:space="preserve">) in </w:t>
      </w:r>
      <w:r w:rsidR="00590F46">
        <w:t>mid</w:t>
      </w:r>
      <w:r w:rsidR="00CA3595">
        <w:t>-</w:t>
      </w:r>
      <w:r w:rsidR="00122D07">
        <w:t>202</w:t>
      </w:r>
      <w:r w:rsidR="00590F46">
        <w:t>1</w:t>
      </w:r>
      <w:r w:rsidR="00122D07">
        <w:t xml:space="preserve"> </w:t>
      </w:r>
      <w:r w:rsidR="003135F7">
        <w:t xml:space="preserve">for the primary purpose of </w:t>
      </w:r>
      <w:r w:rsidR="00135365" w:rsidRPr="00A44C8C">
        <w:rPr>
          <w:rFonts w:cstheme="minorHAnsi"/>
          <w:b/>
          <w:bCs/>
        </w:rPr>
        <w:t>investment improvement</w:t>
      </w:r>
      <w:r w:rsidR="00135365" w:rsidRPr="00A44C8C">
        <w:rPr>
          <w:rFonts w:cstheme="minorHAnsi"/>
        </w:rPr>
        <w:t xml:space="preserve"> </w:t>
      </w:r>
      <w:r w:rsidR="008B5451" w:rsidRPr="00A44C8C">
        <w:rPr>
          <w:rFonts w:cstheme="minorHAnsi"/>
        </w:rPr>
        <w:t xml:space="preserve">to maximise </w:t>
      </w:r>
      <w:r w:rsidR="008B5451" w:rsidRPr="00A44C8C">
        <w:rPr>
          <w:rFonts w:cstheme="minorHAnsi"/>
          <w:b/>
          <w:bCs/>
        </w:rPr>
        <w:t>effectiveness</w:t>
      </w:r>
      <w:r w:rsidR="008B5451">
        <w:rPr>
          <w:rFonts w:cstheme="minorHAnsi"/>
          <w:b/>
          <w:bCs/>
        </w:rPr>
        <w:t xml:space="preserve">, </w:t>
      </w:r>
      <w:proofErr w:type="gramStart"/>
      <w:r w:rsidR="008B5451">
        <w:rPr>
          <w:rFonts w:cstheme="minorHAnsi"/>
          <w:b/>
          <w:bCs/>
        </w:rPr>
        <w:t>efficiency</w:t>
      </w:r>
      <w:proofErr w:type="gramEnd"/>
      <w:r w:rsidR="008B5451" w:rsidRPr="00DC5E66">
        <w:rPr>
          <w:rFonts w:cstheme="minorHAnsi"/>
        </w:rPr>
        <w:t xml:space="preserve"> </w:t>
      </w:r>
      <w:r w:rsidR="008B5451" w:rsidRPr="00A44C8C">
        <w:rPr>
          <w:rFonts w:cstheme="minorHAnsi"/>
        </w:rPr>
        <w:t xml:space="preserve">and </w:t>
      </w:r>
      <w:r w:rsidR="008B5451" w:rsidRPr="00A44C8C">
        <w:rPr>
          <w:rFonts w:cstheme="minorHAnsi"/>
          <w:b/>
          <w:bCs/>
        </w:rPr>
        <w:t>sustainability</w:t>
      </w:r>
      <w:r w:rsidR="008B5451">
        <w:rPr>
          <w:rFonts w:cstheme="minorHAnsi"/>
        </w:rPr>
        <w:t xml:space="preserve"> </w:t>
      </w:r>
      <w:r w:rsidR="00590F46">
        <w:rPr>
          <w:rFonts w:cstheme="minorHAnsi"/>
        </w:rPr>
        <w:t xml:space="preserve">for </w:t>
      </w:r>
      <w:r w:rsidR="008B5451">
        <w:rPr>
          <w:rFonts w:cstheme="minorHAnsi"/>
        </w:rPr>
        <w:t>an extension of the phase.</w:t>
      </w:r>
      <w:r w:rsidR="001172C6">
        <w:rPr>
          <w:rFonts w:cstheme="minorHAnsi"/>
        </w:rPr>
        <w:t xml:space="preserve"> </w:t>
      </w:r>
      <w:r w:rsidR="003135F7">
        <w:rPr>
          <w:rFonts w:cstheme="minorHAnsi"/>
        </w:rPr>
        <w:t xml:space="preserve">The secondary purposes were for </w:t>
      </w:r>
      <w:r w:rsidR="003135F7" w:rsidRPr="00357D27">
        <w:rPr>
          <w:rFonts w:cstheme="minorHAnsi"/>
        </w:rPr>
        <w:t>accountability and knowledge generation</w:t>
      </w:r>
      <w:r w:rsidR="003135F7">
        <w:rPr>
          <w:rFonts w:cstheme="minorHAnsi"/>
        </w:rPr>
        <w:t xml:space="preserve">. </w:t>
      </w:r>
    </w:p>
    <w:p w14:paraId="045C61C5" w14:textId="2B146C9B" w:rsidR="00E7391A" w:rsidRPr="00F6333E" w:rsidRDefault="008B5451" w:rsidP="00E7391A">
      <w:pPr>
        <w:spacing w:line="240" w:lineRule="auto"/>
        <w:rPr>
          <w:rFonts w:cstheme="minorHAnsi"/>
        </w:rPr>
      </w:pPr>
      <w:r w:rsidRPr="00E7391A">
        <w:t xml:space="preserve">VESP II is </w:t>
      </w:r>
      <w:r w:rsidR="00CA3595">
        <w:t>a</w:t>
      </w:r>
      <w:r w:rsidR="00E7391A" w:rsidRPr="00E7391A">
        <w:t xml:space="preserve"> </w:t>
      </w:r>
      <w:r w:rsidRPr="00E7391A">
        <w:t xml:space="preserve">three-year program (2019 to 2021) with an option to extend for up to five years. The program builds on the achievements of VESP I </w:t>
      </w:r>
      <w:r w:rsidR="00E7391A" w:rsidRPr="00E7391A">
        <w:t xml:space="preserve">(jointly funded with New Zealand, 2013-2019), </w:t>
      </w:r>
      <w:r w:rsidR="00CA3595">
        <w:t>by</w:t>
      </w:r>
      <w:r w:rsidRPr="00E7391A">
        <w:t xml:space="preserve"> continuing to support improving primary education outcomes through a focus on access, </w:t>
      </w:r>
      <w:proofErr w:type="gramStart"/>
      <w:r w:rsidRPr="00E7391A">
        <w:t>quality</w:t>
      </w:r>
      <w:proofErr w:type="gramEnd"/>
      <w:r w:rsidRPr="00E7391A">
        <w:t xml:space="preserve"> and management.</w:t>
      </w:r>
      <w:r w:rsidR="00E7391A" w:rsidRPr="00E7391A">
        <w:t xml:space="preserve"> The MTR came later in the program than envisaged due to the impact of the </w:t>
      </w:r>
      <w:r w:rsidR="00F65C37">
        <w:t>g</w:t>
      </w:r>
      <w:r w:rsidR="00E7391A" w:rsidRPr="00E7391A">
        <w:t>lobal</w:t>
      </w:r>
      <w:r w:rsidR="00CA3595">
        <w:t xml:space="preserve"> COVID-19</w:t>
      </w:r>
      <w:r w:rsidR="00E7391A" w:rsidRPr="00E7391A">
        <w:t xml:space="preserve"> pandemic.</w:t>
      </w:r>
      <w:r w:rsidR="00736AB8">
        <w:t xml:space="preserve"> </w:t>
      </w:r>
      <w:r w:rsidR="00CA3595">
        <w:t xml:space="preserve">As a result of COVID-19, the review was </w:t>
      </w:r>
      <w:r w:rsidR="00736AB8">
        <w:t xml:space="preserve">conducted remotely with support from </w:t>
      </w:r>
      <w:r w:rsidR="00CA3595">
        <w:t>the Australian High Commission in Port Vila</w:t>
      </w:r>
      <w:r w:rsidR="00736AB8">
        <w:t xml:space="preserve">. </w:t>
      </w:r>
      <w:r w:rsidR="00CA3595">
        <w:t>It was designed to</w:t>
      </w:r>
      <w:r w:rsidR="00E7391A" w:rsidRPr="00E7391A">
        <w:t xml:space="preserve"> be formative in nature</w:t>
      </w:r>
      <w:r w:rsidR="00CA3595">
        <w:t xml:space="preserve">, </w:t>
      </w:r>
      <w:r w:rsidR="00E7391A" w:rsidRPr="00E7391A">
        <w:t>to generate evidence and learning from the implementation of VESP II.</w:t>
      </w:r>
      <w:r w:rsidR="00E7391A">
        <w:t xml:space="preserve"> </w:t>
      </w:r>
      <w:r w:rsidR="00CA3595">
        <w:t xml:space="preserve">The MTR will inform DFAT’s </w:t>
      </w:r>
      <w:r w:rsidR="00E7391A">
        <w:rPr>
          <w:rFonts w:cstheme="minorHAnsi"/>
        </w:rPr>
        <w:t xml:space="preserve">decision </w:t>
      </w:r>
      <w:r w:rsidR="00CA3595">
        <w:rPr>
          <w:rFonts w:cstheme="minorHAnsi"/>
        </w:rPr>
        <w:t xml:space="preserve">on </w:t>
      </w:r>
      <w:r w:rsidR="00E7391A">
        <w:rPr>
          <w:rFonts w:cstheme="minorHAnsi"/>
        </w:rPr>
        <w:t xml:space="preserve">whether to continue the current delivery modality and </w:t>
      </w:r>
      <w:r w:rsidR="00CA3595">
        <w:rPr>
          <w:rFonts w:cstheme="minorHAnsi"/>
        </w:rPr>
        <w:t>extend the program.</w:t>
      </w:r>
      <w:r w:rsidR="00E7391A">
        <w:rPr>
          <w:rFonts w:cstheme="minorHAnsi"/>
        </w:rPr>
        <w:t xml:space="preserve"> </w:t>
      </w:r>
    </w:p>
    <w:p w14:paraId="62287805" w14:textId="5BAB87F1" w:rsidR="005407C2" w:rsidRPr="00FE1707" w:rsidRDefault="005407C2" w:rsidP="00C81048">
      <w:pPr>
        <w:rPr>
          <w:b/>
          <w:bCs/>
        </w:rPr>
      </w:pPr>
      <w:r w:rsidRPr="00FE1707">
        <w:rPr>
          <w:rFonts w:cstheme="minorHAnsi"/>
          <w:b/>
          <w:bCs/>
        </w:rPr>
        <w:t xml:space="preserve">Key findings: </w:t>
      </w:r>
    </w:p>
    <w:p w14:paraId="3733C32A" w14:textId="68F53A91" w:rsidR="00E7391A" w:rsidRPr="00F339F0" w:rsidRDefault="00F14E53" w:rsidP="0086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bCs/>
        </w:rPr>
      </w:pPr>
      <w:r>
        <w:t>T</w:t>
      </w:r>
      <w:r w:rsidR="00135365">
        <w:t xml:space="preserve">he </w:t>
      </w:r>
      <w:r w:rsidR="00E7391A">
        <w:t xml:space="preserve">MTR found VESP II is </w:t>
      </w:r>
      <w:r w:rsidR="00CA3595">
        <w:t>strongly</w:t>
      </w:r>
      <w:r w:rsidR="00E7391A">
        <w:t xml:space="preserve"> aligned with the Government of Australia’s policy directions</w:t>
      </w:r>
      <w:r w:rsidR="00CA3595">
        <w:t>,</w:t>
      </w:r>
      <w:r w:rsidR="00E7391A">
        <w:t xml:space="preserve"> </w:t>
      </w:r>
      <w:r w:rsidR="00E7391A" w:rsidRPr="00E7391A">
        <w:t xml:space="preserve">and </w:t>
      </w:r>
      <w:r w:rsidR="00CA3595">
        <w:t xml:space="preserve">that </w:t>
      </w:r>
      <w:r w:rsidR="00E7391A" w:rsidRPr="00E7391A">
        <w:t xml:space="preserve">the original goals </w:t>
      </w:r>
      <w:r w:rsidR="00CA3595">
        <w:t xml:space="preserve">and </w:t>
      </w:r>
      <w:r w:rsidR="00E7391A" w:rsidRPr="00E7391A">
        <w:t>underlying assumptions</w:t>
      </w:r>
      <w:r w:rsidR="00CA3595">
        <w:t xml:space="preserve"> of the program still hold true</w:t>
      </w:r>
      <w:r w:rsidR="00E7391A" w:rsidRPr="00E7391A">
        <w:t xml:space="preserve">. The program is </w:t>
      </w:r>
      <w:r w:rsidR="00E7391A" w:rsidRPr="0086230C">
        <w:rPr>
          <w:b/>
          <w:bCs/>
        </w:rPr>
        <w:t>relevant</w:t>
      </w:r>
      <w:r w:rsidR="00E7391A" w:rsidRPr="00E7391A">
        <w:t xml:space="preserve"> to </w:t>
      </w:r>
      <w:r w:rsidR="0086230C">
        <w:t xml:space="preserve">sector priorities </w:t>
      </w:r>
      <w:r w:rsidR="00CA3595">
        <w:t xml:space="preserve">outlined in </w:t>
      </w:r>
      <w:r w:rsidR="0086230C">
        <w:t xml:space="preserve">the Vanuatu Education and Training Sector Strategy </w:t>
      </w:r>
      <w:r w:rsidR="00E7391A" w:rsidRPr="00E7391A">
        <w:t>(VETSS) and</w:t>
      </w:r>
      <w:r w:rsidR="00E7391A">
        <w:t xml:space="preserve"> </w:t>
      </w:r>
      <w:r w:rsidR="0086230C">
        <w:t>managed to adapt to</w:t>
      </w:r>
      <w:r w:rsidR="00CA3595">
        <w:t xml:space="preserve"> contextual</w:t>
      </w:r>
      <w:r w:rsidR="0086230C">
        <w:t xml:space="preserve"> changes </w:t>
      </w:r>
      <w:r w:rsidR="00CA3595">
        <w:t>that impacted</w:t>
      </w:r>
      <w:r w:rsidR="00CA3595" w:rsidRPr="00E7391A">
        <w:t xml:space="preserve"> </w:t>
      </w:r>
      <w:r w:rsidR="00E7391A" w:rsidRPr="00E7391A">
        <w:t>the original program logic.</w:t>
      </w:r>
      <w:r w:rsidR="0086230C">
        <w:t xml:space="preserve"> </w:t>
      </w:r>
      <w:r w:rsidR="0086230C" w:rsidRPr="0086230C">
        <w:t xml:space="preserve">VESP II is </w:t>
      </w:r>
      <w:r w:rsidR="0086230C" w:rsidRPr="0086230C">
        <w:rPr>
          <w:b/>
          <w:bCs/>
        </w:rPr>
        <w:t>complementary</w:t>
      </w:r>
      <w:r w:rsidR="0086230C" w:rsidRPr="0086230C">
        <w:t xml:space="preserve"> to other education programs and navigates in close </w:t>
      </w:r>
      <w:r w:rsidR="0086230C" w:rsidRPr="0086230C">
        <w:rPr>
          <w:b/>
          <w:bCs/>
        </w:rPr>
        <w:t>coordination</w:t>
      </w:r>
      <w:r w:rsidR="0086230C" w:rsidRPr="0086230C">
        <w:t xml:space="preserve"> through informal channels</w:t>
      </w:r>
      <w:r w:rsidR="00CA3595">
        <w:t>,</w:t>
      </w:r>
      <w:r w:rsidR="0086230C" w:rsidRPr="0086230C">
        <w:t xml:space="preserve"> even though </w:t>
      </w:r>
      <w:proofErr w:type="spellStart"/>
      <w:r w:rsidR="0086230C" w:rsidRPr="0086230C">
        <w:t>MoET</w:t>
      </w:r>
      <w:proofErr w:type="spellEnd"/>
      <w:r w:rsidR="0086230C" w:rsidRPr="0086230C">
        <w:t xml:space="preserve"> continues to need significant support in its efforts to coordinate certain sub-sectors.</w:t>
      </w:r>
      <w:r w:rsidR="0086230C">
        <w:t xml:space="preserve"> The MTR demonstrates VESP II </w:t>
      </w:r>
      <w:r w:rsidR="0086230C" w:rsidRPr="00F65C37">
        <w:rPr>
          <w:b/>
          <w:lang w:val="en-AU"/>
        </w:rPr>
        <w:t xml:space="preserve">is </w:t>
      </w:r>
      <w:r w:rsidR="0086230C" w:rsidRPr="00F65C37">
        <w:rPr>
          <w:b/>
        </w:rPr>
        <w:t>performing well</w:t>
      </w:r>
      <w:r w:rsidR="0086230C" w:rsidRPr="0086230C">
        <w:t xml:space="preserve"> in most areas and is tracking satisfactorily towards its IOs and targets. To sustain gains, VESP II needs to be adaptive in managing challenges to ongoing progress and provide broader system support in key areas.</w:t>
      </w:r>
      <w:r w:rsidR="0086230C">
        <w:t xml:space="preserve"> </w:t>
      </w:r>
      <w:r w:rsidR="0086230C" w:rsidRPr="00B13BEB">
        <w:t xml:space="preserve">The </w:t>
      </w:r>
      <w:r w:rsidR="00B13BEB">
        <w:t>MTR</w:t>
      </w:r>
      <w:r w:rsidR="0086230C" w:rsidRPr="00B13BEB">
        <w:t xml:space="preserve"> found that VESP II has experienced significant challenges with its </w:t>
      </w:r>
      <w:r w:rsidR="0086230C" w:rsidRPr="00F339F0">
        <w:rPr>
          <w:b/>
          <w:bCs/>
        </w:rPr>
        <w:t>monitoring and evaluation</w:t>
      </w:r>
      <w:r w:rsidR="0086230C" w:rsidRPr="00B13BEB">
        <w:t xml:space="preserve"> </w:t>
      </w:r>
      <w:r w:rsidR="00CA3595">
        <w:t xml:space="preserve">system </w:t>
      </w:r>
      <w:r w:rsidR="0086230C" w:rsidRPr="00B13BEB">
        <w:t>since the start of the program. The latest of the three M&amp;E frameworks is an improvement over the previous two but still fails to adequately meet all DFAT standards.</w:t>
      </w:r>
      <w:r w:rsidR="00F339F0">
        <w:t xml:space="preserve"> </w:t>
      </w:r>
      <w:r w:rsidR="00F339F0" w:rsidRPr="00F339F0">
        <w:rPr>
          <w:bCs/>
          <w:lang w:val="en-AU"/>
        </w:rPr>
        <w:t>VESP II is making appropriate use of time and resources towards achieving outcomes</w:t>
      </w:r>
      <w:r w:rsidR="00F339F0">
        <w:rPr>
          <w:bCs/>
          <w:lang w:val="en-AU"/>
        </w:rPr>
        <w:t xml:space="preserve"> (</w:t>
      </w:r>
      <w:r w:rsidR="00F339F0" w:rsidRPr="00F339F0">
        <w:rPr>
          <w:b/>
          <w:lang w:val="en-AU"/>
        </w:rPr>
        <w:t>efficiency</w:t>
      </w:r>
      <w:r w:rsidR="00F339F0">
        <w:rPr>
          <w:bCs/>
          <w:lang w:val="en-AU"/>
        </w:rPr>
        <w:t>)</w:t>
      </w:r>
      <w:r w:rsidR="00F339F0" w:rsidRPr="00F339F0">
        <w:rPr>
          <w:bCs/>
          <w:lang w:val="en-AU"/>
        </w:rPr>
        <w:t xml:space="preserve">. Adopting a longer-term view of investment in VESP II would </w:t>
      </w:r>
      <w:r w:rsidR="00CA3595">
        <w:rPr>
          <w:bCs/>
          <w:lang w:val="en-AU"/>
        </w:rPr>
        <w:t>increase</w:t>
      </w:r>
      <w:r w:rsidR="00F339F0" w:rsidRPr="00F339F0">
        <w:rPr>
          <w:bCs/>
          <w:lang w:val="en-AU"/>
        </w:rPr>
        <w:t xml:space="preserve"> </w:t>
      </w:r>
      <w:r w:rsidR="00CA3595">
        <w:rPr>
          <w:bCs/>
          <w:lang w:val="en-AU"/>
        </w:rPr>
        <w:t xml:space="preserve">the </w:t>
      </w:r>
      <w:r w:rsidR="00F339F0" w:rsidRPr="00F339F0">
        <w:rPr>
          <w:b/>
          <w:lang w:val="en-AU"/>
        </w:rPr>
        <w:t>sustainability</w:t>
      </w:r>
      <w:r w:rsidR="00CA3595">
        <w:rPr>
          <w:b/>
          <w:lang w:val="en-AU"/>
        </w:rPr>
        <w:t xml:space="preserve"> </w:t>
      </w:r>
      <w:r w:rsidR="00CA3595" w:rsidRPr="00CA3595">
        <w:rPr>
          <w:bCs/>
          <w:lang w:val="en-AU"/>
        </w:rPr>
        <w:t>of the program</w:t>
      </w:r>
      <w:r w:rsidR="00F339F0" w:rsidRPr="00F339F0">
        <w:rPr>
          <w:bCs/>
          <w:lang w:val="en-AU"/>
        </w:rPr>
        <w:t>.</w:t>
      </w:r>
      <w:r w:rsidR="00F339F0">
        <w:rPr>
          <w:bCs/>
          <w:lang w:val="en-AU"/>
        </w:rPr>
        <w:t xml:space="preserve"> The MTR demonstrated that VESP II has raised awareness towards gender related issues and should improve its awareness </w:t>
      </w:r>
      <w:r w:rsidR="00CA3595">
        <w:rPr>
          <w:bCs/>
          <w:lang w:val="en-AU"/>
        </w:rPr>
        <w:t xml:space="preserve">raising of </w:t>
      </w:r>
      <w:r w:rsidR="00F339F0">
        <w:rPr>
          <w:bCs/>
          <w:lang w:val="en-AU"/>
        </w:rPr>
        <w:t>inclusion for people with disabilities (</w:t>
      </w:r>
      <w:r w:rsidR="00F339F0" w:rsidRPr="00F339F0">
        <w:rPr>
          <w:b/>
          <w:lang w:val="en-AU"/>
        </w:rPr>
        <w:t>GEDSI</w:t>
      </w:r>
      <w:r w:rsidR="00F339F0">
        <w:rPr>
          <w:bCs/>
          <w:lang w:val="en-AU"/>
        </w:rPr>
        <w:t xml:space="preserve">). </w:t>
      </w:r>
    </w:p>
    <w:p w14:paraId="29A77820" w14:textId="51187939" w:rsidR="00F65C37" w:rsidRDefault="002863D9" w:rsidP="00C81048">
      <w:r>
        <w:t>V</w:t>
      </w:r>
      <w:r w:rsidR="00F339F0">
        <w:t>E</w:t>
      </w:r>
      <w:r>
        <w:t>SP</w:t>
      </w:r>
      <w:r w:rsidRPr="004A6F43">
        <w:t xml:space="preserve"> </w:t>
      </w:r>
      <w:r w:rsidR="00F339F0">
        <w:t xml:space="preserve">II </w:t>
      </w:r>
      <w:r w:rsidR="00740A2B" w:rsidRPr="004A6F43">
        <w:t>ha</w:t>
      </w:r>
      <w:r w:rsidR="00CA3595">
        <w:t>s</w:t>
      </w:r>
      <w:r w:rsidR="00740A2B" w:rsidRPr="004A6F43">
        <w:t xml:space="preserve"> delivered outcomes in line with the needs and priorities of </w:t>
      </w:r>
      <w:r w:rsidR="00F339F0">
        <w:t xml:space="preserve">education and its adaptive response to meet </w:t>
      </w:r>
      <w:proofErr w:type="spellStart"/>
      <w:r w:rsidR="00F339F0">
        <w:t>MoET’s</w:t>
      </w:r>
      <w:proofErr w:type="spellEnd"/>
      <w:r w:rsidR="00F339F0">
        <w:t xml:space="preserve"> Secondary Education curriculum was recognised. </w:t>
      </w:r>
      <w:r w:rsidR="00740A2B" w:rsidRPr="004A6F43">
        <w:t xml:space="preserve">The </w:t>
      </w:r>
      <w:r w:rsidR="00F339F0">
        <w:t>MTR</w:t>
      </w:r>
      <w:r w:rsidR="00740A2B" w:rsidRPr="004A6F43">
        <w:t xml:space="preserve"> </w:t>
      </w:r>
      <w:r w:rsidR="00BA3CFE">
        <w:t xml:space="preserve">further </w:t>
      </w:r>
      <w:r w:rsidR="00740A2B" w:rsidRPr="004A6F43">
        <w:t xml:space="preserve">found the </w:t>
      </w:r>
      <w:r>
        <w:t>V</w:t>
      </w:r>
      <w:r w:rsidR="00F339F0">
        <w:t>E</w:t>
      </w:r>
      <w:r>
        <w:t xml:space="preserve">SP </w:t>
      </w:r>
      <w:r w:rsidR="00F339F0">
        <w:t xml:space="preserve">II </w:t>
      </w:r>
      <w:r>
        <w:t xml:space="preserve">end-of-program outcomes </w:t>
      </w:r>
      <w:r w:rsidR="00740A2B" w:rsidRPr="004A6F43">
        <w:t>remained highly relevant</w:t>
      </w:r>
      <w:r>
        <w:t>, but that</w:t>
      </w:r>
      <w:r w:rsidR="00740A2B" w:rsidRPr="004A6F43">
        <w:t xml:space="preserve"> the Program </w:t>
      </w:r>
      <w:r>
        <w:t>Monitoring, Evaluation and Learning (MEL)</w:t>
      </w:r>
      <w:r w:rsidRPr="004A6F43">
        <w:t xml:space="preserve"> </w:t>
      </w:r>
      <w:r w:rsidR="00740A2B" w:rsidRPr="004A6F43">
        <w:t xml:space="preserve">framework should be </w:t>
      </w:r>
      <w:r w:rsidR="00BA3CFE">
        <w:t xml:space="preserve">further </w:t>
      </w:r>
      <w:r w:rsidR="00740A2B" w:rsidRPr="004A6F43">
        <w:t xml:space="preserve">refreshed </w:t>
      </w:r>
      <w:r w:rsidR="002B19F1">
        <w:t xml:space="preserve">to incorporate </w:t>
      </w:r>
      <w:r w:rsidR="00740A2B" w:rsidRPr="004A6F43">
        <w:t>changes to the context</w:t>
      </w:r>
      <w:r w:rsidR="00F339F0">
        <w:t xml:space="preserve">. </w:t>
      </w:r>
      <w:r w:rsidR="00BA3CFE">
        <w:t>It concluded that</w:t>
      </w:r>
      <w:r w:rsidR="00461DEB">
        <w:t xml:space="preserve"> the delivery modality for V</w:t>
      </w:r>
      <w:r w:rsidR="00F339F0">
        <w:t>E</w:t>
      </w:r>
      <w:r w:rsidR="00461DEB">
        <w:t>SP</w:t>
      </w:r>
      <w:r w:rsidR="000164D1">
        <w:t xml:space="preserve"> </w:t>
      </w:r>
      <w:r w:rsidR="00F339F0">
        <w:t>II remains efficient</w:t>
      </w:r>
      <w:r w:rsidR="00461DEB">
        <w:t xml:space="preserve">. </w:t>
      </w:r>
    </w:p>
    <w:p w14:paraId="4AE67913" w14:textId="22486D2C" w:rsidR="00C74270" w:rsidRPr="00FE1707" w:rsidRDefault="00C74270" w:rsidP="00C74270">
      <w:pPr>
        <w:spacing w:before="240"/>
        <w:rPr>
          <w:b/>
          <w:bCs/>
        </w:rPr>
      </w:pPr>
      <w:r w:rsidRPr="00FE1707">
        <w:rPr>
          <w:b/>
          <w:bCs/>
        </w:rPr>
        <w:t>Overall response to the evaluation</w:t>
      </w:r>
    </w:p>
    <w:p w14:paraId="472EBC8A" w14:textId="6703D6EE" w:rsidR="00CD4AB9" w:rsidRDefault="00C74270" w:rsidP="00135365">
      <w:r>
        <w:t xml:space="preserve">The Government of Australia, through </w:t>
      </w:r>
      <w:r w:rsidRPr="00D10E82">
        <w:t>DFAT</w:t>
      </w:r>
      <w:r>
        <w:t>,</w:t>
      </w:r>
      <w:r w:rsidRPr="00D10E82">
        <w:t xml:space="preserve"> welcomes</w:t>
      </w:r>
      <w:r>
        <w:t xml:space="preserve"> and agrees with</w:t>
      </w:r>
      <w:r w:rsidRPr="00D10E82">
        <w:t xml:space="preserve"> the </w:t>
      </w:r>
      <w:r w:rsidR="00CD4AB9">
        <w:t>MTRs</w:t>
      </w:r>
      <w:r w:rsidRPr="00D10E82">
        <w:t xml:space="preserve"> findings and recommendations</w:t>
      </w:r>
      <w:r w:rsidR="00C81048">
        <w:t>. The</w:t>
      </w:r>
      <w:r>
        <w:t>se</w:t>
      </w:r>
      <w:r w:rsidR="00C81048">
        <w:t xml:space="preserve"> findings will </w:t>
      </w:r>
      <w:r w:rsidR="00927B12">
        <w:t xml:space="preserve">inform and guide </w:t>
      </w:r>
      <w:r w:rsidR="002C43CB">
        <w:t>DFAT</w:t>
      </w:r>
      <w:r w:rsidR="00927B12">
        <w:t>’s</w:t>
      </w:r>
      <w:r w:rsidR="002C43CB">
        <w:t xml:space="preserve"> </w:t>
      </w:r>
      <w:r w:rsidR="002C43CB" w:rsidRPr="003413BC">
        <w:t xml:space="preserve">future support to </w:t>
      </w:r>
      <w:r w:rsidR="00927B12">
        <w:t>Vanuatu</w:t>
      </w:r>
      <w:r w:rsidR="00CD4AB9">
        <w:t xml:space="preserve"> Education sector and its coordination</w:t>
      </w:r>
      <w:r w:rsidR="00927B12">
        <w:t xml:space="preserve">, and </w:t>
      </w:r>
      <w:r w:rsidR="00CD4AB9">
        <w:t xml:space="preserve">in particular the continuity of assistance through the Vanuatu Education Support Program. </w:t>
      </w:r>
    </w:p>
    <w:p w14:paraId="30A89FDB" w14:textId="77777777" w:rsidR="00A86F3F" w:rsidRDefault="00135365" w:rsidP="00A86F3F">
      <w:pPr>
        <w:sectPr w:rsidR="00A86F3F" w:rsidSect="00A86F3F">
          <w:footerReference w:type="default" r:id="rId8"/>
          <w:pgSz w:w="11906" w:h="16838"/>
          <w:pgMar w:top="1440" w:right="1440" w:bottom="1440" w:left="1440" w:header="708" w:footer="708" w:gutter="0"/>
          <w:cols w:space="708"/>
          <w:titlePg/>
          <w:docGrid w:linePitch="360"/>
        </w:sectPr>
      </w:pPr>
      <w:r w:rsidRPr="00D10E82">
        <w:t>More detailed responses to each recommendation are included in the table below</w:t>
      </w:r>
      <w:r w:rsidR="00C74270">
        <w:t>.</w:t>
      </w:r>
    </w:p>
    <w:p w14:paraId="16100291" w14:textId="470B7246" w:rsidR="00C81048" w:rsidRDefault="00ED1185" w:rsidP="00CA1204">
      <w:pPr>
        <w:pStyle w:val="Heading3"/>
        <w:spacing w:before="120" w:line="240" w:lineRule="auto"/>
        <w:contextualSpacing w:val="0"/>
      </w:pPr>
      <w:r>
        <w:lastRenderedPageBreak/>
        <w:t xml:space="preserve">Detailed </w:t>
      </w:r>
      <w:r w:rsidR="00C81048">
        <w:t>M</w:t>
      </w:r>
      <w:r w:rsidR="00C81048" w:rsidRPr="002B1079">
        <w:t xml:space="preserve">anagement response to the recommendations </w:t>
      </w:r>
    </w:p>
    <w:p w14:paraId="74C2AA5A" w14:textId="6B0E3C93" w:rsidR="00C81048" w:rsidRDefault="00C81048"/>
    <w:tbl>
      <w:tblPr>
        <w:tblStyle w:val="TableGrid"/>
        <w:tblW w:w="15310" w:type="dxa"/>
        <w:tblInd w:w="-431" w:type="dxa"/>
        <w:tblLook w:val="04A0" w:firstRow="1" w:lastRow="0" w:firstColumn="1" w:lastColumn="0" w:noHBand="0" w:noVBand="1"/>
      </w:tblPr>
      <w:tblGrid>
        <w:gridCol w:w="530"/>
        <w:gridCol w:w="4451"/>
        <w:gridCol w:w="1134"/>
        <w:gridCol w:w="4243"/>
        <w:gridCol w:w="3753"/>
        <w:gridCol w:w="1199"/>
      </w:tblGrid>
      <w:tr w:rsidR="008A613C" w14:paraId="0CDD704B" w14:textId="77777777" w:rsidTr="00A86F3F">
        <w:trPr>
          <w:tblHeader/>
        </w:trPr>
        <w:tc>
          <w:tcPr>
            <w:tcW w:w="530" w:type="dxa"/>
            <w:shd w:val="clear" w:color="auto" w:fill="0070C0"/>
          </w:tcPr>
          <w:p w14:paraId="243C640A" w14:textId="01E67E25" w:rsidR="00C81048" w:rsidRPr="00C81048" w:rsidRDefault="00A86F3F">
            <w:pPr>
              <w:rPr>
                <w:color w:val="FFFFFF" w:themeColor="background1"/>
              </w:rPr>
            </w:pPr>
            <w:r>
              <w:rPr>
                <w:color w:val="FFFFFF" w:themeColor="background1"/>
              </w:rPr>
              <w:t>No.</w:t>
            </w:r>
          </w:p>
        </w:tc>
        <w:tc>
          <w:tcPr>
            <w:tcW w:w="4451" w:type="dxa"/>
            <w:shd w:val="clear" w:color="auto" w:fill="0070C0"/>
          </w:tcPr>
          <w:p w14:paraId="5EB740D1" w14:textId="722E839D" w:rsidR="00C81048" w:rsidRPr="00C81048" w:rsidRDefault="00C81048">
            <w:pPr>
              <w:rPr>
                <w:color w:val="FFFFFF" w:themeColor="background1"/>
              </w:rPr>
            </w:pPr>
            <w:r w:rsidRPr="00C81048">
              <w:rPr>
                <w:color w:val="FFFFFF" w:themeColor="background1"/>
              </w:rPr>
              <w:t>Recommendation</w:t>
            </w:r>
            <w:r w:rsidR="00A3028F">
              <w:rPr>
                <w:color w:val="FFFFFF" w:themeColor="background1"/>
              </w:rPr>
              <w:t xml:space="preserve"> from the evaluation</w:t>
            </w:r>
          </w:p>
        </w:tc>
        <w:tc>
          <w:tcPr>
            <w:tcW w:w="1134" w:type="dxa"/>
            <w:shd w:val="clear" w:color="auto" w:fill="0070C0"/>
          </w:tcPr>
          <w:p w14:paraId="373E78BA" w14:textId="655848B8" w:rsidR="00C81048" w:rsidRPr="00C81048" w:rsidRDefault="00C81048">
            <w:pPr>
              <w:rPr>
                <w:color w:val="FFFFFF" w:themeColor="background1"/>
              </w:rPr>
            </w:pPr>
            <w:r w:rsidRPr="00C81048">
              <w:rPr>
                <w:color w:val="FFFFFF" w:themeColor="background1"/>
              </w:rPr>
              <w:t xml:space="preserve">Response </w:t>
            </w:r>
          </w:p>
        </w:tc>
        <w:tc>
          <w:tcPr>
            <w:tcW w:w="4243" w:type="dxa"/>
            <w:shd w:val="clear" w:color="auto" w:fill="0070C0"/>
          </w:tcPr>
          <w:p w14:paraId="72AA5980" w14:textId="5B15B1D8" w:rsidR="00C81048" w:rsidRPr="00C81048" w:rsidRDefault="00C81048">
            <w:pPr>
              <w:rPr>
                <w:color w:val="FFFFFF" w:themeColor="background1"/>
              </w:rPr>
            </w:pPr>
            <w:r w:rsidRPr="00C81048">
              <w:rPr>
                <w:color w:val="FFFFFF" w:themeColor="background1"/>
              </w:rPr>
              <w:t xml:space="preserve">Explanation </w:t>
            </w:r>
          </w:p>
        </w:tc>
        <w:tc>
          <w:tcPr>
            <w:tcW w:w="3753" w:type="dxa"/>
            <w:shd w:val="clear" w:color="auto" w:fill="0070C0"/>
          </w:tcPr>
          <w:p w14:paraId="0C386CDA" w14:textId="47AB9838" w:rsidR="00C81048" w:rsidRPr="00C81048" w:rsidRDefault="00C81048">
            <w:pPr>
              <w:rPr>
                <w:color w:val="FFFFFF" w:themeColor="background1"/>
              </w:rPr>
            </w:pPr>
            <w:r w:rsidRPr="00C81048">
              <w:rPr>
                <w:color w:val="FFFFFF" w:themeColor="background1"/>
              </w:rPr>
              <w:t xml:space="preserve">Action plan </w:t>
            </w:r>
          </w:p>
        </w:tc>
        <w:tc>
          <w:tcPr>
            <w:tcW w:w="1199" w:type="dxa"/>
            <w:shd w:val="clear" w:color="auto" w:fill="0070C0"/>
          </w:tcPr>
          <w:p w14:paraId="6BB4A9A8" w14:textId="62DA6B68" w:rsidR="00C81048" w:rsidRPr="00C81048" w:rsidRDefault="00C81048">
            <w:pPr>
              <w:rPr>
                <w:color w:val="FFFFFF" w:themeColor="background1"/>
              </w:rPr>
            </w:pPr>
            <w:r w:rsidRPr="00C81048">
              <w:rPr>
                <w:color w:val="FFFFFF" w:themeColor="background1"/>
              </w:rPr>
              <w:t xml:space="preserve">Timeframe </w:t>
            </w:r>
          </w:p>
        </w:tc>
      </w:tr>
      <w:tr w:rsidR="007D6E2F" w14:paraId="02878FF4" w14:textId="77777777" w:rsidTr="00A86F3F">
        <w:tc>
          <w:tcPr>
            <w:tcW w:w="530" w:type="dxa"/>
          </w:tcPr>
          <w:p w14:paraId="33122BED" w14:textId="496D9FCC" w:rsidR="00C81048" w:rsidRPr="00FB1739" w:rsidRDefault="00C81048" w:rsidP="00C81048">
            <w:pPr>
              <w:pStyle w:val="SDAnumberedlist"/>
              <w:numPr>
                <w:ilvl w:val="0"/>
                <w:numId w:val="0"/>
              </w:numPr>
              <w:shd w:val="clear" w:color="auto" w:fill="FFFFFF" w:themeFill="background1"/>
              <w:spacing w:before="60" w:afterLines="60" w:after="144"/>
              <w:ind w:left="173"/>
            </w:pPr>
            <w:r>
              <w:t>1</w:t>
            </w:r>
          </w:p>
        </w:tc>
        <w:tc>
          <w:tcPr>
            <w:tcW w:w="4451" w:type="dxa"/>
          </w:tcPr>
          <w:p w14:paraId="327F7C6B" w14:textId="77777777" w:rsidR="00CD4AB9" w:rsidRPr="00764220" w:rsidRDefault="00CD4AB9" w:rsidP="00CD4AB9">
            <w:pPr>
              <w:rPr>
                <w:color w:val="2F5496" w:themeColor="accent1" w:themeShade="BF"/>
                <w:lang w:val="en-AU" w:eastAsia="en-GB"/>
              </w:rPr>
            </w:pPr>
            <w:r w:rsidRPr="00764220">
              <w:rPr>
                <w:color w:val="2F5496" w:themeColor="accent1" w:themeShade="BF"/>
                <w:lang w:val="en-AU" w:eastAsia="en-GB"/>
              </w:rPr>
              <w:t>VESP II should continue with the current modality for a further five years.</w:t>
            </w:r>
          </w:p>
          <w:p w14:paraId="2629B435" w14:textId="77777777" w:rsidR="00C81048" w:rsidRPr="00CD4AB9" w:rsidRDefault="00C81048" w:rsidP="00CD4AB9">
            <w:pPr>
              <w:rPr>
                <w:lang w:val="en-AU"/>
              </w:rPr>
            </w:pPr>
          </w:p>
        </w:tc>
        <w:tc>
          <w:tcPr>
            <w:tcW w:w="1134" w:type="dxa"/>
            <w:shd w:val="clear" w:color="auto" w:fill="92D050"/>
          </w:tcPr>
          <w:p w14:paraId="28F30942" w14:textId="0D7536D6" w:rsidR="00C81048" w:rsidRDefault="00C81048">
            <w:r w:rsidRPr="00307CB0">
              <w:rPr>
                <w:color w:val="auto"/>
              </w:rPr>
              <w:t xml:space="preserve">Agree </w:t>
            </w:r>
          </w:p>
        </w:tc>
        <w:tc>
          <w:tcPr>
            <w:tcW w:w="4243" w:type="dxa"/>
          </w:tcPr>
          <w:p w14:paraId="3998506F" w14:textId="56D00558" w:rsidR="00065AB9" w:rsidRDefault="00CA3595" w:rsidP="00CA3595">
            <w:pPr>
              <w:pStyle w:val="SDAnumberedlist"/>
              <w:numPr>
                <w:ilvl w:val="0"/>
                <w:numId w:val="0"/>
              </w:numPr>
              <w:shd w:val="clear" w:color="auto" w:fill="FFFFFF" w:themeFill="background1"/>
              <w:spacing w:before="60" w:afterLines="60" w:after="144"/>
              <w:rPr>
                <w:color w:val="44546A" w:themeColor="text2"/>
              </w:rPr>
            </w:pPr>
            <w:r>
              <w:rPr>
                <w:color w:val="44546A" w:themeColor="text2"/>
              </w:rPr>
              <w:t xml:space="preserve">The current modality has been found to be effective. </w:t>
            </w:r>
          </w:p>
          <w:p w14:paraId="1CF4951A" w14:textId="4C2C6424" w:rsidR="00065AB9" w:rsidRDefault="00065AB9" w:rsidP="00E22CCB">
            <w:pPr>
              <w:pStyle w:val="SDAnumberedlist"/>
              <w:numPr>
                <w:ilvl w:val="0"/>
                <w:numId w:val="0"/>
              </w:numPr>
              <w:shd w:val="clear" w:color="auto" w:fill="FFFFFF" w:themeFill="background1"/>
              <w:spacing w:before="60" w:afterLines="60" w:after="144"/>
              <w:rPr>
                <w:color w:val="44546A" w:themeColor="text2"/>
              </w:rPr>
            </w:pPr>
            <w:r>
              <w:rPr>
                <w:color w:val="44546A" w:themeColor="text2"/>
              </w:rPr>
              <w:t xml:space="preserve">A longer period is needed for VESP II to become fully embedded into </w:t>
            </w:r>
            <w:proofErr w:type="spellStart"/>
            <w:r>
              <w:rPr>
                <w:color w:val="44546A" w:themeColor="text2"/>
              </w:rPr>
              <w:t>MoET’s</w:t>
            </w:r>
            <w:proofErr w:type="spellEnd"/>
            <w:r>
              <w:rPr>
                <w:color w:val="44546A" w:themeColor="text2"/>
              </w:rPr>
              <w:t xml:space="preserve"> planning and </w:t>
            </w:r>
            <w:r w:rsidR="00CA3595">
              <w:rPr>
                <w:color w:val="44546A" w:themeColor="text2"/>
              </w:rPr>
              <w:t>sustain its</w:t>
            </w:r>
            <w:r>
              <w:rPr>
                <w:color w:val="44546A" w:themeColor="text2"/>
              </w:rPr>
              <w:t xml:space="preserve"> impact.</w:t>
            </w:r>
          </w:p>
          <w:p w14:paraId="5F097F09" w14:textId="0A5C385F" w:rsidR="00065AB9" w:rsidRDefault="00065AB9" w:rsidP="00E22CCB">
            <w:pPr>
              <w:pStyle w:val="SDAnumberedlist"/>
              <w:numPr>
                <w:ilvl w:val="0"/>
                <w:numId w:val="0"/>
              </w:numPr>
              <w:shd w:val="clear" w:color="auto" w:fill="FFFFFF" w:themeFill="background1"/>
              <w:spacing w:before="60" w:afterLines="60" w:after="144"/>
              <w:rPr>
                <w:color w:val="44546A" w:themeColor="text2"/>
              </w:rPr>
            </w:pPr>
            <w:r>
              <w:rPr>
                <w:color w:val="44546A" w:themeColor="text2"/>
              </w:rPr>
              <w:t xml:space="preserve">2019 was a disrupted year with the resignation of the Team Leader and changes in the leadership team. </w:t>
            </w:r>
            <w:r w:rsidR="00E62017">
              <w:rPr>
                <w:color w:val="44546A" w:themeColor="text2"/>
              </w:rPr>
              <w:t xml:space="preserve"> </w:t>
            </w:r>
            <w:r w:rsidR="00CA1204">
              <w:rPr>
                <w:color w:val="44546A" w:themeColor="text2"/>
              </w:rPr>
              <w:t>Throughout</w:t>
            </w:r>
            <w:r w:rsidR="00E62017">
              <w:rPr>
                <w:color w:val="44546A" w:themeColor="text2"/>
              </w:rPr>
              <w:t xml:space="preserve"> </w:t>
            </w:r>
            <w:r w:rsidR="00CA3595">
              <w:rPr>
                <w:color w:val="44546A" w:themeColor="text2"/>
              </w:rPr>
              <w:t>2020-22</w:t>
            </w:r>
            <w:r w:rsidR="00E62017">
              <w:rPr>
                <w:color w:val="44546A" w:themeColor="text2"/>
              </w:rPr>
              <w:t>,</w:t>
            </w:r>
            <w:r w:rsidR="00CA3595">
              <w:rPr>
                <w:color w:val="44546A" w:themeColor="text2"/>
              </w:rPr>
              <w:t xml:space="preserve"> </w:t>
            </w:r>
            <w:r w:rsidRPr="00065AB9">
              <w:rPr>
                <w:color w:val="44546A" w:themeColor="text2"/>
              </w:rPr>
              <w:t>COVID-19 and TC Harold disrupt</w:t>
            </w:r>
            <w:r w:rsidR="00E62017">
              <w:rPr>
                <w:color w:val="44546A" w:themeColor="text2"/>
              </w:rPr>
              <w:t>ed</w:t>
            </w:r>
            <w:r w:rsidRPr="00065AB9">
              <w:rPr>
                <w:color w:val="44546A" w:themeColor="text2"/>
              </w:rPr>
              <w:t xml:space="preserve"> activities </w:t>
            </w:r>
            <w:r w:rsidR="00CA1204">
              <w:rPr>
                <w:color w:val="44546A" w:themeColor="text2"/>
              </w:rPr>
              <w:t xml:space="preserve">and </w:t>
            </w:r>
            <w:r>
              <w:rPr>
                <w:color w:val="44546A" w:themeColor="text2"/>
              </w:rPr>
              <w:t xml:space="preserve">required </w:t>
            </w:r>
            <w:r w:rsidR="00CA3595">
              <w:rPr>
                <w:color w:val="44546A" w:themeColor="text2"/>
              </w:rPr>
              <w:t xml:space="preserve">the program to </w:t>
            </w:r>
            <w:r>
              <w:rPr>
                <w:color w:val="44546A" w:themeColor="text2"/>
              </w:rPr>
              <w:t>adapt</w:t>
            </w:r>
            <w:r w:rsidR="00CA1204">
              <w:rPr>
                <w:color w:val="44546A" w:themeColor="text2"/>
              </w:rPr>
              <w:t xml:space="preserve">. It </w:t>
            </w:r>
            <w:r>
              <w:rPr>
                <w:color w:val="44546A" w:themeColor="text2"/>
              </w:rPr>
              <w:t>pivot</w:t>
            </w:r>
            <w:r w:rsidR="00CA1204">
              <w:rPr>
                <w:color w:val="44546A" w:themeColor="text2"/>
              </w:rPr>
              <w:t>ed</w:t>
            </w:r>
            <w:r>
              <w:rPr>
                <w:color w:val="44546A" w:themeColor="text2"/>
              </w:rPr>
              <w:t xml:space="preserve"> activities to assist </w:t>
            </w:r>
            <w:proofErr w:type="spellStart"/>
            <w:r>
              <w:rPr>
                <w:color w:val="44546A" w:themeColor="text2"/>
              </w:rPr>
              <w:t>MoET</w:t>
            </w:r>
            <w:proofErr w:type="spellEnd"/>
            <w:r>
              <w:rPr>
                <w:color w:val="44546A" w:themeColor="text2"/>
              </w:rPr>
              <w:t xml:space="preserve"> to provide continuity of </w:t>
            </w:r>
            <w:r w:rsidR="00CA3595">
              <w:rPr>
                <w:color w:val="44546A" w:themeColor="text2"/>
              </w:rPr>
              <w:t>e</w:t>
            </w:r>
            <w:r>
              <w:rPr>
                <w:color w:val="44546A" w:themeColor="text2"/>
              </w:rPr>
              <w:t xml:space="preserve">ducation across Vanuatu. </w:t>
            </w:r>
          </w:p>
          <w:p w14:paraId="0EB6DEB4" w14:textId="372C4CAE" w:rsidR="00E22CCB" w:rsidRPr="00065AB9" w:rsidRDefault="00E62017" w:rsidP="00E22CCB">
            <w:pPr>
              <w:pStyle w:val="SDAnumberedlist"/>
              <w:numPr>
                <w:ilvl w:val="0"/>
                <w:numId w:val="0"/>
              </w:numPr>
              <w:shd w:val="clear" w:color="auto" w:fill="FFFFFF" w:themeFill="background1"/>
              <w:spacing w:before="60" w:afterLines="60" w:after="144"/>
              <w:rPr>
                <w:color w:val="44546A" w:themeColor="text2"/>
              </w:rPr>
            </w:pPr>
            <w:r>
              <w:rPr>
                <w:color w:val="44546A" w:themeColor="text2"/>
              </w:rPr>
              <w:t>In this context, a</w:t>
            </w:r>
            <w:r w:rsidR="00065AB9" w:rsidRPr="00065AB9">
              <w:rPr>
                <w:color w:val="44546A" w:themeColor="text2"/>
              </w:rPr>
              <w:t xml:space="preserve"> two-year extension would allow insufficient time for VESP II to embed key aspects of the program.</w:t>
            </w:r>
            <w:r w:rsidR="00065AB9">
              <w:rPr>
                <w:rFonts w:asciiTheme="majorHAnsi" w:hAnsiTheme="majorHAnsi" w:cstheme="majorHAnsi"/>
                <w:color w:val="1F4E79" w:themeColor="accent5" w:themeShade="80"/>
                <w:sz w:val="21"/>
                <w:szCs w:val="21"/>
              </w:rPr>
              <w:t xml:space="preserve"> </w:t>
            </w:r>
          </w:p>
        </w:tc>
        <w:tc>
          <w:tcPr>
            <w:tcW w:w="3753" w:type="dxa"/>
          </w:tcPr>
          <w:p w14:paraId="39D73736" w14:textId="429333C4" w:rsidR="007564A2" w:rsidRDefault="00EF0EF6" w:rsidP="00C74270">
            <w:pPr>
              <w:pStyle w:val="SDAnumberedlist"/>
              <w:numPr>
                <w:ilvl w:val="0"/>
                <w:numId w:val="0"/>
              </w:numPr>
              <w:shd w:val="clear" w:color="auto" w:fill="FFFFFF" w:themeFill="background1"/>
              <w:spacing w:before="60" w:afterLines="60" w:after="144"/>
              <w:rPr>
                <w:color w:val="44546A" w:themeColor="text2"/>
              </w:rPr>
            </w:pPr>
            <w:r>
              <w:rPr>
                <w:color w:val="44546A" w:themeColor="text2"/>
              </w:rPr>
              <w:t>DFAT</w:t>
            </w:r>
            <w:r w:rsidR="007D6E2F" w:rsidRPr="00C74270">
              <w:rPr>
                <w:color w:val="44546A" w:themeColor="text2"/>
              </w:rPr>
              <w:t xml:space="preserve"> </w:t>
            </w:r>
            <w:r w:rsidR="00065AB9">
              <w:rPr>
                <w:color w:val="44546A" w:themeColor="text2"/>
              </w:rPr>
              <w:t xml:space="preserve">to </w:t>
            </w:r>
            <w:r w:rsidR="00ED1185" w:rsidRPr="00C74270">
              <w:rPr>
                <w:color w:val="44546A" w:themeColor="text2"/>
              </w:rPr>
              <w:t xml:space="preserve">facilitate </w:t>
            </w:r>
            <w:r w:rsidR="00065AB9">
              <w:rPr>
                <w:color w:val="44546A" w:themeColor="text2"/>
              </w:rPr>
              <w:t>amendment of the VESP II contract with Tetra Tech</w:t>
            </w:r>
            <w:r w:rsidR="007564A2">
              <w:rPr>
                <w:color w:val="44546A" w:themeColor="text2"/>
              </w:rPr>
              <w:t xml:space="preserve"> and </w:t>
            </w:r>
            <w:r w:rsidR="00E62017">
              <w:rPr>
                <w:color w:val="44546A" w:themeColor="text2"/>
              </w:rPr>
              <w:t>en</w:t>
            </w:r>
            <w:r w:rsidR="007564A2">
              <w:rPr>
                <w:color w:val="44546A" w:themeColor="text2"/>
              </w:rPr>
              <w:t xml:space="preserve">sure relevant documents are signed by 23 December 2021. </w:t>
            </w:r>
          </w:p>
          <w:p w14:paraId="54FEE0DD" w14:textId="691FDC37" w:rsidR="007564A2" w:rsidRDefault="007564A2" w:rsidP="00C74270">
            <w:pPr>
              <w:pStyle w:val="SDAnumberedlist"/>
              <w:numPr>
                <w:ilvl w:val="0"/>
                <w:numId w:val="0"/>
              </w:numPr>
              <w:shd w:val="clear" w:color="auto" w:fill="FFFFFF" w:themeFill="background1"/>
              <w:spacing w:before="60" w:afterLines="60" w:after="144"/>
              <w:rPr>
                <w:color w:val="44546A" w:themeColor="text2"/>
              </w:rPr>
            </w:pPr>
          </w:p>
          <w:p w14:paraId="0650126F" w14:textId="2435CCA2" w:rsidR="007564A2" w:rsidRDefault="00EF0EF6" w:rsidP="00C74270">
            <w:pPr>
              <w:pStyle w:val="SDAnumberedlist"/>
              <w:numPr>
                <w:ilvl w:val="0"/>
                <w:numId w:val="0"/>
              </w:numPr>
              <w:shd w:val="clear" w:color="auto" w:fill="FFFFFF" w:themeFill="background1"/>
              <w:spacing w:before="60" w:afterLines="60" w:after="144"/>
              <w:rPr>
                <w:color w:val="44546A" w:themeColor="text2"/>
                <w:lang w:val="en-AU"/>
              </w:rPr>
            </w:pPr>
            <w:r>
              <w:rPr>
                <w:color w:val="44546A" w:themeColor="text2"/>
                <w:lang w:val="en-AU"/>
              </w:rPr>
              <w:t>DFAT</w:t>
            </w:r>
            <w:r w:rsidR="007564A2" w:rsidRPr="007564A2">
              <w:rPr>
                <w:color w:val="44546A" w:themeColor="text2"/>
                <w:lang w:val="en-AU"/>
              </w:rPr>
              <w:t xml:space="preserve"> to amend th</w:t>
            </w:r>
            <w:r w:rsidR="007564A2">
              <w:rPr>
                <w:color w:val="44546A" w:themeColor="text2"/>
                <w:lang w:val="en-AU"/>
              </w:rPr>
              <w:t xml:space="preserve">e subsidiary amendment with </w:t>
            </w:r>
            <w:proofErr w:type="spellStart"/>
            <w:r w:rsidR="007564A2">
              <w:rPr>
                <w:color w:val="44546A" w:themeColor="text2"/>
                <w:lang w:val="en-AU"/>
              </w:rPr>
              <w:t>MoET</w:t>
            </w:r>
            <w:proofErr w:type="spellEnd"/>
            <w:r w:rsidR="007564A2">
              <w:rPr>
                <w:color w:val="44546A" w:themeColor="text2"/>
                <w:lang w:val="en-AU"/>
              </w:rPr>
              <w:t xml:space="preserve"> to match the new end date of the contract. Document to be signed by HOM and </w:t>
            </w:r>
            <w:proofErr w:type="spellStart"/>
            <w:r w:rsidR="007564A2">
              <w:rPr>
                <w:color w:val="44546A" w:themeColor="text2"/>
                <w:lang w:val="en-AU"/>
              </w:rPr>
              <w:t>MoET</w:t>
            </w:r>
            <w:proofErr w:type="spellEnd"/>
            <w:r w:rsidR="007564A2">
              <w:rPr>
                <w:color w:val="44546A" w:themeColor="text2"/>
                <w:lang w:val="en-AU"/>
              </w:rPr>
              <w:t>.</w:t>
            </w:r>
          </w:p>
          <w:p w14:paraId="184C16C3" w14:textId="3A11E9B8" w:rsidR="007564A2" w:rsidRDefault="007564A2" w:rsidP="00C74270">
            <w:pPr>
              <w:pStyle w:val="SDAnumberedlist"/>
              <w:numPr>
                <w:ilvl w:val="0"/>
                <w:numId w:val="0"/>
              </w:numPr>
              <w:shd w:val="clear" w:color="auto" w:fill="FFFFFF" w:themeFill="background1"/>
              <w:spacing w:before="60" w:afterLines="60" w:after="144"/>
              <w:rPr>
                <w:color w:val="44546A" w:themeColor="text2"/>
                <w:lang w:val="en-AU"/>
              </w:rPr>
            </w:pPr>
          </w:p>
          <w:p w14:paraId="188A5BEF" w14:textId="38E7DAAC" w:rsidR="00C81048" w:rsidRPr="007564A2" w:rsidRDefault="00EF0EF6" w:rsidP="00C74270">
            <w:pPr>
              <w:pStyle w:val="SDAnumberedlist"/>
              <w:numPr>
                <w:ilvl w:val="0"/>
                <w:numId w:val="0"/>
              </w:numPr>
              <w:shd w:val="clear" w:color="auto" w:fill="FFFFFF" w:themeFill="background1"/>
              <w:spacing w:before="60" w:afterLines="60" w:after="144"/>
              <w:rPr>
                <w:rFonts w:asciiTheme="majorHAnsi" w:hAnsiTheme="majorHAnsi" w:cstheme="majorHAnsi"/>
                <w:color w:val="1F4E79" w:themeColor="accent5" w:themeShade="80"/>
                <w:sz w:val="21"/>
                <w:szCs w:val="21"/>
                <w:lang w:val="en-AU"/>
              </w:rPr>
            </w:pPr>
            <w:r>
              <w:rPr>
                <w:color w:val="44546A" w:themeColor="text2"/>
                <w:lang w:val="en-AU"/>
              </w:rPr>
              <w:t>DFAT</w:t>
            </w:r>
            <w:r w:rsidR="007564A2" w:rsidRPr="007564A2">
              <w:rPr>
                <w:color w:val="44546A" w:themeColor="text2"/>
                <w:lang w:val="en-AU"/>
              </w:rPr>
              <w:t xml:space="preserve"> to amend th</w:t>
            </w:r>
            <w:r w:rsidR="007564A2">
              <w:rPr>
                <w:color w:val="44546A" w:themeColor="text2"/>
                <w:lang w:val="en-AU"/>
              </w:rPr>
              <w:t xml:space="preserve">e end date of the Direct Funding Arrangement with </w:t>
            </w:r>
            <w:proofErr w:type="spellStart"/>
            <w:r w:rsidR="007564A2">
              <w:rPr>
                <w:color w:val="44546A" w:themeColor="text2"/>
                <w:lang w:val="en-AU"/>
              </w:rPr>
              <w:t>MoET</w:t>
            </w:r>
            <w:proofErr w:type="spellEnd"/>
            <w:r w:rsidR="007564A2">
              <w:rPr>
                <w:color w:val="44546A" w:themeColor="text2"/>
                <w:lang w:val="en-AU"/>
              </w:rPr>
              <w:t xml:space="preserve"> to match the new end date of the contract. </w:t>
            </w:r>
          </w:p>
        </w:tc>
        <w:tc>
          <w:tcPr>
            <w:tcW w:w="1199" w:type="dxa"/>
          </w:tcPr>
          <w:p w14:paraId="6EB65F92" w14:textId="49D8BB15" w:rsidR="00C81048" w:rsidRDefault="007564A2" w:rsidP="004A6F43">
            <w:r>
              <w:t xml:space="preserve">Done </w:t>
            </w:r>
          </w:p>
          <w:p w14:paraId="39CDAEA2" w14:textId="77777777" w:rsidR="007D6E2F" w:rsidRDefault="007D6E2F" w:rsidP="007D6E2F"/>
          <w:p w14:paraId="3EA817CE" w14:textId="77777777" w:rsidR="000A0AA2" w:rsidRDefault="000A0AA2" w:rsidP="007D6E2F"/>
          <w:p w14:paraId="66000DF7" w14:textId="20EB6A54" w:rsidR="00484CDE" w:rsidRDefault="00484CDE" w:rsidP="007D6E2F"/>
          <w:p w14:paraId="1A622F68" w14:textId="4DC14E1D" w:rsidR="007D6E2F" w:rsidRDefault="007D6E2F" w:rsidP="007D6E2F"/>
          <w:p w14:paraId="393C91B4" w14:textId="77777777" w:rsidR="00993542" w:rsidRDefault="00993542" w:rsidP="007D6E2F"/>
          <w:p w14:paraId="046DD781" w14:textId="77777777" w:rsidR="007D6E2F" w:rsidRDefault="007D6E2F" w:rsidP="007D6E2F"/>
          <w:p w14:paraId="300E277D" w14:textId="677E594C" w:rsidR="007D6E2F" w:rsidRDefault="007D6E2F" w:rsidP="004A6F43">
            <w:pPr>
              <w:ind w:left="360"/>
            </w:pPr>
            <w:r>
              <w:t xml:space="preserve"> </w:t>
            </w:r>
          </w:p>
          <w:p w14:paraId="0EF5B0AD" w14:textId="04F1170E" w:rsidR="007D6E2F" w:rsidRDefault="007D6E2F" w:rsidP="007D6E2F"/>
        </w:tc>
      </w:tr>
      <w:tr w:rsidR="007D6E2F" w14:paraId="3C8EFDD4" w14:textId="77777777" w:rsidTr="00A86F3F">
        <w:tc>
          <w:tcPr>
            <w:tcW w:w="530" w:type="dxa"/>
          </w:tcPr>
          <w:p w14:paraId="417C55E5" w14:textId="02064B10" w:rsidR="00C81048" w:rsidRDefault="00C81048">
            <w:r>
              <w:t>2</w:t>
            </w:r>
          </w:p>
        </w:tc>
        <w:tc>
          <w:tcPr>
            <w:tcW w:w="4451" w:type="dxa"/>
          </w:tcPr>
          <w:p w14:paraId="2312A7EF" w14:textId="77777777" w:rsidR="007564A2" w:rsidRPr="00764220" w:rsidRDefault="007564A2" w:rsidP="007564A2">
            <w:pPr>
              <w:rPr>
                <w:color w:val="2F5496" w:themeColor="accent1" w:themeShade="BF"/>
                <w:lang w:val="en-AU" w:eastAsia="en-GB"/>
              </w:rPr>
            </w:pPr>
            <w:r w:rsidRPr="00764220">
              <w:rPr>
                <w:color w:val="2F5496" w:themeColor="accent1" w:themeShade="BF"/>
                <w:lang w:val="en-AU" w:eastAsia="en-GB"/>
              </w:rPr>
              <w:t>VESP II should support the Ministry in realistic devolution / decentralisation efforts including clarification of roles at provincial level and the possible adoption of a more nuanced approach in the way that it operates in the provinces.</w:t>
            </w:r>
          </w:p>
          <w:p w14:paraId="25AA3279" w14:textId="5B2BFC56" w:rsidR="00C81048" w:rsidRPr="007564A2" w:rsidRDefault="00C81048" w:rsidP="005A40B5">
            <w:pPr>
              <w:pStyle w:val="SDAnumberedlist"/>
              <w:numPr>
                <w:ilvl w:val="0"/>
                <w:numId w:val="0"/>
              </w:numPr>
              <w:shd w:val="clear" w:color="auto" w:fill="FFFFFF" w:themeFill="background1"/>
              <w:spacing w:before="60" w:afterLines="60" w:after="144"/>
              <w:ind w:left="105"/>
              <w:rPr>
                <w:lang w:val="en-AU"/>
              </w:rPr>
            </w:pPr>
          </w:p>
        </w:tc>
        <w:tc>
          <w:tcPr>
            <w:tcW w:w="1134" w:type="dxa"/>
            <w:shd w:val="clear" w:color="auto" w:fill="92D050"/>
          </w:tcPr>
          <w:p w14:paraId="0D5F1398" w14:textId="3BB18C5E" w:rsidR="00C81048" w:rsidRDefault="007D6E2F">
            <w:r w:rsidRPr="00307CB0">
              <w:rPr>
                <w:color w:val="auto"/>
              </w:rPr>
              <w:t>Agree</w:t>
            </w:r>
          </w:p>
        </w:tc>
        <w:tc>
          <w:tcPr>
            <w:tcW w:w="4243" w:type="dxa"/>
          </w:tcPr>
          <w:p w14:paraId="17C8F154" w14:textId="30FD3F6F" w:rsidR="00C81048" w:rsidRDefault="002F2760" w:rsidP="00A3028F">
            <w:r>
              <w:t>The MTR team found out that some respondents were not clear on the difference between decentralisation and devolution</w:t>
            </w:r>
            <w:r w:rsidR="00E62017">
              <w:t>,</w:t>
            </w:r>
            <w:r>
              <w:t xml:space="preserve"> </w:t>
            </w:r>
            <w:r w:rsidRPr="002F2760">
              <w:t>and which tasks had been devolved to the provincial level.</w:t>
            </w:r>
            <w:r>
              <w:t xml:space="preserve"> </w:t>
            </w:r>
          </w:p>
          <w:p w14:paraId="0D98D6FF" w14:textId="73130822" w:rsidR="002F2760" w:rsidRDefault="002F2760" w:rsidP="00A3028F">
            <w:r>
              <w:t xml:space="preserve">The program needs </w:t>
            </w:r>
            <w:r w:rsidR="00E62017">
              <w:t xml:space="preserve">be further contextualised </w:t>
            </w:r>
            <w:r>
              <w:t xml:space="preserve">to </w:t>
            </w:r>
            <w:proofErr w:type="gramStart"/>
            <w:r>
              <w:t>take into account</w:t>
            </w:r>
            <w:proofErr w:type="gramEnd"/>
            <w:r w:rsidR="00E62017">
              <w:t xml:space="preserve"> contextual and geographic difference</w:t>
            </w:r>
            <w:r w:rsidR="00CA1204">
              <w:t>s</w:t>
            </w:r>
            <w:r w:rsidR="00E62017">
              <w:t xml:space="preserve"> in individual provinces.</w:t>
            </w:r>
          </w:p>
          <w:p w14:paraId="119BAE14" w14:textId="46886F48" w:rsidR="00583BB8" w:rsidRDefault="00583BB8" w:rsidP="00A3028F"/>
          <w:p w14:paraId="137F6B37" w14:textId="51ADA4D1" w:rsidR="002F2760" w:rsidRDefault="002F2760" w:rsidP="00A3028F"/>
        </w:tc>
        <w:tc>
          <w:tcPr>
            <w:tcW w:w="3753" w:type="dxa"/>
          </w:tcPr>
          <w:p w14:paraId="650C0CED" w14:textId="77777777" w:rsidR="00F65C37" w:rsidRDefault="00F65C37" w:rsidP="00736AB8">
            <w:r>
              <w:lastRenderedPageBreak/>
              <w:t>The 2023 Annual plan presents provincial activities to be implemented during the calendar year.</w:t>
            </w:r>
          </w:p>
          <w:p w14:paraId="63288149" w14:textId="1B8BE37F" w:rsidR="008A613C" w:rsidRDefault="00736AB8" w:rsidP="00736AB8">
            <w:r>
              <w:t xml:space="preserve">VESP II set up a grant mechanism to assist provinces to access funding to implement activities identified as priorities by the Provincial </w:t>
            </w:r>
            <w:r w:rsidR="00CA1204">
              <w:t xml:space="preserve">Education </w:t>
            </w:r>
            <w:r>
              <w:t xml:space="preserve">Office. </w:t>
            </w:r>
          </w:p>
          <w:p w14:paraId="1A40CAEA" w14:textId="60A33D8D" w:rsidR="00583BB8" w:rsidRDefault="00EF0EF6" w:rsidP="00736AB8">
            <w:r>
              <w:lastRenderedPageBreak/>
              <w:t>DFAT</w:t>
            </w:r>
            <w:r w:rsidR="00736AB8">
              <w:t xml:space="preserve"> will work with VESP and </w:t>
            </w:r>
            <w:proofErr w:type="spellStart"/>
            <w:r w:rsidR="00736AB8">
              <w:t>MoET</w:t>
            </w:r>
            <w:proofErr w:type="spellEnd"/>
            <w:r w:rsidR="00736AB8">
              <w:t xml:space="preserve"> Education Services to monitor the access and the use of the grant at the provincial level.</w:t>
            </w:r>
            <w:r w:rsidR="00F65C37">
              <w:t xml:space="preserve"> </w:t>
            </w:r>
            <w:r w:rsidR="00736AB8">
              <w:t xml:space="preserve">VESP </w:t>
            </w:r>
            <w:r w:rsidR="00E62017">
              <w:t xml:space="preserve">will </w:t>
            </w:r>
            <w:r w:rsidR="00736AB8">
              <w:t>develop case studies (short videos, presentations</w:t>
            </w:r>
            <w:r w:rsidR="00E62017">
              <w:t>) o</w:t>
            </w:r>
            <w:r w:rsidR="00736AB8">
              <w:t>n the use of the grant</w:t>
            </w:r>
            <w:r w:rsidR="00CA1204">
              <w:t>.</w:t>
            </w:r>
          </w:p>
        </w:tc>
        <w:tc>
          <w:tcPr>
            <w:tcW w:w="1199" w:type="dxa"/>
          </w:tcPr>
          <w:p w14:paraId="42B533BF" w14:textId="4B2EC578" w:rsidR="00C81048" w:rsidRDefault="00A3028F">
            <w:r>
              <w:lastRenderedPageBreak/>
              <w:t>202</w:t>
            </w:r>
            <w:r w:rsidR="00736AB8">
              <w:t>3</w:t>
            </w:r>
            <w:r w:rsidR="00C93480">
              <w:t xml:space="preserve"> </w:t>
            </w:r>
          </w:p>
        </w:tc>
      </w:tr>
      <w:tr w:rsidR="002B466B" w:rsidRPr="00F65C37" w14:paraId="398328F8" w14:textId="77777777" w:rsidTr="00A86F3F">
        <w:tc>
          <w:tcPr>
            <w:tcW w:w="530" w:type="dxa"/>
          </w:tcPr>
          <w:p w14:paraId="1B122AAB" w14:textId="4E071DC7" w:rsidR="00C81048" w:rsidRDefault="00C81048">
            <w:r>
              <w:t>3</w:t>
            </w:r>
          </w:p>
        </w:tc>
        <w:tc>
          <w:tcPr>
            <w:tcW w:w="4451" w:type="dxa"/>
          </w:tcPr>
          <w:p w14:paraId="61B05B74" w14:textId="4B0520DC" w:rsidR="002F2760" w:rsidRPr="00764220" w:rsidRDefault="002F2760" w:rsidP="002F2760">
            <w:pPr>
              <w:rPr>
                <w:color w:val="2F5496" w:themeColor="accent1" w:themeShade="BF"/>
                <w:lang w:val="en-AU" w:eastAsia="en-GB"/>
              </w:rPr>
            </w:pPr>
            <w:r w:rsidRPr="00764220">
              <w:rPr>
                <w:color w:val="2F5496" w:themeColor="accent1" w:themeShade="BF"/>
                <w:lang w:val="en-AU" w:eastAsia="en-GB"/>
              </w:rPr>
              <w:t>That VESP II should revise its M</w:t>
            </w:r>
            <w:r w:rsidR="00307CB0">
              <w:rPr>
                <w:color w:val="2F5496" w:themeColor="accent1" w:themeShade="BF"/>
                <w:lang w:val="en-AU" w:eastAsia="en-GB"/>
              </w:rPr>
              <w:t>&amp;E approach</w:t>
            </w:r>
            <w:r w:rsidRPr="00764220">
              <w:rPr>
                <w:color w:val="2F5496" w:themeColor="accent1" w:themeShade="BF"/>
                <w:lang w:val="en-AU" w:eastAsia="en-GB"/>
              </w:rPr>
              <w:t xml:space="preserve"> on an annual basis</w:t>
            </w:r>
            <w:r w:rsidR="00307CB0">
              <w:rPr>
                <w:color w:val="2F5496" w:themeColor="accent1" w:themeShade="BF"/>
                <w:lang w:val="en-AU" w:eastAsia="en-GB"/>
              </w:rPr>
              <w:t xml:space="preserve"> </w:t>
            </w:r>
            <w:r w:rsidR="00307CB0" w:rsidRPr="00307CB0">
              <w:rPr>
                <w:color w:val="2F5496" w:themeColor="accent1" w:themeShade="BF"/>
                <w:lang w:val="en-AU" w:eastAsia="en-GB"/>
              </w:rPr>
              <w:t>with a possibility of reframing it as a Monitoring, Evaluation, Research and Learning (MERL) Framework or a Monitoring, Evaluation and Learning (MEL) Framework.</w:t>
            </w:r>
          </w:p>
          <w:p w14:paraId="54AC86E1" w14:textId="59F8062F" w:rsidR="00C81048" w:rsidRPr="002F2760" w:rsidRDefault="00C81048" w:rsidP="002F2760">
            <w:pPr>
              <w:rPr>
                <w:lang w:val="en-AU"/>
              </w:rPr>
            </w:pPr>
          </w:p>
        </w:tc>
        <w:tc>
          <w:tcPr>
            <w:tcW w:w="1134" w:type="dxa"/>
            <w:shd w:val="clear" w:color="auto" w:fill="92D050"/>
          </w:tcPr>
          <w:p w14:paraId="79BF4FE9" w14:textId="40CB5341" w:rsidR="00C81048" w:rsidRDefault="002B466B">
            <w:r w:rsidRPr="00307CB0">
              <w:rPr>
                <w:color w:val="auto"/>
              </w:rPr>
              <w:t xml:space="preserve">Agree </w:t>
            </w:r>
          </w:p>
        </w:tc>
        <w:tc>
          <w:tcPr>
            <w:tcW w:w="4243" w:type="dxa"/>
          </w:tcPr>
          <w:p w14:paraId="6EE5084E" w14:textId="431B8647" w:rsidR="00271978" w:rsidRPr="00736AB8" w:rsidRDefault="002A1E4B" w:rsidP="004A6F43">
            <w:r w:rsidRPr="00736AB8">
              <w:t xml:space="preserve">VESP II’s EOPOs remain relevant in terms of </w:t>
            </w:r>
            <w:proofErr w:type="spellStart"/>
            <w:r w:rsidRPr="00736AB8">
              <w:t>GoV</w:t>
            </w:r>
            <w:proofErr w:type="spellEnd"/>
            <w:r w:rsidRPr="00736AB8">
              <w:t xml:space="preserve"> priorities but there is a need to review the M&amp;E plan</w:t>
            </w:r>
            <w:r w:rsidR="00E62017">
              <w:t xml:space="preserve">, </w:t>
            </w:r>
            <w:r w:rsidRPr="00736AB8">
              <w:t>including the</w:t>
            </w:r>
            <w:r w:rsidR="00E62017">
              <w:t xml:space="preserve"> program</w:t>
            </w:r>
            <w:r w:rsidRPr="00736AB8">
              <w:t xml:space="preserve"> logic pathways.</w:t>
            </w:r>
          </w:p>
          <w:p w14:paraId="39E4B8C5" w14:textId="3F738D7A" w:rsidR="00E62017" w:rsidRDefault="002A1E4B">
            <w:r w:rsidRPr="00230865">
              <w:t xml:space="preserve">M&amp;E has been challenging for </w:t>
            </w:r>
            <w:r>
              <w:t>VESP</w:t>
            </w:r>
            <w:r w:rsidRPr="00230865">
              <w:t xml:space="preserve"> </w:t>
            </w:r>
            <w:r>
              <w:t xml:space="preserve">II </w:t>
            </w:r>
            <w:r w:rsidRPr="00230865">
              <w:t xml:space="preserve">since the </w:t>
            </w:r>
            <w:r>
              <w:t>program</w:t>
            </w:r>
            <w:r w:rsidR="00E62017">
              <w:t>’s commencement,</w:t>
            </w:r>
            <w:r w:rsidRPr="00230865">
              <w:t xml:space="preserve"> with three different M&amp;E </w:t>
            </w:r>
            <w:r w:rsidR="00E62017">
              <w:t>advisers</w:t>
            </w:r>
            <w:r w:rsidR="00E62017" w:rsidRPr="00230865">
              <w:t xml:space="preserve"> </w:t>
            </w:r>
            <w:r w:rsidRPr="00230865">
              <w:t>and three different</w:t>
            </w:r>
            <w:r>
              <w:t xml:space="preserve"> M&amp;E</w:t>
            </w:r>
            <w:r w:rsidRPr="00230865">
              <w:t xml:space="preserve"> plans. </w:t>
            </w:r>
          </w:p>
          <w:p w14:paraId="3B69863F" w14:textId="573443CB" w:rsidR="002A1E4B" w:rsidRDefault="00583BB8">
            <w:r w:rsidRPr="006D06E8">
              <w:rPr>
                <w:rFonts w:eastAsia="Times New Roman" w:cstheme="minorHAnsi"/>
              </w:rPr>
              <w:t xml:space="preserve">Capacity building of </w:t>
            </w:r>
            <w:proofErr w:type="spellStart"/>
            <w:r w:rsidRPr="006D06E8">
              <w:rPr>
                <w:rFonts w:eastAsia="Times New Roman" w:cstheme="minorHAnsi"/>
              </w:rPr>
              <w:t>MoET</w:t>
            </w:r>
            <w:proofErr w:type="spellEnd"/>
            <w:r w:rsidRPr="006D06E8">
              <w:rPr>
                <w:rFonts w:eastAsia="Times New Roman" w:cstheme="minorHAnsi"/>
              </w:rPr>
              <w:t xml:space="preserve"> staff at an operational level </w:t>
            </w:r>
            <w:r w:rsidR="00CA1204">
              <w:rPr>
                <w:rFonts w:eastAsia="Times New Roman" w:cstheme="minorHAnsi"/>
              </w:rPr>
              <w:t>has been</w:t>
            </w:r>
            <w:r w:rsidRPr="006D06E8">
              <w:rPr>
                <w:rFonts w:eastAsia="Times New Roman" w:cstheme="minorHAnsi"/>
              </w:rPr>
              <w:t xml:space="preserve"> impeded by a misalignment in planning calendars as well as </w:t>
            </w:r>
            <w:r w:rsidR="00E62017">
              <w:rPr>
                <w:rFonts w:eastAsia="Times New Roman" w:cstheme="minorHAnsi"/>
              </w:rPr>
              <w:t>a</w:t>
            </w:r>
            <w:r w:rsidR="00E62017" w:rsidRPr="006D06E8">
              <w:rPr>
                <w:rFonts w:eastAsia="Times New Roman" w:cstheme="minorHAnsi"/>
              </w:rPr>
              <w:t xml:space="preserve"> </w:t>
            </w:r>
            <w:r w:rsidRPr="006D06E8">
              <w:rPr>
                <w:rFonts w:eastAsia="Times New Roman" w:cstheme="minorHAnsi"/>
              </w:rPr>
              <w:t>change in personnel which has not allowed for the building of close relationships</w:t>
            </w:r>
          </w:p>
        </w:tc>
        <w:tc>
          <w:tcPr>
            <w:tcW w:w="3753" w:type="dxa"/>
          </w:tcPr>
          <w:p w14:paraId="00B36148" w14:textId="70D5F332" w:rsidR="0031383E" w:rsidRDefault="00EF0EF6">
            <w:pPr>
              <w:rPr>
                <w:rFonts w:eastAsia="Times New Roman" w:cstheme="minorHAnsi"/>
                <w:bCs/>
                <w:lang w:val="en-AU" w:eastAsia="en-GB"/>
              </w:rPr>
            </w:pPr>
            <w:r>
              <w:rPr>
                <w:rFonts w:eastAsia="Times New Roman" w:cstheme="minorHAnsi"/>
                <w:bCs/>
                <w:lang w:val="en-AU" w:eastAsia="en-GB"/>
              </w:rPr>
              <w:t>DFAT</w:t>
            </w:r>
            <w:r w:rsidR="00F65C37">
              <w:rPr>
                <w:rFonts w:eastAsia="Times New Roman" w:cstheme="minorHAnsi"/>
                <w:bCs/>
                <w:lang w:val="en-AU" w:eastAsia="en-GB"/>
              </w:rPr>
              <w:t xml:space="preserve"> will </w:t>
            </w:r>
            <w:r w:rsidR="00E62017">
              <w:rPr>
                <w:rFonts w:eastAsia="Times New Roman" w:cstheme="minorHAnsi"/>
                <w:bCs/>
                <w:lang w:val="en-AU" w:eastAsia="en-GB"/>
              </w:rPr>
              <w:t>ensure</w:t>
            </w:r>
            <w:r w:rsidR="00F65C37">
              <w:rPr>
                <w:rFonts w:eastAsia="Times New Roman" w:cstheme="minorHAnsi"/>
                <w:bCs/>
                <w:lang w:val="en-AU" w:eastAsia="en-GB"/>
              </w:rPr>
              <w:t xml:space="preserve"> the</w:t>
            </w:r>
            <w:r w:rsidR="002A1E4B" w:rsidRPr="002E27C5">
              <w:rPr>
                <w:rFonts w:eastAsia="Times New Roman" w:cstheme="minorHAnsi"/>
                <w:bCs/>
                <w:lang w:val="en-AU" w:eastAsia="en-GB"/>
              </w:rPr>
              <w:t xml:space="preserve"> </w:t>
            </w:r>
            <w:r w:rsidR="002A1E4B">
              <w:rPr>
                <w:rFonts w:eastAsia="Times New Roman" w:cstheme="minorHAnsi"/>
                <w:bCs/>
                <w:lang w:val="en-AU" w:eastAsia="en-GB"/>
              </w:rPr>
              <w:t xml:space="preserve">new </w:t>
            </w:r>
            <w:r w:rsidR="00E62017">
              <w:rPr>
                <w:rFonts w:eastAsia="Times New Roman" w:cstheme="minorHAnsi"/>
                <w:bCs/>
                <w:lang w:val="en-AU" w:eastAsia="en-GB"/>
              </w:rPr>
              <w:t xml:space="preserve">M&amp;E </w:t>
            </w:r>
            <w:r w:rsidR="002A1E4B">
              <w:rPr>
                <w:rFonts w:eastAsia="Times New Roman" w:cstheme="minorHAnsi"/>
                <w:bCs/>
                <w:lang w:val="en-AU" w:eastAsia="en-GB"/>
              </w:rPr>
              <w:t xml:space="preserve">framework </w:t>
            </w:r>
            <w:r w:rsidR="002A1E4B" w:rsidRPr="002E27C5">
              <w:rPr>
                <w:rFonts w:eastAsia="Times New Roman" w:cstheme="minorHAnsi"/>
                <w:bCs/>
                <w:lang w:val="en-AU" w:eastAsia="en-GB"/>
              </w:rPr>
              <w:t xml:space="preserve">fully </w:t>
            </w:r>
            <w:r w:rsidR="002A1E4B">
              <w:rPr>
                <w:rFonts w:eastAsia="Times New Roman" w:cstheme="minorHAnsi"/>
                <w:bCs/>
                <w:lang w:val="en-AU" w:eastAsia="en-GB"/>
              </w:rPr>
              <w:t>compl</w:t>
            </w:r>
            <w:r w:rsidR="00E62017">
              <w:rPr>
                <w:rFonts w:eastAsia="Times New Roman" w:cstheme="minorHAnsi"/>
                <w:bCs/>
                <w:lang w:val="en-AU" w:eastAsia="en-GB"/>
              </w:rPr>
              <w:t>ies</w:t>
            </w:r>
            <w:r w:rsidR="002A1E4B">
              <w:rPr>
                <w:rFonts w:eastAsia="Times New Roman" w:cstheme="minorHAnsi"/>
                <w:bCs/>
                <w:lang w:val="en-AU" w:eastAsia="en-GB"/>
              </w:rPr>
              <w:t xml:space="preserve"> with </w:t>
            </w:r>
            <w:r w:rsidR="002A1E4B" w:rsidRPr="002E27C5">
              <w:rPr>
                <w:rFonts w:eastAsia="Times New Roman" w:cstheme="minorHAnsi"/>
                <w:bCs/>
                <w:lang w:val="en-AU" w:eastAsia="en-GB"/>
              </w:rPr>
              <w:t xml:space="preserve">DFAT </w:t>
            </w:r>
            <w:r w:rsidR="00F65C37" w:rsidRPr="002E27C5">
              <w:rPr>
                <w:rFonts w:eastAsia="Times New Roman" w:cstheme="minorHAnsi"/>
                <w:bCs/>
                <w:lang w:val="en-AU" w:eastAsia="en-GB"/>
              </w:rPr>
              <w:t>standards,</w:t>
            </w:r>
            <w:r w:rsidR="00AE6C05">
              <w:rPr>
                <w:rFonts w:eastAsia="Times New Roman" w:cstheme="minorHAnsi"/>
                <w:bCs/>
                <w:lang w:val="en-AU" w:eastAsia="en-GB"/>
              </w:rPr>
              <w:t xml:space="preserve"> and </w:t>
            </w:r>
            <w:r w:rsidR="00E62017">
              <w:rPr>
                <w:rFonts w:eastAsia="Times New Roman" w:cstheme="minorHAnsi"/>
                <w:bCs/>
                <w:lang w:val="en-AU" w:eastAsia="en-GB"/>
              </w:rPr>
              <w:t xml:space="preserve">that </w:t>
            </w:r>
            <w:r w:rsidR="00AE6C05">
              <w:rPr>
                <w:rFonts w:eastAsia="Times New Roman" w:cstheme="minorHAnsi"/>
                <w:bCs/>
                <w:lang w:val="en-AU" w:eastAsia="en-GB"/>
              </w:rPr>
              <w:t>the</w:t>
            </w:r>
            <w:r w:rsidR="002A1E4B" w:rsidRPr="002E27C5">
              <w:rPr>
                <w:rFonts w:eastAsia="Times New Roman" w:cstheme="minorHAnsi"/>
                <w:bCs/>
                <w:lang w:val="en-AU" w:eastAsia="en-GB"/>
              </w:rPr>
              <w:t xml:space="preserve"> Theory of Change (</w:t>
            </w:r>
            <w:proofErr w:type="spellStart"/>
            <w:r w:rsidR="002A1E4B" w:rsidRPr="002E27C5">
              <w:rPr>
                <w:rFonts w:eastAsia="Times New Roman" w:cstheme="minorHAnsi"/>
                <w:bCs/>
                <w:lang w:val="en-AU" w:eastAsia="en-GB"/>
              </w:rPr>
              <w:t>ToC</w:t>
            </w:r>
            <w:proofErr w:type="spellEnd"/>
            <w:r w:rsidR="002A1E4B" w:rsidRPr="002E27C5">
              <w:rPr>
                <w:rFonts w:eastAsia="Times New Roman" w:cstheme="minorHAnsi"/>
                <w:bCs/>
                <w:lang w:val="en-AU" w:eastAsia="en-GB"/>
              </w:rPr>
              <w:t xml:space="preserve">) </w:t>
            </w:r>
            <w:r w:rsidR="00E62017">
              <w:rPr>
                <w:rFonts w:eastAsia="Times New Roman" w:cstheme="minorHAnsi"/>
                <w:bCs/>
                <w:lang w:val="en-AU" w:eastAsia="en-GB"/>
              </w:rPr>
              <w:t xml:space="preserve">is </w:t>
            </w:r>
            <w:r w:rsidR="002A1E4B" w:rsidRPr="002E27C5">
              <w:rPr>
                <w:rFonts w:eastAsia="Times New Roman" w:cstheme="minorHAnsi"/>
                <w:bCs/>
                <w:lang w:val="en-AU" w:eastAsia="en-GB"/>
              </w:rPr>
              <w:t xml:space="preserve">reviewed on an annual basis to ensure that the logic pathways </w:t>
            </w:r>
            <w:r w:rsidR="00E62017">
              <w:rPr>
                <w:rFonts w:eastAsia="Times New Roman" w:cstheme="minorHAnsi"/>
                <w:bCs/>
                <w:lang w:val="en-AU" w:eastAsia="en-GB"/>
              </w:rPr>
              <w:t>remain relevant</w:t>
            </w:r>
            <w:r w:rsidR="002A1E4B" w:rsidRPr="002E27C5">
              <w:rPr>
                <w:rFonts w:eastAsia="Times New Roman" w:cstheme="minorHAnsi"/>
                <w:bCs/>
                <w:lang w:val="en-AU" w:eastAsia="en-GB"/>
              </w:rPr>
              <w:t>.</w:t>
            </w:r>
            <w:r w:rsidR="00AE6C05">
              <w:rPr>
                <w:rFonts w:eastAsia="Times New Roman" w:cstheme="minorHAnsi"/>
                <w:bCs/>
                <w:lang w:val="en-AU" w:eastAsia="en-GB"/>
              </w:rPr>
              <w:t xml:space="preserve"> This </w:t>
            </w:r>
            <w:r w:rsidR="00E62017">
              <w:rPr>
                <w:rFonts w:eastAsia="Times New Roman" w:cstheme="minorHAnsi"/>
                <w:bCs/>
                <w:lang w:val="en-AU" w:eastAsia="en-GB"/>
              </w:rPr>
              <w:t xml:space="preserve">was outlined in the </w:t>
            </w:r>
            <w:r w:rsidR="00AE6C05">
              <w:rPr>
                <w:rFonts w:eastAsia="Times New Roman" w:cstheme="minorHAnsi"/>
                <w:bCs/>
                <w:lang w:val="en-AU" w:eastAsia="en-GB"/>
              </w:rPr>
              <w:t xml:space="preserve">VESP II amendment signed in December 2021. </w:t>
            </w:r>
          </w:p>
          <w:p w14:paraId="5A4FE83E" w14:textId="300A1FAC" w:rsidR="00F65C37" w:rsidRPr="00F65C37" w:rsidRDefault="00EF0EF6">
            <w:pPr>
              <w:rPr>
                <w:lang w:val="en-AU"/>
              </w:rPr>
            </w:pPr>
            <w:r>
              <w:rPr>
                <w:rFonts w:eastAsia="Times New Roman" w:cstheme="minorHAnsi"/>
                <w:bCs/>
                <w:lang w:val="en-AU" w:eastAsia="en-GB"/>
              </w:rPr>
              <w:t>DFAT</w:t>
            </w:r>
            <w:r w:rsidR="00F65C37" w:rsidRPr="00F65C37">
              <w:rPr>
                <w:rFonts w:eastAsia="Times New Roman" w:cstheme="minorHAnsi"/>
                <w:bCs/>
                <w:lang w:val="en-AU" w:eastAsia="en-GB"/>
              </w:rPr>
              <w:t xml:space="preserve"> education staff an</w:t>
            </w:r>
            <w:r w:rsidR="00F65C37">
              <w:rPr>
                <w:rFonts w:eastAsia="Times New Roman" w:cstheme="minorHAnsi"/>
                <w:bCs/>
                <w:lang w:val="en-AU" w:eastAsia="en-GB"/>
              </w:rPr>
              <w:t xml:space="preserve">d </w:t>
            </w:r>
            <w:r w:rsidR="00E62017">
              <w:rPr>
                <w:rFonts w:eastAsia="Times New Roman" w:cstheme="minorHAnsi"/>
                <w:bCs/>
                <w:lang w:val="en-AU" w:eastAsia="en-GB"/>
              </w:rPr>
              <w:t xml:space="preserve">the </w:t>
            </w:r>
            <w:r w:rsidR="00F65C37">
              <w:rPr>
                <w:rFonts w:eastAsia="Times New Roman" w:cstheme="minorHAnsi"/>
                <w:bCs/>
                <w:lang w:val="en-AU" w:eastAsia="en-GB"/>
              </w:rPr>
              <w:t>VESP II management team will develop option</w:t>
            </w:r>
            <w:r w:rsidR="00E62017">
              <w:rPr>
                <w:rFonts w:eastAsia="Times New Roman" w:cstheme="minorHAnsi"/>
                <w:bCs/>
                <w:lang w:val="en-AU" w:eastAsia="en-GB"/>
              </w:rPr>
              <w:t>s</w:t>
            </w:r>
            <w:r w:rsidR="00F65C37">
              <w:rPr>
                <w:rFonts w:eastAsia="Times New Roman" w:cstheme="minorHAnsi"/>
                <w:bCs/>
                <w:lang w:val="en-AU" w:eastAsia="en-GB"/>
              </w:rPr>
              <w:t xml:space="preserve"> to sustain </w:t>
            </w:r>
            <w:r w:rsidR="00E62017">
              <w:rPr>
                <w:rFonts w:eastAsia="Times New Roman" w:cstheme="minorHAnsi"/>
                <w:bCs/>
                <w:lang w:val="en-AU" w:eastAsia="en-GB"/>
              </w:rPr>
              <w:t xml:space="preserve">strong </w:t>
            </w:r>
            <w:r w:rsidR="00F65C37">
              <w:rPr>
                <w:rFonts w:eastAsia="Times New Roman" w:cstheme="minorHAnsi"/>
                <w:bCs/>
                <w:lang w:val="en-AU" w:eastAsia="en-GB"/>
              </w:rPr>
              <w:t>MEL in the future</w:t>
            </w:r>
            <w:r w:rsidR="00E62017">
              <w:rPr>
                <w:rFonts w:eastAsia="Times New Roman" w:cstheme="minorHAnsi"/>
                <w:bCs/>
                <w:lang w:val="en-AU" w:eastAsia="en-GB"/>
              </w:rPr>
              <w:t>,</w:t>
            </w:r>
            <w:r w:rsidR="00F65C37">
              <w:rPr>
                <w:rFonts w:eastAsia="Times New Roman" w:cstheme="minorHAnsi"/>
                <w:bCs/>
                <w:lang w:val="en-AU" w:eastAsia="en-GB"/>
              </w:rPr>
              <w:t xml:space="preserve"> </w:t>
            </w:r>
            <w:r w:rsidR="00E62017">
              <w:rPr>
                <w:rFonts w:eastAsia="Times New Roman" w:cstheme="minorHAnsi"/>
                <w:bCs/>
                <w:lang w:val="en-AU" w:eastAsia="en-GB"/>
              </w:rPr>
              <w:t>to reduce turnover of M&amp;E advisers</w:t>
            </w:r>
            <w:r w:rsidR="00F65C37">
              <w:rPr>
                <w:rFonts w:eastAsia="Times New Roman" w:cstheme="minorHAnsi"/>
                <w:bCs/>
                <w:lang w:val="en-AU" w:eastAsia="en-GB"/>
              </w:rPr>
              <w:t xml:space="preserve">. A reflection workshop on MEL should be planned in 2023. </w:t>
            </w:r>
          </w:p>
        </w:tc>
        <w:tc>
          <w:tcPr>
            <w:tcW w:w="1199" w:type="dxa"/>
          </w:tcPr>
          <w:p w14:paraId="468D65B2" w14:textId="4227A247" w:rsidR="00C81048" w:rsidRPr="00F65C37" w:rsidRDefault="00F65C37">
            <w:pPr>
              <w:rPr>
                <w:lang w:val="en-AU"/>
              </w:rPr>
            </w:pPr>
            <w:r>
              <w:rPr>
                <w:lang w:val="en-AU"/>
              </w:rPr>
              <w:t>2023</w:t>
            </w:r>
          </w:p>
        </w:tc>
      </w:tr>
      <w:tr w:rsidR="00680F15" w14:paraId="4653F615" w14:textId="77777777" w:rsidTr="00A86F3F">
        <w:tc>
          <w:tcPr>
            <w:tcW w:w="530" w:type="dxa"/>
          </w:tcPr>
          <w:p w14:paraId="2AC347F1" w14:textId="020E4C70" w:rsidR="00C81048" w:rsidRDefault="00C81048">
            <w:r>
              <w:t>4</w:t>
            </w:r>
          </w:p>
        </w:tc>
        <w:tc>
          <w:tcPr>
            <w:tcW w:w="4451" w:type="dxa"/>
          </w:tcPr>
          <w:p w14:paraId="1BADB71D" w14:textId="77777777" w:rsidR="002F2760" w:rsidRPr="00764220" w:rsidRDefault="002F2760" w:rsidP="002F2760">
            <w:pPr>
              <w:rPr>
                <w:color w:val="2F5496" w:themeColor="accent1" w:themeShade="BF"/>
                <w:lang w:val="en-AU" w:eastAsia="en-GB"/>
              </w:rPr>
            </w:pPr>
            <w:r w:rsidRPr="00764220">
              <w:rPr>
                <w:color w:val="2F5496" w:themeColor="accent1" w:themeShade="BF"/>
                <w:lang w:val="en-AU" w:eastAsia="en-GB"/>
              </w:rPr>
              <w:t xml:space="preserve">That </w:t>
            </w:r>
            <w:proofErr w:type="spellStart"/>
            <w:r w:rsidRPr="00764220">
              <w:rPr>
                <w:color w:val="2F5496" w:themeColor="accent1" w:themeShade="BF"/>
                <w:lang w:val="en-AU" w:eastAsia="en-GB"/>
              </w:rPr>
              <w:t>MoET</w:t>
            </w:r>
            <w:proofErr w:type="spellEnd"/>
            <w:r w:rsidRPr="00764220">
              <w:rPr>
                <w:color w:val="2F5496" w:themeColor="accent1" w:themeShade="BF"/>
                <w:lang w:val="en-AU" w:eastAsia="en-GB"/>
              </w:rPr>
              <w:t xml:space="preserve"> / VESP II / IES/ DFAT consider ways in which </w:t>
            </w:r>
            <w:proofErr w:type="spellStart"/>
            <w:r w:rsidRPr="00764220">
              <w:rPr>
                <w:color w:val="2F5496" w:themeColor="accent1" w:themeShade="BF"/>
                <w:lang w:val="en-AU" w:eastAsia="en-GB"/>
              </w:rPr>
              <w:t>MoET</w:t>
            </w:r>
            <w:proofErr w:type="spellEnd"/>
            <w:r w:rsidRPr="00764220">
              <w:rPr>
                <w:color w:val="2F5496" w:themeColor="accent1" w:themeShade="BF"/>
                <w:lang w:val="en-AU" w:eastAsia="en-GB"/>
              </w:rPr>
              <w:t xml:space="preserve"> can ensure that teachers in schools are qualified and that they are provided with ongoing professional development opportunities</w:t>
            </w:r>
          </w:p>
          <w:p w14:paraId="77C77A9F" w14:textId="22FBA3AF" w:rsidR="00C81048" w:rsidRPr="002F2760" w:rsidRDefault="00C81048" w:rsidP="002F2760">
            <w:pPr>
              <w:rPr>
                <w:lang w:val="en-AU"/>
              </w:rPr>
            </w:pPr>
          </w:p>
        </w:tc>
        <w:tc>
          <w:tcPr>
            <w:tcW w:w="1134" w:type="dxa"/>
            <w:shd w:val="clear" w:color="auto" w:fill="92D050"/>
          </w:tcPr>
          <w:p w14:paraId="3AB81F5F" w14:textId="54AF9E12" w:rsidR="00C81048" w:rsidRDefault="002863D9">
            <w:r w:rsidRPr="00307CB0">
              <w:rPr>
                <w:color w:val="auto"/>
              </w:rPr>
              <w:t>A</w:t>
            </w:r>
            <w:r w:rsidR="00CE589F" w:rsidRPr="00307CB0">
              <w:rPr>
                <w:color w:val="auto"/>
              </w:rPr>
              <w:t>gree</w:t>
            </w:r>
          </w:p>
        </w:tc>
        <w:tc>
          <w:tcPr>
            <w:tcW w:w="4243" w:type="dxa"/>
          </w:tcPr>
          <w:p w14:paraId="59AEC066" w14:textId="0B1994F2" w:rsidR="00C81048" w:rsidRDefault="00583BB8">
            <w:r>
              <w:t xml:space="preserve">Vanuatu </w:t>
            </w:r>
            <w:r w:rsidR="00E62017">
              <w:t xml:space="preserve">continues to </w:t>
            </w:r>
            <w:r>
              <w:t>experienc</w:t>
            </w:r>
            <w:r w:rsidR="00E62017">
              <w:t>e</w:t>
            </w:r>
            <w:r>
              <w:t xml:space="preserve"> </w:t>
            </w:r>
            <w:r w:rsidR="00EF0EF6">
              <w:t>teacher</w:t>
            </w:r>
            <w:r w:rsidR="00E62017">
              <w:t xml:space="preserve"> </w:t>
            </w:r>
            <w:r>
              <w:t>shortage</w:t>
            </w:r>
            <w:r w:rsidR="00EF0EF6">
              <w:t>s</w:t>
            </w:r>
            <w:r>
              <w:t xml:space="preserve">. </w:t>
            </w:r>
            <w:r w:rsidR="00EF0EF6">
              <w:t>t</w:t>
            </w:r>
            <w:r>
              <w:t xml:space="preserve">he Vanuatu Institute of Teachers Education (VITE) did not enrol new </w:t>
            </w:r>
            <w:r w:rsidR="00EF0EF6">
              <w:t xml:space="preserve">teaching </w:t>
            </w:r>
            <w:r>
              <w:t>cohort</w:t>
            </w:r>
            <w:r w:rsidR="00EF0EF6">
              <w:t>s</w:t>
            </w:r>
            <w:r>
              <w:t xml:space="preserve"> for three consecutive years. This </w:t>
            </w:r>
            <w:r w:rsidR="00EF0EF6">
              <w:t>increased teacher</w:t>
            </w:r>
            <w:r>
              <w:t xml:space="preserve"> shortage</w:t>
            </w:r>
            <w:r w:rsidR="00CA1204">
              <w:t>s</w:t>
            </w:r>
            <w:r>
              <w:t xml:space="preserve"> at all levels of education.</w:t>
            </w:r>
          </w:p>
          <w:p w14:paraId="449851DC" w14:textId="19BE40ED" w:rsidR="00583BB8" w:rsidRDefault="00583BB8">
            <w:r>
              <w:t xml:space="preserve">In 2021, VITE was merged into the Vanuatu National University and as an immediate </w:t>
            </w:r>
            <w:r>
              <w:lastRenderedPageBreak/>
              <w:t>consequence, the In-Service Unit run by VITE was dismantled</w:t>
            </w:r>
            <w:r w:rsidR="00EF0EF6">
              <w:t>,</w:t>
            </w:r>
            <w:r>
              <w:t xml:space="preserve"> with no replacement options </w:t>
            </w:r>
            <w:r w:rsidR="0058115A">
              <w:t xml:space="preserve">to provide short courses or training </w:t>
            </w:r>
            <w:r>
              <w:t>for teachers in the fields</w:t>
            </w:r>
            <w:r w:rsidR="0058115A">
              <w:t xml:space="preserve">. </w:t>
            </w:r>
          </w:p>
        </w:tc>
        <w:tc>
          <w:tcPr>
            <w:tcW w:w="3753" w:type="dxa"/>
          </w:tcPr>
          <w:p w14:paraId="1B44C6F7" w14:textId="1BD33EA0" w:rsidR="00C81048" w:rsidRDefault="00EF0EF6">
            <w:pPr>
              <w:rPr>
                <w:lang w:val="en-AU"/>
              </w:rPr>
            </w:pPr>
            <w:r>
              <w:rPr>
                <w:lang w:val="en-AU"/>
              </w:rPr>
              <w:lastRenderedPageBreak/>
              <w:t>DFAT</w:t>
            </w:r>
            <w:r w:rsidR="007A3846" w:rsidRPr="00F65C37">
              <w:rPr>
                <w:lang w:val="en-AU"/>
              </w:rPr>
              <w:t xml:space="preserve"> </w:t>
            </w:r>
            <w:r w:rsidR="00F65C37" w:rsidRPr="00F65C37">
              <w:rPr>
                <w:lang w:val="en-AU"/>
              </w:rPr>
              <w:t>will prioritise teacher training i</w:t>
            </w:r>
            <w:r w:rsidR="00F65C37">
              <w:rPr>
                <w:lang w:val="en-AU"/>
              </w:rPr>
              <w:t xml:space="preserve">n VESP II activities. There is increasing demand </w:t>
            </w:r>
            <w:r w:rsidR="00CA1204">
              <w:rPr>
                <w:lang w:val="en-AU"/>
              </w:rPr>
              <w:t xml:space="preserve">for </w:t>
            </w:r>
            <w:proofErr w:type="spellStart"/>
            <w:r>
              <w:rPr>
                <w:lang w:val="en-AU"/>
              </w:rPr>
              <w:t>MoET</w:t>
            </w:r>
            <w:proofErr w:type="spellEnd"/>
            <w:r w:rsidR="00F65C37">
              <w:rPr>
                <w:lang w:val="en-AU"/>
              </w:rPr>
              <w:t xml:space="preserve"> to strengthen teacher training </w:t>
            </w:r>
            <w:r>
              <w:rPr>
                <w:lang w:val="en-AU"/>
              </w:rPr>
              <w:t xml:space="preserve">for delivery of </w:t>
            </w:r>
            <w:r w:rsidR="00F65C37">
              <w:rPr>
                <w:lang w:val="en-AU"/>
              </w:rPr>
              <w:t xml:space="preserve">the newly developed year </w:t>
            </w:r>
            <w:r>
              <w:rPr>
                <w:lang w:val="en-AU"/>
              </w:rPr>
              <w:t>eight</w:t>
            </w:r>
            <w:r w:rsidR="00F65C37">
              <w:rPr>
                <w:lang w:val="en-AU"/>
              </w:rPr>
              <w:t xml:space="preserve"> curriculum. </w:t>
            </w:r>
          </w:p>
          <w:p w14:paraId="2FED6281" w14:textId="33A503FD" w:rsidR="00F65C37" w:rsidRDefault="00EF0EF6">
            <w:pPr>
              <w:rPr>
                <w:lang w:val="en-AU"/>
              </w:rPr>
            </w:pPr>
            <w:r>
              <w:rPr>
                <w:lang w:val="en-AU"/>
              </w:rPr>
              <w:t>DFAT</w:t>
            </w:r>
            <w:r w:rsidR="00F65C37">
              <w:rPr>
                <w:lang w:val="en-AU"/>
              </w:rPr>
              <w:t xml:space="preserve"> </w:t>
            </w:r>
            <w:r>
              <w:rPr>
                <w:lang w:val="en-AU"/>
              </w:rPr>
              <w:t>will raise the issue of teacher training at the</w:t>
            </w:r>
            <w:r w:rsidR="00F65C37">
              <w:rPr>
                <w:lang w:val="en-AU"/>
              </w:rPr>
              <w:t xml:space="preserve"> Joint Sector Review planned in March 2023 </w:t>
            </w:r>
            <w:r w:rsidR="00CA1204">
              <w:rPr>
                <w:lang w:val="en-AU"/>
              </w:rPr>
              <w:t>and</w:t>
            </w:r>
            <w:r w:rsidR="00F65C37">
              <w:rPr>
                <w:lang w:val="en-AU"/>
              </w:rPr>
              <w:t xml:space="preserve"> workshop </w:t>
            </w:r>
            <w:r w:rsidR="00F65C37">
              <w:rPr>
                <w:lang w:val="en-AU"/>
              </w:rPr>
              <w:lastRenderedPageBreak/>
              <w:t xml:space="preserve">options to increase access to quality teacher training </w:t>
            </w:r>
          </w:p>
          <w:p w14:paraId="2289304D" w14:textId="3742DDD3" w:rsidR="00F65C37" w:rsidRPr="00F65C37" w:rsidRDefault="00F65C37">
            <w:pPr>
              <w:rPr>
                <w:lang w:val="en-AU"/>
              </w:rPr>
            </w:pPr>
          </w:p>
        </w:tc>
        <w:tc>
          <w:tcPr>
            <w:tcW w:w="1199" w:type="dxa"/>
          </w:tcPr>
          <w:p w14:paraId="040EC97A" w14:textId="24FFA2DF" w:rsidR="00C81048" w:rsidRDefault="00244813">
            <w:r>
              <w:lastRenderedPageBreak/>
              <w:t xml:space="preserve">On-going </w:t>
            </w:r>
          </w:p>
        </w:tc>
      </w:tr>
      <w:tr w:rsidR="00680F15" w14:paraId="04118616" w14:textId="77777777" w:rsidTr="00A86F3F">
        <w:trPr>
          <w:trHeight w:val="2646"/>
        </w:trPr>
        <w:tc>
          <w:tcPr>
            <w:tcW w:w="530" w:type="dxa"/>
          </w:tcPr>
          <w:p w14:paraId="771C95B5" w14:textId="799722CD" w:rsidR="00C81048" w:rsidRDefault="00C81048">
            <w:r>
              <w:t>5</w:t>
            </w:r>
          </w:p>
        </w:tc>
        <w:tc>
          <w:tcPr>
            <w:tcW w:w="4451" w:type="dxa"/>
          </w:tcPr>
          <w:p w14:paraId="1C76E375" w14:textId="77777777" w:rsidR="002F2760" w:rsidRPr="009A653A" w:rsidRDefault="002F2760" w:rsidP="002F2760">
            <w:pPr>
              <w:rPr>
                <w:color w:val="2F5496" w:themeColor="accent1" w:themeShade="BF"/>
                <w:lang w:val="en-AU" w:eastAsia="en-GB"/>
              </w:rPr>
            </w:pPr>
            <w:r w:rsidRPr="009A653A">
              <w:rPr>
                <w:color w:val="2F5496" w:themeColor="accent1" w:themeShade="BF"/>
                <w:lang w:val="en-AU" w:eastAsia="en-GB"/>
              </w:rPr>
              <w:t>Additional technical advisory (TA) support is provided to enable VESP II to complete key tasks.</w:t>
            </w:r>
          </w:p>
          <w:p w14:paraId="1E145647" w14:textId="799D23E4" w:rsidR="00C81048" w:rsidRPr="002F2760" w:rsidRDefault="00C81048">
            <w:pPr>
              <w:rPr>
                <w:lang w:val="en-AU"/>
              </w:rPr>
            </w:pPr>
          </w:p>
        </w:tc>
        <w:tc>
          <w:tcPr>
            <w:tcW w:w="1134" w:type="dxa"/>
            <w:shd w:val="clear" w:color="auto" w:fill="92D050"/>
          </w:tcPr>
          <w:p w14:paraId="0D3EA2AF" w14:textId="70500389" w:rsidR="00C81048" w:rsidRDefault="002863D9">
            <w:r w:rsidRPr="00307CB0">
              <w:rPr>
                <w:color w:val="auto"/>
              </w:rPr>
              <w:t>A</w:t>
            </w:r>
            <w:r w:rsidR="00244813" w:rsidRPr="00307CB0">
              <w:rPr>
                <w:color w:val="auto"/>
              </w:rPr>
              <w:t>gree</w:t>
            </w:r>
          </w:p>
        </w:tc>
        <w:tc>
          <w:tcPr>
            <w:tcW w:w="4243" w:type="dxa"/>
          </w:tcPr>
          <w:p w14:paraId="2B67EDA4" w14:textId="45ECAD97" w:rsidR="00EF0EF6" w:rsidRDefault="00EF0EF6">
            <w:r>
              <w:t xml:space="preserve">Vanuatu’s international borders were closed from </w:t>
            </w:r>
            <w:r w:rsidR="00802829">
              <w:t>March 2020 to July 2022</w:t>
            </w:r>
            <w:r>
              <w:t>. Only three long-term advisers were able to remain in Vanuatu during COVID-19.</w:t>
            </w:r>
          </w:p>
          <w:p w14:paraId="58F1C784" w14:textId="5C96CFE2" w:rsidR="00C81048" w:rsidRDefault="00EF0EF6">
            <w:r>
              <w:t xml:space="preserve">Short-term VESP advisers </w:t>
            </w:r>
            <w:r w:rsidR="00802829">
              <w:t>continue</w:t>
            </w:r>
            <w:r>
              <w:t>d</w:t>
            </w:r>
            <w:r w:rsidR="00802829">
              <w:t xml:space="preserve"> to support </w:t>
            </w:r>
            <w:proofErr w:type="spellStart"/>
            <w:r w:rsidR="00802829">
              <w:t>MoET</w:t>
            </w:r>
            <w:proofErr w:type="spellEnd"/>
            <w:r w:rsidR="00802829">
              <w:t xml:space="preserve"> managers remotely</w:t>
            </w:r>
            <w:r>
              <w:t>,</w:t>
            </w:r>
            <w:r w:rsidR="00802829">
              <w:t xml:space="preserve"> which</w:t>
            </w:r>
            <w:r>
              <w:t xml:space="preserve"> was c</w:t>
            </w:r>
            <w:r w:rsidR="00802829">
              <w:t>halleng</w:t>
            </w:r>
            <w:r>
              <w:t>ing</w:t>
            </w:r>
            <w:r w:rsidR="00802829">
              <w:t xml:space="preserve"> due to connectivity</w:t>
            </w:r>
            <w:r>
              <w:t xml:space="preserve"> and</w:t>
            </w:r>
            <w:r w:rsidR="00802829">
              <w:t xml:space="preserve"> time zone</w:t>
            </w:r>
            <w:r>
              <w:t xml:space="preserve"> issues.</w:t>
            </w:r>
            <w:r w:rsidR="00802829">
              <w:t xml:space="preserve"> </w:t>
            </w:r>
          </w:p>
          <w:p w14:paraId="36F3D297" w14:textId="7822E82E" w:rsidR="00802829" w:rsidRDefault="00802829"/>
        </w:tc>
        <w:tc>
          <w:tcPr>
            <w:tcW w:w="3753" w:type="dxa"/>
          </w:tcPr>
          <w:p w14:paraId="0434F786" w14:textId="1BD80370" w:rsidR="007A3846" w:rsidRDefault="00EF0EF6">
            <w:r>
              <w:t>DFAT</w:t>
            </w:r>
            <w:r w:rsidR="00802829">
              <w:t xml:space="preserve"> and VESP II management team will continue </w:t>
            </w:r>
            <w:r>
              <w:t xml:space="preserve">to work </w:t>
            </w:r>
            <w:r w:rsidR="00802829">
              <w:t xml:space="preserve">closely together to assess </w:t>
            </w:r>
            <w:r w:rsidR="00F50A9F">
              <w:t>adviser</w:t>
            </w:r>
            <w:r>
              <w:t xml:space="preserve"> </w:t>
            </w:r>
            <w:r w:rsidR="00F50A9F">
              <w:t>resources</w:t>
            </w:r>
            <w:r w:rsidR="00802829">
              <w:t xml:space="preserve"> needed to </w:t>
            </w:r>
            <w:r w:rsidR="00F50A9F">
              <w:t>assist</w:t>
            </w:r>
            <w:r w:rsidR="00802829">
              <w:t xml:space="preserve"> </w:t>
            </w:r>
            <w:proofErr w:type="spellStart"/>
            <w:r w:rsidR="00802829">
              <w:t>MoET</w:t>
            </w:r>
            <w:proofErr w:type="spellEnd"/>
            <w:r w:rsidR="00802829">
              <w:t xml:space="preserve"> to implement activities with the right amount of </w:t>
            </w:r>
            <w:r w:rsidR="00F50A9F">
              <w:t xml:space="preserve">support. </w:t>
            </w:r>
          </w:p>
          <w:p w14:paraId="42E2BB7A" w14:textId="753105CE" w:rsidR="00C81048" w:rsidRDefault="00EF0EF6">
            <w:r>
              <w:t xml:space="preserve">DFAT will review the </w:t>
            </w:r>
            <w:r w:rsidR="00F50A9F">
              <w:t>2023 Annual Plan</w:t>
            </w:r>
            <w:r>
              <w:t xml:space="preserve"> to ensure sufficient TA support is available</w:t>
            </w:r>
            <w:r w:rsidR="00F50A9F">
              <w:t>.</w:t>
            </w:r>
          </w:p>
        </w:tc>
        <w:tc>
          <w:tcPr>
            <w:tcW w:w="1199" w:type="dxa"/>
          </w:tcPr>
          <w:p w14:paraId="0F3F223F" w14:textId="63715A38" w:rsidR="00C81048" w:rsidRDefault="00244813">
            <w:r>
              <w:t>On-going</w:t>
            </w:r>
          </w:p>
        </w:tc>
      </w:tr>
    </w:tbl>
    <w:p w14:paraId="0282091E" w14:textId="5DEB0CF3" w:rsidR="00A86F3F" w:rsidRDefault="00A86F3F">
      <w:r>
        <w:t>The MRT report provided six (6) suggestions to be taken into consideration.</w:t>
      </w:r>
    </w:p>
    <w:tbl>
      <w:tblPr>
        <w:tblStyle w:val="TableGrid"/>
        <w:tblW w:w="15310" w:type="dxa"/>
        <w:tblInd w:w="-431" w:type="dxa"/>
        <w:tblLook w:val="04A0" w:firstRow="1" w:lastRow="0" w:firstColumn="1" w:lastColumn="0" w:noHBand="0" w:noVBand="1"/>
      </w:tblPr>
      <w:tblGrid>
        <w:gridCol w:w="4968"/>
        <w:gridCol w:w="1128"/>
        <w:gridCol w:w="4253"/>
        <w:gridCol w:w="3725"/>
        <w:gridCol w:w="1236"/>
      </w:tblGrid>
      <w:tr w:rsidR="00A86F3F" w14:paraId="4944FD1D" w14:textId="03FBB638" w:rsidTr="00A86F3F">
        <w:trPr>
          <w:tblHeader/>
        </w:trPr>
        <w:tc>
          <w:tcPr>
            <w:tcW w:w="4968" w:type="dxa"/>
            <w:shd w:val="clear" w:color="auto" w:fill="0070C0"/>
          </w:tcPr>
          <w:p w14:paraId="22F00338" w14:textId="5C57FA8B" w:rsidR="00A86F3F" w:rsidRDefault="00A86F3F" w:rsidP="00A86F3F">
            <w:r w:rsidRPr="00C81048">
              <w:rPr>
                <w:color w:val="FFFFFF" w:themeColor="background1"/>
              </w:rPr>
              <w:t>Recommendation</w:t>
            </w:r>
            <w:r>
              <w:rPr>
                <w:color w:val="FFFFFF" w:themeColor="background1"/>
              </w:rPr>
              <w:t xml:space="preserve"> from the evaluation</w:t>
            </w:r>
          </w:p>
        </w:tc>
        <w:tc>
          <w:tcPr>
            <w:tcW w:w="1128" w:type="dxa"/>
            <w:shd w:val="clear" w:color="auto" w:fill="0070C0"/>
          </w:tcPr>
          <w:p w14:paraId="6CB83D5A" w14:textId="3F80E3FC" w:rsidR="00A86F3F" w:rsidRDefault="00A86F3F" w:rsidP="00A86F3F">
            <w:r w:rsidRPr="00C81048">
              <w:rPr>
                <w:color w:val="FFFFFF" w:themeColor="background1"/>
              </w:rPr>
              <w:t xml:space="preserve">Response </w:t>
            </w:r>
          </w:p>
        </w:tc>
        <w:tc>
          <w:tcPr>
            <w:tcW w:w="4253" w:type="dxa"/>
            <w:shd w:val="clear" w:color="auto" w:fill="0070C0"/>
          </w:tcPr>
          <w:p w14:paraId="7316A6DE" w14:textId="4EB70134" w:rsidR="00A86F3F" w:rsidRDefault="00A86F3F" w:rsidP="00A86F3F">
            <w:r w:rsidRPr="00C81048">
              <w:rPr>
                <w:color w:val="FFFFFF" w:themeColor="background1"/>
              </w:rPr>
              <w:t xml:space="preserve">Explanation </w:t>
            </w:r>
          </w:p>
        </w:tc>
        <w:tc>
          <w:tcPr>
            <w:tcW w:w="3725" w:type="dxa"/>
            <w:shd w:val="clear" w:color="auto" w:fill="0070C0"/>
          </w:tcPr>
          <w:p w14:paraId="470C988C" w14:textId="5DB60CBE" w:rsidR="00A86F3F" w:rsidRDefault="00A86F3F" w:rsidP="00A86F3F">
            <w:r w:rsidRPr="00C81048">
              <w:rPr>
                <w:color w:val="FFFFFF" w:themeColor="background1"/>
              </w:rPr>
              <w:t xml:space="preserve">Action plan </w:t>
            </w:r>
          </w:p>
        </w:tc>
        <w:tc>
          <w:tcPr>
            <w:tcW w:w="1236" w:type="dxa"/>
            <w:shd w:val="clear" w:color="auto" w:fill="0070C0"/>
          </w:tcPr>
          <w:p w14:paraId="6A8A2256" w14:textId="2C13C199" w:rsidR="00A86F3F" w:rsidRDefault="00A86F3F" w:rsidP="00A86F3F">
            <w:pPr>
              <w:suppressAutoHyphens w:val="0"/>
              <w:spacing w:before="0" w:after="160" w:line="259" w:lineRule="auto"/>
            </w:pPr>
            <w:r w:rsidRPr="00C81048">
              <w:rPr>
                <w:color w:val="FFFFFF" w:themeColor="background1"/>
              </w:rPr>
              <w:t xml:space="preserve">Timeframe </w:t>
            </w:r>
          </w:p>
        </w:tc>
      </w:tr>
      <w:tr w:rsidR="00A86F3F" w14:paraId="6FA4C658" w14:textId="77777777" w:rsidTr="00A86F3F">
        <w:trPr>
          <w:trHeight w:val="677"/>
        </w:trPr>
        <w:tc>
          <w:tcPr>
            <w:tcW w:w="4968" w:type="dxa"/>
          </w:tcPr>
          <w:p w14:paraId="5322F776" w14:textId="1C391109" w:rsidR="00A86F3F" w:rsidRPr="00CA1204" w:rsidRDefault="00A86F3F" w:rsidP="00D87C05">
            <w:pPr>
              <w:pStyle w:val="ListParagraph"/>
              <w:numPr>
                <w:ilvl w:val="0"/>
                <w:numId w:val="19"/>
              </w:numPr>
              <w:ind w:left="247"/>
              <w:rPr>
                <w:bCs/>
                <w:color w:val="2F5496" w:themeColor="accent1" w:themeShade="BF"/>
                <w:lang w:val="en-AU" w:eastAsia="en-GB"/>
              </w:rPr>
            </w:pPr>
            <w:r w:rsidRPr="00CA1204">
              <w:rPr>
                <w:rFonts w:eastAsia="Times New Roman" w:cstheme="minorHAnsi"/>
                <w:bCs/>
                <w:lang w:val="en-AU" w:eastAsia="en-GB"/>
              </w:rPr>
              <w:t xml:space="preserve">That </w:t>
            </w:r>
            <w:proofErr w:type="spellStart"/>
            <w:r w:rsidRPr="00CA1204">
              <w:rPr>
                <w:rFonts w:eastAsia="Times New Roman" w:cstheme="minorHAnsi"/>
                <w:bCs/>
                <w:lang w:val="en-AU" w:eastAsia="en-GB"/>
              </w:rPr>
              <w:t>MoET</w:t>
            </w:r>
            <w:proofErr w:type="spellEnd"/>
            <w:r w:rsidRPr="00CA1204">
              <w:rPr>
                <w:rFonts w:eastAsia="Times New Roman" w:cstheme="minorHAnsi"/>
                <w:bCs/>
                <w:lang w:val="en-AU" w:eastAsia="en-GB"/>
              </w:rPr>
              <w:t xml:space="preserve"> and DFAT ensure that a body responsible for alignment and coordination of VESP II activities with those of other stakeholders is established or restored.</w:t>
            </w:r>
          </w:p>
        </w:tc>
        <w:tc>
          <w:tcPr>
            <w:tcW w:w="1128" w:type="dxa"/>
            <w:shd w:val="clear" w:color="auto" w:fill="92D050"/>
          </w:tcPr>
          <w:p w14:paraId="7F7C4281" w14:textId="21AB8C19" w:rsidR="00A86F3F" w:rsidRPr="00307CB0" w:rsidRDefault="00A86F3F">
            <w:pPr>
              <w:rPr>
                <w:color w:val="auto"/>
              </w:rPr>
            </w:pPr>
            <w:r>
              <w:rPr>
                <w:color w:val="auto"/>
              </w:rPr>
              <w:t xml:space="preserve">Agree </w:t>
            </w:r>
          </w:p>
        </w:tc>
        <w:tc>
          <w:tcPr>
            <w:tcW w:w="4253" w:type="dxa"/>
          </w:tcPr>
          <w:p w14:paraId="5D104A7E" w14:textId="53237601" w:rsidR="00A86F3F" w:rsidRPr="003E2BFC" w:rsidRDefault="00A86F3F" w:rsidP="00CA1204">
            <w:pPr>
              <w:rPr>
                <w:lang w:val="en-AU" w:eastAsia="en-GB"/>
              </w:rPr>
            </w:pPr>
            <w:r>
              <w:rPr>
                <w:rFonts w:eastAsia="Times New Roman" w:cstheme="minorHAnsi"/>
                <w:bCs/>
                <w:lang w:val="en-AU" w:eastAsia="en-GB"/>
              </w:rPr>
              <w:t xml:space="preserve">Donor coordination has been challenging, particularly </w:t>
            </w:r>
            <w:r>
              <w:rPr>
                <w:lang w:val="en-AU" w:eastAsia="en-GB"/>
              </w:rPr>
              <w:t>s</w:t>
            </w:r>
            <w:r w:rsidRPr="003E2BFC">
              <w:rPr>
                <w:lang w:val="en-AU" w:eastAsia="en-GB"/>
              </w:rPr>
              <w:t>ince borders reopened in July 2022</w:t>
            </w:r>
            <w:r>
              <w:rPr>
                <w:lang w:val="en-AU" w:eastAsia="en-GB"/>
              </w:rPr>
              <w:t>, resulting in an increased</w:t>
            </w:r>
            <w:r w:rsidRPr="003E2BFC">
              <w:rPr>
                <w:lang w:val="en-AU" w:eastAsia="en-GB"/>
              </w:rPr>
              <w:t xml:space="preserve"> number of transactional and information meetings </w:t>
            </w:r>
            <w:r>
              <w:rPr>
                <w:lang w:val="en-AU" w:eastAsia="en-GB"/>
              </w:rPr>
              <w:t xml:space="preserve">for </w:t>
            </w:r>
            <w:proofErr w:type="spellStart"/>
            <w:r>
              <w:rPr>
                <w:lang w:val="en-AU" w:eastAsia="en-GB"/>
              </w:rPr>
              <w:t>MoET</w:t>
            </w:r>
            <w:proofErr w:type="spellEnd"/>
            <w:r>
              <w:rPr>
                <w:lang w:val="en-AU" w:eastAsia="en-GB"/>
              </w:rPr>
              <w:t xml:space="preserve"> to engage with.</w:t>
            </w:r>
          </w:p>
        </w:tc>
        <w:tc>
          <w:tcPr>
            <w:tcW w:w="3725" w:type="dxa"/>
          </w:tcPr>
          <w:p w14:paraId="69B59F2B" w14:textId="53FFF415" w:rsidR="00A86F3F" w:rsidRPr="00CA1204" w:rsidRDefault="00A86F3F" w:rsidP="00CA1204">
            <w:pPr>
              <w:jc w:val="both"/>
              <w:rPr>
                <w:rFonts w:eastAsia="Times New Roman" w:cstheme="minorHAnsi"/>
                <w:bCs/>
                <w:lang w:val="en-AU" w:eastAsia="en-GB"/>
              </w:rPr>
            </w:pPr>
            <w:r w:rsidRPr="00CA1204">
              <w:rPr>
                <w:rFonts w:eastAsia="Times New Roman" w:cstheme="minorHAnsi"/>
                <w:bCs/>
                <w:lang w:val="en-AU" w:eastAsia="en-GB"/>
              </w:rPr>
              <w:t>DFAT is now the coordinating agent for the Global Partnership for Education (GPE) and is playing a sectoral coordination role</w:t>
            </w:r>
            <w:r>
              <w:rPr>
                <w:rFonts w:eastAsia="Times New Roman" w:cstheme="minorHAnsi"/>
                <w:bCs/>
                <w:lang w:val="en-AU" w:eastAsia="en-GB"/>
              </w:rPr>
              <w:t>.</w:t>
            </w:r>
          </w:p>
          <w:p w14:paraId="1EC36428" w14:textId="44733FC5" w:rsidR="00A86F3F" w:rsidRPr="00CA1204" w:rsidRDefault="00A86F3F" w:rsidP="00CA1204">
            <w:pPr>
              <w:jc w:val="both"/>
              <w:rPr>
                <w:rFonts w:eastAsia="Times New Roman" w:cstheme="minorHAnsi"/>
                <w:bCs/>
                <w:lang w:val="en-AU" w:eastAsia="en-GB"/>
              </w:rPr>
            </w:pPr>
            <w:r w:rsidRPr="00CA1204">
              <w:rPr>
                <w:rFonts w:eastAsia="Times New Roman" w:cstheme="minorHAnsi"/>
                <w:bCs/>
                <w:lang w:val="en-AU" w:eastAsia="en-GB"/>
              </w:rPr>
              <w:t xml:space="preserve">The Local Education Group (LEG) </w:t>
            </w:r>
            <w:proofErr w:type="spellStart"/>
            <w:r w:rsidRPr="00CA1204">
              <w:rPr>
                <w:rFonts w:eastAsia="Times New Roman" w:cstheme="minorHAnsi"/>
                <w:bCs/>
                <w:lang w:val="en-AU" w:eastAsia="en-GB"/>
              </w:rPr>
              <w:t>ToRs</w:t>
            </w:r>
            <w:proofErr w:type="spellEnd"/>
            <w:r w:rsidRPr="00CA1204">
              <w:rPr>
                <w:rFonts w:eastAsia="Times New Roman" w:cstheme="minorHAnsi"/>
                <w:bCs/>
                <w:lang w:val="en-AU" w:eastAsia="en-GB"/>
              </w:rPr>
              <w:t xml:space="preserve"> </w:t>
            </w:r>
            <w:r>
              <w:rPr>
                <w:rFonts w:eastAsia="Times New Roman" w:cstheme="minorHAnsi"/>
                <w:bCs/>
                <w:lang w:val="en-AU" w:eastAsia="en-GB"/>
              </w:rPr>
              <w:t>have been</w:t>
            </w:r>
            <w:r w:rsidRPr="00CA1204">
              <w:rPr>
                <w:rFonts w:eastAsia="Times New Roman" w:cstheme="minorHAnsi"/>
                <w:bCs/>
                <w:lang w:val="en-AU" w:eastAsia="en-GB"/>
              </w:rPr>
              <w:t xml:space="preserve"> revised to </w:t>
            </w:r>
            <w:r>
              <w:rPr>
                <w:rFonts w:eastAsia="Times New Roman" w:cstheme="minorHAnsi"/>
                <w:bCs/>
                <w:lang w:val="en-AU" w:eastAsia="en-GB"/>
              </w:rPr>
              <w:t>ensure the LEG acts as a coordinating body for the sector.</w:t>
            </w:r>
          </w:p>
          <w:p w14:paraId="5506B8E3" w14:textId="1F5240A6" w:rsidR="00A86F3F" w:rsidRPr="00CA1204" w:rsidRDefault="00A86F3F">
            <w:pPr>
              <w:rPr>
                <w:rFonts w:eastAsia="Times New Roman" w:cstheme="minorHAnsi"/>
                <w:bCs/>
                <w:lang w:val="en-AU" w:eastAsia="en-GB"/>
              </w:rPr>
            </w:pPr>
            <w:r>
              <w:rPr>
                <w:rFonts w:eastAsia="Times New Roman" w:cstheme="minorHAnsi"/>
                <w:bCs/>
                <w:lang w:val="en-AU" w:eastAsia="en-GB"/>
              </w:rPr>
              <w:t xml:space="preserve">DFAT will work with </w:t>
            </w:r>
            <w:proofErr w:type="spellStart"/>
            <w:r>
              <w:rPr>
                <w:rFonts w:eastAsia="Times New Roman" w:cstheme="minorHAnsi"/>
                <w:bCs/>
                <w:lang w:val="en-AU" w:eastAsia="en-GB"/>
              </w:rPr>
              <w:t>MoET</w:t>
            </w:r>
            <w:proofErr w:type="spellEnd"/>
            <w:r>
              <w:rPr>
                <w:rFonts w:eastAsia="Times New Roman" w:cstheme="minorHAnsi"/>
                <w:bCs/>
                <w:lang w:val="en-AU" w:eastAsia="en-GB"/>
              </w:rPr>
              <w:t xml:space="preserve"> to determine </w:t>
            </w:r>
            <w:r w:rsidRPr="003E2BFC">
              <w:rPr>
                <w:rFonts w:eastAsia="Times New Roman" w:cstheme="minorHAnsi"/>
                <w:bCs/>
                <w:lang w:val="en-AU" w:eastAsia="en-GB"/>
              </w:rPr>
              <w:t xml:space="preserve">how the LEG, or a similar body could reduce the transactional </w:t>
            </w:r>
            <w:r w:rsidRPr="003E2BFC">
              <w:rPr>
                <w:rFonts w:eastAsia="Times New Roman" w:cstheme="minorHAnsi"/>
                <w:bCs/>
                <w:lang w:val="en-AU" w:eastAsia="en-GB"/>
              </w:rPr>
              <w:lastRenderedPageBreak/>
              <w:t xml:space="preserve">burden </w:t>
            </w:r>
            <w:r>
              <w:rPr>
                <w:rFonts w:eastAsia="Times New Roman" w:cstheme="minorHAnsi"/>
                <w:bCs/>
                <w:lang w:val="en-AU" w:eastAsia="en-GB"/>
              </w:rPr>
              <w:t>of dealing with</w:t>
            </w:r>
            <w:r w:rsidRPr="003E2BFC">
              <w:rPr>
                <w:rFonts w:eastAsia="Times New Roman" w:cstheme="minorHAnsi"/>
                <w:bCs/>
                <w:lang w:val="en-AU" w:eastAsia="en-GB"/>
              </w:rPr>
              <w:t xml:space="preserve"> multiple development partners</w:t>
            </w:r>
            <w:r>
              <w:rPr>
                <w:rFonts w:eastAsia="Times New Roman" w:cstheme="minorHAnsi"/>
                <w:bCs/>
                <w:lang w:val="en-AU" w:eastAsia="en-GB"/>
              </w:rPr>
              <w:t xml:space="preserve"> for </w:t>
            </w:r>
            <w:proofErr w:type="spellStart"/>
            <w:r>
              <w:rPr>
                <w:rFonts w:eastAsia="Times New Roman" w:cstheme="minorHAnsi"/>
                <w:bCs/>
                <w:lang w:val="en-AU" w:eastAsia="en-GB"/>
              </w:rPr>
              <w:t>MoET</w:t>
            </w:r>
            <w:proofErr w:type="spellEnd"/>
            <w:r>
              <w:rPr>
                <w:rFonts w:eastAsia="Times New Roman" w:cstheme="minorHAnsi"/>
                <w:bCs/>
                <w:lang w:val="en-AU" w:eastAsia="en-GB"/>
              </w:rPr>
              <w:t>.</w:t>
            </w:r>
          </w:p>
        </w:tc>
        <w:tc>
          <w:tcPr>
            <w:tcW w:w="1236" w:type="dxa"/>
          </w:tcPr>
          <w:p w14:paraId="7DEFB2A1" w14:textId="5FEB0DA4" w:rsidR="00A86F3F" w:rsidRDefault="00A86F3F">
            <w:r>
              <w:lastRenderedPageBreak/>
              <w:t>On-going</w:t>
            </w:r>
          </w:p>
        </w:tc>
      </w:tr>
      <w:tr w:rsidR="00A86F3F" w:rsidRPr="00D87C05" w14:paraId="0FAD6B93" w14:textId="77777777" w:rsidTr="00A86F3F">
        <w:trPr>
          <w:trHeight w:val="2646"/>
        </w:trPr>
        <w:tc>
          <w:tcPr>
            <w:tcW w:w="4968" w:type="dxa"/>
          </w:tcPr>
          <w:p w14:paraId="3C69E478" w14:textId="3186F413" w:rsidR="00A86F3F" w:rsidRPr="00CA1204" w:rsidRDefault="00A86F3F" w:rsidP="00D87C05">
            <w:pPr>
              <w:pStyle w:val="ListParagraph"/>
              <w:numPr>
                <w:ilvl w:val="0"/>
                <w:numId w:val="19"/>
              </w:numPr>
              <w:ind w:left="247"/>
              <w:rPr>
                <w:rFonts w:eastAsia="Times New Roman" w:cstheme="minorHAnsi"/>
                <w:bCs/>
                <w:color w:val="475663"/>
                <w:lang w:val="en-AU" w:eastAsia="en-GB"/>
              </w:rPr>
            </w:pPr>
            <w:r w:rsidRPr="00CA1204">
              <w:rPr>
                <w:rFonts w:eastAsia="Times New Roman" w:cstheme="minorHAnsi"/>
                <w:bCs/>
                <w:color w:val="475663"/>
                <w:lang w:val="en-AU" w:eastAsia="en-GB"/>
              </w:rPr>
              <w:t>That the balance of responsibilities between DFAT and MC in terms of decision-making related to ways forward with Australia Awards for Vanuatu (AAV) requires further consultation.</w:t>
            </w:r>
          </w:p>
          <w:p w14:paraId="3B5F7C0B" w14:textId="77777777" w:rsidR="00A86F3F" w:rsidRPr="00CA1204" w:rsidRDefault="00A86F3F" w:rsidP="00CA1204">
            <w:pPr>
              <w:pStyle w:val="ListParagraph"/>
              <w:ind w:left="247"/>
              <w:rPr>
                <w:rFonts w:eastAsia="Times New Roman" w:cstheme="minorHAnsi"/>
                <w:bCs/>
                <w:color w:val="475663"/>
                <w:lang w:val="en-AU" w:eastAsia="en-GB"/>
              </w:rPr>
            </w:pPr>
          </w:p>
          <w:p w14:paraId="4E424BBE" w14:textId="52E9E223" w:rsidR="00A86F3F" w:rsidRPr="00CA1204" w:rsidRDefault="00A86F3F" w:rsidP="00D87C05">
            <w:pPr>
              <w:pStyle w:val="ListParagraph"/>
              <w:numPr>
                <w:ilvl w:val="0"/>
                <w:numId w:val="19"/>
              </w:numPr>
              <w:ind w:left="247"/>
              <w:rPr>
                <w:bCs/>
                <w:color w:val="2F5496" w:themeColor="accent1" w:themeShade="BF"/>
                <w:lang w:val="en-AU" w:eastAsia="en-GB"/>
              </w:rPr>
            </w:pPr>
            <w:r w:rsidRPr="00CA1204">
              <w:rPr>
                <w:rFonts w:eastAsia="Times New Roman" w:cstheme="minorHAnsi"/>
                <w:bCs/>
                <w:lang w:val="en-AU" w:eastAsia="en-GB"/>
              </w:rPr>
              <w:t xml:space="preserve">That VESP II and </w:t>
            </w:r>
            <w:proofErr w:type="spellStart"/>
            <w:r w:rsidRPr="00CA1204">
              <w:rPr>
                <w:rFonts w:eastAsia="Times New Roman" w:cstheme="minorHAnsi"/>
                <w:bCs/>
                <w:lang w:val="en-AU" w:eastAsia="en-GB"/>
              </w:rPr>
              <w:t>MoET</w:t>
            </w:r>
            <w:proofErr w:type="spellEnd"/>
            <w:r w:rsidRPr="00CA1204">
              <w:rPr>
                <w:rFonts w:eastAsia="Times New Roman" w:cstheme="minorHAnsi"/>
                <w:bCs/>
                <w:lang w:val="en-AU" w:eastAsia="en-GB"/>
              </w:rPr>
              <w:t xml:space="preserve"> enable AAV to continue to be sustained and promoted in new ways in the current environment.</w:t>
            </w:r>
          </w:p>
        </w:tc>
        <w:tc>
          <w:tcPr>
            <w:tcW w:w="1128" w:type="dxa"/>
            <w:shd w:val="clear" w:color="auto" w:fill="92D050"/>
          </w:tcPr>
          <w:p w14:paraId="60608AAB" w14:textId="7B9CB20A" w:rsidR="00A86F3F" w:rsidRPr="00307CB0" w:rsidRDefault="00A86F3F">
            <w:pPr>
              <w:rPr>
                <w:color w:val="auto"/>
              </w:rPr>
            </w:pPr>
            <w:r>
              <w:rPr>
                <w:color w:val="auto"/>
              </w:rPr>
              <w:t xml:space="preserve">Agree </w:t>
            </w:r>
          </w:p>
        </w:tc>
        <w:tc>
          <w:tcPr>
            <w:tcW w:w="4253" w:type="dxa"/>
          </w:tcPr>
          <w:p w14:paraId="72B4A95F" w14:textId="1E96A5E7" w:rsidR="00A86F3F" w:rsidRDefault="00A86F3F"/>
        </w:tc>
        <w:tc>
          <w:tcPr>
            <w:tcW w:w="3725" w:type="dxa"/>
          </w:tcPr>
          <w:p w14:paraId="74841973" w14:textId="50BE66AB" w:rsidR="00A86F3F" w:rsidRDefault="00A86F3F">
            <w:pPr>
              <w:rPr>
                <w:rFonts w:eastAsia="Times New Roman" w:cstheme="minorHAnsi"/>
                <w:bCs/>
                <w:lang w:val="en-AU" w:eastAsia="en-GB"/>
              </w:rPr>
            </w:pPr>
            <w:r>
              <w:rPr>
                <w:rFonts w:eastAsia="Times New Roman" w:cstheme="minorHAnsi"/>
                <w:bCs/>
                <w:lang w:val="en-AU" w:eastAsia="en-GB"/>
              </w:rPr>
              <w:t>DFAT</w:t>
            </w:r>
            <w:r w:rsidRPr="00D87C05">
              <w:rPr>
                <w:rFonts w:eastAsia="Times New Roman" w:cstheme="minorHAnsi"/>
                <w:bCs/>
                <w:lang w:val="en-AU" w:eastAsia="en-GB"/>
              </w:rPr>
              <w:t xml:space="preserve"> has monthly </w:t>
            </w:r>
            <w:r>
              <w:rPr>
                <w:rFonts w:eastAsia="Times New Roman" w:cstheme="minorHAnsi"/>
                <w:bCs/>
                <w:lang w:val="en-AU" w:eastAsia="en-GB"/>
              </w:rPr>
              <w:t>meetings with the contractor to continuously seek efficiency improvements in AAV management.</w:t>
            </w:r>
          </w:p>
          <w:p w14:paraId="01E79061" w14:textId="4157BE3C" w:rsidR="00A86F3F" w:rsidRDefault="00A86F3F">
            <w:pPr>
              <w:rPr>
                <w:rFonts w:eastAsia="Times New Roman" w:cstheme="minorHAnsi"/>
                <w:bCs/>
                <w:lang w:val="en-AU" w:eastAsia="en-GB"/>
              </w:rPr>
            </w:pPr>
            <w:r>
              <w:rPr>
                <w:rFonts w:eastAsia="Times New Roman" w:cstheme="minorHAnsi"/>
                <w:bCs/>
                <w:lang w:val="en-AU" w:eastAsia="en-GB"/>
              </w:rPr>
              <w:t>DFAT</w:t>
            </w:r>
            <w:r w:rsidRPr="00D87C05">
              <w:rPr>
                <w:rFonts w:eastAsia="Times New Roman" w:cstheme="minorHAnsi"/>
                <w:bCs/>
                <w:lang w:val="en-AU" w:eastAsia="en-GB"/>
              </w:rPr>
              <w:t xml:space="preserve"> is providin</w:t>
            </w:r>
            <w:r>
              <w:rPr>
                <w:rFonts w:eastAsia="Times New Roman" w:cstheme="minorHAnsi"/>
                <w:bCs/>
                <w:lang w:val="en-AU" w:eastAsia="en-GB"/>
              </w:rPr>
              <w:t>g regular feedback to improve the quality of AAV management products.</w:t>
            </w:r>
          </w:p>
          <w:p w14:paraId="65701E38" w14:textId="5E29D983" w:rsidR="00A86F3F" w:rsidRPr="00D87C05" w:rsidRDefault="00A86F3F">
            <w:pPr>
              <w:rPr>
                <w:rFonts w:eastAsia="Times New Roman" w:cstheme="minorHAnsi"/>
                <w:bCs/>
                <w:lang w:val="en-AU" w:eastAsia="en-GB"/>
              </w:rPr>
            </w:pPr>
            <w:r>
              <w:rPr>
                <w:rFonts w:eastAsia="Times New Roman" w:cstheme="minorHAnsi"/>
                <w:bCs/>
                <w:lang w:val="en-AU" w:eastAsia="en-GB"/>
              </w:rPr>
              <w:t>DFAT</w:t>
            </w:r>
            <w:r w:rsidRPr="00D87C05">
              <w:rPr>
                <w:rFonts w:eastAsia="Times New Roman" w:cstheme="minorHAnsi"/>
                <w:bCs/>
                <w:lang w:val="en-AU" w:eastAsia="en-GB"/>
              </w:rPr>
              <w:t xml:space="preserve"> is liaising with</w:t>
            </w:r>
            <w:r>
              <w:rPr>
                <w:rFonts w:eastAsia="Times New Roman" w:cstheme="minorHAnsi"/>
                <w:bCs/>
                <w:lang w:val="en-AU" w:eastAsia="en-GB"/>
              </w:rPr>
              <w:t xml:space="preserve"> AAV to better define roles and responsibilities between AAV and DFAT.</w:t>
            </w:r>
          </w:p>
          <w:p w14:paraId="17D286E4" w14:textId="5CDF1060" w:rsidR="00A86F3F" w:rsidRPr="00D87C05" w:rsidRDefault="00A86F3F">
            <w:pPr>
              <w:rPr>
                <w:lang w:val="en-AU"/>
              </w:rPr>
            </w:pPr>
          </w:p>
        </w:tc>
        <w:tc>
          <w:tcPr>
            <w:tcW w:w="1236" w:type="dxa"/>
          </w:tcPr>
          <w:p w14:paraId="028DA988" w14:textId="491AD91A" w:rsidR="00A86F3F" w:rsidRPr="00D87C05" w:rsidRDefault="00A86F3F">
            <w:pPr>
              <w:rPr>
                <w:lang w:val="en-AU"/>
              </w:rPr>
            </w:pPr>
            <w:r>
              <w:rPr>
                <w:lang w:val="en-AU"/>
              </w:rPr>
              <w:t>On-going</w:t>
            </w:r>
          </w:p>
        </w:tc>
      </w:tr>
      <w:tr w:rsidR="00A86F3F" w:rsidRPr="00D87C05" w14:paraId="5DCBB667" w14:textId="77777777" w:rsidTr="00A86F3F">
        <w:trPr>
          <w:trHeight w:val="1587"/>
        </w:trPr>
        <w:tc>
          <w:tcPr>
            <w:tcW w:w="4968" w:type="dxa"/>
          </w:tcPr>
          <w:p w14:paraId="79827A14" w14:textId="07CA312C" w:rsidR="00A86F3F" w:rsidRPr="00CA1204" w:rsidRDefault="00A86F3F" w:rsidP="00D87C05">
            <w:pPr>
              <w:pStyle w:val="ListParagraph"/>
              <w:numPr>
                <w:ilvl w:val="0"/>
                <w:numId w:val="19"/>
              </w:numPr>
              <w:ind w:left="247"/>
              <w:rPr>
                <w:bCs/>
                <w:color w:val="2F5496" w:themeColor="accent1" w:themeShade="BF"/>
                <w:lang w:val="en-AU" w:eastAsia="en-GB"/>
              </w:rPr>
            </w:pPr>
            <w:r w:rsidRPr="00CA1204">
              <w:rPr>
                <w:rFonts w:eastAsia="Times New Roman" w:cstheme="minorHAnsi"/>
                <w:bCs/>
                <w:color w:val="475663"/>
                <w:lang w:val="en-AU" w:eastAsia="en-GB"/>
              </w:rPr>
              <w:t xml:space="preserve">That VESP II, </w:t>
            </w:r>
            <w:proofErr w:type="spellStart"/>
            <w:r w:rsidRPr="00CA1204">
              <w:rPr>
                <w:rFonts w:eastAsia="Times New Roman" w:cstheme="minorHAnsi"/>
                <w:bCs/>
                <w:color w:val="475663"/>
                <w:lang w:val="en-AU" w:eastAsia="en-GB"/>
              </w:rPr>
              <w:t>MoET</w:t>
            </w:r>
            <w:proofErr w:type="spellEnd"/>
            <w:r w:rsidRPr="00CA1204">
              <w:rPr>
                <w:rFonts w:eastAsia="Times New Roman" w:cstheme="minorHAnsi"/>
                <w:bCs/>
                <w:color w:val="475663"/>
                <w:lang w:val="en-AU" w:eastAsia="en-GB"/>
              </w:rPr>
              <w:t xml:space="preserve"> and DFAT ensure that gender is not just seen to apply to girls but also to boys</w:t>
            </w:r>
          </w:p>
        </w:tc>
        <w:tc>
          <w:tcPr>
            <w:tcW w:w="1128" w:type="dxa"/>
            <w:shd w:val="clear" w:color="auto" w:fill="92D050"/>
          </w:tcPr>
          <w:p w14:paraId="1D924495" w14:textId="3FEF424C" w:rsidR="00A86F3F" w:rsidRPr="00D87C05" w:rsidRDefault="00A86F3F">
            <w:pPr>
              <w:rPr>
                <w:color w:val="auto"/>
                <w:lang w:val="en-AU"/>
              </w:rPr>
            </w:pPr>
            <w:r>
              <w:rPr>
                <w:color w:val="auto"/>
                <w:lang w:val="en-AU"/>
              </w:rPr>
              <w:t xml:space="preserve">Agree </w:t>
            </w:r>
          </w:p>
        </w:tc>
        <w:tc>
          <w:tcPr>
            <w:tcW w:w="4253" w:type="dxa"/>
          </w:tcPr>
          <w:p w14:paraId="0F5DD096" w14:textId="1272EC5E" w:rsidR="00A86F3F" w:rsidRPr="00D87C05" w:rsidRDefault="00A86F3F">
            <w:pPr>
              <w:rPr>
                <w:lang w:val="en-AU"/>
              </w:rPr>
            </w:pPr>
            <w:r>
              <w:rPr>
                <w:lang w:val="en-AU"/>
              </w:rPr>
              <w:t xml:space="preserve">There is a global trend towards girls out-performing boys. Further study on this trend is required to determine the drivers of this trend in Vanuatu. </w:t>
            </w:r>
          </w:p>
        </w:tc>
        <w:tc>
          <w:tcPr>
            <w:tcW w:w="3725" w:type="dxa"/>
          </w:tcPr>
          <w:p w14:paraId="1D17D6C6" w14:textId="5B3346FD" w:rsidR="00A86F3F" w:rsidRPr="00D87C05" w:rsidRDefault="00A86F3F">
            <w:pPr>
              <w:rPr>
                <w:lang w:val="en-AU"/>
              </w:rPr>
            </w:pPr>
            <w:r>
              <w:rPr>
                <w:lang w:val="en-AU"/>
              </w:rPr>
              <w:t xml:space="preserve">The VESP team will working with </w:t>
            </w:r>
            <w:proofErr w:type="spellStart"/>
            <w:r>
              <w:rPr>
                <w:lang w:val="en-AU"/>
              </w:rPr>
              <w:t>MoET</w:t>
            </w:r>
            <w:proofErr w:type="spellEnd"/>
            <w:r>
              <w:rPr>
                <w:lang w:val="en-AU"/>
              </w:rPr>
              <w:t xml:space="preserve"> on data collection specifically for boys. </w:t>
            </w:r>
          </w:p>
        </w:tc>
        <w:tc>
          <w:tcPr>
            <w:tcW w:w="1236" w:type="dxa"/>
          </w:tcPr>
          <w:p w14:paraId="369719F6" w14:textId="5510C4A9" w:rsidR="00A86F3F" w:rsidRPr="00D87C05" w:rsidRDefault="00A86F3F">
            <w:pPr>
              <w:rPr>
                <w:lang w:val="en-AU"/>
              </w:rPr>
            </w:pPr>
            <w:r>
              <w:rPr>
                <w:lang w:val="en-AU"/>
              </w:rPr>
              <w:t>2023</w:t>
            </w:r>
          </w:p>
        </w:tc>
      </w:tr>
      <w:tr w:rsidR="00A86F3F" w:rsidRPr="00D87C05" w14:paraId="1B0B622B" w14:textId="77777777" w:rsidTr="00A86F3F">
        <w:trPr>
          <w:trHeight w:val="819"/>
        </w:trPr>
        <w:tc>
          <w:tcPr>
            <w:tcW w:w="4968" w:type="dxa"/>
          </w:tcPr>
          <w:p w14:paraId="41FAB334" w14:textId="44598CF0" w:rsidR="00A86F3F" w:rsidRPr="00CA1204" w:rsidRDefault="00A86F3F" w:rsidP="00240D8B">
            <w:pPr>
              <w:ind w:left="247" w:hanging="284"/>
              <w:rPr>
                <w:bCs/>
                <w:color w:val="2F5496" w:themeColor="accent1" w:themeShade="BF"/>
                <w:lang w:val="en-AU" w:eastAsia="en-GB"/>
              </w:rPr>
            </w:pPr>
            <w:r w:rsidRPr="00CA1204">
              <w:rPr>
                <w:rFonts w:eastAsia="Times New Roman" w:cstheme="minorHAnsi"/>
                <w:bCs/>
                <w:color w:val="475663"/>
                <w:lang w:val="en-AU" w:eastAsia="en-GB"/>
              </w:rPr>
              <w:t>5) That VESP II ensures that gains in the early years of the curriculum are sustained and that recent initiatives in literacy are embedded into the curriculum</w:t>
            </w:r>
          </w:p>
        </w:tc>
        <w:tc>
          <w:tcPr>
            <w:tcW w:w="1128" w:type="dxa"/>
            <w:shd w:val="clear" w:color="auto" w:fill="92D050"/>
          </w:tcPr>
          <w:p w14:paraId="49B9A97B" w14:textId="03F8AD87" w:rsidR="00A86F3F" w:rsidRPr="00D87C05" w:rsidRDefault="00A86F3F">
            <w:pPr>
              <w:rPr>
                <w:color w:val="auto"/>
                <w:lang w:val="en-AU"/>
              </w:rPr>
            </w:pPr>
            <w:r>
              <w:rPr>
                <w:color w:val="auto"/>
                <w:lang w:val="en-AU"/>
              </w:rPr>
              <w:t xml:space="preserve">Agree </w:t>
            </w:r>
          </w:p>
        </w:tc>
        <w:tc>
          <w:tcPr>
            <w:tcW w:w="4253" w:type="dxa"/>
          </w:tcPr>
          <w:p w14:paraId="72A7BA7C" w14:textId="5937363E" w:rsidR="00A86F3F" w:rsidRPr="00D87C05" w:rsidRDefault="00A86F3F">
            <w:pPr>
              <w:rPr>
                <w:lang w:val="en-AU"/>
              </w:rPr>
            </w:pPr>
          </w:p>
        </w:tc>
        <w:tc>
          <w:tcPr>
            <w:tcW w:w="3725" w:type="dxa"/>
          </w:tcPr>
          <w:p w14:paraId="63769128" w14:textId="77777777" w:rsidR="00A86F3F" w:rsidRDefault="00A86F3F">
            <w:pPr>
              <w:rPr>
                <w:lang w:val="en-AU"/>
              </w:rPr>
            </w:pPr>
            <w:r>
              <w:rPr>
                <w:lang w:val="en-AU"/>
              </w:rPr>
              <w:t xml:space="preserve">VESP to review the curriculum statement and teachers’ guides for year 1 to year 6. </w:t>
            </w:r>
          </w:p>
          <w:p w14:paraId="27AA08FB" w14:textId="6CF29690" w:rsidR="00A86F3F" w:rsidRPr="00D87C05" w:rsidRDefault="00A86F3F">
            <w:pPr>
              <w:rPr>
                <w:lang w:val="en-AU"/>
              </w:rPr>
            </w:pPr>
          </w:p>
        </w:tc>
        <w:tc>
          <w:tcPr>
            <w:tcW w:w="1236" w:type="dxa"/>
          </w:tcPr>
          <w:p w14:paraId="4127483F" w14:textId="4079213A" w:rsidR="00A86F3F" w:rsidRPr="00D87C05" w:rsidRDefault="00A86F3F">
            <w:pPr>
              <w:rPr>
                <w:lang w:val="en-AU"/>
              </w:rPr>
            </w:pPr>
            <w:r>
              <w:rPr>
                <w:lang w:val="en-AU"/>
              </w:rPr>
              <w:t>2023</w:t>
            </w:r>
          </w:p>
        </w:tc>
      </w:tr>
      <w:tr w:rsidR="00A86F3F" w:rsidRPr="00D87C05" w14:paraId="51071713" w14:textId="77777777" w:rsidTr="00A86F3F">
        <w:trPr>
          <w:trHeight w:val="2646"/>
        </w:trPr>
        <w:tc>
          <w:tcPr>
            <w:tcW w:w="4968" w:type="dxa"/>
          </w:tcPr>
          <w:p w14:paraId="340A845F" w14:textId="128F5708" w:rsidR="00A86F3F" w:rsidRPr="00CA1204" w:rsidRDefault="00A86F3F" w:rsidP="00240D8B">
            <w:pPr>
              <w:ind w:left="247" w:hanging="284"/>
              <w:rPr>
                <w:rFonts w:eastAsia="Times New Roman" w:cstheme="minorHAnsi"/>
                <w:bCs/>
                <w:color w:val="475663"/>
                <w:lang w:val="en-AU" w:eastAsia="en-GB"/>
              </w:rPr>
            </w:pPr>
            <w:r w:rsidRPr="00CA1204">
              <w:rPr>
                <w:rFonts w:eastAsia="Times New Roman" w:cstheme="minorHAnsi"/>
                <w:bCs/>
                <w:color w:val="475663"/>
                <w:lang w:val="en-AU" w:eastAsia="en-GB"/>
              </w:rPr>
              <w:lastRenderedPageBreak/>
              <w:t xml:space="preserve">6) That VESP II and </w:t>
            </w:r>
            <w:proofErr w:type="spellStart"/>
            <w:r w:rsidRPr="00CA1204">
              <w:rPr>
                <w:rFonts w:eastAsia="Times New Roman" w:cstheme="minorHAnsi"/>
                <w:bCs/>
                <w:color w:val="475663"/>
                <w:lang w:val="en-AU" w:eastAsia="en-GB"/>
              </w:rPr>
              <w:t>MoET</w:t>
            </w:r>
            <w:proofErr w:type="spellEnd"/>
            <w:r w:rsidRPr="00CA1204">
              <w:rPr>
                <w:rFonts w:eastAsia="Times New Roman" w:cstheme="minorHAnsi"/>
                <w:bCs/>
                <w:color w:val="475663"/>
                <w:lang w:val="en-AU" w:eastAsia="en-GB"/>
              </w:rPr>
              <w:t xml:space="preserve"> consider how best to ensure that teachers are prepared to teach through the medium of French and English.</w:t>
            </w:r>
          </w:p>
          <w:p w14:paraId="00ADC827" w14:textId="1284FA9F" w:rsidR="00A86F3F" w:rsidRPr="00CA1204" w:rsidRDefault="00A86F3F" w:rsidP="002F2760">
            <w:pPr>
              <w:rPr>
                <w:bCs/>
                <w:color w:val="2F5496" w:themeColor="accent1" w:themeShade="BF"/>
                <w:lang w:val="en-AU" w:eastAsia="en-GB"/>
              </w:rPr>
            </w:pPr>
          </w:p>
        </w:tc>
        <w:tc>
          <w:tcPr>
            <w:tcW w:w="1128" w:type="dxa"/>
            <w:shd w:val="clear" w:color="auto" w:fill="92D050"/>
          </w:tcPr>
          <w:p w14:paraId="25E439A4" w14:textId="6DFF2F8D" w:rsidR="00A86F3F" w:rsidRPr="00D87C05" w:rsidRDefault="00A86F3F">
            <w:pPr>
              <w:rPr>
                <w:color w:val="auto"/>
                <w:lang w:val="en-AU"/>
              </w:rPr>
            </w:pPr>
            <w:r>
              <w:rPr>
                <w:color w:val="auto"/>
                <w:lang w:val="en-AU"/>
              </w:rPr>
              <w:t xml:space="preserve">Agree </w:t>
            </w:r>
          </w:p>
        </w:tc>
        <w:tc>
          <w:tcPr>
            <w:tcW w:w="4253" w:type="dxa"/>
          </w:tcPr>
          <w:p w14:paraId="20BEA06E" w14:textId="58A62E10" w:rsidR="00A86F3F" w:rsidRDefault="00A86F3F">
            <w:pPr>
              <w:rPr>
                <w:lang w:val="en-AU"/>
              </w:rPr>
            </w:pPr>
            <w:r>
              <w:rPr>
                <w:lang w:val="en-AU"/>
              </w:rPr>
              <w:t>Teachers in schools are lacking fluent command of French and English and are struggling to transfer from mother tongue to international languages.</w:t>
            </w:r>
          </w:p>
          <w:p w14:paraId="3F840845" w14:textId="59017C35" w:rsidR="00A86F3F" w:rsidRPr="00D87C05" w:rsidRDefault="00A86F3F">
            <w:pPr>
              <w:rPr>
                <w:lang w:val="en-AU"/>
              </w:rPr>
            </w:pPr>
            <w:r>
              <w:rPr>
                <w:lang w:val="en-AU"/>
              </w:rPr>
              <w:t xml:space="preserve">The </w:t>
            </w:r>
            <w:proofErr w:type="spellStart"/>
            <w:r w:rsidRPr="00240D8B">
              <w:rPr>
                <w:i/>
                <w:iCs/>
                <w:lang w:val="en-AU"/>
              </w:rPr>
              <w:t>Ademap</w:t>
            </w:r>
            <w:proofErr w:type="spellEnd"/>
            <w:r w:rsidRPr="00240D8B">
              <w:rPr>
                <w:i/>
                <w:iCs/>
                <w:lang w:val="en-AU"/>
              </w:rPr>
              <w:t xml:space="preserve"> wan </w:t>
            </w:r>
            <w:proofErr w:type="spellStart"/>
            <w:r w:rsidRPr="00240D8B">
              <w:rPr>
                <w:i/>
                <w:iCs/>
                <w:lang w:val="en-AU"/>
              </w:rPr>
              <w:t>lanwis</w:t>
            </w:r>
            <w:proofErr w:type="spellEnd"/>
            <w:r>
              <w:rPr>
                <w:lang w:val="en-AU"/>
              </w:rPr>
              <w:t xml:space="preserve"> policy has been implemented and training provided to primary teachers, but more follow-up and mentoring are required. </w:t>
            </w:r>
          </w:p>
        </w:tc>
        <w:tc>
          <w:tcPr>
            <w:tcW w:w="3725" w:type="dxa"/>
          </w:tcPr>
          <w:p w14:paraId="70615B36" w14:textId="6C42CD22" w:rsidR="00A86F3F" w:rsidRDefault="00A86F3F">
            <w:pPr>
              <w:rPr>
                <w:lang w:val="en-AU"/>
              </w:rPr>
            </w:pPr>
            <w:r>
              <w:rPr>
                <w:lang w:val="en-AU"/>
              </w:rPr>
              <w:t xml:space="preserve">VESP to support </w:t>
            </w:r>
            <w:proofErr w:type="spellStart"/>
            <w:r>
              <w:rPr>
                <w:lang w:val="en-AU"/>
              </w:rPr>
              <w:t>MoET</w:t>
            </w:r>
            <w:proofErr w:type="spellEnd"/>
            <w:r>
              <w:rPr>
                <w:lang w:val="en-AU"/>
              </w:rPr>
              <w:t xml:space="preserve"> to deliver language testing for teachers. </w:t>
            </w:r>
          </w:p>
          <w:p w14:paraId="15469362" w14:textId="77777777" w:rsidR="00A86F3F" w:rsidRDefault="00A86F3F">
            <w:pPr>
              <w:rPr>
                <w:lang w:val="en-AU"/>
              </w:rPr>
            </w:pPr>
          </w:p>
          <w:p w14:paraId="473E0D2E" w14:textId="6BF4BAAA" w:rsidR="00A86F3F" w:rsidRPr="00D87C05" w:rsidRDefault="00A86F3F">
            <w:pPr>
              <w:rPr>
                <w:lang w:val="en-AU"/>
              </w:rPr>
            </w:pPr>
            <w:r>
              <w:rPr>
                <w:lang w:val="en-AU"/>
              </w:rPr>
              <w:t xml:space="preserve">VESP to work with </w:t>
            </w:r>
            <w:proofErr w:type="spellStart"/>
            <w:r>
              <w:rPr>
                <w:lang w:val="en-AU"/>
              </w:rPr>
              <w:t>MoET</w:t>
            </w:r>
            <w:proofErr w:type="spellEnd"/>
            <w:r>
              <w:rPr>
                <w:lang w:val="en-AU"/>
              </w:rPr>
              <w:t xml:space="preserve"> to consider delivery of additional mentoring and follow-up training to teaches. </w:t>
            </w:r>
          </w:p>
        </w:tc>
        <w:tc>
          <w:tcPr>
            <w:tcW w:w="1236" w:type="dxa"/>
          </w:tcPr>
          <w:p w14:paraId="328C723B" w14:textId="2A9F8534" w:rsidR="00A86F3F" w:rsidRPr="00D87C05" w:rsidRDefault="00A86F3F">
            <w:pPr>
              <w:rPr>
                <w:lang w:val="en-AU"/>
              </w:rPr>
            </w:pPr>
            <w:r>
              <w:rPr>
                <w:lang w:val="en-AU"/>
              </w:rPr>
              <w:t>2023</w:t>
            </w:r>
          </w:p>
        </w:tc>
      </w:tr>
    </w:tbl>
    <w:p w14:paraId="1C36B33D" w14:textId="77777777" w:rsidR="00C81048" w:rsidRPr="00D87C05" w:rsidRDefault="00C81048" w:rsidP="0076177C">
      <w:pPr>
        <w:rPr>
          <w:lang w:val="en-AU"/>
        </w:rPr>
      </w:pPr>
    </w:p>
    <w:sectPr w:rsidR="00C81048" w:rsidRPr="00D87C05" w:rsidSect="004A6F4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A44E" w14:textId="77777777" w:rsidR="008A2B91" w:rsidRDefault="008A2B91" w:rsidP="005A40B5">
      <w:pPr>
        <w:spacing w:before="0" w:after="0" w:line="240" w:lineRule="auto"/>
      </w:pPr>
      <w:r>
        <w:separator/>
      </w:r>
    </w:p>
  </w:endnote>
  <w:endnote w:type="continuationSeparator" w:id="0">
    <w:p w14:paraId="1F3BB224" w14:textId="77777777" w:rsidR="008A2B91" w:rsidRDefault="008A2B91" w:rsidP="005A40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9095" w14:textId="32D95B65" w:rsidR="00973FD9" w:rsidRDefault="00973FD9">
    <w:pPr>
      <w:pStyle w:val="Footer"/>
    </w:pPr>
    <w:r>
      <w:t xml:space="preserve">MANAGEMENT RESPONSE: </w:t>
    </w:r>
    <w:r w:rsidR="00240D8B">
      <w:t xml:space="preserve">MTR for Vanuatu Education Support Program. </w:t>
    </w:r>
    <w:r>
      <w:t xml:space="preserve"> </w:t>
    </w:r>
  </w:p>
  <w:p w14:paraId="556BF533" w14:textId="77777777" w:rsidR="00043A26" w:rsidRDefault="0004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243" w14:textId="77777777" w:rsidR="008A2B91" w:rsidRDefault="008A2B91" w:rsidP="005A40B5">
      <w:pPr>
        <w:spacing w:before="0" w:after="0" w:line="240" w:lineRule="auto"/>
      </w:pPr>
      <w:r>
        <w:separator/>
      </w:r>
    </w:p>
  </w:footnote>
  <w:footnote w:type="continuationSeparator" w:id="0">
    <w:p w14:paraId="28B4B570" w14:textId="77777777" w:rsidR="008A2B91" w:rsidRDefault="008A2B91" w:rsidP="005A40B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459"/>
    <w:multiLevelType w:val="hybridMultilevel"/>
    <w:tmpl w:val="E4CADA56"/>
    <w:lvl w:ilvl="0" w:tplc="902C5D3A">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135DF"/>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622AB8"/>
    <w:multiLevelType w:val="hybridMultilevel"/>
    <w:tmpl w:val="25DCDAE2"/>
    <w:lvl w:ilvl="0" w:tplc="D160FB6A">
      <w:start w:val="1"/>
      <w:numFmt w:val="bullet"/>
      <w:lvlText w:val="•"/>
      <w:lvlJc w:val="left"/>
      <w:pPr>
        <w:tabs>
          <w:tab w:val="num" w:pos="720"/>
        </w:tabs>
        <w:ind w:left="720" w:hanging="360"/>
      </w:pPr>
      <w:rPr>
        <w:rFonts w:ascii="Arial" w:hAnsi="Arial" w:hint="default"/>
      </w:rPr>
    </w:lvl>
    <w:lvl w:ilvl="1" w:tplc="D4D0DAA2">
      <w:start w:val="1"/>
      <w:numFmt w:val="bullet"/>
      <w:lvlText w:val="•"/>
      <w:lvlJc w:val="left"/>
      <w:pPr>
        <w:tabs>
          <w:tab w:val="num" w:pos="1440"/>
        </w:tabs>
        <w:ind w:left="1440" w:hanging="360"/>
      </w:pPr>
      <w:rPr>
        <w:rFonts w:ascii="Arial" w:hAnsi="Arial" w:hint="default"/>
      </w:rPr>
    </w:lvl>
    <w:lvl w:ilvl="2" w:tplc="0C546E76">
      <w:start w:val="1"/>
      <w:numFmt w:val="bullet"/>
      <w:lvlText w:val="•"/>
      <w:lvlJc w:val="left"/>
      <w:pPr>
        <w:tabs>
          <w:tab w:val="num" w:pos="2160"/>
        </w:tabs>
        <w:ind w:left="2160" w:hanging="360"/>
      </w:pPr>
      <w:rPr>
        <w:rFonts w:ascii="Arial" w:hAnsi="Arial" w:hint="default"/>
      </w:rPr>
    </w:lvl>
    <w:lvl w:ilvl="3" w:tplc="06CAE166" w:tentative="1">
      <w:start w:val="1"/>
      <w:numFmt w:val="bullet"/>
      <w:lvlText w:val="•"/>
      <w:lvlJc w:val="left"/>
      <w:pPr>
        <w:tabs>
          <w:tab w:val="num" w:pos="2880"/>
        </w:tabs>
        <w:ind w:left="2880" w:hanging="360"/>
      </w:pPr>
      <w:rPr>
        <w:rFonts w:ascii="Arial" w:hAnsi="Arial" w:hint="default"/>
      </w:rPr>
    </w:lvl>
    <w:lvl w:ilvl="4" w:tplc="A56CCCF4" w:tentative="1">
      <w:start w:val="1"/>
      <w:numFmt w:val="bullet"/>
      <w:lvlText w:val="•"/>
      <w:lvlJc w:val="left"/>
      <w:pPr>
        <w:tabs>
          <w:tab w:val="num" w:pos="3600"/>
        </w:tabs>
        <w:ind w:left="3600" w:hanging="360"/>
      </w:pPr>
      <w:rPr>
        <w:rFonts w:ascii="Arial" w:hAnsi="Arial" w:hint="default"/>
      </w:rPr>
    </w:lvl>
    <w:lvl w:ilvl="5" w:tplc="69A67818" w:tentative="1">
      <w:start w:val="1"/>
      <w:numFmt w:val="bullet"/>
      <w:lvlText w:val="•"/>
      <w:lvlJc w:val="left"/>
      <w:pPr>
        <w:tabs>
          <w:tab w:val="num" w:pos="4320"/>
        </w:tabs>
        <w:ind w:left="4320" w:hanging="360"/>
      </w:pPr>
      <w:rPr>
        <w:rFonts w:ascii="Arial" w:hAnsi="Arial" w:hint="default"/>
      </w:rPr>
    </w:lvl>
    <w:lvl w:ilvl="6" w:tplc="D11A770A" w:tentative="1">
      <w:start w:val="1"/>
      <w:numFmt w:val="bullet"/>
      <w:lvlText w:val="•"/>
      <w:lvlJc w:val="left"/>
      <w:pPr>
        <w:tabs>
          <w:tab w:val="num" w:pos="5040"/>
        </w:tabs>
        <w:ind w:left="5040" w:hanging="360"/>
      </w:pPr>
      <w:rPr>
        <w:rFonts w:ascii="Arial" w:hAnsi="Arial" w:hint="default"/>
      </w:rPr>
    </w:lvl>
    <w:lvl w:ilvl="7" w:tplc="42342388" w:tentative="1">
      <w:start w:val="1"/>
      <w:numFmt w:val="bullet"/>
      <w:lvlText w:val="•"/>
      <w:lvlJc w:val="left"/>
      <w:pPr>
        <w:tabs>
          <w:tab w:val="num" w:pos="5760"/>
        </w:tabs>
        <w:ind w:left="5760" w:hanging="360"/>
      </w:pPr>
      <w:rPr>
        <w:rFonts w:ascii="Arial" w:hAnsi="Arial" w:hint="default"/>
      </w:rPr>
    </w:lvl>
    <w:lvl w:ilvl="8" w:tplc="59C40A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2D3674"/>
    <w:multiLevelType w:val="hybridMultilevel"/>
    <w:tmpl w:val="53F0B73C"/>
    <w:lvl w:ilvl="0" w:tplc="A6F45DEA">
      <w:start w:val="1"/>
      <w:numFmt w:val="decimal"/>
      <w:lvlText w:val="%1-"/>
      <w:lvlJc w:val="left"/>
      <w:pPr>
        <w:ind w:left="720" w:hanging="360"/>
      </w:pPr>
      <w:rPr>
        <w:rFonts w:eastAsia="Times New Roman" w:cstheme="minorHAnsi" w:hint="default"/>
        <w:b/>
        <w:color w:val="4454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2856C1"/>
    <w:multiLevelType w:val="hybridMultilevel"/>
    <w:tmpl w:val="EC868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F90F83"/>
    <w:multiLevelType w:val="hybridMultilevel"/>
    <w:tmpl w:val="7C741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F543FE"/>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BC174D"/>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F2E18C0"/>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2C0882"/>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3BB22C9"/>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9071AE"/>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4E01D6"/>
    <w:multiLevelType w:val="hybridMultilevel"/>
    <w:tmpl w:val="AFE6B604"/>
    <w:lvl w:ilvl="0" w:tplc="81BECB38">
      <w:start w:val="1"/>
      <w:numFmt w:val="decimal"/>
      <w:lvlText w:val="%1)"/>
      <w:lvlJc w:val="left"/>
      <w:pPr>
        <w:ind w:left="720" w:hanging="360"/>
      </w:pPr>
      <w:rPr>
        <w:rFonts w:eastAsia="Times New Roman" w:cstheme="minorHAnsi" w:hint="default"/>
        <w:b/>
        <w:color w:val="4454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EC6F2C"/>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6A5A39"/>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FE35A1"/>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0211787">
    <w:abstractNumId w:val="2"/>
  </w:num>
  <w:num w:numId="2" w16cid:durableId="185799368">
    <w:abstractNumId w:val="16"/>
  </w:num>
  <w:num w:numId="3" w16cid:durableId="489911722">
    <w:abstractNumId w:val="5"/>
  </w:num>
  <w:num w:numId="4" w16cid:durableId="1153184235">
    <w:abstractNumId w:val="10"/>
  </w:num>
  <w:num w:numId="5" w16cid:durableId="994837605">
    <w:abstractNumId w:val="14"/>
  </w:num>
  <w:num w:numId="6" w16cid:durableId="353849117">
    <w:abstractNumId w:val="15"/>
  </w:num>
  <w:num w:numId="7" w16cid:durableId="529925224">
    <w:abstractNumId w:val="9"/>
  </w:num>
  <w:num w:numId="8" w16cid:durableId="417336529">
    <w:abstractNumId w:val="7"/>
  </w:num>
  <w:num w:numId="9" w16cid:durableId="154421285">
    <w:abstractNumId w:val="6"/>
  </w:num>
  <w:num w:numId="10" w16cid:durableId="485899234">
    <w:abstractNumId w:val="13"/>
  </w:num>
  <w:num w:numId="11" w16cid:durableId="21127577">
    <w:abstractNumId w:val="11"/>
  </w:num>
  <w:num w:numId="12" w16cid:durableId="1373730308">
    <w:abstractNumId w:val="1"/>
  </w:num>
  <w:num w:numId="13" w16cid:durableId="904145313">
    <w:abstractNumId w:val="8"/>
  </w:num>
  <w:num w:numId="14" w16cid:durableId="2116442674">
    <w:abstractNumId w:val="4"/>
  </w:num>
  <w:num w:numId="15" w16cid:durableId="1135491653">
    <w:abstractNumId w:val="16"/>
  </w:num>
  <w:num w:numId="16" w16cid:durableId="727530726">
    <w:abstractNumId w:val="16"/>
  </w:num>
  <w:num w:numId="17" w16cid:durableId="1390962464">
    <w:abstractNumId w:val="0"/>
  </w:num>
  <w:num w:numId="18" w16cid:durableId="1656449023">
    <w:abstractNumId w:val="3"/>
  </w:num>
  <w:num w:numId="19" w16cid:durableId="837037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48"/>
    <w:rsid w:val="000164D1"/>
    <w:rsid w:val="00043A26"/>
    <w:rsid w:val="000615BE"/>
    <w:rsid w:val="00065AB9"/>
    <w:rsid w:val="00086736"/>
    <w:rsid w:val="00096C15"/>
    <w:rsid w:val="000A0AA2"/>
    <w:rsid w:val="000A204F"/>
    <w:rsid w:val="000A31E6"/>
    <w:rsid w:val="001172C6"/>
    <w:rsid w:val="00117427"/>
    <w:rsid w:val="00122D07"/>
    <w:rsid w:val="00132D92"/>
    <w:rsid w:val="00135365"/>
    <w:rsid w:val="001F440E"/>
    <w:rsid w:val="00214FC3"/>
    <w:rsid w:val="00240D8B"/>
    <w:rsid w:val="00244813"/>
    <w:rsid w:val="00250D70"/>
    <w:rsid w:val="00271978"/>
    <w:rsid w:val="002863D9"/>
    <w:rsid w:val="00291607"/>
    <w:rsid w:val="002A1E4B"/>
    <w:rsid w:val="002B19F1"/>
    <w:rsid w:val="002B466B"/>
    <w:rsid w:val="002C43CB"/>
    <w:rsid w:val="002E0246"/>
    <w:rsid w:val="002E1307"/>
    <w:rsid w:val="002F2760"/>
    <w:rsid w:val="003007E4"/>
    <w:rsid w:val="00307CB0"/>
    <w:rsid w:val="00307D79"/>
    <w:rsid w:val="003135F7"/>
    <w:rsid w:val="0031383E"/>
    <w:rsid w:val="00342C7E"/>
    <w:rsid w:val="00357D27"/>
    <w:rsid w:val="003B12D7"/>
    <w:rsid w:val="003B6810"/>
    <w:rsid w:val="003E2BFC"/>
    <w:rsid w:val="003F2453"/>
    <w:rsid w:val="00401331"/>
    <w:rsid w:val="00431D53"/>
    <w:rsid w:val="004509F5"/>
    <w:rsid w:val="00461DEB"/>
    <w:rsid w:val="00484CDE"/>
    <w:rsid w:val="004A6F43"/>
    <w:rsid w:val="004B40D1"/>
    <w:rsid w:val="004C01A8"/>
    <w:rsid w:val="004C5106"/>
    <w:rsid w:val="005301C6"/>
    <w:rsid w:val="00534D08"/>
    <w:rsid w:val="0053583B"/>
    <w:rsid w:val="005407C2"/>
    <w:rsid w:val="00554329"/>
    <w:rsid w:val="00555689"/>
    <w:rsid w:val="005608C7"/>
    <w:rsid w:val="0058115A"/>
    <w:rsid w:val="005817B1"/>
    <w:rsid w:val="00583BB8"/>
    <w:rsid w:val="00590F46"/>
    <w:rsid w:val="005A40B5"/>
    <w:rsid w:val="005D23F3"/>
    <w:rsid w:val="00654750"/>
    <w:rsid w:val="00680F15"/>
    <w:rsid w:val="00703DFB"/>
    <w:rsid w:val="007122D1"/>
    <w:rsid w:val="00736AB8"/>
    <w:rsid w:val="00740A2B"/>
    <w:rsid w:val="007564A2"/>
    <w:rsid w:val="0076177C"/>
    <w:rsid w:val="00762ED2"/>
    <w:rsid w:val="00770476"/>
    <w:rsid w:val="00777E43"/>
    <w:rsid w:val="007A17F3"/>
    <w:rsid w:val="007A3846"/>
    <w:rsid w:val="007D6E2F"/>
    <w:rsid w:val="00802829"/>
    <w:rsid w:val="00821367"/>
    <w:rsid w:val="00840A82"/>
    <w:rsid w:val="008558CA"/>
    <w:rsid w:val="0086230C"/>
    <w:rsid w:val="0087565A"/>
    <w:rsid w:val="00876E3D"/>
    <w:rsid w:val="008A2B91"/>
    <w:rsid w:val="008A613C"/>
    <w:rsid w:val="008B5451"/>
    <w:rsid w:val="008B54DA"/>
    <w:rsid w:val="00917C84"/>
    <w:rsid w:val="00927B12"/>
    <w:rsid w:val="009637B8"/>
    <w:rsid w:val="00973FD9"/>
    <w:rsid w:val="00975F4D"/>
    <w:rsid w:val="00983017"/>
    <w:rsid w:val="00993542"/>
    <w:rsid w:val="009A666C"/>
    <w:rsid w:val="009E1AFC"/>
    <w:rsid w:val="00A3028F"/>
    <w:rsid w:val="00A5358E"/>
    <w:rsid w:val="00A86F3F"/>
    <w:rsid w:val="00AA1432"/>
    <w:rsid w:val="00AD5EA1"/>
    <w:rsid w:val="00AE6C05"/>
    <w:rsid w:val="00B13BEB"/>
    <w:rsid w:val="00B13D1B"/>
    <w:rsid w:val="00B2677C"/>
    <w:rsid w:val="00B4239D"/>
    <w:rsid w:val="00B617BB"/>
    <w:rsid w:val="00B92B31"/>
    <w:rsid w:val="00B93932"/>
    <w:rsid w:val="00BA3CFE"/>
    <w:rsid w:val="00BB0E18"/>
    <w:rsid w:val="00BB1C19"/>
    <w:rsid w:val="00BB77A8"/>
    <w:rsid w:val="00C650E9"/>
    <w:rsid w:val="00C74270"/>
    <w:rsid w:val="00C81048"/>
    <w:rsid w:val="00C93480"/>
    <w:rsid w:val="00CA1204"/>
    <w:rsid w:val="00CA3595"/>
    <w:rsid w:val="00CD4AB9"/>
    <w:rsid w:val="00CE589F"/>
    <w:rsid w:val="00CF214F"/>
    <w:rsid w:val="00D420FB"/>
    <w:rsid w:val="00D526FE"/>
    <w:rsid w:val="00D6299F"/>
    <w:rsid w:val="00D87C05"/>
    <w:rsid w:val="00DB36D2"/>
    <w:rsid w:val="00E00616"/>
    <w:rsid w:val="00E22CCB"/>
    <w:rsid w:val="00E35939"/>
    <w:rsid w:val="00E56FF9"/>
    <w:rsid w:val="00E62017"/>
    <w:rsid w:val="00E737D5"/>
    <w:rsid w:val="00E7391A"/>
    <w:rsid w:val="00E857B4"/>
    <w:rsid w:val="00EA47C1"/>
    <w:rsid w:val="00EB0BFF"/>
    <w:rsid w:val="00EC17FF"/>
    <w:rsid w:val="00EC1833"/>
    <w:rsid w:val="00ED1185"/>
    <w:rsid w:val="00EF0EF6"/>
    <w:rsid w:val="00F14E53"/>
    <w:rsid w:val="00F339F0"/>
    <w:rsid w:val="00F50A9F"/>
    <w:rsid w:val="00F6333E"/>
    <w:rsid w:val="00F65C37"/>
    <w:rsid w:val="00FC3232"/>
    <w:rsid w:val="00FC661B"/>
    <w:rsid w:val="00FE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3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48"/>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C81048"/>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C81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C81048"/>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048"/>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C81048"/>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C81048"/>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C8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Anumberedlist">
    <w:name w:val="SDA numbered list"/>
    <w:basedOn w:val="Normal"/>
    <w:link w:val="SDAnumberedlistChar"/>
    <w:qFormat/>
    <w:rsid w:val="00C81048"/>
    <w:pPr>
      <w:numPr>
        <w:numId w:val="2"/>
      </w:numPr>
      <w:suppressAutoHyphens w:val="0"/>
      <w:spacing w:after="120" w:line="240" w:lineRule="auto"/>
    </w:pPr>
    <w:rPr>
      <w:color w:val="auto"/>
    </w:rPr>
  </w:style>
  <w:style w:type="character" w:customStyle="1" w:styleId="SDAnumberedlistChar">
    <w:name w:val="SDA numbered list Char"/>
    <w:basedOn w:val="DefaultParagraphFont"/>
    <w:link w:val="SDAnumberedlist"/>
    <w:rsid w:val="00C81048"/>
    <w:rPr>
      <w:lang w:val="en-GB"/>
    </w:rPr>
  </w:style>
  <w:style w:type="paragraph" w:styleId="ListParagraph">
    <w:name w:val="List Paragraph"/>
    <w:basedOn w:val="Normal"/>
    <w:uiPriority w:val="34"/>
    <w:qFormat/>
    <w:rsid w:val="007D6E2F"/>
    <w:pPr>
      <w:ind w:left="720"/>
      <w:contextualSpacing/>
    </w:pPr>
  </w:style>
  <w:style w:type="character" w:styleId="CommentReference">
    <w:name w:val="annotation reference"/>
    <w:basedOn w:val="DefaultParagraphFont"/>
    <w:uiPriority w:val="99"/>
    <w:semiHidden/>
    <w:unhideWhenUsed/>
    <w:rsid w:val="00484CDE"/>
    <w:rPr>
      <w:sz w:val="16"/>
      <w:szCs w:val="16"/>
    </w:rPr>
  </w:style>
  <w:style w:type="paragraph" w:styleId="CommentText">
    <w:name w:val="annotation text"/>
    <w:basedOn w:val="Normal"/>
    <w:link w:val="CommentTextChar"/>
    <w:uiPriority w:val="99"/>
    <w:semiHidden/>
    <w:unhideWhenUsed/>
    <w:rsid w:val="00484CDE"/>
    <w:pPr>
      <w:spacing w:line="240" w:lineRule="auto"/>
    </w:pPr>
    <w:rPr>
      <w:sz w:val="20"/>
      <w:szCs w:val="20"/>
    </w:rPr>
  </w:style>
  <w:style w:type="character" w:customStyle="1" w:styleId="CommentTextChar">
    <w:name w:val="Comment Text Char"/>
    <w:basedOn w:val="DefaultParagraphFont"/>
    <w:link w:val="CommentText"/>
    <w:uiPriority w:val="99"/>
    <w:semiHidden/>
    <w:rsid w:val="00484CDE"/>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484CDE"/>
    <w:rPr>
      <w:b/>
      <w:bCs/>
    </w:rPr>
  </w:style>
  <w:style w:type="character" w:customStyle="1" w:styleId="CommentSubjectChar">
    <w:name w:val="Comment Subject Char"/>
    <w:basedOn w:val="CommentTextChar"/>
    <w:link w:val="CommentSubject"/>
    <w:uiPriority w:val="99"/>
    <w:semiHidden/>
    <w:rsid w:val="00484CDE"/>
    <w:rPr>
      <w:b/>
      <w:bCs/>
      <w:color w:val="44546A" w:themeColor="text2"/>
      <w:sz w:val="20"/>
      <w:szCs w:val="20"/>
      <w:lang w:val="en-GB"/>
    </w:rPr>
  </w:style>
  <w:style w:type="paragraph" w:styleId="Header">
    <w:name w:val="header"/>
    <w:basedOn w:val="Normal"/>
    <w:link w:val="HeaderChar"/>
    <w:uiPriority w:val="99"/>
    <w:unhideWhenUsed/>
    <w:rsid w:val="00043A2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3A26"/>
    <w:rPr>
      <w:color w:val="44546A" w:themeColor="text2"/>
      <w:lang w:val="en-GB"/>
    </w:rPr>
  </w:style>
  <w:style w:type="paragraph" w:styleId="Footer">
    <w:name w:val="footer"/>
    <w:basedOn w:val="Normal"/>
    <w:link w:val="FooterChar"/>
    <w:uiPriority w:val="99"/>
    <w:unhideWhenUsed/>
    <w:rsid w:val="00043A2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43A26"/>
    <w:rPr>
      <w:color w:val="44546A" w:themeColor="text2"/>
      <w:lang w:val="en-GB"/>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Char Char,Char,ft,f"/>
    <w:basedOn w:val="Normal"/>
    <w:link w:val="FootnoteTextChar"/>
    <w:uiPriority w:val="99"/>
    <w:unhideWhenUsed/>
    <w:qFormat/>
    <w:rsid w:val="00FC3232"/>
    <w:pPr>
      <w:suppressAutoHyphens w:val="0"/>
      <w:spacing w:before="0" w:after="180" w:line="274" w:lineRule="auto"/>
    </w:pPr>
    <w:rPr>
      <w:color w:val="auto"/>
      <w:sz w:val="20"/>
      <w:szCs w:val="20"/>
      <w:lang w:val="en-AU"/>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Char Char Char"/>
    <w:basedOn w:val="DefaultParagraphFont"/>
    <w:link w:val="FootnoteText"/>
    <w:uiPriority w:val="99"/>
    <w:qFormat/>
    <w:rsid w:val="00FC3232"/>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FC3232"/>
    <w:rPr>
      <w:vertAlign w:val="superscript"/>
    </w:rPr>
  </w:style>
  <w:style w:type="paragraph" w:customStyle="1" w:styleId="zzFootnotre">
    <w:name w:val="zz Footnot re"/>
    <w:basedOn w:val="Normal"/>
    <w:link w:val="FootnoteReference"/>
    <w:uiPriority w:val="99"/>
    <w:rsid w:val="00FC3232"/>
    <w:pPr>
      <w:suppressAutoHyphens w:val="0"/>
      <w:spacing w:after="160" w:line="240" w:lineRule="exact"/>
      <w:ind w:left="432"/>
    </w:pPr>
    <w:rPr>
      <w:color w:val="auto"/>
      <w:vertAlign w:val="superscript"/>
      <w:lang w:val="en-AU"/>
    </w:rPr>
  </w:style>
  <w:style w:type="paragraph" w:styleId="NormalWeb">
    <w:name w:val="Normal (Web)"/>
    <w:basedOn w:val="Normal"/>
    <w:uiPriority w:val="99"/>
    <w:unhideWhenUsed/>
    <w:rsid w:val="00E7391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8321-9FD1-49FC-8B93-F1A02BEE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9624</Characters>
  <Application>Microsoft Office Word</Application>
  <DocSecurity>0</DocSecurity>
  <Lines>316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Mid-Term Review Of The Vanuatu Education Support Program II (2022)</dc:title>
  <dc:subject/>
  <dc:creator/>
  <cp:keywords>[SEC=UNOFFICIAL]</cp:keywords>
  <dc:description/>
  <cp:lastModifiedBy/>
  <cp:revision>1</cp:revision>
  <dcterms:created xsi:type="dcterms:W3CDTF">2023-03-08T05:02:00Z</dcterms:created>
  <dcterms:modified xsi:type="dcterms:W3CDTF">2023-03-08T05:02:00Z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260D391A355C0F7895D53005377AC1700003BFA9</vt:lpwstr>
  </property>
  <property fmtid="{D5CDD505-2E9C-101B-9397-08002B2CF9AE}" pid="9" name="PM_Originating_FileId">
    <vt:lpwstr>90B89FC915994454BC2B5892079DC665</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2023-03-08T05:02:36Z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DA9100F6A8133D0C1B1FCCC4155D5C1A</vt:lpwstr>
  </property>
  <property fmtid="{D5CDD505-2E9C-101B-9397-08002B2CF9AE}" pid="20" name="PM_Hash_Salt">
    <vt:lpwstr>0F75CC49EB520C783020DFD3861E9545</vt:lpwstr>
  </property>
  <property fmtid="{D5CDD505-2E9C-101B-9397-08002B2CF9AE}" pid="21" name="PM_Hash_SHA1">
    <vt:lpwstr>A1CDF38BA35E79FF5AA957A500347D3B9C5FC0AE</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E1361484-89D3-5259-96FC-8942BCC53599</vt:lpwstr>
  </property>
  <property fmtid="{D5CDD505-2E9C-101B-9397-08002B2CF9AE}" pid="28" name="PMUuidVer">
    <vt:lpwstr>2022.1</vt:lpwstr>
  </property>
</Properties>
</file>