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BC1A4" w14:textId="2CEF072C" w:rsidR="00C81048" w:rsidRPr="007451B9" w:rsidRDefault="00122D07" w:rsidP="00C81048">
      <w:pPr>
        <w:pStyle w:val="Heading1"/>
        <w:spacing w:before="0" w:after="0" w:line="240" w:lineRule="auto"/>
        <w:contextualSpacing w:val="0"/>
        <w:rPr>
          <w:color w:val="auto"/>
        </w:rPr>
      </w:pPr>
      <w:bookmarkStart w:id="0" w:name="_Toc475348267"/>
      <w:r>
        <w:rPr>
          <w:color w:val="auto"/>
        </w:rPr>
        <w:t>DFAT</w:t>
      </w:r>
      <w:r w:rsidR="00C81048">
        <w:rPr>
          <w:color w:val="auto"/>
        </w:rPr>
        <w:t xml:space="preserve"> </w:t>
      </w:r>
      <w:r w:rsidR="00C81048" w:rsidRPr="007451B9">
        <w:rPr>
          <w:color w:val="auto"/>
        </w:rPr>
        <w:t>Management Response</w:t>
      </w:r>
      <w:r w:rsidR="007A3846">
        <w:rPr>
          <w:color w:val="auto"/>
        </w:rPr>
        <w:t>:</w:t>
      </w:r>
      <w:bookmarkEnd w:id="0"/>
      <w:r w:rsidR="00C81048">
        <w:rPr>
          <w:color w:val="auto"/>
        </w:rPr>
        <w:t xml:space="preserve"> </w:t>
      </w:r>
      <w:r w:rsidR="007A3846">
        <w:rPr>
          <w:color w:val="auto"/>
        </w:rPr>
        <w:t xml:space="preserve">independent EVALUATION OF THE </w:t>
      </w:r>
      <w:r w:rsidR="00C81048">
        <w:rPr>
          <w:color w:val="auto"/>
        </w:rPr>
        <w:t xml:space="preserve">Vanuatu Skills Partnership </w:t>
      </w:r>
      <w:r w:rsidR="007A3846">
        <w:rPr>
          <w:color w:val="auto"/>
        </w:rPr>
        <w:t>(2021)</w:t>
      </w:r>
    </w:p>
    <w:p w14:paraId="1CF5EFB7" w14:textId="48417DF1" w:rsidR="001172C6" w:rsidRPr="00FE1707" w:rsidRDefault="001172C6" w:rsidP="001172C6">
      <w:pPr>
        <w:spacing w:line="240" w:lineRule="auto"/>
        <w:rPr>
          <w:b/>
          <w:bCs/>
        </w:rPr>
      </w:pPr>
      <w:r w:rsidRPr="00FE1707">
        <w:rPr>
          <w:b/>
          <w:bCs/>
        </w:rPr>
        <w:t>Purpose:</w:t>
      </w:r>
    </w:p>
    <w:p w14:paraId="5F8C814A" w14:textId="0425315C" w:rsidR="00927B12" w:rsidRDefault="00927B12" w:rsidP="001172C6">
      <w:pPr>
        <w:spacing w:line="240" w:lineRule="auto"/>
        <w:rPr>
          <w:rFonts w:cstheme="minorHAnsi"/>
        </w:rPr>
      </w:pPr>
      <w:r>
        <w:t xml:space="preserve">The Government of Australia, through </w:t>
      </w:r>
      <w:r w:rsidR="00122D07">
        <w:t>DFAT</w:t>
      </w:r>
      <w:r>
        <w:t>,</w:t>
      </w:r>
      <w:r w:rsidR="00122D07">
        <w:t xml:space="preserve"> commissioned an </w:t>
      </w:r>
      <w:r w:rsidR="00043A26">
        <w:t>i</w:t>
      </w:r>
      <w:r w:rsidR="00122D07">
        <w:t xml:space="preserve">ndependent </w:t>
      </w:r>
      <w:r w:rsidR="003135F7">
        <w:t>e</w:t>
      </w:r>
      <w:r w:rsidR="00122D07">
        <w:t>valuation of the Australian-funded</w:t>
      </w:r>
      <w:r w:rsidR="00BB1C19">
        <w:t xml:space="preserve"> Vanuatu Skills Partnership</w:t>
      </w:r>
      <w:r>
        <w:t xml:space="preserve"> Phase Four</w:t>
      </w:r>
      <w:r w:rsidR="00BB1C19">
        <w:t xml:space="preserve"> </w:t>
      </w:r>
      <w:r w:rsidR="00122D07">
        <w:t>(VSP</w:t>
      </w:r>
      <w:r w:rsidR="00826009">
        <w:t xml:space="preserve"> </w:t>
      </w:r>
      <w:r w:rsidR="00826009">
        <w:rPr>
          <w:rFonts w:cstheme="minorHAnsi"/>
        </w:rPr>
        <w:t>2017 to 2026</w:t>
      </w:r>
      <w:r w:rsidR="00122D07">
        <w:t xml:space="preserve">) in late 2020 </w:t>
      </w:r>
      <w:r w:rsidR="003135F7">
        <w:t xml:space="preserve">for the primary purpose of </w:t>
      </w:r>
      <w:r w:rsidR="00135365" w:rsidRPr="00A44C8C">
        <w:rPr>
          <w:rFonts w:cstheme="minorHAnsi"/>
          <w:b/>
          <w:bCs/>
        </w:rPr>
        <w:t>investment improvement</w:t>
      </w:r>
      <w:r w:rsidR="00135365" w:rsidRPr="00A44C8C">
        <w:rPr>
          <w:rFonts w:cstheme="minorHAnsi"/>
        </w:rPr>
        <w:t xml:space="preserve"> to maximise </w:t>
      </w:r>
      <w:r w:rsidR="00135365" w:rsidRPr="00A44C8C">
        <w:rPr>
          <w:rFonts w:cstheme="minorHAnsi"/>
          <w:b/>
          <w:bCs/>
        </w:rPr>
        <w:t>effectiveness</w:t>
      </w:r>
      <w:r w:rsidR="00135365" w:rsidRPr="00DC5E66">
        <w:rPr>
          <w:rFonts w:cstheme="minorHAnsi"/>
        </w:rPr>
        <w:t xml:space="preserve"> </w:t>
      </w:r>
      <w:r w:rsidR="00135365" w:rsidRPr="00A44C8C">
        <w:rPr>
          <w:rFonts w:cstheme="minorHAnsi"/>
        </w:rPr>
        <w:t xml:space="preserve">and </w:t>
      </w:r>
      <w:r w:rsidR="00135365" w:rsidRPr="00A44C8C">
        <w:rPr>
          <w:rFonts w:cstheme="minorHAnsi"/>
          <w:b/>
          <w:bCs/>
        </w:rPr>
        <w:t>sustainability</w:t>
      </w:r>
      <w:r w:rsidR="003135F7">
        <w:rPr>
          <w:rFonts w:cstheme="minorHAnsi"/>
        </w:rPr>
        <w:t>.</w:t>
      </w:r>
      <w:r w:rsidR="001172C6">
        <w:rPr>
          <w:rFonts w:cstheme="minorHAnsi"/>
        </w:rPr>
        <w:t xml:space="preserve"> </w:t>
      </w:r>
      <w:r w:rsidR="003135F7">
        <w:rPr>
          <w:rFonts w:cstheme="minorHAnsi"/>
        </w:rPr>
        <w:t xml:space="preserve">The secondary purposes </w:t>
      </w:r>
      <w:r w:rsidR="00A8105D">
        <w:rPr>
          <w:rFonts w:cstheme="minorHAnsi"/>
        </w:rPr>
        <w:t>are</w:t>
      </w:r>
      <w:r w:rsidR="003135F7">
        <w:rPr>
          <w:rFonts w:cstheme="minorHAnsi"/>
        </w:rPr>
        <w:t xml:space="preserve"> </w:t>
      </w:r>
      <w:r w:rsidR="003135F7" w:rsidRPr="00357D27">
        <w:rPr>
          <w:rFonts w:cstheme="minorHAnsi"/>
        </w:rPr>
        <w:t>accountability and knowledge generation</w:t>
      </w:r>
      <w:r w:rsidR="003135F7">
        <w:rPr>
          <w:rFonts w:cstheme="minorHAnsi"/>
        </w:rPr>
        <w:t xml:space="preserve">. </w:t>
      </w:r>
    </w:p>
    <w:p w14:paraId="18DB9825" w14:textId="34CE2880" w:rsidR="00135365" w:rsidRPr="00F6333E" w:rsidRDefault="00A340FC" w:rsidP="00FE1707">
      <w:pPr>
        <w:spacing w:line="240" w:lineRule="auto"/>
        <w:rPr>
          <w:rFonts w:cstheme="minorHAnsi"/>
        </w:rPr>
      </w:pPr>
      <w:r>
        <w:rPr>
          <w:rFonts w:cstheme="minorHAnsi"/>
        </w:rPr>
        <w:t xml:space="preserve">The design stipulates </w:t>
      </w:r>
      <w:r w:rsidR="00826009">
        <w:rPr>
          <w:rFonts w:cstheme="minorHAnsi"/>
        </w:rPr>
        <w:t xml:space="preserve">that an </w:t>
      </w:r>
      <w:r>
        <w:rPr>
          <w:rFonts w:cstheme="minorHAnsi"/>
        </w:rPr>
        <w:t xml:space="preserve">evaluation </w:t>
      </w:r>
      <w:r w:rsidR="00826009">
        <w:rPr>
          <w:rFonts w:cstheme="minorHAnsi"/>
        </w:rPr>
        <w:t xml:space="preserve">is to be </w:t>
      </w:r>
      <w:r w:rsidR="00984E5E">
        <w:rPr>
          <w:rFonts w:cstheme="minorHAnsi"/>
        </w:rPr>
        <w:t>conducted</w:t>
      </w:r>
      <w:r w:rsidR="00826009">
        <w:rPr>
          <w:rFonts w:cstheme="minorHAnsi"/>
        </w:rPr>
        <w:t xml:space="preserve"> in</w:t>
      </w:r>
      <w:r w:rsidR="00F14E53">
        <w:rPr>
          <w:rFonts w:cstheme="minorHAnsi"/>
        </w:rPr>
        <w:t xml:space="preserve"> 2021</w:t>
      </w:r>
      <w:r w:rsidR="00826009">
        <w:rPr>
          <w:rFonts w:cstheme="minorHAnsi"/>
        </w:rPr>
        <w:t xml:space="preserve"> to inform DFAT decisions to continue, or not, with the</w:t>
      </w:r>
      <w:r w:rsidR="000164D1">
        <w:rPr>
          <w:rFonts w:cstheme="minorHAnsi"/>
        </w:rPr>
        <w:t xml:space="preserve"> </w:t>
      </w:r>
      <w:r w:rsidR="00927B12">
        <w:rPr>
          <w:rFonts w:cstheme="minorHAnsi"/>
        </w:rPr>
        <w:t>modality</w:t>
      </w:r>
      <w:r w:rsidR="00F14E53">
        <w:rPr>
          <w:rFonts w:cstheme="minorHAnsi"/>
        </w:rPr>
        <w:t>,</w:t>
      </w:r>
      <w:r w:rsidR="00826009">
        <w:rPr>
          <w:rFonts w:cstheme="minorHAnsi"/>
        </w:rPr>
        <w:t xml:space="preserve"> the</w:t>
      </w:r>
      <w:r w:rsidR="00F14E53">
        <w:rPr>
          <w:rFonts w:cstheme="minorHAnsi"/>
        </w:rPr>
        <w:t xml:space="preserve"> leadership </w:t>
      </w:r>
      <w:proofErr w:type="gramStart"/>
      <w:r w:rsidR="00F14E53">
        <w:rPr>
          <w:rFonts w:cstheme="minorHAnsi"/>
        </w:rPr>
        <w:t>team</w:t>
      </w:r>
      <w:proofErr w:type="gramEnd"/>
      <w:r w:rsidR="00F14E53">
        <w:rPr>
          <w:rFonts w:cstheme="minorHAnsi"/>
        </w:rPr>
        <w:t xml:space="preserve"> and </w:t>
      </w:r>
      <w:r w:rsidR="00826009">
        <w:rPr>
          <w:rFonts w:cstheme="minorHAnsi"/>
        </w:rPr>
        <w:t xml:space="preserve">the </w:t>
      </w:r>
      <w:r w:rsidR="00927B12">
        <w:rPr>
          <w:rFonts w:cstheme="minorHAnsi"/>
        </w:rPr>
        <w:t xml:space="preserve">support contractor </w:t>
      </w:r>
      <w:r w:rsidR="001172C6">
        <w:rPr>
          <w:rFonts w:cstheme="minorHAnsi"/>
        </w:rPr>
        <w:t>(</w:t>
      </w:r>
      <w:r w:rsidR="00927B12">
        <w:rPr>
          <w:rFonts w:cstheme="minorHAnsi"/>
        </w:rPr>
        <w:t>engaged September</w:t>
      </w:r>
      <w:r w:rsidR="003135F7">
        <w:rPr>
          <w:rFonts w:cstheme="minorHAnsi"/>
        </w:rPr>
        <w:t xml:space="preserve"> 2017 to January 2022</w:t>
      </w:r>
      <w:r w:rsidR="00357D27">
        <w:rPr>
          <w:rFonts w:cstheme="minorHAnsi"/>
        </w:rPr>
        <w:t>, approx. $20 million</w:t>
      </w:r>
      <w:r w:rsidR="00927B12">
        <w:rPr>
          <w:rFonts w:cstheme="minorHAnsi"/>
        </w:rPr>
        <w:t xml:space="preserve">, </w:t>
      </w:r>
      <w:r w:rsidR="000164D1">
        <w:rPr>
          <w:rFonts w:cstheme="minorHAnsi"/>
        </w:rPr>
        <w:t xml:space="preserve">with an </w:t>
      </w:r>
      <w:r w:rsidR="00927B12">
        <w:rPr>
          <w:rFonts w:cstheme="minorHAnsi"/>
        </w:rPr>
        <w:t>option to extend for four years</w:t>
      </w:r>
      <w:r w:rsidR="00357D27">
        <w:rPr>
          <w:rFonts w:cstheme="minorHAnsi"/>
        </w:rPr>
        <w:t xml:space="preserve">). </w:t>
      </w:r>
    </w:p>
    <w:p w14:paraId="62287805" w14:textId="5BAB87F1" w:rsidR="005407C2" w:rsidRPr="00FE1707" w:rsidRDefault="005407C2" w:rsidP="00C81048">
      <w:pPr>
        <w:rPr>
          <w:b/>
          <w:bCs/>
        </w:rPr>
      </w:pPr>
      <w:r w:rsidRPr="00FE1707">
        <w:rPr>
          <w:rFonts w:cstheme="minorHAnsi"/>
          <w:b/>
          <w:bCs/>
        </w:rPr>
        <w:t xml:space="preserve">Key findings: </w:t>
      </w:r>
    </w:p>
    <w:p w14:paraId="31FF0FEA" w14:textId="72D01BFA" w:rsidR="002863D9" w:rsidRDefault="00F14E53" w:rsidP="00C81048">
      <w:r>
        <w:t>T</w:t>
      </w:r>
      <w:r w:rsidR="00135365">
        <w:t xml:space="preserve">he evaluation </w:t>
      </w:r>
      <w:r w:rsidR="00A8105D">
        <w:t>finds that</w:t>
      </w:r>
      <w:r>
        <w:t xml:space="preserve"> </w:t>
      </w:r>
      <w:r w:rsidR="005817B1">
        <w:t>VSP</w:t>
      </w:r>
      <w:r>
        <w:t xml:space="preserve"> </w:t>
      </w:r>
      <w:r w:rsidR="00826009">
        <w:t xml:space="preserve">is </w:t>
      </w:r>
      <w:r w:rsidR="00135365">
        <w:t>strong</w:t>
      </w:r>
      <w:r>
        <w:t>ly</w:t>
      </w:r>
      <w:r w:rsidR="00135365">
        <w:t xml:space="preserve"> align</w:t>
      </w:r>
      <w:r>
        <w:t>ed</w:t>
      </w:r>
      <w:r w:rsidR="00135365">
        <w:t xml:space="preserve"> with the </w:t>
      </w:r>
      <w:r w:rsidR="00740A2B">
        <w:t xml:space="preserve">Government of </w:t>
      </w:r>
      <w:r w:rsidR="00135365">
        <w:t>A</w:t>
      </w:r>
      <w:r w:rsidR="00740A2B">
        <w:t>ustralia</w:t>
      </w:r>
      <w:r w:rsidR="00135365">
        <w:t xml:space="preserve">’s policy directions and </w:t>
      </w:r>
      <w:r>
        <w:t xml:space="preserve">the </w:t>
      </w:r>
      <w:r w:rsidR="00135365">
        <w:t>Go</w:t>
      </w:r>
      <w:r w:rsidR="00740A2B">
        <w:t xml:space="preserve">vernment of </w:t>
      </w:r>
      <w:r w:rsidR="00135365">
        <w:t>V</w:t>
      </w:r>
      <w:r w:rsidR="00740A2B">
        <w:t>anuatu</w:t>
      </w:r>
      <w:r w:rsidR="00135365">
        <w:t>’s national reform agend</w:t>
      </w:r>
      <w:r w:rsidR="00BA3CFE">
        <w:t>a</w:t>
      </w:r>
      <w:r w:rsidR="00A8105D">
        <w:t>. VHP</w:t>
      </w:r>
      <w:r>
        <w:t xml:space="preserve"> </w:t>
      </w:r>
      <w:r w:rsidR="00826009">
        <w:t xml:space="preserve">is </w:t>
      </w:r>
      <w:r w:rsidR="00135365">
        <w:t>directly contributing to Vanuatu</w:t>
      </w:r>
      <w:r>
        <w:t>’s</w:t>
      </w:r>
      <w:r w:rsidR="00135365">
        <w:t xml:space="preserve"> </w:t>
      </w:r>
      <w:r w:rsidR="001172C6">
        <w:t xml:space="preserve">National Sustainable Development Plan </w:t>
      </w:r>
      <w:r w:rsidR="00135365">
        <w:t xml:space="preserve">2030 and </w:t>
      </w:r>
      <w:r w:rsidR="00826009">
        <w:t xml:space="preserve">the </w:t>
      </w:r>
      <w:r w:rsidR="00135365">
        <w:t xml:space="preserve">National Human Resource Development Plan. </w:t>
      </w:r>
      <w:r w:rsidR="00A8105D">
        <w:t>It rates the VHP as</w:t>
      </w:r>
      <w:r w:rsidR="00740A2B" w:rsidRPr="004A6F43">
        <w:t xml:space="preserve"> highly effective</w:t>
      </w:r>
      <w:r w:rsidR="00826009">
        <w:t xml:space="preserve">, </w:t>
      </w:r>
      <w:r w:rsidR="00740A2B" w:rsidRPr="004A6F43">
        <w:t>achieving a wide range of positive results</w:t>
      </w:r>
      <w:r w:rsidR="002C43CB">
        <w:t xml:space="preserve">. </w:t>
      </w:r>
      <w:r w:rsidR="002863D9">
        <w:t>VSP</w:t>
      </w:r>
      <w:r w:rsidR="002863D9" w:rsidRPr="004A6F43">
        <w:t xml:space="preserve"> </w:t>
      </w:r>
      <w:r w:rsidR="00740A2B" w:rsidRPr="004A6F43">
        <w:t>ha</w:t>
      </w:r>
      <w:r w:rsidR="00A8105D">
        <w:t>s</w:t>
      </w:r>
      <w:r w:rsidR="00740A2B" w:rsidRPr="004A6F43">
        <w:t xml:space="preserve"> delivered outcomes in line with the needs and priorities of key stakeholders</w:t>
      </w:r>
      <w:r w:rsidR="002863D9">
        <w:t xml:space="preserve"> and</w:t>
      </w:r>
      <w:r w:rsidR="00740A2B" w:rsidRPr="004A6F43">
        <w:t xml:space="preserve"> </w:t>
      </w:r>
      <w:r w:rsidR="00A8105D">
        <w:t>is</w:t>
      </w:r>
      <w:r w:rsidR="00A8105D" w:rsidRPr="00C74270">
        <w:t xml:space="preserve"> </w:t>
      </w:r>
      <w:r w:rsidR="00984E5E">
        <w:t>commended</w:t>
      </w:r>
      <w:r w:rsidR="0014329F">
        <w:t xml:space="preserve"> for its </w:t>
      </w:r>
      <w:r w:rsidR="00984E5E">
        <w:t>commitment</w:t>
      </w:r>
      <w:r w:rsidR="0014329F">
        <w:t xml:space="preserve"> to adaptive learning and continuous improvement</w:t>
      </w:r>
      <w:r w:rsidR="00C74270" w:rsidRPr="00C74270">
        <w:t>.</w:t>
      </w:r>
      <w:r w:rsidR="00C74270">
        <w:t xml:space="preserve"> </w:t>
      </w:r>
    </w:p>
    <w:p w14:paraId="3EED2D8F" w14:textId="63F498E1" w:rsidR="00BB1C19" w:rsidRDefault="00740A2B" w:rsidP="00C81048">
      <w:r w:rsidRPr="004A6F43">
        <w:t xml:space="preserve">The evaluation </w:t>
      </w:r>
      <w:r w:rsidR="0014329F">
        <w:t>finds that the</w:t>
      </w:r>
      <w:r w:rsidRPr="004A6F43">
        <w:t xml:space="preserve"> </w:t>
      </w:r>
      <w:r w:rsidR="002863D9">
        <w:t>VSP end-of-program outcomes</w:t>
      </w:r>
      <w:r w:rsidR="0014329F">
        <w:t xml:space="preserve"> and delivery modality</w:t>
      </w:r>
      <w:r w:rsidR="002863D9">
        <w:t xml:space="preserve"> </w:t>
      </w:r>
      <w:r w:rsidRPr="004A6F43">
        <w:t>remain</w:t>
      </w:r>
      <w:r w:rsidR="0014329F">
        <w:t xml:space="preserve"> </w:t>
      </w:r>
      <w:r w:rsidRPr="004A6F43">
        <w:t>relevant</w:t>
      </w:r>
      <w:r w:rsidR="0014329F">
        <w:t xml:space="preserve"> noting that the emphasis on building genuine </w:t>
      </w:r>
      <w:r w:rsidR="00A8105D">
        <w:t>partnerships has</w:t>
      </w:r>
      <w:r w:rsidR="0014329F">
        <w:t xml:space="preserve"> enabled VSP to become </w:t>
      </w:r>
      <w:r w:rsidR="00396990">
        <w:t>initiative with strong local ownership</w:t>
      </w:r>
      <w:r w:rsidR="0014329F">
        <w:t xml:space="preserve">.  It </w:t>
      </w:r>
      <w:r w:rsidR="00A8105D">
        <w:t>suggests that VSP could be improved by ensuring</w:t>
      </w:r>
      <w:r w:rsidR="0014329F">
        <w:t xml:space="preserve"> that the</w:t>
      </w:r>
      <w:r w:rsidRPr="004A6F43">
        <w:t xml:space="preserve"> Program Logic and </w:t>
      </w:r>
      <w:r w:rsidR="002863D9">
        <w:t>Monitoring, Evaluation and Learning (MEL)</w:t>
      </w:r>
      <w:r w:rsidR="002863D9" w:rsidRPr="004A6F43">
        <w:t xml:space="preserve"> </w:t>
      </w:r>
      <w:r w:rsidRPr="004A6F43">
        <w:t xml:space="preserve">framework </w:t>
      </w:r>
      <w:r w:rsidR="00A8105D">
        <w:t xml:space="preserve">better </w:t>
      </w:r>
      <w:r w:rsidR="0014329F">
        <w:t xml:space="preserve">reflect the impacts of </w:t>
      </w:r>
      <w:r w:rsidRPr="004A6F43">
        <w:t>TC Harold, COVID-19</w:t>
      </w:r>
      <w:r w:rsidR="0014329F">
        <w:t xml:space="preserve"> </w:t>
      </w:r>
    </w:p>
    <w:p w14:paraId="4AE67913" w14:textId="00652347" w:rsidR="00C74270" w:rsidRPr="00FE1707" w:rsidRDefault="00C74270" w:rsidP="00C74270">
      <w:pPr>
        <w:spacing w:before="240"/>
        <w:rPr>
          <w:b/>
          <w:bCs/>
        </w:rPr>
      </w:pPr>
      <w:r w:rsidRPr="00FE1707">
        <w:rPr>
          <w:b/>
          <w:bCs/>
        </w:rPr>
        <w:t xml:space="preserve">Overall response to the evaluation: </w:t>
      </w:r>
    </w:p>
    <w:p w14:paraId="224A0DCE" w14:textId="0CDB8738" w:rsidR="00135365" w:rsidRPr="00D10E82" w:rsidRDefault="00396990" w:rsidP="00135365">
      <w:r>
        <w:t>DFAT</w:t>
      </w:r>
      <w:r w:rsidR="00A8105D">
        <w:t xml:space="preserve"> agrees with 12 of the 14 </w:t>
      </w:r>
      <w:r w:rsidR="00C74270" w:rsidRPr="00D10E82">
        <w:t>recommendations</w:t>
      </w:r>
      <w:r w:rsidR="00A8105D">
        <w:t xml:space="preserve"> and </w:t>
      </w:r>
      <w:r w:rsidR="00EA7786">
        <w:t>partly agrees with the other two</w:t>
      </w:r>
      <w:r w:rsidR="00C81048">
        <w:t xml:space="preserve">. </w:t>
      </w:r>
      <w:r w:rsidR="00043A26">
        <w:t xml:space="preserve"> </w:t>
      </w:r>
      <w:r w:rsidR="00C81048">
        <w:t>The</w:t>
      </w:r>
      <w:r w:rsidR="00C74270">
        <w:t>se</w:t>
      </w:r>
      <w:r w:rsidR="00C81048">
        <w:t xml:space="preserve"> findings will </w:t>
      </w:r>
      <w:r w:rsidR="00927B12">
        <w:t xml:space="preserve">inform and guide </w:t>
      </w:r>
      <w:r w:rsidR="002C43CB">
        <w:t>DFAT</w:t>
      </w:r>
      <w:r w:rsidR="00927B12">
        <w:t>’s</w:t>
      </w:r>
      <w:r w:rsidR="002C43CB">
        <w:t xml:space="preserve"> </w:t>
      </w:r>
      <w:r w:rsidR="002C43CB" w:rsidRPr="003413BC">
        <w:t xml:space="preserve">future support to </w:t>
      </w:r>
      <w:r w:rsidR="00927B12">
        <w:t>Vanuatu’s s</w:t>
      </w:r>
      <w:r w:rsidR="002C43CB">
        <w:t xml:space="preserve">kills </w:t>
      </w:r>
      <w:r w:rsidR="00927B12">
        <w:t xml:space="preserve">and employment </w:t>
      </w:r>
      <w:r w:rsidR="002C43CB">
        <w:t>sector</w:t>
      </w:r>
      <w:r w:rsidR="00927B12">
        <w:t>, and to the Vanuatu Government’s decentralisation agenda</w:t>
      </w:r>
      <w:r w:rsidR="002C43CB" w:rsidRPr="003413BC">
        <w:t>.</w:t>
      </w:r>
      <w:r w:rsidR="002C43CB">
        <w:t xml:space="preserve"> </w:t>
      </w:r>
      <w:r w:rsidR="00135365" w:rsidRPr="00D10E82">
        <w:t>More detailed responses to each recommendation are included in the table below</w:t>
      </w:r>
      <w:r w:rsidR="00C74270">
        <w:t>.</w:t>
      </w:r>
    </w:p>
    <w:p w14:paraId="01A07E6B" w14:textId="0F4C52D8" w:rsidR="00ED1185" w:rsidRDefault="00ED1185" w:rsidP="00ED1185">
      <w:pPr>
        <w:rPr>
          <w:rFonts w:cstheme="minorHAnsi"/>
          <w:color w:val="auto"/>
        </w:rPr>
      </w:pPr>
    </w:p>
    <w:p w14:paraId="7E12D127" w14:textId="77777777" w:rsidR="00F6333E" w:rsidRPr="00793F3A" w:rsidRDefault="00F6333E" w:rsidP="00ED1185">
      <w:pPr>
        <w:rPr>
          <w:rFonts w:cstheme="minorHAnsi"/>
          <w:color w:val="auto"/>
        </w:rPr>
      </w:pPr>
    </w:p>
    <w:p w14:paraId="793AC04A" w14:textId="77777777" w:rsidR="00EA7786" w:rsidRDefault="00EA7786" w:rsidP="00984E5E">
      <w:pPr>
        <w:pStyle w:val="Heading3"/>
      </w:pPr>
    </w:p>
    <w:p w14:paraId="16100291" w14:textId="10F745BB" w:rsidR="00C81048" w:rsidRPr="00984E5E" w:rsidRDefault="00ED1185" w:rsidP="00984E5E">
      <w:pPr>
        <w:pStyle w:val="Heading2"/>
      </w:pPr>
      <w:r w:rsidRPr="00984E5E">
        <w:t xml:space="preserve">Detailed </w:t>
      </w:r>
      <w:r w:rsidR="00C81048" w:rsidRPr="00984E5E">
        <w:t xml:space="preserve">Management response to the recommendations </w:t>
      </w:r>
    </w:p>
    <w:p w14:paraId="74C2AA5A" w14:textId="6B0E3C93" w:rsidR="00C81048" w:rsidRDefault="00C81048"/>
    <w:tbl>
      <w:tblPr>
        <w:tblStyle w:val="TableGrid"/>
        <w:tblW w:w="15377" w:type="dxa"/>
        <w:tblInd w:w="-431" w:type="dxa"/>
        <w:tblLook w:val="04A0" w:firstRow="1" w:lastRow="0" w:firstColumn="1" w:lastColumn="0" w:noHBand="0" w:noVBand="1"/>
      </w:tblPr>
      <w:tblGrid>
        <w:gridCol w:w="501"/>
        <w:gridCol w:w="4854"/>
        <w:gridCol w:w="1074"/>
        <w:gridCol w:w="3920"/>
        <w:gridCol w:w="3762"/>
        <w:gridCol w:w="1266"/>
      </w:tblGrid>
      <w:tr w:rsidR="008A613C" w14:paraId="0CDD704B" w14:textId="77777777" w:rsidTr="00984E5E">
        <w:trPr>
          <w:tblHeader/>
        </w:trPr>
        <w:tc>
          <w:tcPr>
            <w:tcW w:w="501" w:type="dxa"/>
            <w:shd w:val="clear" w:color="auto" w:fill="0070C0"/>
          </w:tcPr>
          <w:p w14:paraId="243C640A" w14:textId="77777777" w:rsidR="00C81048" w:rsidRPr="00C81048" w:rsidRDefault="00C81048">
            <w:pPr>
              <w:rPr>
                <w:color w:val="FFFFFF" w:themeColor="background1"/>
              </w:rPr>
            </w:pPr>
          </w:p>
        </w:tc>
        <w:tc>
          <w:tcPr>
            <w:tcW w:w="4854" w:type="dxa"/>
            <w:shd w:val="clear" w:color="auto" w:fill="0070C0"/>
          </w:tcPr>
          <w:p w14:paraId="5EB740D1" w14:textId="722E839D" w:rsidR="00C81048" w:rsidRPr="00C81048" w:rsidRDefault="00C81048">
            <w:pPr>
              <w:rPr>
                <w:color w:val="FFFFFF" w:themeColor="background1"/>
              </w:rPr>
            </w:pPr>
            <w:r w:rsidRPr="00C81048">
              <w:rPr>
                <w:color w:val="FFFFFF" w:themeColor="background1"/>
              </w:rPr>
              <w:t>Recommendation</w:t>
            </w:r>
            <w:r w:rsidR="00A3028F">
              <w:rPr>
                <w:color w:val="FFFFFF" w:themeColor="background1"/>
              </w:rPr>
              <w:t xml:space="preserve"> from the evaluation</w:t>
            </w:r>
          </w:p>
        </w:tc>
        <w:tc>
          <w:tcPr>
            <w:tcW w:w="1074" w:type="dxa"/>
            <w:shd w:val="clear" w:color="auto" w:fill="0070C0"/>
          </w:tcPr>
          <w:p w14:paraId="373E78BA" w14:textId="655848B8" w:rsidR="00C81048" w:rsidRPr="00C81048" w:rsidRDefault="00C81048">
            <w:pPr>
              <w:rPr>
                <w:color w:val="FFFFFF" w:themeColor="background1"/>
              </w:rPr>
            </w:pPr>
            <w:r w:rsidRPr="00C81048">
              <w:rPr>
                <w:color w:val="FFFFFF" w:themeColor="background1"/>
              </w:rPr>
              <w:t xml:space="preserve">Response </w:t>
            </w:r>
          </w:p>
        </w:tc>
        <w:tc>
          <w:tcPr>
            <w:tcW w:w="3920" w:type="dxa"/>
            <w:shd w:val="clear" w:color="auto" w:fill="0070C0"/>
          </w:tcPr>
          <w:p w14:paraId="72AA5980" w14:textId="5B15B1D8" w:rsidR="00C81048" w:rsidRPr="00C81048" w:rsidRDefault="00C81048">
            <w:pPr>
              <w:rPr>
                <w:color w:val="FFFFFF" w:themeColor="background1"/>
              </w:rPr>
            </w:pPr>
            <w:r w:rsidRPr="00C81048">
              <w:rPr>
                <w:color w:val="FFFFFF" w:themeColor="background1"/>
              </w:rPr>
              <w:t xml:space="preserve">Explanation </w:t>
            </w:r>
          </w:p>
        </w:tc>
        <w:tc>
          <w:tcPr>
            <w:tcW w:w="3762" w:type="dxa"/>
            <w:shd w:val="clear" w:color="auto" w:fill="0070C0"/>
          </w:tcPr>
          <w:p w14:paraId="0C386CDA" w14:textId="47AB9838" w:rsidR="00C81048" w:rsidRPr="00C81048" w:rsidRDefault="00C81048">
            <w:pPr>
              <w:rPr>
                <w:color w:val="FFFFFF" w:themeColor="background1"/>
              </w:rPr>
            </w:pPr>
            <w:r w:rsidRPr="00C81048">
              <w:rPr>
                <w:color w:val="FFFFFF" w:themeColor="background1"/>
              </w:rPr>
              <w:t xml:space="preserve">Action plan </w:t>
            </w:r>
          </w:p>
        </w:tc>
        <w:tc>
          <w:tcPr>
            <w:tcW w:w="1266" w:type="dxa"/>
            <w:shd w:val="clear" w:color="auto" w:fill="0070C0"/>
          </w:tcPr>
          <w:p w14:paraId="6BB4A9A8" w14:textId="62DA6B68" w:rsidR="00C81048" w:rsidRPr="00C81048" w:rsidRDefault="00C81048">
            <w:pPr>
              <w:rPr>
                <w:color w:val="FFFFFF" w:themeColor="background1"/>
              </w:rPr>
            </w:pPr>
            <w:r w:rsidRPr="00C81048">
              <w:rPr>
                <w:color w:val="FFFFFF" w:themeColor="background1"/>
              </w:rPr>
              <w:t xml:space="preserve">Timeframe </w:t>
            </w:r>
          </w:p>
        </w:tc>
      </w:tr>
      <w:tr w:rsidR="007D6E2F" w14:paraId="02878FF4" w14:textId="77777777" w:rsidTr="002B466B">
        <w:tc>
          <w:tcPr>
            <w:tcW w:w="501" w:type="dxa"/>
          </w:tcPr>
          <w:p w14:paraId="33122BED" w14:textId="496D9FCC" w:rsidR="00C81048" w:rsidRPr="00FB1739" w:rsidRDefault="00C81048" w:rsidP="00C81048">
            <w:pPr>
              <w:pStyle w:val="SDAnumberedlist"/>
              <w:numPr>
                <w:ilvl w:val="0"/>
                <w:numId w:val="0"/>
              </w:numPr>
              <w:shd w:val="clear" w:color="auto" w:fill="FFFFFF" w:themeFill="background1"/>
              <w:spacing w:before="60" w:afterLines="60" w:after="144"/>
              <w:ind w:left="173"/>
            </w:pPr>
            <w:r>
              <w:t>1</w:t>
            </w:r>
          </w:p>
        </w:tc>
        <w:tc>
          <w:tcPr>
            <w:tcW w:w="4854" w:type="dxa"/>
          </w:tcPr>
          <w:p w14:paraId="5840809F" w14:textId="4E2397D3" w:rsidR="005A40B5" w:rsidRPr="00FB1739" w:rsidRDefault="005A40B5" w:rsidP="005A40B5">
            <w:r w:rsidRPr="00FB1739">
              <w:t>VSP</w:t>
            </w:r>
            <w:r w:rsidR="00122D07">
              <w:t>,</w:t>
            </w:r>
            <w:r w:rsidRPr="00FB1739">
              <w:t xml:space="preserve"> with the support of DFAT/</w:t>
            </w:r>
            <w:r w:rsidR="00122D07">
              <w:t>Australian High Commission (</w:t>
            </w:r>
            <w:r w:rsidRPr="00FB1739">
              <w:t>AHC</w:t>
            </w:r>
            <w:r w:rsidR="00122D07">
              <w:t>)</w:t>
            </w:r>
            <w:r w:rsidRPr="00FB1739">
              <w:t xml:space="preserve"> Port Vila, should continue to evolve and align itself with interested Government Ministries and departments working at the provincial and national level to support economic recovery and deliver on human resource development for Vanuatu’s 2030 </w:t>
            </w:r>
            <w:r w:rsidR="00122D07">
              <w:t>National Sustainable Development Plan (</w:t>
            </w:r>
            <w:r w:rsidRPr="00FB1739">
              <w:t>NSDP</w:t>
            </w:r>
            <w:r w:rsidR="00122D07">
              <w:t>)</w:t>
            </w:r>
            <w:r w:rsidRPr="00FB1739">
              <w:t xml:space="preserve">. This includes VSP establishing the necessary relationships (formal and informal), particularly with </w:t>
            </w:r>
            <w:r w:rsidR="00122D07">
              <w:t>the Prime Minister’s Office (</w:t>
            </w:r>
            <w:r w:rsidRPr="00FB1739">
              <w:t>PMO</w:t>
            </w:r>
            <w:r w:rsidR="00122D07">
              <w:t xml:space="preserve">, </w:t>
            </w:r>
            <w:r w:rsidRPr="00FB1739">
              <w:t>DSPPAC)</w:t>
            </w:r>
            <w:r>
              <w:t xml:space="preserve"> </w:t>
            </w:r>
            <w:proofErr w:type="gramStart"/>
            <w:r>
              <w:t>and also</w:t>
            </w:r>
            <w:proofErr w:type="gramEnd"/>
            <w:r>
              <w:t xml:space="preserve"> </w:t>
            </w:r>
            <w:r w:rsidR="00122D07">
              <w:t xml:space="preserve">the </w:t>
            </w:r>
            <w:r>
              <w:t>D</w:t>
            </w:r>
            <w:r w:rsidR="00122D07">
              <w:t>epartment of Local Authorities (D</w:t>
            </w:r>
            <w:r>
              <w:t>LA</w:t>
            </w:r>
            <w:r w:rsidRPr="00FB1739">
              <w:t>,</w:t>
            </w:r>
            <w:r w:rsidR="00122D07">
              <w:t xml:space="preserve"> within the Ministry of </w:t>
            </w:r>
            <w:r w:rsidR="00876E3D">
              <w:t>I</w:t>
            </w:r>
            <w:r w:rsidR="00122D07">
              <w:t>nternal Affairs)</w:t>
            </w:r>
            <w:r w:rsidRPr="00FB1739">
              <w:t xml:space="preserve"> and providing ongoing whole of government coordination and strengthening of vertical and horizontal linkages. </w:t>
            </w:r>
          </w:p>
          <w:p w14:paraId="2629B435" w14:textId="77777777" w:rsidR="00C81048" w:rsidRDefault="00C81048"/>
        </w:tc>
        <w:tc>
          <w:tcPr>
            <w:tcW w:w="1074" w:type="dxa"/>
            <w:shd w:val="clear" w:color="auto" w:fill="92D050"/>
          </w:tcPr>
          <w:p w14:paraId="28F30942" w14:textId="0D7536D6" w:rsidR="00C81048" w:rsidRPr="001F2158" w:rsidRDefault="00C81048">
            <w:pPr>
              <w:rPr>
                <w:color w:val="222A35" w:themeColor="text2" w:themeShade="80"/>
              </w:rPr>
            </w:pPr>
            <w:r w:rsidRPr="001F2158">
              <w:rPr>
                <w:color w:val="222A35" w:themeColor="text2" w:themeShade="80"/>
              </w:rPr>
              <w:t xml:space="preserve">Agree </w:t>
            </w:r>
          </w:p>
        </w:tc>
        <w:tc>
          <w:tcPr>
            <w:tcW w:w="3920" w:type="dxa"/>
          </w:tcPr>
          <w:p w14:paraId="05F1B0B2" w14:textId="2B1D103A" w:rsidR="00C81048" w:rsidRPr="00C74270" w:rsidRDefault="00122D07" w:rsidP="00ED1185">
            <w:pPr>
              <w:pStyle w:val="SDAnumberedlist"/>
              <w:numPr>
                <w:ilvl w:val="0"/>
                <w:numId w:val="0"/>
              </w:numPr>
              <w:shd w:val="clear" w:color="auto" w:fill="FFFFFF" w:themeFill="background1"/>
              <w:spacing w:before="60" w:afterLines="60" w:after="144"/>
              <w:rPr>
                <w:i/>
                <w:iCs/>
                <w:color w:val="44546A" w:themeColor="text2"/>
              </w:rPr>
            </w:pPr>
            <w:r w:rsidRPr="00C74270">
              <w:rPr>
                <w:color w:val="44546A" w:themeColor="text2"/>
              </w:rPr>
              <w:t>VSP</w:t>
            </w:r>
            <w:r w:rsidR="00ED1185" w:rsidRPr="00C74270">
              <w:rPr>
                <w:color w:val="44546A" w:themeColor="text2"/>
              </w:rPr>
              <w:t xml:space="preserve"> </w:t>
            </w:r>
            <w:r w:rsidRPr="00C74270">
              <w:rPr>
                <w:color w:val="44546A" w:themeColor="text2"/>
              </w:rPr>
              <w:t xml:space="preserve">works </w:t>
            </w:r>
            <w:r w:rsidR="00484CDE" w:rsidRPr="00C74270">
              <w:rPr>
                <w:color w:val="44546A" w:themeColor="text2"/>
              </w:rPr>
              <w:t>at both the national and provincial levels and with a range of different</w:t>
            </w:r>
            <w:r w:rsidR="00ED1185" w:rsidRPr="00C74270">
              <w:rPr>
                <w:color w:val="44546A" w:themeColor="text2"/>
              </w:rPr>
              <w:t xml:space="preserve"> Ministries. </w:t>
            </w:r>
            <w:r w:rsidRPr="00C74270">
              <w:rPr>
                <w:color w:val="44546A" w:themeColor="text2"/>
              </w:rPr>
              <w:t xml:space="preserve">All </w:t>
            </w:r>
            <w:r w:rsidR="00484CDE" w:rsidRPr="00C74270">
              <w:rPr>
                <w:color w:val="44546A" w:themeColor="text2"/>
              </w:rPr>
              <w:t xml:space="preserve">VSP </w:t>
            </w:r>
            <w:r w:rsidR="00C81048" w:rsidRPr="00C74270">
              <w:rPr>
                <w:color w:val="44546A" w:themeColor="text2"/>
              </w:rPr>
              <w:t xml:space="preserve">activities align with </w:t>
            </w:r>
            <w:r w:rsidR="00C81048" w:rsidRPr="00C74270">
              <w:rPr>
                <w:i/>
                <w:iCs/>
                <w:color w:val="44546A" w:themeColor="text2"/>
              </w:rPr>
              <w:t>Vanuatu</w:t>
            </w:r>
            <w:r w:rsidRPr="00C74270">
              <w:rPr>
                <w:i/>
                <w:iCs/>
                <w:color w:val="44546A" w:themeColor="text2"/>
              </w:rPr>
              <w:t>’s</w:t>
            </w:r>
            <w:r w:rsidR="00C81048" w:rsidRPr="00C74270">
              <w:rPr>
                <w:i/>
                <w:iCs/>
                <w:color w:val="44546A" w:themeColor="text2"/>
              </w:rPr>
              <w:t xml:space="preserve"> Recovery Strategy 2020 – 2023</w:t>
            </w:r>
            <w:r w:rsidRPr="00C74270">
              <w:rPr>
                <w:i/>
                <w:iCs/>
                <w:color w:val="44546A" w:themeColor="text2"/>
              </w:rPr>
              <w:t>,</w:t>
            </w:r>
            <w:r w:rsidR="00C81048" w:rsidRPr="00C74270">
              <w:rPr>
                <w:i/>
                <w:iCs/>
                <w:color w:val="44546A" w:themeColor="text2"/>
              </w:rPr>
              <w:t xml:space="preserve"> </w:t>
            </w:r>
            <w:r w:rsidR="00086736">
              <w:rPr>
                <w:i/>
                <w:iCs/>
                <w:color w:val="44546A" w:themeColor="text2"/>
              </w:rPr>
              <w:t>NSDP</w:t>
            </w:r>
            <w:r w:rsidR="00C81048" w:rsidRPr="00C74270">
              <w:rPr>
                <w:color w:val="44546A" w:themeColor="text2"/>
              </w:rPr>
              <w:t xml:space="preserve"> and </w:t>
            </w:r>
            <w:r w:rsidRPr="00C74270">
              <w:rPr>
                <w:i/>
                <w:iCs/>
                <w:color w:val="44546A" w:themeColor="text2"/>
              </w:rPr>
              <w:t xml:space="preserve">Australia’s </w:t>
            </w:r>
            <w:r w:rsidR="00C81048" w:rsidRPr="00C74270">
              <w:rPr>
                <w:i/>
                <w:iCs/>
                <w:color w:val="44546A" w:themeColor="text2"/>
              </w:rPr>
              <w:t xml:space="preserve">Vanuatu COVID-19 Development </w:t>
            </w:r>
            <w:r w:rsidRPr="00C74270">
              <w:rPr>
                <w:i/>
                <w:iCs/>
                <w:color w:val="44546A" w:themeColor="text2"/>
              </w:rPr>
              <w:t>R</w:t>
            </w:r>
            <w:r w:rsidR="00C81048" w:rsidRPr="00C74270">
              <w:rPr>
                <w:i/>
                <w:iCs/>
                <w:color w:val="44546A" w:themeColor="text2"/>
              </w:rPr>
              <w:t xml:space="preserve">esponse </w:t>
            </w:r>
            <w:r w:rsidRPr="00C74270">
              <w:rPr>
                <w:i/>
                <w:iCs/>
                <w:color w:val="44546A" w:themeColor="text2"/>
              </w:rPr>
              <w:t>P</w:t>
            </w:r>
            <w:r w:rsidR="00C81048" w:rsidRPr="00C74270">
              <w:rPr>
                <w:i/>
                <w:iCs/>
                <w:color w:val="44546A" w:themeColor="text2"/>
              </w:rPr>
              <w:t>lan (2020).</w:t>
            </w:r>
          </w:p>
          <w:p w14:paraId="46131331" w14:textId="6CADD440" w:rsidR="00E22CCB" w:rsidRPr="00C74270" w:rsidRDefault="00876E3D" w:rsidP="00E22CCB">
            <w:pPr>
              <w:pStyle w:val="SDAnumberedlist"/>
              <w:numPr>
                <w:ilvl w:val="0"/>
                <w:numId w:val="0"/>
              </w:numPr>
              <w:shd w:val="clear" w:color="auto" w:fill="FFFFFF" w:themeFill="background1"/>
              <w:spacing w:before="60" w:afterLines="60" w:after="144"/>
              <w:rPr>
                <w:color w:val="44546A" w:themeColor="text2"/>
              </w:rPr>
            </w:pPr>
            <w:proofErr w:type="gramStart"/>
            <w:r w:rsidRPr="00C74270">
              <w:rPr>
                <w:color w:val="44546A" w:themeColor="text2"/>
              </w:rPr>
              <w:t>Subsequent to</w:t>
            </w:r>
            <w:proofErr w:type="gramEnd"/>
            <w:r w:rsidRPr="00C74270">
              <w:rPr>
                <w:color w:val="44546A" w:themeColor="text2"/>
              </w:rPr>
              <w:t xml:space="preserve"> th</w:t>
            </w:r>
            <w:r w:rsidR="00214FC3" w:rsidRPr="00C74270">
              <w:rPr>
                <w:color w:val="44546A" w:themeColor="text2"/>
              </w:rPr>
              <w:t>e</w:t>
            </w:r>
            <w:r w:rsidR="00122D07" w:rsidRPr="00C74270">
              <w:rPr>
                <w:color w:val="44546A" w:themeColor="text2"/>
              </w:rPr>
              <w:t xml:space="preserve"> </w:t>
            </w:r>
            <w:r w:rsidR="00973FD9" w:rsidRPr="00C74270">
              <w:rPr>
                <w:color w:val="44546A" w:themeColor="text2"/>
              </w:rPr>
              <w:t>i</w:t>
            </w:r>
            <w:r w:rsidR="00122D07" w:rsidRPr="00C74270">
              <w:rPr>
                <w:color w:val="44546A" w:themeColor="text2"/>
              </w:rPr>
              <w:t>ndependent</w:t>
            </w:r>
            <w:r w:rsidR="007D6E2F" w:rsidRPr="00C74270">
              <w:rPr>
                <w:color w:val="44546A" w:themeColor="text2"/>
              </w:rPr>
              <w:t xml:space="preserve"> </w:t>
            </w:r>
            <w:r w:rsidR="00086736">
              <w:rPr>
                <w:color w:val="44546A" w:themeColor="text2"/>
              </w:rPr>
              <w:t>e</w:t>
            </w:r>
            <w:r w:rsidR="00122D07" w:rsidRPr="00C74270">
              <w:rPr>
                <w:color w:val="44546A" w:themeColor="text2"/>
              </w:rPr>
              <w:t>valuation</w:t>
            </w:r>
            <w:r w:rsidRPr="00C74270">
              <w:rPr>
                <w:color w:val="44546A" w:themeColor="text2"/>
              </w:rPr>
              <w:t xml:space="preserve">, </w:t>
            </w:r>
            <w:r w:rsidR="007D6E2F" w:rsidRPr="00C74270">
              <w:rPr>
                <w:color w:val="44546A" w:themeColor="text2"/>
              </w:rPr>
              <w:t xml:space="preserve">the Director General </w:t>
            </w:r>
            <w:r w:rsidRPr="00C74270">
              <w:rPr>
                <w:color w:val="44546A" w:themeColor="text2"/>
              </w:rPr>
              <w:t>of</w:t>
            </w:r>
            <w:r w:rsidR="007D6E2F" w:rsidRPr="00C74270">
              <w:rPr>
                <w:color w:val="44546A" w:themeColor="text2"/>
              </w:rPr>
              <w:t xml:space="preserve"> PMO </w:t>
            </w:r>
            <w:r w:rsidR="00086736">
              <w:rPr>
                <w:color w:val="44546A" w:themeColor="text2"/>
              </w:rPr>
              <w:t>wrote to DFAT to</w:t>
            </w:r>
            <w:r w:rsidR="00ED1185" w:rsidRPr="00C74270">
              <w:rPr>
                <w:color w:val="44546A" w:themeColor="text2"/>
              </w:rPr>
              <w:t xml:space="preserve"> </w:t>
            </w:r>
            <w:r w:rsidR="005817B1" w:rsidRPr="00C74270">
              <w:rPr>
                <w:color w:val="44546A" w:themeColor="text2"/>
              </w:rPr>
              <w:t>request formalis</w:t>
            </w:r>
            <w:r w:rsidR="00086736">
              <w:rPr>
                <w:color w:val="44546A" w:themeColor="text2"/>
              </w:rPr>
              <w:t>ation</w:t>
            </w:r>
            <w:r w:rsidR="005817B1" w:rsidRPr="00C74270">
              <w:rPr>
                <w:color w:val="44546A" w:themeColor="text2"/>
              </w:rPr>
              <w:t xml:space="preserve"> of</w:t>
            </w:r>
            <w:r w:rsidR="007D6E2F" w:rsidRPr="00C74270">
              <w:rPr>
                <w:color w:val="44546A" w:themeColor="text2"/>
              </w:rPr>
              <w:t xml:space="preserve"> the relationship between </w:t>
            </w:r>
            <w:r w:rsidRPr="00C74270">
              <w:rPr>
                <w:color w:val="44546A" w:themeColor="text2"/>
              </w:rPr>
              <w:t>VSP</w:t>
            </w:r>
            <w:r w:rsidR="007D6E2F" w:rsidRPr="00C74270">
              <w:rPr>
                <w:color w:val="44546A" w:themeColor="text2"/>
              </w:rPr>
              <w:t xml:space="preserve"> and PMO</w:t>
            </w:r>
            <w:r w:rsidR="00086736">
              <w:rPr>
                <w:color w:val="44546A" w:themeColor="text2"/>
              </w:rPr>
              <w:t xml:space="preserve"> (March 2021)</w:t>
            </w:r>
            <w:r w:rsidR="007D6E2F" w:rsidRPr="00C74270">
              <w:rPr>
                <w:color w:val="44546A" w:themeColor="text2"/>
              </w:rPr>
              <w:t>.</w:t>
            </w:r>
          </w:p>
          <w:p w14:paraId="387CF4D8" w14:textId="77777777" w:rsidR="00C81048" w:rsidRPr="00C74270" w:rsidRDefault="00876E3D" w:rsidP="00E22CCB">
            <w:pPr>
              <w:pStyle w:val="SDAnumberedlist"/>
              <w:numPr>
                <w:ilvl w:val="0"/>
                <w:numId w:val="0"/>
              </w:numPr>
              <w:shd w:val="clear" w:color="auto" w:fill="FFFFFF" w:themeFill="background1"/>
              <w:spacing w:before="60" w:afterLines="60" w:after="144"/>
              <w:rPr>
                <w:color w:val="44546A" w:themeColor="text2"/>
              </w:rPr>
            </w:pPr>
            <w:r w:rsidRPr="00C74270">
              <w:rPr>
                <w:color w:val="44546A" w:themeColor="text2"/>
              </w:rPr>
              <w:t>VSP</w:t>
            </w:r>
            <w:r w:rsidR="00ED1185" w:rsidRPr="00C74270">
              <w:rPr>
                <w:color w:val="44546A" w:themeColor="text2"/>
              </w:rPr>
              <w:t xml:space="preserve"> </w:t>
            </w:r>
            <w:r w:rsidR="000A0AA2" w:rsidRPr="00C74270">
              <w:rPr>
                <w:color w:val="44546A" w:themeColor="text2"/>
              </w:rPr>
              <w:t xml:space="preserve">is supporting the </w:t>
            </w:r>
            <w:r w:rsidR="00ED1185" w:rsidRPr="00C74270">
              <w:rPr>
                <w:color w:val="44546A" w:themeColor="text2"/>
              </w:rPr>
              <w:t>strengthen</w:t>
            </w:r>
            <w:r w:rsidR="000A0AA2" w:rsidRPr="00C74270">
              <w:rPr>
                <w:color w:val="44546A" w:themeColor="text2"/>
              </w:rPr>
              <w:t>ing of the</w:t>
            </w:r>
            <w:r w:rsidR="00ED1185" w:rsidRPr="00C74270">
              <w:rPr>
                <w:color w:val="44546A" w:themeColor="text2"/>
              </w:rPr>
              <w:t xml:space="preserve"> national coordination for service delivery reform and human resource development.</w:t>
            </w:r>
          </w:p>
          <w:p w14:paraId="0EB6DEB4" w14:textId="6696331B" w:rsidR="00E22CCB" w:rsidRPr="00A3028F" w:rsidRDefault="00E22CCB" w:rsidP="00E22CCB">
            <w:pPr>
              <w:pStyle w:val="SDAnumberedlist"/>
              <w:numPr>
                <w:ilvl w:val="0"/>
                <w:numId w:val="0"/>
              </w:numPr>
              <w:shd w:val="clear" w:color="auto" w:fill="FFFFFF" w:themeFill="background1"/>
              <w:spacing w:before="60" w:afterLines="60" w:after="144"/>
              <w:rPr>
                <w:rFonts w:asciiTheme="majorHAnsi" w:hAnsiTheme="majorHAnsi" w:cstheme="majorHAnsi"/>
                <w:color w:val="1F4E79" w:themeColor="accent5" w:themeShade="80"/>
                <w:sz w:val="21"/>
                <w:szCs w:val="21"/>
              </w:rPr>
            </w:pPr>
            <w:r w:rsidRPr="00C74270">
              <w:rPr>
                <w:color w:val="44546A" w:themeColor="text2"/>
              </w:rPr>
              <w:t xml:space="preserve">As skills development is elevated and acknowledged within the </w:t>
            </w:r>
            <w:proofErr w:type="spellStart"/>
            <w:r w:rsidRPr="00C74270">
              <w:rPr>
                <w:color w:val="44546A" w:themeColor="text2"/>
              </w:rPr>
              <w:t>GoV</w:t>
            </w:r>
            <w:proofErr w:type="spellEnd"/>
            <w:r w:rsidRPr="00C74270">
              <w:rPr>
                <w:color w:val="44546A" w:themeColor="text2"/>
              </w:rPr>
              <w:t xml:space="preserve"> as a cross-sector driver of nation’s recovery and future prosperity, VSP needs to be positioned at this level – not </w:t>
            </w:r>
            <w:r w:rsidR="00086736">
              <w:rPr>
                <w:color w:val="44546A" w:themeColor="text2"/>
              </w:rPr>
              <w:t>only as an initiative with</w:t>
            </w:r>
            <w:r w:rsidRPr="00C74270">
              <w:rPr>
                <w:color w:val="44546A" w:themeColor="text2"/>
              </w:rPr>
              <w:t xml:space="preserve"> the </w:t>
            </w:r>
            <w:proofErr w:type="spellStart"/>
            <w:r w:rsidRPr="00C74270">
              <w:rPr>
                <w:color w:val="44546A" w:themeColor="text2"/>
              </w:rPr>
              <w:t>MoET</w:t>
            </w:r>
            <w:proofErr w:type="spellEnd"/>
            <w:r w:rsidRPr="00C74270">
              <w:rPr>
                <w:color w:val="44546A" w:themeColor="text2"/>
              </w:rPr>
              <w:t>.</w:t>
            </w:r>
          </w:p>
        </w:tc>
        <w:tc>
          <w:tcPr>
            <w:tcW w:w="3762" w:type="dxa"/>
          </w:tcPr>
          <w:p w14:paraId="780DC08A" w14:textId="1DE0E4B3" w:rsidR="00993542" w:rsidRPr="00C74270" w:rsidRDefault="00876E3D" w:rsidP="00C74270">
            <w:pPr>
              <w:pStyle w:val="SDAnumberedlist"/>
              <w:numPr>
                <w:ilvl w:val="0"/>
                <w:numId w:val="0"/>
              </w:numPr>
              <w:shd w:val="clear" w:color="auto" w:fill="FFFFFF" w:themeFill="background1"/>
              <w:spacing w:before="60" w:afterLines="60" w:after="144"/>
              <w:rPr>
                <w:color w:val="44546A" w:themeColor="text2"/>
              </w:rPr>
            </w:pPr>
            <w:r w:rsidRPr="00C74270">
              <w:rPr>
                <w:color w:val="44546A" w:themeColor="text2"/>
              </w:rPr>
              <w:t xml:space="preserve">AHC </w:t>
            </w:r>
            <w:r w:rsidR="007D6E2F" w:rsidRPr="00C74270">
              <w:rPr>
                <w:color w:val="44546A" w:themeColor="text2"/>
              </w:rPr>
              <w:t xml:space="preserve">Port Vila will </w:t>
            </w:r>
            <w:r w:rsidR="00ED1185" w:rsidRPr="00C74270">
              <w:rPr>
                <w:color w:val="44546A" w:themeColor="text2"/>
              </w:rPr>
              <w:t>facilitate the</w:t>
            </w:r>
            <w:r w:rsidR="00484CDE" w:rsidRPr="00C74270">
              <w:rPr>
                <w:color w:val="44546A" w:themeColor="text2"/>
              </w:rPr>
              <w:t xml:space="preserve"> formalisation of the relationship between VSP</w:t>
            </w:r>
            <w:r w:rsidR="00086736">
              <w:rPr>
                <w:color w:val="44546A" w:themeColor="text2"/>
              </w:rPr>
              <w:t xml:space="preserve">, </w:t>
            </w:r>
            <w:proofErr w:type="spellStart"/>
            <w:r w:rsidR="00086736">
              <w:rPr>
                <w:color w:val="44546A" w:themeColor="text2"/>
              </w:rPr>
              <w:t>MoET</w:t>
            </w:r>
            <w:proofErr w:type="spellEnd"/>
            <w:r w:rsidR="00086736">
              <w:rPr>
                <w:color w:val="44546A" w:themeColor="text2"/>
              </w:rPr>
              <w:t xml:space="preserve"> and </w:t>
            </w:r>
            <w:proofErr w:type="gramStart"/>
            <w:r w:rsidR="007D6E2F" w:rsidRPr="00C74270">
              <w:rPr>
                <w:color w:val="44546A" w:themeColor="text2"/>
              </w:rPr>
              <w:t>PM</w:t>
            </w:r>
            <w:r w:rsidR="00BB1C19" w:rsidRPr="00C74270">
              <w:rPr>
                <w:color w:val="44546A" w:themeColor="text2"/>
              </w:rPr>
              <w:t>O</w:t>
            </w:r>
            <w:r w:rsidR="00973FD9" w:rsidRPr="00C74270">
              <w:rPr>
                <w:color w:val="44546A" w:themeColor="text2"/>
              </w:rPr>
              <w:t xml:space="preserve"> </w:t>
            </w:r>
            <w:r w:rsidR="00086736">
              <w:rPr>
                <w:color w:val="44546A" w:themeColor="text2"/>
              </w:rPr>
              <w:t>,</w:t>
            </w:r>
            <w:proofErr w:type="gramEnd"/>
            <w:r w:rsidR="00086736">
              <w:rPr>
                <w:color w:val="44546A" w:themeColor="text2"/>
              </w:rPr>
              <w:t xml:space="preserve"> likely through a Subsidiary Arrangement for 2022-2026</w:t>
            </w:r>
            <w:r w:rsidR="00DB36D2" w:rsidRPr="00C74270">
              <w:rPr>
                <w:color w:val="44546A" w:themeColor="text2"/>
              </w:rPr>
              <w:t xml:space="preserve">.  </w:t>
            </w:r>
          </w:p>
          <w:p w14:paraId="67D8F322" w14:textId="719CE925" w:rsidR="00C81048" w:rsidRPr="00C74270" w:rsidRDefault="00993542" w:rsidP="00C74270">
            <w:pPr>
              <w:pStyle w:val="SDAnumberedlist"/>
              <w:numPr>
                <w:ilvl w:val="0"/>
                <w:numId w:val="0"/>
              </w:numPr>
              <w:shd w:val="clear" w:color="auto" w:fill="FFFFFF" w:themeFill="background1"/>
              <w:spacing w:before="60" w:afterLines="60" w:after="144"/>
              <w:rPr>
                <w:color w:val="44546A" w:themeColor="text2"/>
              </w:rPr>
            </w:pPr>
            <w:r w:rsidRPr="00C74270">
              <w:rPr>
                <w:color w:val="44546A" w:themeColor="text2"/>
              </w:rPr>
              <w:t>AHC Port Vila will support VSP to</w:t>
            </w:r>
            <w:r w:rsidR="00C81048" w:rsidRPr="00C74270">
              <w:rPr>
                <w:color w:val="44546A" w:themeColor="text2"/>
              </w:rPr>
              <w:t xml:space="preserve"> continue </w:t>
            </w:r>
            <w:r w:rsidR="00973FD9" w:rsidRPr="00C74270">
              <w:rPr>
                <w:color w:val="44546A" w:themeColor="text2"/>
              </w:rPr>
              <w:t xml:space="preserve">its </w:t>
            </w:r>
            <w:r w:rsidR="00086736">
              <w:rPr>
                <w:color w:val="44546A" w:themeColor="text2"/>
              </w:rPr>
              <w:t xml:space="preserve">relationship with DLA and </w:t>
            </w:r>
            <w:r w:rsidR="00973FD9" w:rsidRPr="00C74270">
              <w:rPr>
                <w:color w:val="44546A" w:themeColor="text2"/>
              </w:rPr>
              <w:t>decentralised work</w:t>
            </w:r>
            <w:r w:rsidRPr="00C74270">
              <w:rPr>
                <w:color w:val="44546A" w:themeColor="text2"/>
              </w:rPr>
              <w:t xml:space="preserve"> </w:t>
            </w:r>
            <w:r w:rsidR="00973FD9" w:rsidRPr="00C74270">
              <w:rPr>
                <w:color w:val="44546A" w:themeColor="text2"/>
              </w:rPr>
              <w:t>while</w:t>
            </w:r>
            <w:r w:rsidRPr="00C74270">
              <w:rPr>
                <w:color w:val="44546A" w:themeColor="text2"/>
              </w:rPr>
              <w:t xml:space="preserve"> align</w:t>
            </w:r>
            <w:r w:rsidR="00973FD9" w:rsidRPr="00C74270">
              <w:rPr>
                <w:color w:val="44546A" w:themeColor="text2"/>
              </w:rPr>
              <w:t>ing activities</w:t>
            </w:r>
            <w:r w:rsidRPr="00C74270">
              <w:rPr>
                <w:color w:val="44546A" w:themeColor="text2"/>
              </w:rPr>
              <w:t xml:space="preserve"> with relevant parts of </w:t>
            </w:r>
            <w:r w:rsidR="005817B1" w:rsidRPr="00C74270">
              <w:rPr>
                <w:color w:val="44546A" w:themeColor="text2"/>
              </w:rPr>
              <w:t>government and</w:t>
            </w:r>
            <w:r w:rsidRPr="00C74270">
              <w:rPr>
                <w:color w:val="44546A" w:themeColor="text2"/>
              </w:rPr>
              <w:t xml:space="preserve"> </w:t>
            </w:r>
            <w:r w:rsidR="00C81048" w:rsidRPr="00C74270">
              <w:rPr>
                <w:color w:val="44546A" w:themeColor="text2"/>
              </w:rPr>
              <w:t>adapt</w:t>
            </w:r>
            <w:r w:rsidR="00086736">
              <w:rPr>
                <w:color w:val="44546A" w:themeColor="text2"/>
              </w:rPr>
              <w:t>ing to</w:t>
            </w:r>
            <w:r w:rsidR="002E1307" w:rsidRPr="00C74270">
              <w:rPr>
                <w:color w:val="44546A" w:themeColor="text2"/>
              </w:rPr>
              <w:t xml:space="preserve"> support </w:t>
            </w:r>
            <w:r w:rsidR="00C81048" w:rsidRPr="00C74270">
              <w:rPr>
                <w:color w:val="44546A" w:themeColor="text2"/>
              </w:rPr>
              <w:t xml:space="preserve">to </w:t>
            </w:r>
            <w:r w:rsidR="00086736">
              <w:rPr>
                <w:color w:val="44546A" w:themeColor="text2"/>
              </w:rPr>
              <w:t xml:space="preserve">evolving </w:t>
            </w:r>
            <w:r w:rsidR="00C81048" w:rsidRPr="00C74270">
              <w:rPr>
                <w:color w:val="44546A" w:themeColor="text2"/>
              </w:rPr>
              <w:t>needs</w:t>
            </w:r>
            <w:r w:rsidRPr="00C74270">
              <w:rPr>
                <w:color w:val="44546A" w:themeColor="text2"/>
              </w:rPr>
              <w:t>.</w:t>
            </w:r>
            <w:r w:rsidR="00C81048" w:rsidRPr="00C74270">
              <w:rPr>
                <w:color w:val="44546A" w:themeColor="text2"/>
              </w:rPr>
              <w:t xml:space="preserve"> </w:t>
            </w:r>
          </w:p>
          <w:p w14:paraId="188A5BEF" w14:textId="7951CC35" w:rsidR="00C81048" w:rsidRPr="002E1307" w:rsidRDefault="00993542" w:rsidP="00C74270">
            <w:pPr>
              <w:pStyle w:val="SDAnumberedlist"/>
              <w:numPr>
                <w:ilvl w:val="0"/>
                <w:numId w:val="0"/>
              </w:numPr>
              <w:shd w:val="clear" w:color="auto" w:fill="FFFFFF" w:themeFill="background1"/>
              <w:spacing w:before="60" w:afterLines="60" w:after="144"/>
              <w:rPr>
                <w:rFonts w:asciiTheme="majorHAnsi" w:hAnsiTheme="majorHAnsi" w:cstheme="majorHAnsi"/>
                <w:color w:val="1F4E79" w:themeColor="accent5" w:themeShade="80"/>
                <w:sz w:val="21"/>
                <w:szCs w:val="21"/>
              </w:rPr>
            </w:pPr>
            <w:r w:rsidRPr="00C74270">
              <w:rPr>
                <w:color w:val="44546A" w:themeColor="text2"/>
              </w:rPr>
              <w:t xml:space="preserve">AHC Port Vila will encourage VSP </w:t>
            </w:r>
            <w:r w:rsidR="005817B1" w:rsidRPr="00C74270">
              <w:rPr>
                <w:color w:val="44546A" w:themeColor="text2"/>
              </w:rPr>
              <w:t>to strengthen</w:t>
            </w:r>
            <w:r w:rsidR="00C81048" w:rsidRPr="00C74270">
              <w:rPr>
                <w:color w:val="44546A" w:themeColor="text2"/>
              </w:rPr>
              <w:t xml:space="preserve"> its coordination role in the </w:t>
            </w:r>
            <w:r w:rsidR="00973FD9" w:rsidRPr="00C74270">
              <w:rPr>
                <w:color w:val="44546A" w:themeColor="text2"/>
              </w:rPr>
              <w:t>Post School Education and Training (PSET)</w:t>
            </w:r>
            <w:r w:rsidR="00C81048" w:rsidRPr="00C74270">
              <w:rPr>
                <w:color w:val="44546A" w:themeColor="text2"/>
              </w:rPr>
              <w:t xml:space="preserve"> sector against the </w:t>
            </w:r>
            <w:r w:rsidR="00973FD9" w:rsidRPr="0076177C">
              <w:rPr>
                <w:i/>
                <w:iCs/>
                <w:color w:val="44546A" w:themeColor="text2"/>
              </w:rPr>
              <w:t>National Human Resource Development Plan</w:t>
            </w:r>
            <w:r w:rsidR="00973FD9" w:rsidRPr="00C74270">
              <w:rPr>
                <w:color w:val="44546A" w:themeColor="text2"/>
              </w:rPr>
              <w:t xml:space="preserve"> (</w:t>
            </w:r>
            <w:r w:rsidR="00C81048" w:rsidRPr="00C74270">
              <w:rPr>
                <w:color w:val="44546A" w:themeColor="text2"/>
              </w:rPr>
              <w:t>NHRDP</w:t>
            </w:r>
            <w:r w:rsidR="00973FD9" w:rsidRPr="00C74270">
              <w:rPr>
                <w:color w:val="44546A" w:themeColor="text2"/>
              </w:rPr>
              <w:t>)</w:t>
            </w:r>
            <w:r w:rsidR="00C81048" w:rsidRPr="00C74270">
              <w:rPr>
                <w:color w:val="44546A" w:themeColor="text2"/>
              </w:rPr>
              <w:t xml:space="preserve"> priorities </w:t>
            </w:r>
            <w:r w:rsidR="007D6E2F" w:rsidRPr="00C74270">
              <w:rPr>
                <w:color w:val="44546A" w:themeColor="text2"/>
              </w:rPr>
              <w:t xml:space="preserve">and actively work with </w:t>
            </w:r>
            <w:r w:rsidRPr="00C74270">
              <w:rPr>
                <w:color w:val="44546A" w:themeColor="text2"/>
              </w:rPr>
              <w:t>the Vanuatu Qualifications Authority (</w:t>
            </w:r>
            <w:r w:rsidR="007D6E2F" w:rsidRPr="00C74270">
              <w:rPr>
                <w:color w:val="44546A" w:themeColor="text2"/>
              </w:rPr>
              <w:t>VQA</w:t>
            </w:r>
            <w:r w:rsidRPr="00C74270">
              <w:rPr>
                <w:color w:val="44546A" w:themeColor="text2"/>
              </w:rPr>
              <w:t>)</w:t>
            </w:r>
            <w:r w:rsidR="007D6E2F" w:rsidRPr="00C74270">
              <w:rPr>
                <w:color w:val="44546A" w:themeColor="text2"/>
              </w:rPr>
              <w:t xml:space="preserve"> on the implementation plan and the costing of the PSET sector</w:t>
            </w:r>
            <w:r w:rsidR="0076177C">
              <w:rPr>
                <w:color w:val="44546A" w:themeColor="text2"/>
              </w:rPr>
              <w:t>.</w:t>
            </w:r>
          </w:p>
        </w:tc>
        <w:tc>
          <w:tcPr>
            <w:tcW w:w="1266" w:type="dxa"/>
          </w:tcPr>
          <w:p w14:paraId="6EB65F92" w14:textId="54C6BE46" w:rsidR="00C81048" w:rsidRDefault="00DB36D2" w:rsidP="004A6F43">
            <w:r>
              <w:t xml:space="preserve">Early 2022 </w:t>
            </w:r>
          </w:p>
          <w:p w14:paraId="39CDAEA2" w14:textId="77777777" w:rsidR="007D6E2F" w:rsidRDefault="007D6E2F" w:rsidP="007D6E2F"/>
          <w:p w14:paraId="3EA817CE" w14:textId="77777777" w:rsidR="000A0AA2" w:rsidRDefault="000A0AA2" w:rsidP="007D6E2F"/>
          <w:p w14:paraId="66000DF7" w14:textId="20EB6A54" w:rsidR="00484CDE" w:rsidRDefault="00484CDE" w:rsidP="007D6E2F"/>
          <w:p w14:paraId="444B7274" w14:textId="77777777" w:rsidR="007D6E2F" w:rsidRDefault="007D6E2F" w:rsidP="004A6F43">
            <w:r>
              <w:t xml:space="preserve">Ongoing </w:t>
            </w:r>
          </w:p>
          <w:p w14:paraId="4F3456BE" w14:textId="77777777" w:rsidR="007D6E2F" w:rsidRDefault="007D6E2F" w:rsidP="007D6E2F"/>
          <w:p w14:paraId="1A622F68" w14:textId="4DC14E1D" w:rsidR="007D6E2F" w:rsidRDefault="007D6E2F" w:rsidP="007D6E2F"/>
          <w:p w14:paraId="393C91B4" w14:textId="77777777" w:rsidR="00993542" w:rsidRDefault="00993542" w:rsidP="007D6E2F"/>
          <w:p w14:paraId="3F38B18B" w14:textId="17095D11" w:rsidR="007D6E2F" w:rsidRDefault="007D6E2F" w:rsidP="004A6F43">
            <w:r>
              <w:t>Ongoing</w:t>
            </w:r>
          </w:p>
          <w:p w14:paraId="046DD781" w14:textId="77777777" w:rsidR="007D6E2F" w:rsidRDefault="007D6E2F" w:rsidP="007D6E2F"/>
          <w:p w14:paraId="300E277D" w14:textId="677E594C" w:rsidR="007D6E2F" w:rsidRDefault="007D6E2F" w:rsidP="004A6F43">
            <w:pPr>
              <w:ind w:left="360"/>
            </w:pPr>
            <w:r>
              <w:t xml:space="preserve"> </w:t>
            </w:r>
          </w:p>
          <w:p w14:paraId="0EF5B0AD" w14:textId="04F1170E" w:rsidR="007D6E2F" w:rsidRDefault="007D6E2F" w:rsidP="007D6E2F"/>
        </w:tc>
      </w:tr>
      <w:tr w:rsidR="007D6E2F" w14:paraId="3C8EFDD4" w14:textId="77777777" w:rsidTr="002B466B">
        <w:tc>
          <w:tcPr>
            <w:tcW w:w="501" w:type="dxa"/>
          </w:tcPr>
          <w:p w14:paraId="417C55E5" w14:textId="02064B10" w:rsidR="00C81048" w:rsidRDefault="00C81048">
            <w:r>
              <w:lastRenderedPageBreak/>
              <w:t>2</w:t>
            </w:r>
          </w:p>
        </w:tc>
        <w:tc>
          <w:tcPr>
            <w:tcW w:w="4854" w:type="dxa"/>
          </w:tcPr>
          <w:p w14:paraId="39198FF7" w14:textId="75349897" w:rsidR="005A40B5" w:rsidRPr="00FB1739" w:rsidRDefault="005A40B5" w:rsidP="005A40B5">
            <w:r w:rsidRPr="00FB1739">
              <w:t>In the event of future disasters, VSP should be recognised as a pivotal humanitarian response network by DFAT/</w:t>
            </w:r>
            <w:r w:rsidR="000A0AA2">
              <w:t xml:space="preserve">Government of </w:t>
            </w:r>
            <w:r w:rsidRPr="00FB1739">
              <w:t>V</w:t>
            </w:r>
            <w:r w:rsidR="000A0AA2">
              <w:t>anuatu (</w:t>
            </w:r>
            <w:proofErr w:type="spellStart"/>
            <w:r w:rsidR="000A0AA2">
              <w:t>GoV</w:t>
            </w:r>
            <w:proofErr w:type="spellEnd"/>
            <w:r w:rsidR="000A0AA2">
              <w:t>)</w:t>
            </w:r>
            <w:r w:rsidRPr="00FB1739">
              <w:t>, including its capability to provide initial surge capacity to key provincial level actors, withdrawing as government resources step up.</w:t>
            </w:r>
          </w:p>
          <w:p w14:paraId="25AA3279" w14:textId="5B2BFC56" w:rsidR="00C81048" w:rsidRDefault="00C81048" w:rsidP="005A40B5">
            <w:pPr>
              <w:pStyle w:val="SDAnumberedlist"/>
              <w:numPr>
                <w:ilvl w:val="0"/>
                <w:numId w:val="0"/>
              </w:numPr>
              <w:shd w:val="clear" w:color="auto" w:fill="FFFFFF" w:themeFill="background1"/>
              <w:spacing w:before="60" w:afterLines="60" w:after="144"/>
              <w:ind w:left="105"/>
            </w:pPr>
          </w:p>
        </w:tc>
        <w:tc>
          <w:tcPr>
            <w:tcW w:w="1074" w:type="dxa"/>
            <w:shd w:val="clear" w:color="auto" w:fill="92D050"/>
          </w:tcPr>
          <w:p w14:paraId="0D5F1398" w14:textId="3BB18C5E" w:rsidR="00C81048" w:rsidRPr="001F2158" w:rsidRDefault="007D6E2F">
            <w:pPr>
              <w:rPr>
                <w:color w:val="222A35" w:themeColor="text2" w:themeShade="80"/>
              </w:rPr>
            </w:pPr>
            <w:r w:rsidRPr="001F2158">
              <w:rPr>
                <w:color w:val="222A35" w:themeColor="text2" w:themeShade="80"/>
              </w:rPr>
              <w:t>Agree</w:t>
            </w:r>
          </w:p>
        </w:tc>
        <w:tc>
          <w:tcPr>
            <w:tcW w:w="3920" w:type="dxa"/>
          </w:tcPr>
          <w:p w14:paraId="7C4A66F7" w14:textId="249C6CF3" w:rsidR="007A3846" w:rsidRDefault="007A3846" w:rsidP="007A3846">
            <w:r>
              <w:t xml:space="preserve">VSP is currently based in five of Vanuatu’s six provinces, with differing resources in each office. VSP </w:t>
            </w:r>
            <w:r w:rsidR="005817B1">
              <w:t xml:space="preserve">can </w:t>
            </w:r>
            <w:r>
              <w:t xml:space="preserve">offer humanitarian support based on their existing capacity on the ground and surge capacity from other offices.  </w:t>
            </w:r>
          </w:p>
          <w:p w14:paraId="137F6B37" w14:textId="7021B064" w:rsidR="00C81048" w:rsidRDefault="00291607" w:rsidP="00A3028F">
            <w:r>
              <w:t xml:space="preserve">VSP has been </w:t>
            </w:r>
            <w:r w:rsidR="00C93480">
              <w:t xml:space="preserve">pro-active </w:t>
            </w:r>
            <w:r>
              <w:t>in</w:t>
            </w:r>
            <w:r w:rsidR="00C93480">
              <w:t xml:space="preserve"> assist</w:t>
            </w:r>
            <w:r>
              <w:t>ing the</w:t>
            </w:r>
            <w:r w:rsidR="00C93480">
              <w:t xml:space="preserve"> </w:t>
            </w:r>
            <w:proofErr w:type="spellStart"/>
            <w:r w:rsidR="00C93480">
              <w:t>GoV</w:t>
            </w:r>
            <w:proofErr w:type="spellEnd"/>
            <w:r w:rsidR="00C93480">
              <w:t xml:space="preserve"> and provinc</w:t>
            </w:r>
            <w:r>
              <w:t>ial authorities</w:t>
            </w:r>
            <w:r w:rsidR="00C93480">
              <w:t xml:space="preserve"> </w:t>
            </w:r>
            <w:r>
              <w:t xml:space="preserve">to </w:t>
            </w:r>
            <w:r w:rsidR="00C93480">
              <w:t>respon</w:t>
            </w:r>
            <w:r>
              <w:t xml:space="preserve">d to, and recover from, </w:t>
            </w:r>
            <w:r w:rsidR="005817B1">
              <w:t>numerous natural</w:t>
            </w:r>
            <w:r w:rsidR="00C93480">
              <w:t xml:space="preserve"> disasters</w:t>
            </w:r>
            <w:r w:rsidR="00A3028F">
              <w:t xml:space="preserve">. Following TC Harold, VSP </w:t>
            </w:r>
            <w:r w:rsidR="00E22CCB">
              <w:t>played a critical role in</w:t>
            </w:r>
            <w:r w:rsidR="00A3028F">
              <w:t xml:space="preserve"> the technical advisory group in </w:t>
            </w:r>
            <w:proofErr w:type="spellStart"/>
            <w:r w:rsidR="00A3028F">
              <w:t>Sanma</w:t>
            </w:r>
            <w:proofErr w:type="spellEnd"/>
            <w:r w:rsidR="00A3028F">
              <w:t xml:space="preserve"> and </w:t>
            </w:r>
            <w:proofErr w:type="spellStart"/>
            <w:r w:rsidR="00A3028F">
              <w:t>Malampa</w:t>
            </w:r>
            <w:proofErr w:type="spellEnd"/>
            <w:r w:rsidR="00A3028F">
              <w:t xml:space="preserve"> provinces</w:t>
            </w:r>
            <w:r w:rsidR="00E22CCB">
              <w:t xml:space="preserve"> providing support with planning and logistics</w:t>
            </w:r>
            <w:r w:rsidR="00A3028F">
              <w:t xml:space="preserve">. </w:t>
            </w:r>
            <w:r>
              <w:t xml:space="preserve">VSP </w:t>
            </w:r>
            <w:r w:rsidR="005817B1">
              <w:t>participated in Vanuatu’s humanitarian cluster groups</w:t>
            </w:r>
            <w:r w:rsidR="00A3028F">
              <w:t xml:space="preserve">, supported </w:t>
            </w:r>
            <w:r w:rsidR="00C93480">
              <w:t xml:space="preserve">assessment of </w:t>
            </w:r>
            <w:proofErr w:type="gramStart"/>
            <w:r w:rsidR="00C93480">
              <w:t>damages</w:t>
            </w:r>
            <w:proofErr w:type="gramEnd"/>
            <w:r>
              <w:t xml:space="preserve"> and establish</w:t>
            </w:r>
            <w:r w:rsidR="00A3028F">
              <w:t>ed</w:t>
            </w:r>
            <w:r>
              <w:t xml:space="preserve"> post-disaster </w:t>
            </w:r>
            <w:r w:rsidR="005817B1">
              <w:t xml:space="preserve">activities including </w:t>
            </w:r>
            <w:r>
              <w:t>inter-island</w:t>
            </w:r>
            <w:r w:rsidR="00C93480">
              <w:t xml:space="preserve"> food corridors</w:t>
            </w:r>
            <w:r>
              <w:t>.</w:t>
            </w:r>
          </w:p>
        </w:tc>
        <w:tc>
          <w:tcPr>
            <w:tcW w:w="3762" w:type="dxa"/>
          </w:tcPr>
          <w:p w14:paraId="015812D5" w14:textId="14776659" w:rsidR="000A204F" w:rsidRDefault="000A204F" w:rsidP="00291607">
            <w:r>
              <w:t xml:space="preserve">AHC will support VSP to maintain their </w:t>
            </w:r>
            <w:r w:rsidRPr="004A6F43">
              <w:rPr>
                <w:i/>
                <w:iCs/>
              </w:rPr>
              <w:t>demonstrated</w:t>
            </w:r>
            <w:r>
              <w:t xml:space="preserve"> role in </w:t>
            </w:r>
            <w:r w:rsidRPr="00FB1739">
              <w:t>humanitarian response</w:t>
            </w:r>
            <w:r>
              <w:t xml:space="preserve"> and recovery for any future disasters. </w:t>
            </w:r>
          </w:p>
          <w:p w14:paraId="7A422383" w14:textId="5B292E9E" w:rsidR="000A204F" w:rsidRDefault="00654750" w:rsidP="00C93480">
            <w:r>
              <w:t xml:space="preserve">AHC Port Vila and </w:t>
            </w:r>
            <w:r w:rsidR="00C93480">
              <w:t xml:space="preserve">the </w:t>
            </w:r>
            <w:r>
              <w:t xml:space="preserve">VSP </w:t>
            </w:r>
            <w:r w:rsidR="00271978">
              <w:t xml:space="preserve">Director </w:t>
            </w:r>
            <w:r w:rsidR="00A3028F">
              <w:t>will liaise</w:t>
            </w:r>
            <w:r>
              <w:t xml:space="preserve"> with </w:t>
            </w:r>
            <w:r w:rsidR="000A0AA2">
              <w:t xml:space="preserve">the </w:t>
            </w:r>
            <w:r w:rsidR="00271978">
              <w:t>D</w:t>
            </w:r>
            <w:r w:rsidR="000A0AA2">
              <w:t xml:space="preserve">epartment of </w:t>
            </w:r>
            <w:r w:rsidR="00271978">
              <w:t>L</w:t>
            </w:r>
            <w:r w:rsidR="000A0AA2">
              <w:t xml:space="preserve">ocal </w:t>
            </w:r>
            <w:r w:rsidR="00271978">
              <w:t>A</w:t>
            </w:r>
            <w:r w:rsidR="000A0AA2">
              <w:t>uthorities (DLA)</w:t>
            </w:r>
            <w:r w:rsidR="00271978">
              <w:t xml:space="preserve"> </w:t>
            </w:r>
            <w:r>
              <w:t xml:space="preserve">to </w:t>
            </w:r>
            <w:r w:rsidR="008A613C">
              <w:t xml:space="preserve">ensure they understand </w:t>
            </w:r>
            <w:r>
              <w:t xml:space="preserve">VSP’s </w:t>
            </w:r>
            <w:r w:rsidR="00C93480">
              <w:t xml:space="preserve">capacity </w:t>
            </w:r>
            <w:r w:rsidR="008A613C">
              <w:t xml:space="preserve">to assist in response and recovery following </w:t>
            </w:r>
            <w:r w:rsidR="00C93480">
              <w:t>disasters</w:t>
            </w:r>
            <w:r w:rsidR="008A613C">
              <w:t xml:space="preserve">. </w:t>
            </w:r>
            <w:r w:rsidR="00C93480">
              <w:t xml:space="preserve"> </w:t>
            </w:r>
          </w:p>
          <w:p w14:paraId="133FA073" w14:textId="7B8E4113" w:rsidR="00C93480" w:rsidRDefault="00543FD4" w:rsidP="00C93480">
            <w:r>
              <w:t xml:space="preserve">AHC’s humanitarian response team is speaking with VSP to better understand the capabilities and potential to utilise its networks.  Australia’s TC Harold Recovery Program is already partnering with the VSP to utilise its network of skilled local </w:t>
            </w:r>
            <w:proofErr w:type="spellStart"/>
            <w:r>
              <w:t>personell</w:t>
            </w:r>
            <w:proofErr w:type="spellEnd"/>
            <w:r>
              <w:t xml:space="preserve">. </w:t>
            </w:r>
            <w:r w:rsidR="00EC17FF">
              <w:t xml:space="preserve"> </w:t>
            </w:r>
          </w:p>
          <w:p w14:paraId="1A40CAEA" w14:textId="4BD3B124" w:rsidR="008A613C" w:rsidRDefault="008A613C" w:rsidP="004A6F43">
            <w:pPr>
              <w:pStyle w:val="SDAnumberedlist"/>
              <w:numPr>
                <w:ilvl w:val="0"/>
                <w:numId w:val="0"/>
              </w:numPr>
              <w:shd w:val="clear" w:color="auto" w:fill="FFFFFF" w:themeFill="background1"/>
              <w:spacing w:before="60" w:afterLines="60" w:after="144"/>
              <w:ind w:left="1080" w:hanging="360"/>
            </w:pPr>
          </w:p>
        </w:tc>
        <w:tc>
          <w:tcPr>
            <w:tcW w:w="1266" w:type="dxa"/>
          </w:tcPr>
          <w:p w14:paraId="42B533BF" w14:textId="1857C88C" w:rsidR="00C81048" w:rsidRDefault="00A3028F">
            <w:r>
              <w:t>2022</w:t>
            </w:r>
            <w:r w:rsidR="00C93480">
              <w:t xml:space="preserve"> </w:t>
            </w:r>
          </w:p>
        </w:tc>
      </w:tr>
      <w:tr w:rsidR="002B466B" w14:paraId="398328F8" w14:textId="77777777" w:rsidTr="002B466B">
        <w:tc>
          <w:tcPr>
            <w:tcW w:w="501" w:type="dxa"/>
          </w:tcPr>
          <w:p w14:paraId="1B122AAB" w14:textId="4E071DC7" w:rsidR="00C81048" w:rsidRDefault="00C81048">
            <w:r>
              <w:t>3</w:t>
            </w:r>
          </w:p>
        </w:tc>
        <w:tc>
          <w:tcPr>
            <w:tcW w:w="4854" w:type="dxa"/>
          </w:tcPr>
          <w:p w14:paraId="7B014B48" w14:textId="7D7C1C96" w:rsidR="005A40B5" w:rsidRPr="00FB1739" w:rsidRDefault="005A40B5" w:rsidP="005A40B5">
            <w:r w:rsidRPr="00FB1739">
              <w:t xml:space="preserve">VSP should undertake a refresh of its Program Logic and MEL framework </w:t>
            </w:r>
            <w:proofErr w:type="gramStart"/>
            <w:r w:rsidRPr="00FB1739">
              <w:t>in light of</w:t>
            </w:r>
            <w:proofErr w:type="gramEnd"/>
            <w:r w:rsidRPr="00FB1739">
              <w:t xml:space="preserve"> the changes to the context (whole of government approach, TC Harold and COVID-19), and together with the Spheres of Change, this should be used to steer VSP’s investment decisions for the remainder of VSP Phase 4.</w:t>
            </w:r>
          </w:p>
          <w:p w14:paraId="54AC86E1" w14:textId="59F8062F" w:rsidR="00C81048" w:rsidRDefault="00C81048" w:rsidP="005A40B5"/>
        </w:tc>
        <w:tc>
          <w:tcPr>
            <w:tcW w:w="1074" w:type="dxa"/>
            <w:shd w:val="clear" w:color="auto" w:fill="92D050"/>
          </w:tcPr>
          <w:p w14:paraId="79BF4FE9" w14:textId="40CB5341" w:rsidR="00C81048" w:rsidRPr="001F2158" w:rsidRDefault="002B466B">
            <w:pPr>
              <w:rPr>
                <w:color w:val="222A35" w:themeColor="text2" w:themeShade="80"/>
              </w:rPr>
            </w:pPr>
            <w:r w:rsidRPr="001F2158">
              <w:rPr>
                <w:color w:val="222A35" w:themeColor="text2" w:themeShade="80"/>
              </w:rPr>
              <w:t xml:space="preserve">Agree </w:t>
            </w:r>
          </w:p>
        </w:tc>
        <w:tc>
          <w:tcPr>
            <w:tcW w:w="3920" w:type="dxa"/>
          </w:tcPr>
          <w:p w14:paraId="24A77ED0" w14:textId="52C9B27D" w:rsidR="00C81048" w:rsidRDefault="00E22CCB">
            <w:r>
              <w:t xml:space="preserve">While </w:t>
            </w:r>
            <w:r w:rsidRPr="00127F0F">
              <w:t xml:space="preserve">VSP’s </w:t>
            </w:r>
            <w:r>
              <w:t>engagement</w:t>
            </w:r>
            <w:r w:rsidRPr="00127F0F">
              <w:t xml:space="preserve"> is</w:t>
            </w:r>
            <w:r>
              <w:t>, largely,</w:t>
            </w:r>
            <w:r w:rsidRPr="00127F0F">
              <w:t xml:space="preserve"> consistent with the three priority areas identified in the design, </w:t>
            </w:r>
            <w:r>
              <w:t>the results achieved through this engagement do</w:t>
            </w:r>
            <w:r w:rsidRPr="00127F0F">
              <w:t xml:space="preserve"> not </w:t>
            </w:r>
            <w:r>
              <w:t>always</w:t>
            </w:r>
            <w:r w:rsidRPr="00127F0F">
              <w:t xml:space="preserve"> easily align with the </w:t>
            </w:r>
            <w:r>
              <w:t xml:space="preserve">LTOs and the </w:t>
            </w:r>
            <w:r w:rsidRPr="00127F0F">
              <w:t xml:space="preserve">IOs as they are currently drafted. </w:t>
            </w:r>
            <w:r w:rsidR="00214FC3">
              <w:t xml:space="preserve">VSP’s </w:t>
            </w:r>
            <w:r w:rsidR="00993542">
              <w:t xml:space="preserve">End of Program Outcomes (EOPOs) </w:t>
            </w:r>
            <w:r w:rsidR="002B466B">
              <w:t>were revised in 2019</w:t>
            </w:r>
            <w:r>
              <w:t xml:space="preserve"> and</w:t>
            </w:r>
            <w:r w:rsidR="00214FC3">
              <w:t xml:space="preserve"> need further</w:t>
            </w:r>
            <w:r w:rsidR="002B466B">
              <w:t xml:space="preserve"> update </w:t>
            </w:r>
            <w:r w:rsidR="00214FC3">
              <w:t xml:space="preserve">due to subsequent changes to the operating </w:t>
            </w:r>
            <w:r w:rsidR="002B466B">
              <w:t xml:space="preserve">context. It would be useful </w:t>
            </w:r>
            <w:r w:rsidR="002B466B">
              <w:lastRenderedPageBreak/>
              <w:t xml:space="preserve">to have </w:t>
            </w:r>
            <w:r w:rsidR="00271978">
              <w:t xml:space="preserve">common indicators with Government departments for joint reporting. </w:t>
            </w:r>
          </w:p>
          <w:p w14:paraId="3B69863F" w14:textId="00B3C17A" w:rsidR="00271978" w:rsidRDefault="008A613C" w:rsidP="004A6F43">
            <w:r>
              <w:t>In early 2021 VSP</w:t>
            </w:r>
            <w:r w:rsidR="00C93480">
              <w:t xml:space="preserve"> </w:t>
            </w:r>
            <w:r w:rsidR="0031383E">
              <w:t>restructured</w:t>
            </w:r>
            <w:r w:rsidR="00C93480">
              <w:t xml:space="preserve"> its MEL team</w:t>
            </w:r>
            <w:r>
              <w:t xml:space="preserve"> and dedicated </w:t>
            </w:r>
            <w:r w:rsidR="00C93480">
              <w:t xml:space="preserve">extra resources to </w:t>
            </w:r>
            <w:r w:rsidR="00A3028F">
              <w:t>its</w:t>
            </w:r>
            <w:r w:rsidR="00C93480">
              <w:t xml:space="preserve"> MEL framework.</w:t>
            </w:r>
          </w:p>
        </w:tc>
        <w:tc>
          <w:tcPr>
            <w:tcW w:w="3762" w:type="dxa"/>
          </w:tcPr>
          <w:p w14:paraId="5A4FE83E" w14:textId="76E501F7" w:rsidR="0031383E" w:rsidRDefault="00917C84">
            <w:r>
              <w:lastRenderedPageBreak/>
              <w:t xml:space="preserve">AHC Port Vila will </w:t>
            </w:r>
            <w:r w:rsidR="000A0AA2">
              <w:t>monitor,</w:t>
            </w:r>
            <w:r>
              <w:t xml:space="preserve"> </w:t>
            </w:r>
            <w:r w:rsidR="007A3846">
              <w:t>and quality assure</w:t>
            </w:r>
            <w:r w:rsidR="000A0AA2">
              <w:t>,</w:t>
            </w:r>
            <w:r w:rsidR="007A3846">
              <w:t xml:space="preserve"> </w:t>
            </w:r>
            <w:r>
              <w:t>VSP</w:t>
            </w:r>
            <w:r w:rsidR="007A3846">
              <w:t>’s r</w:t>
            </w:r>
            <w:r w:rsidR="00E857B4">
              <w:t>eview</w:t>
            </w:r>
            <w:r w:rsidR="007A3846">
              <w:t xml:space="preserve"> of </w:t>
            </w:r>
            <w:r w:rsidR="007A3846" w:rsidRPr="00FB1739">
              <w:t>its Program Logic and MEL framework</w:t>
            </w:r>
            <w:r w:rsidR="000A0AA2">
              <w:t xml:space="preserve">. The MEL refresh </w:t>
            </w:r>
            <w:r w:rsidR="0076177C">
              <w:t>will be a</w:t>
            </w:r>
            <w:r w:rsidR="00762ED2">
              <w:t xml:space="preserve"> </w:t>
            </w:r>
            <w:r w:rsidR="000A0AA2">
              <w:t>Milestone</w:t>
            </w:r>
            <w:r w:rsidR="00762ED2">
              <w:t xml:space="preserve"> </w:t>
            </w:r>
            <w:r w:rsidR="0076177C">
              <w:t>in</w:t>
            </w:r>
            <w:r w:rsidR="00762ED2">
              <w:t xml:space="preserve"> June 2022</w:t>
            </w:r>
            <w:r w:rsidR="000A0AA2">
              <w:t xml:space="preserve"> in the contract extension. </w:t>
            </w:r>
          </w:p>
        </w:tc>
        <w:tc>
          <w:tcPr>
            <w:tcW w:w="1266" w:type="dxa"/>
          </w:tcPr>
          <w:p w14:paraId="468D65B2" w14:textId="1EBF2CBA" w:rsidR="00C81048" w:rsidRDefault="00271978">
            <w:r>
              <w:t>2022</w:t>
            </w:r>
          </w:p>
        </w:tc>
      </w:tr>
      <w:tr w:rsidR="00680F15" w14:paraId="4653F615" w14:textId="77777777" w:rsidTr="00680F15">
        <w:tc>
          <w:tcPr>
            <w:tcW w:w="501" w:type="dxa"/>
          </w:tcPr>
          <w:p w14:paraId="2AC347F1" w14:textId="020E4C70" w:rsidR="00C81048" w:rsidRDefault="00C81048">
            <w:r>
              <w:t>4</w:t>
            </w:r>
          </w:p>
        </w:tc>
        <w:tc>
          <w:tcPr>
            <w:tcW w:w="4854" w:type="dxa"/>
          </w:tcPr>
          <w:p w14:paraId="6CAFBAD5" w14:textId="77777777" w:rsidR="005A40B5" w:rsidRPr="00FB1739" w:rsidRDefault="005A40B5" w:rsidP="005A40B5">
            <w:r w:rsidRPr="00FB1739">
              <w:t xml:space="preserve">VSP should adopt a more flexible approach to using the Program Logic in its assessments of and reporting on progress. The balance of VSP’s reporting should </w:t>
            </w:r>
            <w:r>
              <w:t xml:space="preserve">then </w:t>
            </w:r>
            <w:r w:rsidRPr="00FB1739">
              <w:t xml:space="preserve">shift from activity-level results to consideration of systemic change/reform in the skills system (both demand-side and supply-side) and then focus on the evidence for VSP’s contribution to that change (using the IOs where it makes sense to do so). </w:t>
            </w:r>
          </w:p>
          <w:p w14:paraId="77C77A9F" w14:textId="22FBA3AF" w:rsidR="00C81048" w:rsidRDefault="00C81048" w:rsidP="005A40B5"/>
        </w:tc>
        <w:tc>
          <w:tcPr>
            <w:tcW w:w="1074" w:type="dxa"/>
            <w:shd w:val="clear" w:color="auto" w:fill="92D050"/>
          </w:tcPr>
          <w:p w14:paraId="3AB81F5F" w14:textId="54AF9E12" w:rsidR="00C81048" w:rsidRPr="001F2158" w:rsidRDefault="002863D9">
            <w:pPr>
              <w:rPr>
                <w:color w:val="222A35" w:themeColor="text2" w:themeShade="80"/>
              </w:rPr>
            </w:pPr>
            <w:r w:rsidRPr="001F2158">
              <w:rPr>
                <w:color w:val="222A35" w:themeColor="text2" w:themeShade="80"/>
              </w:rPr>
              <w:t>A</w:t>
            </w:r>
            <w:r w:rsidR="00CE589F" w:rsidRPr="001F2158">
              <w:rPr>
                <w:color w:val="222A35" w:themeColor="text2" w:themeShade="80"/>
              </w:rPr>
              <w:t>gree</w:t>
            </w:r>
          </w:p>
        </w:tc>
        <w:tc>
          <w:tcPr>
            <w:tcW w:w="3920" w:type="dxa"/>
          </w:tcPr>
          <w:p w14:paraId="449851DC" w14:textId="2C3A1E47" w:rsidR="00C81048" w:rsidRDefault="00CE589F">
            <w:r>
              <w:t xml:space="preserve">With the refresh of the MEL structure, a more flexible approach </w:t>
            </w:r>
            <w:r w:rsidR="000A0AA2">
              <w:t>will enable joint reporting with various departments and stakeholders.</w:t>
            </w:r>
            <w:r w:rsidR="007A3846">
              <w:t xml:space="preserve"> </w:t>
            </w:r>
            <w:r>
              <w:t xml:space="preserve">But there is a need to continue reporting at the activity level to comply with DFAT and </w:t>
            </w:r>
            <w:proofErr w:type="spellStart"/>
            <w:r>
              <w:t>GoV’s</w:t>
            </w:r>
            <w:proofErr w:type="spellEnd"/>
            <w:r>
              <w:t xml:space="preserve"> requirement</w:t>
            </w:r>
            <w:r w:rsidR="008558CA">
              <w:t>s</w:t>
            </w:r>
            <w:r>
              <w:t xml:space="preserve">. </w:t>
            </w:r>
          </w:p>
        </w:tc>
        <w:tc>
          <w:tcPr>
            <w:tcW w:w="3762" w:type="dxa"/>
          </w:tcPr>
          <w:p w14:paraId="2289304D" w14:textId="12ACA6ED" w:rsidR="00C81048" w:rsidRDefault="00543FD4">
            <w:r>
              <w:t xml:space="preserve">Systemic change will be a key theme for the </w:t>
            </w:r>
            <w:r w:rsidR="007A3846">
              <w:t xml:space="preserve">AHC Port Vila will </w:t>
            </w:r>
            <w:r w:rsidR="000A0AA2">
              <w:t>r</w:t>
            </w:r>
            <w:r w:rsidR="00CE589F">
              <w:t>eview the</w:t>
            </w:r>
            <w:r>
              <w:t xml:space="preserve"> June 2022</w:t>
            </w:r>
            <w:r w:rsidR="00CE589F">
              <w:t xml:space="preserve"> MEL</w:t>
            </w:r>
            <w:r>
              <w:t xml:space="preserve"> refresh.  </w:t>
            </w:r>
            <w:r w:rsidR="00CE589F">
              <w:t xml:space="preserve"> </w:t>
            </w:r>
          </w:p>
        </w:tc>
        <w:tc>
          <w:tcPr>
            <w:tcW w:w="1266" w:type="dxa"/>
          </w:tcPr>
          <w:p w14:paraId="040EC97A" w14:textId="3BE528FA" w:rsidR="00C81048" w:rsidRDefault="00244813">
            <w:r>
              <w:t xml:space="preserve">Ongoing </w:t>
            </w:r>
          </w:p>
        </w:tc>
      </w:tr>
      <w:tr w:rsidR="00680F15" w14:paraId="04118616" w14:textId="77777777" w:rsidTr="00680F15">
        <w:tc>
          <w:tcPr>
            <w:tcW w:w="501" w:type="dxa"/>
          </w:tcPr>
          <w:p w14:paraId="771C95B5" w14:textId="799722CD" w:rsidR="00C81048" w:rsidRDefault="00C81048">
            <w:r>
              <w:t>5</w:t>
            </w:r>
          </w:p>
        </w:tc>
        <w:tc>
          <w:tcPr>
            <w:tcW w:w="4854" w:type="dxa"/>
          </w:tcPr>
          <w:p w14:paraId="1E145647" w14:textId="320547BB" w:rsidR="00C81048" w:rsidRDefault="005A40B5">
            <w:r w:rsidRPr="00FB1739">
              <w:t>VSP should continue to develop and improve monitoring tools as required and strengthen data management processes to ensure the information is being integrated into the M</w:t>
            </w:r>
            <w:r w:rsidR="000A0AA2">
              <w:t xml:space="preserve">anagement </w:t>
            </w:r>
            <w:r w:rsidR="000A0AA2" w:rsidRPr="00FB1739">
              <w:t>I</w:t>
            </w:r>
            <w:r w:rsidR="000A0AA2">
              <w:t xml:space="preserve">nformation </w:t>
            </w:r>
            <w:r w:rsidRPr="00FB1739">
              <w:t>S</w:t>
            </w:r>
            <w:r w:rsidR="000A0AA2">
              <w:t>ystem</w:t>
            </w:r>
            <w:r w:rsidR="00EA47C1">
              <w:t xml:space="preserve"> (MIS)</w:t>
            </w:r>
            <w:r w:rsidR="000A0AA2">
              <w:t>.</w:t>
            </w:r>
            <w:r>
              <w:t xml:space="preserve"> </w:t>
            </w:r>
          </w:p>
        </w:tc>
        <w:tc>
          <w:tcPr>
            <w:tcW w:w="1074" w:type="dxa"/>
            <w:shd w:val="clear" w:color="auto" w:fill="92D050"/>
          </w:tcPr>
          <w:p w14:paraId="0D3EA2AF" w14:textId="70500389" w:rsidR="00C81048" w:rsidRPr="001F2158" w:rsidRDefault="002863D9">
            <w:pPr>
              <w:rPr>
                <w:color w:val="222A35" w:themeColor="text2" w:themeShade="80"/>
              </w:rPr>
            </w:pPr>
            <w:r w:rsidRPr="001F2158">
              <w:rPr>
                <w:color w:val="222A35" w:themeColor="text2" w:themeShade="80"/>
              </w:rPr>
              <w:t>A</w:t>
            </w:r>
            <w:r w:rsidR="00244813" w:rsidRPr="001F2158">
              <w:rPr>
                <w:color w:val="222A35" w:themeColor="text2" w:themeShade="80"/>
              </w:rPr>
              <w:t>gree</w:t>
            </w:r>
          </w:p>
        </w:tc>
        <w:tc>
          <w:tcPr>
            <w:tcW w:w="3920" w:type="dxa"/>
          </w:tcPr>
          <w:p w14:paraId="36F3D297" w14:textId="3E5DB6C9" w:rsidR="00C81048" w:rsidRDefault="000A0AA2">
            <w:r>
              <w:t xml:space="preserve">The team in country is supported by a newly appointed </w:t>
            </w:r>
            <w:r w:rsidR="008558CA">
              <w:t>Short-Term</w:t>
            </w:r>
            <w:r>
              <w:t xml:space="preserve"> Adviser to assist with the </w:t>
            </w:r>
            <w:r w:rsidR="00EA47C1">
              <w:t xml:space="preserve">strategy and the development of the tools. The team has been using KOBO to increase efficiency in data collection. </w:t>
            </w:r>
          </w:p>
        </w:tc>
        <w:tc>
          <w:tcPr>
            <w:tcW w:w="3762" w:type="dxa"/>
          </w:tcPr>
          <w:p w14:paraId="6070C687" w14:textId="77777777" w:rsidR="00EA47C1" w:rsidRDefault="007A3846" w:rsidP="007A3846">
            <w:r>
              <w:t xml:space="preserve">AHC Port Vila will </w:t>
            </w:r>
            <w:r w:rsidR="00EA47C1">
              <w:t xml:space="preserve">discuss the tools with the team and will make sure the MIS is fully accessible to </w:t>
            </w:r>
            <w:proofErr w:type="spellStart"/>
            <w:r w:rsidR="00EA47C1">
              <w:t>MoET</w:t>
            </w:r>
            <w:proofErr w:type="spellEnd"/>
            <w:r w:rsidR="00EA47C1">
              <w:t xml:space="preserve">. </w:t>
            </w:r>
          </w:p>
          <w:p w14:paraId="40046448" w14:textId="683D432C" w:rsidR="007A3846" w:rsidRDefault="00EA47C1" w:rsidP="007A3846">
            <w:r>
              <w:t>The tools will have to be included in the refreshed MEL framework</w:t>
            </w:r>
            <w:r w:rsidR="008558CA">
              <w:t xml:space="preserve"> (due June 2022)</w:t>
            </w:r>
            <w:r>
              <w:t xml:space="preserve">. </w:t>
            </w:r>
          </w:p>
          <w:p w14:paraId="0434F786" w14:textId="77777777" w:rsidR="007A3846" w:rsidRDefault="007A3846"/>
          <w:p w14:paraId="058AFC79" w14:textId="77777777" w:rsidR="007A3846" w:rsidRDefault="007A3846"/>
          <w:p w14:paraId="42E2BB7A" w14:textId="0AE3B7F8" w:rsidR="00C81048" w:rsidRDefault="00C81048"/>
        </w:tc>
        <w:tc>
          <w:tcPr>
            <w:tcW w:w="1266" w:type="dxa"/>
          </w:tcPr>
          <w:p w14:paraId="0F3F223F" w14:textId="6161CEC4" w:rsidR="00C81048" w:rsidRDefault="00244813">
            <w:r>
              <w:t>Ongoing</w:t>
            </w:r>
          </w:p>
        </w:tc>
      </w:tr>
      <w:tr w:rsidR="00680F15" w14:paraId="0FE3FEFB" w14:textId="77777777" w:rsidTr="004A6F43">
        <w:tc>
          <w:tcPr>
            <w:tcW w:w="501" w:type="dxa"/>
          </w:tcPr>
          <w:p w14:paraId="3438F223" w14:textId="361F0292" w:rsidR="00C81048" w:rsidRDefault="00C81048">
            <w:r>
              <w:t>6</w:t>
            </w:r>
          </w:p>
        </w:tc>
        <w:tc>
          <w:tcPr>
            <w:tcW w:w="4854" w:type="dxa"/>
          </w:tcPr>
          <w:p w14:paraId="12F43A60" w14:textId="5D155A84" w:rsidR="005A40B5" w:rsidRPr="00FB1739" w:rsidRDefault="005A40B5" w:rsidP="005A40B5">
            <w:r w:rsidRPr="00FB1739">
              <w:t xml:space="preserve">VSP should strengthen its approach to reflection and learning, including deepening its understanding </w:t>
            </w:r>
            <w:r w:rsidRPr="00FB1739">
              <w:lastRenderedPageBreak/>
              <w:t>of what has</w:t>
            </w:r>
            <w:r w:rsidR="00EA47C1">
              <w:t xml:space="preserve"> </w:t>
            </w:r>
            <w:r w:rsidRPr="00FB1739">
              <w:t>n</w:t>
            </w:r>
            <w:r w:rsidR="00EA47C1">
              <w:t>o</w:t>
            </w:r>
            <w:r w:rsidRPr="00FB1739">
              <w:t xml:space="preserve">t worked and why, and ensure these processes occur more frequently through the year. This could also include a more formal annual review and reflection process with </w:t>
            </w:r>
            <w:proofErr w:type="spellStart"/>
            <w:r w:rsidRPr="00FB1739">
              <w:t>GoV</w:t>
            </w:r>
            <w:proofErr w:type="spellEnd"/>
            <w:r w:rsidRPr="00FB1739">
              <w:t xml:space="preserve"> partners.</w:t>
            </w:r>
          </w:p>
          <w:p w14:paraId="2F519A23" w14:textId="1EA828FB" w:rsidR="00C81048" w:rsidRDefault="00C81048" w:rsidP="005A40B5"/>
        </w:tc>
        <w:tc>
          <w:tcPr>
            <w:tcW w:w="1074" w:type="dxa"/>
            <w:shd w:val="clear" w:color="auto" w:fill="92D050"/>
          </w:tcPr>
          <w:p w14:paraId="689307A1" w14:textId="500FA2AA" w:rsidR="00244813" w:rsidRPr="001F2158" w:rsidRDefault="00244813">
            <w:pPr>
              <w:rPr>
                <w:color w:val="222A35" w:themeColor="text2" w:themeShade="80"/>
              </w:rPr>
            </w:pPr>
            <w:r w:rsidRPr="001F2158">
              <w:rPr>
                <w:color w:val="222A35" w:themeColor="text2" w:themeShade="80"/>
              </w:rPr>
              <w:lastRenderedPageBreak/>
              <w:t xml:space="preserve">Agree </w:t>
            </w:r>
          </w:p>
        </w:tc>
        <w:tc>
          <w:tcPr>
            <w:tcW w:w="3920" w:type="dxa"/>
          </w:tcPr>
          <w:p w14:paraId="2B2ED87D" w14:textId="28104685" w:rsidR="00EA47C1" w:rsidRDefault="00EA47C1" w:rsidP="00244813">
            <w:pPr>
              <w:pStyle w:val="SDAnumberedlist"/>
              <w:numPr>
                <w:ilvl w:val="0"/>
                <w:numId w:val="0"/>
              </w:numPr>
              <w:shd w:val="clear" w:color="auto" w:fill="FFFFFF" w:themeFill="background1"/>
              <w:spacing w:before="60" w:afterLines="60" w:after="144"/>
              <w:ind w:left="-8"/>
              <w:rPr>
                <w:color w:val="44546A" w:themeColor="text2"/>
              </w:rPr>
            </w:pPr>
            <w:r>
              <w:rPr>
                <w:color w:val="44546A" w:themeColor="text2"/>
              </w:rPr>
              <w:t xml:space="preserve">The Partnership </w:t>
            </w:r>
            <w:r w:rsidR="00244813" w:rsidRPr="00244813">
              <w:rPr>
                <w:color w:val="44546A" w:themeColor="text2"/>
              </w:rPr>
              <w:t xml:space="preserve">holds </w:t>
            </w:r>
            <w:r>
              <w:rPr>
                <w:color w:val="44546A" w:themeColor="text2"/>
              </w:rPr>
              <w:t xml:space="preserve">internal </w:t>
            </w:r>
            <w:r w:rsidR="00244813" w:rsidRPr="00244813">
              <w:rPr>
                <w:color w:val="44546A" w:themeColor="text2"/>
              </w:rPr>
              <w:t xml:space="preserve">twice-yearly week-long full-team reflection and </w:t>
            </w:r>
            <w:r w:rsidR="00244813" w:rsidRPr="00244813">
              <w:rPr>
                <w:color w:val="44546A" w:themeColor="text2"/>
              </w:rPr>
              <w:lastRenderedPageBreak/>
              <w:t>planning workshops</w:t>
            </w:r>
            <w:r>
              <w:rPr>
                <w:color w:val="44546A" w:themeColor="text2"/>
              </w:rPr>
              <w:t xml:space="preserve">. It used </w:t>
            </w:r>
            <w:r w:rsidR="00244813" w:rsidRPr="00244813">
              <w:rPr>
                <w:color w:val="44546A" w:themeColor="text2"/>
              </w:rPr>
              <w:t xml:space="preserve">other mechanisms for smaller group reflection, learning and adaptation. </w:t>
            </w:r>
            <w:r w:rsidR="00244813">
              <w:rPr>
                <w:color w:val="44546A" w:themeColor="text2"/>
              </w:rPr>
              <w:t>T</w:t>
            </w:r>
            <w:r w:rsidR="00244813" w:rsidRPr="00244813">
              <w:rPr>
                <w:color w:val="44546A" w:themeColor="text2"/>
              </w:rPr>
              <w:t xml:space="preserve">his is a priority </w:t>
            </w:r>
            <w:r>
              <w:rPr>
                <w:color w:val="44546A" w:themeColor="text2"/>
              </w:rPr>
              <w:t>to the team who</w:t>
            </w:r>
            <w:r w:rsidR="004C5106">
              <w:rPr>
                <w:color w:val="44546A" w:themeColor="text2"/>
              </w:rPr>
              <w:t xml:space="preserve"> </w:t>
            </w:r>
            <w:r w:rsidR="00244813">
              <w:rPr>
                <w:color w:val="44546A" w:themeColor="text2"/>
              </w:rPr>
              <w:t>should</w:t>
            </w:r>
            <w:r w:rsidR="00244813" w:rsidRPr="00244813">
              <w:rPr>
                <w:color w:val="44546A" w:themeColor="text2"/>
              </w:rPr>
              <w:t xml:space="preserve"> seek out opportunities to enhance this reflection and learning dimension.</w:t>
            </w:r>
          </w:p>
          <w:p w14:paraId="366DC7F2" w14:textId="0BBC56D0" w:rsidR="004C5106" w:rsidRPr="004A6F43" w:rsidRDefault="00EA47C1" w:rsidP="00EA47C1">
            <w:pPr>
              <w:pStyle w:val="SDAnumberedlist"/>
              <w:numPr>
                <w:ilvl w:val="0"/>
                <w:numId w:val="0"/>
              </w:numPr>
              <w:shd w:val="clear" w:color="auto" w:fill="FFFFFF" w:themeFill="background1"/>
              <w:spacing w:before="60" w:afterLines="60" w:after="144"/>
              <w:ind w:left="7"/>
              <w:rPr>
                <w:color w:val="44546A" w:themeColor="text2"/>
              </w:rPr>
            </w:pPr>
            <w:r w:rsidRPr="004A6F43">
              <w:rPr>
                <w:color w:val="44546A" w:themeColor="text2"/>
              </w:rPr>
              <w:t xml:space="preserve">The Partnership </w:t>
            </w:r>
            <w:r w:rsidR="00EC17FF" w:rsidRPr="004A6F43">
              <w:rPr>
                <w:color w:val="44546A" w:themeColor="text2"/>
              </w:rPr>
              <w:t>has bi</w:t>
            </w:r>
            <w:r w:rsidRPr="004A6F43">
              <w:rPr>
                <w:color w:val="44546A" w:themeColor="text2"/>
              </w:rPr>
              <w:t>-annual stakeholders meeting to present results and discuss ways forwards. These meetings are an opportunity to present lessons learned and propose alternatives to implementations</w:t>
            </w:r>
            <w:r w:rsidR="004C5106" w:rsidRPr="004A6F43">
              <w:rPr>
                <w:color w:val="44546A" w:themeColor="text2"/>
              </w:rPr>
              <w:t xml:space="preserve">, they could be opened to more national and provincial stakeholders and </w:t>
            </w:r>
            <w:proofErr w:type="spellStart"/>
            <w:r w:rsidR="004C5106" w:rsidRPr="004A6F43">
              <w:rPr>
                <w:color w:val="44546A" w:themeColor="text2"/>
              </w:rPr>
              <w:t>GoV</w:t>
            </w:r>
            <w:proofErr w:type="spellEnd"/>
            <w:r w:rsidR="004C5106" w:rsidRPr="004A6F43">
              <w:rPr>
                <w:color w:val="44546A" w:themeColor="text2"/>
              </w:rPr>
              <w:t xml:space="preserve"> partners. </w:t>
            </w:r>
          </w:p>
          <w:p w14:paraId="6B98A04D" w14:textId="6916FE92" w:rsidR="00680F15" w:rsidRDefault="00680F15">
            <w:r>
              <w:t xml:space="preserve"> </w:t>
            </w:r>
          </w:p>
        </w:tc>
        <w:tc>
          <w:tcPr>
            <w:tcW w:w="3762" w:type="dxa"/>
          </w:tcPr>
          <w:p w14:paraId="1078B7E0" w14:textId="11EA46B0" w:rsidR="007A3846" w:rsidRDefault="007A3846">
            <w:r>
              <w:lastRenderedPageBreak/>
              <w:t>AHC Port Vila will ensure VSP</w:t>
            </w:r>
            <w:r w:rsidR="00EA47C1">
              <w:t xml:space="preserve"> communicates its results and planning </w:t>
            </w:r>
            <w:r w:rsidR="00EA47C1">
              <w:lastRenderedPageBreak/>
              <w:t xml:space="preserve">with the national and </w:t>
            </w:r>
            <w:r w:rsidR="004C5106">
              <w:t xml:space="preserve">provincial governments. </w:t>
            </w:r>
          </w:p>
          <w:p w14:paraId="5EE7A99B" w14:textId="729F2B2E" w:rsidR="004C5106" w:rsidRDefault="004C5106">
            <w:r>
              <w:t>AHC Port Vila will discuss with VSP manag</w:t>
            </w:r>
            <w:r w:rsidR="0076177C">
              <w:t xml:space="preserve">ement </w:t>
            </w:r>
            <w:r>
              <w:t xml:space="preserve">team ways to include </w:t>
            </w:r>
            <w:proofErr w:type="spellStart"/>
            <w:r>
              <w:t>GoV</w:t>
            </w:r>
            <w:proofErr w:type="spellEnd"/>
            <w:r>
              <w:t xml:space="preserve"> partners in the reflection workshops, and </w:t>
            </w:r>
            <w:r w:rsidR="0076177C">
              <w:t>the</w:t>
            </w:r>
            <w:r>
              <w:t xml:space="preserve"> review </w:t>
            </w:r>
            <w:r w:rsidR="0076177C">
              <w:t xml:space="preserve">of these workshops </w:t>
            </w:r>
            <w:proofErr w:type="spellStart"/>
            <w:r>
              <w:t>ToRs</w:t>
            </w:r>
            <w:proofErr w:type="spellEnd"/>
            <w:r>
              <w:t xml:space="preserve">. </w:t>
            </w:r>
          </w:p>
          <w:p w14:paraId="0CD7FF6B" w14:textId="0EEE6527" w:rsidR="001F440E" w:rsidRPr="001F440E" w:rsidRDefault="001F440E">
            <w:r w:rsidRPr="004A6F43">
              <w:t xml:space="preserve">In </w:t>
            </w:r>
            <w:bookmarkStart w:id="1" w:name="_Hlk90984995"/>
            <w:r w:rsidRPr="004A6F43">
              <w:t>addition to reflection processes</w:t>
            </w:r>
            <w:r w:rsidR="0076177C">
              <w:t xml:space="preserve"> already in place</w:t>
            </w:r>
            <w:r w:rsidRPr="004A6F43">
              <w:t xml:space="preserve">, the new VSP MEL team will </w:t>
            </w:r>
            <w:r w:rsidR="00840A82">
              <w:t xml:space="preserve">plan from </w:t>
            </w:r>
            <w:r w:rsidRPr="004A6F43">
              <w:t xml:space="preserve">2022 regular ‘deep dive’ sessions </w:t>
            </w:r>
            <w:r>
              <w:t xml:space="preserve">with </w:t>
            </w:r>
            <w:proofErr w:type="spellStart"/>
            <w:r>
              <w:t>GoV</w:t>
            </w:r>
            <w:proofErr w:type="spellEnd"/>
            <w:r>
              <w:t xml:space="preserve"> partners </w:t>
            </w:r>
            <w:r w:rsidR="0076177C">
              <w:t xml:space="preserve">and DFAT </w:t>
            </w:r>
            <w:r w:rsidRPr="004A6F43">
              <w:t xml:space="preserve">on targeted </w:t>
            </w:r>
            <w:r w:rsidR="00840A82">
              <w:t>activities</w:t>
            </w:r>
            <w:r w:rsidRPr="004A6F43">
              <w:t xml:space="preserve"> </w:t>
            </w:r>
            <w:r w:rsidR="00EC17FF">
              <w:t>i</w:t>
            </w:r>
            <w:r w:rsidRPr="004A6F43">
              <w:t>mplementation</w:t>
            </w:r>
            <w:bookmarkEnd w:id="1"/>
            <w:r>
              <w:t xml:space="preserve">.  </w:t>
            </w:r>
          </w:p>
          <w:p w14:paraId="594A8AA1" w14:textId="07D63921" w:rsidR="00C81048" w:rsidRDefault="004C5106">
            <w:r>
              <w:t xml:space="preserve"> </w:t>
            </w:r>
          </w:p>
        </w:tc>
        <w:tc>
          <w:tcPr>
            <w:tcW w:w="1266" w:type="dxa"/>
          </w:tcPr>
          <w:p w14:paraId="1BB5289E" w14:textId="718E5BA2" w:rsidR="00C81048" w:rsidRDefault="00840A82">
            <w:r>
              <w:lastRenderedPageBreak/>
              <w:t>From 2022</w:t>
            </w:r>
            <w:r w:rsidR="00244813">
              <w:t xml:space="preserve"> </w:t>
            </w:r>
          </w:p>
        </w:tc>
      </w:tr>
      <w:tr w:rsidR="009637B8" w14:paraId="3799F381" w14:textId="77777777" w:rsidTr="00244813">
        <w:tc>
          <w:tcPr>
            <w:tcW w:w="501" w:type="dxa"/>
          </w:tcPr>
          <w:p w14:paraId="37071164" w14:textId="5EB25B67" w:rsidR="00C81048" w:rsidRDefault="00C81048">
            <w:r>
              <w:t>7</w:t>
            </w:r>
          </w:p>
        </w:tc>
        <w:tc>
          <w:tcPr>
            <w:tcW w:w="4854" w:type="dxa"/>
          </w:tcPr>
          <w:p w14:paraId="4239D10F" w14:textId="77777777" w:rsidR="005A40B5" w:rsidRPr="00FB1739" w:rsidRDefault="005A40B5" w:rsidP="005A40B5">
            <w:r w:rsidRPr="00FB1739">
              <w:t xml:space="preserve">A </w:t>
            </w:r>
            <w:r w:rsidRPr="005A40B5">
              <w:t>‘ways of working’ document, including a risk assessment which identifies risks and agreed mitigation strategies to the current arrangements, should be developed and agreed by all key stakeholders (VSP, Scope Global, the Strategic Adviser, and DFAT/AHC Port Vila).</w:t>
            </w:r>
          </w:p>
          <w:p w14:paraId="38B9A4E5" w14:textId="07ADF119" w:rsidR="00C81048" w:rsidRDefault="00C81048" w:rsidP="005A40B5"/>
        </w:tc>
        <w:tc>
          <w:tcPr>
            <w:tcW w:w="1074" w:type="dxa"/>
            <w:shd w:val="clear" w:color="auto" w:fill="92D050"/>
          </w:tcPr>
          <w:p w14:paraId="1CA36A9B" w14:textId="77777777" w:rsidR="00C81048" w:rsidRPr="001F2158" w:rsidRDefault="00244813">
            <w:pPr>
              <w:rPr>
                <w:color w:val="222A35" w:themeColor="text2" w:themeShade="80"/>
              </w:rPr>
            </w:pPr>
            <w:r w:rsidRPr="001F2158">
              <w:rPr>
                <w:color w:val="222A35" w:themeColor="text2" w:themeShade="80"/>
              </w:rPr>
              <w:t xml:space="preserve">Agree </w:t>
            </w:r>
          </w:p>
          <w:p w14:paraId="08519184" w14:textId="77777777" w:rsidR="00840A82" w:rsidRPr="001F2158" w:rsidRDefault="00840A82" w:rsidP="00840A82">
            <w:pPr>
              <w:rPr>
                <w:color w:val="222A35" w:themeColor="text2" w:themeShade="80"/>
              </w:rPr>
            </w:pPr>
          </w:p>
          <w:p w14:paraId="390A0133" w14:textId="77777777" w:rsidR="00840A82" w:rsidRPr="001F2158" w:rsidRDefault="00840A82" w:rsidP="00840A82">
            <w:pPr>
              <w:rPr>
                <w:color w:val="222A35" w:themeColor="text2" w:themeShade="80"/>
              </w:rPr>
            </w:pPr>
          </w:p>
          <w:p w14:paraId="66EF75C9" w14:textId="77777777" w:rsidR="00840A82" w:rsidRPr="001F2158" w:rsidRDefault="00840A82" w:rsidP="00840A82">
            <w:pPr>
              <w:rPr>
                <w:color w:val="222A35" w:themeColor="text2" w:themeShade="80"/>
              </w:rPr>
            </w:pPr>
          </w:p>
          <w:p w14:paraId="44F7CA7F" w14:textId="4FDCDBF7" w:rsidR="00840A82" w:rsidRPr="001F2158" w:rsidRDefault="00840A82" w:rsidP="00840A82">
            <w:pPr>
              <w:rPr>
                <w:color w:val="222A35" w:themeColor="text2" w:themeShade="80"/>
              </w:rPr>
            </w:pPr>
          </w:p>
        </w:tc>
        <w:tc>
          <w:tcPr>
            <w:tcW w:w="3920" w:type="dxa"/>
          </w:tcPr>
          <w:p w14:paraId="0B0DAD6E" w14:textId="77777777" w:rsidR="008558CA" w:rsidRDefault="00654750">
            <w:r>
              <w:t>VSP’s great strength</w:t>
            </w:r>
            <w:r w:rsidR="007A3846">
              <w:t>s</w:t>
            </w:r>
            <w:r>
              <w:t xml:space="preserve"> include the local leadership and adaptive approach. These are enabled by </w:t>
            </w:r>
            <w:r w:rsidR="007A3846">
              <w:t xml:space="preserve">strong local leaders, </w:t>
            </w:r>
            <w:r w:rsidR="001F440E">
              <w:t xml:space="preserve">supportive advisers, </w:t>
            </w:r>
            <w:r>
              <w:t xml:space="preserve">a support contractor </w:t>
            </w:r>
            <w:proofErr w:type="gramStart"/>
            <w:r>
              <w:t>modality</w:t>
            </w:r>
            <w:proofErr w:type="gramEnd"/>
            <w:r>
              <w:t xml:space="preserve"> and </w:t>
            </w:r>
            <w:r w:rsidR="007A3846">
              <w:t xml:space="preserve">good </w:t>
            </w:r>
            <w:r>
              <w:t>trust between the parties involved. As</w:t>
            </w:r>
            <w:r w:rsidR="007A3846">
              <w:t xml:space="preserve"> an unusual mechanism, this is at risk should there be a change of personnel</w:t>
            </w:r>
            <w:r w:rsidR="008558CA">
              <w:t xml:space="preserve">. </w:t>
            </w:r>
          </w:p>
          <w:p w14:paraId="712033CA" w14:textId="26C3103B" w:rsidR="00C81048" w:rsidRDefault="00C81048"/>
        </w:tc>
        <w:tc>
          <w:tcPr>
            <w:tcW w:w="3762" w:type="dxa"/>
          </w:tcPr>
          <w:p w14:paraId="7B6FBB6C" w14:textId="20EC24CD" w:rsidR="00C81048" w:rsidRDefault="007A3846">
            <w:bookmarkStart w:id="2" w:name="_Hlk90985041"/>
            <w:r>
              <w:t xml:space="preserve">AHC Port Vila will </w:t>
            </w:r>
            <w:r w:rsidR="00244813">
              <w:t xml:space="preserve">draft a </w:t>
            </w:r>
            <w:r>
              <w:t>‘</w:t>
            </w:r>
            <w:r w:rsidR="00244813">
              <w:t>way</w:t>
            </w:r>
            <w:r>
              <w:t>s</w:t>
            </w:r>
            <w:r w:rsidR="00244813">
              <w:t xml:space="preserve"> of working</w:t>
            </w:r>
            <w:r>
              <w:t>’</w:t>
            </w:r>
            <w:r w:rsidR="00244813">
              <w:t xml:space="preserve"> document </w:t>
            </w:r>
            <w:bookmarkEnd w:id="2"/>
            <w:r w:rsidR="00244813">
              <w:t xml:space="preserve">to be discussed and agreed with </w:t>
            </w:r>
            <w:r>
              <w:t xml:space="preserve">VSP (including contracted staff, </w:t>
            </w:r>
            <w:proofErr w:type="gramStart"/>
            <w:r>
              <w:t>adviser</w:t>
            </w:r>
            <w:r w:rsidR="004C5106">
              <w:t>s</w:t>
            </w:r>
            <w:proofErr w:type="gramEnd"/>
            <w:r>
              <w:t xml:space="preserve"> and support contractor)</w:t>
            </w:r>
            <w:r w:rsidR="00244813">
              <w:t xml:space="preserve">. </w:t>
            </w:r>
          </w:p>
        </w:tc>
        <w:tc>
          <w:tcPr>
            <w:tcW w:w="1266" w:type="dxa"/>
          </w:tcPr>
          <w:p w14:paraId="087625EF" w14:textId="52392BBD" w:rsidR="00C81048" w:rsidRDefault="008558CA">
            <w:r>
              <w:t>Early 2022</w:t>
            </w:r>
          </w:p>
        </w:tc>
      </w:tr>
      <w:tr w:rsidR="00680F15" w14:paraId="057A56F6" w14:textId="77777777" w:rsidTr="00840A82">
        <w:tc>
          <w:tcPr>
            <w:tcW w:w="501" w:type="dxa"/>
          </w:tcPr>
          <w:p w14:paraId="7FF46086" w14:textId="0944EF0B" w:rsidR="00C81048" w:rsidRDefault="00C81048">
            <w:r>
              <w:t>8</w:t>
            </w:r>
          </w:p>
        </w:tc>
        <w:tc>
          <w:tcPr>
            <w:tcW w:w="4854" w:type="dxa"/>
          </w:tcPr>
          <w:p w14:paraId="5D27ED63" w14:textId="306C5F4C" w:rsidR="00C81048" w:rsidRDefault="005A40B5">
            <w:r w:rsidRPr="00FB1739">
              <w:t xml:space="preserve">DFAT/AHC Port Vila should consider a modest increase </w:t>
            </w:r>
            <w:r>
              <w:t>to the</w:t>
            </w:r>
            <w:r w:rsidRPr="00FB1739">
              <w:t xml:space="preserve"> </w:t>
            </w:r>
            <w:r>
              <w:t xml:space="preserve">‘core’ </w:t>
            </w:r>
            <w:r w:rsidRPr="00EF470E">
              <w:t xml:space="preserve">funding </w:t>
            </w:r>
            <w:r>
              <w:t>it provides VSP from its</w:t>
            </w:r>
            <w:r w:rsidRPr="00EF470E">
              <w:t xml:space="preserve"> bilateral aid program </w:t>
            </w:r>
            <w:r>
              <w:t xml:space="preserve">budget for Vanuatu. This would </w:t>
            </w:r>
            <w:r w:rsidRPr="00FB1739">
              <w:t xml:space="preserve">provide </w:t>
            </w:r>
            <w:r>
              <w:t xml:space="preserve">greater </w:t>
            </w:r>
            <w:r w:rsidRPr="00FB1739">
              <w:t>certainty</w:t>
            </w:r>
            <w:r>
              <w:t xml:space="preserve">, strengthening the </w:t>
            </w:r>
            <w:r>
              <w:lastRenderedPageBreak/>
              <w:t xml:space="preserve">incentives for VSP </w:t>
            </w:r>
            <w:r w:rsidRPr="00FB1739">
              <w:t xml:space="preserve">to </w:t>
            </w:r>
            <w:r>
              <w:t>increase the capacity of</w:t>
            </w:r>
            <w:r w:rsidRPr="00FB1739">
              <w:t xml:space="preserve"> its </w:t>
            </w:r>
            <w:r>
              <w:t xml:space="preserve">core team, including </w:t>
            </w:r>
            <w:r w:rsidRPr="00FB1739">
              <w:t>expan</w:t>
            </w:r>
            <w:r>
              <w:t>ding the</w:t>
            </w:r>
            <w:r w:rsidRPr="00FB1739">
              <w:t xml:space="preserve"> Senior Management Team</w:t>
            </w:r>
          </w:p>
        </w:tc>
        <w:tc>
          <w:tcPr>
            <w:tcW w:w="1074" w:type="dxa"/>
            <w:shd w:val="clear" w:color="auto" w:fill="92D050"/>
          </w:tcPr>
          <w:p w14:paraId="045088EB" w14:textId="79C91567" w:rsidR="00C81048" w:rsidRPr="001F2158" w:rsidRDefault="000A31E6">
            <w:pPr>
              <w:rPr>
                <w:color w:val="222A35" w:themeColor="text2" w:themeShade="80"/>
              </w:rPr>
            </w:pPr>
            <w:r w:rsidRPr="001F2158">
              <w:rPr>
                <w:color w:val="222A35" w:themeColor="text2" w:themeShade="80"/>
              </w:rPr>
              <w:lastRenderedPageBreak/>
              <w:t>Agree</w:t>
            </w:r>
            <w:r w:rsidR="004C5106" w:rsidRPr="001F2158">
              <w:rPr>
                <w:color w:val="222A35" w:themeColor="text2" w:themeShade="80"/>
              </w:rPr>
              <w:t xml:space="preserve"> </w:t>
            </w:r>
          </w:p>
          <w:p w14:paraId="68D1768B" w14:textId="77777777" w:rsidR="00840A82" w:rsidRPr="001F2158" w:rsidRDefault="00840A82">
            <w:pPr>
              <w:rPr>
                <w:color w:val="222A35" w:themeColor="text2" w:themeShade="80"/>
              </w:rPr>
            </w:pPr>
          </w:p>
          <w:p w14:paraId="74DC8173" w14:textId="77777777" w:rsidR="00840A82" w:rsidRPr="001F2158" w:rsidRDefault="00840A82">
            <w:pPr>
              <w:rPr>
                <w:color w:val="222A35" w:themeColor="text2" w:themeShade="80"/>
              </w:rPr>
            </w:pPr>
          </w:p>
          <w:p w14:paraId="3ACD23B2" w14:textId="77777777" w:rsidR="00840A82" w:rsidRPr="001F2158" w:rsidRDefault="00840A82">
            <w:pPr>
              <w:rPr>
                <w:color w:val="222A35" w:themeColor="text2" w:themeShade="80"/>
              </w:rPr>
            </w:pPr>
          </w:p>
          <w:p w14:paraId="10F3F34A" w14:textId="77777777" w:rsidR="00840A82" w:rsidRPr="001F2158" w:rsidRDefault="00840A82">
            <w:pPr>
              <w:rPr>
                <w:color w:val="222A35" w:themeColor="text2" w:themeShade="80"/>
              </w:rPr>
            </w:pPr>
          </w:p>
          <w:p w14:paraId="5FCAE0C8" w14:textId="6ADF3B54" w:rsidR="00840A82" w:rsidRPr="001F2158" w:rsidRDefault="00840A82">
            <w:pPr>
              <w:rPr>
                <w:color w:val="222A35" w:themeColor="text2" w:themeShade="80"/>
              </w:rPr>
            </w:pPr>
          </w:p>
        </w:tc>
        <w:tc>
          <w:tcPr>
            <w:tcW w:w="3920" w:type="dxa"/>
          </w:tcPr>
          <w:p w14:paraId="051E2F21" w14:textId="2F85E525" w:rsidR="00C81048" w:rsidRDefault="00680F15">
            <w:r>
              <w:lastRenderedPageBreak/>
              <w:t xml:space="preserve">Currently </w:t>
            </w:r>
            <w:r w:rsidR="00654750">
              <w:t>VSP</w:t>
            </w:r>
            <w:r>
              <w:t xml:space="preserve"> receives its budget from various budget lines from DFAT </w:t>
            </w:r>
            <w:r w:rsidR="00654750">
              <w:t xml:space="preserve">including different parts of </w:t>
            </w:r>
            <w:r>
              <w:t>the bilateral programs</w:t>
            </w:r>
            <w:r w:rsidR="00654750">
              <w:t>, as well as regional and global programs</w:t>
            </w:r>
            <w:r>
              <w:t xml:space="preserve">. </w:t>
            </w:r>
            <w:r>
              <w:lastRenderedPageBreak/>
              <w:t>The downside of this is the lack of yearly estimation and the risk to miss on a funding (</w:t>
            </w:r>
            <w:proofErr w:type="spellStart"/>
            <w:r>
              <w:t>eg.</w:t>
            </w:r>
            <w:proofErr w:type="spellEnd"/>
            <w:r>
              <w:t xml:space="preserve"> DID fund). Having one sole DFAT </w:t>
            </w:r>
            <w:r w:rsidR="000A31E6">
              <w:t xml:space="preserve">budget line will ease planning and reporting. </w:t>
            </w:r>
          </w:p>
        </w:tc>
        <w:tc>
          <w:tcPr>
            <w:tcW w:w="3762" w:type="dxa"/>
          </w:tcPr>
          <w:p w14:paraId="30BED2E6" w14:textId="14B88E9F" w:rsidR="00C81048" w:rsidRDefault="002E0246">
            <w:r>
              <w:lastRenderedPageBreak/>
              <w:t xml:space="preserve">AHC Port Vila will work towards ensuring one stable source of </w:t>
            </w:r>
            <w:r w:rsidR="000A31E6">
              <w:t>bilateral funding t</w:t>
            </w:r>
            <w:r>
              <w:t xml:space="preserve">o VSP. Subject to allocations for bilateral program, a modest </w:t>
            </w:r>
            <w:r>
              <w:lastRenderedPageBreak/>
              <w:t>increase in ‘core’ funding will be progressed.</w:t>
            </w:r>
            <w:r w:rsidR="00EC17FF">
              <w:t xml:space="preserve"> </w:t>
            </w:r>
          </w:p>
          <w:p w14:paraId="7202A9A0" w14:textId="67ABDFA7" w:rsidR="00EC17FF" w:rsidRDefault="00EC17FF">
            <w:r>
              <w:t>This is subject to budget allocations to VU1.</w:t>
            </w:r>
          </w:p>
        </w:tc>
        <w:tc>
          <w:tcPr>
            <w:tcW w:w="1266" w:type="dxa"/>
          </w:tcPr>
          <w:p w14:paraId="6B325882" w14:textId="354AC083" w:rsidR="00C81048" w:rsidRDefault="008558CA">
            <w:r>
              <w:lastRenderedPageBreak/>
              <w:t>end</w:t>
            </w:r>
            <w:r w:rsidR="000A31E6">
              <w:t xml:space="preserve"> 2021</w:t>
            </w:r>
          </w:p>
        </w:tc>
      </w:tr>
      <w:tr w:rsidR="00680F15" w14:paraId="77656E49" w14:textId="77777777" w:rsidTr="004A6F43">
        <w:tc>
          <w:tcPr>
            <w:tcW w:w="501" w:type="dxa"/>
          </w:tcPr>
          <w:p w14:paraId="6A69EBC3" w14:textId="34932AAD" w:rsidR="00C81048" w:rsidRDefault="00C81048">
            <w:r>
              <w:t>9</w:t>
            </w:r>
          </w:p>
        </w:tc>
        <w:tc>
          <w:tcPr>
            <w:tcW w:w="4854" w:type="dxa"/>
          </w:tcPr>
          <w:p w14:paraId="67562EC1" w14:textId="77777777" w:rsidR="005A40B5" w:rsidRPr="00FB1739" w:rsidRDefault="005A40B5" w:rsidP="005A40B5">
            <w:r w:rsidRPr="00FB1739">
              <w:t>VSP’s reporting requirements to DFAT/AHC Port Vila should be jointly reviewed and streamlined where possible.</w:t>
            </w:r>
          </w:p>
          <w:p w14:paraId="7C868D66" w14:textId="77777777" w:rsidR="00C81048" w:rsidRDefault="00C81048"/>
        </w:tc>
        <w:tc>
          <w:tcPr>
            <w:tcW w:w="1074" w:type="dxa"/>
            <w:shd w:val="clear" w:color="auto" w:fill="92D050"/>
          </w:tcPr>
          <w:p w14:paraId="50EB8208" w14:textId="5DEB5EC2" w:rsidR="00C81048" w:rsidRPr="001F2158" w:rsidRDefault="00ED1185">
            <w:pPr>
              <w:rPr>
                <w:color w:val="222A35" w:themeColor="text2" w:themeShade="80"/>
              </w:rPr>
            </w:pPr>
            <w:r w:rsidRPr="001F2158">
              <w:rPr>
                <w:color w:val="222A35" w:themeColor="text2" w:themeShade="80"/>
              </w:rPr>
              <w:t>A</w:t>
            </w:r>
            <w:r w:rsidR="00680F15" w:rsidRPr="001F2158">
              <w:rPr>
                <w:color w:val="222A35" w:themeColor="text2" w:themeShade="80"/>
              </w:rPr>
              <w:t>gree</w:t>
            </w:r>
            <w:r w:rsidRPr="001F2158">
              <w:rPr>
                <w:color w:val="222A35" w:themeColor="text2" w:themeShade="80"/>
              </w:rPr>
              <w:t xml:space="preserve"> </w:t>
            </w:r>
          </w:p>
        </w:tc>
        <w:tc>
          <w:tcPr>
            <w:tcW w:w="3920" w:type="dxa"/>
          </w:tcPr>
          <w:p w14:paraId="75E85009" w14:textId="4171E45A" w:rsidR="00C81048" w:rsidRDefault="00680F15">
            <w:r>
              <w:t xml:space="preserve">The streamlining of reporting will come with the budget strengthening. </w:t>
            </w:r>
          </w:p>
        </w:tc>
        <w:tc>
          <w:tcPr>
            <w:tcW w:w="3762" w:type="dxa"/>
          </w:tcPr>
          <w:p w14:paraId="6C534F05" w14:textId="299F1FA8" w:rsidR="00C81048" w:rsidRDefault="000615BE">
            <w:r>
              <w:t xml:space="preserve">AHC Port Vila will work closely with the support coordinator and the M&amp;E team to define the reporting needs to be included in </w:t>
            </w:r>
            <w:r w:rsidR="000A31E6">
              <w:t xml:space="preserve">the MEL framework and plan refresh. </w:t>
            </w:r>
          </w:p>
        </w:tc>
        <w:tc>
          <w:tcPr>
            <w:tcW w:w="1266" w:type="dxa"/>
          </w:tcPr>
          <w:p w14:paraId="530B666E" w14:textId="46C15BD4" w:rsidR="00C81048" w:rsidRDefault="008558CA">
            <w:r>
              <w:t>Early 2022</w:t>
            </w:r>
          </w:p>
        </w:tc>
      </w:tr>
      <w:tr w:rsidR="00B13D1B" w14:paraId="0126B655" w14:textId="77777777" w:rsidTr="00B13D1B">
        <w:tc>
          <w:tcPr>
            <w:tcW w:w="501" w:type="dxa"/>
          </w:tcPr>
          <w:p w14:paraId="0A65F68C" w14:textId="79E4DF80" w:rsidR="00C81048" w:rsidRDefault="00C81048">
            <w:r>
              <w:t>10</w:t>
            </w:r>
          </w:p>
        </w:tc>
        <w:tc>
          <w:tcPr>
            <w:tcW w:w="4854" w:type="dxa"/>
          </w:tcPr>
          <w:p w14:paraId="3E53B157" w14:textId="77777777" w:rsidR="005A40B5" w:rsidRDefault="005A40B5" w:rsidP="005A40B5">
            <w:r w:rsidRPr="00FB1739">
              <w:t>DFAT/AHC Port Vila should identify opportunities for collaboration between VSP and other Australian-funded bilateral and regional programs in Vanuatu.</w:t>
            </w:r>
          </w:p>
          <w:p w14:paraId="04B0139B" w14:textId="77777777" w:rsidR="00C81048" w:rsidRDefault="00C81048"/>
        </w:tc>
        <w:tc>
          <w:tcPr>
            <w:tcW w:w="1074" w:type="dxa"/>
            <w:shd w:val="clear" w:color="auto" w:fill="92D050"/>
          </w:tcPr>
          <w:p w14:paraId="71ECE45E" w14:textId="29EAEB01" w:rsidR="00C81048" w:rsidRPr="001F2158" w:rsidRDefault="000A31E6">
            <w:pPr>
              <w:rPr>
                <w:color w:val="222A35" w:themeColor="text2" w:themeShade="80"/>
              </w:rPr>
            </w:pPr>
            <w:r w:rsidRPr="001F2158">
              <w:rPr>
                <w:color w:val="222A35" w:themeColor="text2" w:themeShade="80"/>
              </w:rPr>
              <w:t xml:space="preserve">Agree </w:t>
            </w:r>
          </w:p>
        </w:tc>
        <w:tc>
          <w:tcPr>
            <w:tcW w:w="3920" w:type="dxa"/>
          </w:tcPr>
          <w:p w14:paraId="2801D9CB" w14:textId="38BE35ED" w:rsidR="00C81048" w:rsidRDefault="000164D1">
            <w:r>
              <w:t xml:space="preserve">Collaboration </w:t>
            </w:r>
            <w:r w:rsidR="000A31E6">
              <w:t xml:space="preserve">is already occurring </w:t>
            </w:r>
            <w:r>
              <w:t>between VSP and other</w:t>
            </w:r>
            <w:r w:rsidR="000A31E6">
              <w:t xml:space="preserve"> bilateral and regional DFAT programs (Balance of Power, APTC, VHP</w:t>
            </w:r>
            <w:r>
              <w:t xml:space="preserve"> and</w:t>
            </w:r>
            <w:r w:rsidR="000A31E6">
              <w:t xml:space="preserve"> VESP).  </w:t>
            </w:r>
          </w:p>
        </w:tc>
        <w:tc>
          <w:tcPr>
            <w:tcW w:w="3762" w:type="dxa"/>
          </w:tcPr>
          <w:p w14:paraId="6737BD73" w14:textId="7427944B" w:rsidR="000164D1" w:rsidRDefault="000615BE">
            <w:r>
              <w:t xml:space="preserve">AHC </w:t>
            </w:r>
            <w:r w:rsidR="0076177C">
              <w:t xml:space="preserve">Port Vila </w:t>
            </w:r>
            <w:r w:rsidR="000164D1">
              <w:t xml:space="preserve">will continue to </w:t>
            </w:r>
            <w:r>
              <w:t>facilitate Team leaders’ meetings</w:t>
            </w:r>
            <w:r w:rsidR="000164D1">
              <w:t xml:space="preserve"> and promote further coloration</w:t>
            </w:r>
            <w:r>
              <w:t xml:space="preserve">. </w:t>
            </w:r>
          </w:p>
          <w:p w14:paraId="6A0D0D19" w14:textId="4204D79F" w:rsidR="00C81048" w:rsidRDefault="000615BE">
            <w:r>
              <w:t xml:space="preserve">VSP Director </w:t>
            </w:r>
            <w:r w:rsidR="000164D1">
              <w:t xml:space="preserve">will </w:t>
            </w:r>
            <w:r>
              <w:t xml:space="preserve">have </w:t>
            </w:r>
            <w:r w:rsidR="000164D1">
              <w:t xml:space="preserve">bi-monthly </w:t>
            </w:r>
            <w:r>
              <w:t xml:space="preserve">sessions with </w:t>
            </w:r>
            <w:r w:rsidR="000164D1">
              <w:t xml:space="preserve">the </w:t>
            </w:r>
            <w:r>
              <w:t>management team</w:t>
            </w:r>
            <w:r w:rsidR="000164D1">
              <w:t>s</w:t>
            </w:r>
            <w:r>
              <w:t xml:space="preserve"> from </w:t>
            </w:r>
            <w:proofErr w:type="gramStart"/>
            <w:r w:rsidR="000164D1">
              <w:t>other</w:t>
            </w:r>
            <w:proofErr w:type="gramEnd"/>
            <w:r w:rsidR="000164D1">
              <w:t xml:space="preserve"> DFAT-funded </w:t>
            </w:r>
            <w:r>
              <w:t xml:space="preserve">bilateral program. </w:t>
            </w:r>
            <w:r w:rsidR="000164D1">
              <w:t>(</w:t>
            </w:r>
            <w:r>
              <w:t xml:space="preserve">Schedule to be drafted and agreed upon </w:t>
            </w:r>
            <w:r w:rsidR="000164D1">
              <w:t xml:space="preserve">between </w:t>
            </w:r>
            <w:r>
              <w:t>Director</w:t>
            </w:r>
            <w:r w:rsidR="000164D1">
              <w:t xml:space="preserve"> and DFAT)</w:t>
            </w:r>
            <w:r>
              <w:t xml:space="preserve">. </w:t>
            </w:r>
          </w:p>
        </w:tc>
        <w:tc>
          <w:tcPr>
            <w:tcW w:w="1266" w:type="dxa"/>
          </w:tcPr>
          <w:p w14:paraId="11BC5572" w14:textId="00462E24" w:rsidR="00C81048" w:rsidRDefault="00B13D1B">
            <w:r>
              <w:t xml:space="preserve">Ongoing </w:t>
            </w:r>
          </w:p>
        </w:tc>
      </w:tr>
      <w:tr w:rsidR="00B13D1B" w:rsidRPr="00D6299F" w14:paraId="0008C789" w14:textId="77777777" w:rsidTr="00B13D1B">
        <w:tc>
          <w:tcPr>
            <w:tcW w:w="501" w:type="dxa"/>
          </w:tcPr>
          <w:p w14:paraId="3B3FF70D" w14:textId="47EC1BA0" w:rsidR="00C81048" w:rsidRDefault="00C81048">
            <w:r>
              <w:t>11</w:t>
            </w:r>
          </w:p>
        </w:tc>
        <w:tc>
          <w:tcPr>
            <w:tcW w:w="4854" w:type="dxa"/>
          </w:tcPr>
          <w:p w14:paraId="734ED688" w14:textId="77777777" w:rsidR="005A40B5" w:rsidRPr="00FB1739" w:rsidRDefault="005A40B5" w:rsidP="005A40B5">
            <w:r w:rsidRPr="00FB1739">
              <w:t>VSP should continue to support the Government of Vanuatu with the establishment of a national decentralised skills system architecture including Skills Centres in the two remaining provinces (</w:t>
            </w:r>
            <w:proofErr w:type="spellStart"/>
            <w:r w:rsidRPr="00FB1739">
              <w:t>Shefa</w:t>
            </w:r>
            <w:proofErr w:type="spellEnd"/>
            <w:r w:rsidRPr="00FB1739">
              <w:t xml:space="preserve"> and </w:t>
            </w:r>
            <w:proofErr w:type="spellStart"/>
            <w:r w:rsidRPr="00FB1739">
              <w:t>Penama</w:t>
            </w:r>
            <w:proofErr w:type="spellEnd"/>
            <w:r w:rsidRPr="00FB1739">
              <w:t xml:space="preserve">). This support should, however, remain contingent on adequate co-contributions from </w:t>
            </w:r>
            <w:proofErr w:type="spellStart"/>
            <w:r w:rsidRPr="00FB1739">
              <w:t>MoET</w:t>
            </w:r>
            <w:proofErr w:type="spellEnd"/>
            <w:r w:rsidRPr="00FB1739">
              <w:t xml:space="preserve"> </w:t>
            </w:r>
            <w:proofErr w:type="gramStart"/>
            <w:r w:rsidRPr="00FB1739">
              <w:t>and also</w:t>
            </w:r>
            <w:proofErr w:type="gramEnd"/>
            <w:r w:rsidRPr="00FB1739">
              <w:t xml:space="preserve"> consider contributions from other Government ministries benefitting from the expansion. </w:t>
            </w:r>
          </w:p>
          <w:p w14:paraId="1FF5743C" w14:textId="77777777" w:rsidR="00C81048" w:rsidRDefault="00C81048"/>
        </w:tc>
        <w:tc>
          <w:tcPr>
            <w:tcW w:w="1074" w:type="dxa"/>
            <w:shd w:val="clear" w:color="auto" w:fill="FFC000"/>
          </w:tcPr>
          <w:p w14:paraId="2678D25A" w14:textId="2866C514" w:rsidR="00C81048" w:rsidRPr="001F2158" w:rsidRDefault="00ED1185">
            <w:pPr>
              <w:rPr>
                <w:color w:val="222A35" w:themeColor="text2" w:themeShade="80"/>
              </w:rPr>
            </w:pPr>
            <w:r w:rsidRPr="001F2158">
              <w:rPr>
                <w:color w:val="222A35" w:themeColor="text2" w:themeShade="80"/>
              </w:rPr>
              <w:lastRenderedPageBreak/>
              <w:t>Agree in part</w:t>
            </w:r>
          </w:p>
        </w:tc>
        <w:tc>
          <w:tcPr>
            <w:tcW w:w="3920" w:type="dxa"/>
          </w:tcPr>
          <w:p w14:paraId="29528A23" w14:textId="3929A460" w:rsidR="00C81048" w:rsidRDefault="00E00616">
            <w:r>
              <w:t xml:space="preserve">In </w:t>
            </w:r>
            <w:proofErr w:type="spellStart"/>
            <w:r w:rsidR="00401331">
              <w:t>Penama</w:t>
            </w:r>
            <w:proofErr w:type="spellEnd"/>
            <w:r>
              <w:t>, a recovery</w:t>
            </w:r>
            <w:r w:rsidR="00401331">
              <w:t xml:space="preserve"> centre is underway with two officers working on activities</w:t>
            </w:r>
            <w:r w:rsidR="000A31E6">
              <w:t>. The Partnership continue</w:t>
            </w:r>
            <w:r w:rsidR="000615BE">
              <w:t>s</w:t>
            </w:r>
            <w:r w:rsidR="000A31E6">
              <w:t xml:space="preserve"> to advocat</w:t>
            </w:r>
            <w:r w:rsidR="000615BE">
              <w:t>e</w:t>
            </w:r>
            <w:r w:rsidR="000A31E6">
              <w:t xml:space="preserve"> </w:t>
            </w:r>
            <w:r w:rsidR="000615BE">
              <w:t xml:space="preserve">for </w:t>
            </w:r>
            <w:proofErr w:type="spellStart"/>
            <w:r w:rsidR="000615BE">
              <w:t>MoET</w:t>
            </w:r>
            <w:proofErr w:type="spellEnd"/>
            <w:r w:rsidR="000615BE">
              <w:t xml:space="preserve"> to </w:t>
            </w:r>
            <w:r w:rsidR="00EB0BFF">
              <w:t>increase</w:t>
            </w:r>
            <w:r w:rsidR="000615BE">
              <w:t xml:space="preserve"> the </w:t>
            </w:r>
            <w:proofErr w:type="spellStart"/>
            <w:r w:rsidR="000615BE">
              <w:t>GoV’s</w:t>
            </w:r>
            <w:proofErr w:type="spellEnd"/>
            <w:r w:rsidR="000615BE">
              <w:t xml:space="preserve"> c</w:t>
            </w:r>
            <w:r w:rsidR="000A31E6">
              <w:t>ontribution</w:t>
            </w:r>
            <w:r w:rsidR="000615BE">
              <w:t xml:space="preserve"> in </w:t>
            </w:r>
            <w:r w:rsidR="000A31E6">
              <w:t xml:space="preserve">increasing the number of staff in the GOV’s payroll. </w:t>
            </w:r>
          </w:p>
          <w:p w14:paraId="40843F12" w14:textId="77777777" w:rsidR="00E00616" w:rsidRDefault="00E00616" w:rsidP="00E00616">
            <w:r>
              <w:t xml:space="preserve">For </w:t>
            </w:r>
            <w:proofErr w:type="spellStart"/>
            <w:r>
              <w:t>Penama</w:t>
            </w:r>
            <w:proofErr w:type="spellEnd"/>
            <w:r>
              <w:t xml:space="preserve"> and </w:t>
            </w:r>
            <w:proofErr w:type="spellStart"/>
            <w:r>
              <w:t>Shefa</w:t>
            </w:r>
            <w:proofErr w:type="spellEnd"/>
            <w:r>
              <w:t xml:space="preserve">, there might be alternative or transition approaches that </w:t>
            </w:r>
            <w:r>
              <w:lastRenderedPageBreak/>
              <w:t xml:space="preserve">could be adopted given the different contextual realities. </w:t>
            </w:r>
          </w:p>
          <w:p w14:paraId="042A9526" w14:textId="2C747A52" w:rsidR="000615BE" w:rsidRDefault="000615BE" w:rsidP="00E00616"/>
        </w:tc>
        <w:tc>
          <w:tcPr>
            <w:tcW w:w="3762" w:type="dxa"/>
          </w:tcPr>
          <w:p w14:paraId="2207B807" w14:textId="10338BFC" w:rsidR="008558CA" w:rsidRDefault="00D420FB">
            <w:pPr>
              <w:rPr>
                <w:lang w:val="en-AU"/>
              </w:rPr>
            </w:pPr>
            <w:r>
              <w:lastRenderedPageBreak/>
              <w:t xml:space="preserve">Any expansion to the two remaining provinces is subject to </w:t>
            </w:r>
            <w:proofErr w:type="spellStart"/>
            <w:r>
              <w:t>GoV</w:t>
            </w:r>
            <w:proofErr w:type="spellEnd"/>
            <w:r>
              <w:t xml:space="preserve"> </w:t>
            </w:r>
            <w:r>
              <w:rPr>
                <w:lang w:val="en-AU"/>
              </w:rPr>
              <w:t>absor</w:t>
            </w:r>
            <w:r w:rsidR="008B54DA">
              <w:rPr>
                <w:lang w:val="en-AU"/>
              </w:rPr>
              <w:t>ption of the</w:t>
            </w:r>
            <w:r>
              <w:rPr>
                <w:lang w:val="en-AU"/>
              </w:rPr>
              <w:t xml:space="preserve"> existing </w:t>
            </w:r>
            <w:proofErr w:type="gramStart"/>
            <w:r>
              <w:rPr>
                <w:lang w:val="en-AU"/>
              </w:rPr>
              <w:t>provincially-based</w:t>
            </w:r>
            <w:proofErr w:type="gramEnd"/>
            <w:r>
              <w:rPr>
                <w:lang w:val="en-AU"/>
              </w:rPr>
              <w:t xml:space="preserve"> VSP employees on </w:t>
            </w:r>
            <w:proofErr w:type="spellStart"/>
            <w:r>
              <w:rPr>
                <w:lang w:val="en-AU"/>
              </w:rPr>
              <w:t>GoV’s</w:t>
            </w:r>
            <w:proofErr w:type="spellEnd"/>
            <w:r>
              <w:rPr>
                <w:lang w:val="en-AU"/>
              </w:rPr>
              <w:t xml:space="preserve"> payroll</w:t>
            </w:r>
            <w:r w:rsidR="008B54DA">
              <w:rPr>
                <w:lang w:val="en-AU"/>
              </w:rPr>
              <w:t>, and available budget</w:t>
            </w:r>
            <w:r>
              <w:rPr>
                <w:lang w:val="en-AU"/>
              </w:rPr>
              <w:t xml:space="preserve">.  </w:t>
            </w:r>
            <w:r w:rsidR="008B54DA">
              <w:rPr>
                <w:lang w:val="en-AU"/>
              </w:rPr>
              <w:t xml:space="preserve">AHC Port Vila will continue to discuss this with </w:t>
            </w:r>
            <w:proofErr w:type="spellStart"/>
            <w:r w:rsidR="008B54DA">
              <w:rPr>
                <w:lang w:val="en-AU"/>
              </w:rPr>
              <w:t>MoET</w:t>
            </w:r>
            <w:proofErr w:type="spellEnd"/>
            <w:r w:rsidR="008B54DA">
              <w:rPr>
                <w:lang w:val="en-AU"/>
              </w:rPr>
              <w:t>.</w:t>
            </w:r>
            <w:r w:rsidR="008558CA">
              <w:rPr>
                <w:lang w:val="en-AU"/>
              </w:rPr>
              <w:t xml:space="preserve"> </w:t>
            </w:r>
            <w:r w:rsidR="005608C7">
              <w:rPr>
                <w:lang w:val="en-AU"/>
              </w:rPr>
              <w:t xml:space="preserve"> </w:t>
            </w:r>
          </w:p>
          <w:p w14:paraId="70A88D19" w14:textId="4F48B28E" w:rsidR="00C81048" w:rsidRPr="004A6F43" w:rsidRDefault="008558CA">
            <w:pPr>
              <w:rPr>
                <w:lang w:val="en-AU"/>
              </w:rPr>
            </w:pPr>
            <w:r w:rsidRPr="004A6F43">
              <w:rPr>
                <w:lang w:val="en-AU"/>
              </w:rPr>
              <w:t xml:space="preserve">AHC </w:t>
            </w:r>
            <w:bookmarkStart w:id="3" w:name="_Hlk90985896"/>
            <w:r w:rsidRPr="004A6F43">
              <w:rPr>
                <w:lang w:val="en-AU"/>
              </w:rPr>
              <w:t xml:space="preserve">will </w:t>
            </w:r>
            <w:r w:rsidR="00E00616">
              <w:rPr>
                <w:lang w:val="en-AU"/>
              </w:rPr>
              <w:t xml:space="preserve">continue to </w:t>
            </w:r>
            <w:r>
              <w:rPr>
                <w:lang w:val="en-AU"/>
              </w:rPr>
              <w:t xml:space="preserve">manage </w:t>
            </w:r>
            <w:proofErr w:type="spellStart"/>
            <w:r w:rsidR="00E00616">
              <w:rPr>
                <w:lang w:val="en-AU"/>
              </w:rPr>
              <w:t>GoV’s</w:t>
            </w:r>
            <w:proofErr w:type="spellEnd"/>
            <w:r w:rsidR="00E00616">
              <w:rPr>
                <w:lang w:val="en-AU"/>
              </w:rPr>
              <w:t xml:space="preserve"> </w:t>
            </w:r>
            <w:r>
              <w:rPr>
                <w:lang w:val="en-AU"/>
              </w:rPr>
              <w:t>expectations</w:t>
            </w:r>
            <w:r w:rsidR="00E00616">
              <w:rPr>
                <w:lang w:val="en-AU"/>
              </w:rPr>
              <w:t xml:space="preserve"> and discuss alternative approaches to support </w:t>
            </w:r>
            <w:r w:rsidR="005D23F3">
              <w:rPr>
                <w:lang w:val="en-AU"/>
              </w:rPr>
              <w:t xml:space="preserve">implementation </w:t>
            </w:r>
            <w:r w:rsidR="005D23F3">
              <w:rPr>
                <w:lang w:val="en-AU"/>
              </w:rPr>
              <w:lastRenderedPageBreak/>
              <w:t>of activities in the two remaining provinces</w:t>
            </w:r>
            <w:r w:rsidR="00FC3232">
              <w:rPr>
                <w:lang w:val="en-AU"/>
              </w:rPr>
              <w:t xml:space="preserve">. </w:t>
            </w:r>
            <w:r>
              <w:rPr>
                <w:lang w:val="en-AU"/>
              </w:rPr>
              <w:t xml:space="preserve"> </w:t>
            </w:r>
            <w:bookmarkEnd w:id="3"/>
          </w:p>
        </w:tc>
        <w:tc>
          <w:tcPr>
            <w:tcW w:w="1266" w:type="dxa"/>
          </w:tcPr>
          <w:p w14:paraId="0D39DE10" w14:textId="1F64D500" w:rsidR="00C81048" w:rsidRPr="00D6299F" w:rsidRDefault="00D6299F">
            <w:pPr>
              <w:rPr>
                <w:lang w:val="fr-BE"/>
              </w:rPr>
            </w:pPr>
            <w:proofErr w:type="spellStart"/>
            <w:r>
              <w:rPr>
                <w:lang w:val="fr-BE"/>
              </w:rPr>
              <w:lastRenderedPageBreak/>
              <w:t>Ongoing</w:t>
            </w:r>
            <w:proofErr w:type="spellEnd"/>
            <w:r>
              <w:rPr>
                <w:lang w:val="fr-BE"/>
              </w:rPr>
              <w:t xml:space="preserve"> </w:t>
            </w:r>
          </w:p>
        </w:tc>
      </w:tr>
      <w:tr w:rsidR="00B13D1B" w14:paraId="01F417E8" w14:textId="77777777" w:rsidTr="00B13D1B">
        <w:tc>
          <w:tcPr>
            <w:tcW w:w="501" w:type="dxa"/>
          </w:tcPr>
          <w:p w14:paraId="7D3778C8" w14:textId="5F3FAC5A" w:rsidR="00C81048" w:rsidRDefault="00C81048">
            <w:r>
              <w:t>12</w:t>
            </w:r>
          </w:p>
        </w:tc>
        <w:tc>
          <w:tcPr>
            <w:tcW w:w="4854" w:type="dxa"/>
          </w:tcPr>
          <w:p w14:paraId="14EF8913" w14:textId="77777777" w:rsidR="005A40B5" w:rsidRPr="00FB1739" w:rsidRDefault="005A40B5" w:rsidP="005A40B5">
            <w:r w:rsidRPr="00FB1739">
              <w:t xml:space="preserve">DFAT/AHC Port Vila should increase the elevation of VSP within the AHC and support the framing of VSP under a broader system reform agenda that prioritises the strengthening of a national skills system but also acknowledges its central role in Vanuatu’s economic recovery and longer-term development. This would involve </w:t>
            </w:r>
            <w:bookmarkStart w:id="4" w:name="_Hlk90986095"/>
            <w:r w:rsidRPr="00FB1739">
              <w:t>DFAT/AHC Port Vila drawing on and learning from VSP’s ways of working, particularly the team’s understanding of the local political economy and recognising VSP as a key interlocutor with national government.</w:t>
            </w:r>
          </w:p>
          <w:bookmarkEnd w:id="4"/>
          <w:p w14:paraId="542197AD" w14:textId="77777777" w:rsidR="00C81048" w:rsidRDefault="00C81048"/>
        </w:tc>
        <w:tc>
          <w:tcPr>
            <w:tcW w:w="1074" w:type="dxa"/>
            <w:shd w:val="clear" w:color="auto" w:fill="92D050"/>
          </w:tcPr>
          <w:p w14:paraId="27C4ADFA" w14:textId="1B8F5076" w:rsidR="00C81048" w:rsidRPr="001F2158" w:rsidRDefault="00D6299F">
            <w:pPr>
              <w:rPr>
                <w:color w:val="222A35" w:themeColor="text2" w:themeShade="80"/>
              </w:rPr>
            </w:pPr>
            <w:r w:rsidRPr="001F2158">
              <w:rPr>
                <w:color w:val="222A35" w:themeColor="text2" w:themeShade="80"/>
              </w:rPr>
              <w:t xml:space="preserve">Agree </w:t>
            </w:r>
          </w:p>
        </w:tc>
        <w:tc>
          <w:tcPr>
            <w:tcW w:w="3920" w:type="dxa"/>
          </w:tcPr>
          <w:p w14:paraId="0C6176EE" w14:textId="5866836E" w:rsidR="00C81048" w:rsidRDefault="00D6299F">
            <w:r>
              <w:t>Lessons learned from adaptive program to be discuss</w:t>
            </w:r>
            <w:r w:rsidR="00E00616">
              <w:t>ed</w:t>
            </w:r>
            <w:r>
              <w:t xml:space="preserve"> with all sectors. </w:t>
            </w:r>
          </w:p>
          <w:p w14:paraId="022ADDFE" w14:textId="77777777" w:rsidR="00AD5EA1" w:rsidRDefault="00AD5EA1">
            <w:r>
              <w:t xml:space="preserve">The team will continue to participate and present in national, </w:t>
            </w:r>
            <w:proofErr w:type="gramStart"/>
            <w:r>
              <w:t>regional</w:t>
            </w:r>
            <w:proofErr w:type="gramEnd"/>
            <w:r>
              <w:t xml:space="preserve"> and international conferences. </w:t>
            </w:r>
          </w:p>
          <w:p w14:paraId="3F531966" w14:textId="2E2CA7B7" w:rsidR="00AD5EA1" w:rsidRDefault="00AD5EA1"/>
        </w:tc>
        <w:tc>
          <w:tcPr>
            <w:tcW w:w="3762" w:type="dxa"/>
          </w:tcPr>
          <w:p w14:paraId="3E25ADF3" w14:textId="7510769A" w:rsidR="00C81048" w:rsidRDefault="00AD5EA1">
            <w:pPr>
              <w:rPr>
                <w:lang w:val="en-AU"/>
              </w:rPr>
            </w:pPr>
            <w:r w:rsidRPr="004A6F43">
              <w:rPr>
                <w:lang w:val="en-AU"/>
              </w:rPr>
              <w:t>AHC Port Vila will continue to</w:t>
            </w:r>
            <w:r>
              <w:rPr>
                <w:lang w:val="en-AU"/>
              </w:rPr>
              <w:t xml:space="preserve"> involve VSP Director in planning discussion with Education sector (VETSS, VESP MTR, APTC review).</w:t>
            </w:r>
          </w:p>
          <w:p w14:paraId="15820532" w14:textId="038EFD36" w:rsidR="00AD5EA1" w:rsidRDefault="00AD5EA1">
            <w:pPr>
              <w:rPr>
                <w:lang w:val="en-AU"/>
              </w:rPr>
            </w:pPr>
            <w:r>
              <w:rPr>
                <w:lang w:val="en-AU"/>
              </w:rPr>
              <w:t xml:space="preserve">AHC </w:t>
            </w:r>
            <w:r w:rsidR="0076177C">
              <w:t xml:space="preserve">Port Vila </w:t>
            </w:r>
            <w:r>
              <w:rPr>
                <w:lang w:val="en-AU"/>
              </w:rPr>
              <w:t xml:space="preserve">will continue to organise </w:t>
            </w:r>
            <w:r w:rsidR="000164D1">
              <w:rPr>
                <w:lang w:val="en-AU"/>
              </w:rPr>
              <w:t xml:space="preserve">issue-specific </w:t>
            </w:r>
            <w:r w:rsidR="005D23F3">
              <w:rPr>
                <w:lang w:val="en-AU"/>
              </w:rPr>
              <w:t>working sessions</w:t>
            </w:r>
            <w:r>
              <w:rPr>
                <w:lang w:val="en-AU"/>
              </w:rPr>
              <w:t xml:space="preserve"> between </w:t>
            </w:r>
            <w:r w:rsidR="000164D1">
              <w:rPr>
                <w:lang w:val="en-AU"/>
              </w:rPr>
              <w:t>Governance for Growth (</w:t>
            </w:r>
            <w:proofErr w:type="spellStart"/>
            <w:r w:rsidR="000164D1">
              <w:rPr>
                <w:lang w:val="en-AU"/>
              </w:rPr>
              <w:t>GfG</w:t>
            </w:r>
            <w:proofErr w:type="spellEnd"/>
            <w:r w:rsidR="000164D1">
              <w:rPr>
                <w:lang w:val="en-AU"/>
              </w:rPr>
              <w:t xml:space="preserve">) </w:t>
            </w:r>
            <w:r>
              <w:rPr>
                <w:lang w:val="en-AU"/>
              </w:rPr>
              <w:t xml:space="preserve">and VSP on specific </w:t>
            </w:r>
            <w:r w:rsidR="000164D1">
              <w:rPr>
                <w:lang w:val="en-AU"/>
              </w:rPr>
              <w:t xml:space="preserve">issues such as </w:t>
            </w:r>
            <w:r>
              <w:rPr>
                <w:lang w:val="en-AU"/>
              </w:rPr>
              <w:t xml:space="preserve">economic recovery, agriculture, tourism, decentralisation, etc. </w:t>
            </w:r>
          </w:p>
          <w:p w14:paraId="72024621" w14:textId="41186F6D" w:rsidR="009E1AFC" w:rsidRPr="004A6F43" w:rsidRDefault="009E1AFC">
            <w:pPr>
              <w:rPr>
                <w:lang w:val="en-AU"/>
              </w:rPr>
            </w:pPr>
            <w:r w:rsidRPr="004A6F43">
              <w:rPr>
                <w:lang w:val="en-AU"/>
              </w:rPr>
              <w:t xml:space="preserve">AHC will facilitate discussions between VSP and PMO to formalise the relationship </w:t>
            </w:r>
            <w:r>
              <w:rPr>
                <w:lang w:val="en-AU"/>
              </w:rPr>
              <w:t xml:space="preserve">(see recommendation 1) </w:t>
            </w:r>
            <w:r w:rsidRPr="004A6F43">
              <w:rPr>
                <w:lang w:val="en-AU"/>
              </w:rPr>
              <w:t>and VSP’s key coordination role in national economic recovery efforts.</w:t>
            </w:r>
          </w:p>
        </w:tc>
        <w:tc>
          <w:tcPr>
            <w:tcW w:w="1266" w:type="dxa"/>
          </w:tcPr>
          <w:p w14:paraId="5C49454A" w14:textId="7A4C2422" w:rsidR="00C81048" w:rsidRDefault="00D6299F">
            <w:r>
              <w:t xml:space="preserve">Ongoing </w:t>
            </w:r>
          </w:p>
        </w:tc>
      </w:tr>
      <w:tr w:rsidR="00B13D1B" w14:paraId="2712183B" w14:textId="77777777" w:rsidTr="004A6F43">
        <w:tc>
          <w:tcPr>
            <w:tcW w:w="501" w:type="dxa"/>
          </w:tcPr>
          <w:p w14:paraId="078D7F7B" w14:textId="007B4961" w:rsidR="00C81048" w:rsidRDefault="00C81048">
            <w:r>
              <w:t>13</w:t>
            </w:r>
          </w:p>
        </w:tc>
        <w:tc>
          <w:tcPr>
            <w:tcW w:w="4854" w:type="dxa"/>
          </w:tcPr>
          <w:p w14:paraId="06225F2E" w14:textId="048C8427" w:rsidR="005A40B5" w:rsidRPr="00FB1739" w:rsidRDefault="005A40B5" w:rsidP="005A40B5">
            <w:r>
              <w:t xml:space="preserve">Through further analysis, </w:t>
            </w:r>
            <w:r w:rsidRPr="00FB1739">
              <w:t xml:space="preserve">DFAT/AHC Port Vila should explore the establishment a </w:t>
            </w:r>
            <w:r>
              <w:t>Direct Funding Arrangement</w:t>
            </w:r>
            <w:r w:rsidRPr="00FB1739">
              <w:t xml:space="preserve"> with a second </w:t>
            </w:r>
            <w:proofErr w:type="spellStart"/>
            <w:r w:rsidRPr="00FB1739">
              <w:t>GoV</w:t>
            </w:r>
            <w:proofErr w:type="spellEnd"/>
            <w:r w:rsidRPr="00FB1739">
              <w:t xml:space="preserve"> partner (beyond </w:t>
            </w:r>
            <w:proofErr w:type="spellStart"/>
            <w:r w:rsidRPr="00FB1739">
              <w:t>MoET</w:t>
            </w:r>
            <w:proofErr w:type="spellEnd"/>
            <w:r w:rsidR="00353F16">
              <w:t>)</w:t>
            </w:r>
            <w:r w:rsidRPr="00FB1739">
              <w:t xml:space="preserve"> in the short term</w:t>
            </w:r>
            <w:r w:rsidR="00353F16">
              <w:t xml:space="preserve"> to</w:t>
            </w:r>
            <w:r w:rsidRPr="00FB1739">
              <w:t xml:space="preserve"> provide additional flexibility for VSP to respond to different opportunities, including for emergency/disaster response and recovery and longer term facilitate the transfer of the Skills Development Fund, currently managed by VSP over to </w:t>
            </w:r>
            <w:proofErr w:type="spellStart"/>
            <w:r w:rsidRPr="00FB1739">
              <w:t>GoV.</w:t>
            </w:r>
            <w:proofErr w:type="spellEnd"/>
            <w:r w:rsidRPr="00FB1739">
              <w:t xml:space="preserve"> </w:t>
            </w:r>
          </w:p>
          <w:p w14:paraId="5A603652" w14:textId="77777777" w:rsidR="00C81048" w:rsidRDefault="00C81048"/>
        </w:tc>
        <w:tc>
          <w:tcPr>
            <w:tcW w:w="1074" w:type="dxa"/>
            <w:shd w:val="clear" w:color="auto" w:fill="FFC000"/>
          </w:tcPr>
          <w:p w14:paraId="3810E12C" w14:textId="13A2FB71" w:rsidR="00C81048" w:rsidRPr="001F2158" w:rsidRDefault="00AD5EA1">
            <w:pPr>
              <w:rPr>
                <w:color w:val="222A35" w:themeColor="text2" w:themeShade="80"/>
              </w:rPr>
            </w:pPr>
            <w:r w:rsidRPr="001F2158">
              <w:rPr>
                <w:color w:val="222A35" w:themeColor="text2" w:themeShade="80"/>
              </w:rPr>
              <w:t>A</w:t>
            </w:r>
            <w:r w:rsidR="00B13D1B" w:rsidRPr="001F2158">
              <w:rPr>
                <w:color w:val="222A35" w:themeColor="text2" w:themeShade="80"/>
              </w:rPr>
              <w:t xml:space="preserve">gree </w:t>
            </w:r>
            <w:r w:rsidRPr="001F2158">
              <w:rPr>
                <w:color w:val="222A35" w:themeColor="text2" w:themeShade="80"/>
              </w:rPr>
              <w:t>in part</w:t>
            </w:r>
          </w:p>
        </w:tc>
        <w:tc>
          <w:tcPr>
            <w:tcW w:w="3920" w:type="dxa"/>
            <w:shd w:val="clear" w:color="auto" w:fill="auto"/>
          </w:tcPr>
          <w:p w14:paraId="7A9B38B6" w14:textId="7F3A185E" w:rsidR="00D6299F" w:rsidRDefault="00AD5EA1">
            <w:r>
              <w:t xml:space="preserve">The establishment of a Direct </w:t>
            </w:r>
            <w:r w:rsidR="004509F5">
              <w:t>Funding</w:t>
            </w:r>
            <w:r>
              <w:t xml:space="preserve"> Arrangement </w:t>
            </w:r>
            <w:r w:rsidR="004509F5">
              <w:t xml:space="preserve">(DFA) </w:t>
            </w:r>
            <w:r>
              <w:t xml:space="preserve">with a </w:t>
            </w:r>
            <w:proofErr w:type="spellStart"/>
            <w:r>
              <w:t>GoV</w:t>
            </w:r>
            <w:proofErr w:type="spellEnd"/>
            <w:r>
              <w:t xml:space="preserve"> department </w:t>
            </w:r>
            <w:r w:rsidR="00353F16">
              <w:t xml:space="preserve">requires </w:t>
            </w:r>
            <w:r w:rsidR="00EB0BFF">
              <w:t>a Fiduciary Risks Assessment</w:t>
            </w:r>
            <w:r>
              <w:t xml:space="preserve"> from AHC</w:t>
            </w:r>
            <w:r w:rsidR="00EB0BFF">
              <w:t xml:space="preserve">. </w:t>
            </w:r>
          </w:p>
        </w:tc>
        <w:tc>
          <w:tcPr>
            <w:tcW w:w="3762" w:type="dxa"/>
          </w:tcPr>
          <w:p w14:paraId="14B4D2C5" w14:textId="39590D0E" w:rsidR="00EB0BFF" w:rsidRDefault="00EB0BFF">
            <w:r>
              <w:t xml:space="preserve">AHC </w:t>
            </w:r>
            <w:r w:rsidR="00353F16">
              <w:t>is</w:t>
            </w:r>
            <w:r w:rsidR="00396990">
              <w:t xml:space="preserve"> </w:t>
            </w:r>
            <w:r w:rsidR="00353F16">
              <w:t xml:space="preserve">considering an </w:t>
            </w:r>
            <w:r w:rsidR="004509F5">
              <w:t>A</w:t>
            </w:r>
            <w:r w:rsidR="009E1AFC">
              <w:t>ssessment</w:t>
            </w:r>
            <w:r w:rsidR="004509F5">
              <w:t xml:space="preserve"> of </w:t>
            </w:r>
            <w:r w:rsidR="000164D1">
              <w:t xml:space="preserve">Vanuatu’s </w:t>
            </w:r>
            <w:r w:rsidR="004509F5">
              <w:t xml:space="preserve">Department of Local Authorities </w:t>
            </w:r>
            <w:r w:rsidR="000164D1">
              <w:t xml:space="preserve">(within the Ministry of Internal Affairs) to </w:t>
            </w:r>
            <w:r w:rsidR="00D526FE">
              <w:t>assess</w:t>
            </w:r>
            <w:r w:rsidR="000164D1">
              <w:t xml:space="preserve"> </w:t>
            </w:r>
            <w:r>
              <w:t xml:space="preserve">the possibility </w:t>
            </w:r>
            <w:r w:rsidR="000164D1">
              <w:t>of</w:t>
            </w:r>
            <w:r>
              <w:t xml:space="preserve"> establish</w:t>
            </w:r>
            <w:r w:rsidR="000164D1">
              <w:t>ing</w:t>
            </w:r>
            <w:r>
              <w:t xml:space="preserve"> a </w:t>
            </w:r>
            <w:r w:rsidR="004509F5">
              <w:t>DFA</w:t>
            </w:r>
            <w:r>
              <w:t xml:space="preserve">. </w:t>
            </w:r>
          </w:p>
          <w:p w14:paraId="2FDB9541" w14:textId="2840B0C6" w:rsidR="00C81048" w:rsidRDefault="00C81048"/>
        </w:tc>
        <w:tc>
          <w:tcPr>
            <w:tcW w:w="1266" w:type="dxa"/>
          </w:tcPr>
          <w:p w14:paraId="15F9B143" w14:textId="21C0813E" w:rsidR="00C81048" w:rsidRDefault="00396990">
            <w:r>
              <w:t>Ongoing</w:t>
            </w:r>
          </w:p>
        </w:tc>
      </w:tr>
      <w:tr w:rsidR="00B13D1B" w14:paraId="32639826" w14:textId="77777777" w:rsidTr="00B13D1B">
        <w:tc>
          <w:tcPr>
            <w:tcW w:w="501" w:type="dxa"/>
          </w:tcPr>
          <w:p w14:paraId="0630CADA" w14:textId="677DC57A" w:rsidR="00C81048" w:rsidRDefault="005A40B5">
            <w:r>
              <w:lastRenderedPageBreak/>
              <w:t>14</w:t>
            </w:r>
          </w:p>
        </w:tc>
        <w:tc>
          <w:tcPr>
            <w:tcW w:w="4854" w:type="dxa"/>
          </w:tcPr>
          <w:p w14:paraId="18E2CD90" w14:textId="72BF3B26" w:rsidR="00C81048" w:rsidRDefault="005A40B5">
            <w:r w:rsidRPr="00FB1739">
              <w:t xml:space="preserve">DFAT/AHC Port Vila </w:t>
            </w:r>
            <w:r>
              <w:t>should</w:t>
            </w:r>
            <w:r w:rsidRPr="00FB1739">
              <w:t xml:space="preserve"> continue to ensure the necessary authorising environment remains in place to enable VSP to continue to be flexible, </w:t>
            </w:r>
            <w:proofErr w:type="gramStart"/>
            <w:r w:rsidRPr="00FB1739">
              <w:t>responsive</w:t>
            </w:r>
            <w:proofErr w:type="gramEnd"/>
            <w:r w:rsidRPr="00FB1739">
              <w:t xml:space="preserve"> and adaptive to contextual priorities.</w:t>
            </w:r>
            <w:r w:rsidRPr="004E0A91">
              <w:t xml:space="preserve">  </w:t>
            </w:r>
          </w:p>
        </w:tc>
        <w:tc>
          <w:tcPr>
            <w:tcW w:w="1074" w:type="dxa"/>
            <w:shd w:val="clear" w:color="auto" w:fill="92D050"/>
          </w:tcPr>
          <w:p w14:paraId="4FF4C1E9" w14:textId="3B9D41EF" w:rsidR="00C81048" w:rsidRPr="001F2158" w:rsidRDefault="00D6299F">
            <w:pPr>
              <w:rPr>
                <w:color w:val="222A35" w:themeColor="text2" w:themeShade="80"/>
              </w:rPr>
            </w:pPr>
            <w:r w:rsidRPr="001F2158">
              <w:rPr>
                <w:color w:val="222A35" w:themeColor="text2" w:themeShade="80"/>
              </w:rPr>
              <w:t xml:space="preserve">Agree </w:t>
            </w:r>
          </w:p>
        </w:tc>
        <w:tc>
          <w:tcPr>
            <w:tcW w:w="3920" w:type="dxa"/>
          </w:tcPr>
          <w:p w14:paraId="7BBFF51D" w14:textId="485E6890" w:rsidR="00C81048" w:rsidRDefault="00FC3232">
            <w:r>
              <w:t>The mandate and trust granted to VSP by DFAT over many years has been a key factor in enabling not just VSP but also other DFAT programs such as Governance for Growth in Vanuatu to think and working politically, align to Vanuatu’s interests, and build its ‘trusted partner’ credibility.</w:t>
            </w:r>
          </w:p>
        </w:tc>
        <w:tc>
          <w:tcPr>
            <w:tcW w:w="3762" w:type="dxa"/>
          </w:tcPr>
          <w:p w14:paraId="01C03EB3" w14:textId="67DFCA6A" w:rsidR="00FC3232" w:rsidRDefault="001F440E">
            <w:r>
              <w:t xml:space="preserve">AHC Port Vila will continue to </w:t>
            </w:r>
            <w:r w:rsidR="00FC3232">
              <w:t xml:space="preserve">provide an enabling environment for VSP to remain adaptive and flexible. </w:t>
            </w:r>
          </w:p>
          <w:p w14:paraId="0E2B41D7" w14:textId="48203157" w:rsidR="00D6299F" w:rsidRDefault="00FC3232">
            <w:r>
              <w:t xml:space="preserve">AHC Port Vila will </w:t>
            </w:r>
            <w:r w:rsidR="001F440E">
              <w:t xml:space="preserve">continue </w:t>
            </w:r>
            <w:r>
              <w:t xml:space="preserve">to work with DFAT </w:t>
            </w:r>
            <w:r w:rsidR="000164D1">
              <w:t xml:space="preserve">Canberra </w:t>
            </w:r>
            <w:r>
              <w:t xml:space="preserve">to </w:t>
            </w:r>
            <w:r w:rsidR="000164D1">
              <w:t xml:space="preserve">promote the strong development outcomes and lessons from the VSP adaptive initiative (including through </w:t>
            </w:r>
            <w:r>
              <w:t>presentation</w:t>
            </w:r>
            <w:r w:rsidR="000164D1">
              <w:t>s)</w:t>
            </w:r>
            <w:r>
              <w:t xml:space="preserve"> to </w:t>
            </w:r>
            <w:r w:rsidR="000164D1">
              <w:t>promote greater use of</w:t>
            </w:r>
            <w:r>
              <w:t xml:space="preserve"> </w:t>
            </w:r>
            <w:r w:rsidR="000164D1">
              <w:t xml:space="preserve">flexible and </w:t>
            </w:r>
            <w:r>
              <w:t xml:space="preserve">adaptive programming. </w:t>
            </w:r>
          </w:p>
        </w:tc>
        <w:tc>
          <w:tcPr>
            <w:tcW w:w="1266" w:type="dxa"/>
          </w:tcPr>
          <w:p w14:paraId="2C898297" w14:textId="712AF871" w:rsidR="00C81048" w:rsidRDefault="00D6299F">
            <w:r>
              <w:t xml:space="preserve">Ongoing </w:t>
            </w:r>
          </w:p>
        </w:tc>
      </w:tr>
    </w:tbl>
    <w:p w14:paraId="1C36B33D" w14:textId="77777777" w:rsidR="00C81048" w:rsidRDefault="00C81048" w:rsidP="0076177C"/>
    <w:sectPr w:rsidR="00C81048" w:rsidSect="004A6F43">
      <w:footerReference w:type="defaul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31A9E" w14:textId="77777777" w:rsidR="005A40B5" w:rsidRDefault="005A40B5" w:rsidP="005A40B5">
      <w:pPr>
        <w:spacing w:before="0" w:after="0" w:line="240" w:lineRule="auto"/>
      </w:pPr>
      <w:r>
        <w:separator/>
      </w:r>
    </w:p>
  </w:endnote>
  <w:endnote w:type="continuationSeparator" w:id="0">
    <w:p w14:paraId="295680A1" w14:textId="77777777" w:rsidR="005A40B5" w:rsidRDefault="005A40B5" w:rsidP="005A40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9095" w14:textId="31122BE6" w:rsidR="00973FD9" w:rsidRDefault="00973FD9">
    <w:pPr>
      <w:pStyle w:val="Footer"/>
    </w:pPr>
    <w:r>
      <w:t xml:space="preserve">MANAGEMENT RESPONSE: Evaluation of the Vanuatu Skills Partnership </w:t>
    </w:r>
  </w:p>
  <w:p w14:paraId="556BF533" w14:textId="77777777" w:rsidR="00043A26" w:rsidRDefault="0004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FE9F0" w14:textId="77777777" w:rsidR="005A40B5" w:rsidRDefault="005A40B5" w:rsidP="005A40B5">
      <w:pPr>
        <w:spacing w:before="0" w:after="0" w:line="240" w:lineRule="auto"/>
      </w:pPr>
      <w:r>
        <w:separator/>
      </w:r>
    </w:p>
  </w:footnote>
  <w:footnote w:type="continuationSeparator" w:id="0">
    <w:p w14:paraId="64E6A31F" w14:textId="77777777" w:rsidR="005A40B5" w:rsidRDefault="005A40B5" w:rsidP="005A40B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135DF"/>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F622AB8"/>
    <w:multiLevelType w:val="hybridMultilevel"/>
    <w:tmpl w:val="25DCDAE2"/>
    <w:lvl w:ilvl="0" w:tplc="D160FB6A">
      <w:start w:val="1"/>
      <w:numFmt w:val="bullet"/>
      <w:lvlText w:val="•"/>
      <w:lvlJc w:val="left"/>
      <w:pPr>
        <w:tabs>
          <w:tab w:val="num" w:pos="720"/>
        </w:tabs>
        <w:ind w:left="720" w:hanging="360"/>
      </w:pPr>
      <w:rPr>
        <w:rFonts w:ascii="Arial" w:hAnsi="Arial" w:hint="default"/>
      </w:rPr>
    </w:lvl>
    <w:lvl w:ilvl="1" w:tplc="D4D0DAA2">
      <w:start w:val="1"/>
      <w:numFmt w:val="bullet"/>
      <w:lvlText w:val="•"/>
      <w:lvlJc w:val="left"/>
      <w:pPr>
        <w:tabs>
          <w:tab w:val="num" w:pos="1440"/>
        </w:tabs>
        <w:ind w:left="1440" w:hanging="360"/>
      </w:pPr>
      <w:rPr>
        <w:rFonts w:ascii="Arial" w:hAnsi="Arial" w:hint="default"/>
      </w:rPr>
    </w:lvl>
    <w:lvl w:ilvl="2" w:tplc="0C546E76">
      <w:start w:val="1"/>
      <w:numFmt w:val="bullet"/>
      <w:lvlText w:val="•"/>
      <w:lvlJc w:val="left"/>
      <w:pPr>
        <w:tabs>
          <w:tab w:val="num" w:pos="2160"/>
        </w:tabs>
        <w:ind w:left="2160" w:hanging="360"/>
      </w:pPr>
      <w:rPr>
        <w:rFonts w:ascii="Arial" w:hAnsi="Arial" w:hint="default"/>
      </w:rPr>
    </w:lvl>
    <w:lvl w:ilvl="3" w:tplc="06CAE166" w:tentative="1">
      <w:start w:val="1"/>
      <w:numFmt w:val="bullet"/>
      <w:lvlText w:val="•"/>
      <w:lvlJc w:val="left"/>
      <w:pPr>
        <w:tabs>
          <w:tab w:val="num" w:pos="2880"/>
        </w:tabs>
        <w:ind w:left="2880" w:hanging="360"/>
      </w:pPr>
      <w:rPr>
        <w:rFonts w:ascii="Arial" w:hAnsi="Arial" w:hint="default"/>
      </w:rPr>
    </w:lvl>
    <w:lvl w:ilvl="4" w:tplc="A56CCCF4" w:tentative="1">
      <w:start w:val="1"/>
      <w:numFmt w:val="bullet"/>
      <w:lvlText w:val="•"/>
      <w:lvlJc w:val="left"/>
      <w:pPr>
        <w:tabs>
          <w:tab w:val="num" w:pos="3600"/>
        </w:tabs>
        <w:ind w:left="3600" w:hanging="360"/>
      </w:pPr>
      <w:rPr>
        <w:rFonts w:ascii="Arial" w:hAnsi="Arial" w:hint="default"/>
      </w:rPr>
    </w:lvl>
    <w:lvl w:ilvl="5" w:tplc="69A67818" w:tentative="1">
      <w:start w:val="1"/>
      <w:numFmt w:val="bullet"/>
      <w:lvlText w:val="•"/>
      <w:lvlJc w:val="left"/>
      <w:pPr>
        <w:tabs>
          <w:tab w:val="num" w:pos="4320"/>
        </w:tabs>
        <w:ind w:left="4320" w:hanging="360"/>
      </w:pPr>
      <w:rPr>
        <w:rFonts w:ascii="Arial" w:hAnsi="Arial" w:hint="default"/>
      </w:rPr>
    </w:lvl>
    <w:lvl w:ilvl="6" w:tplc="D11A770A" w:tentative="1">
      <w:start w:val="1"/>
      <w:numFmt w:val="bullet"/>
      <w:lvlText w:val="•"/>
      <w:lvlJc w:val="left"/>
      <w:pPr>
        <w:tabs>
          <w:tab w:val="num" w:pos="5040"/>
        </w:tabs>
        <w:ind w:left="5040" w:hanging="360"/>
      </w:pPr>
      <w:rPr>
        <w:rFonts w:ascii="Arial" w:hAnsi="Arial" w:hint="default"/>
      </w:rPr>
    </w:lvl>
    <w:lvl w:ilvl="7" w:tplc="42342388" w:tentative="1">
      <w:start w:val="1"/>
      <w:numFmt w:val="bullet"/>
      <w:lvlText w:val="•"/>
      <w:lvlJc w:val="left"/>
      <w:pPr>
        <w:tabs>
          <w:tab w:val="num" w:pos="5760"/>
        </w:tabs>
        <w:ind w:left="5760" w:hanging="360"/>
      </w:pPr>
      <w:rPr>
        <w:rFonts w:ascii="Arial" w:hAnsi="Arial" w:hint="default"/>
      </w:rPr>
    </w:lvl>
    <w:lvl w:ilvl="8" w:tplc="59C40A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2856C1"/>
    <w:multiLevelType w:val="hybridMultilevel"/>
    <w:tmpl w:val="EC868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F90F83"/>
    <w:multiLevelType w:val="hybridMultilevel"/>
    <w:tmpl w:val="7C741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F543FE"/>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BC174D"/>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2E18C0"/>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02C0882"/>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BB22C9"/>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9071AE"/>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DEC6F2C"/>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26A5A39"/>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3FE35A1"/>
    <w:multiLevelType w:val="hybridMultilevel"/>
    <w:tmpl w:val="CB88BF32"/>
    <w:lvl w:ilvl="0" w:tplc="5FD835B6">
      <w:start w:val="1"/>
      <w:numFmt w:val="decimal"/>
      <w:lvlText w:val="%1)"/>
      <w:lvlJc w:val="left"/>
      <w:pPr>
        <w:ind w:left="720" w:hanging="360"/>
      </w:pPr>
      <w:rPr>
        <w:rFonts w:hint="default"/>
        <w:b/>
        <w:i w:val="0"/>
        <w:iCs w:val="0"/>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13"/>
  </w:num>
  <w:num w:numId="3">
    <w:abstractNumId w:val="3"/>
  </w:num>
  <w:num w:numId="4">
    <w:abstractNumId w:val="8"/>
  </w:num>
  <w:num w:numId="5">
    <w:abstractNumId w:val="11"/>
  </w:num>
  <w:num w:numId="6">
    <w:abstractNumId w:val="12"/>
  </w:num>
  <w:num w:numId="7">
    <w:abstractNumId w:val="7"/>
  </w:num>
  <w:num w:numId="8">
    <w:abstractNumId w:val="5"/>
  </w:num>
  <w:num w:numId="9">
    <w:abstractNumId w:val="4"/>
  </w:num>
  <w:num w:numId="10">
    <w:abstractNumId w:val="10"/>
  </w:num>
  <w:num w:numId="11">
    <w:abstractNumId w:val="9"/>
  </w:num>
  <w:num w:numId="12">
    <w:abstractNumId w:val="0"/>
  </w:num>
  <w:num w:numId="13">
    <w:abstractNumId w:val="6"/>
  </w:num>
  <w:num w:numId="14">
    <w:abstractNumId w:val="2"/>
  </w:num>
  <w:num w:numId="15">
    <w:abstractNumId w:val="1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48"/>
    <w:rsid w:val="000164D1"/>
    <w:rsid w:val="00043A26"/>
    <w:rsid w:val="000615BE"/>
    <w:rsid w:val="00086736"/>
    <w:rsid w:val="00096C15"/>
    <w:rsid w:val="000A0AA2"/>
    <w:rsid w:val="000A204F"/>
    <w:rsid w:val="000A31E6"/>
    <w:rsid w:val="001172C6"/>
    <w:rsid w:val="00117427"/>
    <w:rsid w:val="00122D07"/>
    <w:rsid w:val="00132D92"/>
    <w:rsid w:val="00135365"/>
    <w:rsid w:val="0014329F"/>
    <w:rsid w:val="001F2158"/>
    <w:rsid w:val="001F440E"/>
    <w:rsid w:val="00214FC3"/>
    <w:rsid w:val="00244813"/>
    <w:rsid w:val="00250D70"/>
    <w:rsid w:val="00271978"/>
    <w:rsid w:val="002863D9"/>
    <w:rsid w:val="00291607"/>
    <w:rsid w:val="002B19F1"/>
    <w:rsid w:val="002B466B"/>
    <w:rsid w:val="002C43CB"/>
    <w:rsid w:val="002E0246"/>
    <w:rsid w:val="002E1307"/>
    <w:rsid w:val="003007E4"/>
    <w:rsid w:val="003135F7"/>
    <w:rsid w:val="0031383E"/>
    <w:rsid w:val="00342C7E"/>
    <w:rsid w:val="00353F16"/>
    <w:rsid w:val="00357D27"/>
    <w:rsid w:val="00396990"/>
    <w:rsid w:val="003B12D7"/>
    <w:rsid w:val="003B6810"/>
    <w:rsid w:val="003F2453"/>
    <w:rsid w:val="00401331"/>
    <w:rsid w:val="00431D53"/>
    <w:rsid w:val="004509F5"/>
    <w:rsid w:val="00461DEB"/>
    <w:rsid w:val="00484CDE"/>
    <w:rsid w:val="004A6F43"/>
    <w:rsid w:val="004C5106"/>
    <w:rsid w:val="005301C6"/>
    <w:rsid w:val="00534D08"/>
    <w:rsid w:val="0053583B"/>
    <w:rsid w:val="005407C2"/>
    <w:rsid w:val="00543FD4"/>
    <w:rsid w:val="00554329"/>
    <w:rsid w:val="005608C7"/>
    <w:rsid w:val="005817B1"/>
    <w:rsid w:val="005A40B5"/>
    <w:rsid w:val="005D23F3"/>
    <w:rsid w:val="005E25DB"/>
    <w:rsid w:val="00654750"/>
    <w:rsid w:val="00680F15"/>
    <w:rsid w:val="006C7E76"/>
    <w:rsid w:val="00703DFB"/>
    <w:rsid w:val="007122D1"/>
    <w:rsid w:val="00740A2B"/>
    <w:rsid w:val="0076177C"/>
    <w:rsid w:val="00762ED2"/>
    <w:rsid w:val="00777E43"/>
    <w:rsid w:val="007A3846"/>
    <w:rsid w:val="007D6E2F"/>
    <w:rsid w:val="00821367"/>
    <w:rsid w:val="00826009"/>
    <w:rsid w:val="00840A82"/>
    <w:rsid w:val="008558CA"/>
    <w:rsid w:val="0087565A"/>
    <w:rsid w:val="00876E3D"/>
    <w:rsid w:val="008A613C"/>
    <w:rsid w:val="008B54DA"/>
    <w:rsid w:val="00917C84"/>
    <w:rsid w:val="00927B12"/>
    <w:rsid w:val="009637B8"/>
    <w:rsid w:val="00973FD9"/>
    <w:rsid w:val="00975F4D"/>
    <w:rsid w:val="00983017"/>
    <w:rsid w:val="00984E5E"/>
    <w:rsid w:val="00993542"/>
    <w:rsid w:val="009A666C"/>
    <w:rsid w:val="009E1AFC"/>
    <w:rsid w:val="00A3028F"/>
    <w:rsid w:val="00A340FC"/>
    <w:rsid w:val="00A8105D"/>
    <w:rsid w:val="00AD5EA1"/>
    <w:rsid w:val="00B13D1B"/>
    <w:rsid w:val="00B2677C"/>
    <w:rsid w:val="00B4239D"/>
    <w:rsid w:val="00B617BB"/>
    <w:rsid w:val="00B92B31"/>
    <w:rsid w:val="00B93932"/>
    <w:rsid w:val="00BA3CFE"/>
    <w:rsid w:val="00BB0E18"/>
    <w:rsid w:val="00BB1C19"/>
    <w:rsid w:val="00C650E9"/>
    <w:rsid w:val="00C74270"/>
    <w:rsid w:val="00C81048"/>
    <w:rsid w:val="00C93480"/>
    <w:rsid w:val="00CE589F"/>
    <w:rsid w:val="00D420FB"/>
    <w:rsid w:val="00D526FE"/>
    <w:rsid w:val="00D6299F"/>
    <w:rsid w:val="00DB36D2"/>
    <w:rsid w:val="00E00616"/>
    <w:rsid w:val="00E22CCB"/>
    <w:rsid w:val="00E35939"/>
    <w:rsid w:val="00E56FF9"/>
    <w:rsid w:val="00E737D5"/>
    <w:rsid w:val="00E857B4"/>
    <w:rsid w:val="00EA47C1"/>
    <w:rsid w:val="00EA7786"/>
    <w:rsid w:val="00EB0BFF"/>
    <w:rsid w:val="00EC17FF"/>
    <w:rsid w:val="00EC1833"/>
    <w:rsid w:val="00ED1185"/>
    <w:rsid w:val="00F14E53"/>
    <w:rsid w:val="00F6333E"/>
    <w:rsid w:val="00FC3232"/>
    <w:rsid w:val="00FC661B"/>
    <w:rsid w:val="00FE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933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48"/>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C81048"/>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unhideWhenUsed/>
    <w:qFormat/>
    <w:rsid w:val="00984E5E"/>
    <w:pPr>
      <w:keepNext/>
      <w:keepLines/>
      <w:spacing w:before="240" w:after="120" w:line="240" w:lineRule="auto"/>
      <w:outlineLvl w:val="1"/>
    </w:pPr>
    <w:rPr>
      <w:rFonts w:asciiTheme="majorHAnsi" w:eastAsiaTheme="majorEastAsia" w:hAnsiTheme="majorHAnsi" w:cstheme="majorBidi"/>
      <w:bCs/>
      <w:sz w:val="30"/>
      <w:szCs w:val="26"/>
      <w:lang w:val="en-AU"/>
    </w:rPr>
  </w:style>
  <w:style w:type="paragraph" w:styleId="Heading3">
    <w:name w:val="heading 3"/>
    <w:basedOn w:val="Heading2"/>
    <w:next w:val="Normal"/>
    <w:link w:val="Heading3Char"/>
    <w:unhideWhenUsed/>
    <w:qFormat/>
    <w:rsid w:val="00C81048"/>
    <w:pPr>
      <w:spacing w:before="480" w:line="360" w:lineRule="atLeast"/>
      <w:contextualSpacing/>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048"/>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C81048"/>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rsid w:val="00984E5E"/>
    <w:rPr>
      <w:rFonts w:asciiTheme="majorHAnsi" w:eastAsiaTheme="majorEastAsia" w:hAnsiTheme="majorHAnsi" w:cstheme="majorBidi"/>
      <w:bCs/>
      <w:color w:val="44546A" w:themeColor="text2"/>
      <w:sz w:val="30"/>
      <w:szCs w:val="26"/>
    </w:rPr>
  </w:style>
  <w:style w:type="table" w:styleId="TableGrid">
    <w:name w:val="Table Grid"/>
    <w:basedOn w:val="TableNormal"/>
    <w:uiPriority w:val="39"/>
    <w:rsid w:val="00C8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Anumberedlist">
    <w:name w:val="SDA numbered list"/>
    <w:basedOn w:val="Normal"/>
    <w:link w:val="SDAnumberedlistChar"/>
    <w:qFormat/>
    <w:rsid w:val="00C81048"/>
    <w:pPr>
      <w:numPr>
        <w:numId w:val="2"/>
      </w:numPr>
      <w:suppressAutoHyphens w:val="0"/>
      <w:spacing w:after="120" w:line="240" w:lineRule="auto"/>
    </w:pPr>
    <w:rPr>
      <w:color w:val="auto"/>
    </w:rPr>
  </w:style>
  <w:style w:type="character" w:customStyle="1" w:styleId="SDAnumberedlistChar">
    <w:name w:val="SDA numbered list Char"/>
    <w:basedOn w:val="DefaultParagraphFont"/>
    <w:link w:val="SDAnumberedlist"/>
    <w:rsid w:val="00C81048"/>
    <w:rPr>
      <w:lang w:val="en-GB"/>
    </w:rPr>
  </w:style>
  <w:style w:type="paragraph" w:styleId="ListParagraph">
    <w:name w:val="List Paragraph"/>
    <w:basedOn w:val="Normal"/>
    <w:uiPriority w:val="34"/>
    <w:qFormat/>
    <w:rsid w:val="007D6E2F"/>
    <w:pPr>
      <w:ind w:left="720"/>
      <w:contextualSpacing/>
    </w:pPr>
  </w:style>
  <w:style w:type="character" w:styleId="CommentReference">
    <w:name w:val="annotation reference"/>
    <w:basedOn w:val="DefaultParagraphFont"/>
    <w:uiPriority w:val="99"/>
    <w:semiHidden/>
    <w:unhideWhenUsed/>
    <w:rsid w:val="00484CDE"/>
    <w:rPr>
      <w:sz w:val="16"/>
      <w:szCs w:val="16"/>
    </w:rPr>
  </w:style>
  <w:style w:type="paragraph" w:styleId="CommentText">
    <w:name w:val="annotation text"/>
    <w:basedOn w:val="Normal"/>
    <w:link w:val="CommentTextChar"/>
    <w:uiPriority w:val="99"/>
    <w:semiHidden/>
    <w:unhideWhenUsed/>
    <w:rsid w:val="00484CDE"/>
    <w:pPr>
      <w:spacing w:line="240" w:lineRule="auto"/>
    </w:pPr>
    <w:rPr>
      <w:sz w:val="20"/>
      <w:szCs w:val="20"/>
    </w:rPr>
  </w:style>
  <w:style w:type="character" w:customStyle="1" w:styleId="CommentTextChar">
    <w:name w:val="Comment Text Char"/>
    <w:basedOn w:val="DefaultParagraphFont"/>
    <w:link w:val="CommentText"/>
    <w:uiPriority w:val="99"/>
    <w:semiHidden/>
    <w:rsid w:val="00484CDE"/>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484CDE"/>
    <w:rPr>
      <w:b/>
      <w:bCs/>
    </w:rPr>
  </w:style>
  <w:style w:type="character" w:customStyle="1" w:styleId="CommentSubjectChar">
    <w:name w:val="Comment Subject Char"/>
    <w:basedOn w:val="CommentTextChar"/>
    <w:link w:val="CommentSubject"/>
    <w:uiPriority w:val="99"/>
    <w:semiHidden/>
    <w:rsid w:val="00484CDE"/>
    <w:rPr>
      <w:b/>
      <w:bCs/>
      <w:color w:val="44546A" w:themeColor="text2"/>
      <w:sz w:val="20"/>
      <w:szCs w:val="20"/>
      <w:lang w:val="en-GB"/>
    </w:rPr>
  </w:style>
  <w:style w:type="paragraph" w:styleId="Header">
    <w:name w:val="header"/>
    <w:basedOn w:val="Normal"/>
    <w:link w:val="HeaderChar"/>
    <w:uiPriority w:val="99"/>
    <w:unhideWhenUsed/>
    <w:rsid w:val="00043A2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3A26"/>
    <w:rPr>
      <w:color w:val="44546A" w:themeColor="text2"/>
      <w:lang w:val="en-GB"/>
    </w:rPr>
  </w:style>
  <w:style w:type="paragraph" w:styleId="Footer">
    <w:name w:val="footer"/>
    <w:basedOn w:val="Normal"/>
    <w:link w:val="FooterChar"/>
    <w:uiPriority w:val="99"/>
    <w:unhideWhenUsed/>
    <w:rsid w:val="00043A2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43A26"/>
    <w:rPr>
      <w:color w:val="44546A" w:themeColor="text2"/>
      <w:lang w:val="en-GB"/>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Char Char,Char,ft,f"/>
    <w:basedOn w:val="Normal"/>
    <w:link w:val="FootnoteTextChar"/>
    <w:uiPriority w:val="99"/>
    <w:unhideWhenUsed/>
    <w:qFormat/>
    <w:rsid w:val="00FC3232"/>
    <w:pPr>
      <w:suppressAutoHyphens w:val="0"/>
      <w:spacing w:before="0" w:after="180" w:line="274" w:lineRule="auto"/>
    </w:pPr>
    <w:rPr>
      <w:color w:val="auto"/>
      <w:sz w:val="20"/>
      <w:szCs w:val="20"/>
      <w:lang w:val="en-AU"/>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Char Char Char"/>
    <w:basedOn w:val="DefaultParagraphFont"/>
    <w:link w:val="FootnoteText"/>
    <w:uiPriority w:val="99"/>
    <w:qFormat/>
    <w:rsid w:val="00FC3232"/>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FC3232"/>
    <w:rPr>
      <w:vertAlign w:val="superscript"/>
    </w:rPr>
  </w:style>
  <w:style w:type="paragraph" w:customStyle="1" w:styleId="zzFootnotre">
    <w:name w:val="zz Footnot re"/>
    <w:basedOn w:val="Normal"/>
    <w:link w:val="FootnoteReference"/>
    <w:uiPriority w:val="99"/>
    <w:rsid w:val="00FC3232"/>
    <w:pPr>
      <w:suppressAutoHyphens w:val="0"/>
      <w:spacing w:after="160" w:line="240" w:lineRule="exact"/>
      <w:ind w:left="432"/>
    </w:pPr>
    <w:rPr>
      <w:color w:val="auto"/>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8321-9FD1-49FC-8B93-F1A02BEE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2477</Words>
  <Characters>13825</Characters>
  <Application>Microsoft Office Word</Application>
  <DocSecurity>0</DocSecurity>
  <Lines>512</Lines>
  <Paragraphs>144</Paragraphs>
  <ScaleCrop>false</ScaleCrop>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2022-01-31T01:12:00Z</dcterms:created>
  <dcterms:modified xsi:type="dcterms:W3CDTF">2022-01-31T01:15:00Z</dcterms:modified>
  <cp:category/>
</cp:coreProperties>
</file>