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0C3DC5" w14:textId="139802A3" w:rsidR="00015981" w:rsidRPr="001D3D5E" w:rsidRDefault="00BD69EC" w:rsidP="001D3D5E">
      <w:pPr>
        <w:pStyle w:val="Heading1"/>
      </w:pPr>
      <w:bookmarkStart w:id="0" w:name="_Toc475348267"/>
      <w:r w:rsidRPr="001D3D5E">
        <w:t xml:space="preserve">Joint </w:t>
      </w:r>
      <w:r w:rsidR="00BA07F0" w:rsidRPr="001D3D5E">
        <w:t>Management Response</w:t>
      </w:r>
      <w:r w:rsidRPr="001D3D5E">
        <w:t xml:space="preserve"> (</w:t>
      </w:r>
      <w:bookmarkEnd w:id="0"/>
      <w:r w:rsidRPr="001D3D5E">
        <w:t>DFAT, MFAT and Oxfam):</w:t>
      </w:r>
    </w:p>
    <w:p w14:paraId="0DE8899F" w14:textId="333EF424" w:rsidR="00BA07F0" w:rsidRPr="001D3D5E" w:rsidRDefault="001A361F" w:rsidP="001D3D5E">
      <w:pPr>
        <w:pStyle w:val="Heading1"/>
      </w:pPr>
      <w:r w:rsidRPr="001D3D5E">
        <w:br/>
      </w:r>
      <w:r w:rsidR="00BD69EC" w:rsidRPr="001D3D5E">
        <w:t xml:space="preserve">Evaluation of the </w:t>
      </w:r>
      <w:r w:rsidR="00172BCB" w:rsidRPr="001D3D5E">
        <w:t xml:space="preserve">Wan </w:t>
      </w:r>
      <w:proofErr w:type="spellStart"/>
      <w:r w:rsidR="00172BCB" w:rsidRPr="001D3D5E">
        <w:t>Smolbag</w:t>
      </w:r>
      <w:proofErr w:type="spellEnd"/>
      <w:r w:rsidR="00172BCB" w:rsidRPr="001D3D5E">
        <w:t xml:space="preserve"> Theatre Community Partnership </w:t>
      </w:r>
      <w:r w:rsidR="00BD69EC" w:rsidRPr="001D3D5E">
        <w:t>(2021)</w:t>
      </w:r>
    </w:p>
    <w:p w14:paraId="54C1BA88" w14:textId="271DCA02" w:rsidR="00015981" w:rsidRPr="00CF05D3" w:rsidRDefault="005855DE" w:rsidP="00CF05D3">
      <w:pPr>
        <w:pStyle w:val="Heading3"/>
      </w:pPr>
      <w:r w:rsidRPr="00CF05D3">
        <w:t xml:space="preserve">Purpose of the </w:t>
      </w:r>
      <w:r w:rsidR="00FC36DE" w:rsidRPr="00CF05D3">
        <w:t>evaluation</w:t>
      </w:r>
    </w:p>
    <w:p w14:paraId="217E48CE" w14:textId="413106E0" w:rsidR="00172BCB" w:rsidRPr="00CF05D3" w:rsidRDefault="00FC36DE" w:rsidP="00CF05D3">
      <w:pPr>
        <w:rPr>
          <w:color w:val="auto"/>
          <w:sz w:val="24"/>
          <w:szCs w:val="24"/>
        </w:rPr>
      </w:pPr>
      <w:r w:rsidRPr="00CF05D3">
        <w:rPr>
          <w:color w:val="auto"/>
          <w:sz w:val="24"/>
          <w:szCs w:val="24"/>
        </w:rPr>
        <w:t xml:space="preserve">The three core donors to the </w:t>
      </w:r>
      <w:bookmarkStart w:id="1" w:name="_Hlk92975716"/>
      <w:r w:rsidR="00172BCB" w:rsidRPr="00CF05D3">
        <w:rPr>
          <w:color w:val="auto"/>
          <w:sz w:val="24"/>
          <w:szCs w:val="24"/>
        </w:rPr>
        <w:t xml:space="preserve">Wan </w:t>
      </w:r>
      <w:proofErr w:type="spellStart"/>
      <w:r w:rsidR="00172BCB" w:rsidRPr="00CF05D3">
        <w:rPr>
          <w:color w:val="auto"/>
          <w:sz w:val="24"/>
          <w:szCs w:val="24"/>
        </w:rPr>
        <w:t>Smolbag</w:t>
      </w:r>
      <w:proofErr w:type="spellEnd"/>
      <w:r w:rsidR="00172BCB" w:rsidRPr="00CF05D3">
        <w:rPr>
          <w:color w:val="auto"/>
          <w:sz w:val="24"/>
          <w:szCs w:val="24"/>
        </w:rPr>
        <w:t xml:space="preserve"> Theatre </w:t>
      </w:r>
      <w:bookmarkEnd w:id="1"/>
      <w:r w:rsidR="00172BCB" w:rsidRPr="00CF05D3">
        <w:rPr>
          <w:color w:val="auto"/>
          <w:sz w:val="24"/>
          <w:szCs w:val="24"/>
        </w:rPr>
        <w:t>Community Partnership (WSB)</w:t>
      </w:r>
      <w:r w:rsidRPr="00CF05D3">
        <w:rPr>
          <w:color w:val="auto"/>
          <w:sz w:val="24"/>
          <w:szCs w:val="24"/>
        </w:rPr>
        <w:t xml:space="preserve"> </w:t>
      </w:r>
      <w:r w:rsidR="00F41430" w:rsidRPr="00CF05D3">
        <w:rPr>
          <w:color w:val="auto"/>
          <w:sz w:val="24"/>
          <w:szCs w:val="24"/>
        </w:rPr>
        <w:t>–</w:t>
      </w:r>
      <w:r w:rsidR="00EE6C87" w:rsidRPr="00CF05D3">
        <w:rPr>
          <w:color w:val="auto"/>
          <w:sz w:val="24"/>
          <w:szCs w:val="24"/>
        </w:rPr>
        <w:t xml:space="preserve"> Australia’s </w:t>
      </w:r>
      <w:r w:rsidR="00AF5638" w:rsidRPr="00CF05D3">
        <w:rPr>
          <w:color w:val="auto"/>
          <w:sz w:val="24"/>
          <w:szCs w:val="24"/>
        </w:rPr>
        <w:t>Department of Foreign Affairs and Trade</w:t>
      </w:r>
      <w:r w:rsidR="00BD69EC" w:rsidRPr="00CF05D3">
        <w:rPr>
          <w:color w:val="auto"/>
          <w:sz w:val="24"/>
          <w:szCs w:val="24"/>
        </w:rPr>
        <w:t xml:space="preserve"> (DFAT)</w:t>
      </w:r>
      <w:r w:rsidR="00AF5638" w:rsidRPr="00CF05D3">
        <w:rPr>
          <w:color w:val="auto"/>
          <w:sz w:val="24"/>
          <w:szCs w:val="24"/>
        </w:rPr>
        <w:t xml:space="preserve">, </w:t>
      </w:r>
      <w:r w:rsidR="00EE6C87" w:rsidRPr="00CF05D3">
        <w:rPr>
          <w:color w:val="auto"/>
          <w:sz w:val="24"/>
          <w:szCs w:val="24"/>
        </w:rPr>
        <w:t xml:space="preserve">New Zealand’s </w:t>
      </w:r>
      <w:r w:rsidRPr="00CF05D3">
        <w:rPr>
          <w:color w:val="auto"/>
          <w:sz w:val="24"/>
          <w:szCs w:val="24"/>
        </w:rPr>
        <w:t>M</w:t>
      </w:r>
      <w:r w:rsidR="00AF5638" w:rsidRPr="00CF05D3">
        <w:rPr>
          <w:color w:val="auto"/>
          <w:sz w:val="24"/>
          <w:szCs w:val="24"/>
        </w:rPr>
        <w:t xml:space="preserve">inistry of </w:t>
      </w:r>
      <w:r w:rsidR="00892E25" w:rsidRPr="00CF05D3">
        <w:rPr>
          <w:color w:val="auto"/>
          <w:sz w:val="24"/>
          <w:szCs w:val="24"/>
        </w:rPr>
        <w:t>F</w:t>
      </w:r>
      <w:r w:rsidR="00AF5638" w:rsidRPr="00CF05D3">
        <w:rPr>
          <w:color w:val="auto"/>
          <w:sz w:val="24"/>
          <w:szCs w:val="24"/>
        </w:rPr>
        <w:t xml:space="preserve">oreign </w:t>
      </w:r>
      <w:r w:rsidR="00892E25" w:rsidRPr="00CF05D3">
        <w:rPr>
          <w:color w:val="auto"/>
          <w:sz w:val="24"/>
          <w:szCs w:val="24"/>
        </w:rPr>
        <w:t>A</w:t>
      </w:r>
      <w:r w:rsidR="00AF5638" w:rsidRPr="00CF05D3">
        <w:rPr>
          <w:color w:val="auto"/>
          <w:sz w:val="24"/>
          <w:szCs w:val="24"/>
        </w:rPr>
        <w:t xml:space="preserve">ffairs and </w:t>
      </w:r>
      <w:r w:rsidR="00892E25" w:rsidRPr="00CF05D3">
        <w:rPr>
          <w:color w:val="auto"/>
          <w:sz w:val="24"/>
          <w:szCs w:val="24"/>
        </w:rPr>
        <w:t>T</w:t>
      </w:r>
      <w:r w:rsidR="00AF5638" w:rsidRPr="00CF05D3">
        <w:rPr>
          <w:color w:val="auto"/>
          <w:sz w:val="24"/>
          <w:szCs w:val="24"/>
        </w:rPr>
        <w:t>rade</w:t>
      </w:r>
      <w:r w:rsidR="00BD69EC" w:rsidRPr="00CF05D3">
        <w:rPr>
          <w:color w:val="auto"/>
          <w:sz w:val="24"/>
          <w:szCs w:val="24"/>
        </w:rPr>
        <w:t xml:space="preserve"> (MFAT)</w:t>
      </w:r>
      <w:r w:rsidRPr="00CF05D3">
        <w:rPr>
          <w:color w:val="auto"/>
          <w:sz w:val="24"/>
          <w:szCs w:val="24"/>
        </w:rPr>
        <w:t xml:space="preserve">, and Oxfam </w:t>
      </w:r>
      <w:r w:rsidR="00EE6C87" w:rsidRPr="00CF05D3">
        <w:rPr>
          <w:color w:val="auto"/>
          <w:sz w:val="24"/>
          <w:szCs w:val="24"/>
        </w:rPr>
        <w:t>–</w:t>
      </w:r>
      <w:r w:rsidRPr="00CF05D3">
        <w:rPr>
          <w:color w:val="auto"/>
          <w:sz w:val="24"/>
          <w:szCs w:val="24"/>
        </w:rPr>
        <w:t xml:space="preserve"> commissioned an evaluation </w:t>
      </w:r>
      <w:r w:rsidR="00676192" w:rsidRPr="00CF05D3">
        <w:rPr>
          <w:color w:val="auto"/>
          <w:sz w:val="24"/>
          <w:szCs w:val="24"/>
        </w:rPr>
        <w:t>of WSB in late 2020</w:t>
      </w:r>
      <w:r w:rsidR="004B528C" w:rsidRPr="00CF05D3">
        <w:rPr>
          <w:color w:val="auto"/>
          <w:sz w:val="24"/>
          <w:szCs w:val="24"/>
        </w:rPr>
        <w:t xml:space="preserve"> </w:t>
      </w:r>
      <w:proofErr w:type="gramStart"/>
      <w:r w:rsidR="004B528C" w:rsidRPr="00CF05D3">
        <w:rPr>
          <w:color w:val="auto"/>
          <w:sz w:val="24"/>
          <w:szCs w:val="24"/>
        </w:rPr>
        <w:t>in order</w:t>
      </w:r>
      <w:r w:rsidR="005C17D5" w:rsidRPr="00CF05D3">
        <w:rPr>
          <w:color w:val="auto"/>
          <w:sz w:val="24"/>
          <w:szCs w:val="24"/>
        </w:rPr>
        <w:t xml:space="preserve"> to</w:t>
      </w:r>
      <w:proofErr w:type="gramEnd"/>
      <w:r w:rsidR="005C17D5" w:rsidRPr="00CF05D3">
        <w:rPr>
          <w:color w:val="auto"/>
          <w:sz w:val="24"/>
          <w:szCs w:val="24"/>
        </w:rPr>
        <w:t xml:space="preserve"> inform the next phase of funding. </w:t>
      </w:r>
      <w:r w:rsidR="00676192" w:rsidRPr="00CF05D3">
        <w:rPr>
          <w:color w:val="auto"/>
          <w:sz w:val="24"/>
          <w:szCs w:val="24"/>
        </w:rPr>
        <w:t xml:space="preserve"> </w:t>
      </w:r>
      <w:r w:rsidRPr="00CF05D3">
        <w:rPr>
          <w:color w:val="auto"/>
          <w:sz w:val="24"/>
          <w:szCs w:val="24"/>
        </w:rPr>
        <w:t>The purpose</w:t>
      </w:r>
      <w:r w:rsidR="00567A7D" w:rsidRPr="00CF05D3">
        <w:rPr>
          <w:color w:val="auto"/>
          <w:sz w:val="24"/>
          <w:szCs w:val="24"/>
        </w:rPr>
        <w:t>s</w:t>
      </w:r>
      <w:r w:rsidRPr="00CF05D3">
        <w:rPr>
          <w:color w:val="auto"/>
          <w:sz w:val="24"/>
          <w:szCs w:val="24"/>
        </w:rPr>
        <w:t xml:space="preserve"> of the evaluation</w:t>
      </w:r>
      <w:r w:rsidR="005855DE" w:rsidRPr="00CF05D3">
        <w:rPr>
          <w:color w:val="auto"/>
          <w:sz w:val="24"/>
          <w:szCs w:val="24"/>
        </w:rPr>
        <w:t xml:space="preserve"> </w:t>
      </w:r>
      <w:r w:rsidR="006F2214" w:rsidRPr="00CF05D3">
        <w:rPr>
          <w:color w:val="auto"/>
          <w:sz w:val="24"/>
          <w:szCs w:val="24"/>
        </w:rPr>
        <w:t>w</w:t>
      </w:r>
      <w:r w:rsidR="00567A7D" w:rsidRPr="00CF05D3">
        <w:rPr>
          <w:color w:val="auto"/>
          <w:sz w:val="24"/>
          <w:szCs w:val="24"/>
        </w:rPr>
        <w:t>ere</w:t>
      </w:r>
      <w:r w:rsidR="006F2214" w:rsidRPr="00CF05D3">
        <w:rPr>
          <w:color w:val="auto"/>
          <w:sz w:val="24"/>
          <w:szCs w:val="24"/>
        </w:rPr>
        <w:t xml:space="preserve"> </w:t>
      </w:r>
      <w:r w:rsidR="00497CB1" w:rsidRPr="00CF05D3">
        <w:rPr>
          <w:color w:val="auto"/>
          <w:sz w:val="24"/>
          <w:szCs w:val="24"/>
        </w:rPr>
        <w:t xml:space="preserve">for the evaluation team </w:t>
      </w:r>
      <w:r w:rsidR="005855DE" w:rsidRPr="00CF05D3">
        <w:rPr>
          <w:color w:val="auto"/>
          <w:sz w:val="24"/>
          <w:szCs w:val="24"/>
        </w:rPr>
        <w:t xml:space="preserve">to </w:t>
      </w:r>
      <w:r w:rsidR="00172BCB" w:rsidRPr="00CF05D3">
        <w:rPr>
          <w:color w:val="auto"/>
          <w:sz w:val="24"/>
          <w:szCs w:val="24"/>
        </w:rPr>
        <w:t>work collaboratively with WSB and key partners to:</w:t>
      </w:r>
    </w:p>
    <w:p w14:paraId="20142A0C" w14:textId="23F1C9E3" w:rsidR="00172BCB" w:rsidRPr="00CF05D3" w:rsidRDefault="004B528C" w:rsidP="00172BCB">
      <w:pPr>
        <w:pStyle w:val="Body"/>
        <w:numPr>
          <w:ilvl w:val="0"/>
          <w:numId w:val="25"/>
        </w:numPr>
        <w:spacing w:after="120" w:line="240" w:lineRule="auto"/>
        <w:ind w:left="714" w:hanging="357"/>
        <w:jc w:val="both"/>
        <w:rPr>
          <w:rFonts w:asciiTheme="minorHAnsi" w:hAnsiTheme="minorHAnsi" w:cstheme="minorHAnsi"/>
          <w:sz w:val="24"/>
          <w:szCs w:val="24"/>
          <w:lang w:val="en-AU"/>
        </w:rPr>
      </w:pPr>
      <w:r w:rsidRPr="00CF05D3">
        <w:rPr>
          <w:rFonts w:asciiTheme="minorHAnsi" w:hAnsiTheme="minorHAnsi" w:cstheme="minorHAnsi"/>
          <w:sz w:val="24"/>
          <w:szCs w:val="24"/>
          <w:lang w:val="en-AU"/>
        </w:rPr>
        <w:t>Evaluate</w:t>
      </w:r>
      <w:r w:rsidR="00172BCB" w:rsidRPr="00CF05D3">
        <w:rPr>
          <w:rFonts w:asciiTheme="minorHAnsi" w:hAnsiTheme="minorHAnsi" w:cstheme="minorHAnsi"/>
          <w:sz w:val="24"/>
          <w:szCs w:val="24"/>
          <w:lang w:val="en-AU"/>
        </w:rPr>
        <w:t xml:space="preserve"> WSB’s programming from 2015 to present to gauge the effectiveness </w:t>
      </w:r>
      <w:r w:rsidR="00497CB1" w:rsidRPr="00CF05D3">
        <w:rPr>
          <w:rFonts w:asciiTheme="minorHAnsi" w:hAnsiTheme="minorHAnsi" w:cstheme="minorHAnsi"/>
          <w:sz w:val="24"/>
          <w:szCs w:val="24"/>
          <w:lang w:val="en-AU"/>
        </w:rPr>
        <w:t xml:space="preserve">– and to a lesser extent the relevance, </w:t>
      </w:r>
      <w:r w:rsidR="003E4995" w:rsidRPr="00CF05D3">
        <w:rPr>
          <w:rFonts w:asciiTheme="minorHAnsi" w:hAnsiTheme="minorHAnsi" w:cstheme="minorHAnsi"/>
          <w:sz w:val="24"/>
          <w:szCs w:val="24"/>
          <w:lang w:val="en-AU"/>
        </w:rPr>
        <w:t>efficiency,</w:t>
      </w:r>
      <w:r w:rsidR="00497CB1" w:rsidRPr="00CF05D3">
        <w:rPr>
          <w:rFonts w:asciiTheme="minorHAnsi" w:hAnsiTheme="minorHAnsi" w:cstheme="minorHAnsi"/>
          <w:sz w:val="24"/>
          <w:szCs w:val="24"/>
          <w:lang w:val="en-AU"/>
        </w:rPr>
        <w:t xml:space="preserve"> and sustainability </w:t>
      </w:r>
      <w:r w:rsidRPr="00CF05D3">
        <w:rPr>
          <w:rFonts w:asciiTheme="minorHAnsi" w:hAnsiTheme="minorHAnsi" w:cstheme="minorHAnsi"/>
          <w:sz w:val="24"/>
          <w:szCs w:val="24"/>
          <w:lang w:val="en-AU"/>
        </w:rPr>
        <w:t>–</w:t>
      </w:r>
      <w:r w:rsidR="00172BCB" w:rsidRPr="00CF05D3">
        <w:rPr>
          <w:rFonts w:asciiTheme="minorHAnsi" w:hAnsiTheme="minorHAnsi" w:cstheme="minorHAnsi"/>
          <w:sz w:val="24"/>
          <w:szCs w:val="24"/>
          <w:lang w:val="en-AU"/>
        </w:rPr>
        <w:t xml:space="preserve"> of WSB’s </w:t>
      </w:r>
      <w:proofErr w:type="gramStart"/>
      <w:r w:rsidR="00727C8A" w:rsidRPr="00CF05D3">
        <w:rPr>
          <w:rFonts w:asciiTheme="minorHAnsi" w:hAnsiTheme="minorHAnsi" w:cstheme="minorHAnsi"/>
          <w:sz w:val="24"/>
          <w:szCs w:val="24"/>
          <w:lang w:val="en-AU"/>
        </w:rPr>
        <w:t>programming</w:t>
      </w:r>
      <w:r w:rsidR="00FC1F74" w:rsidRPr="00CF05D3">
        <w:rPr>
          <w:rFonts w:asciiTheme="minorHAnsi" w:hAnsiTheme="minorHAnsi" w:cstheme="minorHAnsi"/>
          <w:sz w:val="24"/>
          <w:szCs w:val="24"/>
          <w:lang w:val="en-AU"/>
        </w:rPr>
        <w:t>;</w:t>
      </w:r>
      <w:proofErr w:type="gramEnd"/>
    </w:p>
    <w:p w14:paraId="3A47AE3A" w14:textId="709D4261" w:rsidR="009A7D8E" w:rsidRPr="00CF05D3" w:rsidRDefault="00172BCB" w:rsidP="009A7D8E">
      <w:pPr>
        <w:pStyle w:val="Body"/>
        <w:numPr>
          <w:ilvl w:val="0"/>
          <w:numId w:val="25"/>
        </w:numPr>
        <w:spacing w:after="120" w:line="240" w:lineRule="auto"/>
        <w:ind w:left="714" w:hanging="357"/>
        <w:jc w:val="both"/>
        <w:rPr>
          <w:rFonts w:asciiTheme="minorHAnsi" w:hAnsiTheme="minorHAnsi" w:cstheme="minorHAnsi"/>
          <w:sz w:val="24"/>
          <w:szCs w:val="24"/>
          <w:lang w:val="en-AU"/>
        </w:rPr>
      </w:pPr>
      <w:r w:rsidRPr="00CF05D3">
        <w:rPr>
          <w:rFonts w:asciiTheme="minorHAnsi" w:hAnsiTheme="minorHAnsi" w:cstheme="minorHAnsi"/>
          <w:sz w:val="24"/>
          <w:szCs w:val="24"/>
          <w:lang w:val="en-AU"/>
        </w:rPr>
        <w:t xml:space="preserve">Complete a preliminary gender analysis of WSB which identifies efforts and achievements to date as well as opportunities for further action in promoting gender </w:t>
      </w:r>
      <w:r w:rsidR="00727C8A" w:rsidRPr="00CF05D3">
        <w:rPr>
          <w:rFonts w:asciiTheme="minorHAnsi" w:hAnsiTheme="minorHAnsi" w:cstheme="minorHAnsi"/>
          <w:sz w:val="24"/>
          <w:szCs w:val="24"/>
          <w:lang w:val="en-AU"/>
        </w:rPr>
        <w:t>equality</w:t>
      </w:r>
      <w:r w:rsidR="00FC1F74" w:rsidRPr="00CF05D3">
        <w:rPr>
          <w:rFonts w:asciiTheme="minorHAnsi" w:hAnsiTheme="minorHAnsi" w:cstheme="minorHAnsi"/>
          <w:sz w:val="24"/>
          <w:szCs w:val="24"/>
          <w:lang w:val="en-AU"/>
        </w:rPr>
        <w:t>; and</w:t>
      </w:r>
    </w:p>
    <w:p w14:paraId="1C40999E" w14:textId="5FB35B98" w:rsidR="00497CB1" w:rsidRPr="00771B8B" w:rsidRDefault="009A7D8E" w:rsidP="009A7D8E">
      <w:pPr>
        <w:pStyle w:val="Body"/>
        <w:numPr>
          <w:ilvl w:val="0"/>
          <w:numId w:val="25"/>
        </w:numPr>
        <w:spacing w:after="120" w:line="240" w:lineRule="auto"/>
        <w:ind w:left="714" w:hanging="357"/>
        <w:jc w:val="both"/>
        <w:rPr>
          <w:rFonts w:asciiTheme="majorHAnsi" w:hAnsiTheme="majorHAnsi" w:cstheme="majorHAnsi"/>
          <w:sz w:val="24"/>
          <w:szCs w:val="24"/>
          <w:lang w:val="en-AU"/>
        </w:rPr>
      </w:pPr>
      <w:r w:rsidRPr="00CF05D3">
        <w:rPr>
          <w:rFonts w:asciiTheme="minorHAnsi" w:hAnsiTheme="minorHAnsi" w:cstheme="minorHAnsi"/>
          <w:color w:val="000000" w:themeColor="text1"/>
          <w:sz w:val="24"/>
          <w:szCs w:val="24"/>
        </w:rPr>
        <w:t>R</w:t>
      </w:r>
      <w:r w:rsidR="00172BCB" w:rsidRPr="00CF05D3">
        <w:rPr>
          <w:rFonts w:asciiTheme="minorHAnsi" w:hAnsiTheme="minorHAnsi" w:cstheme="minorHAnsi"/>
          <w:color w:val="000000" w:themeColor="text1"/>
          <w:sz w:val="24"/>
          <w:szCs w:val="24"/>
        </w:rPr>
        <w:t>eview and refresh WSB’s Roadmap for Change 2014-2025 and associated documents</w:t>
      </w:r>
      <w:r w:rsidR="00676192" w:rsidRPr="00CF05D3">
        <w:rPr>
          <w:rFonts w:asciiTheme="minorHAnsi" w:hAnsiTheme="minorHAnsi" w:cstheme="minorHAnsi"/>
          <w:color w:val="000000" w:themeColor="text1"/>
          <w:sz w:val="24"/>
          <w:szCs w:val="24"/>
        </w:rPr>
        <w:t>, to inform and guide WSB’s future programming.</w:t>
      </w:r>
      <w:r w:rsidR="00172BCB" w:rsidRPr="00CF05D3">
        <w:rPr>
          <w:rFonts w:asciiTheme="minorHAnsi" w:hAnsiTheme="minorHAnsi" w:cstheme="minorHAnsi"/>
          <w:color w:val="000000" w:themeColor="text1"/>
          <w:sz w:val="24"/>
          <w:szCs w:val="24"/>
        </w:rPr>
        <w:t xml:space="preserve"> </w:t>
      </w:r>
      <w:r w:rsidR="00172BCB" w:rsidRPr="009A7D8E">
        <w:rPr>
          <w:rFonts w:asciiTheme="majorHAnsi" w:hAnsiTheme="majorHAnsi" w:cstheme="majorHAnsi"/>
          <w:color w:val="000000" w:themeColor="text1"/>
          <w:sz w:val="24"/>
          <w:szCs w:val="24"/>
        </w:rPr>
        <w:t xml:space="preserve"> </w:t>
      </w:r>
    </w:p>
    <w:p w14:paraId="649E1C75" w14:textId="77777777" w:rsidR="00826510" w:rsidRPr="00CF05D3" w:rsidRDefault="00826510" w:rsidP="00CF05D3">
      <w:pPr>
        <w:pStyle w:val="Heading3"/>
      </w:pPr>
      <w:r w:rsidRPr="00CF05D3">
        <w:t xml:space="preserve">Review team </w:t>
      </w:r>
    </w:p>
    <w:p w14:paraId="2EFE5F6C" w14:textId="0A4192A5" w:rsidR="00826510" w:rsidRPr="00CF05D3" w:rsidRDefault="00FC1F74" w:rsidP="00826510">
      <w:pPr>
        <w:jc w:val="both"/>
        <w:rPr>
          <w:rFonts w:cstheme="minorHAnsi"/>
          <w:color w:val="000000" w:themeColor="text1"/>
          <w:sz w:val="24"/>
          <w:szCs w:val="24"/>
        </w:rPr>
      </w:pPr>
      <w:r w:rsidRPr="00CF05D3">
        <w:rPr>
          <w:rFonts w:cstheme="minorHAnsi"/>
          <w:color w:val="000000" w:themeColor="text1"/>
          <w:sz w:val="24"/>
          <w:szCs w:val="24"/>
        </w:rPr>
        <w:t>The evaluation was led by</w:t>
      </w:r>
      <w:r w:rsidR="00826510" w:rsidRPr="00CF05D3">
        <w:rPr>
          <w:rFonts w:cstheme="minorHAnsi"/>
          <w:color w:val="000000" w:themeColor="text1"/>
          <w:sz w:val="24"/>
          <w:szCs w:val="24"/>
        </w:rPr>
        <w:t xml:space="preserve"> Heidi Tyedmers</w:t>
      </w:r>
      <w:r w:rsidRPr="00CF05D3">
        <w:rPr>
          <w:rFonts w:cstheme="minorHAnsi"/>
          <w:color w:val="000000" w:themeColor="text1"/>
          <w:sz w:val="24"/>
          <w:szCs w:val="24"/>
        </w:rPr>
        <w:t xml:space="preserve"> (working remotely) with the support of</w:t>
      </w:r>
      <w:r w:rsidR="00826510" w:rsidRPr="00CF05D3">
        <w:rPr>
          <w:rFonts w:cstheme="minorHAnsi"/>
          <w:color w:val="000000" w:themeColor="text1"/>
          <w:sz w:val="24"/>
          <w:szCs w:val="24"/>
        </w:rPr>
        <w:t xml:space="preserve"> </w:t>
      </w:r>
      <w:r w:rsidRPr="00CF05D3">
        <w:rPr>
          <w:rFonts w:cstheme="minorHAnsi"/>
          <w:color w:val="000000" w:themeColor="text1"/>
          <w:sz w:val="24"/>
          <w:szCs w:val="24"/>
        </w:rPr>
        <w:t>t</w:t>
      </w:r>
      <w:r w:rsidR="00826510" w:rsidRPr="00CF05D3">
        <w:rPr>
          <w:rFonts w:cstheme="minorHAnsi"/>
          <w:color w:val="000000" w:themeColor="text1"/>
          <w:sz w:val="24"/>
          <w:szCs w:val="24"/>
        </w:rPr>
        <w:t>hree researchers in</w:t>
      </w:r>
      <w:r w:rsidRPr="00CF05D3">
        <w:rPr>
          <w:rFonts w:cstheme="minorHAnsi"/>
          <w:color w:val="000000" w:themeColor="text1"/>
          <w:sz w:val="24"/>
          <w:szCs w:val="24"/>
        </w:rPr>
        <w:t xml:space="preserve"> Vanuatu</w:t>
      </w:r>
      <w:r w:rsidR="00826510" w:rsidRPr="00CF05D3">
        <w:rPr>
          <w:rFonts w:cstheme="minorHAnsi"/>
          <w:color w:val="000000" w:themeColor="text1"/>
          <w:sz w:val="24"/>
          <w:szCs w:val="24"/>
        </w:rPr>
        <w:t>.</w:t>
      </w:r>
      <w:r w:rsidRPr="00CF05D3">
        <w:rPr>
          <w:rFonts w:cstheme="minorHAnsi"/>
          <w:color w:val="000000" w:themeColor="text1"/>
          <w:sz w:val="24"/>
          <w:szCs w:val="24"/>
        </w:rPr>
        <w:t xml:space="preserve"> </w:t>
      </w:r>
      <w:r w:rsidR="00826510" w:rsidRPr="00CF05D3">
        <w:rPr>
          <w:rFonts w:cstheme="minorHAnsi"/>
          <w:color w:val="000000" w:themeColor="text1"/>
          <w:sz w:val="24"/>
          <w:szCs w:val="24"/>
        </w:rPr>
        <w:t xml:space="preserve"> </w:t>
      </w:r>
      <w:r w:rsidRPr="00CF05D3">
        <w:rPr>
          <w:rFonts w:cstheme="minorHAnsi"/>
          <w:color w:val="000000" w:themeColor="text1"/>
          <w:sz w:val="24"/>
          <w:szCs w:val="24"/>
        </w:rPr>
        <w:t xml:space="preserve">Ms Tyedmers was mutually agreed by donors </w:t>
      </w:r>
      <w:r w:rsidR="00393BB8" w:rsidRPr="00CF05D3">
        <w:rPr>
          <w:rFonts w:cstheme="minorHAnsi"/>
          <w:color w:val="000000" w:themeColor="text1"/>
          <w:sz w:val="24"/>
          <w:szCs w:val="24"/>
        </w:rPr>
        <w:t xml:space="preserve">and WSB </w:t>
      </w:r>
      <w:r w:rsidRPr="00CF05D3">
        <w:rPr>
          <w:rFonts w:cstheme="minorHAnsi"/>
          <w:color w:val="000000" w:themeColor="text1"/>
          <w:sz w:val="24"/>
          <w:szCs w:val="24"/>
        </w:rPr>
        <w:t xml:space="preserve">as </w:t>
      </w:r>
      <w:r w:rsidR="00393BB8" w:rsidRPr="00CF05D3">
        <w:rPr>
          <w:rFonts w:cstheme="minorHAnsi"/>
          <w:color w:val="000000" w:themeColor="text1"/>
          <w:sz w:val="24"/>
          <w:szCs w:val="24"/>
        </w:rPr>
        <w:t xml:space="preserve">an </w:t>
      </w:r>
      <w:r w:rsidRPr="00CF05D3">
        <w:rPr>
          <w:rFonts w:cstheme="minorHAnsi"/>
          <w:color w:val="000000" w:themeColor="text1"/>
          <w:sz w:val="24"/>
          <w:szCs w:val="24"/>
        </w:rPr>
        <w:t>appropriate lead evaluator due to her skill set</w:t>
      </w:r>
      <w:r w:rsidR="00393BB8" w:rsidRPr="00CF05D3">
        <w:rPr>
          <w:rFonts w:cstheme="minorHAnsi"/>
          <w:color w:val="000000" w:themeColor="text1"/>
          <w:sz w:val="24"/>
          <w:szCs w:val="24"/>
        </w:rPr>
        <w:t xml:space="preserve"> (including </w:t>
      </w:r>
      <w:r w:rsidRPr="00CF05D3">
        <w:rPr>
          <w:rFonts w:cstheme="minorHAnsi"/>
          <w:color w:val="000000" w:themeColor="text1"/>
          <w:sz w:val="24"/>
          <w:szCs w:val="24"/>
        </w:rPr>
        <w:t>Bislama</w:t>
      </w:r>
      <w:r w:rsidR="00393BB8" w:rsidRPr="00CF05D3">
        <w:rPr>
          <w:rFonts w:cstheme="minorHAnsi"/>
          <w:color w:val="000000" w:themeColor="text1"/>
          <w:sz w:val="24"/>
          <w:szCs w:val="24"/>
        </w:rPr>
        <w:t>)</w:t>
      </w:r>
      <w:r w:rsidRPr="00CF05D3">
        <w:rPr>
          <w:rFonts w:cstheme="minorHAnsi"/>
          <w:color w:val="000000" w:themeColor="text1"/>
          <w:sz w:val="24"/>
          <w:szCs w:val="24"/>
        </w:rPr>
        <w:t xml:space="preserve"> and familiarity with WSB. </w:t>
      </w:r>
    </w:p>
    <w:p w14:paraId="1D28A6DC" w14:textId="73057C75" w:rsidR="00BA07F0" w:rsidRPr="00CF05D3" w:rsidRDefault="00BA07F0" w:rsidP="00CF05D3">
      <w:pPr>
        <w:pStyle w:val="Heading3"/>
      </w:pPr>
      <w:r w:rsidRPr="00CF05D3">
        <w:t xml:space="preserve">Key </w:t>
      </w:r>
      <w:r w:rsidR="00015981" w:rsidRPr="00CF05D3">
        <w:t>findings</w:t>
      </w:r>
    </w:p>
    <w:p w14:paraId="7DE24C5C" w14:textId="58613E7F" w:rsidR="00F976E5" w:rsidRPr="00CF05D3" w:rsidRDefault="00F1358E" w:rsidP="00CF05D3">
      <w:pPr>
        <w:rPr>
          <w:color w:val="auto"/>
          <w:sz w:val="24"/>
          <w:szCs w:val="24"/>
        </w:rPr>
      </w:pPr>
      <w:r w:rsidRPr="00CF05D3">
        <w:rPr>
          <w:color w:val="auto"/>
          <w:sz w:val="24"/>
          <w:szCs w:val="24"/>
        </w:rPr>
        <w:t xml:space="preserve">The evaluation found that </w:t>
      </w:r>
      <w:r w:rsidR="00F66A85" w:rsidRPr="00CF05D3">
        <w:rPr>
          <w:color w:val="auto"/>
          <w:sz w:val="24"/>
          <w:szCs w:val="24"/>
        </w:rPr>
        <w:t xml:space="preserve">WSB </w:t>
      </w:r>
      <w:r w:rsidR="00562E0B" w:rsidRPr="00CF05D3">
        <w:rPr>
          <w:color w:val="auto"/>
          <w:sz w:val="24"/>
          <w:szCs w:val="24"/>
        </w:rPr>
        <w:t>performed a unique role</w:t>
      </w:r>
      <w:r w:rsidR="00017459" w:rsidRPr="00CF05D3">
        <w:rPr>
          <w:color w:val="auto"/>
          <w:sz w:val="24"/>
          <w:szCs w:val="24"/>
        </w:rPr>
        <w:t xml:space="preserve"> – described as a ‘public good’ –</w:t>
      </w:r>
      <w:r w:rsidR="00562E0B" w:rsidRPr="00CF05D3">
        <w:rPr>
          <w:color w:val="auto"/>
          <w:sz w:val="24"/>
          <w:szCs w:val="24"/>
        </w:rPr>
        <w:t xml:space="preserve"> in improving understanding among diverse groups on critical social issues which affect them. </w:t>
      </w:r>
      <w:r w:rsidR="005F74E3" w:rsidRPr="00CF05D3">
        <w:rPr>
          <w:color w:val="auto"/>
          <w:sz w:val="24"/>
          <w:szCs w:val="24"/>
        </w:rPr>
        <w:t xml:space="preserve">It found </w:t>
      </w:r>
      <w:r w:rsidR="00562E0B" w:rsidRPr="00CF05D3">
        <w:rPr>
          <w:color w:val="auto"/>
          <w:sz w:val="24"/>
          <w:szCs w:val="24"/>
        </w:rPr>
        <w:t xml:space="preserve">WSB </w:t>
      </w:r>
      <w:r w:rsidRPr="00CF05D3">
        <w:rPr>
          <w:color w:val="auto"/>
          <w:sz w:val="24"/>
          <w:szCs w:val="24"/>
        </w:rPr>
        <w:t>had been</w:t>
      </w:r>
      <w:r w:rsidR="00F66A85" w:rsidRPr="00CF05D3">
        <w:rPr>
          <w:color w:val="auto"/>
          <w:sz w:val="24"/>
          <w:szCs w:val="24"/>
        </w:rPr>
        <w:t xml:space="preserve"> </w:t>
      </w:r>
      <w:r w:rsidR="00562E0B" w:rsidRPr="00CF05D3">
        <w:rPr>
          <w:color w:val="auto"/>
          <w:sz w:val="24"/>
          <w:szCs w:val="24"/>
        </w:rPr>
        <w:t>highly</w:t>
      </w:r>
      <w:r w:rsidR="00DC6844" w:rsidRPr="00CF05D3">
        <w:rPr>
          <w:color w:val="auto"/>
          <w:sz w:val="24"/>
          <w:szCs w:val="24"/>
        </w:rPr>
        <w:t xml:space="preserve"> </w:t>
      </w:r>
      <w:r w:rsidR="00F66A85" w:rsidRPr="00CF05D3">
        <w:rPr>
          <w:color w:val="auto"/>
          <w:sz w:val="24"/>
          <w:szCs w:val="24"/>
        </w:rPr>
        <w:t xml:space="preserve">effective </w:t>
      </w:r>
      <w:r w:rsidR="00562E0B" w:rsidRPr="00CF05D3">
        <w:rPr>
          <w:color w:val="auto"/>
          <w:sz w:val="24"/>
          <w:szCs w:val="24"/>
        </w:rPr>
        <w:t>in</w:t>
      </w:r>
      <w:r w:rsidRPr="00CF05D3">
        <w:rPr>
          <w:color w:val="auto"/>
          <w:sz w:val="24"/>
          <w:szCs w:val="24"/>
        </w:rPr>
        <w:t xml:space="preserve"> contribut</w:t>
      </w:r>
      <w:r w:rsidR="00562E0B" w:rsidRPr="00CF05D3">
        <w:rPr>
          <w:color w:val="auto"/>
          <w:sz w:val="24"/>
          <w:szCs w:val="24"/>
        </w:rPr>
        <w:t>ing</w:t>
      </w:r>
      <w:r w:rsidRPr="00CF05D3">
        <w:rPr>
          <w:color w:val="auto"/>
          <w:sz w:val="24"/>
          <w:szCs w:val="24"/>
        </w:rPr>
        <w:t xml:space="preserve"> to outcomes in areas including (i)</w:t>
      </w:r>
      <w:r w:rsidR="00F66A85" w:rsidRPr="00CF05D3">
        <w:rPr>
          <w:color w:val="auto"/>
          <w:sz w:val="24"/>
          <w:szCs w:val="24"/>
        </w:rPr>
        <w:t xml:space="preserve"> </w:t>
      </w:r>
      <w:r w:rsidRPr="00CF05D3">
        <w:rPr>
          <w:color w:val="auto"/>
          <w:sz w:val="24"/>
          <w:szCs w:val="24"/>
        </w:rPr>
        <w:t xml:space="preserve">health; (ii) nutrition; (iii) </w:t>
      </w:r>
      <w:r w:rsidRPr="00CF05D3">
        <w:rPr>
          <w:rFonts w:eastAsia="Arial Unicode MS"/>
          <w:color w:val="auto"/>
          <w:sz w:val="24"/>
          <w:szCs w:val="24"/>
          <w:bdr w:val="nil"/>
          <w:lang w:val="da-DK"/>
          <w14:textOutline w14:w="0" w14:cap="flat" w14:cmpd="sng" w14:algn="ctr">
            <w14:noFill/>
            <w14:prstDash w14:val="solid"/>
            <w14:bevel/>
          </w14:textOutline>
        </w:rPr>
        <w:t>environment and resource management</w:t>
      </w:r>
      <w:r w:rsidRPr="00CF05D3">
        <w:rPr>
          <w:color w:val="auto"/>
          <w:sz w:val="24"/>
          <w:szCs w:val="24"/>
        </w:rPr>
        <w:t xml:space="preserve">: (iv) waste management; (v) youth participation; (vi) human rights; and (vii) gender equality. </w:t>
      </w:r>
      <w:r w:rsidR="00DC6844" w:rsidRPr="00CF05D3">
        <w:rPr>
          <w:color w:val="auto"/>
          <w:sz w:val="24"/>
          <w:szCs w:val="24"/>
        </w:rPr>
        <w:t>In relation to</w:t>
      </w:r>
      <w:r w:rsidRPr="00CF05D3">
        <w:rPr>
          <w:color w:val="auto"/>
          <w:sz w:val="24"/>
          <w:szCs w:val="24"/>
        </w:rPr>
        <w:t xml:space="preserve"> gender equality, WSB was found to foster inclusion, model women’s empowerment and leadership and challenge harmful </w:t>
      </w:r>
      <w:r w:rsidR="00015981" w:rsidRPr="00CF05D3">
        <w:rPr>
          <w:color w:val="auto"/>
          <w:sz w:val="24"/>
          <w:szCs w:val="24"/>
        </w:rPr>
        <w:t>gender</w:t>
      </w:r>
      <w:r w:rsidRPr="00CF05D3">
        <w:rPr>
          <w:color w:val="auto"/>
          <w:sz w:val="24"/>
          <w:szCs w:val="24"/>
        </w:rPr>
        <w:t xml:space="preserve"> norms. </w:t>
      </w:r>
    </w:p>
    <w:p w14:paraId="58AEB3E5" w14:textId="16DEB882" w:rsidR="00946597" w:rsidRPr="00CF05D3" w:rsidRDefault="005911D6" w:rsidP="00CF05D3">
      <w:pPr>
        <w:rPr>
          <w:color w:val="auto"/>
          <w:sz w:val="24"/>
          <w:szCs w:val="24"/>
        </w:rPr>
      </w:pPr>
      <w:r w:rsidRPr="00CF05D3">
        <w:rPr>
          <w:color w:val="auto"/>
          <w:sz w:val="24"/>
          <w:szCs w:val="24"/>
        </w:rPr>
        <w:t xml:space="preserve">The evaluation further found </w:t>
      </w:r>
      <w:r w:rsidR="00946597" w:rsidRPr="00CF05D3">
        <w:rPr>
          <w:color w:val="auto"/>
          <w:sz w:val="24"/>
          <w:szCs w:val="24"/>
        </w:rPr>
        <w:t xml:space="preserve">WSB’s </w:t>
      </w:r>
      <w:r w:rsidR="00F1358E" w:rsidRPr="00CF05D3">
        <w:rPr>
          <w:color w:val="auto"/>
          <w:sz w:val="24"/>
          <w:szCs w:val="24"/>
        </w:rPr>
        <w:t xml:space="preserve">work to have high </w:t>
      </w:r>
      <w:r w:rsidR="00946597" w:rsidRPr="00CF05D3">
        <w:rPr>
          <w:color w:val="auto"/>
          <w:sz w:val="24"/>
          <w:szCs w:val="24"/>
        </w:rPr>
        <w:t>relevance</w:t>
      </w:r>
      <w:r w:rsidR="00F1358E" w:rsidRPr="00CF05D3">
        <w:rPr>
          <w:color w:val="auto"/>
          <w:sz w:val="24"/>
          <w:szCs w:val="24"/>
        </w:rPr>
        <w:t xml:space="preserve"> for </w:t>
      </w:r>
      <w:r w:rsidR="00946597" w:rsidRPr="00CF05D3">
        <w:rPr>
          <w:color w:val="auto"/>
          <w:sz w:val="24"/>
          <w:szCs w:val="24"/>
        </w:rPr>
        <w:t>individuals</w:t>
      </w:r>
      <w:r w:rsidR="00F1358E" w:rsidRPr="00CF05D3">
        <w:rPr>
          <w:color w:val="auto"/>
          <w:sz w:val="24"/>
          <w:szCs w:val="24"/>
        </w:rPr>
        <w:t xml:space="preserve"> (particularly young people)</w:t>
      </w:r>
      <w:r w:rsidR="00946597" w:rsidRPr="00CF05D3">
        <w:rPr>
          <w:color w:val="auto"/>
          <w:sz w:val="24"/>
          <w:szCs w:val="24"/>
        </w:rPr>
        <w:t>, families and communities in Vanuatu</w:t>
      </w:r>
      <w:r w:rsidR="00F1358E" w:rsidRPr="00CF05D3">
        <w:rPr>
          <w:color w:val="auto"/>
          <w:sz w:val="24"/>
          <w:szCs w:val="24"/>
        </w:rPr>
        <w:t xml:space="preserve"> and </w:t>
      </w:r>
      <w:r w:rsidR="00946597" w:rsidRPr="00CF05D3">
        <w:rPr>
          <w:color w:val="auto"/>
          <w:sz w:val="24"/>
          <w:szCs w:val="24"/>
        </w:rPr>
        <w:t xml:space="preserve">to the </w:t>
      </w:r>
      <w:r w:rsidR="00892E25" w:rsidRPr="00CF05D3">
        <w:rPr>
          <w:color w:val="auto"/>
          <w:sz w:val="24"/>
          <w:szCs w:val="24"/>
        </w:rPr>
        <w:t>G</w:t>
      </w:r>
      <w:r w:rsidR="00946597" w:rsidRPr="00CF05D3">
        <w:rPr>
          <w:color w:val="auto"/>
          <w:sz w:val="24"/>
          <w:szCs w:val="24"/>
        </w:rPr>
        <w:t>overnment</w:t>
      </w:r>
      <w:r w:rsidR="00F1358E" w:rsidRPr="00CF05D3">
        <w:rPr>
          <w:color w:val="auto"/>
          <w:sz w:val="24"/>
          <w:szCs w:val="24"/>
        </w:rPr>
        <w:t xml:space="preserve"> of Vanuatu</w:t>
      </w:r>
      <w:r w:rsidR="00946597" w:rsidRPr="00CF05D3">
        <w:rPr>
          <w:color w:val="auto"/>
          <w:sz w:val="24"/>
          <w:szCs w:val="24"/>
        </w:rPr>
        <w:t xml:space="preserve">’s </w:t>
      </w:r>
      <w:r w:rsidR="00F1358E" w:rsidRPr="00CF05D3">
        <w:rPr>
          <w:color w:val="auto"/>
          <w:sz w:val="24"/>
          <w:szCs w:val="24"/>
        </w:rPr>
        <w:t xml:space="preserve">own </w:t>
      </w:r>
      <w:r w:rsidR="00946597" w:rsidRPr="00CF05D3">
        <w:rPr>
          <w:color w:val="auto"/>
          <w:sz w:val="24"/>
          <w:szCs w:val="24"/>
        </w:rPr>
        <w:t>priorities</w:t>
      </w:r>
      <w:r w:rsidR="00F1358E" w:rsidRPr="00CF05D3">
        <w:rPr>
          <w:color w:val="auto"/>
          <w:sz w:val="24"/>
          <w:szCs w:val="24"/>
        </w:rPr>
        <w:t xml:space="preserve">. </w:t>
      </w:r>
      <w:r w:rsidR="00946597" w:rsidRPr="00CF05D3">
        <w:rPr>
          <w:color w:val="auto"/>
          <w:sz w:val="24"/>
          <w:szCs w:val="24"/>
        </w:rPr>
        <w:t xml:space="preserve">WSB was found to offer </w:t>
      </w:r>
      <w:r w:rsidR="00900CA1" w:rsidRPr="00CF05D3">
        <w:rPr>
          <w:color w:val="auto"/>
          <w:sz w:val="24"/>
          <w:szCs w:val="24"/>
        </w:rPr>
        <w:t xml:space="preserve">very strong </w:t>
      </w:r>
      <w:r w:rsidR="00946597" w:rsidRPr="00CF05D3">
        <w:rPr>
          <w:color w:val="auto"/>
          <w:sz w:val="24"/>
          <w:szCs w:val="24"/>
        </w:rPr>
        <w:t xml:space="preserve">value for money, with some inefficiencies </w:t>
      </w:r>
      <w:r w:rsidR="003B0393" w:rsidRPr="00CF05D3">
        <w:rPr>
          <w:color w:val="auto"/>
          <w:sz w:val="24"/>
          <w:szCs w:val="24"/>
        </w:rPr>
        <w:t xml:space="preserve">identified around project management for </w:t>
      </w:r>
      <w:r w:rsidR="00F976E5" w:rsidRPr="00CF05D3">
        <w:rPr>
          <w:color w:val="auto"/>
          <w:sz w:val="24"/>
          <w:szCs w:val="24"/>
        </w:rPr>
        <w:t>non</w:t>
      </w:r>
      <w:r w:rsidR="003B0393" w:rsidRPr="00CF05D3">
        <w:rPr>
          <w:color w:val="auto"/>
          <w:sz w:val="24"/>
          <w:szCs w:val="24"/>
        </w:rPr>
        <w:t xml:space="preserve">-core funding. </w:t>
      </w:r>
      <w:r w:rsidR="00015981" w:rsidRPr="00CF05D3">
        <w:rPr>
          <w:color w:val="auto"/>
          <w:sz w:val="24"/>
          <w:szCs w:val="24"/>
        </w:rPr>
        <w:t xml:space="preserve">Challenges </w:t>
      </w:r>
      <w:r w:rsidR="00567A7D" w:rsidRPr="00CF05D3">
        <w:rPr>
          <w:color w:val="auto"/>
          <w:sz w:val="24"/>
          <w:szCs w:val="24"/>
        </w:rPr>
        <w:t xml:space="preserve">were identified </w:t>
      </w:r>
      <w:r w:rsidR="00015981" w:rsidRPr="00CF05D3">
        <w:rPr>
          <w:color w:val="auto"/>
          <w:sz w:val="24"/>
          <w:szCs w:val="24"/>
        </w:rPr>
        <w:t>for WSB in relation to the existing</w:t>
      </w:r>
      <w:r w:rsidR="003B0393" w:rsidRPr="00CF05D3">
        <w:rPr>
          <w:color w:val="auto"/>
          <w:sz w:val="24"/>
          <w:szCs w:val="24"/>
        </w:rPr>
        <w:t xml:space="preserve"> monitoring</w:t>
      </w:r>
      <w:r w:rsidR="00015981" w:rsidRPr="00CF05D3">
        <w:rPr>
          <w:color w:val="auto"/>
          <w:sz w:val="24"/>
          <w:szCs w:val="24"/>
        </w:rPr>
        <w:t xml:space="preserve"> and</w:t>
      </w:r>
      <w:r w:rsidR="003B0393" w:rsidRPr="00CF05D3">
        <w:rPr>
          <w:color w:val="auto"/>
          <w:sz w:val="24"/>
          <w:szCs w:val="24"/>
        </w:rPr>
        <w:t xml:space="preserve"> evaluation </w:t>
      </w:r>
      <w:r w:rsidR="00015981" w:rsidRPr="00CF05D3">
        <w:rPr>
          <w:color w:val="auto"/>
          <w:sz w:val="24"/>
          <w:szCs w:val="24"/>
        </w:rPr>
        <w:t>framework and reporting</w:t>
      </w:r>
      <w:r w:rsidR="003B0393" w:rsidRPr="00CF05D3">
        <w:rPr>
          <w:color w:val="auto"/>
          <w:sz w:val="24"/>
          <w:szCs w:val="24"/>
        </w:rPr>
        <w:t xml:space="preserve">. </w:t>
      </w:r>
      <w:r w:rsidR="005F74E3" w:rsidRPr="00CF05D3">
        <w:rPr>
          <w:color w:val="auto"/>
          <w:sz w:val="24"/>
          <w:szCs w:val="24"/>
        </w:rPr>
        <w:t xml:space="preserve">As previous evaluations and two separate business reviews had found, the evaluation concluded that </w:t>
      </w:r>
      <w:r w:rsidR="003B0393" w:rsidRPr="00CF05D3">
        <w:rPr>
          <w:color w:val="auto"/>
          <w:sz w:val="24"/>
          <w:szCs w:val="24"/>
        </w:rPr>
        <w:t>financial sustainability and cost recovery were not appropriate or realistic goals for WSB.</w:t>
      </w:r>
    </w:p>
    <w:p w14:paraId="1759956E" w14:textId="5EBD92C8" w:rsidR="004B528C" w:rsidRPr="00CF05D3" w:rsidRDefault="00015981" w:rsidP="00CF05D3">
      <w:pPr>
        <w:pStyle w:val="Heading3"/>
      </w:pPr>
      <w:r w:rsidRPr="00CF05D3">
        <w:t>Overall response to the evaluation</w:t>
      </w:r>
    </w:p>
    <w:p w14:paraId="34D60162" w14:textId="7C9C2B11" w:rsidR="007F0071" w:rsidRPr="00CF05D3" w:rsidRDefault="004B528C" w:rsidP="00113DF3">
      <w:pPr>
        <w:rPr>
          <w:rFonts w:cstheme="minorHAnsi"/>
          <w:color w:val="000000" w:themeColor="text1"/>
          <w:sz w:val="24"/>
          <w:szCs w:val="24"/>
        </w:rPr>
      </w:pPr>
      <w:r w:rsidRPr="00CF05D3">
        <w:rPr>
          <w:rFonts w:cstheme="minorHAnsi"/>
          <w:color w:val="000000" w:themeColor="text1"/>
          <w:sz w:val="24"/>
          <w:szCs w:val="24"/>
        </w:rPr>
        <w:t xml:space="preserve">MFAT, DFAT and Oxfam </w:t>
      </w:r>
      <w:r w:rsidR="00015981" w:rsidRPr="00CF05D3">
        <w:rPr>
          <w:rFonts w:cstheme="minorHAnsi"/>
          <w:color w:val="000000" w:themeColor="text1"/>
          <w:sz w:val="24"/>
          <w:szCs w:val="24"/>
        </w:rPr>
        <w:t xml:space="preserve">welcome the evaluation’s findings </w:t>
      </w:r>
      <w:r w:rsidR="006E5F4F" w:rsidRPr="00CF05D3">
        <w:rPr>
          <w:rFonts w:cstheme="minorHAnsi"/>
          <w:color w:val="000000" w:themeColor="text1"/>
          <w:sz w:val="24"/>
          <w:szCs w:val="24"/>
        </w:rPr>
        <w:t xml:space="preserve">and agree with </w:t>
      </w:r>
      <w:r w:rsidRPr="00CF05D3">
        <w:rPr>
          <w:rFonts w:cstheme="minorHAnsi"/>
          <w:color w:val="000000" w:themeColor="text1"/>
          <w:sz w:val="24"/>
          <w:szCs w:val="24"/>
        </w:rPr>
        <w:t>the evaluation’s recommendations</w:t>
      </w:r>
      <w:r w:rsidR="006E5F4F" w:rsidRPr="00CF05D3">
        <w:rPr>
          <w:rFonts w:cstheme="minorHAnsi"/>
          <w:color w:val="000000" w:themeColor="text1"/>
          <w:sz w:val="24"/>
          <w:szCs w:val="24"/>
        </w:rPr>
        <w:t>, particularly the recommendations for donor partners</w:t>
      </w:r>
      <w:r w:rsidR="00017459" w:rsidRPr="00CF05D3">
        <w:rPr>
          <w:rFonts w:cstheme="minorHAnsi"/>
          <w:color w:val="000000" w:themeColor="text1"/>
          <w:sz w:val="24"/>
          <w:szCs w:val="24"/>
        </w:rPr>
        <w:t>, as detailed further below</w:t>
      </w:r>
      <w:r w:rsidR="00015981" w:rsidRPr="00CF05D3">
        <w:rPr>
          <w:rFonts w:cstheme="minorHAnsi"/>
          <w:color w:val="000000" w:themeColor="text1"/>
          <w:sz w:val="24"/>
          <w:szCs w:val="24"/>
        </w:rPr>
        <w:t>. T</w:t>
      </w:r>
      <w:r w:rsidR="006E5F4F" w:rsidRPr="00CF05D3">
        <w:rPr>
          <w:rFonts w:cstheme="minorHAnsi"/>
          <w:color w:val="000000" w:themeColor="text1"/>
          <w:sz w:val="24"/>
          <w:szCs w:val="24"/>
        </w:rPr>
        <w:t>hese</w:t>
      </w:r>
      <w:r w:rsidR="00017459" w:rsidRPr="00CF05D3">
        <w:rPr>
          <w:rFonts w:cstheme="minorHAnsi"/>
          <w:color w:val="000000" w:themeColor="text1"/>
          <w:sz w:val="24"/>
          <w:szCs w:val="24"/>
        </w:rPr>
        <w:t xml:space="preserve"> </w:t>
      </w:r>
      <w:r w:rsidR="0008456E" w:rsidRPr="00CF05D3">
        <w:rPr>
          <w:rFonts w:cstheme="minorHAnsi"/>
          <w:color w:val="000000" w:themeColor="text1"/>
          <w:sz w:val="24"/>
          <w:szCs w:val="24"/>
        </w:rPr>
        <w:t>recommendations</w:t>
      </w:r>
      <w:r w:rsidR="006E5F4F" w:rsidRPr="00CF05D3">
        <w:rPr>
          <w:rFonts w:cstheme="minorHAnsi"/>
          <w:color w:val="000000" w:themeColor="text1"/>
          <w:sz w:val="24"/>
          <w:szCs w:val="24"/>
        </w:rPr>
        <w:t xml:space="preserve"> will inform the next phase of donor support</w:t>
      </w:r>
      <w:r w:rsidR="00BA07F0" w:rsidRPr="00CF05D3">
        <w:rPr>
          <w:rFonts w:cstheme="minorHAnsi"/>
          <w:color w:val="000000" w:themeColor="text1"/>
          <w:sz w:val="24"/>
          <w:szCs w:val="24"/>
        </w:rPr>
        <w:t>.</w:t>
      </w:r>
    </w:p>
    <w:p w14:paraId="5EE21311" w14:textId="0954201B" w:rsidR="007F0071" w:rsidRPr="007F0071" w:rsidRDefault="007F0071" w:rsidP="007F0071">
      <w:pPr>
        <w:pStyle w:val="ListParagraph"/>
        <w:numPr>
          <w:ilvl w:val="0"/>
          <w:numId w:val="33"/>
        </w:numPr>
        <w:rPr>
          <w:rFonts w:asciiTheme="majorHAnsi" w:hAnsiTheme="majorHAnsi" w:cstheme="majorHAnsi"/>
          <w:color w:val="auto"/>
          <w:sz w:val="24"/>
          <w:szCs w:val="24"/>
        </w:rPr>
        <w:sectPr w:rsidR="007F0071" w:rsidRPr="007F0071" w:rsidSect="005F27D9">
          <w:footerReference w:type="default" r:id="rId8"/>
          <w:pgSz w:w="11906" w:h="16838"/>
          <w:pgMar w:top="851" w:right="1440" w:bottom="1440" w:left="1440" w:header="708" w:footer="708" w:gutter="0"/>
          <w:cols w:space="708"/>
          <w:docGrid w:linePitch="360"/>
        </w:sectPr>
      </w:pPr>
    </w:p>
    <w:p w14:paraId="46F4EEC3" w14:textId="20816A9B" w:rsidR="00BA07F0" w:rsidRDefault="00BA07F0" w:rsidP="00CF05D3">
      <w:pPr>
        <w:pStyle w:val="Heading3"/>
      </w:pPr>
      <w:r w:rsidRPr="00965A6B">
        <w:lastRenderedPageBreak/>
        <w:t xml:space="preserve">Management response to the recommendations </w:t>
      </w:r>
      <w:r w:rsidR="00CC436E">
        <w:t>for the consideration of core donor partners</w:t>
      </w:r>
    </w:p>
    <w:p w14:paraId="3D789917" w14:textId="77777777" w:rsidR="00BA07F0" w:rsidRPr="00452680" w:rsidRDefault="00BA07F0" w:rsidP="00BA07F0">
      <w:pPr>
        <w:rPr>
          <w:rFonts w:asciiTheme="majorHAnsi" w:hAnsiTheme="majorHAnsi" w:cstheme="majorHAnsi"/>
          <w:sz w:val="20"/>
          <w:szCs w:val="20"/>
        </w:rPr>
      </w:pPr>
    </w:p>
    <w:tbl>
      <w:tblPr>
        <w:tblStyle w:val="TableGrid"/>
        <w:tblW w:w="15377" w:type="dxa"/>
        <w:tblInd w:w="-431" w:type="dxa"/>
        <w:tblLook w:val="04A0" w:firstRow="1" w:lastRow="0" w:firstColumn="1" w:lastColumn="0" w:noHBand="0" w:noVBand="1"/>
      </w:tblPr>
      <w:tblGrid>
        <w:gridCol w:w="560"/>
        <w:gridCol w:w="3238"/>
        <w:gridCol w:w="993"/>
        <w:gridCol w:w="5470"/>
        <w:gridCol w:w="3903"/>
        <w:gridCol w:w="1213"/>
      </w:tblGrid>
      <w:tr w:rsidR="007B040B" w:rsidRPr="00452680" w14:paraId="026A03D8" w14:textId="77777777" w:rsidTr="00965A6B">
        <w:tc>
          <w:tcPr>
            <w:tcW w:w="564" w:type="dxa"/>
            <w:shd w:val="clear" w:color="auto" w:fill="7B7B7B" w:themeFill="accent3" w:themeFillShade="BF"/>
          </w:tcPr>
          <w:p w14:paraId="5695D08F" w14:textId="77777777" w:rsidR="00BA07F0" w:rsidRPr="00452680" w:rsidRDefault="00BA07F0" w:rsidP="00CD02FB">
            <w:pPr>
              <w:rPr>
                <w:rFonts w:asciiTheme="majorHAnsi" w:hAnsiTheme="majorHAnsi" w:cstheme="majorHAnsi"/>
                <w:color w:val="FFFFFF" w:themeColor="background1"/>
                <w:sz w:val="20"/>
                <w:szCs w:val="20"/>
              </w:rPr>
            </w:pPr>
          </w:p>
        </w:tc>
        <w:tc>
          <w:tcPr>
            <w:tcW w:w="3264" w:type="dxa"/>
            <w:shd w:val="clear" w:color="auto" w:fill="7B7B7B" w:themeFill="accent3" w:themeFillShade="BF"/>
          </w:tcPr>
          <w:p w14:paraId="4C6EE98C" w14:textId="77777777" w:rsidR="00BA07F0" w:rsidRPr="00BD5F93" w:rsidRDefault="00BA07F0" w:rsidP="00CD02FB">
            <w:pPr>
              <w:rPr>
                <w:rFonts w:asciiTheme="majorHAnsi" w:hAnsiTheme="majorHAnsi" w:cstheme="majorHAnsi"/>
                <w:color w:val="auto"/>
                <w:sz w:val="20"/>
                <w:szCs w:val="20"/>
              </w:rPr>
            </w:pPr>
            <w:r w:rsidRPr="00BD5F93">
              <w:rPr>
                <w:rFonts w:asciiTheme="majorHAnsi" w:hAnsiTheme="majorHAnsi" w:cstheme="majorHAnsi"/>
                <w:color w:val="auto"/>
                <w:sz w:val="20"/>
                <w:szCs w:val="20"/>
              </w:rPr>
              <w:t>Recommendation</w:t>
            </w:r>
          </w:p>
        </w:tc>
        <w:tc>
          <w:tcPr>
            <w:tcW w:w="993" w:type="dxa"/>
            <w:shd w:val="clear" w:color="auto" w:fill="7B7B7B" w:themeFill="accent3" w:themeFillShade="BF"/>
          </w:tcPr>
          <w:p w14:paraId="56027367" w14:textId="5127C841" w:rsidR="00BA07F0" w:rsidRPr="00BD5F93" w:rsidRDefault="00562E0B" w:rsidP="00CD02FB">
            <w:pPr>
              <w:rPr>
                <w:rFonts w:asciiTheme="majorHAnsi" w:hAnsiTheme="majorHAnsi" w:cstheme="majorHAnsi"/>
                <w:color w:val="auto"/>
                <w:sz w:val="20"/>
                <w:szCs w:val="20"/>
              </w:rPr>
            </w:pPr>
            <w:r w:rsidRPr="00BD5F93">
              <w:rPr>
                <w:rFonts w:asciiTheme="majorHAnsi" w:hAnsiTheme="majorHAnsi" w:cstheme="majorHAnsi"/>
                <w:color w:val="auto"/>
                <w:sz w:val="20"/>
                <w:szCs w:val="20"/>
              </w:rPr>
              <w:t xml:space="preserve">Donors’ </w:t>
            </w:r>
            <w:r w:rsidR="00BA07F0" w:rsidRPr="00BD5F93">
              <w:rPr>
                <w:rFonts w:asciiTheme="majorHAnsi" w:hAnsiTheme="majorHAnsi" w:cstheme="majorHAnsi"/>
                <w:color w:val="auto"/>
                <w:sz w:val="20"/>
                <w:szCs w:val="20"/>
              </w:rPr>
              <w:t xml:space="preserve">Response </w:t>
            </w:r>
          </w:p>
        </w:tc>
        <w:tc>
          <w:tcPr>
            <w:tcW w:w="5528" w:type="dxa"/>
            <w:shd w:val="clear" w:color="auto" w:fill="7B7B7B" w:themeFill="accent3" w:themeFillShade="BF"/>
          </w:tcPr>
          <w:p w14:paraId="37122490" w14:textId="7E3A3542" w:rsidR="00BA07F0" w:rsidRPr="00BD5F93" w:rsidRDefault="00BA07F0" w:rsidP="00CD02FB">
            <w:pPr>
              <w:rPr>
                <w:rFonts w:asciiTheme="majorHAnsi" w:hAnsiTheme="majorHAnsi" w:cstheme="majorHAnsi"/>
                <w:color w:val="auto"/>
                <w:sz w:val="20"/>
                <w:szCs w:val="20"/>
              </w:rPr>
            </w:pPr>
            <w:r w:rsidRPr="00BD5F93">
              <w:rPr>
                <w:rFonts w:asciiTheme="majorHAnsi" w:hAnsiTheme="majorHAnsi" w:cstheme="majorHAnsi"/>
                <w:color w:val="auto"/>
                <w:sz w:val="20"/>
                <w:szCs w:val="20"/>
              </w:rPr>
              <w:t xml:space="preserve">Explanation </w:t>
            </w:r>
          </w:p>
        </w:tc>
        <w:tc>
          <w:tcPr>
            <w:tcW w:w="3934" w:type="dxa"/>
            <w:shd w:val="clear" w:color="auto" w:fill="7B7B7B" w:themeFill="accent3" w:themeFillShade="BF"/>
          </w:tcPr>
          <w:p w14:paraId="4E11829A" w14:textId="5AD557E7" w:rsidR="00BA07F0" w:rsidRPr="00BD5F93" w:rsidRDefault="006A2597" w:rsidP="00CD02FB">
            <w:pPr>
              <w:rPr>
                <w:rFonts w:asciiTheme="majorHAnsi" w:hAnsiTheme="majorHAnsi" w:cstheme="majorHAnsi"/>
                <w:color w:val="auto"/>
                <w:sz w:val="20"/>
                <w:szCs w:val="20"/>
              </w:rPr>
            </w:pPr>
            <w:r w:rsidRPr="00BD5F93">
              <w:rPr>
                <w:rFonts w:asciiTheme="majorHAnsi" w:hAnsiTheme="majorHAnsi" w:cstheme="majorHAnsi"/>
                <w:color w:val="auto"/>
                <w:sz w:val="20"/>
                <w:szCs w:val="20"/>
              </w:rPr>
              <w:t xml:space="preserve">Donor </w:t>
            </w:r>
            <w:r w:rsidR="00BA07F0" w:rsidRPr="00BD5F93">
              <w:rPr>
                <w:rFonts w:asciiTheme="majorHAnsi" w:hAnsiTheme="majorHAnsi" w:cstheme="majorHAnsi"/>
                <w:color w:val="auto"/>
                <w:sz w:val="20"/>
                <w:szCs w:val="20"/>
              </w:rPr>
              <w:t xml:space="preserve">Action plan </w:t>
            </w:r>
          </w:p>
        </w:tc>
        <w:tc>
          <w:tcPr>
            <w:tcW w:w="1094" w:type="dxa"/>
            <w:shd w:val="clear" w:color="auto" w:fill="7B7B7B" w:themeFill="accent3" w:themeFillShade="BF"/>
          </w:tcPr>
          <w:p w14:paraId="10CC2311" w14:textId="77777777" w:rsidR="00BA07F0" w:rsidRPr="00BD5F93" w:rsidRDefault="00BA07F0" w:rsidP="00CD02FB">
            <w:pPr>
              <w:rPr>
                <w:rFonts w:asciiTheme="majorHAnsi" w:hAnsiTheme="majorHAnsi" w:cstheme="majorHAnsi"/>
                <w:color w:val="auto"/>
                <w:sz w:val="20"/>
                <w:szCs w:val="20"/>
              </w:rPr>
            </w:pPr>
            <w:r w:rsidRPr="00BD5F93">
              <w:rPr>
                <w:rFonts w:asciiTheme="majorHAnsi" w:hAnsiTheme="majorHAnsi" w:cstheme="majorHAnsi"/>
                <w:color w:val="auto"/>
                <w:sz w:val="20"/>
                <w:szCs w:val="20"/>
              </w:rPr>
              <w:t xml:space="preserve">Timeframe </w:t>
            </w:r>
          </w:p>
        </w:tc>
      </w:tr>
      <w:tr w:rsidR="007B040B" w:rsidRPr="00452680" w14:paraId="17C55CA0" w14:textId="77777777" w:rsidTr="00633D57">
        <w:tc>
          <w:tcPr>
            <w:tcW w:w="564" w:type="dxa"/>
            <w:shd w:val="clear" w:color="auto" w:fill="auto"/>
          </w:tcPr>
          <w:p w14:paraId="5606C0EF" w14:textId="113E4CA2" w:rsidR="00562E0B" w:rsidRPr="007F0071" w:rsidRDefault="00562E0B" w:rsidP="00CD02FB">
            <w:pPr>
              <w:rPr>
                <w:rFonts w:asciiTheme="majorHAnsi" w:hAnsiTheme="majorHAnsi" w:cstheme="majorHAnsi"/>
                <w:color w:val="auto"/>
                <w:sz w:val="20"/>
                <w:szCs w:val="20"/>
              </w:rPr>
            </w:pPr>
            <w:r>
              <w:rPr>
                <w:rFonts w:asciiTheme="majorHAnsi" w:hAnsiTheme="majorHAnsi" w:cstheme="majorHAnsi"/>
                <w:color w:val="auto"/>
                <w:sz w:val="20"/>
                <w:szCs w:val="20"/>
              </w:rPr>
              <w:t>1</w:t>
            </w:r>
          </w:p>
        </w:tc>
        <w:tc>
          <w:tcPr>
            <w:tcW w:w="3264" w:type="dxa"/>
            <w:shd w:val="clear" w:color="auto" w:fill="auto"/>
          </w:tcPr>
          <w:p w14:paraId="5C247CB8" w14:textId="721E58B7" w:rsidR="00562E0B" w:rsidRDefault="00562E0B" w:rsidP="00CD02FB">
            <w:pPr>
              <w:rPr>
                <w:rFonts w:asciiTheme="majorHAnsi" w:hAnsiTheme="majorHAnsi" w:cstheme="majorHAnsi"/>
                <w:color w:val="auto"/>
                <w:sz w:val="20"/>
                <w:szCs w:val="20"/>
              </w:rPr>
            </w:pPr>
            <w:r>
              <w:rPr>
                <w:rFonts w:asciiTheme="majorHAnsi" w:hAnsiTheme="majorHAnsi" w:cstheme="majorHAnsi"/>
                <w:color w:val="auto"/>
                <w:sz w:val="20"/>
                <w:szCs w:val="20"/>
              </w:rPr>
              <w:t>WSB should continue working in the same manner, building on existing strengths where possible.</w:t>
            </w:r>
          </w:p>
        </w:tc>
        <w:tc>
          <w:tcPr>
            <w:tcW w:w="993" w:type="dxa"/>
            <w:shd w:val="clear" w:color="auto" w:fill="92D050"/>
          </w:tcPr>
          <w:p w14:paraId="7ED18E42" w14:textId="55272DB6" w:rsidR="00562E0B" w:rsidRPr="00452680" w:rsidRDefault="00562E0B" w:rsidP="00CD02FB">
            <w:pPr>
              <w:rPr>
                <w:rFonts w:asciiTheme="majorHAnsi" w:hAnsiTheme="majorHAnsi" w:cstheme="majorHAnsi"/>
                <w:color w:val="000000" w:themeColor="text1"/>
                <w:sz w:val="20"/>
                <w:szCs w:val="20"/>
              </w:rPr>
            </w:pPr>
            <w:r w:rsidRPr="00452680">
              <w:rPr>
                <w:rFonts w:asciiTheme="majorHAnsi" w:hAnsiTheme="majorHAnsi" w:cstheme="majorHAnsi"/>
                <w:color w:val="000000" w:themeColor="text1"/>
                <w:sz w:val="20"/>
                <w:szCs w:val="20"/>
              </w:rPr>
              <w:t>Agree</w:t>
            </w:r>
          </w:p>
        </w:tc>
        <w:tc>
          <w:tcPr>
            <w:tcW w:w="5528" w:type="dxa"/>
            <w:shd w:val="clear" w:color="auto" w:fill="auto"/>
          </w:tcPr>
          <w:p w14:paraId="11E9F6A7" w14:textId="2ED4E21C" w:rsidR="00562E0B" w:rsidRDefault="00183CCE" w:rsidP="00E06E32">
            <w:pPr>
              <w:pStyle w:val="ListParagraph"/>
              <w:numPr>
                <w:ilvl w:val="0"/>
                <w:numId w:val="7"/>
              </w:numPr>
              <w:suppressAutoHyphens w:val="0"/>
              <w:spacing w:before="0" w:after="0" w:line="240" w:lineRule="auto"/>
              <w:ind w:left="141" w:hanging="141"/>
              <w:jc w:val="both"/>
              <w:rPr>
                <w:rFonts w:asciiTheme="majorHAnsi" w:hAnsiTheme="majorHAnsi" w:cstheme="majorHAnsi"/>
                <w:color w:val="auto"/>
                <w:sz w:val="20"/>
                <w:szCs w:val="20"/>
              </w:rPr>
            </w:pPr>
            <w:r>
              <w:rPr>
                <w:rFonts w:asciiTheme="majorHAnsi" w:hAnsiTheme="majorHAnsi" w:cstheme="majorHAnsi"/>
                <w:color w:val="auto"/>
                <w:sz w:val="20"/>
                <w:szCs w:val="20"/>
              </w:rPr>
              <w:t xml:space="preserve">The evaluation found WSB to be a mature and effective organisation, with a </w:t>
            </w:r>
            <w:r w:rsidR="00DB6B90">
              <w:rPr>
                <w:rFonts w:asciiTheme="majorHAnsi" w:hAnsiTheme="majorHAnsi" w:cstheme="majorHAnsi"/>
                <w:color w:val="auto"/>
                <w:sz w:val="20"/>
                <w:szCs w:val="20"/>
              </w:rPr>
              <w:t>context-appropriate and flexible</w:t>
            </w:r>
            <w:r>
              <w:rPr>
                <w:rFonts w:asciiTheme="majorHAnsi" w:hAnsiTheme="majorHAnsi" w:cstheme="majorHAnsi"/>
                <w:color w:val="auto"/>
                <w:sz w:val="20"/>
                <w:szCs w:val="20"/>
              </w:rPr>
              <w:t xml:space="preserve"> ‘way of working’ that responds to the evolving needs and realities of the communities it supports.</w:t>
            </w:r>
          </w:p>
          <w:p w14:paraId="674C9E45" w14:textId="77777777" w:rsidR="00183CCE" w:rsidRDefault="00183CCE" w:rsidP="00E06E32">
            <w:pPr>
              <w:pStyle w:val="ListParagraph"/>
              <w:numPr>
                <w:ilvl w:val="0"/>
                <w:numId w:val="7"/>
              </w:numPr>
              <w:suppressAutoHyphens w:val="0"/>
              <w:spacing w:before="0" w:after="0" w:line="240" w:lineRule="auto"/>
              <w:ind w:left="141" w:hanging="141"/>
              <w:jc w:val="both"/>
              <w:rPr>
                <w:rFonts w:asciiTheme="majorHAnsi" w:hAnsiTheme="majorHAnsi" w:cstheme="majorHAnsi"/>
                <w:color w:val="auto"/>
                <w:sz w:val="20"/>
                <w:szCs w:val="20"/>
              </w:rPr>
            </w:pPr>
            <w:r>
              <w:rPr>
                <w:rFonts w:asciiTheme="majorHAnsi" w:hAnsiTheme="majorHAnsi" w:cstheme="majorHAnsi"/>
                <w:color w:val="auto"/>
                <w:sz w:val="20"/>
                <w:szCs w:val="20"/>
              </w:rPr>
              <w:t xml:space="preserve">Donors agree WSB is a unique and important organisation and should </w:t>
            </w:r>
            <w:r w:rsidR="00DB6B90">
              <w:rPr>
                <w:rFonts w:asciiTheme="majorHAnsi" w:hAnsiTheme="majorHAnsi" w:cstheme="majorHAnsi"/>
                <w:color w:val="auto"/>
                <w:sz w:val="20"/>
                <w:szCs w:val="20"/>
              </w:rPr>
              <w:t xml:space="preserve">be supported to </w:t>
            </w:r>
            <w:r>
              <w:rPr>
                <w:rFonts w:asciiTheme="majorHAnsi" w:hAnsiTheme="majorHAnsi" w:cstheme="majorHAnsi"/>
                <w:color w:val="auto"/>
                <w:sz w:val="20"/>
                <w:szCs w:val="20"/>
              </w:rPr>
              <w:t>continue their existing, flexible ‘way of working’ as an effective mechanism for change.</w:t>
            </w:r>
          </w:p>
          <w:p w14:paraId="484B7E00" w14:textId="6480D4D9" w:rsidR="007B040B" w:rsidRDefault="007B040B" w:rsidP="00E06E32">
            <w:pPr>
              <w:pStyle w:val="ListParagraph"/>
              <w:numPr>
                <w:ilvl w:val="0"/>
                <w:numId w:val="7"/>
              </w:numPr>
              <w:suppressAutoHyphens w:val="0"/>
              <w:spacing w:before="0" w:after="0" w:line="240" w:lineRule="auto"/>
              <w:ind w:left="141" w:hanging="141"/>
              <w:jc w:val="both"/>
              <w:rPr>
                <w:rFonts w:asciiTheme="majorHAnsi" w:hAnsiTheme="majorHAnsi" w:cstheme="majorHAnsi"/>
                <w:color w:val="auto"/>
                <w:sz w:val="20"/>
                <w:szCs w:val="20"/>
              </w:rPr>
            </w:pPr>
            <w:r>
              <w:rPr>
                <w:rFonts w:asciiTheme="majorHAnsi" w:hAnsiTheme="majorHAnsi" w:cstheme="majorHAnsi"/>
                <w:color w:val="auto"/>
                <w:sz w:val="20"/>
                <w:szCs w:val="20"/>
              </w:rPr>
              <w:t>Donors note that more reflection/learning space would be useful to enable WSB to adapt and build on their strengths.</w:t>
            </w:r>
          </w:p>
        </w:tc>
        <w:tc>
          <w:tcPr>
            <w:tcW w:w="3934" w:type="dxa"/>
            <w:shd w:val="clear" w:color="auto" w:fill="auto"/>
          </w:tcPr>
          <w:p w14:paraId="1D2450A2" w14:textId="3507845E" w:rsidR="007B040B" w:rsidRDefault="00471080" w:rsidP="00771B8B">
            <w:pPr>
              <w:rPr>
                <w:rFonts w:asciiTheme="majorHAnsi" w:hAnsiTheme="majorHAnsi" w:cstheme="majorHAnsi"/>
                <w:color w:val="auto"/>
                <w:sz w:val="20"/>
                <w:szCs w:val="20"/>
              </w:rPr>
            </w:pPr>
            <w:r>
              <w:rPr>
                <w:rFonts w:asciiTheme="majorHAnsi" w:hAnsiTheme="majorHAnsi" w:cstheme="majorHAnsi"/>
                <w:color w:val="auto"/>
                <w:sz w:val="20"/>
                <w:szCs w:val="20"/>
              </w:rPr>
              <w:t xml:space="preserve">Donors will </w:t>
            </w:r>
            <w:r w:rsidR="007B040B">
              <w:rPr>
                <w:rFonts w:asciiTheme="majorHAnsi" w:hAnsiTheme="majorHAnsi" w:cstheme="majorHAnsi"/>
                <w:color w:val="auto"/>
                <w:sz w:val="20"/>
                <w:szCs w:val="20"/>
              </w:rPr>
              <w:t>support creation of a Monitoring, Evaluation and Learning (MEL) system that enables WSB to regularly reflect on their strengths and areas for improvement and adapt</w:t>
            </w:r>
            <w:r w:rsidR="00F976E5">
              <w:rPr>
                <w:rFonts w:asciiTheme="majorHAnsi" w:hAnsiTheme="majorHAnsi" w:cstheme="majorHAnsi"/>
                <w:color w:val="auto"/>
                <w:sz w:val="20"/>
                <w:szCs w:val="20"/>
              </w:rPr>
              <w:t xml:space="preserve"> the program accordingly</w:t>
            </w:r>
            <w:r w:rsidR="007B040B">
              <w:rPr>
                <w:rFonts w:asciiTheme="majorHAnsi" w:hAnsiTheme="majorHAnsi" w:cstheme="majorHAnsi"/>
                <w:color w:val="auto"/>
                <w:sz w:val="20"/>
                <w:szCs w:val="20"/>
              </w:rPr>
              <w:t xml:space="preserve">. </w:t>
            </w:r>
          </w:p>
          <w:p w14:paraId="132DA1F1" w14:textId="0A3482D2" w:rsidR="00DB6B90" w:rsidDel="00F74934" w:rsidRDefault="007B040B" w:rsidP="00771B8B">
            <w:pPr>
              <w:rPr>
                <w:rFonts w:asciiTheme="majorHAnsi" w:hAnsiTheme="majorHAnsi" w:cstheme="majorHAnsi"/>
                <w:color w:val="auto"/>
                <w:sz w:val="20"/>
                <w:szCs w:val="20"/>
              </w:rPr>
            </w:pPr>
            <w:r>
              <w:rPr>
                <w:rFonts w:asciiTheme="majorHAnsi" w:hAnsiTheme="majorHAnsi" w:cstheme="majorHAnsi"/>
                <w:color w:val="auto"/>
                <w:sz w:val="20"/>
                <w:szCs w:val="20"/>
              </w:rPr>
              <w:t xml:space="preserve">Donors will do this by MFAT </w:t>
            </w:r>
            <w:r w:rsidR="00471080">
              <w:rPr>
                <w:rFonts w:asciiTheme="majorHAnsi" w:hAnsiTheme="majorHAnsi" w:cstheme="majorHAnsi"/>
                <w:color w:val="auto"/>
                <w:sz w:val="20"/>
                <w:szCs w:val="20"/>
              </w:rPr>
              <w:t>engag</w:t>
            </w:r>
            <w:r>
              <w:rPr>
                <w:rFonts w:asciiTheme="majorHAnsi" w:hAnsiTheme="majorHAnsi" w:cstheme="majorHAnsi"/>
                <w:color w:val="auto"/>
                <w:sz w:val="20"/>
                <w:szCs w:val="20"/>
              </w:rPr>
              <w:t>ing</w:t>
            </w:r>
            <w:r w:rsidR="00471080">
              <w:rPr>
                <w:rFonts w:asciiTheme="majorHAnsi" w:hAnsiTheme="majorHAnsi" w:cstheme="majorHAnsi"/>
                <w:color w:val="auto"/>
                <w:sz w:val="20"/>
                <w:szCs w:val="20"/>
              </w:rPr>
              <w:t xml:space="preserve"> external advisory support to collaborate with WSB to develop an accessible and useful MEL system that works for WSB and donors</w:t>
            </w:r>
            <w:r>
              <w:rPr>
                <w:rFonts w:asciiTheme="majorHAnsi" w:hAnsiTheme="majorHAnsi" w:cstheme="majorHAnsi"/>
                <w:color w:val="auto"/>
                <w:sz w:val="20"/>
                <w:szCs w:val="20"/>
              </w:rPr>
              <w:t xml:space="preserve"> and creates space for reflection/adaptation.</w:t>
            </w:r>
          </w:p>
        </w:tc>
        <w:tc>
          <w:tcPr>
            <w:tcW w:w="1094" w:type="dxa"/>
            <w:shd w:val="clear" w:color="auto" w:fill="auto"/>
          </w:tcPr>
          <w:p w14:paraId="58AA4928" w14:textId="4D997E3D" w:rsidR="00562E0B" w:rsidRDefault="007B040B" w:rsidP="00CD02FB">
            <w:pPr>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Work commenced late 2021, to be completed by May 2022.</w:t>
            </w:r>
          </w:p>
        </w:tc>
      </w:tr>
      <w:tr w:rsidR="007B040B" w:rsidRPr="00452680" w14:paraId="6329F85E" w14:textId="77777777" w:rsidTr="00633D57">
        <w:tc>
          <w:tcPr>
            <w:tcW w:w="564" w:type="dxa"/>
            <w:shd w:val="clear" w:color="auto" w:fill="auto"/>
          </w:tcPr>
          <w:p w14:paraId="25DC80BC" w14:textId="0887E89D" w:rsidR="00562E0B" w:rsidRPr="007F0071" w:rsidRDefault="00562E0B" w:rsidP="00CD02FB">
            <w:pPr>
              <w:rPr>
                <w:rFonts w:asciiTheme="majorHAnsi" w:hAnsiTheme="majorHAnsi" w:cstheme="majorHAnsi"/>
                <w:color w:val="auto"/>
                <w:sz w:val="20"/>
                <w:szCs w:val="20"/>
              </w:rPr>
            </w:pPr>
            <w:r>
              <w:rPr>
                <w:rFonts w:asciiTheme="majorHAnsi" w:hAnsiTheme="majorHAnsi" w:cstheme="majorHAnsi"/>
                <w:color w:val="auto"/>
                <w:sz w:val="20"/>
                <w:szCs w:val="20"/>
              </w:rPr>
              <w:t>2</w:t>
            </w:r>
          </w:p>
        </w:tc>
        <w:tc>
          <w:tcPr>
            <w:tcW w:w="3264" w:type="dxa"/>
            <w:shd w:val="clear" w:color="auto" w:fill="auto"/>
          </w:tcPr>
          <w:p w14:paraId="17436AF1" w14:textId="7E1BB8A7" w:rsidR="00562E0B" w:rsidRDefault="00562E0B" w:rsidP="00CD02FB">
            <w:pPr>
              <w:rPr>
                <w:rFonts w:asciiTheme="majorHAnsi" w:hAnsiTheme="majorHAnsi" w:cstheme="majorHAnsi"/>
                <w:color w:val="auto"/>
                <w:sz w:val="20"/>
                <w:szCs w:val="20"/>
              </w:rPr>
            </w:pPr>
            <w:r>
              <w:rPr>
                <w:rFonts w:asciiTheme="majorHAnsi" w:hAnsiTheme="majorHAnsi" w:cstheme="majorHAnsi"/>
                <w:color w:val="auto"/>
                <w:sz w:val="20"/>
                <w:szCs w:val="20"/>
              </w:rPr>
              <w:t>Any further work around gender equality at WSB should be preceded by more focused consultation.</w:t>
            </w:r>
          </w:p>
        </w:tc>
        <w:tc>
          <w:tcPr>
            <w:tcW w:w="993" w:type="dxa"/>
            <w:shd w:val="clear" w:color="auto" w:fill="92D050"/>
          </w:tcPr>
          <w:p w14:paraId="106A4D56" w14:textId="7A051FFA" w:rsidR="00562E0B" w:rsidRPr="00452680" w:rsidRDefault="00562E0B" w:rsidP="00CD02FB">
            <w:pPr>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Agree</w:t>
            </w:r>
          </w:p>
        </w:tc>
        <w:tc>
          <w:tcPr>
            <w:tcW w:w="5528" w:type="dxa"/>
            <w:shd w:val="clear" w:color="auto" w:fill="auto"/>
          </w:tcPr>
          <w:p w14:paraId="701EFCF9" w14:textId="190922DF" w:rsidR="003F3E0D" w:rsidRDefault="00DC6844" w:rsidP="00E06E32">
            <w:pPr>
              <w:pStyle w:val="ListParagraph"/>
              <w:numPr>
                <w:ilvl w:val="0"/>
                <w:numId w:val="7"/>
              </w:numPr>
              <w:suppressAutoHyphens w:val="0"/>
              <w:spacing w:before="0" w:after="0" w:line="240" w:lineRule="auto"/>
              <w:ind w:left="141" w:hanging="141"/>
              <w:jc w:val="both"/>
              <w:rPr>
                <w:rFonts w:asciiTheme="majorHAnsi" w:hAnsiTheme="majorHAnsi" w:cstheme="majorHAnsi"/>
                <w:color w:val="auto"/>
                <w:sz w:val="20"/>
                <w:szCs w:val="20"/>
              </w:rPr>
            </w:pPr>
            <w:r>
              <w:rPr>
                <w:rFonts w:asciiTheme="majorHAnsi" w:hAnsiTheme="majorHAnsi" w:cstheme="majorHAnsi"/>
                <w:color w:val="auto"/>
                <w:sz w:val="20"/>
                <w:szCs w:val="20"/>
              </w:rPr>
              <w:t>The evaluation found WSB was highly effective in promoting gender equality</w:t>
            </w:r>
            <w:r w:rsidR="003F3E0D">
              <w:rPr>
                <w:rFonts w:asciiTheme="majorHAnsi" w:hAnsiTheme="majorHAnsi" w:cstheme="majorHAnsi"/>
                <w:color w:val="auto"/>
                <w:sz w:val="20"/>
                <w:szCs w:val="20"/>
              </w:rPr>
              <w:t xml:space="preserve">, </w:t>
            </w:r>
            <w:r w:rsidR="009B6F76">
              <w:rPr>
                <w:rFonts w:asciiTheme="majorHAnsi" w:hAnsiTheme="majorHAnsi" w:cstheme="majorHAnsi"/>
                <w:color w:val="auto"/>
                <w:sz w:val="20"/>
                <w:szCs w:val="20"/>
              </w:rPr>
              <w:t>although</w:t>
            </w:r>
            <w:r w:rsidR="003F3E0D">
              <w:rPr>
                <w:rFonts w:asciiTheme="majorHAnsi" w:hAnsiTheme="majorHAnsi" w:cstheme="majorHAnsi"/>
                <w:color w:val="auto"/>
                <w:sz w:val="20"/>
                <w:szCs w:val="20"/>
              </w:rPr>
              <w:t xml:space="preserve"> it </w:t>
            </w:r>
            <w:r w:rsidR="009B6F76">
              <w:rPr>
                <w:rFonts w:asciiTheme="majorHAnsi" w:hAnsiTheme="majorHAnsi" w:cstheme="majorHAnsi"/>
                <w:color w:val="auto"/>
                <w:sz w:val="20"/>
                <w:szCs w:val="20"/>
              </w:rPr>
              <w:t xml:space="preserve">was </w:t>
            </w:r>
            <w:r w:rsidR="003F3E0D">
              <w:rPr>
                <w:rFonts w:asciiTheme="majorHAnsi" w:hAnsiTheme="majorHAnsi" w:cstheme="majorHAnsi"/>
                <w:color w:val="auto"/>
                <w:sz w:val="20"/>
                <w:szCs w:val="20"/>
              </w:rPr>
              <w:t xml:space="preserve">not an explicit focal area for </w:t>
            </w:r>
            <w:r w:rsidR="009B6F76">
              <w:rPr>
                <w:rFonts w:asciiTheme="majorHAnsi" w:hAnsiTheme="majorHAnsi" w:cstheme="majorHAnsi"/>
                <w:color w:val="auto"/>
                <w:sz w:val="20"/>
                <w:szCs w:val="20"/>
              </w:rPr>
              <w:t>the organisation</w:t>
            </w:r>
            <w:r>
              <w:rPr>
                <w:rFonts w:asciiTheme="majorHAnsi" w:hAnsiTheme="majorHAnsi" w:cstheme="majorHAnsi"/>
                <w:color w:val="auto"/>
                <w:sz w:val="20"/>
                <w:szCs w:val="20"/>
              </w:rPr>
              <w:t xml:space="preserve">. </w:t>
            </w:r>
          </w:p>
          <w:p w14:paraId="29873031" w14:textId="4B4043B2" w:rsidR="00562E0B" w:rsidRPr="00771B8B" w:rsidRDefault="003F3E0D" w:rsidP="00771B8B">
            <w:pPr>
              <w:pStyle w:val="ListParagraph"/>
              <w:numPr>
                <w:ilvl w:val="0"/>
                <w:numId w:val="7"/>
              </w:numPr>
              <w:suppressAutoHyphens w:val="0"/>
              <w:spacing w:before="0" w:after="0" w:line="240" w:lineRule="auto"/>
              <w:ind w:left="141" w:hanging="141"/>
              <w:jc w:val="both"/>
              <w:rPr>
                <w:rFonts w:asciiTheme="majorHAnsi" w:hAnsiTheme="majorHAnsi" w:cstheme="majorHAnsi"/>
                <w:color w:val="auto"/>
                <w:sz w:val="20"/>
                <w:szCs w:val="20"/>
              </w:rPr>
            </w:pPr>
            <w:r>
              <w:rPr>
                <w:rFonts w:asciiTheme="majorHAnsi" w:hAnsiTheme="majorHAnsi" w:cstheme="majorHAnsi"/>
                <w:color w:val="auto"/>
                <w:sz w:val="20"/>
                <w:szCs w:val="20"/>
              </w:rPr>
              <w:t>The evaluation</w:t>
            </w:r>
            <w:r w:rsidR="00DC6844">
              <w:rPr>
                <w:rFonts w:asciiTheme="majorHAnsi" w:hAnsiTheme="majorHAnsi" w:cstheme="majorHAnsi"/>
                <w:color w:val="auto"/>
                <w:sz w:val="20"/>
                <w:szCs w:val="20"/>
              </w:rPr>
              <w:t xml:space="preserve"> identified potential</w:t>
            </w:r>
            <w:r w:rsidR="00646694">
              <w:rPr>
                <w:rFonts w:asciiTheme="majorHAnsi" w:hAnsiTheme="majorHAnsi" w:cstheme="majorHAnsi"/>
                <w:color w:val="auto"/>
                <w:sz w:val="20"/>
                <w:szCs w:val="20"/>
              </w:rPr>
              <w:t xml:space="preserve"> ‘optional’</w:t>
            </w:r>
            <w:r w:rsidR="00DC6844" w:rsidRPr="00771B8B">
              <w:rPr>
                <w:rFonts w:asciiTheme="majorHAnsi" w:hAnsiTheme="majorHAnsi" w:cstheme="majorHAnsi"/>
                <w:color w:val="auto"/>
                <w:sz w:val="20"/>
                <w:szCs w:val="20"/>
              </w:rPr>
              <w:t xml:space="preserve"> areas for strengthening</w:t>
            </w:r>
            <w:r w:rsidR="00D81DB7" w:rsidRPr="00771B8B">
              <w:rPr>
                <w:rFonts w:asciiTheme="majorHAnsi" w:hAnsiTheme="majorHAnsi" w:cstheme="majorHAnsi"/>
                <w:color w:val="auto"/>
                <w:sz w:val="20"/>
                <w:szCs w:val="20"/>
              </w:rPr>
              <w:t xml:space="preserve"> in relation to gender equality,</w:t>
            </w:r>
            <w:r w:rsidR="00DC6844" w:rsidRPr="00771B8B">
              <w:rPr>
                <w:rFonts w:asciiTheme="majorHAnsi" w:hAnsiTheme="majorHAnsi" w:cstheme="majorHAnsi"/>
                <w:color w:val="auto"/>
                <w:sz w:val="20"/>
                <w:szCs w:val="20"/>
              </w:rPr>
              <w:t xml:space="preserve"> but recommended WSB should lead </w:t>
            </w:r>
            <w:r w:rsidR="00646694" w:rsidRPr="00771B8B">
              <w:rPr>
                <w:rFonts w:asciiTheme="majorHAnsi" w:hAnsiTheme="majorHAnsi" w:cstheme="majorHAnsi"/>
                <w:color w:val="auto"/>
                <w:sz w:val="20"/>
                <w:szCs w:val="20"/>
              </w:rPr>
              <w:t xml:space="preserve">any </w:t>
            </w:r>
            <w:r w:rsidR="00DC6844" w:rsidRPr="00771B8B">
              <w:rPr>
                <w:rFonts w:asciiTheme="majorHAnsi" w:hAnsiTheme="majorHAnsi" w:cstheme="majorHAnsi"/>
                <w:color w:val="auto"/>
                <w:sz w:val="20"/>
                <w:szCs w:val="20"/>
              </w:rPr>
              <w:t xml:space="preserve">change in this area. </w:t>
            </w:r>
          </w:p>
          <w:p w14:paraId="59258F0B" w14:textId="13D28E57" w:rsidR="00D81DB7" w:rsidRPr="00771B8B" w:rsidRDefault="00D81DB7" w:rsidP="00771B8B">
            <w:pPr>
              <w:pStyle w:val="ListParagraph"/>
              <w:numPr>
                <w:ilvl w:val="0"/>
                <w:numId w:val="7"/>
              </w:numPr>
              <w:suppressAutoHyphens w:val="0"/>
              <w:spacing w:before="0" w:after="0" w:line="240" w:lineRule="auto"/>
              <w:ind w:left="141" w:hanging="141"/>
              <w:jc w:val="both"/>
              <w:rPr>
                <w:rFonts w:asciiTheme="majorHAnsi" w:hAnsiTheme="majorHAnsi" w:cstheme="majorHAnsi"/>
                <w:color w:val="auto"/>
                <w:sz w:val="20"/>
                <w:szCs w:val="20"/>
              </w:rPr>
            </w:pPr>
            <w:r>
              <w:rPr>
                <w:rFonts w:asciiTheme="majorHAnsi" w:hAnsiTheme="majorHAnsi" w:cstheme="majorHAnsi"/>
                <w:color w:val="auto"/>
                <w:sz w:val="20"/>
                <w:szCs w:val="20"/>
              </w:rPr>
              <w:t>Donors</w:t>
            </w:r>
            <w:r w:rsidR="009B6F76">
              <w:rPr>
                <w:rFonts w:asciiTheme="majorHAnsi" w:hAnsiTheme="majorHAnsi" w:cstheme="majorHAnsi"/>
                <w:color w:val="auto"/>
                <w:sz w:val="20"/>
                <w:szCs w:val="20"/>
              </w:rPr>
              <w:t xml:space="preserve"> agree and</w:t>
            </w:r>
            <w:r>
              <w:rPr>
                <w:rFonts w:asciiTheme="majorHAnsi" w:hAnsiTheme="majorHAnsi" w:cstheme="majorHAnsi"/>
                <w:color w:val="auto"/>
                <w:sz w:val="20"/>
                <w:szCs w:val="20"/>
              </w:rPr>
              <w:t xml:space="preserve"> </w:t>
            </w:r>
            <w:r w:rsidR="009B6F76">
              <w:rPr>
                <w:rFonts w:asciiTheme="majorHAnsi" w:hAnsiTheme="majorHAnsi" w:cstheme="majorHAnsi"/>
                <w:color w:val="auto"/>
                <w:sz w:val="20"/>
                <w:szCs w:val="20"/>
              </w:rPr>
              <w:t>support</w:t>
            </w:r>
            <w:r w:rsidR="003F3E0D">
              <w:rPr>
                <w:rFonts w:asciiTheme="majorHAnsi" w:hAnsiTheme="majorHAnsi" w:cstheme="majorHAnsi"/>
                <w:color w:val="auto"/>
                <w:sz w:val="20"/>
                <w:szCs w:val="20"/>
              </w:rPr>
              <w:t xml:space="preserve"> WSB</w:t>
            </w:r>
            <w:r w:rsidR="009B6F76">
              <w:rPr>
                <w:rFonts w:asciiTheme="majorHAnsi" w:hAnsiTheme="majorHAnsi" w:cstheme="majorHAnsi"/>
                <w:color w:val="auto"/>
                <w:sz w:val="20"/>
                <w:szCs w:val="20"/>
              </w:rPr>
              <w:t xml:space="preserve"> to</w:t>
            </w:r>
            <w:r w:rsidR="003F3E0D">
              <w:rPr>
                <w:rFonts w:asciiTheme="majorHAnsi" w:hAnsiTheme="majorHAnsi" w:cstheme="majorHAnsi"/>
                <w:color w:val="auto"/>
                <w:sz w:val="20"/>
                <w:szCs w:val="20"/>
              </w:rPr>
              <w:t xml:space="preserve"> continue to promote gender equality, </w:t>
            </w:r>
            <w:r w:rsidR="009B6F76">
              <w:rPr>
                <w:rFonts w:asciiTheme="majorHAnsi" w:hAnsiTheme="majorHAnsi" w:cstheme="majorHAnsi"/>
                <w:color w:val="auto"/>
                <w:sz w:val="20"/>
                <w:szCs w:val="20"/>
              </w:rPr>
              <w:t>as well as</w:t>
            </w:r>
            <w:r w:rsidR="003F3E0D">
              <w:rPr>
                <w:rFonts w:asciiTheme="majorHAnsi" w:hAnsiTheme="majorHAnsi" w:cstheme="majorHAnsi"/>
                <w:color w:val="auto"/>
                <w:sz w:val="20"/>
                <w:szCs w:val="20"/>
              </w:rPr>
              <w:t xml:space="preserve"> further strengthen their work</w:t>
            </w:r>
            <w:r w:rsidR="009B6F76">
              <w:rPr>
                <w:rFonts w:asciiTheme="majorHAnsi" w:hAnsiTheme="majorHAnsi" w:cstheme="majorHAnsi"/>
                <w:color w:val="auto"/>
                <w:sz w:val="20"/>
                <w:szCs w:val="20"/>
              </w:rPr>
              <w:t xml:space="preserve"> in this regard, acknowledging this needs to be well-contextualised </w:t>
            </w:r>
            <w:r w:rsidR="00646694">
              <w:rPr>
                <w:rFonts w:asciiTheme="majorHAnsi" w:hAnsiTheme="majorHAnsi" w:cstheme="majorHAnsi"/>
                <w:color w:val="auto"/>
                <w:sz w:val="20"/>
                <w:szCs w:val="20"/>
              </w:rPr>
              <w:t>and ‘owned’ by WSB</w:t>
            </w:r>
            <w:r w:rsidR="009B6F76">
              <w:rPr>
                <w:rFonts w:asciiTheme="majorHAnsi" w:hAnsiTheme="majorHAnsi" w:cstheme="majorHAnsi"/>
                <w:color w:val="auto"/>
                <w:sz w:val="20"/>
                <w:szCs w:val="20"/>
              </w:rPr>
              <w:t xml:space="preserve">. </w:t>
            </w:r>
            <w:r w:rsidR="003F3E0D">
              <w:rPr>
                <w:rFonts w:asciiTheme="majorHAnsi" w:hAnsiTheme="majorHAnsi" w:cstheme="majorHAnsi"/>
                <w:color w:val="auto"/>
                <w:sz w:val="20"/>
                <w:szCs w:val="20"/>
              </w:rPr>
              <w:t xml:space="preserve"> </w:t>
            </w:r>
            <w:r w:rsidRPr="00771B8B">
              <w:rPr>
                <w:rFonts w:asciiTheme="majorHAnsi" w:hAnsiTheme="majorHAnsi" w:cstheme="majorHAnsi"/>
                <w:color w:val="auto"/>
                <w:sz w:val="20"/>
                <w:szCs w:val="20"/>
              </w:rPr>
              <w:t xml:space="preserve"> </w:t>
            </w:r>
          </w:p>
        </w:tc>
        <w:tc>
          <w:tcPr>
            <w:tcW w:w="3934" w:type="dxa"/>
            <w:shd w:val="clear" w:color="auto" w:fill="auto"/>
          </w:tcPr>
          <w:p w14:paraId="10ED78AF" w14:textId="4F2488E7" w:rsidR="003657D2" w:rsidDel="00F74934" w:rsidRDefault="007B040B" w:rsidP="00771B8B">
            <w:pPr>
              <w:rPr>
                <w:rFonts w:asciiTheme="majorHAnsi" w:hAnsiTheme="majorHAnsi" w:cstheme="majorHAnsi"/>
                <w:color w:val="auto"/>
                <w:sz w:val="20"/>
                <w:szCs w:val="20"/>
              </w:rPr>
            </w:pPr>
            <w:r>
              <w:rPr>
                <w:rFonts w:asciiTheme="majorHAnsi" w:hAnsiTheme="majorHAnsi" w:cstheme="majorHAnsi"/>
                <w:color w:val="auto"/>
                <w:sz w:val="20"/>
                <w:szCs w:val="20"/>
              </w:rPr>
              <w:t>As above</w:t>
            </w:r>
            <w:r w:rsidR="00640612">
              <w:rPr>
                <w:rFonts w:asciiTheme="majorHAnsi" w:hAnsiTheme="majorHAnsi" w:cstheme="majorHAnsi"/>
                <w:color w:val="auto"/>
                <w:sz w:val="20"/>
                <w:szCs w:val="20"/>
              </w:rPr>
              <w:t xml:space="preserve">, </w:t>
            </w:r>
            <w:r>
              <w:rPr>
                <w:rFonts w:asciiTheme="majorHAnsi" w:hAnsiTheme="majorHAnsi" w:cstheme="majorHAnsi"/>
                <w:color w:val="auto"/>
                <w:sz w:val="20"/>
                <w:szCs w:val="20"/>
              </w:rPr>
              <w:t xml:space="preserve">noting </w:t>
            </w:r>
            <w:r w:rsidR="00640612">
              <w:rPr>
                <w:rFonts w:asciiTheme="majorHAnsi" w:hAnsiTheme="majorHAnsi" w:cstheme="majorHAnsi"/>
                <w:color w:val="auto"/>
                <w:sz w:val="20"/>
                <w:szCs w:val="20"/>
              </w:rPr>
              <w:t xml:space="preserve">the revised MEL system </w:t>
            </w:r>
            <w:r w:rsidR="00A16257">
              <w:rPr>
                <w:rFonts w:asciiTheme="majorHAnsi" w:hAnsiTheme="majorHAnsi" w:cstheme="majorHAnsi"/>
                <w:color w:val="auto"/>
                <w:sz w:val="20"/>
                <w:szCs w:val="20"/>
              </w:rPr>
              <w:t>should</w:t>
            </w:r>
            <w:r w:rsidR="00640612">
              <w:rPr>
                <w:rFonts w:asciiTheme="majorHAnsi" w:hAnsiTheme="majorHAnsi" w:cstheme="majorHAnsi"/>
                <w:color w:val="auto"/>
                <w:sz w:val="20"/>
                <w:szCs w:val="20"/>
              </w:rPr>
              <w:t xml:space="preserve"> capture WSB’s work on gender equality</w:t>
            </w:r>
            <w:r w:rsidR="00A16257">
              <w:rPr>
                <w:rFonts w:asciiTheme="majorHAnsi" w:hAnsiTheme="majorHAnsi" w:cstheme="majorHAnsi"/>
                <w:color w:val="auto"/>
                <w:sz w:val="20"/>
                <w:szCs w:val="20"/>
              </w:rPr>
              <w:t xml:space="preserve">, and support </w:t>
            </w:r>
            <w:r w:rsidR="003657D2">
              <w:rPr>
                <w:rFonts w:asciiTheme="majorHAnsi" w:hAnsiTheme="majorHAnsi" w:cstheme="majorHAnsi"/>
                <w:color w:val="auto"/>
                <w:sz w:val="20"/>
                <w:szCs w:val="20"/>
              </w:rPr>
              <w:t xml:space="preserve">WSB’s own </w:t>
            </w:r>
            <w:r w:rsidR="00A16257">
              <w:rPr>
                <w:rFonts w:asciiTheme="majorHAnsi" w:hAnsiTheme="majorHAnsi" w:cstheme="majorHAnsi"/>
                <w:color w:val="auto"/>
                <w:sz w:val="20"/>
                <w:szCs w:val="20"/>
              </w:rPr>
              <w:t>reflection to drive positive change.</w:t>
            </w:r>
          </w:p>
        </w:tc>
        <w:tc>
          <w:tcPr>
            <w:tcW w:w="1094" w:type="dxa"/>
            <w:shd w:val="clear" w:color="auto" w:fill="auto"/>
          </w:tcPr>
          <w:p w14:paraId="013B8355" w14:textId="0612054C" w:rsidR="00562E0B" w:rsidRDefault="007B040B" w:rsidP="00CD02FB">
            <w:pPr>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As above</w:t>
            </w:r>
            <w:r w:rsidR="00184050">
              <w:rPr>
                <w:rFonts w:asciiTheme="majorHAnsi" w:hAnsiTheme="majorHAnsi" w:cstheme="majorHAnsi"/>
                <w:color w:val="000000" w:themeColor="text1"/>
                <w:sz w:val="20"/>
                <w:szCs w:val="20"/>
              </w:rPr>
              <w:t>.</w:t>
            </w:r>
          </w:p>
        </w:tc>
      </w:tr>
      <w:tr w:rsidR="007B040B" w:rsidRPr="00452680" w14:paraId="08301654" w14:textId="77777777" w:rsidTr="00633D57">
        <w:tc>
          <w:tcPr>
            <w:tcW w:w="564" w:type="dxa"/>
            <w:shd w:val="clear" w:color="auto" w:fill="auto"/>
          </w:tcPr>
          <w:p w14:paraId="0CA04ABF" w14:textId="60F391F2" w:rsidR="00562E0B" w:rsidRPr="007F0071" w:rsidRDefault="00562E0B" w:rsidP="00CD02FB">
            <w:pPr>
              <w:rPr>
                <w:rFonts w:asciiTheme="majorHAnsi" w:hAnsiTheme="majorHAnsi" w:cstheme="majorHAnsi"/>
                <w:color w:val="auto"/>
                <w:sz w:val="20"/>
                <w:szCs w:val="20"/>
              </w:rPr>
            </w:pPr>
            <w:r>
              <w:rPr>
                <w:rFonts w:asciiTheme="majorHAnsi" w:hAnsiTheme="majorHAnsi" w:cstheme="majorHAnsi"/>
                <w:color w:val="auto"/>
                <w:sz w:val="20"/>
                <w:szCs w:val="20"/>
              </w:rPr>
              <w:t>3</w:t>
            </w:r>
          </w:p>
        </w:tc>
        <w:tc>
          <w:tcPr>
            <w:tcW w:w="3264" w:type="dxa"/>
            <w:shd w:val="clear" w:color="auto" w:fill="auto"/>
          </w:tcPr>
          <w:p w14:paraId="7C603070" w14:textId="6FF4BE87" w:rsidR="00562E0B" w:rsidRDefault="00562E0B" w:rsidP="00CD02FB">
            <w:pPr>
              <w:rPr>
                <w:rFonts w:asciiTheme="majorHAnsi" w:hAnsiTheme="majorHAnsi" w:cstheme="majorHAnsi"/>
                <w:color w:val="auto"/>
                <w:sz w:val="20"/>
                <w:szCs w:val="20"/>
              </w:rPr>
            </w:pPr>
            <w:r>
              <w:rPr>
                <w:rFonts w:asciiTheme="majorHAnsi" w:hAnsiTheme="majorHAnsi" w:cstheme="majorHAnsi"/>
                <w:color w:val="auto"/>
                <w:sz w:val="20"/>
                <w:szCs w:val="20"/>
              </w:rPr>
              <w:t>WSB should consider expanding their management capacity (as funding allows).</w:t>
            </w:r>
          </w:p>
        </w:tc>
        <w:tc>
          <w:tcPr>
            <w:tcW w:w="993" w:type="dxa"/>
            <w:shd w:val="clear" w:color="auto" w:fill="92D050"/>
          </w:tcPr>
          <w:p w14:paraId="112F3B97" w14:textId="70936709" w:rsidR="00562E0B" w:rsidRPr="00452680" w:rsidRDefault="00562E0B" w:rsidP="00CD02FB">
            <w:pPr>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Agree</w:t>
            </w:r>
          </w:p>
        </w:tc>
        <w:tc>
          <w:tcPr>
            <w:tcW w:w="5528" w:type="dxa"/>
            <w:shd w:val="clear" w:color="auto" w:fill="auto"/>
          </w:tcPr>
          <w:p w14:paraId="0601B57D" w14:textId="0C1E4FC2" w:rsidR="00562E0B" w:rsidRDefault="009B6F76" w:rsidP="00E06E32">
            <w:pPr>
              <w:pStyle w:val="ListParagraph"/>
              <w:numPr>
                <w:ilvl w:val="0"/>
                <w:numId w:val="7"/>
              </w:numPr>
              <w:suppressAutoHyphens w:val="0"/>
              <w:spacing w:before="0" w:after="0" w:line="240" w:lineRule="auto"/>
              <w:ind w:left="141" w:hanging="141"/>
              <w:jc w:val="both"/>
              <w:rPr>
                <w:rFonts w:asciiTheme="majorHAnsi" w:hAnsiTheme="majorHAnsi" w:cstheme="majorHAnsi"/>
                <w:color w:val="auto"/>
                <w:sz w:val="20"/>
                <w:szCs w:val="20"/>
              </w:rPr>
            </w:pPr>
            <w:r>
              <w:rPr>
                <w:rFonts w:asciiTheme="majorHAnsi" w:hAnsiTheme="majorHAnsi" w:cstheme="majorHAnsi"/>
                <w:color w:val="auto"/>
                <w:sz w:val="20"/>
                <w:szCs w:val="20"/>
              </w:rPr>
              <w:t>The evaluation found WSB appeared to be under-resourced in the broad management space and suggested an additional 2-3 staff at management level.</w:t>
            </w:r>
          </w:p>
          <w:p w14:paraId="5F2A930A" w14:textId="72AF37CC" w:rsidR="009B6F76" w:rsidRDefault="009B6F76" w:rsidP="00E06E32">
            <w:pPr>
              <w:pStyle w:val="ListParagraph"/>
              <w:numPr>
                <w:ilvl w:val="0"/>
                <w:numId w:val="7"/>
              </w:numPr>
              <w:suppressAutoHyphens w:val="0"/>
              <w:spacing w:before="0" w:after="0" w:line="240" w:lineRule="auto"/>
              <w:ind w:left="141" w:hanging="141"/>
              <w:jc w:val="both"/>
              <w:rPr>
                <w:rFonts w:asciiTheme="majorHAnsi" w:hAnsiTheme="majorHAnsi" w:cstheme="majorHAnsi"/>
                <w:color w:val="auto"/>
                <w:sz w:val="20"/>
                <w:szCs w:val="20"/>
              </w:rPr>
            </w:pPr>
            <w:r>
              <w:rPr>
                <w:rFonts w:asciiTheme="majorHAnsi" w:hAnsiTheme="majorHAnsi" w:cstheme="majorHAnsi"/>
                <w:color w:val="auto"/>
                <w:sz w:val="20"/>
                <w:szCs w:val="20"/>
              </w:rPr>
              <w:t xml:space="preserve">Donors agree </w:t>
            </w:r>
            <w:r w:rsidR="003657D2">
              <w:rPr>
                <w:rFonts w:asciiTheme="majorHAnsi" w:hAnsiTheme="majorHAnsi" w:cstheme="majorHAnsi"/>
                <w:color w:val="auto"/>
                <w:sz w:val="20"/>
                <w:szCs w:val="20"/>
              </w:rPr>
              <w:t>that the existing, dedicated WSB management team are very stretched across a range of tasks.</w:t>
            </w:r>
          </w:p>
          <w:p w14:paraId="5C0DCFEB" w14:textId="16F8BAFF" w:rsidR="009B6F76" w:rsidRDefault="009B6F76" w:rsidP="00771B8B">
            <w:pPr>
              <w:suppressAutoHyphens w:val="0"/>
              <w:spacing w:before="0" w:after="0" w:line="240" w:lineRule="auto"/>
              <w:jc w:val="both"/>
              <w:rPr>
                <w:rFonts w:asciiTheme="majorHAnsi" w:hAnsiTheme="majorHAnsi" w:cstheme="majorHAnsi"/>
                <w:color w:val="auto"/>
                <w:sz w:val="20"/>
                <w:szCs w:val="20"/>
              </w:rPr>
            </w:pPr>
          </w:p>
        </w:tc>
        <w:tc>
          <w:tcPr>
            <w:tcW w:w="3934" w:type="dxa"/>
            <w:shd w:val="clear" w:color="auto" w:fill="auto"/>
          </w:tcPr>
          <w:p w14:paraId="18EE4FD4" w14:textId="79DC4579" w:rsidR="00562E0B" w:rsidDel="00F74934" w:rsidRDefault="003657D2">
            <w:pPr>
              <w:rPr>
                <w:rFonts w:asciiTheme="majorHAnsi" w:hAnsiTheme="majorHAnsi" w:cstheme="majorHAnsi"/>
                <w:color w:val="auto"/>
                <w:sz w:val="20"/>
                <w:szCs w:val="20"/>
              </w:rPr>
            </w:pPr>
            <w:r>
              <w:rPr>
                <w:rFonts w:asciiTheme="majorHAnsi" w:hAnsiTheme="majorHAnsi" w:cstheme="majorHAnsi"/>
                <w:color w:val="auto"/>
                <w:sz w:val="20"/>
                <w:szCs w:val="20"/>
              </w:rPr>
              <w:t xml:space="preserve">Donors will encourage WSB to </w:t>
            </w:r>
            <w:r w:rsidR="00646694">
              <w:rPr>
                <w:rFonts w:asciiTheme="majorHAnsi" w:hAnsiTheme="majorHAnsi" w:cstheme="majorHAnsi"/>
                <w:color w:val="auto"/>
                <w:sz w:val="20"/>
                <w:szCs w:val="20"/>
              </w:rPr>
              <w:t>develop</w:t>
            </w:r>
            <w:r>
              <w:rPr>
                <w:rFonts w:asciiTheme="majorHAnsi" w:hAnsiTheme="majorHAnsi" w:cstheme="majorHAnsi"/>
                <w:color w:val="auto"/>
                <w:sz w:val="20"/>
                <w:szCs w:val="20"/>
              </w:rPr>
              <w:t xml:space="preserve"> </w:t>
            </w:r>
            <w:r w:rsidR="00646694">
              <w:rPr>
                <w:rFonts w:asciiTheme="majorHAnsi" w:hAnsiTheme="majorHAnsi" w:cstheme="majorHAnsi"/>
                <w:color w:val="auto"/>
                <w:sz w:val="20"/>
                <w:szCs w:val="20"/>
              </w:rPr>
              <w:t>and implement an appropriate</w:t>
            </w:r>
            <w:r>
              <w:rPr>
                <w:rFonts w:asciiTheme="majorHAnsi" w:hAnsiTheme="majorHAnsi" w:cstheme="majorHAnsi"/>
                <w:color w:val="auto"/>
                <w:sz w:val="20"/>
                <w:szCs w:val="20"/>
              </w:rPr>
              <w:t xml:space="preserve"> management team </w:t>
            </w:r>
            <w:r w:rsidRPr="00771B8B">
              <w:rPr>
                <w:rFonts w:asciiTheme="majorHAnsi" w:hAnsiTheme="majorHAnsi" w:cstheme="majorHAnsi"/>
                <w:color w:val="auto"/>
                <w:sz w:val="20"/>
                <w:szCs w:val="20"/>
              </w:rPr>
              <w:t>structure.</w:t>
            </w:r>
            <w:r w:rsidR="00646694">
              <w:rPr>
                <w:rFonts w:asciiTheme="majorHAnsi" w:hAnsiTheme="majorHAnsi" w:cstheme="majorHAnsi"/>
                <w:color w:val="auto"/>
                <w:sz w:val="20"/>
                <w:szCs w:val="20"/>
              </w:rPr>
              <w:t xml:space="preserve"> </w:t>
            </w:r>
          </w:p>
        </w:tc>
        <w:tc>
          <w:tcPr>
            <w:tcW w:w="1094" w:type="dxa"/>
            <w:shd w:val="clear" w:color="auto" w:fill="auto"/>
          </w:tcPr>
          <w:p w14:paraId="0979293F" w14:textId="7C61DE0B" w:rsidR="00562E0B" w:rsidRDefault="007B040B" w:rsidP="00CD02FB">
            <w:pPr>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Complete (with ongoing review)</w:t>
            </w:r>
            <w:r w:rsidR="00184050">
              <w:rPr>
                <w:rFonts w:asciiTheme="majorHAnsi" w:hAnsiTheme="majorHAnsi" w:cstheme="majorHAnsi"/>
                <w:color w:val="000000" w:themeColor="text1"/>
                <w:sz w:val="20"/>
                <w:szCs w:val="20"/>
              </w:rPr>
              <w:t>.</w:t>
            </w:r>
          </w:p>
        </w:tc>
      </w:tr>
      <w:tr w:rsidR="007B040B" w:rsidRPr="00452680" w14:paraId="6763C7E3" w14:textId="77777777" w:rsidTr="00633D57">
        <w:tc>
          <w:tcPr>
            <w:tcW w:w="564" w:type="dxa"/>
            <w:shd w:val="clear" w:color="auto" w:fill="auto"/>
          </w:tcPr>
          <w:p w14:paraId="6B954974" w14:textId="7B32D29E" w:rsidR="00562E0B" w:rsidRPr="007F0071" w:rsidRDefault="00562E0B" w:rsidP="00CD02FB">
            <w:pPr>
              <w:rPr>
                <w:rFonts w:asciiTheme="majorHAnsi" w:hAnsiTheme="majorHAnsi" w:cstheme="majorHAnsi"/>
                <w:color w:val="auto"/>
                <w:sz w:val="20"/>
                <w:szCs w:val="20"/>
              </w:rPr>
            </w:pPr>
            <w:r>
              <w:rPr>
                <w:rFonts w:asciiTheme="majorHAnsi" w:hAnsiTheme="majorHAnsi" w:cstheme="majorHAnsi"/>
                <w:color w:val="auto"/>
                <w:sz w:val="20"/>
                <w:szCs w:val="20"/>
              </w:rPr>
              <w:t>4</w:t>
            </w:r>
          </w:p>
        </w:tc>
        <w:tc>
          <w:tcPr>
            <w:tcW w:w="3264" w:type="dxa"/>
            <w:shd w:val="clear" w:color="auto" w:fill="auto"/>
          </w:tcPr>
          <w:p w14:paraId="592FD848" w14:textId="1CF12C8E" w:rsidR="00562E0B" w:rsidRDefault="00562E0B" w:rsidP="00CD02FB">
            <w:pPr>
              <w:rPr>
                <w:rFonts w:asciiTheme="majorHAnsi" w:hAnsiTheme="majorHAnsi" w:cstheme="majorHAnsi"/>
                <w:color w:val="auto"/>
                <w:sz w:val="20"/>
                <w:szCs w:val="20"/>
              </w:rPr>
            </w:pPr>
            <w:r>
              <w:rPr>
                <w:rFonts w:asciiTheme="majorHAnsi" w:hAnsiTheme="majorHAnsi" w:cstheme="majorHAnsi"/>
                <w:color w:val="auto"/>
                <w:sz w:val="20"/>
                <w:szCs w:val="20"/>
              </w:rPr>
              <w:t>WSB should consider expanding work in their Nutrition Centre (as funding allows).</w:t>
            </w:r>
          </w:p>
        </w:tc>
        <w:tc>
          <w:tcPr>
            <w:tcW w:w="993" w:type="dxa"/>
            <w:shd w:val="clear" w:color="auto" w:fill="92D050"/>
          </w:tcPr>
          <w:p w14:paraId="1B8926CA" w14:textId="38CD0CDD" w:rsidR="00562E0B" w:rsidRPr="00452680" w:rsidRDefault="00562E0B" w:rsidP="00CD02FB">
            <w:pPr>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Agree, subject to WSB’s priorit</w:t>
            </w:r>
            <w:r w:rsidR="009B6F76">
              <w:rPr>
                <w:rFonts w:asciiTheme="majorHAnsi" w:hAnsiTheme="majorHAnsi" w:cstheme="majorHAnsi"/>
                <w:color w:val="000000" w:themeColor="text1"/>
                <w:sz w:val="20"/>
                <w:szCs w:val="20"/>
              </w:rPr>
              <w:t>i</w:t>
            </w:r>
            <w:r>
              <w:rPr>
                <w:rFonts w:asciiTheme="majorHAnsi" w:hAnsiTheme="majorHAnsi" w:cstheme="majorHAnsi"/>
                <w:color w:val="000000" w:themeColor="text1"/>
                <w:sz w:val="20"/>
                <w:szCs w:val="20"/>
              </w:rPr>
              <w:t>es</w:t>
            </w:r>
          </w:p>
        </w:tc>
        <w:tc>
          <w:tcPr>
            <w:tcW w:w="5528" w:type="dxa"/>
            <w:shd w:val="clear" w:color="auto" w:fill="auto"/>
          </w:tcPr>
          <w:p w14:paraId="274DAC13" w14:textId="1B25B016" w:rsidR="00562E0B" w:rsidRDefault="00646694" w:rsidP="00E06E32">
            <w:pPr>
              <w:pStyle w:val="ListParagraph"/>
              <w:numPr>
                <w:ilvl w:val="0"/>
                <w:numId w:val="7"/>
              </w:numPr>
              <w:suppressAutoHyphens w:val="0"/>
              <w:spacing w:before="0" w:after="0" w:line="240" w:lineRule="auto"/>
              <w:ind w:left="141" w:hanging="141"/>
              <w:jc w:val="both"/>
              <w:rPr>
                <w:rFonts w:asciiTheme="majorHAnsi" w:hAnsiTheme="majorHAnsi" w:cstheme="majorHAnsi"/>
                <w:color w:val="auto"/>
                <w:sz w:val="20"/>
                <w:szCs w:val="20"/>
              </w:rPr>
            </w:pPr>
            <w:r>
              <w:rPr>
                <w:rFonts w:asciiTheme="majorHAnsi" w:hAnsiTheme="majorHAnsi" w:cstheme="majorHAnsi"/>
                <w:color w:val="auto"/>
                <w:sz w:val="20"/>
                <w:szCs w:val="20"/>
              </w:rPr>
              <w:t xml:space="preserve">The evaluation found </w:t>
            </w:r>
            <w:r w:rsidR="00DB6B90">
              <w:rPr>
                <w:rFonts w:asciiTheme="majorHAnsi" w:hAnsiTheme="majorHAnsi" w:cstheme="majorHAnsi"/>
                <w:color w:val="auto"/>
                <w:sz w:val="20"/>
                <w:szCs w:val="20"/>
              </w:rPr>
              <w:t xml:space="preserve">WSB’s Nutrition Centre </w:t>
            </w:r>
            <w:r>
              <w:rPr>
                <w:rFonts w:asciiTheme="majorHAnsi" w:hAnsiTheme="majorHAnsi" w:cstheme="majorHAnsi"/>
                <w:color w:val="auto"/>
                <w:sz w:val="20"/>
                <w:szCs w:val="20"/>
              </w:rPr>
              <w:t>to be</w:t>
            </w:r>
            <w:r w:rsidR="00DB6B90">
              <w:rPr>
                <w:rFonts w:asciiTheme="majorHAnsi" w:hAnsiTheme="majorHAnsi" w:cstheme="majorHAnsi"/>
                <w:color w:val="auto"/>
                <w:sz w:val="20"/>
                <w:szCs w:val="20"/>
              </w:rPr>
              <w:t xml:space="preserve"> exceptionally effective </w:t>
            </w:r>
            <w:r>
              <w:rPr>
                <w:rFonts w:asciiTheme="majorHAnsi" w:hAnsiTheme="majorHAnsi" w:cstheme="majorHAnsi"/>
                <w:color w:val="auto"/>
                <w:sz w:val="20"/>
                <w:szCs w:val="20"/>
              </w:rPr>
              <w:t>in promoting</w:t>
            </w:r>
            <w:r w:rsidR="00DB6B90">
              <w:rPr>
                <w:rFonts w:asciiTheme="majorHAnsi" w:hAnsiTheme="majorHAnsi" w:cstheme="majorHAnsi"/>
                <w:color w:val="auto"/>
                <w:sz w:val="20"/>
                <w:szCs w:val="20"/>
              </w:rPr>
              <w:t xml:space="preserve"> food security</w:t>
            </w:r>
            <w:r>
              <w:rPr>
                <w:rFonts w:asciiTheme="majorHAnsi" w:hAnsiTheme="majorHAnsi" w:cstheme="majorHAnsi"/>
                <w:color w:val="auto"/>
                <w:sz w:val="20"/>
                <w:szCs w:val="20"/>
              </w:rPr>
              <w:t xml:space="preserve">, </w:t>
            </w:r>
            <w:r w:rsidR="003E4995">
              <w:rPr>
                <w:rFonts w:asciiTheme="majorHAnsi" w:hAnsiTheme="majorHAnsi" w:cstheme="majorHAnsi"/>
                <w:color w:val="auto"/>
                <w:sz w:val="20"/>
                <w:szCs w:val="20"/>
              </w:rPr>
              <w:t>health,</w:t>
            </w:r>
            <w:r w:rsidR="00DB6B90">
              <w:rPr>
                <w:rFonts w:asciiTheme="majorHAnsi" w:hAnsiTheme="majorHAnsi" w:cstheme="majorHAnsi"/>
                <w:color w:val="auto"/>
                <w:sz w:val="20"/>
                <w:szCs w:val="20"/>
              </w:rPr>
              <w:t xml:space="preserve"> and well-being. </w:t>
            </w:r>
            <w:r>
              <w:rPr>
                <w:rFonts w:asciiTheme="majorHAnsi" w:hAnsiTheme="majorHAnsi" w:cstheme="majorHAnsi"/>
                <w:color w:val="auto"/>
                <w:sz w:val="20"/>
                <w:szCs w:val="20"/>
              </w:rPr>
              <w:t>It noted any expansion would need additional infrastructure</w:t>
            </w:r>
            <w:r w:rsidR="00DB6B90">
              <w:rPr>
                <w:rFonts w:asciiTheme="majorHAnsi" w:hAnsiTheme="majorHAnsi" w:cstheme="majorHAnsi"/>
                <w:color w:val="auto"/>
                <w:sz w:val="20"/>
                <w:szCs w:val="20"/>
              </w:rPr>
              <w:t>.</w:t>
            </w:r>
          </w:p>
          <w:p w14:paraId="24B6A40D" w14:textId="77777777" w:rsidR="00900CA1" w:rsidRDefault="00646694" w:rsidP="00E06E32">
            <w:pPr>
              <w:pStyle w:val="ListParagraph"/>
              <w:numPr>
                <w:ilvl w:val="0"/>
                <w:numId w:val="7"/>
              </w:numPr>
              <w:suppressAutoHyphens w:val="0"/>
              <w:spacing w:before="0" w:after="0" w:line="240" w:lineRule="auto"/>
              <w:ind w:left="141" w:hanging="141"/>
              <w:jc w:val="both"/>
              <w:rPr>
                <w:rFonts w:asciiTheme="majorHAnsi" w:hAnsiTheme="majorHAnsi" w:cstheme="majorHAnsi"/>
                <w:color w:val="auto"/>
                <w:sz w:val="20"/>
                <w:szCs w:val="20"/>
              </w:rPr>
            </w:pPr>
            <w:r>
              <w:rPr>
                <w:rFonts w:asciiTheme="majorHAnsi" w:hAnsiTheme="majorHAnsi" w:cstheme="majorHAnsi"/>
                <w:color w:val="auto"/>
                <w:sz w:val="20"/>
                <w:szCs w:val="20"/>
              </w:rPr>
              <w:t xml:space="preserve">Donors agree WSB’s Nutrition Centre has achieved important health outcomes for individuals. </w:t>
            </w:r>
          </w:p>
          <w:p w14:paraId="77A1C4AF" w14:textId="7ED9ED0E" w:rsidR="00646694" w:rsidRDefault="00646694" w:rsidP="00E06E32">
            <w:pPr>
              <w:pStyle w:val="ListParagraph"/>
              <w:numPr>
                <w:ilvl w:val="0"/>
                <w:numId w:val="7"/>
              </w:numPr>
              <w:suppressAutoHyphens w:val="0"/>
              <w:spacing w:before="0" w:after="0" w:line="240" w:lineRule="auto"/>
              <w:ind w:left="141" w:hanging="141"/>
              <w:jc w:val="both"/>
              <w:rPr>
                <w:rFonts w:asciiTheme="majorHAnsi" w:hAnsiTheme="majorHAnsi" w:cstheme="majorHAnsi"/>
                <w:color w:val="auto"/>
                <w:sz w:val="20"/>
                <w:szCs w:val="20"/>
              </w:rPr>
            </w:pPr>
            <w:r>
              <w:rPr>
                <w:rFonts w:asciiTheme="majorHAnsi" w:hAnsiTheme="majorHAnsi" w:cstheme="majorHAnsi"/>
                <w:color w:val="auto"/>
                <w:sz w:val="20"/>
                <w:szCs w:val="20"/>
              </w:rPr>
              <w:t xml:space="preserve">Donors </w:t>
            </w:r>
            <w:r w:rsidR="0003166A">
              <w:rPr>
                <w:rFonts w:asciiTheme="majorHAnsi" w:hAnsiTheme="majorHAnsi" w:cstheme="majorHAnsi"/>
                <w:color w:val="auto"/>
                <w:sz w:val="20"/>
                <w:szCs w:val="20"/>
              </w:rPr>
              <w:t>understand</w:t>
            </w:r>
            <w:r w:rsidR="00900CA1">
              <w:rPr>
                <w:rFonts w:asciiTheme="majorHAnsi" w:hAnsiTheme="majorHAnsi" w:cstheme="majorHAnsi"/>
                <w:color w:val="auto"/>
                <w:sz w:val="20"/>
                <w:szCs w:val="20"/>
              </w:rPr>
              <w:t xml:space="preserve"> </w:t>
            </w:r>
            <w:r w:rsidR="00E84291">
              <w:rPr>
                <w:rFonts w:asciiTheme="majorHAnsi" w:hAnsiTheme="majorHAnsi" w:cstheme="majorHAnsi"/>
                <w:color w:val="auto"/>
                <w:sz w:val="20"/>
                <w:szCs w:val="20"/>
              </w:rPr>
              <w:t>(</w:t>
            </w:r>
            <w:r w:rsidR="0003166A">
              <w:rPr>
                <w:rFonts w:asciiTheme="majorHAnsi" w:hAnsiTheme="majorHAnsi" w:cstheme="majorHAnsi"/>
                <w:color w:val="auto"/>
                <w:sz w:val="20"/>
                <w:szCs w:val="20"/>
              </w:rPr>
              <w:t>via Project Coordination Committee discussions</w:t>
            </w:r>
            <w:r w:rsidR="00E84291">
              <w:rPr>
                <w:rFonts w:asciiTheme="majorHAnsi" w:hAnsiTheme="majorHAnsi" w:cstheme="majorHAnsi"/>
                <w:color w:val="auto"/>
                <w:sz w:val="20"/>
                <w:szCs w:val="20"/>
              </w:rPr>
              <w:t>)</w:t>
            </w:r>
            <w:r w:rsidR="0003166A">
              <w:rPr>
                <w:rFonts w:asciiTheme="majorHAnsi" w:hAnsiTheme="majorHAnsi" w:cstheme="majorHAnsi"/>
                <w:color w:val="auto"/>
                <w:sz w:val="20"/>
                <w:szCs w:val="20"/>
              </w:rPr>
              <w:t xml:space="preserve"> that WSB </w:t>
            </w:r>
            <w:r w:rsidR="00F976E5">
              <w:rPr>
                <w:rFonts w:asciiTheme="majorHAnsi" w:hAnsiTheme="majorHAnsi" w:cstheme="majorHAnsi"/>
                <w:color w:val="auto"/>
                <w:sz w:val="20"/>
                <w:szCs w:val="20"/>
              </w:rPr>
              <w:t>is</w:t>
            </w:r>
            <w:r w:rsidR="0003166A">
              <w:rPr>
                <w:rFonts w:asciiTheme="majorHAnsi" w:hAnsiTheme="majorHAnsi" w:cstheme="majorHAnsi"/>
                <w:color w:val="auto"/>
                <w:sz w:val="20"/>
                <w:szCs w:val="20"/>
              </w:rPr>
              <w:t xml:space="preserve"> still weighing up whether to expand this </w:t>
            </w:r>
            <w:r w:rsidR="0003166A">
              <w:rPr>
                <w:rFonts w:asciiTheme="majorHAnsi" w:hAnsiTheme="majorHAnsi" w:cstheme="majorHAnsi"/>
                <w:color w:val="auto"/>
                <w:sz w:val="20"/>
                <w:szCs w:val="20"/>
              </w:rPr>
              <w:lastRenderedPageBreak/>
              <w:t>work further</w:t>
            </w:r>
            <w:r w:rsidR="00900CA1">
              <w:rPr>
                <w:rFonts w:asciiTheme="majorHAnsi" w:hAnsiTheme="majorHAnsi" w:cstheme="majorHAnsi"/>
                <w:color w:val="auto"/>
                <w:sz w:val="20"/>
                <w:szCs w:val="20"/>
              </w:rPr>
              <w:t xml:space="preserve"> given the strain on human resources in </w:t>
            </w:r>
            <w:r w:rsidR="00F976E5">
              <w:rPr>
                <w:rFonts w:asciiTheme="majorHAnsi" w:hAnsiTheme="majorHAnsi" w:cstheme="majorHAnsi"/>
                <w:color w:val="auto"/>
                <w:sz w:val="20"/>
                <w:szCs w:val="20"/>
              </w:rPr>
              <w:t xml:space="preserve">the </w:t>
            </w:r>
            <w:r w:rsidR="003E4995">
              <w:rPr>
                <w:rFonts w:asciiTheme="majorHAnsi" w:hAnsiTheme="majorHAnsi" w:cstheme="majorHAnsi"/>
                <w:color w:val="auto"/>
                <w:sz w:val="20"/>
                <w:szCs w:val="20"/>
              </w:rPr>
              <w:t>N</w:t>
            </w:r>
            <w:r w:rsidR="00900CA1">
              <w:rPr>
                <w:rFonts w:asciiTheme="majorHAnsi" w:hAnsiTheme="majorHAnsi" w:cstheme="majorHAnsi"/>
                <w:color w:val="auto"/>
                <w:sz w:val="20"/>
                <w:szCs w:val="20"/>
              </w:rPr>
              <w:t xml:space="preserve">utrition </w:t>
            </w:r>
            <w:r w:rsidR="003E4995">
              <w:rPr>
                <w:rFonts w:asciiTheme="majorHAnsi" w:hAnsiTheme="majorHAnsi" w:cstheme="majorHAnsi"/>
                <w:color w:val="auto"/>
                <w:sz w:val="20"/>
                <w:szCs w:val="20"/>
              </w:rPr>
              <w:t>C</w:t>
            </w:r>
            <w:r w:rsidR="00900CA1">
              <w:rPr>
                <w:rFonts w:asciiTheme="majorHAnsi" w:hAnsiTheme="majorHAnsi" w:cstheme="majorHAnsi"/>
                <w:color w:val="auto"/>
                <w:sz w:val="20"/>
                <w:szCs w:val="20"/>
              </w:rPr>
              <w:t>entre</w:t>
            </w:r>
            <w:r w:rsidR="0003166A">
              <w:rPr>
                <w:rFonts w:asciiTheme="majorHAnsi" w:hAnsiTheme="majorHAnsi" w:cstheme="majorHAnsi"/>
                <w:color w:val="auto"/>
                <w:sz w:val="20"/>
                <w:szCs w:val="20"/>
              </w:rPr>
              <w:t xml:space="preserve">. </w:t>
            </w:r>
          </w:p>
        </w:tc>
        <w:tc>
          <w:tcPr>
            <w:tcW w:w="3934" w:type="dxa"/>
            <w:shd w:val="clear" w:color="auto" w:fill="auto"/>
          </w:tcPr>
          <w:p w14:paraId="14035B59" w14:textId="326C2A97" w:rsidR="00562E0B" w:rsidDel="00F74934" w:rsidRDefault="0003166A">
            <w:pPr>
              <w:rPr>
                <w:rFonts w:asciiTheme="majorHAnsi" w:hAnsiTheme="majorHAnsi" w:cstheme="majorHAnsi"/>
                <w:color w:val="auto"/>
                <w:sz w:val="20"/>
                <w:szCs w:val="20"/>
              </w:rPr>
            </w:pPr>
            <w:r>
              <w:rPr>
                <w:rFonts w:asciiTheme="majorHAnsi" w:hAnsiTheme="majorHAnsi" w:cstheme="majorHAnsi"/>
                <w:color w:val="auto"/>
                <w:sz w:val="20"/>
                <w:szCs w:val="20"/>
              </w:rPr>
              <w:lastRenderedPageBreak/>
              <w:t>D</w:t>
            </w:r>
            <w:r w:rsidR="00562E0B">
              <w:rPr>
                <w:rFonts w:asciiTheme="majorHAnsi" w:hAnsiTheme="majorHAnsi" w:cstheme="majorHAnsi"/>
                <w:color w:val="auto"/>
                <w:sz w:val="20"/>
                <w:szCs w:val="20"/>
              </w:rPr>
              <w:t>onors</w:t>
            </w:r>
            <w:r>
              <w:rPr>
                <w:rFonts w:asciiTheme="majorHAnsi" w:hAnsiTheme="majorHAnsi" w:cstheme="majorHAnsi"/>
                <w:color w:val="auto"/>
                <w:sz w:val="20"/>
                <w:szCs w:val="20"/>
              </w:rPr>
              <w:t xml:space="preserve"> will</w:t>
            </w:r>
            <w:r w:rsidR="00562E0B">
              <w:rPr>
                <w:rFonts w:asciiTheme="majorHAnsi" w:hAnsiTheme="majorHAnsi" w:cstheme="majorHAnsi"/>
                <w:color w:val="auto"/>
                <w:sz w:val="20"/>
                <w:szCs w:val="20"/>
              </w:rPr>
              <w:t xml:space="preserve"> </w:t>
            </w:r>
            <w:r>
              <w:rPr>
                <w:rFonts w:asciiTheme="majorHAnsi" w:hAnsiTheme="majorHAnsi" w:cstheme="majorHAnsi"/>
                <w:color w:val="auto"/>
                <w:sz w:val="20"/>
                <w:szCs w:val="20"/>
              </w:rPr>
              <w:t xml:space="preserve">encourage </w:t>
            </w:r>
            <w:r w:rsidR="00562E0B">
              <w:rPr>
                <w:rFonts w:asciiTheme="majorHAnsi" w:hAnsiTheme="majorHAnsi" w:cstheme="majorHAnsi"/>
                <w:color w:val="auto"/>
                <w:sz w:val="20"/>
                <w:szCs w:val="20"/>
              </w:rPr>
              <w:t>WSB management to consider</w:t>
            </w:r>
            <w:r>
              <w:rPr>
                <w:rFonts w:asciiTheme="majorHAnsi" w:hAnsiTheme="majorHAnsi" w:cstheme="majorHAnsi"/>
                <w:color w:val="auto"/>
                <w:sz w:val="20"/>
                <w:szCs w:val="20"/>
              </w:rPr>
              <w:t xml:space="preserve"> this recommendation and take it forward if they</w:t>
            </w:r>
            <w:r w:rsidR="00562E0B">
              <w:rPr>
                <w:rFonts w:asciiTheme="majorHAnsi" w:hAnsiTheme="majorHAnsi" w:cstheme="majorHAnsi"/>
                <w:color w:val="auto"/>
                <w:sz w:val="20"/>
                <w:szCs w:val="20"/>
              </w:rPr>
              <w:t xml:space="preserve"> deem appropriate</w:t>
            </w:r>
            <w:r>
              <w:rPr>
                <w:rFonts w:asciiTheme="majorHAnsi" w:hAnsiTheme="majorHAnsi" w:cstheme="majorHAnsi"/>
                <w:color w:val="auto"/>
                <w:sz w:val="20"/>
                <w:szCs w:val="20"/>
              </w:rPr>
              <w:t xml:space="preserve"> in light of their range of activities and resources</w:t>
            </w:r>
            <w:r w:rsidR="00562E0B">
              <w:rPr>
                <w:rFonts w:asciiTheme="majorHAnsi" w:hAnsiTheme="majorHAnsi" w:cstheme="majorHAnsi"/>
                <w:color w:val="auto"/>
                <w:sz w:val="20"/>
                <w:szCs w:val="20"/>
              </w:rPr>
              <w:t xml:space="preserve">.  </w:t>
            </w:r>
          </w:p>
        </w:tc>
        <w:tc>
          <w:tcPr>
            <w:tcW w:w="1094" w:type="dxa"/>
            <w:shd w:val="clear" w:color="auto" w:fill="auto"/>
          </w:tcPr>
          <w:p w14:paraId="5FD41CDA" w14:textId="519036FE" w:rsidR="00562E0B" w:rsidRDefault="007B040B" w:rsidP="00CD02FB">
            <w:pPr>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Ongoing</w:t>
            </w:r>
            <w:r w:rsidR="00184050">
              <w:rPr>
                <w:rFonts w:asciiTheme="majorHAnsi" w:hAnsiTheme="majorHAnsi" w:cstheme="majorHAnsi"/>
                <w:color w:val="000000" w:themeColor="text1"/>
                <w:sz w:val="20"/>
                <w:szCs w:val="20"/>
              </w:rPr>
              <w:t>.</w:t>
            </w:r>
            <w:r>
              <w:rPr>
                <w:rFonts w:asciiTheme="majorHAnsi" w:hAnsiTheme="majorHAnsi" w:cstheme="majorHAnsi"/>
                <w:color w:val="000000" w:themeColor="text1"/>
                <w:sz w:val="20"/>
                <w:szCs w:val="20"/>
              </w:rPr>
              <w:t xml:space="preserve"> </w:t>
            </w:r>
          </w:p>
        </w:tc>
      </w:tr>
      <w:tr w:rsidR="007B040B" w:rsidRPr="00452680" w14:paraId="687A590C" w14:textId="77777777" w:rsidTr="00E06E32">
        <w:trPr>
          <w:trHeight w:val="2131"/>
        </w:trPr>
        <w:tc>
          <w:tcPr>
            <w:tcW w:w="564" w:type="dxa"/>
          </w:tcPr>
          <w:p w14:paraId="781ECDCE" w14:textId="459A2ABC" w:rsidR="00D7046B" w:rsidRPr="00452680" w:rsidRDefault="001E5ED5" w:rsidP="00CD02FB">
            <w:pPr>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5</w:t>
            </w:r>
          </w:p>
        </w:tc>
        <w:tc>
          <w:tcPr>
            <w:tcW w:w="3264" w:type="dxa"/>
          </w:tcPr>
          <w:p w14:paraId="183BC946" w14:textId="012CE941" w:rsidR="00681747" w:rsidRDefault="00681747" w:rsidP="00D7046B">
            <w:pPr>
              <w:jc w:val="both"/>
              <w:rPr>
                <w:rFonts w:asciiTheme="majorHAnsi" w:hAnsiTheme="majorHAnsi" w:cstheme="majorHAnsi"/>
                <w:color w:val="000000" w:themeColor="text1"/>
                <w:sz w:val="20"/>
                <w:szCs w:val="20"/>
              </w:rPr>
            </w:pPr>
            <w:bookmarkStart w:id="2" w:name="_Hlk81563817"/>
            <w:r>
              <w:rPr>
                <w:rFonts w:asciiTheme="majorHAnsi" w:hAnsiTheme="majorHAnsi" w:cstheme="majorHAnsi"/>
                <w:color w:val="000000" w:themeColor="text1"/>
                <w:sz w:val="20"/>
                <w:szCs w:val="20"/>
              </w:rPr>
              <w:t>DFAT, MFAT and Oxfam should continue their core funding support for WSB through a five-year joint funding relationship (at a minimum)</w:t>
            </w:r>
            <w:r w:rsidR="002C7DBB">
              <w:rPr>
                <w:rFonts w:asciiTheme="majorHAnsi" w:hAnsiTheme="majorHAnsi" w:cstheme="majorHAnsi"/>
                <w:color w:val="000000" w:themeColor="text1"/>
                <w:sz w:val="20"/>
                <w:szCs w:val="20"/>
              </w:rPr>
              <w:t>, at the same or increased levels.</w:t>
            </w:r>
          </w:p>
          <w:p w14:paraId="06FD60D8" w14:textId="77777777" w:rsidR="00681747" w:rsidRDefault="00681747" w:rsidP="00D7046B">
            <w:pPr>
              <w:jc w:val="both"/>
              <w:rPr>
                <w:rFonts w:asciiTheme="majorHAnsi" w:hAnsiTheme="majorHAnsi" w:cstheme="majorHAnsi"/>
                <w:color w:val="000000" w:themeColor="text1"/>
                <w:sz w:val="20"/>
                <w:szCs w:val="20"/>
              </w:rPr>
            </w:pPr>
          </w:p>
          <w:bookmarkEnd w:id="2"/>
          <w:p w14:paraId="50CA5EA2" w14:textId="5FD37BE2" w:rsidR="00D7046B" w:rsidRPr="00452680" w:rsidRDefault="00D7046B" w:rsidP="00D7046B">
            <w:pPr>
              <w:jc w:val="both"/>
              <w:rPr>
                <w:rFonts w:asciiTheme="majorHAnsi" w:hAnsiTheme="majorHAnsi" w:cstheme="majorHAnsi"/>
                <w:color w:val="000000" w:themeColor="text1"/>
                <w:sz w:val="20"/>
                <w:szCs w:val="20"/>
              </w:rPr>
            </w:pPr>
          </w:p>
        </w:tc>
        <w:tc>
          <w:tcPr>
            <w:tcW w:w="993" w:type="dxa"/>
            <w:shd w:val="clear" w:color="auto" w:fill="92D050"/>
          </w:tcPr>
          <w:p w14:paraId="7E9D3DFF" w14:textId="34B6B96F" w:rsidR="00D7046B" w:rsidRPr="00452680" w:rsidRDefault="00A27A33" w:rsidP="00CD02FB">
            <w:pPr>
              <w:rPr>
                <w:rFonts w:asciiTheme="majorHAnsi" w:hAnsiTheme="majorHAnsi" w:cstheme="majorHAnsi"/>
                <w:color w:val="000000" w:themeColor="text1"/>
                <w:sz w:val="20"/>
                <w:szCs w:val="20"/>
              </w:rPr>
            </w:pPr>
            <w:r w:rsidRPr="00452680">
              <w:rPr>
                <w:rFonts w:asciiTheme="majorHAnsi" w:hAnsiTheme="majorHAnsi" w:cstheme="majorHAnsi"/>
                <w:color w:val="000000" w:themeColor="text1"/>
                <w:sz w:val="20"/>
                <w:szCs w:val="20"/>
              </w:rPr>
              <w:t>Agree</w:t>
            </w:r>
          </w:p>
        </w:tc>
        <w:tc>
          <w:tcPr>
            <w:tcW w:w="5528" w:type="dxa"/>
          </w:tcPr>
          <w:p w14:paraId="2251A970" w14:textId="21016648" w:rsidR="00900CA1" w:rsidRDefault="00900CA1" w:rsidP="00900CA1">
            <w:pPr>
              <w:pStyle w:val="ListParagraph"/>
              <w:numPr>
                <w:ilvl w:val="0"/>
                <w:numId w:val="7"/>
              </w:numPr>
              <w:suppressAutoHyphens w:val="0"/>
              <w:spacing w:before="0" w:after="0" w:line="240" w:lineRule="auto"/>
              <w:ind w:left="141" w:hanging="141"/>
              <w:jc w:val="both"/>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The evaluation noted that its very positive findings presented a</w:t>
            </w:r>
            <w:r w:rsidR="00D67027">
              <w:rPr>
                <w:rFonts w:asciiTheme="majorHAnsi" w:hAnsiTheme="majorHAnsi" w:cstheme="majorHAnsi"/>
                <w:color w:val="000000" w:themeColor="text1"/>
                <w:sz w:val="20"/>
                <w:szCs w:val="20"/>
              </w:rPr>
              <w:t xml:space="preserve"> strong case </w:t>
            </w:r>
            <w:r>
              <w:rPr>
                <w:rFonts w:asciiTheme="majorHAnsi" w:hAnsiTheme="majorHAnsi" w:cstheme="majorHAnsi"/>
                <w:color w:val="000000" w:themeColor="text1"/>
                <w:sz w:val="20"/>
                <w:szCs w:val="20"/>
              </w:rPr>
              <w:t xml:space="preserve">for donors to continue </w:t>
            </w:r>
            <w:r w:rsidR="00D67027">
              <w:rPr>
                <w:rFonts w:asciiTheme="majorHAnsi" w:hAnsiTheme="majorHAnsi" w:cstheme="majorHAnsi"/>
                <w:color w:val="000000" w:themeColor="text1"/>
                <w:sz w:val="20"/>
                <w:szCs w:val="20"/>
              </w:rPr>
              <w:t xml:space="preserve">core funding </w:t>
            </w:r>
            <w:r w:rsidR="00727C8A">
              <w:rPr>
                <w:rFonts w:asciiTheme="majorHAnsi" w:hAnsiTheme="majorHAnsi" w:cstheme="majorHAnsi"/>
                <w:color w:val="000000" w:themeColor="text1"/>
                <w:sz w:val="20"/>
                <w:szCs w:val="20"/>
              </w:rPr>
              <w:t>at,</w:t>
            </w:r>
            <w:r w:rsidR="00D67027">
              <w:rPr>
                <w:rFonts w:asciiTheme="majorHAnsi" w:hAnsiTheme="majorHAnsi" w:cstheme="majorHAnsi"/>
                <w:color w:val="000000" w:themeColor="text1"/>
                <w:sz w:val="20"/>
                <w:szCs w:val="20"/>
              </w:rPr>
              <w:t xml:space="preserve"> or above current levels.</w:t>
            </w:r>
          </w:p>
          <w:p w14:paraId="75C54D49" w14:textId="77777777" w:rsidR="00850B62" w:rsidRDefault="00900CA1" w:rsidP="00771B8B">
            <w:pPr>
              <w:pStyle w:val="ListParagraph"/>
              <w:numPr>
                <w:ilvl w:val="0"/>
                <w:numId w:val="7"/>
              </w:numPr>
              <w:suppressAutoHyphens w:val="0"/>
              <w:spacing w:before="0" w:after="0" w:line="240" w:lineRule="auto"/>
              <w:ind w:left="141" w:hanging="141"/>
              <w:jc w:val="both"/>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 xml:space="preserve">Donors </w:t>
            </w:r>
            <w:r w:rsidR="00E84291">
              <w:rPr>
                <w:rFonts w:asciiTheme="majorHAnsi" w:hAnsiTheme="majorHAnsi" w:cstheme="majorHAnsi"/>
                <w:color w:val="000000" w:themeColor="text1"/>
                <w:sz w:val="20"/>
                <w:szCs w:val="20"/>
              </w:rPr>
              <w:t>acknowledge the effectiveness</w:t>
            </w:r>
            <w:r w:rsidR="00E64B89">
              <w:rPr>
                <w:rFonts w:asciiTheme="majorHAnsi" w:hAnsiTheme="majorHAnsi" w:cstheme="majorHAnsi"/>
                <w:color w:val="000000" w:themeColor="text1"/>
                <w:sz w:val="20"/>
                <w:szCs w:val="20"/>
              </w:rPr>
              <w:t xml:space="preserve"> of WSB’s work to date and the alignment of WSB’s work with their key priorities. </w:t>
            </w:r>
          </w:p>
          <w:p w14:paraId="716054F9" w14:textId="0280F83D" w:rsidR="000B5261" w:rsidRPr="00771B8B" w:rsidRDefault="00850B62" w:rsidP="00771B8B">
            <w:pPr>
              <w:pStyle w:val="ListParagraph"/>
              <w:numPr>
                <w:ilvl w:val="0"/>
                <w:numId w:val="7"/>
              </w:numPr>
              <w:suppressAutoHyphens w:val="0"/>
              <w:spacing w:before="0" w:after="0" w:line="240" w:lineRule="auto"/>
              <w:ind w:left="141" w:hanging="141"/>
              <w:jc w:val="both"/>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 xml:space="preserve">MFAT and DFAT </w:t>
            </w:r>
            <w:r w:rsidR="00E64B89">
              <w:rPr>
                <w:rFonts w:asciiTheme="majorHAnsi" w:hAnsiTheme="majorHAnsi" w:cstheme="majorHAnsi"/>
                <w:color w:val="000000" w:themeColor="text1"/>
                <w:sz w:val="20"/>
                <w:szCs w:val="20"/>
              </w:rPr>
              <w:t xml:space="preserve">note </w:t>
            </w:r>
            <w:r>
              <w:rPr>
                <w:rFonts w:asciiTheme="majorHAnsi" w:hAnsiTheme="majorHAnsi" w:cstheme="majorHAnsi"/>
                <w:color w:val="000000" w:themeColor="text1"/>
                <w:sz w:val="20"/>
                <w:szCs w:val="20"/>
              </w:rPr>
              <w:t>any commitment of</w:t>
            </w:r>
            <w:r w:rsidR="00E64B89">
              <w:rPr>
                <w:rFonts w:asciiTheme="majorHAnsi" w:hAnsiTheme="majorHAnsi" w:cstheme="majorHAnsi"/>
                <w:color w:val="000000" w:themeColor="text1"/>
                <w:sz w:val="20"/>
                <w:szCs w:val="20"/>
              </w:rPr>
              <w:t xml:space="preserve"> public funds need</w:t>
            </w:r>
            <w:r>
              <w:rPr>
                <w:rFonts w:asciiTheme="majorHAnsi" w:hAnsiTheme="majorHAnsi" w:cstheme="majorHAnsi"/>
                <w:color w:val="000000" w:themeColor="text1"/>
                <w:sz w:val="20"/>
                <w:szCs w:val="20"/>
              </w:rPr>
              <w:t>s</w:t>
            </w:r>
            <w:r w:rsidR="00E64B89">
              <w:rPr>
                <w:rFonts w:asciiTheme="majorHAnsi" w:hAnsiTheme="majorHAnsi" w:cstheme="majorHAnsi"/>
                <w:color w:val="000000" w:themeColor="text1"/>
                <w:sz w:val="20"/>
                <w:szCs w:val="20"/>
              </w:rPr>
              <w:t xml:space="preserve"> to be approved by the appropriate financial delegate.</w:t>
            </w:r>
            <w:r w:rsidR="00E84291" w:rsidRPr="00771B8B">
              <w:rPr>
                <w:rFonts w:asciiTheme="majorHAnsi" w:hAnsiTheme="majorHAnsi" w:cstheme="majorHAnsi"/>
                <w:color w:val="000000" w:themeColor="text1"/>
                <w:sz w:val="20"/>
                <w:szCs w:val="20"/>
              </w:rPr>
              <w:t xml:space="preserve"> </w:t>
            </w:r>
          </w:p>
        </w:tc>
        <w:tc>
          <w:tcPr>
            <w:tcW w:w="3934" w:type="dxa"/>
          </w:tcPr>
          <w:p w14:paraId="72E3AF99" w14:textId="7FC43DD9" w:rsidR="00D7046B" w:rsidRDefault="00DD3309" w:rsidP="00854243">
            <w:pPr>
              <w:pStyle w:val="SDAnumberedlist"/>
              <w:numPr>
                <w:ilvl w:val="0"/>
                <w:numId w:val="0"/>
              </w:numPr>
              <w:shd w:val="clear" w:color="auto" w:fill="FFFFFF" w:themeFill="background1"/>
              <w:spacing w:before="60" w:afterLines="60" w:after="144"/>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D</w:t>
            </w:r>
            <w:r w:rsidR="006A2597">
              <w:rPr>
                <w:rFonts w:asciiTheme="majorHAnsi" w:hAnsiTheme="majorHAnsi" w:cstheme="majorHAnsi"/>
                <w:color w:val="000000" w:themeColor="text1"/>
                <w:sz w:val="20"/>
                <w:szCs w:val="20"/>
              </w:rPr>
              <w:t>FAT</w:t>
            </w:r>
            <w:r>
              <w:rPr>
                <w:rFonts w:asciiTheme="majorHAnsi" w:hAnsiTheme="majorHAnsi" w:cstheme="majorHAnsi"/>
                <w:color w:val="000000" w:themeColor="text1"/>
                <w:sz w:val="20"/>
                <w:szCs w:val="20"/>
              </w:rPr>
              <w:t xml:space="preserve"> and </w:t>
            </w:r>
            <w:r w:rsidR="009647F6">
              <w:rPr>
                <w:rFonts w:asciiTheme="majorHAnsi" w:hAnsiTheme="majorHAnsi" w:cstheme="majorHAnsi"/>
                <w:color w:val="000000" w:themeColor="text1"/>
                <w:sz w:val="20"/>
                <w:szCs w:val="20"/>
              </w:rPr>
              <w:t>MFAT</w:t>
            </w:r>
            <w:r w:rsidR="006A2597">
              <w:rPr>
                <w:rFonts w:asciiTheme="majorHAnsi" w:hAnsiTheme="majorHAnsi" w:cstheme="majorHAnsi"/>
                <w:color w:val="000000" w:themeColor="text1"/>
                <w:sz w:val="20"/>
                <w:szCs w:val="20"/>
              </w:rPr>
              <w:t xml:space="preserve"> will </w:t>
            </w:r>
            <w:r>
              <w:rPr>
                <w:rFonts w:asciiTheme="majorHAnsi" w:hAnsiTheme="majorHAnsi" w:cstheme="majorHAnsi"/>
                <w:color w:val="000000" w:themeColor="text1"/>
                <w:sz w:val="20"/>
                <w:szCs w:val="20"/>
              </w:rPr>
              <w:t xml:space="preserve">each </w:t>
            </w:r>
            <w:r w:rsidR="004B528C">
              <w:rPr>
                <w:rFonts w:asciiTheme="majorHAnsi" w:hAnsiTheme="majorHAnsi" w:cstheme="majorHAnsi"/>
                <w:color w:val="000000" w:themeColor="text1"/>
                <w:sz w:val="20"/>
                <w:szCs w:val="20"/>
              </w:rPr>
              <w:t xml:space="preserve">progress a </w:t>
            </w:r>
            <w:r w:rsidR="00F976E5">
              <w:rPr>
                <w:rFonts w:asciiTheme="majorHAnsi" w:hAnsiTheme="majorHAnsi" w:cstheme="majorHAnsi"/>
                <w:color w:val="000000" w:themeColor="text1"/>
                <w:sz w:val="20"/>
                <w:szCs w:val="20"/>
              </w:rPr>
              <w:t xml:space="preserve">design update of </w:t>
            </w:r>
            <w:r>
              <w:rPr>
                <w:rFonts w:asciiTheme="majorHAnsi" w:hAnsiTheme="majorHAnsi" w:cstheme="majorHAnsi"/>
                <w:color w:val="000000" w:themeColor="text1"/>
                <w:sz w:val="20"/>
                <w:szCs w:val="20"/>
              </w:rPr>
              <w:t xml:space="preserve">further </w:t>
            </w:r>
            <w:r w:rsidR="00017459">
              <w:rPr>
                <w:rFonts w:asciiTheme="majorHAnsi" w:hAnsiTheme="majorHAnsi" w:cstheme="majorHAnsi"/>
                <w:color w:val="000000" w:themeColor="text1"/>
                <w:sz w:val="20"/>
                <w:szCs w:val="20"/>
              </w:rPr>
              <w:t>4-5</w:t>
            </w:r>
            <w:r w:rsidR="00ED6B59">
              <w:rPr>
                <w:rFonts w:asciiTheme="majorHAnsi" w:hAnsiTheme="majorHAnsi" w:cstheme="majorHAnsi"/>
                <w:color w:val="000000" w:themeColor="text1"/>
                <w:sz w:val="20"/>
                <w:szCs w:val="20"/>
              </w:rPr>
              <w:t xml:space="preserve"> year </w:t>
            </w:r>
            <w:r>
              <w:rPr>
                <w:rFonts w:asciiTheme="majorHAnsi" w:hAnsiTheme="majorHAnsi" w:cstheme="majorHAnsi"/>
                <w:color w:val="000000" w:themeColor="text1"/>
                <w:sz w:val="20"/>
                <w:szCs w:val="20"/>
              </w:rPr>
              <w:t>phase of support to WSB at the same or increased level</w:t>
            </w:r>
            <w:r w:rsidR="00ED6B59">
              <w:rPr>
                <w:rFonts w:asciiTheme="majorHAnsi" w:hAnsiTheme="majorHAnsi" w:cstheme="majorHAnsi"/>
                <w:color w:val="000000" w:themeColor="text1"/>
                <w:sz w:val="20"/>
                <w:szCs w:val="20"/>
              </w:rPr>
              <w:t>s</w:t>
            </w:r>
            <w:r w:rsidR="00E64B89">
              <w:rPr>
                <w:rFonts w:asciiTheme="majorHAnsi" w:hAnsiTheme="majorHAnsi" w:cstheme="majorHAnsi"/>
                <w:color w:val="000000" w:themeColor="text1"/>
                <w:sz w:val="20"/>
                <w:szCs w:val="20"/>
              </w:rPr>
              <w:t xml:space="preserve"> for</w:t>
            </w:r>
            <w:r w:rsidR="00017459">
              <w:rPr>
                <w:rFonts w:asciiTheme="majorHAnsi" w:hAnsiTheme="majorHAnsi" w:cstheme="majorHAnsi"/>
                <w:color w:val="000000" w:themeColor="text1"/>
                <w:sz w:val="20"/>
                <w:szCs w:val="20"/>
              </w:rPr>
              <w:t xml:space="preserve"> consider</w:t>
            </w:r>
            <w:r w:rsidR="00E64B89">
              <w:rPr>
                <w:rFonts w:asciiTheme="majorHAnsi" w:hAnsiTheme="majorHAnsi" w:cstheme="majorHAnsi"/>
                <w:color w:val="000000" w:themeColor="text1"/>
                <w:sz w:val="20"/>
                <w:szCs w:val="20"/>
              </w:rPr>
              <w:t>ation</w:t>
            </w:r>
            <w:r w:rsidR="00017459">
              <w:rPr>
                <w:rFonts w:asciiTheme="majorHAnsi" w:hAnsiTheme="majorHAnsi" w:cstheme="majorHAnsi"/>
                <w:color w:val="000000" w:themeColor="text1"/>
                <w:sz w:val="20"/>
                <w:szCs w:val="20"/>
              </w:rPr>
              <w:t xml:space="preserve"> by the</w:t>
            </w:r>
            <w:r w:rsidR="006A2597">
              <w:rPr>
                <w:rFonts w:asciiTheme="majorHAnsi" w:hAnsiTheme="majorHAnsi" w:cstheme="majorHAnsi"/>
                <w:color w:val="000000" w:themeColor="text1"/>
                <w:sz w:val="20"/>
                <w:szCs w:val="20"/>
              </w:rPr>
              <w:t xml:space="preserve"> </w:t>
            </w:r>
            <w:r w:rsidR="00E64B89">
              <w:rPr>
                <w:rFonts w:asciiTheme="majorHAnsi" w:hAnsiTheme="majorHAnsi" w:cstheme="majorHAnsi"/>
                <w:color w:val="000000" w:themeColor="text1"/>
                <w:sz w:val="20"/>
                <w:szCs w:val="20"/>
              </w:rPr>
              <w:t>relevant</w:t>
            </w:r>
            <w:r w:rsidR="00017459">
              <w:rPr>
                <w:rFonts w:asciiTheme="majorHAnsi" w:hAnsiTheme="majorHAnsi" w:cstheme="majorHAnsi"/>
                <w:color w:val="000000" w:themeColor="text1"/>
                <w:sz w:val="20"/>
                <w:szCs w:val="20"/>
              </w:rPr>
              <w:t xml:space="preserve"> </w:t>
            </w:r>
            <w:r>
              <w:rPr>
                <w:rFonts w:asciiTheme="majorHAnsi" w:hAnsiTheme="majorHAnsi" w:cstheme="majorHAnsi"/>
                <w:color w:val="000000" w:themeColor="text1"/>
                <w:sz w:val="20"/>
                <w:szCs w:val="20"/>
              </w:rPr>
              <w:t xml:space="preserve">financial </w:t>
            </w:r>
            <w:r w:rsidR="006A2597">
              <w:rPr>
                <w:rFonts w:asciiTheme="majorHAnsi" w:hAnsiTheme="majorHAnsi" w:cstheme="majorHAnsi"/>
                <w:color w:val="000000" w:themeColor="text1"/>
                <w:sz w:val="20"/>
                <w:szCs w:val="20"/>
              </w:rPr>
              <w:t>delegate</w:t>
            </w:r>
            <w:r w:rsidR="00494370" w:rsidRPr="00452680">
              <w:rPr>
                <w:rFonts w:asciiTheme="majorHAnsi" w:hAnsiTheme="majorHAnsi" w:cstheme="majorHAnsi"/>
                <w:color w:val="000000" w:themeColor="text1"/>
                <w:sz w:val="20"/>
                <w:szCs w:val="20"/>
              </w:rPr>
              <w:t>.</w:t>
            </w:r>
            <w:r w:rsidR="006A2597">
              <w:rPr>
                <w:rFonts w:asciiTheme="majorHAnsi" w:hAnsiTheme="majorHAnsi" w:cstheme="majorHAnsi"/>
                <w:color w:val="000000" w:themeColor="text1"/>
                <w:sz w:val="20"/>
                <w:szCs w:val="20"/>
              </w:rPr>
              <w:t xml:space="preserve"> </w:t>
            </w:r>
          </w:p>
          <w:p w14:paraId="17A8BFAF" w14:textId="361EAFB7" w:rsidR="00F21131" w:rsidRPr="00452680" w:rsidRDefault="00F21131" w:rsidP="00854243">
            <w:pPr>
              <w:pStyle w:val="SDAnumberedlist"/>
              <w:numPr>
                <w:ilvl w:val="0"/>
                <w:numId w:val="0"/>
              </w:numPr>
              <w:shd w:val="clear" w:color="auto" w:fill="FFFFFF" w:themeFill="background1"/>
              <w:spacing w:before="60" w:afterLines="60" w:after="144"/>
              <w:rPr>
                <w:rFonts w:asciiTheme="majorHAnsi" w:hAnsiTheme="majorHAnsi" w:cstheme="majorHAnsi"/>
                <w:color w:val="000000" w:themeColor="text1"/>
                <w:sz w:val="20"/>
                <w:szCs w:val="20"/>
              </w:rPr>
            </w:pPr>
          </w:p>
        </w:tc>
        <w:tc>
          <w:tcPr>
            <w:tcW w:w="1094" w:type="dxa"/>
          </w:tcPr>
          <w:p w14:paraId="3FCE4D5A" w14:textId="249A96CD" w:rsidR="00D7046B" w:rsidRPr="00452680" w:rsidRDefault="007B040B" w:rsidP="00CD02FB">
            <w:pPr>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First quarter 2022</w:t>
            </w:r>
            <w:r w:rsidR="00184050">
              <w:rPr>
                <w:rFonts w:asciiTheme="majorHAnsi" w:hAnsiTheme="majorHAnsi" w:cstheme="majorHAnsi"/>
                <w:color w:val="000000" w:themeColor="text1"/>
                <w:sz w:val="20"/>
                <w:szCs w:val="20"/>
              </w:rPr>
              <w:t>.</w:t>
            </w:r>
          </w:p>
        </w:tc>
      </w:tr>
      <w:tr w:rsidR="007B040B" w:rsidRPr="00452680" w14:paraId="3DB8E045" w14:textId="77777777" w:rsidTr="009F67A1">
        <w:tc>
          <w:tcPr>
            <w:tcW w:w="564" w:type="dxa"/>
          </w:tcPr>
          <w:p w14:paraId="1CCDA3C0" w14:textId="31C29100" w:rsidR="00D7046B" w:rsidRPr="00452680" w:rsidRDefault="00974298" w:rsidP="00CD02FB">
            <w:pPr>
              <w:rPr>
                <w:rFonts w:asciiTheme="majorHAnsi" w:hAnsiTheme="majorHAnsi" w:cstheme="majorHAnsi"/>
                <w:color w:val="000000" w:themeColor="text1"/>
                <w:sz w:val="20"/>
                <w:szCs w:val="20"/>
              </w:rPr>
            </w:pPr>
            <w:r w:rsidRPr="00452680">
              <w:rPr>
                <w:rFonts w:asciiTheme="majorHAnsi" w:hAnsiTheme="majorHAnsi" w:cstheme="majorHAnsi"/>
                <w:color w:val="000000" w:themeColor="text1"/>
                <w:sz w:val="20"/>
                <w:szCs w:val="20"/>
              </w:rPr>
              <w:t>6</w:t>
            </w:r>
          </w:p>
        </w:tc>
        <w:tc>
          <w:tcPr>
            <w:tcW w:w="3264" w:type="dxa"/>
          </w:tcPr>
          <w:p w14:paraId="30E971AE" w14:textId="5AF1F820" w:rsidR="002C7DBB" w:rsidRDefault="002C7DBB" w:rsidP="00D7046B">
            <w:pPr>
              <w:jc w:val="both"/>
              <w:rPr>
                <w:rFonts w:asciiTheme="majorHAnsi" w:hAnsiTheme="majorHAnsi" w:cstheme="majorHAnsi"/>
                <w:color w:val="000000" w:themeColor="text1"/>
                <w:sz w:val="20"/>
                <w:szCs w:val="20"/>
              </w:rPr>
            </w:pPr>
            <w:bookmarkStart w:id="3" w:name="_Hlk81563857"/>
            <w:r>
              <w:rPr>
                <w:rFonts w:asciiTheme="majorHAnsi" w:hAnsiTheme="majorHAnsi" w:cstheme="majorHAnsi"/>
                <w:color w:val="000000" w:themeColor="text1"/>
                <w:sz w:val="20"/>
                <w:szCs w:val="20"/>
              </w:rPr>
              <w:t xml:space="preserve">WSB’s core donor partners should support focused work early in the next phase of funding to strengthen WSB’s monitoring and evaluation reporting in a way that is also effective for WSB.  </w:t>
            </w:r>
          </w:p>
          <w:p w14:paraId="49FCF5AA" w14:textId="77777777" w:rsidR="002C7DBB" w:rsidRDefault="002C7DBB" w:rsidP="00D7046B">
            <w:pPr>
              <w:jc w:val="both"/>
              <w:rPr>
                <w:rFonts w:asciiTheme="majorHAnsi" w:hAnsiTheme="majorHAnsi" w:cstheme="majorHAnsi"/>
                <w:color w:val="000000" w:themeColor="text1"/>
                <w:sz w:val="20"/>
                <w:szCs w:val="20"/>
              </w:rPr>
            </w:pPr>
          </w:p>
          <w:bookmarkEnd w:id="3"/>
          <w:p w14:paraId="180FCBCD" w14:textId="4F447028" w:rsidR="00D7046B" w:rsidRPr="00452680" w:rsidRDefault="00D7046B" w:rsidP="00D7046B">
            <w:pPr>
              <w:jc w:val="both"/>
              <w:rPr>
                <w:rFonts w:asciiTheme="majorHAnsi" w:hAnsiTheme="majorHAnsi" w:cstheme="majorHAnsi"/>
                <w:color w:val="000000" w:themeColor="text1"/>
                <w:sz w:val="20"/>
                <w:szCs w:val="20"/>
              </w:rPr>
            </w:pPr>
          </w:p>
        </w:tc>
        <w:tc>
          <w:tcPr>
            <w:tcW w:w="993" w:type="dxa"/>
            <w:shd w:val="clear" w:color="auto" w:fill="92D050"/>
          </w:tcPr>
          <w:p w14:paraId="310A4327" w14:textId="5CB9D2ED" w:rsidR="00D7046B" w:rsidRPr="00452680" w:rsidRDefault="00854243" w:rsidP="00CD02FB">
            <w:pPr>
              <w:rPr>
                <w:rFonts w:asciiTheme="majorHAnsi" w:hAnsiTheme="majorHAnsi" w:cstheme="majorHAnsi"/>
                <w:color w:val="000000" w:themeColor="text1"/>
                <w:sz w:val="20"/>
                <w:szCs w:val="20"/>
              </w:rPr>
            </w:pPr>
            <w:r w:rsidRPr="00452680">
              <w:rPr>
                <w:rFonts w:asciiTheme="majorHAnsi" w:hAnsiTheme="majorHAnsi" w:cstheme="majorHAnsi"/>
                <w:color w:val="000000" w:themeColor="text1"/>
                <w:sz w:val="20"/>
                <w:szCs w:val="20"/>
              </w:rPr>
              <w:t>Agree</w:t>
            </w:r>
          </w:p>
        </w:tc>
        <w:tc>
          <w:tcPr>
            <w:tcW w:w="5528" w:type="dxa"/>
          </w:tcPr>
          <w:p w14:paraId="3E7E1E7A" w14:textId="706158C3" w:rsidR="00D92F80" w:rsidRDefault="008D497C" w:rsidP="00D026F5">
            <w:pPr>
              <w:pStyle w:val="ListParagraph"/>
              <w:numPr>
                <w:ilvl w:val="0"/>
                <w:numId w:val="7"/>
              </w:numPr>
              <w:suppressAutoHyphens w:val="0"/>
              <w:spacing w:before="0" w:after="0" w:line="240" w:lineRule="auto"/>
              <w:ind w:left="141" w:hanging="141"/>
              <w:jc w:val="both"/>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 xml:space="preserve">In recent years a donor-funded </w:t>
            </w:r>
            <w:r w:rsidR="00D67027">
              <w:rPr>
                <w:rFonts w:asciiTheme="majorHAnsi" w:hAnsiTheme="majorHAnsi" w:cstheme="majorHAnsi"/>
                <w:color w:val="000000" w:themeColor="text1"/>
                <w:sz w:val="20"/>
                <w:szCs w:val="20"/>
              </w:rPr>
              <w:t xml:space="preserve">technical </w:t>
            </w:r>
            <w:r>
              <w:rPr>
                <w:rFonts w:asciiTheme="majorHAnsi" w:hAnsiTheme="majorHAnsi" w:cstheme="majorHAnsi"/>
                <w:color w:val="000000" w:themeColor="text1"/>
                <w:sz w:val="20"/>
                <w:szCs w:val="20"/>
              </w:rPr>
              <w:t>advisor ha</w:t>
            </w:r>
            <w:r w:rsidR="00F976E5">
              <w:rPr>
                <w:rFonts w:asciiTheme="majorHAnsi" w:hAnsiTheme="majorHAnsi" w:cstheme="majorHAnsi"/>
                <w:color w:val="000000" w:themeColor="text1"/>
                <w:sz w:val="20"/>
                <w:szCs w:val="20"/>
              </w:rPr>
              <w:t>s</w:t>
            </w:r>
            <w:r>
              <w:rPr>
                <w:rFonts w:asciiTheme="majorHAnsi" w:hAnsiTheme="majorHAnsi" w:cstheme="majorHAnsi"/>
                <w:color w:val="000000" w:themeColor="text1"/>
                <w:sz w:val="20"/>
                <w:szCs w:val="20"/>
              </w:rPr>
              <w:t xml:space="preserve"> worked with WSB’s M&amp;E officer to develop </w:t>
            </w:r>
            <w:r w:rsidR="00D92F80">
              <w:rPr>
                <w:rFonts w:asciiTheme="majorHAnsi" w:hAnsiTheme="majorHAnsi" w:cstheme="majorHAnsi"/>
                <w:color w:val="000000" w:themeColor="text1"/>
                <w:sz w:val="20"/>
                <w:szCs w:val="20"/>
              </w:rPr>
              <w:t>an M&amp;E framework and reporting format with a focus on end-of-program outcomes. The M&amp;E officer subsequently departed WSB.</w:t>
            </w:r>
          </w:p>
          <w:p w14:paraId="1124656D" w14:textId="42B7471F" w:rsidR="00D92F80" w:rsidRDefault="00D92F80" w:rsidP="00D92F80">
            <w:pPr>
              <w:pStyle w:val="ListParagraph"/>
              <w:numPr>
                <w:ilvl w:val="0"/>
                <w:numId w:val="7"/>
              </w:numPr>
              <w:suppressAutoHyphens w:val="0"/>
              <w:spacing w:before="0" w:after="0" w:line="240" w:lineRule="auto"/>
              <w:ind w:left="141" w:hanging="141"/>
              <w:jc w:val="both"/>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 xml:space="preserve">The evaluation suggested that this reporting framework is now not </w:t>
            </w:r>
            <w:r w:rsidR="00D67027">
              <w:rPr>
                <w:rFonts w:asciiTheme="majorHAnsi" w:hAnsiTheme="majorHAnsi" w:cstheme="majorHAnsi"/>
                <w:color w:val="000000" w:themeColor="text1"/>
                <w:sz w:val="20"/>
                <w:szCs w:val="20"/>
              </w:rPr>
              <w:t>effective or manageable for WSB</w:t>
            </w:r>
            <w:r>
              <w:rPr>
                <w:rFonts w:asciiTheme="majorHAnsi" w:hAnsiTheme="majorHAnsi" w:cstheme="majorHAnsi"/>
                <w:color w:val="000000" w:themeColor="text1"/>
                <w:sz w:val="20"/>
                <w:szCs w:val="20"/>
              </w:rPr>
              <w:t xml:space="preserve">, does not capture </w:t>
            </w:r>
            <w:r w:rsidR="003E4995">
              <w:rPr>
                <w:rFonts w:asciiTheme="majorHAnsi" w:hAnsiTheme="majorHAnsi" w:cstheme="majorHAnsi"/>
                <w:color w:val="000000" w:themeColor="text1"/>
                <w:sz w:val="20"/>
                <w:szCs w:val="20"/>
              </w:rPr>
              <w:t>all</w:t>
            </w:r>
            <w:r>
              <w:rPr>
                <w:rFonts w:asciiTheme="majorHAnsi" w:hAnsiTheme="majorHAnsi" w:cstheme="majorHAnsi"/>
                <w:color w:val="000000" w:themeColor="text1"/>
                <w:sz w:val="20"/>
                <w:szCs w:val="20"/>
              </w:rPr>
              <w:t xml:space="preserve"> WSB’s efforts and does not create space for WSB’s reflection and learning</w:t>
            </w:r>
            <w:r w:rsidR="00D67027">
              <w:rPr>
                <w:rFonts w:asciiTheme="majorHAnsi" w:hAnsiTheme="majorHAnsi" w:cstheme="majorHAnsi"/>
                <w:color w:val="000000" w:themeColor="text1"/>
                <w:sz w:val="20"/>
                <w:szCs w:val="20"/>
              </w:rPr>
              <w:t xml:space="preserve">. </w:t>
            </w:r>
          </w:p>
          <w:p w14:paraId="71BEF42D" w14:textId="27AE2403" w:rsidR="00D7046B" w:rsidRPr="00771B8B" w:rsidRDefault="00D92F80" w:rsidP="00771B8B">
            <w:pPr>
              <w:pStyle w:val="ListParagraph"/>
              <w:numPr>
                <w:ilvl w:val="0"/>
                <w:numId w:val="7"/>
              </w:numPr>
              <w:suppressAutoHyphens w:val="0"/>
              <w:spacing w:before="0" w:after="0" w:line="240" w:lineRule="auto"/>
              <w:ind w:left="141" w:hanging="141"/>
              <w:jc w:val="both"/>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Donors agree the M&amp;E system needs to be accessible and useful for WSB, while fulfilling donors’ accountability requirements and supporting program improvement.</w:t>
            </w:r>
          </w:p>
        </w:tc>
        <w:tc>
          <w:tcPr>
            <w:tcW w:w="3934" w:type="dxa"/>
          </w:tcPr>
          <w:p w14:paraId="6F8928A4" w14:textId="5FD509B2" w:rsidR="00F21131" w:rsidRPr="00F21131" w:rsidRDefault="00F21131" w:rsidP="00F21131">
            <w:pPr>
              <w:rPr>
                <w:rFonts w:asciiTheme="majorHAnsi" w:hAnsiTheme="majorHAnsi" w:cstheme="majorHAnsi"/>
                <w:color w:val="auto"/>
                <w:sz w:val="20"/>
                <w:szCs w:val="20"/>
              </w:rPr>
            </w:pPr>
            <w:r>
              <w:rPr>
                <w:rFonts w:asciiTheme="majorHAnsi" w:hAnsiTheme="majorHAnsi" w:cstheme="majorHAnsi"/>
                <w:color w:val="auto"/>
                <w:sz w:val="20"/>
                <w:szCs w:val="20"/>
              </w:rPr>
              <w:t>1. As above (rec. 1), donors (MFAT on behalf of all) will engage external advisory support to collaborate with WSB to develop an accessible and useful MEL system that works for WSB and donors and creates space for reflection/adaptation.</w:t>
            </w:r>
          </w:p>
          <w:p w14:paraId="45AA475A" w14:textId="64D96A0D" w:rsidR="00471080" w:rsidRPr="00452680" w:rsidRDefault="00471080" w:rsidP="00771B8B">
            <w:pPr>
              <w:pStyle w:val="SDAnumberedlist"/>
              <w:numPr>
                <w:ilvl w:val="0"/>
                <w:numId w:val="0"/>
              </w:numPr>
              <w:shd w:val="clear" w:color="auto" w:fill="FFFFFF" w:themeFill="background1"/>
              <w:spacing w:before="60" w:afterLines="60" w:after="144"/>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2. Donors will</w:t>
            </w:r>
            <w:r w:rsidR="00F21131">
              <w:rPr>
                <w:rFonts w:asciiTheme="majorHAnsi" w:hAnsiTheme="majorHAnsi" w:cstheme="majorHAnsi"/>
                <w:color w:val="000000" w:themeColor="text1"/>
                <w:sz w:val="20"/>
                <w:szCs w:val="20"/>
              </w:rPr>
              <w:t xml:space="preserve"> outline and</w:t>
            </w:r>
            <w:r w:rsidR="0064191A">
              <w:rPr>
                <w:rFonts w:asciiTheme="majorHAnsi" w:hAnsiTheme="majorHAnsi" w:cstheme="majorHAnsi"/>
                <w:color w:val="000000" w:themeColor="text1"/>
                <w:sz w:val="20"/>
                <w:szCs w:val="20"/>
              </w:rPr>
              <w:t xml:space="preserve"> align their reporting requirements </w:t>
            </w:r>
            <w:r w:rsidR="00F21131">
              <w:rPr>
                <w:rFonts w:asciiTheme="majorHAnsi" w:hAnsiTheme="majorHAnsi" w:cstheme="majorHAnsi"/>
                <w:color w:val="000000" w:themeColor="text1"/>
                <w:sz w:val="20"/>
                <w:szCs w:val="20"/>
              </w:rPr>
              <w:t xml:space="preserve">where possible </w:t>
            </w:r>
            <w:r w:rsidR="0064191A">
              <w:rPr>
                <w:rFonts w:asciiTheme="majorHAnsi" w:hAnsiTheme="majorHAnsi" w:cstheme="majorHAnsi"/>
                <w:color w:val="000000" w:themeColor="text1"/>
                <w:sz w:val="20"/>
                <w:szCs w:val="20"/>
              </w:rPr>
              <w:t xml:space="preserve">and work </w:t>
            </w:r>
            <w:r>
              <w:rPr>
                <w:rFonts w:asciiTheme="majorHAnsi" w:hAnsiTheme="majorHAnsi" w:cstheme="majorHAnsi"/>
                <w:color w:val="000000" w:themeColor="text1"/>
                <w:sz w:val="20"/>
                <w:szCs w:val="20"/>
              </w:rPr>
              <w:t xml:space="preserve">with WSB and </w:t>
            </w:r>
            <w:r w:rsidR="00F976E5">
              <w:rPr>
                <w:rFonts w:asciiTheme="majorHAnsi" w:hAnsiTheme="majorHAnsi" w:cstheme="majorHAnsi"/>
                <w:color w:val="000000" w:themeColor="text1"/>
                <w:sz w:val="20"/>
                <w:szCs w:val="20"/>
              </w:rPr>
              <w:t xml:space="preserve">the </w:t>
            </w:r>
            <w:r>
              <w:rPr>
                <w:rFonts w:asciiTheme="majorHAnsi" w:hAnsiTheme="majorHAnsi" w:cstheme="majorHAnsi"/>
                <w:color w:val="000000" w:themeColor="text1"/>
                <w:sz w:val="20"/>
                <w:szCs w:val="20"/>
              </w:rPr>
              <w:t xml:space="preserve">MEL advisor to ensure quality, useful MEL Framework and products are agreed.  </w:t>
            </w:r>
          </w:p>
        </w:tc>
        <w:tc>
          <w:tcPr>
            <w:tcW w:w="1094" w:type="dxa"/>
          </w:tcPr>
          <w:p w14:paraId="30801BD7" w14:textId="2DBE10BF" w:rsidR="00D7046B" w:rsidRPr="00452680" w:rsidRDefault="00393BB8" w:rsidP="00CD02FB">
            <w:pPr>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Work commenced late 2021, to be completed by May 2022.</w:t>
            </w:r>
          </w:p>
        </w:tc>
      </w:tr>
      <w:tr w:rsidR="007B040B" w:rsidRPr="00452680" w14:paraId="2FB6AFC8" w14:textId="77777777" w:rsidTr="00965A6B">
        <w:tc>
          <w:tcPr>
            <w:tcW w:w="564" w:type="dxa"/>
          </w:tcPr>
          <w:p w14:paraId="1F08D12E" w14:textId="05DBA77E" w:rsidR="00D7046B" w:rsidRPr="00452680" w:rsidRDefault="00A27A33" w:rsidP="00CD02FB">
            <w:pPr>
              <w:rPr>
                <w:rFonts w:asciiTheme="majorHAnsi" w:hAnsiTheme="majorHAnsi" w:cstheme="majorHAnsi"/>
                <w:color w:val="000000" w:themeColor="text1"/>
                <w:sz w:val="20"/>
                <w:szCs w:val="20"/>
              </w:rPr>
            </w:pPr>
            <w:r w:rsidRPr="00452680">
              <w:rPr>
                <w:rFonts w:asciiTheme="majorHAnsi" w:hAnsiTheme="majorHAnsi" w:cstheme="majorHAnsi"/>
                <w:color w:val="000000" w:themeColor="text1"/>
                <w:sz w:val="20"/>
                <w:szCs w:val="20"/>
              </w:rPr>
              <w:t>7</w:t>
            </w:r>
          </w:p>
        </w:tc>
        <w:tc>
          <w:tcPr>
            <w:tcW w:w="3264" w:type="dxa"/>
          </w:tcPr>
          <w:p w14:paraId="6BA8C7B1" w14:textId="77777777" w:rsidR="002C7DBB" w:rsidRDefault="002C7DBB" w:rsidP="00D7046B">
            <w:pPr>
              <w:jc w:val="both"/>
              <w:rPr>
                <w:rFonts w:asciiTheme="majorHAnsi" w:hAnsiTheme="majorHAnsi" w:cstheme="majorHAnsi"/>
                <w:color w:val="000000" w:themeColor="text1"/>
                <w:sz w:val="20"/>
                <w:szCs w:val="20"/>
              </w:rPr>
            </w:pPr>
            <w:bookmarkStart w:id="4" w:name="_Hlk81563928"/>
            <w:r>
              <w:rPr>
                <w:rFonts w:asciiTheme="majorHAnsi" w:hAnsiTheme="majorHAnsi" w:cstheme="majorHAnsi"/>
                <w:color w:val="000000" w:themeColor="text1"/>
                <w:sz w:val="20"/>
                <w:szCs w:val="20"/>
              </w:rPr>
              <w:t>WSB’s core donor partners should ideally seek to resolve questions around financial sustainability and cost recovery in relation to WSB in a more enduring way.</w:t>
            </w:r>
          </w:p>
          <w:p w14:paraId="6D40081D" w14:textId="77777777" w:rsidR="002C7DBB" w:rsidRDefault="002C7DBB" w:rsidP="00D7046B">
            <w:pPr>
              <w:jc w:val="both"/>
              <w:rPr>
                <w:rFonts w:asciiTheme="majorHAnsi" w:hAnsiTheme="majorHAnsi" w:cstheme="majorHAnsi"/>
                <w:color w:val="000000" w:themeColor="text1"/>
                <w:sz w:val="20"/>
                <w:szCs w:val="20"/>
              </w:rPr>
            </w:pPr>
          </w:p>
          <w:bookmarkEnd w:id="4"/>
          <w:p w14:paraId="304DA75B" w14:textId="0F8F8D52" w:rsidR="00D7046B" w:rsidRPr="00452680" w:rsidRDefault="00D7046B" w:rsidP="00D7046B">
            <w:pPr>
              <w:jc w:val="both"/>
              <w:rPr>
                <w:rFonts w:asciiTheme="majorHAnsi" w:hAnsiTheme="majorHAnsi" w:cstheme="majorHAnsi"/>
                <w:color w:val="000000" w:themeColor="text1"/>
                <w:sz w:val="20"/>
                <w:szCs w:val="20"/>
              </w:rPr>
            </w:pPr>
          </w:p>
        </w:tc>
        <w:tc>
          <w:tcPr>
            <w:tcW w:w="993" w:type="dxa"/>
            <w:shd w:val="clear" w:color="auto" w:fill="92D050"/>
          </w:tcPr>
          <w:p w14:paraId="2E1A1923" w14:textId="47C2D48D" w:rsidR="00D7046B" w:rsidRPr="00452680" w:rsidRDefault="00A27A33" w:rsidP="00CD02FB">
            <w:pPr>
              <w:rPr>
                <w:rFonts w:asciiTheme="majorHAnsi" w:hAnsiTheme="majorHAnsi" w:cstheme="majorHAnsi"/>
                <w:color w:val="000000" w:themeColor="text1"/>
                <w:sz w:val="20"/>
                <w:szCs w:val="20"/>
              </w:rPr>
            </w:pPr>
            <w:r w:rsidRPr="00452680">
              <w:rPr>
                <w:rFonts w:asciiTheme="majorHAnsi" w:hAnsiTheme="majorHAnsi" w:cstheme="majorHAnsi"/>
                <w:color w:val="000000" w:themeColor="text1"/>
                <w:sz w:val="20"/>
                <w:szCs w:val="20"/>
              </w:rPr>
              <w:t>Agree</w:t>
            </w:r>
          </w:p>
        </w:tc>
        <w:tc>
          <w:tcPr>
            <w:tcW w:w="5528" w:type="dxa"/>
          </w:tcPr>
          <w:p w14:paraId="137F21C1" w14:textId="27DC7CC3" w:rsidR="00854243" w:rsidRDefault="004B6E19" w:rsidP="00D026F5">
            <w:pPr>
              <w:pStyle w:val="ListParagraph"/>
              <w:numPr>
                <w:ilvl w:val="0"/>
                <w:numId w:val="7"/>
              </w:numPr>
              <w:suppressAutoHyphens w:val="0"/>
              <w:spacing w:before="0" w:after="0" w:line="240" w:lineRule="auto"/>
              <w:ind w:left="141" w:hanging="141"/>
              <w:jc w:val="both"/>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 xml:space="preserve">The evaluation noted that </w:t>
            </w:r>
            <w:r w:rsidR="009F5B84">
              <w:rPr>
                <w:rFonts w:asciiTheme="majorHAnsi" w:hAnsiTheme="majorHAnsi" w:cstheme="majorHAnsi"/>
                <w:color w:val="000000" w:themeColor="text1"/>
                <w:sz w:val="20"/>
                <w:szCs w:val="20"/>
              </w:rPr>
              <w:t xml:space="preserve">previous evaluations </w:t>
            </w:r>
            <w:r w:rsidR="00727C8A">
              <w:rPr>
                <w:rFonts w:asciiTheme="majorHAnsi" w:hAnsiTheme="majorHAnsi" w:cstheme="majorHAnsi"/>
                <w:color w:val="000000" w:themeColor="text1"/>
                <w:sz w:val="20"/>
                <w:szCs w:val="20"/>
              </w:rPr>
              <w:t xml:space="preserve">and </w:t>
            </w:r>
            <w:r>
              <w:rPr>
                <w:rFonts w:asciiTheme="majorHAnsi" w:hAnsiTheme="majorHAnsi" w:cstheme="majorHAnsi"/>
                <w:color w:val="000000" w:themeColor="text1"/>
                <w:sz w:val="20"/>
                <w:szCs w:val="20"/>
              </w:rPr>
              <w:t xml:space="preserve">two pieces of </w:t>
            </w:r>
            <w:r w:rsidR="00727C8A">
              <w:rPr>
                <w:rFonts w:asciiTheme="majorHAnsi" w:hAnsiTheme="majorHAnsi" w:cstheme="majorHAnsi"/>
                <w:color w:val="000000" w:themeColor="text1"/>
                <w:sz w:val="20"/>
                <w:szCs w:val="20"/>
              </w:rPr>
              <w:t>in</w:t>
            </w:r>
            <w:r w:rsidR="009F5B84">
              <w:rPr>
                <w:rFonts w:asciiTheme="majorHAnsi" w:hAnsiTheme="majorHAnsi" w:cstheme="majorHAnsi"/>
                <w:color w:val="000000" w:themeColor="text1"/>
                <w:sz w:val="20"/>
                <w:szCs w:val="20"/>
              </w:rPr>
              <w:t xml:space="preserve">-depth analysis </w:t>
            </w:r>
            <w:r>
              <w:rPr>
                <w:rFonts w:asciiTheme="majorHAnsi" w:hAnsiTheme="majorHAnsi" w:cstheme="majorHAnsi"/>
                <w:color w:val="000000" w:themeColor="text1"/>
                <w:sz w:val="20"/>
                <w:szCs w:val="20"/>
              </w:rPr>
              <w:t xml:space="preserve">by </w:t>
            </w:r>
            <w:r w:rsidR="009F5B84">
              <w:rPr>
                <w:rFonts w:asciiTheme="majorHAnsi" w:hAnsiTheme="majorHAnsi" w:cstheme="majorHAnsi"/>
                <w:color w:val="000000" w:themeColor="text1"/>
                <w:sz w:val="20"/>
                <w:szCs w:val="20"/>
              </w:rPr>
              <w:t xml:space="preserve">business advisors all </w:t>
            </w:r>
            <w:r>
              <w:rPr>
                <w:rFonts w:asciiTheme="majorHAnsi" w:hAnsiTheme="majorHAnsi" w:cstheme="majorHAnsi"/>
                <w:color w:val="000000" w:themeColor="text1"/>
                <w:sz w:val="20"/>
                <w:szCs w:val="20"/>
              </w:rPr>
              <w:t>found</w:t>
            </w:r>
            <w:r w:rsidR="009F5B84">
              <w:rPr>
                <w:rFonts w:asciiTheme="majorHAnsi" w:hAnsiTheme="majorHAnsi" w:cstheme="majorHAnsi"/>
                <w:color w:val="000000" w:themeColor="text1"/>
                <w:sz w:val="20"/>
                <w:szCs w:val="20"/>
              </w:rPr>
              <w:t xml:space="preserve"> that financial sustainability and cost recovery are not viable options for WSB</w:t>
            </w:r>
            <w:r w:rsidR="00854243">
              <w:rPr>
                <w:rFonts w:asciiTheme="majorHAnsi" w:hAnsiTheme="majorHAnsi" w:cstheme="majorHAnsi"/>
                <w:color w:val="000000" w:themeColor="text1"/>
                <w:sz w:val="20"/>
                <w:szCs w:val="20"/>
              </w:rPr>
              <w:t>.</w:t>
            </w:r>
            <w:r>
              <w:rPr>
                <w:rFonts w:asciiTheme="majorHAnsi" w:hAnsiTheme="majorHAnsi" w:cstheme="majorHAnsi"/>
                <w:color w:val="000000" w:themeColor="text1"/>
                <w:sz w:val="20"/>
                <w:szCs w:val="20"/>
              </w:rPr>
              <w:t xml:space="preserve"> It found </w:t>
            </w:r>
            <w:r w:rsidR="00650E52">
              <w:rPr>
                <w:rFonts w:asciiTheme="majorHAnsi" w:hAnsiTheme="majorHAnsi" w:cstheme="majorHAnsi"/>
                <w:color w:val="000000" w:themeColor="text1"/>
                <w:sz w:val="20"/>
                <w:szCs w:val="20"/>
              </w:rPr>
              <w:t>WSB’s work to be sustainable across a range of (non-financial) variables.</w:t>
            </w:r>
            <w:r>
              <w:rPr>
                <w:rFonts w:asciiTheme="majorHAnsi" w:hAnsiTheme="majorHAnsi" w:cstheme="majorHAnsi"/>
                <w:color w:val="000000" w:themeColor="text1"/>
                <w:sz w:val="20"/>
                <w:szCs w:val="20"/>
              </w:rPr>
              <w:t xml:space="preserve"> </w:t>
            </w:r>
          </w:p>
          <w:p w14:paraId="5CE38223" w14:textId="4680D520" w:rsidR="00650E52" w:rsidRDefault="00650E52" w:rsidP="00D026F5">
            <w:pPr>
              <w:pStyle w:val="ListParagraph"/>
              <w:numPr>
                <w:ilvl w:val="0"/>
                <w:numId w:val="7"/>
              </w:numPr>
              <w:suppressAutoHyphens w:val="0"/>
              <w:spacing w:before="0" w:after="0" w:line="240" w:lineRule="auto"/>
              <w:ind w:left="141" w:hanging="141"/>
              <w:jc w:val="both"/>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 xml:space="preserve">Donors acknowledge the inherent </w:t>
            </w:r>
            <w:r w:rsidR="00F21131">
              <w:rPr>
                <w:rFonts w:asciiTheme="majorHAnsi" w:hAnsiTheme="majorHAnsi" w:cstheme="majorHAnsi"/>
                <w:color w:val="000000" w:themeColor="text1"/>
                <w:sz w:val="20"/>
                <w:szCs w:val="20"/>
              </w:rPr>
              <w:t xml:space="preserve">value </w:t>
            </w:r>
            <w:r>
              <w:rPr>
                <w:rFonts w:asciiTheme="majorHAnsi" w:hAnsiTheme="majorHAnsi" w:cstheme="majorHAnsi"/>
                <w:color w:val="000000" w:themeColor="text1"/>
                <w:sz w:val="20"/>
                <w:szCs w:val="20"/>
              </w:rPr>
              <w:t xml:space="preserve">of WSB’s work </w:t>
            </w:r>
            <w:r w:rsidR="00F21131">
              <w:rPr>
                <w:rFonts w:asciiTheme="majorHAnsi" w:hAnsiTheme="majorHAnsi" w:cstheme="majorHAnsi"/>
                <w:color w:val="000000" w:themeColor="text1"/>
                <w:sz w:val="20"/>
                <w:szCs w:val="20"/>
              </w:rPr>
              <w:t xml:space="preserve">as a public good </w:t>
            </w:r>
            <w:r>
              <w:rPr>
                <w:rFonts w:asciiTheme="majorHAnsi" w:hAnsiTheme="majorHAnsi" w:cstheme="majorHAnsi"/>
                <w:color w:val="000000" w:themeColor="text1"/>
                <w:sz w:val="20"/>
                <w:szCs w:val="20"/>
              </w:rPr>
              <w:t xml:space="preserve">and that financial sustainability and cost recovery are not viable options. </w:t>
            </w:r>
          </w:p>
          <w:p w14:paraId="3A432DB4" w14:textId="5C76015A" w:rsidR="00650E52" w:rsidRPr="00452680" w:rsidRDefault="00650E52" w:rsidP="00650E52">
            <w:pPr>
              <w:pStyle w:val="ListParagraph"/>
              <w:suppressAutoHyphens w:val="0"/>
              <w:spacing w:before="0" w:after="0" w:line="240" w:lineRule="auto"/>
              <w:ind w:left="141"/>
              <w:jc w:val="both"/>
              <w:rPr>
                <w:rFonts w:asciiTheme="majorHAnsi" w:hAnsiTheme="majorHAnsi" w:cstheme="majorHAnsi"/>
                <w:color w:val="000000" w:themeColor="text1"/>
                <w:sz w:val="20"/>
                <w:szCs w:val="20"/>
              </w:rPr>
            </w:pPr>
          </w:p>
        </w:tc>
        <w:tc>
          <w:tcPr>
            <w:tcW w:w="3934" w:type="dxa"/>
          </w:tcPr>
          <w:p w14:paraId="2D173811" w14:textId="77777777" w:rsidR="0049524B" w:rsidRDefault="00850B62" w:rsidP="004973F5">
            <w:pPr>
              <w:pStyle w:val="SDAnumberedlist"/>
              <w:numPr>
                <w:ilvl w:val="0"/>
                <w:numId w:val="0"/>
              </w:numPr>
              <w:shd w:val="clear" w:color="auto" w:fill="FFFFFF" w:themeFill="background1"/>
              <w:spacing w:before="60" w:afterLines="60" w:after="144"/>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1</w:t>
            </w:r>
            <w:r w:rsidR="00C311A7">
              <w:rPr>
                <w:rFonts w:asciiTheme="majorHAnsi" w:hAnsiTheme="majorHAnsi" w:cstheme="majorHAnsi"/>
                <w:color w:val="000000" w:themeColor="text1"/>
                <w:sz w:val="20"/>
                <w:szCs w:val="20"/>
              </w:rPr>
              <w:t xml:space="preserve">. </w:t>
            </w:r>
            <w:r w:rsidR="00D92F80">
              <w:rPr>
                <w:rFonts w:asciiTheme="majorHAnsi" w:hAnsiTheme="majorHAnsi" w:cstheme="majorHAnsi"/>
                <w:color w:val="000000" w:themeColor="text1"/>
                <w:sz w:val="20"/>
                <w:szCs w:val="20"/>
              </w:rPr>
              <w:t>D</w:t>
            </w:r>
            <w:r w:rsidR="00C311A7">
              <w:rPr>
                <w:rFonts w:asciiTheme="majorHAnsi" w:hAnsiTheme="majorHAnsi" w:cstheme="majorHAnsi"/>
                <w:color w:val="000000" w:themeColor="text1"/>
                <w:sz w:val="20"/>
                <w:szCs w:val="20"/>
              </w:rPr>
              <w:t xml:space="preserve">onors will maintain open communication with WSB about funding cycles, any constraints and risks or any opportunities to ensure that WSB is able to plan effectively for the future. </w:t>
            </w:r>
          </w:p>
          <w:p w14:paraId="3E3D3200" w14:textId="44787233" w:rsidR="00850B62" w:rsidRPr="0049524B" w:rsidRDefault="00850B62" w:rsidP="004973F5">
            <w:pPr>
              <w:pStyle w:val="SDAnumberedlist"/>
              <w:numPr>
                <w:ilvl w:val="0"/>
                <w:numId w:val="0"/>
              </w:numPr>
              <w:shd w:val="clear" w:color="auto" w:fill="FFFFFF" w:themeFill="background1"/>
              <w:spacing w:before="60" w:afterLines="60" w:after="144"/>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 xml:space="preserve">2. </w:t>
            </w:r>
            <w:r w:rsidR="00C1468D">
              <w:rPr>
                <w:rFonts w:asciiTheme="majorHAnsi" w:hAnsiTheme="majorHAnsi" w:cstheme="majorHAnsi"/>
                <w:color w:val="000000" w:themeColor="text1"/>
                <w:sz w:val="20"/>
                <w:szCs w:val="20"/>
              </w:rPr>
              <w:t>WSB and d</w:t>
            </w:r>
            <w:r>
              <w:rPr>
                <w:rFonts w:asciiTheme="majorHAnsi" w:hAnsiTheme="majorHAnsi" w:cstheme="majorHAnsi"/>
                <w:color w:val="000000" w:themeColor="text1"/>
                <w:sz w:val="20"/>
                <w:szCs w:val="20"/>
              </w:rPr>
              <w:t xml:space="preserve">onors (particularly in-country managers) and </w:t>
            </w:r>
            <w:r w:rsidR="00C1468D">
              <w:rPr>
                <w:rFonts w:asciiTheme="majorHAnsi" w:hAnsiTheme="majorHAnsi" w:cstheme="majorHAnsi"/>
                <w:color w:val="000000" w:themeColor="text1"/>
                <w:sz w:val="20"/>
                <w:szCs w:val="20"/>
              </w:rPr>
              <w:t>should</w:t>
            </w:r>
            <w:r>
              <w:rPr>
                <w:rFonts w:asciiTheme="majorHAnsi" w:hAnsiTheme="majorHAnsi" w:cstheme="majorHAnsi"/>
                <w:color w:val="000000" w:themeColor="text1"/>
                <w:sz w:val="20"/>
                <w:szCs w:val="20"/>
              </w:rPr>
              <w:t xml:space="preserve"> continue to engage </w:t>
            </w:r>
            <w:r w:rsidR="00C1468D">
              <w:rPr>
                <w:rFonts w:asciiTheme="majorHAnsi" w:hAnsiTheme="majorHAnsi" w:cstheme="majorHAnsi"/>
                <w:color w:val="000000" w:themeColor="text1"/>
                <w:sz w:val="20"/>
                <w:szCs w:val="20"/>
              </w:rPr>
              <w:t>seniors within donor stakeholders (</w:t>
            </w:r>
            <w:r w:rsidR="003E4995">
              <w:rPr>
                <w:rFonts w:asciiTheme="majorHAnsi" w:hAnsiTheme="majorHAnsi" w:cstheme="majorHAnsi"/>
                <w:color w:val="000000" w:themeColor="text1"/>
                <w:sz w:val="20"/>
                <w:szCs w:val="20"/>
              </w:rPr>
              <w:t>e.g.,</w:t>
            </w:r>
            <w:r w:rsidR="00C1468D">
              <w:rPr>
                <w:rFonts w:asciiTheme="majorHAnsi" w:hAnsiTheme="majorHAnsi" w:cstheme="majorHAnsi"/>
                <w:color w:val="000000" w:themeColor="text1"/>
                <w:sz w:val="20"/>
                <w:szCs w:val="20"/>
              </w:rPr>
              <w:t xml:space="preserve"> through events and visits) to maintain their</w:t>
            </w:r>
            <w:r>
              <w:rPr>
                <w:rFonts w:asciiTheme="majorHAnsi" w:hAnsiTheme="majorHAnsi" w:cstheme="majorHAnsi"/>
                <w:color w:val="000000" w:themeColor="text1"/>
                <w:sz w:val="20"/>
                <w:szCs w:val="20"/>
              </w:rPr>
              <w:t xml:space="preserve"> visibility and understanding of WSB’s wor</w:t>
            </w:r>
            <w:r w:rsidR="00C1468D">
              <w:rPr>
                <w:rFonts w:asciiTheme="majorHAnsi" w:hAnsiTheme="majorHAnsi" w:cstheme="majorHAnsi"/>
                <w:color w:val="000000" w:themeColor="text1"/>
                <w:sz w:val="20"/>
                <w:szCs w:val="20"/>
              </w:rPr>
              <w:t>k.</w:t>
            </w:r>
          </w:p>
        </w:tc>
        <w:tc>
          <w:tcPr>
            <w:tcW w:w="1094" w:type="dxa"/>
          </w:tcPr>
          <w:p w14:paraId="4CB3FB26" w14:textId="5997F8DC" w:rsidR="00D7046B" w:rsidRPr="00452680" w:rsidRDefault="009647F6" w:rsidP="00CD02FB">
            <w:pPr>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Ongoing</w:t>
            </w:r>
            <w:r w:rsidR="00184050">
              <w:rPr>
                <w:rFonts w:asciiTheme="majorHAnsi" w:hAnsiTheme="majorHAnsi" w:cstheme="majorHAnsi"/>
                <w:color w:val="000000" w:themeColor="text1"/>
                <w:sz w:val="20"/>
                <w:szCs w:val="20"/>
              </w:rPr>
              <w:t>.</w:t>
            </w:r>
          </w:p>
        </w:tc>
      </w:tr>
    </w:tbl>
    <w:p w14:paraId="3F6802C0" w14:textId="77777777" w:rsidR="00CD02FB" w:rsidRPr="00452680" w:rsidRDefault="00CD02FB">
      <w:pPr>
        <w:rPr>
          <w:rFonts w:asciiTheme="majorHAnsi" w:hAnsiTheme="majorHAnsi" w:cstheme="majorHAnsi"/>
          <w:sz w:val="20"/>
          <w:szCs w:val="20"/>
        </w:rPr>
      </w:pPr>
    </w:p>
    <w:sectPr w:rsidR="00CD02FB" w:rsidRPr="00452680" w:rsidSect="00965A6B">
      <w:pgSz w:w="16838" w:h="11906" w:orient="landscape"/>
      <w:pgMar w:top="567" w:right="1440" w:bottom="851" w:left="1440" w:header="708" w:footer="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A7D087" w14:textId="77777777" w:rsidR="008D497C" w:rsidRDefault="008D497C" w:rsidP="00A86E4A">
      <w:pPr>
        <w:spacing w:before="0" w:after="0" w:line="240" w:lineRule="auto"/>
      </w:pPr>
      <w:r>
        <w:separator/>
      </w:r>
    </w:p>
    <w:p w14:paraId="6EA08358" w14:textId="77777777" w:rsidR="00000000" w:rsidRDefault="00451694"/>
  </w:endnote>
  <w:endnote w:type="continuationSeparator" w:id="0">
    <w:p w14:paraId="0F1B05A5" w14:textId="77777777" w:rsidR="008D497C" w:rsidRDefault="008D497C" w:rsidP="00A86E4A">
      <w:pPr>
        <w:spacing w:before="0" w:after="0" w:line="240" w:lineRule="auto"/>
      </w:pPr>
      <w:r>
        <w:continuationSeparator/>
      </w:r>
    </w:p>
    <w:p w14:paraId="1DD8792F" w14:textId="77777777" w:rsidR="00000000" w:rsidRDefault="004516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GMaruGothicMPRO">
    <w:charset w:val="80"/>
    <w:family w:val="swiss"/>
    <w:pitch w:val="variable"/>
    <w:sig w:usb0="E00002FF" w:usb1="2AC7EDFE" w:usb2="00000012" w:usb3="00000000" w:csb0="0002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Light">
    <w:altName w:val="Arial Nova Light"/>
    <w:charset w:val="00"/>
    <w:family w:val="auto"/>
    <w:pitch w:val="variable"/>
    <w:sig w:usb0="A00002FF" w:usb1="5000205B" w:usb2="00000002" w:usb3="00000000" w:csb0="00000007"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4568044"/>
      <w:docPartObj>
        <w:docPartGallery w:val="Page Numbers (Bottom of Page)"/>
        <w:docPartUnique/>
      </w:docPartObj>
    </w:sdtPr>
    <w:sdtEndPr/>
    <w:sdtContent>
      <w:sdt>
        <w:sdtPr>
          <w:id w:val="1728636285"/>
          <w:docPartObj>
            <w:docPartGallery w:val="Page Numbers (Top of Page)"/>
            <w:docPartUnique/>
          </w:docPartObj>
        </w:sdtPr>
        <w:sdtEndPr/>
        <w:sdtContent>
          <w:p w14:paraId="3984BDD2" w14:textId="0D9E8FA8" w:rsidR="008D497C" w:rsidRDefault="008D497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3606878" w14:textId="77777777" w:rsidR="008D497C" w:rsidRDefault="008D49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13B447" w14:textId="77777777" w:rsidR="008D497C" w:rsidRDefault="008D497C" w:rsidP="00A86E4A">
      <w:pPr>
        <w:spacing w:before="0" w:after="0" w:line="240" w:lineRule="auto"/>
      </w:pPr>
      <w:r>
        <w:separator/>
      </w:r>
    </w:p>
    <w:p w14:paraId="20B4475D" w14:textId="77777777" w:rsidR="00000000" w:rsidRDefault="00451694"/>
  </w:footnote>
  <w:footnote w:type="continuationSeparator" w:id="0">
    <w:p w14:paraId="2C115523" w14:textId="77777777" w:rsidR="008D497C" w:rsidRDefault="008D497C" w:rsidP="00A86E4A">
      <w:pPr>
        <w:spacing w:before="0" w:after="0" w:line="240" w:lineRule="auto"/>
      </w:pPr>
      <w:r>
        <w:continuationSeparator/>
      </w:r>
    </w:p>
    <w:p w14:paraId="3D5206D1" w14:textId="77777777" w:rsidR="00000000" w:rsidRDefault="0045169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A6E5F"/>
    <w:multiLevelType w:val="hybridMultilevel"/>
    <w:tmpl w:val="850CC1E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89148F7"/>
    <w:multiLevelType w:val="hybridMultilevel"/>
    <w:tmpl w:val="5ED8DD9E"/>
    <w:lvl w:ilvl="0" w:tplc="0C09000F">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9718DC"/>
    <w:multiLevelType w:val="hybridMultilevel"/>
    <w:tmpl w:val="5ED8DD9E"/>
    <w:lvl w:ilvl="0" w:tplc="0C09000F">
      <w:start w:val="1"/>
      <w:numFmt w:val="decimal"/>
      <w:lvlText w:val="%1."/>
      <w:lvlJc w:val="left"/>
      <w:pPr>
        <w:ind w:left="72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51B4EFE"/>
    <w:multiLevelType w:val="hybridMultilevel"/>
    <w:tmpl w:val="4C4A1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2F44A7"/>
    <w:multiLevelType w:val="hybridMultilevel"/>
    <w:tmpl w:val="44EC7D82"/>
    <w:lvl w:ilvl="0" w:tplc="F7D40338">
      <w:start w:val="4"/>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6B40A7"/>
    <w:multiLevelType w:val="hybridMultilevel"/>
    <w:tmpl w:val="35F691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AB6237"/>
    <w:multiLevelType w:val="hybridMultilevel"/>
    <w:tmpl w:val="36A847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5638C0"/>
    <w:multiLevelType w:val="hybridMultilevel"/>
    <w:tmpl w:val="BA76F2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532CC3"/>
    <w:multiLevelType w:val="hybridMultilevel"/>
    <w:tmpl w:val="DA78BF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73727E4"/>
    <w:multiLevelType w:val="hybridMultilevel"/>
    <w:tmpl w:val="826AAA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81D205A"/>
    <w:multiLevelType w:val="hybridMultilevel"/>
    <w:tmpl w:val="A0A674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2856C1"/>
    <w:multiLevelType w:val="hybridMultilevel"/>
    <w:tmpl w:val="EC8681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0D80C75"/>
    <w:multiLevelType w:val="hybridMultilevel"/>
    <w:tmpl w:val="45D21C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23F5DC6"/>
    <w:multiLevelType w:val="multilevel"/>
    <w:tmpl w:val="DCB80E78"/>
    <w:lvl w:ilvl="0">
      <w:start w:val="1"/>
      <w:numFmt w:val="decimal"/>
      <w:pStyle w:val="Heading"/>
      <w:lvlText w:val="%1."/>
      <w:lvlJc w:val="left"/>
      <w:pPr>
        <w:ind w:left="360" w:hanging="360"/>
      </w:pPr>
    </w:lvl>
    <w:lvl w:ilvl="1">
      <w:start w:val="1"/>
      <w:numFmt w:val="decimal"/>
      <w:pStyle w:val="Subheading"/>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85F55C1"/>
    <w:multiLevelType w:val="hybridMultilevel"/>
    <w:tmpl w:val="18CCA512"/>
    <w:lvl w:ilvl="0" w:tplc="9140AA6A">
      <w:start w:val="1"/>
      <w:numFmt w:val="decimal"/>
      <w:lvlText w:val="%1."/>
      <w:lvlJc w:val="left"/>
      <w:pPr>
        <w:ind w:left="720" w:hanging="360"/>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B351B0F"/>
    <w:multiLevelType w:val="hybridMultilevel"/>
    <w:tmpl w:val="732493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CB066F7"/>
    <w:multiLevelType w:val="hybridMultilevel"/>
    <w:tmpl w:val="A316EF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0A69F9"/>
    <w:multiLevelType w:val="hybridMultilevel"/>
    <w:tmpl w:val="A9CC63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271BDA"/>
    <w:multiLevelType w:val="hybridMultilevel"/>
    <w:tmpl w:val="593829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792409"/>
    <w:multiLevelType w:val="hybridMultilevel"/>
    <w:tmpl w:val="3966C17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3BB22C9"/>
    <w:multiLevelType w:val="hybridMultilevel"/>
    <w:tmpl w:val="25D2450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47136DAE"/>
    <w:multiLevelType w:val="hybridMultilevel"/>
    <w:tmpl w:val="0C5A42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2C6440A"/>
    <w:multiLevelType w:val="hybridMultilevel"/>
    <w:tmpl w:val="F0080D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2F00F50"/>
    <w:multiLevelType w:val="multilevel"/>
    <w:tmpl w:val="60E0C9C6"/>
    <w:styleLink w:val="TableList"/>
    <w:lvl w:ilvl="0">
      <w:start w:val="1"/>
      <w:numFmt w:val="decimal"/>
      <w:lvlText w:val="%1)"/>
      <w:lvlJc w:val="left"/>
      <w:pPr>
        <w:ind w:left="360" w:hanging="360"/>
      </w:pPr>
      <w:rPr>
        <w:rFonts w:hint="default"/>
      </w:rPr>
    </w:lvl>
    <w:lvl w:ilvl="1">
      <w:start w:val="1"/>
      <w:numFmt w:val="lowerLetter"/>
      <w:lvlText w:val="%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8057B62"/>
    <w:multiLevelType w:val="hybridMultilevel"/>
    <w:tmpl w:val="0DBADC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E77576B"/>
    <w:multiLevelType w:val="hybridMultilevel"/>
    <w:tmpl w:val="BE4E51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5257D16"/>
    <w:multiLevelType w:val="hybridMultilevel"/>
    <w:tmpl w:val="F77A9C9C"/>
    <w:lvl w:ilvl="0" w:tplc="0C09001B">
      <w:start w:val="1"/>
      <w:numFmt w:val="lowerRoman"/>
      <w:lvlText w:val="%1."/>
      <w:lvlJc w:val="right"/>
      <w:pPr>
        <w:ind w:left="824" w:hanging="360"/>
      </w:pPr>
    </w:lvl>
    <w:lvl w:ilvl="1" w:tplc="0C090019">
      <w:start w:val="1"/>
      <w:numFmt w:val="lowerLetter"/>
      <w:lvlText w:val="%2."/>
      <w:lvlJc w:val="left"/>
      <w:pPr>
        <w:ind w:left="1544" w:hanging="360"/>
      </w:pPr>
    </w:lvl>
    <w:lvl w:ilvl="2" w:tplc="0C09001B">
      <w:start w:val="1"/>
      <w:numFmt w:val="lowerRoman"/>
      <w:lvlText w:val="%3."/>
      <w:lvlJc w:val="right"/>
      <w:pPr>
        <w:ind w:left="2264" w:hanging="180"/>
      </w:pPr>
    </w:lvl>
    <w:lvl w:ilvl="3" w:tplc="0C09000F">
      <w:start w:val="1"/>
      <w:numFmt w:val="decimal"/>
      <w:lvlText w:val="%4."/>
      <w:lvlJc w:val="left"/>
      <w:pPr>
        <w:ind w:left="2984" w:hanging="360"/>
      </w:pPr>
    </w:lvl>
    <w:lvl w:ilvl="4" w:tplc="0C090019">
      <w:start w:val="1"/>
      <w:numFmt w:val="lowerLetter"/>
      <w:lvlText w:val="%5."/>
      <w:lvlJc w:val="left"/>
      <w:pPr>
        <w:ind w:left="3704" w:hanging="360"/>
      </w:pPr>
    </w:lvl>
    <w:lvl w:ilvl="5" w:tplc="0C09001B">
      <w:start w:val="1"/>
      <w:numFmt w:val="lowerRoman"/>
      <w:lvlText w:val="%6."/>
      <w:lvlJc w:val="right"/>
      <w:pPr>
        <w:ind w:left="4424" w:hanging="180"/>
      </w:pPr>
    </w:lvl>
    <w:lvl w:ilvl="6" w:tplc="0C09000F">
      <w:start w:val="1"/>
      <w:numFmt w:val="decimal"/>
      <w:lvlText w:val="%7."/>
      <w:lvlJc w:val="left"/>
      <w:pPr>
        <w:ind w:left="5144" w:hanging="360"/>
      </w:pPr>
    </w:lvl>
    <w:lvl w:ilvl="7" w:tplc="0C090019">
      <w:start w:val="1"/>
      <w:numFmt w:val="lowerLetter"/>
      <w:lvlText w:val="%8."/>
      <w:lvlJc w:val="left"/>
      <w:pPr>
        <w:ind w:left="5864" w:hanging="360"/>
      </w:pPr>
    </w:lvl>
    <w:lvl w:ilvl="8" w:tplc="0C09001B">
      <w:start w:val="1"/>
      <w:numFmt w:val="lowerRoman"/>
      <w:lvlText w:val="%9."/>
      <w:lvlJc w:val="right"/>
      <w:pPr>
        <w:ind w:left="6584" w:hanging="180"/>
      </w:pPr>
    </w:lvl>
  </w:abstractNum>
  <w:abstractNum w:abstractNumId="27" w15:restartNumberingAfterBreak="0">
    <w:nsid w:val="686E23D7"/>
    <w:multiLevelType w:val="hybridMultilevel"/>
    <w:tmpl w:val="5C56B7E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99A17EF"/>
    <w:multiLevelType w:val="hybridMultilevel"/>
    <w:tmpl w:val="C8ECB08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9" w15:restartNumberingAfterBreak="0">
    <w:nsid w:val="6C8C1450"/>
    <w:multiLevelType w:val="hybridMultilevel"/>
    <w:tmpl w:val="79CE6536"/>
    <w:lvl w:ilvl="0" w:tplc="0C090001">
      <w:start w:val="1"/>
      <w:numFmt w:val="bullet"/>
      <w:lvlText w:val=""/>
      <w:lvlJc w:val="left"/>
      <w:pPr>
        <w:ind w:left="1490" w:hanging="360"/>
      </w:pPr>
      <w:rPr>
        <w:rFonts w:ascii="Symbol" w:hAnsi="Symbol" w:hint="default"/>
      </w:rPr>
    </w:lvl>
    <w:lvl w:ilvl="1" w:tplc="0C09001B">
      <w:start w:val="1"/>
      <w:numFmt w:val="lowerRoman"/>
      <w:lvlText w:val="%2."/>
      <w:lvlJc w:val="righ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B5F3B70"/>
    <w:multiLevelType w:val="hybridMultilevel"/>
    <w:tmpl w:val="5CEA061A"/>
    <w:lvl w:ilvl="0" w:tplc="FEDE37C2">
      <w:start w:val="1"/>
      <w:numFmt w:val="decimal"/>
      <w:lvlText w:val="%1."/>
      <w:lvlJc w:val="left"/>
      <w:pPr>
        <w:ind w:left="720" w:hanging="360"/>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C8E1D82"/>
    <w:multiLevelType w:val="hybridMultilevel"/>
    <w:tmpl w:val="5ED8DD9E"/>
    <w:lvl w:ilvl="0" w:tplc="0C09000F">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D53207C"/>
    <w:multiLevelType w:val="hybridMultilevel"/>
    <w:tmpl w:val="1AD840C6"/>
    <w:lvl w:ilvl="0" w:tplc="AF2CD8A2">
      <w:start w:val="1"/>
      <w:numFmt w:val="decimal"/>
      <w:pStyle w:val="SDAnumberedlist"/>
      <w:lvlText w:val="%1"/>
      <w:lvlJc w:val="left"/>
      <w:pPr>
        <w:ind w:left="1080" w:hanging="360"/>
      </w:pPr>
      <w:rPr>
        <w:rFonts w:hint="default"/>
        <w:b/>
        <w:color w:val="CF5D27"/>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7FD3239C"/>
    <w:multiLevelType w:val="hybridMultilevel"/>
    <w:tmpl w:val="833E5E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2"/>
  </w:num>
  <w:num w:numId="2">
    <w:abstractNumId w:val="20"/>
  </w:num>
  <w:num w:numId="3">
    <w:abstractNumId w:val="11"/>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num>
  <w:num w:numId="7">
    <w:abstractNumId w:val="28"/>
  </w:num>
  <w:num w:numId="8">
    <w:abstractNumId w:val="3"/>
  </w:num>
  <w:num w:numId="9">
    <w:abstractNumId w:val="18"/>
  </w:num>
  <w:num w:numId="10">
    <w:abstractNumId w:val="10"/>
  </w:num>
  <w:num w:numId="11">
    <w:abstractNumId w:val="12"/>
  </w:num>
  <w:num w:numId="12">
    <w:abstractNumId w:val="24"/>
  </w:num>
  <w:num w:numId="13">
    <w:abstractNumId w:val="21"/>
  </w:num>
  <w:num w:numId="14">
    <w:abstractNumId w:val="16"/>
  </w:num>
  <w:num w:numId="15">
    <w:abstractNumId w:val="33"/>
  </w:num>
  <w:num w:numId="16">
    <w:abstractNumId w:val="15"/>
  </w:num>
  <w:num w:numId="17">
    <w:abstractNumId w:val="5"/>
  </w:num>
  <w:num w:numId="18">
    <w:abstractNumId w:val="4"/>
  </w:num>
  <w:num w:numId="19">
    <w:abstractNumId w:val="6"/>
  </w:num>
  <w:num w:numId="20">
    <w:abstractNumId w:val="8"/>
  </w:num>
  <w:num w:numId="21">
    <w:abstractNumId w:val="25"/>
  </w:num>
  <w:num w:numId="22">
    <w:abstractNumId w:val="7"/>
  </w:num>
  <w:num w:numId="23">
    <w:abstractNumId w:val="17"/>
  </w:num>
  <w:num w:numId="24">
    <w:abstractNumId w:val="19"/>
  </w:num>
  <w:num w:numId="25">
    <w:abstractNumId w:val="31"/>
  </w:num>
  <w:num w:numId="26">
    <w:abstractNumId w:val="22"/>
  </w:num>
  <w:num w:numId="27">
    <w:abstractNumId w:val="9"/>
  </w:num>
  <w:num w:numId="28">
    <w:abstractNumId w:val="1"/>
  </w:num>
  <w:num w:numId="29">
    <w:abstractNumId w:val="23"/>
  </w:num>
  <w:num w:numId="30">
    <w:abstractNumId w:val="0"/>
  </w:num>
  <w:num w:numId="31">
    <w:abstractNumId w:val="27"/>
  </w:num>
  <w:num w:numId="32">
    <w:abstractNumId w:val="2"/>
  </w:num>
  <w:num w:numId="33">
    <w:abstractNumId w:val="30"/>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7F0"/>
    <w:rsid w:val="00015981"/>
    <w:rsid w:val="00017459"/>
    <w:rsid w:val="0003166A"/>
    <w:rsid w:val="00040982"/>
    <w:rsid w:val="0008456E"/>
    <w:rsid w:val="000B5261"/>
    <w:rsid w:val="000C59DE"/>
    <w:rsid w:val="000F6E36"/>
    <w:rsid w:val="00100094"/>
    <w:rsid w:val="00101D28"/>
    <w:rsid w:val="00113DF3"/>
    <w:rsid w:val="001516ED"/>
    <w:rsid w:val="00151B24"/>
    <w:rsid w:val="00152BD5"/>
    <w:rsid w:val="00170F44"/>
    <w:rsid w:val="00172BCB"/>
    <w:rsid w:val="00175899"/>
    <w:rsid w:val="00183CCE"/>
    <w:rsid w:val="00184050"/>
    <w:rsid w:val="00192358"/>
    <w:rsid w:val="001A361F"/>
    <w:rsid w:val="001C1BD7"/>
    <w:rsid w:val="001C7AC4"/>
    <w:rsid w:val="001D1AB7"/>
    <w:rsid w:val="001D3D5E"/>
    <w:rsid w:val="001D3F47"/>
    <w:rsid w:val="001E001A"/>
    <w:rsid w:val="001E45AF"/>
    <w:rsid w:val="001E5ED5"/>
    <w:rsid w:val="002264C7"/>
    <w:rsid w:val="00227124"/>
    <w:rsid w:val="00235599"/>
    <w:rsid w:val="002B0D12"/>
    <w:rsid w:val="002C6C79"/>
    <w:rsid w:val="002C7DBB"/>
    <w:rsid w:val="002E75C6"/>
    <w:rsid w:val="003014DA"/>
    <w:rsid w:val="003021D3"/>
    <w:rsid w:val="00305F4B"/>
    <w:rsid w:val="0034428D"/>
    <w:rsid w:val="0034668A"/>
    <w:rsid w:val="003518A7"/>
    <w:rsid w:val="0036421E"/>
    <w:rsid w:val="003657D2"/>
    <w:rsid w:val="00393BB8"/>
    <w:rsid w:val="003B0393"/>
    <w:rsid w:val="003B234C"/>
    <w:rsid w:val="003D393A"/>
    <w:rsid w:val="003E18B2"/>
    <w:rsid w:val="003E4995"/>
    <w:rsid w:val="003F3E0D"/>
    <w:rsid w:val="003F707F"/>
    <w:rsid w:val="00415605"/>
    <w:rsid w:val="00425988"/>
    <w:rsid w:val="00436B0D"/>
    <w:rsid w:val="004374DD"/>
    <w:rsid w:val="00451694"/>
    <w:rsid w:val="00452680"/>
    <w:rsid w:val="00471080"/>
    <w:rsid w:val="004758CD"/>
    <w:rsid w:val="00482B4C"/>
    <w:rsid w:val="00482CBA"/>
    <w:rsid w:val="00494370"/>
    <w:rsid w:val="0049524B"/>
    <w:rsid w:val="004973F5"/>
    <w:rsid w:val="00497CB1"/>
    <w:rsid w:val="004B528C"/>
    <w:rsid w:val="004B6E19"/>
    <w:rsid w:val="004D4EE3"/>
    <w:rsid w:val="004F3A7E"/>
    <w:rsid w:val="0055203F"/>
    <w:rsid w:val="00562E0B"/>
    <w:rsid w:val="00567A7D"/>
    <w:rsid w:val="005716AE"/>
    <w:rsid w:val="00574160"/>
    <w:rsid w:val="0058301F"/>
    <w:rsid w:val="005855DE"/>
    <w:rsid w:val="005911D6"/>
    <w:rsid w:val="00591224"/>
    <w:rsid w:val="005A6E94"/>
    <w:rsid w:val="005B2ED6"/>
    <w:rsid w:val="005C17D5"/>
    <w:rsid w:val="005F18D0"/>
    <w:rsid w:val="005F27D9"/>
    <w:rsid w:val="005F74E3"/>
    <w:rsid w:val="0063124D"/>
    <w:rsid w:val="00633D57"/>
    <w:rsid w:val="00640612"/>
    <w:rsid w:val="0064191A"/>
    <w:rsid w:val="006422B8"/>
    <w:rsid w:val="00642AF0"/>
    <w:rsid w:val="00646694"/>
    <w:rsid w:val="00650E52"/>
    <w:rsid w:val="00676192"/>
    <w:rsid w:val="00681747"/>
    <w:rsid w:val="006A2597"/>
    <w:rsid w:val="006C14BF"/>
    <w:rsid w:val="006C7C77"/>
    <w:rsid w:val="006E5F4F"/>
    <w:rsid w:val="006F2214"/>
    <w:rsid w:val="00702209"/>
    <w:rsid w:val="00727C8A"/>
    <w:rsid w:val="00730445"/>
    <w:rsid w:val="007359D7"/>
    <w:rsid w:val="00751B69"/>
    <w:rsid w:val="00771B8B"/>
    <w:rsid w:val="00796E90"/>
    <w:rsid w:val="007A5C18"/>
    <w:rsid w:val="007B040B"/>
    <w:rsid w:val="007B5B8F"/>
    <w:rsid w:val="007C6316"/>
    <w:rsid w:val="007E688F"/>
    <w:rsid w:val="007F0071"/>
    <w:rsid w:val="00810CB4"/>
    <w:rsid w:val="00822B0F"/>
    <w:rsid w:val="00826510"/>
    <w:rsid w:val="008501B6"/>
    <w:rsid w:val="00850B62"/>
    <w:rsid w:val="00854243"/>
    <w:rsid w:val="00892E25"/>
    <w:rsid w:val="00893EAA"/>
    <w:rsid w:val="008A4F2C"/>
    <w:rsid w:val="008D2F98"/>
    <w:rsid w:val="008D497C"/>
    <w:rsid w:val="008D5F03"/>
    <w:rsid w:val="008E1D4D"/>
    <w:rsid w:val="008E68F6"/>
    <w:rsid w:val="008F42E4"/>
    <w:rsid w:val="00900CA1"/>
    <w:rsid w:val="00902540"/>
    <w:rsid w:val="00946597"/>
    <w:rsid w:val="009647F6"/>
    <w:rsid w:val="00965A6B"/>
    <w:rsid w:val="009727B0"/>
    <w:rsid w:val="00974298"/>
    <w:rsid w:val="00980D14"/>
    <w:rsid w:val="00981E8E"/>
    <w:rsid w:val="00997C14"/>
    <w:rsid w:val="009A7D8E"/>
    <w:rsid w:val="009B6F76"/>
    <w:rsid w:val="009F5B84"/>
    <w:rsid w:val="009F6143"/>
    <w:rsid w:val="009F67A1"/>
    <w:rsid w:val="00A16257"/>
    <w:rsid w:val="00A27A33"/>
    <w:rsid w:val="00A46F30"/>
    <w:rsid w:val="00A607DD"/>
    <w:rsid w:val="00A765A1"/>
    <w:rsid w:val="00A86E4A"/>
    <w:rsid w:val="00AA0299"/>
    <w:rsid w:val="00AA6B4C"/>
    <w:rsid w:val="00AD0412"/>
    <w:rsid w:val="00AE10F7"/>
    <w:rsid w:val="00AF5638"/>
    <w:rsid w:val="00B03D68"/>
    <w:rsid w:val="00B0677E"/>
    <w:rsid w:val="00B44B51"/>
    <w:rsid w:val="00B72002"/>
    <w:rsid w:val="00B75DB8"/>
    <w:rsid w:val="00B9254E"/>
    <w:rsid w:val="00B92F68"/>
    <w:rsid w:val="00BA07F0"/>
    <w:rsid w:val="00BB0A5E"/>
    <w:rsid w:val="00BC3DC3"/>
    <w:rsid w:val="00BD5F93"/>
    <w:rsid w:val="00BD69EC"/>
    <w:rsid w:val="00BE717B"/>
    <w:rsid w:val="00C1468D"/>
    <w:rsid w:val="00C311A7"/>
    <w:rsid w:val="00C5138C"/>
    <w:rsid w:val="00C57720"/>
    <w:rsid w:val="00C81638"/>
    <w:rsid w:val="00C8523C"/>
    <w:rsid w:val="00C94EB6"/>
    <w:rsid w:val="00CC436E"/>
    <w:rsid w:val="00CD02FB"/>
    <w:rsid w:val="00CD5130"/>
    <w:rsid w:val="00CF05D3"/>
    <w:rsid w:val="00D026F5"/>
    <w:rsid w:val="00D530D8"/>
    <w:rsid w:val="00D64048"/>
    <w:rsid w:val="00D67027"/>
    <w:rsid w:val="00D7046B"/>
    <w:rsid w:val="00D76C2A"/>
    <w:rsid w:val="00D81DB7"/>
    <w:rsid w:val="00D92F80"/>
    <w:rsid w:val="00DB6B90"/>
    <w:rsid w:val="00DC4ADA"/>
    <w:rsid w:val="00DC6844"/>
    <w:rsid w:val="00DD0DE9"/>
    <w:rsid w:val="00DD3309"/>
    <w:rsid w:val="00DE6114"/>
    <w:rsid w:val="00E06E32"/>
    <w:rsid w:val="00E37BEC"/>
    <w:rsid w:val="00E40F50"/>
    <w:rsid w:val="00E414A0"/>
    <w:rsid w:val="00E46AA5"/>
    <w:rsid w:val="00E54C3D"/>
    <w:rsid w:val="00E63508"/>
    <w:rsid w:val="00E64B89"/>
    <w:rsid w:val="00E84291"/>
    <w:rsid w:val="00EA3F7E"/>
    <w:rsid w:val="00EB61D8"/>
    <w:rsid w:val="00EC3218"/>
    <w:rsid w:val="00EC7CF3"/>
    <w:rsid w:val="00ED3588"/>
    <w:rsid w:val="00ED4E83"/>
    <w:rsid w:val="00ED6B59"/>
    <w:rsid w:val="00EE6C87"/>
    <w:rsid w:val="00EF4F68"/>
    <w:rsid w:val="00EF6314"/>
    <w:rsid w:val="00F0537E"/>
    <w:rsid w:val="00F1358E"/>
    <w:rsid w:val="00F21131"/>
    <w:rsid w:val="00F41430"/>
    <w:rsid w:val="00F438DA"/>
    <w:rsid w:val="00F54307"/>
    <w:rsid w:val="00F66A85"/>
    <w:rsid w:val="00F74934"/>
    <w:rsid w:val="00F825D3"/>
    <w:rsid w:val="00F976E5"/>
    <w:rsid w:val="00FA034D"/>
    <w:rsid w:val="00FA6AE9"/>
    <w:rsid w:val="00FC1F74"/>
    <w:rsid w:val="00FC36DE"/>
    <w:rsid w:val="00FE59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4:docId w14:val="341189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7F0"/>
    <w:pPr>
      <w:suppressAutoHyphens/>
      <w:spacing w:before="120" w:after="60" w:line="260" w:lineRule="atLeast"/>
    </w:pPr>
    <w:rPr>
      <w:color w:val="44546A" w:themeColor="text2"/>
      <w:lang w:val="en-GB"/>
    </w:rPr>
  </w:style>
  <w:style w:type="paragraph" w:styleId="Heading1">
    <w:name w:val="heading 1"/>
    <w:basedOn w:val="Heading2"/>
    <w:next w:val="Normal"/>
    <w:link w:val="Heading1Char"/>
    <w:qFormat/>
    <w:rsid w:val="001D3D5E"/>
    <w:pPr>
      <w:outlineLvl w:val="0"/>
    </w:pPr>
  </w:style>
  <w:style w:type="paragraph" w:styleId="Heading2">
    <w:name w:val="heading 2"/>
    <w:basedOn w:val="Normal"/>
    <w:next w:val="Normal"/>
    <w:link w:val="Heading2Char"/>
    <w:uiPriority w:val="9"/>
    <w:unhideWhenUsed/>
    <w:qFormat/>
    <w:rsid w:val="00CF05D3"/>
    <w:pPr>
      <w:keepNext/>
      <w:keepLines/>
      <w:spacing w:before="480" w:after="120" w:line="360" w:lineRule="atLeast"/>
      <w:contextualSpacing/>
      <w:jc w:val="center"/>
      <w:outlineLvl w:val="1"/>
    </w:pPr>
    <w:rPr>
      <w:rFonts w:eastAsia="HGMaruGothicMPRO" w:cstheme="minorHAnsi"/>
      <w:b/>
      <w:color w:val="000000" w:themeColor="text1"/>
      <w:sz w:val="36"/>
      <w:szCs w:val="36"/>
      <w:lang w:val="en-AU"/>
    </w:rPr>
  </w:style>
  <w:style w:type="paragraph" w:styleId="Heading3">
    <w:name w:val="heading 3"/>
    <w:basedOn w:val="Normal"/>
    <w:next w:val="Normal"/>
    <w:link w:val="Heading3Char"/>
    <w:unhideWhenUsed/>
    <w:qFormat/>
    <w:rsid w:val="00CF05D3"/>
    <w:pPr>
      <w:outlineLvl w:val="2"/>
    </w:pPr>
    <w:rPr>
      <w:rFonts w:asciiTheme="majorHAnsi" w:hAnsiTheme="majorHAnsi" w:cstheme="majorHAnsi"/>
      <w:b/>
      <w:bCs/>
      <w:color w:val="000000" w:themeColor="text1"/>
      <w:sz w:val="24"/>
      <w:szCs w:val="24"/>
      <w:u w:val="single"/>
    </w:rPr>
  </w:style>
  <w:style w:type="paragraph" w:styleId="Heading4">
    <w:name w:val="heading 4"/>
    <w:basedOn w:val="Normal"/>
    <w:next w:val="Normal"/>
    <w:link w:val="Heading4Char"/>
    <w:uiPriority w:val="9"/>
    <w:semiHidden/>
    <w:unhideWhenUsed/>
    <w:qFormat/>
    <w:rsid w:val="000B526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3D5E"/>
    <w:rPr>
      <w:rFonts w:eastAsia="HGMaruGothicMPRO" w:cstheme="minorHAnsi"/>
      <w:b/>
      <w:color w:val="000000" w:themeColor="text1"/>
      <w:sz w:val="36"/>
      <w:szCs w:val="36"/>
    </w:rPr>
  </w:style>
  <w:style w:type="character" w:customStyle="1" w:styleId="Heading3Char">
    <w:name w:val="Heading 3 Char"/>
    <w:basedOn w:val="DefaultParagraphFont"/>
    <w:link w:val="Heading3"/>
    <w:rsid w:val="00CF05D3"/>
    <w:rPr>
      <w:rFonts w:asciiTheme="majorHAnsi" w:hAnsiTheme="majorHAnsi" w:cstheme="majorHAnsi"/>
      <w:b/>
      <w:bCs/>
      <w:color w:val="000000" w:themeColor="text1"/>
      <w:sz w:val="24"/>
      <w:szCs w:val="24"/>
      <w:u w:val="single"/>
      <w:lang w:val="en-GB"/>
    </w:rPr>
  </w:style>
  <w:style w:type="table" w:styleId="TableGrid">
    <w:name w:val="Table Grid"/>
    <w:basedOn w:val="TableNormal"/>
    <w:uiPriority w:val="39"/>
    <w:rsid w:val="00BA0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DAnumberedlist">
    <w:name w:val="SDA numbered list"/>
    <w:basedOn w:val="Normal"/>
    <w:link w:val="SDAnumberedlistChar"/>
    <w:qFormat/>
    <w:rsid w:val="00BA07F0"/>
    <w:pPr>
      <w:numPr>
        <w:numId w:val="1"/>
      </w:numPr>
      <w:suppressAutoHyphens w:val="0"/>
      <w:spacing w:after="120" w:line="240" w:lineRule="auto"/>
    </w:pPr>
    <w:rPr>
      <w:color w:val="auto"/>
    </w:rPr>
  </w:style>
  <w:style w:type="character" w:customStyle="1" w:styleId="SDAnumberedlistChar">
    <w:name w:val="SDA numbered list Char"/>
    <w:basedOn w:val="DefaultParagraphFont"/>
    <w:link w:val="SDAnumberedlist"/>
    <w:rsid w:val="00BA07F0"/>
    <w:rPr>
      <w:lang w:val="en-GB"/>
    </w:rPr>
  </w:style>
  <w:style w:type="paragraph" w:styleId="ListParagraph">
    <w:name w:val="List Paragraph"/>
    <w:basedOn w:val="Normal"/>
    <w:link w:val="ListParagraphChar"/>
    <w:uiPriority w:val="34"/>
    <w:qFormat/>
    <w:rsid w:val="00BA07F0"/>
    <w:pPr>
      <w:ind w:left="720"/>
      <w:contextualSpacing/>
    </w:pPr>
  </w:style>
  <w:style w:type="character" w:customStyle="1" w:styleId="Heading2Char">
    <w:name w:val="Heading 2 Char"/>
    <w:basedOn w:val="DefaultParagraphFont"/>
    <w:link w:val="Heading2"/>
    <w:uiPriority w:val="9"/>
    <w:rsid w:val="00CF05D3"/>
    <w:rPr>
      <w:rFonts w:eastAsia="HGMaruGothicMPRO" w:cstheme="minorHAnsi"/>
      <w:b/>
      <w:color w:val="000000" w:themeColor="text1"/>
      <w:sz w:val="36"/>
      <w:szCs w:val="36"/>
    </w:rPr>
  </w:style>
  <w:style w:type="paragraph" w:styleId="Header">
    <w:name w:val="header"/>
    <w:basedOn w:val="Normal"/>
    <w:link w:val="HeaderChar"/>
    <w:uiPriority w:val="99"/>
    <w:unhideWhenUsed/>
    <w:rsid w:val="005855DE"/>
    <w:pPr>
      <w:tabs>
        <w:tab w:val="center" w:pos="4320"/>
        <w:tab w:val="right" w:pos="8640"/>
      </w:tabs>
      <w:suppressAutoHyphens w:val="0"/>
      <w:spacing w:before="0" w:after="0" w:line="240" w:lineRule="auto"/>
    </w:pPr>
    <w:rPr>
      <w:rFonts w:ascii="Times New Roman" w:eastAsia="Times New Roman" w:hAnsi="Times New Roman" w:cs="Times New Roman"/>
      <w:color w:val="auto"/>
      <w:sz w:val="20"/>
      <w:szCs w:val="20"/>
      <w:lang w:val="en-US"/>
    </w:rPr>
  </w:style>
  <w:style w:type="character" w:customStyle="1" w:styleId="HeaderChar">
    <w:name w:val="Header Char"/>
    <w:basedOn w:val="DefaultParagraphFont"/>
    <w:link w:val="Header"/>
    <w:uiPriority w:val="99"/>
    <w:rsid w:val="005855DE"/>
    <w:rPr>
      <w:rFonts w:ascii="Times New Roman" w:eastAsia="Times New Roman" w:hAnsi="Times New Roman" w:cs="Times New Roman"/>
      <w:sz w:val="20"/>
      <w:szCs w:val="20"/>
      <w:lang w:val="en-US"/>
    </w:rPr>
  </w:style>
  <w:style w:type="paragraph" w:customStyle="1" w:styleId="Heading">
    <w:name w:val="Heading"/>
    <w:basedOn w:val="ListParagraph"/>
    <w:qFormat/>
    <w:rsid w:val="005855DE"/>
    <w:pPr>
      <w:numPr>
        <w:numId w:val="4"/>
      </w:numPr>
      <w:tabs>
        <w:tab w:val="num" w:pos="360"/>
      </w:tabs>
      <w:suppressAutoHyphens w:val="0"/>
      <w:spacing w:before="0" w:after="160" w:line="256" w:lineRule="auto"/>
      <w:ind w:left="720" w:firstLine="0"/>
      <w:jc w:val="both"/>
    </w:pPr>
    <w:rPr>
      <w:b/>
      <w:color w:val="5B9BD5" w:themeColor="accent5"/>
      <w:sz w:val="28"/>
      <w:szCs w:val="28"/>
      <w:lang w:val="en-AU"/>
    </w:rPr>
  </w:style>
  <w:style w:type="character" w:customStyle="1" w:styleId="SubheadingChar">
    <w:name w:val="Subheading Char"/>
    <w:basedOn w:val="DefaultParagraphFont"/>
    <w:link w:val="Subheading"/>
    <w:locked/>
    <w:rsid w:val="005855DE"/>
    <w:rPr>
      <w:b/>
      <w:color w:val="5B9BD5" w:themeColor="accent5"/>
      <w:sz w:val="24"/>
      <w:szCs w:val="24"/>
    </w:rPr>
  </w:style>
  <w:style w:type="paragraph" w:customStyle="1" w:styleId="Subheading">
    <w:name w:val="Subheading"/>
    <w:basedOn w:val="ListParagraph"/>
    <w:link w:val="SubheadingChar"/>
    <w:qFormat/>
    <w:rsid w:val="005855DE"/>
    <w:pPr>
      <w:numPr>
        <w:ilvl w:val="1"/>
        <w:numId w:val="4"/>
      </w:numPr>
      <w:suppressAutoHyphens w:val="0"/>
      <w:spacing w:before="0" w:after="160" w:line="256" w:lineRule="auto"/>
      <w:jc w:val="both"/>
    </w:pPr>
    <w:rPr>
      <w:b/>
      <w:color w:val="5B9BD5" w:themeColor="accent5"/>
      <w:sz w:val="24"/>
      <w:szCs w:val="24"/>
      <w:lang w:val="en-AU"/>
    </w:rPr>
  </w:style>
  <w:style w:type="character" w:styleId="FootnoteReference">
    <w:name w:val="footnote reference"/>
    <w:aliases w:val="ftref,(NECG) Footnote Reference,Ref,de nota al pie,FnR-ANZDEC,Fußnotenzeichen DISS,fr,16 Point,Superscript 6 Point,Footnote Ref in FtNote,SUPERS,BVI fnr,Normal + Font:9 Point,Superscript 3 Point Times,Footnote Reference1, BVI fnr"/>
    <w:basedOn w:val="DefaultParagraphFont"/>
    <w:link w:val="zzFootnotre"/>
    <w:uiPriority w:val="99"/>
    <w:qFormat/>
    <w:rsid w:val="005855DE"/>
    <w:rPr>
      <w:rFonts w:cs="Times New Roman"/>
      <w:vertAlign w:val="superscript"/>
    </w:rPr>
  </w:style>
  <w:style w:type="paragraph" w:styleId="FootnoteText">
    <w:name w:val="footnote text"/>
    <w:aliases w:val="Footnote Text Char Char Char,Footnote Text Char Char,ft,single space,FOOTNOTES,fn,ft Char Char Char,ADB,(NECG) Footnote Text,Char Char Char,Char Char Char Char,Char Char,Footnote Text Char2,Footnote Text Char1 Char Char,f"/>
    <w:basedOn w:val="Normal"/>
    <w:link w:val="FootnoteTextChar"/>
    <w:uiPriority w:val="99"/>
    <w:semiHidden/>
    <w:unhideWhenUsed/>
    <w:qFormat/>
    <w:rsid w:val="005855DE"/>
    <w:pPr>
      <w:suppressAutoHyphens w:val="0"/>
      <w:spacing w:before="0" w:after="0" w:line="240" w:lineRule="auto"/>
    </w:pPr>
    <w:rPr>
      <w:rFonts w:eastAsiaTheme="minorEastAsia"/>
      <w:color w:val="auto"/>
      <w:sz w:val="20"/>
      <w:szCs w:val="20"/>
      <w:lang w:val="en-AU"/>
    </w:rPr>
  </w:style>
  <w:style w:type="character" w:customStyle="1" w:styleId="FootnoteTextChar">
    <w:name w:val="Footnote Text Char"/>
    <w:aliases w:val="Footnote Text Char Char Char Char,Footnote Text Char Char Char1,ft Char,single space Char,FOOTNOTES Char,fn Char,ft Char Char Char Char,ADB Char,(NECG) Footnote Text Char,Char Char Char Char1,Char Char Char Char Char,Char Char Char1"/>
    <w:basedOn w:val="DefaultParagraphFont"/>
    <w:link w:val="FootnoteText"/>
    <w:uiPriority w:val="99"/>
    <w:semiHidden/>
    <w:rsid w:val="005855DE"/>
    <w:rPr>
      <w:rFonts w:eastAsiaTheme="minorEastAsia"/>
      <w:sz w:val="20"/>
      <w:szCs w:val="20"/>
    </w:rPr>
  </w:style>
  <w:style w:type="character" w:customStyle="1" w:styleId="ListParagraphChar">
    <w:name w:val="List Paragraph Char"/>
    <w:basedOn w:val="DefaultParagraphFont"/>
    <w:link w:val="ListParagraph"/>
    <w:uiPriority w:val="34"/>
    <w:locked/>
    <w:rsid w:val="005855DE"/>
    <w:rPr>
      <w:color w:val="44546A" w:themeColor="text2"/>
      <w:lang w:val="en-GB"/>
    </w:rPr>
  </w:style>
  <w:style w:type="paragraph" w:customStyle="1" w:styleId="zzFootnotre">
    <w:name w:val="zz Footnot re"/>
    <w:basedOn w:val="Normal"/>
    <w:link w:val="FootnoteReference"/>
    <w:uiPriority w:val="99"/>
    <w:rsid w:val="00CD5130"/>
    <w:pPr>
      <w:suppressAutoHyphens w:val="0"/>
      <w:spacing w:after="160" w:line="240" w:lineRule="exact"/>
      <w:ind w:left="432"/>
    </w:pPr>
    <w:rPr>
      <w:rFonts w:cs="Times New Roman"/>
      <w:color w:val="auto"/>
      <w:vertAlign w:val="superscript"/>
      <w:lang w:val="en-AU"/>
    </w:rPr>
  </w:style>
  <w:style w:type="paragraph" w:styleId="BodyText">
    <w:name w:val="Body Text"/>
    <w:basedOn w:val="Normal"/>
    <w:link w:val="BodyTextChar"/>
    <w:uiPriority w:val="99"/>
    <w:qFormat/>
    <w:rsid w:val="00D7046B"/>
    <w:pPr>
      <w:suppressAutoHyphens w:val="0"/>
      <w:spacing w:before="80" w:after="80" w:line="264" w:lineRule="auto"/>
      <w:ind w:left="714" w:hanging="357"/>
      <w:jc w:val="both"/>
    </w:pPr>
    <w:rPr>
      <w:rFonts w:ascii="Arial" w:eastAsia="Arial" w:hAnsi="Arial" w:cs="Times New Roman"/>
      <w:color w:val="auto"/>
      <w:sz w:val="19"/>
      <w:szCs w:val="19"/>
    </w:rPr>
  </w:style>
  <w:style w:type="character" w:customStyle="1" w:styleId="BodyTextChar">
    <w:name w:val="Body Text Char"/>
    <w:basedOn w:val="DefaultParagraphFont"/>
    <w:link w:val="BodyText"/>
    <w:uiPriority w:val="99"/>
    <w:rsid w:val="00D7046B"/>
    <w:rPr>
      <w:rFonts w:ascii="Arial" w:eastAsia="Arial" w:hAnsi="Arial" w:cs="Times New Roman"/>
      <w:sz w:val="19"/>
      <w:szCs w:val="19"/>
      <w:lang w:val="en-GB"/>
    </w:rPr>
  </w:style>
  <w:style w:type="character" w:styleId="CommentReference">
    <w:name w:val="annotation reference"/>
    <w:basedOn w:val="DefaultParagraphFont"/>
    <w:uiPriority w:val="99"/>
    <w:semiHidden/>
    <w:unhideWhenUsed/>
    <w:rsid w:val="001D1AB7"/>
    <w:rPr>
      <w:sz w:val="16"/>
      <w:szCs w:val="16"/>
    </w:rPr>
  </w:style>
  <w:style w:type="paragraph" w:styleId="CommentText">
    <w:name w:val="annotation text"/>
    <w:basedOn w:val="Normal"/>
    <w:link w:val="CommentTextChar"/>
    <w:uiPriority w:val="99"/>
    <w:semiHidden/>
    <w:unhideWhenUsed/>
    <w:rsid w:val="001D1AB7"/>
    <w:pPr>
      <w:spacing w:line="240" w:lineRule="auto"/>
    </w:pPr>
    <w:rPr>
      <w:sz w:val="20"/>
      <w:szCs w:val="20"/>
    </w:rPr>
  </w:style>
  <w:style w:type="character" w:customStyle="1" w:styleId="CommentTextChar">
    <w:name w:val="Comment Text Char"/>
    <w:basedOn w:val="DefaultParagraphFont"/>
    <w:link w:val="CommentText"/>
    <w:uiPriority w:val="99"/>
    <w:semiHidden/>
    <w:rsid w:val="001D1AB7"/>
    <w:rPr>
      <w:color w:val="44546A" w:themeColor="text2"/>
      <w:sz w:val="20"/>
      <w:szCs w:val="20"/>
      <w:lang w:val="en-GB"/>
    </w:rPr>
  </w:style>
  <w:style w:type="paragraph" w:styleId="CommentSubject">
    <w:name w:val="annotation subject"/>
    <w:basedOn w:val="CommentText"/>
    <w:next w:val="CommentText"/>
    <w:link w:val="CommentSubjectChar"/>
    <w:uiPriority w:val="99"/>
    <w:semiHidden/>
    <w:unhideWhenUsed/>
    <w:rsid w:val="001D1AB7"/>
    <w:rPr>
      <w:b/>
      <w:bCs/>
    </w:rPr>
  </w:style>
  <w:style w:type="character" w:customStyle="1" w:styleId="CommentSubjectChar">
    <w:name w:val="Comment Subject Char"/>
    <w:basedOn w:val="CommentTextChar"/>
    <w:link w:val="CommentSubject"/>
    <w:uiPriority w:val="99"/>
    <w:semiHidden/>
    <w:rsid w:val="001D1AB7"/>
    <w:rPr>
      <w:b/>
      <w:bCs/>
      <w:color w:val="44546A" w:themeColor="text2"/>
      <w:sz w:val="20"/>
      <w:szCs w:val="20"/>
      <w:lang w:val="en-GB"/>
    </w:rPr>
  </w:style>
  <w:style w:type="paragraph" w:customStyle="1" w:styleId="Default">
    <w:name w:val="Default"/>
    <w:rsid w:val="00E37BEC"/>
    <w:pPr>
      <w:autoSpaceDE w:val="0"/>
      <w:autoSpaceDN w:val="0"/>
      <w:adjustRightInd w:val="0"/>
      <w:spacing w:after="0" w:line="240" w:lineRule="auto"/>
    </w:pPr>
    <w:rPr>
      <w:rFonts w:ascii="Calibri" w:hAnsi="Calibri" w:cs="Calibri"/>
      <w:color w:val="000000"/>
      <w:sz w:val="24"/>
      <w:szCs w:val="24"/>
    </w:rPr>
  </w:style>
  <w:style w:type="paragraph" w:styleId="Footer">
    <w:name w:val="footer"/>
    <w:basedOn w:val="Normal"/>
    <w:link w:val="FooterChar"/>
    <w:uiPriority w:val="99"/>
    <w:unhideWhenUsed/>
    <w:rsid w:val="00965A6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965A6B"/>
    <w:rPr>
      <w:color w:val="44546A" w:themeColor="text2"/>
      <w:lang w:val="en-GB"/>
    </w:rPr>
  </w:style>
  <w:style w:type="paragraph" w:customStyle="1" w:styleId="Body">
    <w:name w:val="Body"/>
    <w:rsid w:val="00172BCB"/>
    <w:pPr>
      <w:pBdr>
        <w:top w:val="nil"/>
        <w:left w:val="nil"/>
        <w:bottom w:val="nil"/>
        <w:right w:val="nil"/>
        <w:between w:val="nil"/>
        <w:bar w:val="nil"/>
      </w:pBdr>
      <w:suppressAutoHyphens/>
      <w:spacing w:after="180" w:line="312" w:lineRule="auto"/>
    </w:pPr>
    <w:rPr>
      <w:rFonts w:ascii="Helvetica Neue Light" w:eastAsia="Arial Unicode MS" w:hAnsi="Helvetica Neue Light" w:cs="Arial Unicode MS"/>
      <w:color w:val="000000"/>
      <w:sz w:val="18"/>
      <w:szCs w:val="18"/>
      <w:bdr w:val="nil"/>
      <w:lang w:val="da-DK"/>
      <w14:textOutline w14:w="0" w14:cap="flat" w14:cmpd="sng" w14:algn="ctr">
        <w14:noFill/>
        <w14:prstDash w14:val="solid"/>
        <w14:bevel/>
      </w14:textOutline>
    </w:rPr>
  </w:style>
  <w:style w:type="character" w:customStyle="1" w:styleId="Heading4Char">
    <w:name w:val="Heading 4 Char"/>
    <w:basedOn w:val="DefaultParagraphFont"/>
    <w:link w:val="Heading4"/>
    <w:uiPriority w:val="9"/>
    <w:rsid w:val="000B5261"/>
    <w:rPr>
      <w:rFonts w:asciiTheme="majorHAnsi" w:eastAsiaTheme="majorEastAsia" w:hAnsiTheme="majorHAnsi" w:cstheme="majorBidi"/>
      <w:i/>
      <w:iCs/>
      <w:color w:val="2F5496" w:themeColor="accent1" w:themeShade="BF"/>
      <w:lang w:val="en-GB"/>
    </w:rPr>
  </w:style>
  <w:style w:type="numbering" w:customStyle="1" w:styleId="TableList">
    <w:name w:val="Table List"/>
    <w:uiPriority w:val="99"/>
    <w:rsid w:val="000B5261"/>
    <w:pPr>
      <w:numPr>
        <w:numId w:val="29"/>
      </w:numPr>
    </w:pPr>
  </w:style>
  <w:style w:type="paragraph" w:styleId="BalloonText">
    <w:name w:val="Balloon Text"/>
    <w:basedOn w:val="Normal"/>
    <w:link w:val="BalloonTextChar"/>
    <w:uiPriority w:val="99"/>
    <w:semiHidden/>
    <w:unhideWhenUsed/>
    <w:rsid w:val="005C17D5"/>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17D5"/>
    <w:rPr>
      <w:rFonts w:ascii="Segoe UI" w:hAnsi="Segoe UI" w:cs="Segoe UI"/>
      <w:color w:val="44546A" w:themeColor="text2"/>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427142">
      <w:bodyDiv w:val="1"/>
      <w:marLeft w:val="0"/>
      <w:marRight w:val="0"/>
      <w:marTop w:val="0"/>
      <w:marBottom w:val="0"/>
      <w:divBdr>
        <w:top w:val="none" w:sz="0" w:space="0" w:color="auto"/>
        <w:left w:val="none" w:sz="0" w:space="0" w:color="auto"/>
        <w:bottom w:val="none" w:sz="0" w:space="0" w:color="auto"/>
        <w:right w:val="none" w:sz="0" w:space="0" w:color="auto"/>
      </w:divBdr>
    </w:div>
    <w:div w:id="316034625">
      <w:bodyDiv w:val="1"/>
      <w:marLeft w:val="0"/>
      <w:marRight w:val="0"/>
      <w:marTop w:val="0"/>
      <w:marBottom w:val="0"/>
      <w:divBdr>
        <w:top w:val="none" w:sz="0" w:space="0" w:color="auto"/>
        <w:left w:val="none" w:sz="0" w:space="0" w:color="auto"/>
        <w:bottom w:val="none" w:sz="0" w:space="0" w:color="auto"/>
        <w:right w:val="none" w:sz="0" w:space="0" w:color="auto"/>
      </w:divBdr>
    </w:div>
    <w:div w:id="372969821">
      <w:bodyDiv w:val="1"/>
      <w:marLeft w:val="0"/>
      <w:marRight w:val="0"/>
      <w:marTop w:val="0"/>
      <w:marBottom w:val="0"/>
      <w:divBdr>
        <w:top w:val="none" w:sz="0" w:space="0" w:color="auto"/>
        <w:left w:val="none" w:sz="0" w:space="0" w:color="auto"/>
        <w:bottom w:val="none" w:sz="0" w:space="0" w:color="auto"/>
        <w:right w:val="none" w:sz="0" w:space="0" w:color="auto"/>
      </w:divBdr>
    </w:div>
    <w:div w:id="649090881">
      <w:bodyDiv w:val="1"/>
      <w:marLeft w:val="0"/>
      <w:marRight w:val="0"/>
      <w:marTop w:val="0"/>
      <w:marBottom w:val="0"/>
      <w:divBdr>
        <w:top w:val="none" w:sz="0" w:space="0" w:color="auto"/>
        <w:left w:val="none" w:sz="0" w:space="0" w:color="auto"/>
        <w:bottom w:val="none" w:sz="0" w:space="0" w:color="auto"/>
        <w:right w:val="none" w:sz="0" w:space="0" w:color="auto"/>
      </w:divBdr>
    </w:div>
    <w:div w:id="1292832436">
      <w:bodyDiv w:val="1"/>
      <w:marLeft w:val="0"/>
      <w:marRight w:val="0"/>
      <w:marTop w:val="0"/>
      <w:marBottom w:val="0"/>
      <w:divBdr>
        <w:top w:val="none" w:sz="0" w:space="0" w:color="auto"/>
        <w:left w:val="none" w:sz="0" w:space="0" w:color="auto"/>
        <w:bottom w:val="none" w:sz="0" w:space="0" w:color="auto"/>
        <w:right w:val="none" w:sz="0" w:space="0" w:color="auto"/>
      </w:divBdr>
    </w:div>
    <w:div w:id="206756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D0B6B-C1D9-4704-90AE-6B3603BBE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1380</Words>
  <Characters>7677</Characters>
  <Application>Microsoft Office Word</Application>
  <DocSecurity>0</DocSecurity>
  <Lines>239</Lines>
  <Paragraphs>90</Paragraphs>
  <ScaleCrop>false</ScaleCrop>
  <Company/>
  <LinksUpToDate>false</LinksUpToDate>
  <CharactersWithSpaces>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2022-01-25T03:28:00Z</dcterms:created>
  <dcterms:modified xsi:type="dcterms:W3CDTF">2022-01-25T03:28:00Z</dcterms:modified>
  <cp:category/>
</cp:coreProperties>
</file>