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D6A41" w14:textId="64FB53A5" w:rsidR="008774B0" w:rsidRPr="00D322DB" w:rsidRDefault="008774B0" w:rsidP="00C252E0">
      <w:pPr>
        <w:pStyle w:val="Heading1"/>
        <w:spacing w:after="120" w:line="240" w:lineRule="auto"/>
        <w:contextualSpacing w:val="0"/>
      </w:pPr>
      <w:bookmarkStart w:id="0" w:name="_Toc414445534"/>
      <w:bookmarkStart w:id="1" w:name="_Toc401147273"/>
      <w:bookmarkStart w:id="2" w:name="_GoBack"/>
      <w:bookmarkEnd w:id="2"/>
      <w:r w:rsidRPr="00D322DB">
        <w:t>Investment Design Summary</w:t>
      </w:r>
      <w:bookmarkEnd w:id="0"/>
      <w:bookmarkEnd w:id="1"/>
    </w:p>
    <w:tbl>
      <w:tblPr>
        <w:tblW w:w="992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923"/>
      </w:tblGrid>
      <w:tr w:rsidR="008774B0" w:rsidRPr="00E259DD" w14:paraId="54DFB8A9" w14:textId="77777777" w:rsidTr="003B0E24">
        <w:trPr>
          <w:cantSplit/>
          <w:trHeight w:val="289"/>
        </w:trPr>
        <w:tc>
          <w:tcPr>
            <w:tcW w:w="9923"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hideMark/>
          </w:tcPr>
          <w:p w14:paraId="6C31FDBA" w14:textId="302D9203" w:rsidR="008774B0" w:rsidRPr="00E259DD" w:rsidRDefault="008774B0" w:rsidP="001B3ED6">
            <w:pPr>
              <w:pStyle w:val="BodyText"/>
              <w:spacing w:after="120" w:line="240" w:lineRule="auto"/>
              <w:rPr>
                <w:rFonts w:asciiTheme="majorHAnsi" w:hAnsiTheme="majorHAnsi"/>
                <w:b/>
                <w:i/>
              </w:rPr>
            </w:pPr>
            <w:r w:rsidRPr="00E259DD">
              <w:rPr>
                <w:rFonts w:asciiTheme="majorHAnsi" w:hAnsiTheme="majorHAnsi"/>
                <w:b/>
              </w:rPr>
              <w:t xml:space="preserve">A:  Investment Design Summary Title: </w:t>
            </w:r>
            <w:r w:rsidR="00E259DD" w:rsidRPr="00E259DD">
              <w:rPr>
                <w:rFonts w:asciiTheme="majorHAnsi" w:hAnsiTheme="majorHAnsi"/>
              </w:rPr>
              <w:t>WAN SMOLBAG THEATRE</w:t>
            </w:r>
          </w:p>
        </w:tc>
      </w:tr>
      <w:tr w:rsidR="008774B0" w:rsidRPr="00E259DD" w14:paraId="3D5A6FD8" w14:textId="77777777" w:rsidTr="003B0E24">
        <w:trPr>
          <w:cantSplit/>
          <w:trHeight w:val="360"/>
        </w:trPr>
        <w:tc>
          <w:tcPr>
            <w:tcW w:w="9923"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14:paraId="25BC2169" w14:textId="77777777" w:rsidR="008774B0" w:rsidRPr="00E259DD" w:rsidRDefault="008774B0" w:rsidP="00482801">
            <w:pPr>
              <w:pStyle w:val="BodyText"/>
              <w:spacing w:before="60" w:line="240" w:lineRule="auto"/>
              <w:rPr>
                <w:rFonts w:asciiTheme="majorHAnsi" w:hAnsiTheme="majorHAnsi"/>
                <w:b/>
              </w:rPr>
            </w:pPr>
            <w:r w:rsidRPr="00E259DD">
              <w:rPr>
                <w:rFonts w:asciiTheme="majorHAnsi" w:hAnsiTheme="majorHAnsi"/>
                <w:b/>
              </w:rPr>
              <w:t>Proposed Implementing Partner/s:</w:t>
            </w:r>
            <w:r w:rsidR="006A2EF5" w:rsidRPr="00E259DD">
              <w:rPr>
                <w:rFonts w:asciiTheme="majorHAnsi" w:hAnsiTheme="majorHAnsi"/>
                <w:b/>
              </w:rPr>
              <w:t xml:space="preserve"> </w:t>
            </w:r>
            <w:r w:rsidR="006A2EF5" w:rsidRPr="00E259DD">
              <w:rPr>
                <w:rFonts w:asciiTheme="majorHAnsi" w:hAnsiTheme="majorHAnsi"/>
              </w:rPr>
              <w:t xml:space="preserve">Wan Smolbag Theatre </w:t>
            </w:r>
          </w:p>
        </w:tc>
      </w:tr>
      <w:tr w:rsidR="00D9769C" w:rsidRPr="00E259DD" w14:paraId="36AC0B6D" w14:textId="77777777" w:rsidTr="003B0E24">
        <w:trPr>
          <w:cantSplit/>
          <w:trHeight w:val="360"/>
        </w:trPr>
        <w:tc>
          <w:tcPr>
            <w:tcW w:w="9923"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6F7A0202" w14:textId="13C99B97" w:rsidR="006A2EF5" w:rsidRPr="00E259DD" w:rsidRDefault="00D9769C" w:rsidP="005F557D">
            <w:pPr>
              <w:pStyle w:val="BodyText"/>
              <w:spacing w:before="60" w:line="240" w:lineRule="auto"/>
              <w:rPr>
                <w:rFonts w:asciiTheme="majorHAnsi" w:hAnsiTheme="majorHAnsi"/>
                <w:b/>
              </w:rPr>
            </w:pPr>
            <w:r w:rsidRPr="00E259DD">
              <w:rPr>
                <w:rFonts w:asciiTheme="majorHAnsi" w:hAnsiTheme="majorHAnsi"/>
                <w:b/>
              </w:rPr>
              <w:t>Start date:</w:t>
            </w:r>
            <w:r w:rsidR="006A2EF5" w:rsidRPr="00E259DD">
              <w:rPr>
                <w:rFonts w:asciiTheme="majorHAnsi" w:hAnsiTheme="majorHAnsi"/>
                <w:b/>
              </w:rPr>
              <w:t xml:space="preserve"> </w:t>
            </w:r>
            <w:r w:rsidR="006A2EF5" w:rsidRPr="00E259DD">
              <w:rPr>
                <w:rFonts w:asciiTheme="majorHAnsi" w:hAnsiTheme="majorHAnsi"/>
              </w:rPr>
              <w:t>1 January 2018</w:t>
            </w:r>
            <w:r w:rsidRPr="00E259DD">
              <w:rPr>
                <w:rFonts w:asciiTheme="majorHAnsi" w:hAnsiTheme="majorHAnsi"/>
                <w:b/>
              </w:rPr>
              <w:tab/>
            </w:r>
            <w:r w:rsidR="00C5605A">
              <w:rPr>
                <w:rFonts w:asciiTheme="majorHAnsi" w:hAnsiTheme="majorHAnsi"/>
                <w:b/>
              </w:rPr>
              <w:t xml:space="preserve">  </w:t>
            </w:r>
            <w:r w:rsidRPr="00E259DD">
              <w:rPr>
                <w:rFonts w:asciiTheme="majorHAnsi" w:hAnsiTheme="majorHAnsi"/>
                <w:b/>
              </w:rPr>
              <w:t>End Date:</w:t>
            </w:r>
            <w:r w:rsidR="006A2EF5" w:rsidRPr="00E259DD">
              <w:rPr>
                <w:rFonts w:asciiTheme="majorHAnsi" w:hAnsiTheme="majorHAnsi"/>
                <w:b/>
              </w:rPr>
              <w:t xml:space="preserve"> </w:t>
            </w:r>
            <w:r w:rsidR="006A2EF5" w:rsidRPr="00E259DD">
              <w:rPr>
                <w:rFonts w:asciiTheme="majorHAnsi" w:hAnsiTheme="majorHAnsi"/>
              </w:rPr>
              <w:t xml:space="preserve">31 </w:t>
            </w:r>
            <w:r w:rsidR="005F557D">
              <w:rPr>
                <w:rFonts w:asciiTheme="majorHAnsi" w:hAnsiTheme="majorHAnsi"/>
              </w:rPr>
              <w:t>March 2021</w:t>
            </w:r>
            <w:r w:rsidR="00C5605A">
              <w:rPr>
                <w:rFonts w:asciiTheme="majorHAnsi" w:hAnsiTheme="majorHAnsi"/>
              </w:rPr>
              <w:t xml:space="preserve">                </w:t>
            </w:r>
            <w:r w:rsidR="006A2EF5" w:rsidRPr="00E259DD">
              <w:rPr>
                <w:rFonts w:asciiTheme="majorHAnsi" w:hAnsiTheme="majorHAnsi"/>
                <w:b/>
              </w:rPr>
              <w:t xml:space="preserve">Option period: </w:t>
            </w:r>
            <w:r w:rsidR="006A2EF5" w:rsidRPr="00E259DD">
              <w:rPr>
                <w:rFonts w:asciiTheme="majorHAnsi" w:hAnsiTheme="majorHAnsi"/>
              </w:rPr>
              <w:t>2021-23 and 2024-26</w:t>
            </w:r>
          </w:p>
        </w:tc>
      </w:tr>
      <w:tr w:rsidR="00D9769C" w:rsidRPr="00E259DD" w14:paraId="6E19650D" w14:textId="77777777" w:rsidTr="003B0E24">
        <w:trPr>
          <w:cantSplit/>
          <w:trHeight w:val="360"/>
        </w:trPr>
        <w:tc>
          <w:tcPr>
            <w:tcW w:w="9923"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6CA0BE3E" w14:textId="61785AE6" w:rsidR="00316424" w:rsidRDefault="00D9769C" w:rsidP="00316424">
            <w:pPr>
              <w:pStyle w:val="BodyText"/>
              <w:spacing w:before="60" w:line="240" w:lineRule="auto"/>
              <w:rPr>
                <w:rFonts w:asciiTheme="majorHAnsi" w:hAnsiTheme="majorHAnsi"/>
                <w:b/>
              </w:rPr>
            </w:pPr>
            <w:r w:rsidRPr="00E259DD">
              <w:rPr>
                <w:rFonts w:asciiTheme="majorHAnsi" w:hAnsiTheme="majorHAnsi"/>
                <w:b/>
              </w:rPr>
              <w:t xml:space="preserve">Total proposed DFAT funding allocation: </w:t>
            </w:r>
            <w:r w:rsidRPr="007850DD">
              <w:rPr>
                <w:rFonts w:asciiTheme="majorHAnsi" w:hAnsiTheme="majorHAnsi"/>
              </w:rPr>
              <w:t>$</w:t>
            </w:r>
            <w:r w:rsidR="009A2B60" w:rsidRPr="007850DD">
              <w:rPr>
                <w:rFonts w:asciiTheme="majorHAnsi" w:hAnsiTheme="majorHAnsi"/>
              </w:rPr>
              <w:t>4.</w:t>
            </w:r>
            <w:r w:rsidR="00A50E3F" w:rsidRPr="007850DD">
              <w:rPr>
                <w:rFonts w:asciiTheme="majorHAnsi" w:hAnsiTheme="majorHAnsi"/>
              </w:rPr>
              <w:t>3</w:t>
            </w:r>
            <w:r w:rsidR="006A2EF5" w:rsidRPr="007850DD">
              <w:rPr>
                <w:rFonts w:asciiTheme="majorHAnsi" w:hAnsiTheme="majorHAnsi"/>
              </w:rPr>
              <w:t xml:space="preserve"> </w:t>
            </w:r>
            <w:r w:rsidR="00316424" w:rsidRPr="007850DD">
              <w:rPr>
                <w:rFonts w:asciiTheme="majorHAnsi" w:hAnsiTheme="majorHAnsi"/>
              </w:rPr>
              <w:t>million</w:t>
            </w:r>
          </w:p>
          <w:p w14:paraId="013F2274" w14:textId="614410A8" w:rsidR="00D9769C" w:rsidRPr="00E259DD" w:rsidRDefault="00D9769C">
            <w:pPr>
              <w:pStyle w:val="BodyText"/>
              <w:spacing w:before="60" w:line="240" w:lineRule="auto"/>
              <w:rPr>
                <w:rFonts w:asciiTheme="majorHAnsi" w:hAnsiTheme="majorHAnsi"/>
                <w:b/>
              </w:rPr>
            </w:pPr>
            <w:r w:rsidRPr="00E259DD">
              <w:rPr>
                <w:rFonts w:asciiTheme="majorHAnsi" w:hAnsiTheme="majorHAnsi"/>
                <w:b/>
              </w:rPr>
              <w:t xml:space="preserve">Total funding from all donors: </w:t>
            </w:r>
            <w:r w:rsidR="00316424">
              <w:rPr>
                <w:rFonts w:asciiTheme="majorHAnsi" w:hAnsiTheme="majorHAnsi"/>
              </w:rPr>
              <w:t>(NZ and Oxfam figures only available for 2017-2019) A$5.8 million</w:t>
            </w:r>
          </w:p>
        </w:tc>
      </w:tr>
      <w:tr w:rsidR="00D9769C" w:rsidRPr="00E259DD" w14:paraId="2F4E8EF6" w14:textId="77777777" w:rsidTr="003B0E24">
        <w:trPr>
          <w:cantSplit/>
          <w:trHeight w:val="360"/>
        </w:trPr>
        <w:tc>
          <w:tcPr>
            <w:tcW w:w="9923"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5F46844E" w14:textId="706BEB3A" w:rsidR="00D9769C" w:rsidRPr="00E259DD" w:rsidRDefault="00D9769C">
            <w:pPr>
              <w:pStyle w:val="BodyText"/>
              <w:spacing w:before="60" w:line="240" w:lineRule="auto"/>
              <w:rPr>
                <w:rFonts w:asciiTheme="majorHAnsi" w:hAnsiTheme="majorHAnsi"/>
                <w:b/>
              </w:rPr>
            </w:pPr>
            <w:r w:rsidRPr="00E259DD">
              <w:rPr>
                <w:rFonts w:asciiTheme="majorHAnsi" w:hAnsiTheme="majorHAnsi"/>
                <w:b/>
              </w:rPr>
              <w:t xml:space="preserve">Risk and Value Profile:   </w:t>
            </w:r>
            <w:r w:rsidR="00E259DD" w:rsidRPr="00E259DD">
              <w:rPr>
                <w:rFonts w:asciiTheme="majorHAnsi" w:hAnsiTheme="majorHAnsi"/>
              </w:rPr>
              <w:t>L</w:t>
            </w:r>
            <w:r w:rsidR="006A2EF5" w:rsidRPr="00E259DD">
              <w:rPr>
                <w:rFonts w:asciiTheme="majorHAnsi" w:hAnsiTheme="majorHAnsi"/>
              </w:rPr>
              <w:t>ow</w:t>
            </w:r>
            <w:r w:rsidR="003A7B5E" w:rsidRPr="00E259DD">
              <w:rPr>
                <w:rFonts w:asciiTheme="majorHAnsi" w:hAnsiTheme="majorHAnsi"/>
              </w:rPr>
              <w:t xml:space="preserve"> Risk /</w:t>
            </w:r>
            <w:r w:rsidR="006A2EF5" w:rsidRPr="00E259DD">
              <w:rPr>
                <w:rFonts w:asciiTheme="majorHAnsi" w:hAnsiTheme="majorHAnsi"/>
              </w:rPr>
              <w:t xml:space="preserve"> </w:t>
            </w:r>
            <w:r w:rsidR="00E259DD" w:rsidRPr="00E259DD">
              <w:rPr>
                <w:rFonts w:asciiTheme="majorHAnsi" w:hAnsiTheme="majorHAnsi"/>
              </w:rPr>
              <w:t>L</w:t>
            </w:r>
            <w:r w:rsidR="006A2EF5" w:rsidRPr="00E259DD">
              <w:rPr>
                <w:rFonts w:asciiTheme="majorHAnsi" w:hAnsiTheme="majorHAnsi"/>
              </w:rPr>
              <w:t xml:space="preserve">ow </w:t>
            </w:r>
            <w:r w:rsidR="003A7B5E" w:rsidRPr="00E259DD">
              <w:rPr>
                <w:rFonts w:asciiTheme="majorHAnsi" w:hAnsiTheme="majorHAnsi"/>
              </w:rPr>
              <w:t>Value</w:t>
            </w:r>
            <w:r w:rsidR="003A7B5E" w:rsidRPr="00E259DD">
              <w:rPr>
                <w:rFonts w:asciiTheme="majorHAnsi" w:hAnsiTheme="majorHAnsi"/>
                <w:b/>
              </w:rPr>
              <w:t xml:space="preserve">        </w:t>
            </w:r>
            <w:r w:rsidRPr="00E259DD">
              <w:rPr>
                <w:rFonts w:asciiTheme="majorHAnsi" w:hAnsiTheme="majorHAnsi"/>
                <w:b/>
              </w:rPr>
              <w:t>AidWorks Investment number:</w:t>
            </w:r>
            <w:r w:rsidR="00385712" w:rsidRPr="00E259DD">
              <w:rPr>
                <w:rFonts w:asciiTheme="majorHAnsi" w:hAnsiTheme="majorHAnsi"/>
                <w:b/>
              </w:rPr>
              <w:t xml:space="preserve"> </w:t>
            </w:r>
            <w:r w:rsidR="009623A8">
              <w:rPr>
                <w:rFonts w:asciiTheme="majorHAnsi" w:hAnsiTheme="majorHAnsi"/>
              </w:rPr>
              <w:t>INI637</w:t>
            </w:r>
          </w:p>
        </w:tc>
      </w:tr>
      <w:tr w:rsidR="00D9769C" w:rsidRPr="00E259DD" w14:paraId="6FCC7EB6" w14:textId="77777777" w:rsidTr="003B0E24">
        <w:trPr>
          <w:cantSplit/>
          <w:trHeight w:val="360"/>
        </w:trPr>
        <w:tc>
          <w:tcPr>
            <w:tcW w:w="9923"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73CF390C" w14:textId="4D309988" w:rsidR="00D9769C" w:rsidRPr="00651B17" w:rsidRDefault="00D9769C" w:rsidP="00482801">
            <w:pPr>
              <w:pStyle w:val="BodyText"/>
              <w:spacing w:before="60" w:line="240" w:lineRule="auto"/>
              <w:rPr>
                <w:rFonts w:asciiTheme="majorHAnsi" w:hAnsiTheme="majorHAnsi"/>
                <w:b/>
              </w:rPr>
            </w:pPr>
            <w:r w:rsidRPr="00651B17">
              <w:rPr>
                <w:rFonts w:asciiTheme="majorHAnsi" w:hAnsiTheme="majorHAnsi"/>
                <w:b/>
              </w:rPr>
              <w:t>Quality Assurance (QA) Completed:</w:t>
            </w:r>
            <w:r w:rsidR="000309A0" w:rsidRPr="00651B17">
              <w:rPr>
                <w:rFonts w:asciiTheme="majorHAnsi" w:hAnsiTheme="majorHAnsi"/>
              </w:rPr>
              <w:t xml:space="preserve"> Peer </w:t>
            </w:r>
            <w:r w:rsidR="00C252E0">
              <w:rPr>
                <w:rFonts w:asciiTheme="majorHAnsi" w:hAnsiTheme="majorHAnsi"/>
              </w:rPr>
              <w:t xml:space="preserve">appraisal / </w:t>
            </w:r>
            <w:r w:rsidR="000309A0" w:rsidRPr="00651B17">
              <w:rPr>
                <w:rFonts w:asciiTheme="majorHAnsi" w:hAnsiTheme="majorHAnsi"/>
              </w:rPr>
              <w:t>review</w:t>
            </w:r>
          </w:p>
        </w:tc>
      </w:tr>
      <w:tr w:rsidR="00D9769C" w:rsidRPr="00E259DD" w14:paraId="350CBF0A" w14:textId="77777777" w:rsidTr="003B0E24">
        <w:trPr>
          <w:cantSplit/>
          <w:trHeight w:val="360"/>
        </w:trPr>
        <w:tc>
          <w:tcPr>
            <w:tcW w:w="9923"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132607FA" w14:textId="46702B33" w:rsidR="00D9769C" w:rsidRPr="00E259DD" w:rsidRDefault="00D9769C" w:rsidP="00482801">
            <w:pPr>
              <w:pStyle w:val="BodyText"/>
              <w:spacing w:before="60" w:line="240" w:lineRule="auto"/>
              <w:rPr>
                <w:rFonts w:asciiTheme="majorHAnsi" w:hAnsiTheme="majorHAnsi"/>
                <w:b/>
              </w:rPr>
            </w:pPr>
            <w:r w:rsidRPr="00E259DD">
              <w:rPr>
                <w:rFonts w:asciiTheme="majorHAnsi" w:hAnsiTheme="majorHAnsi"/>
                <w:b/>
              </w:rPr>
              <w:t xml:space="preserve">Delegate approving design at post: </w:t>
            </w:r>
            <w:r w:rsidR="00E259DD">
              <w:rPr>
                <w:rFonts w:asciiTheme="majorHAnsi" w:hAnsiTheme="majorHAnsi"/>
              </w:rPr>
              <w:t>Jenny Da Rin, High Commissioner</w:t>
            </w:r>
          </w:p>
        </w:tc>
      </w:tr>
    </w:tbl>
    <w:p w14:paraId="0DB764F5" w14:textId="76DAC42E" w:rsidR="00482801" w:rsidRDefault="00482801" w:rsidP="00774EC4">
      <w:pPr>
        <w:spacing w:before="0" w:after="0" w:line="240" w:lineRule="auto"/>
      </w:pPr>
    </w:p>
    <w:tbl>
      <w:tblPr>
        <w:tblW w:w="992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923"/>
      </w:tblGrid>
      <w:tr w:rsidR="00D9769C" w:rsidRPr="00E259DD" w14:paraId="1E1DC756" w14:textId="77777777" w:rsidTr="003B0E24">
        <w:trPr>
          <w:cantSplit/>
          <w:trHeight w:val="187"/>
        </w:trPr>
        <w:tc>
          <w:tcPr>
            <w:tcW w:w="9923"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tcMar>
              <w:top w:w="28" w:type="dxa"/>
              <w:left w:w="108" w:type="dxa"/>
              <w:bottom w:w="28" w:type="dxa"/>
              <w:right w:w="108" w:type="dxa"/>
            </w:tcMar>
            <w:hideMark/>
          </w:tcPr>
          <w:p w14:paraId="4509A578" w14:textId="105AFD62" w:rsidR="00D9769C" w:rsidRPr="00E259DD" w:rsidRDefault="00D9769C" w:rsidP="001B3ED6">
            <w:pPr>
              <w:pStyle w:val="ListBullet"/>
              <w:numPr>
                <w:ilvl w:val="0"/>
                <w:numId w:val="0"/>
              </w:numPr>
              <w:spacing w:before="120" w:line="240" w:lineRule="auto"/>
              <w:ind w:left="644" w:hanging="360"/>
              <w:rPr>
                <w:rFonts w:asciiTheme="majorHAnsi" w:hAnsiTheme="majorHAnsi"/>
                <w:sz w:val="22"/>
                <w:szCs w:val="22"/>
              </w:rPr>
            </w:pPr>
            <w:r w:rsidRPr="00E259DD">
              <w:rPr>
                <w:rFonts w:asciiTheme="majorHAnsi" w:hAnsiTheme="majorHAnsi"/>
                <w:b/>
                <w:sz w:val="22"/>
                <w:szCs w:val="22"/>
              </w:rPr>
              <w:t>B:  Proposed Investment and rationale for DFAT involvement (Why)</w:t>
            </w:r>
          </w:p>
        </w:tc>
      </w:tr>
    </w:tbl>
    <w:p w14:paraId="13685988" w14:textId="0A10397D" w:rsidR="00482801" w:rsidRPr="00482801" w:rsidRDefault="00774EC4" w:rsidP="00C252E0">
      <w:pPr>
        <w:pStyle w:val="ListBullet"/>
        <w:numPr>
          <w:ilvl w:val="0"/>
          <w:numId w:val="0"/>
        </w:numPr>
        <w:tabs>
          <w:tab w:val="clear" w:pos="284"/>
          <w:tab w:val="left" w:pos="0"/>
        </w:tabs>
        <w:spacing w:before="120" w:line="240" w:lineRule="auto"/>
        <w:rPr>
          <w:rFonts w:asciiTheme="majorHAnsi" w:hAnsiTheme="majorHAnsi"/>
          <w:b/>
          <w:i/>
          <w:szCs w:val="21"/>
        </w:rPr>
      </w:pPr>
      <w:r>
        <w:rPr>
          <w:rFonts w:asciiTheme="majorHAnsi" w:hAnsiTheme="majorHAnsi"/>
          <w:b/>
          <w:szCs w:val="21"/>
          <w:u w:val="single"/>
        </w:rPr>
        <w:t>D</w:t>
      </w:r>
      <w:r w:rsidR="00482801" w:rsidRPr="00482801">
        <w:rPr>
          <w:rFonts w:asciiTheme="majorHAnsi" w:hAnsiTheme="majorHAnsi"/>
          <w:b/>
          <w:szCs w:val="21"/>
          <w:u w:val="single"/>
        </w:rPr>
        <w:t>evelopment problem/issue to be addressed</w:t>
      </w:r>
      <w:r w:rsidR="00482801" w:rsidRPr="00482801">
        <w:rPr>
          <w:rFonts w:asciiTheme="majorHAnsi" w:hAnsiTheme="majorHAnsi"/>
          <w:b/>
          <w:szCs w:val="21"/>
        </w:rPr>
        <w:t>:</w:t>
      </w:r>
    </w:p>
    <w:p w14:paraId="38DB522A" w14:textId="53CDD2CC" w:rsidR="00774EC4"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 xml:space="preserve">Vanuatu </w:t>
      </w:r>
      <w:r w:rsidR="00774EC4">
        <w:rPr>
          <w:rFonts w:asciiTheme="majorHAnsi" w:hAnsiTheme="majorHAnsi"/>
          <w:szCs w:val="21"/>
        </w:rPr>
        <w:t xml:space="preserve">has significant development challenges, including </w:t>
      </w:r>
      <w:r w:rsidR="00774EC4" w:rsidRPr="00482801">
        <w:rPr>
          <w:rFonts w:asciiTheme="majorHAnsi" w:hAnsiTheme="majorHAnsi"/>
          <w:szCs w:val="21"/>
        </w:rPr>
        <w:t>rapid population growth (the highest in the Pacific at 2.3%</w:t>
      </w:r>
      <w:r w:rsidR="00774EC4" w:rsidRPr="00482801">
        <w:rPr>
          <w:rFonts w:asciiTheme="majorHAnsi" w:hAnsiTheme="majorHAnsi"/>
          <w:szCs w:val="21"/>
          <w:vertAlign w:val="superscript"/>
        </w:rPr>
        <w:footnoteReference w:id="1"/>
      </w:r>
      <w:r w:rsidR="00774EC4" w:rsidRPr="00482801">
        <w:rPr>
          <w:rFonts w:asciiTheme="majorHAnsi" w:hAnsiTheme="majorHAnsi"/>
          <w:szCs w:val="21"/>
        </w:rPr>
        <w:t>) and associated pressures on the natural environment; an increasingly youthful population (50% under 18 years of age and 65% under 30 years</w:t>
      </w:r>
      <w:r w:rsidR="00774EC4" w:rsidRPr="00482801">
        <w:rPr>
          <w:rFonts w:asciiTheme="majorHAnsi" w:hAnsiTheme="majorHAnsi"/>
          <w:szCs w:val="21"/>
          <w:vertAlign w:val="superscript"/>
        </w:rPr>
        <w:footnoteReference w:id="2"/>
      </w:r>
      <w:r w:rsidR="00774EC4" w:rsidRPr="00482801">
        <w:rPr>
          <w:rFonts w:asciiTheme="majorHAnsi" w:hAnsiTheme="majorHAnsi"/>
          <w:szCs w:val="21"/>
        </w:rPr>
        <w:t>); and intensifying urban migration and crowding. According to the 1967 census, Port Vila’s population was just over 3,000 people, but by 1997, it had grown to more than 30,000</w:t>
      </w:r>
      <w:r w:rsidR="00774EC4" w:rsidRPr="00482801">
        <w:rPr>
          <w:rFonts w:asciiTheme="majorHAnsi" w:hAnsiTheme="majorHAnsi"/>
          <w:szCs w:val="21"/>
          <w:vertAlign w:val="superscript"/>
        </w:rPr>
        <w:footnoteReference w:id="3"/>
      </w:r>
      <w:r w:rsidR="00774EC4" w:rsidRPr="00482801">
        <w:rPr>
          <w:rFonts w:asciiTheme="majorHAnsi" w:hAnsiTheme="majorHAnsi"/>
          <w:szCs w:val="21"/>
        </w:rPr>
        <w:t xml:space="preserve">. Over </w:t>
      </w:r>
      <w:r w:rsidR="00324FBC">
        <w:rPr>
          <w:rFonts w:asciiTheme="majorHAnsi" w:hAnsiTheme="majorHAnsi"/>
          <w:szCs w:val="21"/>
        </w:rPr>
        <w:t xml:space="preserve">three </w:t>
      </w:r>
      <w:r w:rsidR="00774EC4" w:rsidRPr="00482801">
        <w:rPr>
          <w:rFonts w:asciiTheme="majorHAnsi" w:hAnsiTheme="majorHAnsi"/>
          <w:szCs w:val="21"/>
        </w:rPr>
        <w:t>decades</w:t>
      </w:r>
      <w:r w:rsidR="00324FBC">
        <w:rPr>
          <w:rFonts w:asciiTheme="majorHAnsi" w:hAnsiTheme="majorHAnsi"/>
          <w:szCs w:val="21"/>
        </w:rPr>
        <w:t>,</w:t>
      </w:r>
      <w:r w:rsidR="00774EC4" w:rsidRPr="00482801">
        <w:rPr>
          <w:rFonts w:asciiTheme="majorHAnsi" w:hAnsiTheme="majorHAnsi"/>
          <w:szCs w:val="21"/>
        </w:rPr>
        <w:t xml:space="preserve"> the population of the settlement area of Blacksands </w:t>
      </w:r>
      <w:r w:rsidR="00324FBC">
        <w:rPr>
          <w:rFonts w:asciiTheme="majorHAnsi" w:hAnsiTheme="majorHAnsi"/>
          <w:szCs w:val="21"/>
        </w:rPr>
        <w:t xml:space="preserve">grew </w:t>
      </w:r>
      <w:r w:rsidR="00774EC4" w:rsidRPr="00482801">
        <w:rPr>
          <w:rFonts w:asciiTheme="majorHAnsi" w:hAnsiTheme="majorHAnsi"/>
          <w:szCs w:val="21"/>
        </w:rPr>
        <w:t>from 134 people in eight households, to nearly 4,000 people in over 900 households</w:t>
      </w:r>
      <w:r w:rsidR="00774EC4" w:rsidRPr="00482801">
        <w:rPr>
          <w:rFonts w:asciiTheme="majorHAnsi" w:hAnsiTheme="majorHAnsi"/>
          <w:szCs w:val="21"/>
          <w:vertAlign w:val="superscript"/>
        </w:rPr>
        <w:footnoteReference w:id="4"/>
      </w:r>
      <w:r w:rsidR="00774EC4" w:rsidRPr="00482801">
        <w:rPr>
          <w:rFonts w:asciiTheme="majorHAnsi" w:hAnsiTheme="majorHAnsi"/>
          <w:szCs w:val="21"/>
        </w:rPr>
        <w:t xml:space="preserve">. </w:t>
      </w:r>
      <w:r w:rsidR="00324FBC">
        <w:rPr>
          <w:rFonts w:asciiTheme="majorHAnsi" w:hAnsiTheme="majorHAnsi"/>
          <w:szCs w:val="21"/>
        </w:rPr>
        <w:t xml:space="preserve">The proportion </w:t>
      </w:r>
      <w:r w:rsidR="005C1560">
        <w:rPr>
          <w:rFonts w:asciiTheme="majorHAnsi" w:hAnsiTheme="majorHAnsi"/>
          <w:szCs w:val="21"/>
        </w:rPr>
        <w:t>of men and women are living below the national poverty line</w:t>
      </w:r>
      <w:r w:rsidR="00324FBC">
        <w:rPr>
          <w:rFonts w:asciiTheme="majorHAnsi" w:hAnsiTheme="majorHAnsi"/>
          <w:szCs w:val="21"/>
        </w:rPr>
        <w:t xml:space="preserve"> is 12.7 per cent</w:t>
      </w:r>
      <w:r w:rsidR="005C1560">
        <w:rPr>
          <w:rFonts w:asciiTheme="majorHAnsi" w:hAnsiTheme="majorHAnsi"/>
          <w:szCs w:val="21"/>
        </w:rPr>
        <w:t>, with poverty rates proportionally highest in u</w:t>
      </w:r>
      <w:r w:rsidR="00774EC4" w:rsidRPr="00482801">
        <w:rPr>
          <w:rFonts w:asciiTheme="majorHAnsi" w:hAnsiTheme="majorHAnsi"/>
          <w:szCs w:val="21"/>
        </w:rPr>
        <w:t xml:space="preserve">rban </w:t>
      </w:r>
      <w:r w:rsidR="005C1560">
        <w:rPr>
          <w:rFonts w:asciiTheme="majorHAnsi" w:hAnsiTheme="majorHAnsi"/>
          <w:szCs w:val="21"/>
        </w:rPr>
        <w:t>areas</w:t>
      </w:r>
      <w:r w:rsidR="00774EC4" w:rsidRPr="00482801">
        <w:rPr>
          <w:rFonts w:asciiTheme="majorHAnsi" w:hAnsiTheme="majorHAnsi"/>
          <w:szCs w:val="21"/>
        </w:rPr>
        <w:t>.</w:t>
      </w:r>
      <w:r w:rsidR="00774EC4" w:rsidRPr="00482801">
        <w:rPr>
          <w:rStyle w:val="FootnoteReference"/>
          <w:rFonts w:asciiTheme="majorHAnsi" w:hAnsiTheme="majorHAnsi"/>
          <w:szCs w:val="21"/>
        </w:rPr>
        <w:footnoteReference w:id="5"/>
      </w:r>
    </w:p>
    <w:p w14:paraId="1F11A073" w14:textId="77777777" w:rsidR="00937524" w:rsidRPr="00482801" w:rsidRDefault="00937524"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Studies have identified rapid population growth, youth unemployment and urbanisation, and the associated increase in urban settlement communities in particular, as of growing significance to a range of issues from governance and law and justice, to the provision of key services including health care, education and adequate housing.</w:t>
      </w:r>
      <w:r w:rsidRPr="00482801">
        <w:rPr>
          <w:rStyle w:val="FootnoteReference"/>
          <w:rFonts w:asciiTheme="majorHAnsi" w:hAnsiTheme="majorHAnsi"/>
          <w:szCs w:val="21"/>
        </w:rPr>
        <w:footnoteReference w:id="6"/>
      </w:r>
      <w:r w:rsidRPr="00482801">
        <w:rPr>
          <w:rFonts w:asciiTheme="majorHAnsi" w:hAnsiTheme="majorHAnsi"/>
          <w:szCs w:val="21"/>
        </w:rPr>
        <w:t xml:space="preserve"> There is a paucity of accessible health services, the education system is overcrowded and under-resourced and the proportion of out-of-school youth is high (11.2%</w:t>
      </w:r>
      <w:r w:rsidRPr="00482801">
        <w:rPr>
          <w:rStyle w:val="FootnoteReference"/>
          <w:rFonts w:asciiTheme="majorHAnsi" w:hAnsiTheme="majorHAnsi"/>
          <w:szCs w:val="21"/>
        </w:rPr>
        <w:footnoteReference w:id="7"/>
      </w:r>
      <w:r>
        <w:rPr>
          <w:rFonts w:asciiTheme="majorHAnsi" w:hAnsiTheme="majorHAnsi"/>
          <w:szCs w:val="21"/>
        </w:rPr>
        <w:t>)</w:t>
      </w:r>
      <w:r w:rsidRPr="00482801">
        <w:rPr>
          <w:rFonts w:asciiTheme="majorHAnsi" w:hAnsiTheme="majorHAnsi"/>
          <w:szCs w:val="21"/>
        </w:rPr>
        <w:t>.</w:t>
      </w:r>
    </w:p>
    <w:p w14:paraId="02452D3A" w14:textId="77777777" w:rsidR="00937524" w:rsidRPr="00482801" w:rsidRDefault="00937524"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As people move away from villages and rural areas for extended periods of time, and increasingly find themselves in more mixed, transient settlement communities, traditional support systems and safeguards are significantly weakened. The “absence of national social services”</w:t>
      </w:r>
      <w:r w:rsidRPr="00482801">
        <w:rPr>
          <w:rStyle w:val="FootnoteReference"/>
          <w:rFonts w:asciiTheme="majorHAnsi" w:hAnsiTheme="majorHAnsi"/>
          <w:szCs w:val="21"/>
        </w:rPr>
        <w:footnoteReference w:id="8"/>
      </w:r>
      <w:r w:rsidRPr="00482801">
        <w:rPr>
          <w:rFonts w:asciiTheme="majorHAnsi" w:hAnsiTheme="majorHAnsi"/>
          <w:szCs w:val="21"/>
        </w:rPr>
        <w:t xml:space="preserve"> places a much greater importance on informal services provided through community and church, as well as through civil society organisations.</w:t>
      </w:r>
    </w:p>
    <w:p w14:paraId="008DBA9A" w14:textId="77777777" w:rsidR="00937524" w:rsidRPr="00482801" w:rsidRDefault="00937524" w:rsidP="00937524">
      <w:pPr>
        <w:pStyle w:val="ListBullet"/>
        <w:numPr>
          <w:ilvl w:val="0"/>
          <w:numId w:val="0"/>
        </w:numPr>
        <w:tabs>
          <w:tab w:val="clear" w:pos="284"/>
          <w:tab w:val="left" w:pos="0"/>
        </w:tabs>
        <w:spacing w:before="120" w:line="240" w:lineRule="auto"/>
        <w:ind w:left="22"/>
        <w:rPr>
          <w:rFonts w:asciiTheme="majorHAnsi" w:hAnsiTheme="majorHAnsi"/>
          <w:szCs w:val="21"/>
        </w:rPr>
      </w:pPr>
      <w:r>
        <w:rPr>
          <w:rFonts w:asciiTheme="majorHAnsi" w:hAnsiTheme="majorHAnsi"/>
          <w:szCs w:val="21"/>
        </w:rPr>
        <w:t>While urban migration is a concern, t</w:t>
      </w:r>
      <w:r w:rsidRPr="00482801">
        <w:rPr>
          <w:rFonts w:asciiTheme="majorHAnsi" w:hAnsiTheme="majorHAnsi"/>
          <w:szCs w:val="21"/>
        </w:rPr>
        <w:t xml:space="preserve">he majority </w:t>
      </w:r>
      <w:r>
        <w:rPr>
          <w:rFonts w:asciiTheme="majorHAnsi" w:hAnsiTheme="majorHAnsi"/>
          <w:szCs w:val="21"/>
        </w:rPr>
        <w:t>of people (75%) still live</w:t>
      </w:r>
      <w:r w:rsidRPr="00482801">
        <w:rPr>
          <w:rFonts w:asciiTheme="majorHAnsi" w:hAnsiTheme="majorHAnsi"/>
          <w:szCs w:val="21"/>
        </w:rPr>
        <w:t xml:space="preserve"> in rural areas. </w:t>
      </w:r>
      <w:r>
        <w:rPr>
          <w:rFonts w:asciiTheme="majorHAnsi" w:hAnsiTheme="majorHAnsi"/>
          <w:szCs w:val="21"/>
        </w:rPr>
        <w:t xml:space="preserve">The geography makes travel between and within islands difficult, hindering economic development and </w:t>
      </w:r>
      <w:r w:rsidRPr="00482801">
        <w:rPr>
          <w:rFonts w:asciiTheme="majorHAnsi" w:hAnsiTheme="majorHAnsi"/>
          <w:szCs w:val="21"/>
        </w:rPr>
        <w:t xml:space="preserve">access </w:t>
      </w:r>
      <w:r>
        <w:rPr>
          <w:rFonts w:asciiTheme="majorHAnsi" w:hAnsiTheme="majorHAnsi"/>
          <w:szCs w:val="21"/>
        </w:rPr>
        <w:t xml:space="preserve">to </w:t>
      </w:r>
      <w:r w:rsidRPr="00482801">
        <w:rPr>
          <w:rFonts w:asciiTheme="majorHAnsi" w:hAnsiTheme="majorHAnsi"/>
          <w:szCs w:val="21"/>
        </w:rPr>
        <w:t xml:space="preserve">information. </w:t>
      </w:r>
      <w:r>
        <w:rPr>
          <w:rFonts w:asciiTheme="majorHAnsi" w:hAnsiTheme="majorHAnsi"/>
          <w:szCs w:val="21"/>
        </w:rPr>
        <w:t xml:space="preserve">Challenges are heightened by extreme </w:t>
      </w:r>
      <w:r w:rsidRPr="00482801">
        <w:rPr>
          <w:rFonts w:asciiTheme="majorHAnsi" w:hAnsiTheme="majorHAnsi"/>
          <w:szCs w:val="21"/>
        </w:rPr>
        <w:t>linguistic diversity and relatively low levels of literacy</w:t>
      </w:r>
      <w:r>
        <w:rPr>
          <w:rFonts w:asciiTheme="majorHAnsi" w:hAnsiTheme="majorHAnsi"/>
          <w:szCs w:val="21"/>
        </w:rPr>
        <w:t xml:space="preserve"> (the adult literacy rate</w:t>
      </w:r>
      <w:r w:rsidRPr="00482801">
        <w:rPr>
          <w:rFonts w:asciiTheme="majorHAnsi" w:hAnsiTheme="majorHAnsi"/>
          <w:szCs w:val="21"/>
        </w:rPr>
        <w:t xml:space="preserve"> </w:t>
      </w:r>
      <w:r>
        <w:rPr>
          <w:rFonts w:asciiTheme="majorHAnsi" w:hAnsiTheme="majorHAnsi"/>
          <w:szCs w:val="21"/>
        </w:rPr>
        <w:t xml:space="preserve">is </w:t>
      </w:r>
      <w:r w:rsidRPr="00482801">
        <w:rPr>
          <w:rFonts w:asciiTheme="majorHAnsi" w:hAnsiTheme="majorHAnsi"/>
          <w:szCs w:val="21"/>
        </w:rPr>
        <w:t>27%</w:t>
      </w:r>
      <w:r>
        <w:rPr>
          <w:rFonts w:asciiTheme="majorHAnsi" w:hAnsiTheme="majorHAnsi"/>
          <w:szCs w:val="21"/>
        </w:rPr>
        <w:t>)</w:t>
      </w:r>
      <w:r w:rsidRPr="00482801">
        <w:rPr>
          <w:rFonts w:asciiTheme="majorHAnsi" w:hAnsiTheme="majorHAnsi"/>
          <w:szCs w:val="21"/>
        </w:rPr>
        <w:t>. This results in the vulnerable communities having limited knowledge of social and development issues, government policies, laws and basic rights.</w:t>
      </w:r>
    </w:p>
    <w:p w14:paraId="0A3751E8" w14:textId="01F426EB" w:rsidR="00937524" w:rsidRPr="00482801" w:rsidRDefault="00937524"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Lack of employment opportunities or access to further training marginalises young people and can cause a range of negative consequences, including increased risk of conflict and violence</w:t>
      </w:r>
      <w:r w:rsidRPr="00482801">
        <w:rPr>
          <w:rStyle w:val="FootnoteReference"/>
          <w:rFonts w:asciiTheme="majorHAnsi" w:hAnsiTheme="majorHAnsi"/>
          <w:szCs w:val="21"/>
        </w:rPr>
        <w:footnoteReference w:id="9"/>
      </w:r>
      <w:r w:rsidRPr="00482801">
        <w:rPr>
          <w:rFonts w:asciiTheme="majorHAnsi" w:hAnsiTheme="majorHAnsi"/>
          <w:szCs w:val="21"/>
        </w:rPr>
        <w:t xml:space="preserve">. Socio-cultural norms and traditions make it difficult for young people to get information on, or access to, reproductive and other health services. </w:t>
      </w:r>
      <w:r w:rsidR="00324FBC">
        <w:rPr>
          <w:rFonts w:asciiTheme="majorHAnsi" w:hAnsiTheme="majorHAnsi"/>
          <w:szCs w:val="21"/>
        </w:rPr>
        <w:lastRenderedPageBreak/>
        <w:t>Government services are extremely limited</w:t>
      </w:r>
      <w:r w:rsidR="00F15B57">
        <w:rPr>
          <w:rFonts w:asciiTheme="majorHAnsi" w:hAnsiTheme="majorHAnsi"/>
          <w:szCs w:val="21"/>
        </w:rPr>
        <w:t>, and there is very little ‘demand for better governance’ and increased services from civil society. Non-state actors, c</w:t>
      </w:r>
      <w:r w:rsidRPr="00482801">
        <w:rPr>
          <w:rFonts w:asciiTheme="majorHAnsi" w:hAnsiTheme="majorHAnsi"/>
          <w:szCs w:val="21"/>
        </w:rPr>
        <w:t xml:space="preserve">ivil society </w:t>
      </w:r>
      <w:r w:rsidR="00324FBC">
        <w:rPr>
          <w:rFonts w:asciiTheme="majorHAnsi" w:hAnsiTheme="majorHAnsi"/>
          <w:szCs w:val="21"/>
        </w:rPr>
        <w:t xml:space="preserve">and faith-based </w:t>
      </w:r>
      <w:r w:rsidRPr="00482801">
        <w:rPr>
          <w:rFonts w:asciiTheme="majorHAnsi" w:hAnsiTheme="majorHAnsi"/>
          <w:szCs w:val="21"/>
        </w:rPr>
        <w:t xml:space="preserve">organisations </w:t>
      </w:r>
      <w:r w:rsidR="00324FBC">
        <w:rPr>
          <w:rFonts w:asciiTheme="majorHAnsi" w:hAnsiTheme="majorHAnsi"/>
          <w:szCs w:val="21"/>
        </w:rPr>
        <w:t>play an important role in service delivery across Vanuatu</w:t>
      </w:r>
      <w:r w:rsidR="00F15B57">
        <w:rPr>
          <w:rFonts w:asciiTheme="majorHAnsi" w:hAnsiTheme="majorHAnsi"/>
          <w:szCs w:val="21"/>
        </w:rPr>
        <w:t>, in the absence of state services and across almost all sectors</w:t>
      </w:r>
      <w:r w:rsidRPr="00482801">
        <w:rPr>
          <w:rFonts w:asciiTheme="majorHAnsi" w:hAnsiTheme="majorHAnsi"/>
          <w:szCs w:val="21"/>
        </w:rPr>
        <w:t>.</w:t>
      </w:r>
    </w:p>
    <w:p w14:paraId="06BA69EE" w14:textId="009EC8A4" w:rsidR="00482801" w:rsidRPr="00482801" w:rsidRDefault="00774EC4" w:rsidP="00C252E0">
      <w:pPr>
        <w:pStyle w:val="ListBullet"/>
        <w:numPr>
          <w:ilvl w:val="0"/>
          <w:numId w:val="0"/>
        </w:numPr>
        <w:tabs>
          <w:tab w:val="clear" w:pos="284"/>
          <w:tab w:val="left" w:pos="0"/>
        </w:tabs>
        <w:spacing w:before="120" w:line="240" w:lineRule="auto"/>
        <w:rPr>
          <w:rFonts w:asciiTheme="majorHAnsi" w:hAnsiTheme="majorHAnsi"/>
          <w:szCs w:val="21"/>
        </w:rPr>
      </w:pPr>
      <w:r>
        <w:rPr>
          <w:rFonts w:asciiTheme="majorHAnsi" w:hAnsiTheme="majorHAnsi"/>
          <w:szCs w:val="21"/>
        </w:rPr>
        <w:t>S</w:t>
      </w:r>
      <w:r w:rsidR="00482801" w:rsidRPr="00482801">
        <w:rPr>
          <w:rFonts w:asciiTheme="majorHAnsi" w:hAnsiTheme="majorHAnsi"/>
          <w:szCs w:val="21"/>
        </w:rPr>
        <w:t xml:space="preserve">ignificant </w:t>
      </w:r>
      <w:r>
        <w:rPr>
          <w:rFonts w:asciiTheme="majorHAnsi" w:hAnsiTheme="majorHAnsi"/>
          <w:szCs w:val="21"/>
        </w:rPr>
        <w:t xml:space="preserve">lifestyle </w:t>
      </w:r>
      <w:r w:rsidR="00482801" w:rsidRPr="00482801">
        <w:rPr>
          <w:rFonts w:asciiTheme="majorHAnsi" w:hAnsiTheme="majorHAnsi"/>
          <w:szCs w:val="21"/>
        </w:rPr>
        <w:t xml:space="preserve">changes </w:t>
      </w:r>
      <w:r>
        <w:rPr>
          <w:rFonts w:asciiTheme="majorHAnsi" w:hAnsiTheme="majorHAnsi"/>
          <w:szCs w:val="21"/>
        </w:rPr>
        <w:t xml:space="preserve">in Vanuatu over the last 20 years has also resulted in a </w:t>
      </w:r>
      <w:r w:rsidR="00482801" w:rsidRPr="00482801">
        <w:rPr>
          <w:rFonts w:asciiTheme="majorHAnsi" w:hAnsiTheme="majorHAnsi"/>
          <w:szCs w:val="21"/>
        </w:rPr>
        <w:t>rise in non-communicable disease</w:t>
      </w:r>
      <w:r>
        <w:rPr>
          <w:rStyle w:val="FootnoteReference"/>
          <w:rFonts w:asciiTheme="majorHAnsi" w:hAnsiTheme="majorHAnsi"/>
          <w:szCs w:val="21"/>
        </w:rPr>
        <w:footnoteReference w:id="10"/>
      </w:r>
      <w:r w:rsidR="00482801" w:rsidRPr="00482801">
        <w:rPr>
          <w:rFonts w:asciiTheme="majorHAnsi" w:hAnsiTheme="majorHAnsi"/>
          <w:szCs w:val="21"/>
        </w:rPr>
        <w:t xml:space="preserve"> and sexually transmitted infections, an increase in drug and alcohol use, and a growing sense of distance from traditional community and resources. These changes, </w:t>
      </w:r>
      <w:r w:rsidR="00937524">
        <w:rPr>
          <w:rFonts w:asciiTheme="majorHAnsi" w:hAnsiTheme="majorHAnsi"/>
          <w:szCs w:val="21"/>
        </w:rPr>
        <w:t xml:space="preserve">together with </w:t>
      </w:r>
      <w:r w:rsidR="00482801" w:rsidRPr="00482801">
        <w:rPr>
          <w:rFonts w:asciiTheme="majorHAnsi" w:hAnsiTheme="majorHAnsi"/>
          <w:szCs w:val="21"/>
        </w:rPr>
        <w:t xml:space="preserve">Vanuatu’s economic and geographic </w:t>
      </w:r>
      <w:r w:rsidR="006D6821">
        <w:rPr>
          <w:rFonts w:asciiTheme="majorHAnsi" w:hAnsiTheme="majorHAnsi"/>
          <w:szCs w:val="21"/>
        </w:rPr>
        <w:t>context</w:t>
      </w:r>
      <w:r w:rsidR="00482801" w:rsidRPr="00482801">
        <w:rPr>
          <w:rFonts w:asciiTheme="majorHAnsi" w:hAnsiTheme="majorHAnsi"/>
          <w:szCs w:val="21"/>
        </w:rPr>
        <w:t>, have intensified challenges around provision of health care, law and order, food security, environmental degradation, and economic hardship.</w:t>
      </w:r>
    </w:p>
    <w:p w14:paraId="30FE8B8C" w14:textId="77777777" w:rsidR="00974959"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Women have a low status in society, with limited acceptance of</w:t>
      </w:r>
      <w:r w:rsidR="00937524">
        <w:rPr>
          <w:rFonts w:asciiTheme="majorHAnsi" w:hAnsiTheme="majorHAnsi"/>
          <w:szCs w:val="21"/>
        </w:rPr>
        <w:t>,</w:t>
      </w:r>
      <w:r w:rsidRPr="00482801">
        <w:rPr>
          <w:rFonts w:asciiTheme="majorHAnsi" w:hAnsiTheme="majorHAnsi"/>
          <w:szCs w:val="21"/>
        </w:rPr>
        <w:t xml:space="preserve"> and support for</w:t>
      </w:r>
      <w:r w:rsidR="00937524">
        <w:rPr>
          <w:rFonts w:asciiTheme="majorHAnsi" w:hAnsiTheme="majorHAnsi"/>
          <w:szCs w:val="21"/>
        </w:rPr>
        <w:t>,</w:t>
      </w:r>
      <w:r w:rsidRPr="00482801">
        <w:rPr>
          <w:rFonts w:asciiTheme="majorHAnsi" w:hAnsiTheme="majorHAnsi"/>
          <w:szCs w:val="21"/>
        </w:rPr>
        <w:t xml:space="preserve"> women’s rights</w:t>
      </w:r>
      <w:r w:rsidR="00937524">
        <w:rPr>
          <w:rFonts w:asciiTheme="majorHAnsi" w:hAnsiTheme="majorHAnsi"/>
          <w:szCs w:val="21"/>
        </w:rPr>
        <w:t>.</w:t>
      </w:r>
      <w:r w:rsidRPr="00482801">
        <w:rPr>
          <w:rFonts w:asciiTheme="majorHAnsi" w:hAnsiTheme="majorHAnsi"/>
          <w:szCs w:val="21"/>
        </w:rPr>
        <w:t xml:space="preserve"> </w:t>
      </w:r>
      <w:r w:rsidR="00937524">
        <w:rPr>
          <w:rFonts w:asciiTheme="majorHAnsi" w:hAnsiTheme="majorHAnsi"/>
          <w:szCs w:val="21"/>
        </w:rPr>
        <w:t>T</w:t>
      </w:r>
      <w:r w:rsidRPr="00482801">
        <w:rPr>
          <w:rFonts w:asciiTheme="majorHAnsi" w:hAnsiTheme="majorHAnsi"/>
          <w:szCs w:val="21"/>
        </w:rPr>
        <w:t>hey are often excluded from participating in decision-making processes. There are high levels of violence against women and children, with 72% of women and girls experiencing physical and sexual violence in their lifetime</w:t>
      </w:r>
      <w:r w:rsidR="00B90B43" w:rsidRPr="007850DD">
        <w:rPr>
          <w:rFonts w:asciiTheme="majorHAnsi" w:hAnsiTheme="majorHAnsi"/>
          <w:szCs w:val="21"/>
        </w:rPr>
        <w:t>, of whom 21% were left with permanent injuries</w:t>
      </w:r>
      <w:r w:rsidRPr="00482801">
        <w:rPr>
          <w:rFonts w:asciiTheme="majorHAnsi" w:hAnsiTheme="majorHAnsi"/>
          <w:szCs w:val="21"/>
        </w:rPr>
        <w:t xml:space="preserve">. </w:t>
      </w:r>
      <w:r w:rsidR="0084054F" w:rsidRPr="007850DD">
        <w:rPr>
          <w:rFonts w:asciiTheme="majorHAnsi" w:hAnsiTheme="majorHAnsi"/>
          <w:szCs w:val="21"/>
        </w:rPr>
        <w:t xml:space="preserve">The vast majority of women and men aged between 15-49 years think that wife-beating is justified in certain circumstances, pointing to a high level of community acceptance of this behaviour. </w:t>
      </w:r>
      <w:r w:rsidRPr="00482801">
        <w:rPr>
          <w:rFonts w:asciiTheme="majorHAnsi" w:hAnsiTheme="majorHAnsi"/>
          <w:szCs w:val="21"/>
        </w:rPr>
        <w:t>The majority (60%) of offenders in Vanuatu Correctional Centres are servicing sentences for offences against morality (violent sexual offences), most of whom are between the ages of 19 and 25. Most of their victims are girls (</w:t>
      </w:r>
      <w:r w:rsidR="00452F78">
        <w:rPr>
          <w:rFonts w:asciiTheme="majorHAnsi" w:hAnsiTheme="majorHAnsi"/>
          <w:szCs w:val="21"/>
        </w:rPr>
        <w:t>70</w:t>
      </w:r>
      <w:r w:rsidRPr="00482801">
        <w:rPr>
          <w:rFonts w:asciiTheme="majorHAnsi" w:hAnsiTheme="majorHAnsi"/>
          <w:szCs w:val="21"/>
        </w:rPr>
        <w:t>% are between ages 11-15).</w:t>
      </w:r>
      <w:r w:rsidRPr="00482801">
        <w:rPr>
          <w:rStyle w:val="FootnoteReference"/>
          <w:rFonts w:asciiTheme="majorHAnsi" w:hAnsiTheme="majorHAnsi"/>
          <w:szCs w:val="21"/>
        </w:rPr>
        <w:footnoteReference w:id="11"/>
      </w:r>
      <w:r w:rsidRPr="00482801">
        <w:rPr>
          <w:rFonts w:asciiTheme="majorHAnsi" w:hAnsiTheme="majorHAnsi"/>
          <w:szCs w:val="21"/>
        </w:rPr>
        <w:t xml:space="preserve"> The violence and control often means that women are excluded from fully participating in the economy or even completing/continuing education.</w:t>
      </w:r>
    </w:p>
    <w:p w14:paraId="2BE01568" w14:textId="65B6CDB5" w:rsidR="00482801" w:rsidRPr="00974959" w:rsidRDefault="00482801" w:rsidP="00C252E0">
      <w:pPr>
        <w:pStyle w:val="ListBullet"/>
        <w:numPr>
          <w:ilvl w:val="0"/>
          <w:numId w:val="0"/>
        </w:numPr>
        <w:spacing w:before="120" w:line="240" w:lineRule="auto"/>
        <w:rPr>
          <w:rFonts w:asciiTheme="majorHAnsi" w:hAnsiTheme="majorHAnsi"/>
          <w:b/>
          <w:szCs w:val="21"/>
          <w:u w:val="single"/>
        </w:rPr>
      </w:pPr>
      <w:r w:rsidRPr="00482801">
        <w:rPr>
          <w:rFonts w:asciiTheme="majorHAnsi" w:hAnsiTheme="majorHAnsi"/>
          <w:b/>
          <w:szCs w:val="21"/>
          <w:u w:val="single"/>
        </w:rPr>
        <w:t>Proposed partner</w:t>
      </w:r>
      <w:r w:rsidRPr="00974959">
        <w:rPr>
          <w:rFonts w:asciiTheme="majorHAnsi" w:hAnsiTheme="majorHAnsi"/>
          <w:b/>
          <w:szCs w:val="21"/>
          <w:u w:val="single"/>
        </w:rPr>
        <w:t>:</w:t>
      </w:r>
      <w:r w:rsidRPr="00974959" w:rsidDel="00E11C3A">
        <w:rPr>
          <w:rFonts w:asciiTheme="majorHAnsi" w:hAnsiTheme="majorHAnsi"/>
          <w:b/>
          <w:szCs w:val="21"/>
          <w:u w:val="single"/>
        </w:rPr>
        <w:t xml:space="preserve"> </w:t>
      </w:r>
    </w:p>
    <w:p w14:paraId="4EA1F92B" w14:textId="221177BB" w:rsidR="00482801" w:rsidRPr="00482801" w:rsidRDefault="00482801" w:rsidP="00C252E0">
      <w:pPr>
        <w:pStyle w:val="ListBullet"/>
        <w:numPr>
          <w:ilvl w:val="0"/>
          <w:numId w:val="0"/>
        </w:numPr>
        <w:tabs>
          <w:tab w:val="clear" w:pos="284"/>
          <w:tab w:val="left" w:pos="22"/>
        </w:tabs>
        <w:spacing w:before="120" w:line="240" w:lineRule="auto"/>
        <w:rPr>
          <w:rFonts w:asciiTheme="majorHAnsi" w:hAnsiTheme="majorHAnsi"/>
          <w:szCs w:val="21"/>
        </w:rPr>
      </w:pPr>
      <w:r w:rsidRPr="00482801">
        <w:rPr>
          <w:rFonts w:asciiTheme="majorHAnsi" w:hAnsiTheme="majorHAnsi"/>
          <w:szCs w:val="21"/>
        </w:rPr>
        <w:t xml:space="preserve">Wan Smolbag Theatre (WSB) is a vibrant civil society organisation </w:t>
      </w:r>
      <w:r w:rsidR="00A837B2">
        <w:rPr>
          <w:rFonts w:asciiTheme="majorHAnsi" w:hAnsiTheme="majorHAnsi"/>
          <w:szCs w:val="21"/>
        </w:rPr>
        <w:t xml:space="preserve">(CSO) </w:t>
      </w:r>
      <w:r w:rsidRPr="00482801">
        <w:rPr>
          <w:rFonts w:asciiTheme="majorHAnsi" w:hAnsiTheme="majorHAnsi"/>
          <w:szCs w:val="21"/>
        </w:rPr>
        <w:t xml:space="preserve">in Vanuatu that equips communities with information that is easily understandable and targeted. WSB activities support people, including the most vulnerable, to make informed choices about their lives and resources. This gives them the opportunity to participate more fully in society and to contribute to Vanuatu’s continued development and growth. </w:t>
      </w:r>
      <w:r w:rsidR="0086708B">
        <w:rPr>
          <w:rFonts w:asciiTheme="majorHAnsi" w:hAnsiTheme="majorHAnsi"/>
          <w:szCs w:val="21"/>
        </w:rPr>
        <w:t xml:space="preserve">WSB is a higly flexible and politically aware CSO that </w:t>
      </w:r>
      <w:r w:rsidR="00316424" w:rsidRPr="007850DD">
        <w:rPr>
          <w:rFonts w:asciiTheme="majorHAnsi" w:hAnsiTheme="majorHAnsi"/>
          <w:szCs w:val="21"/>
        </w:rPr>
        <w:t>foster</w:t>
      </w:r>
      <w:r w:rsidR="0086708B">
        <w:rPr>
          <w:rFonts w:asciiTheme="majorHAnsi" w:hAnsiTheme="majorHAnsi"/>
          <w:szCs w:val="21"/>
        </w:rPr>
        <w:t>s</w:t>
      </w:r>
      <w:r w:rsidR="00316424" w:rsidRPr="007850DD">
        <w:rPr>
          <w:rFonts w:asciiTheme="majorHAnsi" w:hAnsiTheme="majorHAnsi"/>
          <w:szCs w:val="21"/>
        </w:rPr>
        <w:t xml:space="preserve"> </w:t>
      </w:r>
      <w:r w:rsidR="0086708B">
        <w:rPr>
          <w:rFonts w:asciiTheme="majorHAnsi" w:hAnsiTheme="majorHAnsi"/>
          <w:szCs w:val="21"/>
        </w:rPr>
        <w:t>an environment</w:t>
      </w:r>
      <w:r w:rsidR="00316424" w:rsidRPr="007850DD">
        <w:rPr>
          <w:rFonts w:asciiTheme="majorHAnsi" w:hAnsiTheme="majorHAnsi"/>
          <w:szCs w:val="21"/>
        </w:rPr>
        <w:t xml:space="preserve"> in which citi</w:t>
      </w:r>
      <w:r w:rsidR="00316424">
        <w:rPr>
          <w:rFonts w:asciiTheme="majorHAnsi" w:hAnsiTheme="majorHAnsi"/>
          <w:szCs w:val="21"/>
        </w:rPr>
        <w:t>z</w:t>
      </w:r>
      <w:r w:rsidR="00316424" w:rsidRPr="007850DD">
        <w:rPr>
          <w:rFonts w:asciiTheme="majorHAnsi" w:hAnsiTheme="majorHAnsi"/>
          <w:szCs w:val="21"/>
        </w:rPr>
        <w:t>ens and organisations can make legitimate demands of their governments</w:t>
      </w:r>
      <w:r w:rsidRPr="00482801">
        <w:rPr>
          <w:rFonts w:asciiTheme="majorHAnsi" w:hAnsiTheme="majorHAnsi"/>
          <w:szCs w:val="21"/>
        </w:rPr>
        <w:t>. It also assists in preparing communities for natural disasters, given that Vanuatu is ranked as the world’s most vulnerable country to extreme natural events</w:t>
      </w:r>
      <w:r w:rsidRPr="00482801">
        <w:rPr>
          <w:rStyle w:val="FootnoteReference"/>
          <w:rFonts w:asciiTheme="majorHAnsi" w:hAnsiTheme="majorHAnsi"/>
          <w:szCs w:val="21"/>
        </w:rPr>
        <w:footnoteReference w:id="12"/>
      </w:r>
      <w:r w:rsidRPr="00482801">
        <w:rPr>
          <w:rFonts w:asciiTheme="majorHAnsi" w:hAnsiTheme="majorHAnsi"/>
          <w:szCs w:val="21"/>
        </w:rPr>
        <w:t>.</w:t>
      </w:r>
    </w:p>
    <w:p w14:paraId="36E0BDEA" w14:textId="66EBF189" w:rsidR="00482801" w:rsidRPr="00482801" w:rsidRDefault="00482801" w:rsidP="00C252E0">
      <w:pPr>
        <w:pStyle w:val="ListBullet"/>
        <w:numPr>
          <w:ilvl w:val="0"/>
          <w:numId w:val="0"/>
        </w:numPr>
        <w:spacing w:before="120" w:line="240" w:lineRule="auto"/>
        <w:rPr>
          <w:rFonts w:asciiTheme="majorHAnsi" w:hAnsiTheme="majorHAnsi"/>
          <w:szCs w:val="21"/>
        </w:rPr>
      </w:pPr>
      <w:r w:rsidRPr="00482801">
        <w:rPr>
          <w:rFonts w:asciiTheme="majorHAnsi" w:hAnsiTheme="majorHAnsi"/>
          <w:szCs w:val="21"/>
        </w:rPr>
        <w:t xml:space="preserve">The </w:t>
      </w:r>
      <w:r w:rsidR="00A837B2">
        <w:rPr>
          <w:rFonts w:asciiTheme="majorHAnsi" w:hAnsiTheme="majorHAnsi"/>
          <w:szCs w:val="21"/>
        </w:rPr>
        <w:t>innovative</w:t>
      </w:r>
      <w:r w:rsidR="00A837B2" w:rsidRPr="00482801">
        <w:rPr>
          <w:rFonts w:asciiTheme="majorHAnsi" w:hAnsiTheme="majorHAnsi"/>
          <w:szCs w:val="21"/>
        </w:rPr>
        <w:t xml:space="preserve"> </w:t>
      </w:r>
      <w:r w:rsidR="00A837B2">
        <w:rPr>
          <w:rFonts w:asciiTheme="majorHAnsi" w:hAnsiTheme="majorHAnsi"/>
          <w:szCs w:val="21"/>
        </w:rPr>
        <w:t xml:space="preserve">CSO </w:t>
      </w:r>
      <w:r w:rsidRPr="00482801">
        <w:rPr>
          <w:rFonts w:asciiTheme="majorHAnsi" w:hAnsiTheme="majorHAnsi"/>
          <w:szCs w:val="21"/>
        </w:rPr>
        <w:t>stands out as one of the best examples of community media and Communication for Development (C4D) in the Pacific</w:t>
      </w:r>
      <w:r w:rsidRPr="00482801">
        <w:rPr>
          <w:rFonts w:asciiTheme="majorHAnsi" w:hAnsiTheme="majorHAnsi"/>
          <w:szCs w:val="21"/>
          <w:vertAlign w:val="superscript"/>
        </w:rPr>
        <w:footnoteReference w:id="13"/>
      </w:r>
      <w:r w:rsidRPr="00482801">
        <w:rPr>
          <w:rFonts w:asciiTheme="majorHAnsi" w:hAnsiTheme="majorHAnsi"/>
          <w:szCs w:val="21"/>
        </w:rPr>
        <w:t xml:space="preserve">. The company has </w:t>
      </w:r>
      <w:r w:rsidR="008B69CF">
        <w:rPr>
          <w:rFonts w:asciiTheme="majorHAnsi" w:hAnsiTheme="majorHAnsi"/>
          <w:szCs w:val="21"/>
        </w:rPr>
        <w:t>raised</w:t>
      </w:r>
      <w:r w:rsidRPr="00482801">
        <w:rPr>
          <w:rFonts w:asciiTheme="majorHAnsi" w:hAnsiTheme="majorHAnsi"/>
          <w:szCs w:val="21"/>
        </w:rPr>
        <w:t xml:space="preserve"> awareness about social issues, not only in Vanuatu but across the Pacific region. This demonstrates the effectiveness of the ‘edutainment’ model in the Pacific and the value of telling Pacific stories through local media such as radio, TV and theatre. The company also produced Love Patrol, a TV series distributed across the Pacific, which resulted in some significant social changes</w:t>
      </w:r>
      <w:r w:rsidRPr="00482801">
        <w:rPr>
          <w:rStyle w:val="FootnoteReference"/>
          <w:rFonts w:asciiTheme="majorHAnsi" w:hAnsiTheme="majorHAnsi"/>
          <w:szCs w:val="21"/>
        </w:rPr>
        <w:footnoteReference w:id="14"/>
      </w:r>
      <w:r w:rsidRPr="00482801">
        <w:rPr>
          <w:rFonts w:asciiTheme="majorHAnsi" w:hAnsiTheme="majorHAnsi"/>
          <w:szCs w:val="21"/>
        </w:rPr>
        <w:t>.</w:t>
      </w:r>
    </w:p>
    <w:p w14:paraId="3151C92C" w14:textId="53419A35" w:rsidR="006D6821" w:rsidRDefault="006D6821" w:rsidP="00C252E0">
      <w:pPr>
        <w:pStyle w:val="ListBullet"/>
        <w:numPr>
          <w:ilvl w:val="0"/>
          <w:numId w:val="0"/>
        </w:numPr>
        <w:tabs>
          <w:tab w:val="clear" w:pos="284"/>
        </w:tabs>
        <w:spacing w:before="120" w:line="240" w:lineRule="auto"/>
        <w:rPr>
          <w:rFonts w:asciiTheme="majorHAnsi" w:hAnsiTheme="majorHAnsi"/>
          <w:szCs w:val="21"/>
        </w:rPr>
      </w:pPr>
      <w:r>
        <w:rPr>
          <w:rFonts w:asciiTheme="majorHAnsi" w:hAnsiTheme="majorHAnsi"/>
          <w:szCs w:val="21"/>
        </w:rPr>
        <w:t xml:space="preserve">During the </w:t>
      </w:r>
      <w:r w:rsidR="009F5019">
        <w:rPr>
          <w:rFonts w:asciiTheme="majorHAnsi" w:hAnsiTheme="majorHAnsi"/>
          <w:szCs w:val="21"/>
        </w:rPr>
        <w:t>last 3</w:t>
      </w:r>
      <w:r>
        <w:rPr>
          <w:rFonts w:asciiTheme="majorHAnsi" w:hAnsiTheme="majorHAnsi"/>
          <w:szCs w:val="21"/>
        </w:rPr>
        <w:t xml:space="preserve"> years of support</w:t>
      </w:r>
      <w:r w:rsidR="00E4431E">
        <w:rPr>
          <w:rFonts w:asciiTheme="majorHAnsi" w:hAnsiTheme="majorHAnsi"/>
          <w:szCs w:val="21"/>
        </w:rPr>
        <w:t xml:space="preserve"> (201</w:t>
      </w:r>
      <w:r w:rsidR="009F5019">
        <w:rPr>
          <w:rFonts w:asciiTheme="majorHAnsi" w:hAnsiTheme="majorHAnsi"/>
          <w:szCs w:val="21"/>
        </w:rPr>
        <w:t>4</w:t>
      </w:r>
      <w:r w:rsidR="00E4431E">
        <w:rPr>
          <w:rFonts w:asciiTheme="majorHAnsi" w:hAnsiTheme="majorHAnsi"/>
          <w:szCs w:val="21"/>
        </w:rPr>
        <w:t>-201</w:t>
      </w:r>
      <w:r w:rsidR="00B821A5">
        <w:rPr>
          <w:rFonts w:asciiTheme="majorHAnsi" w:hAnsiTheme="majorHAnsi"/>
          <w:szCs w:val="21"/>
        </w:rPr>
        <w:t>6</w:t>
      </w:r>
      <w:r w:rsidR="00E4431E">
        <w:rPr>
          <w:rFonts w:asciiTheme="majorHAnsi" w:hAnsiTheme="majorHAnsi"/>
          <w:szCs w:val="21"/>
        </w:rPr>
        <w:t>)</w:t>
      </w:r>
      <w:r>
        <w:rPr>
          <w:rFonts w:asciiTheme="majorHAnsi" w:hAnsiTheme="majorHAnsi"/>
          <w:szCs w:val="21"/>
        </w:rPr>
        <w:t>, WSB has delivered the following results:</w:t>
      </w:r>
    </w:p>
    <w:p w14:paraId="299F66CA" w14:textId="5ECCCB83" w:rsidR="006D6821" w:rsidRDefault="009F5019" w:rsidP="00C252E0">
      <w:pPr>
        <w:pStyle w:val="ListBullet"/>
        <w:numPr>
          <w:ilvl w:val="0"/>
          <w:numId w:val="23"/>
        </w:numPr>
        <w:tabs>
          <w:tab w:val="clear" w:pos="284"/>
        </w:tabs>
        <w:spacing w:before="120" w:line="240" w:lineRule="auto"/>
        <w:ind w:left="426" w:hanging="284"/>
        <w:rPr>
          <w:rFonts w:asciiTheme="majorHAnsi" w:hAnsiTheme="majorHAnsi"/>
          <w:szCs w:val="21"/>
        </w:rPr>
      </w:pPr>
      <w:r>
        <w:rPr>
          <w:rFonts w:asciiTheme="majorHAnsi" w:hAnsiTheme="majorHAnsi"/>
          <w:szCs w:val="21"/>
        </w:rPr>
        <w:t xml:space="preserve">46,000 women and </w:t>
      </w:r>
      <w:r w:rsidR="006D6821">
        <w:rPr>
          <w:rFonts w:asciiTheme="majorHAnsi" w:hAnsiTheme="majorHAnsi"/>
          <w:szCs w:val="21"/>
        </w:rPr>
        <w:t xml:space="preserve">men </w:t>
      </w:r>
      <w:r w:rsidR="00B821A5">
        <w:rPr>
          <w:rFonts w:asciiTheme="majorHAnsi" w:hAnsiTheme="majorHAnsi"/>
          <w:szCs w:val="21"/>
        </w:rPr>
        <w:t xml:space="preserve">accessed reproductive health </w:t>
      </w:r>
      <w:r w:rsidR="006D6821">
        <w:rPr>
          <w:rFonts w:asciiTheme="majorHAnsi" w:hAnsiTheme="majorHAnsi"/>
          <w:szCs w:val="21"/>
        </w:rPr>
        <w:t>services</w:t>
      </w:r>
      <w:r w:rsidR="00B821A5">
        <w:rPr>
          <w:rFonts w:asciiTheme="majorHAnsi" w:hAnsiTheme="majorHAnsi"/>
          <w:szCs w:val="21"/>
        </w:rPr>
        <w:t xml:space="preserve">, </w:t>
      </w:r>
      <w:r>
        <w:rPr>
          <w:rFonts w:asciiTheme="majorHAnsi" w:hAnsiTheme="majorHAnsi"/>
          <w:szCs w:val="21"/>
        </w:rPr>
        <w:t>or provided primary healthcare (at the request of the Ministry of Health)</w:t>
      </w:r>
      <w:r w:rsidR="00B821A5">
        <w:rPr>
          <w:rFonts w:asciiTheme="majorHAnsi" w:hAnsiTheme="majorHAnsi"/>
          <w:szCs w:val="21"/>
        </w:rPr>
        <w:t>,</w:t>
      </w:r>
      <w:r w:rsidR="006D6821">
        <w:rPr>
          <w:rFonts w:asciiTheme="majorHAnsi" w:hAnsiTheme="majorHAnsi"/>
          <w:szCs w:val="21"/>
        </w:rPr>
        <w:t xml:space="preserve"> </w:t>
      </w:r>
      <w:r>
        <w:rPr>
          <w:rFonts w:asciiTheme="majorHAnsi" w:hAnsiTheme="majorHAnsi"/>
          <w:szCs w:val="21"/>
        </w:rPr>
        <w:t xml:space="preserve">at </w:t>
      </w:r>
      <w:r w:rsidR="006D6821">
        <w:rPr>
          <w:rFonts w:asciiTheme="majorHAnsi" w:hAnsiTheme="majorHAnsi"/>
          <w:szCs w:val="21"/>
        </w:rPr>
        <w:t>the WSB health clinic</w:t>
      </w:r>
      <w:r w:rsidR="00B821A5">
        <w:rPr>
          <w:rFonts w:asciiTheme="majorHAnsi" w:hAnsiTheme="majorHAnsi"/>
          <w:szCs w:val="21"/>
        </w:rPr>
        <w:t>s</w:t>
      </w:r>
      <w:r>
        <w:rPr>
          <w:rFonts w:asciiTheme="majorHAnsi" w:hAnsiTheme="majorHAnsi"/>
          <w:szCs w:val="21"/>
        </w:rPr>
        <w:t xml:space="preserve"> or through mobile</w:t>
      </w:r>
      <w:r w:rsidR="007850DD">
        <w:rPr>
          <w:rFonts w:asciiTheme="majorHAnsi" w:hAnsiTheme="majorHAnsi"/>
          <w:szCs w:val="21"/>
        </w:rPr>
        <w:t xml:space="preserve"> clinic services;</w:t>
      </w:r>
    </w:p>
    <w:p w14:paraId="1502E8C6" w14:textId="234BC618" w:rsidR="00B821A5" w:rsidRDefault="009F5019" w:rsidP="00C252E0">
      <w:pPr>
        <w:pStyle w:val="ListBullet"/>
        <w:numPr>
          <w:ilvl w:val="0"/>
          <w:numId w:val="23"/>
        </w:numPr>
        <w:tabs>
          <w:tab w:val="clear" w:pos="284"/>
        </w:tabs>
        <w:spacing w:before="120" w:line="240" w:lineRule="auto"/>
        <w:ind w:left="426" w:hanging="284"/>
        <w:rPr>
          <w:rFonts w:asciiTheme="majorHAnsi" w:hAnsiTheme="majorHAnsi"/>
          <w:szCs w:val="21"/>
        </w:rPr>
      </w:pPr>
      <w:r>
        <w:rPr>
          <w:rFonts w:asciiTheme="majorHAnsi" w:hAnsiTheme="majorHAnsi"/>
          <w:szCs w:val="21"/>
        </w:rPr>
        <w:t xml:space="preserve">26,000 </w:t>
      </w:r>
      <w:r w:rsidR="00B821A5">
        <w:rPr>
          <w:rFonts w:asciiTheme="majorHAnsi" w:hAnsiTheme="majorHAnsi"/>
          <w:szCs w:val="21"/>
        </w:rPr>
        <w:t xml:space="preserve">young women </w:t>
      </w:r>
      <w:r>
        <w:rPr>
          <w:rFonts w:asciiTheme="majorHAnsi" w:hAnsiTheme="majorHAnsi"/>
          <w:szCs w:val="21"/>
        </w:rPr>
        <w:t xml:space="preserve">and men </w:t>
      </w:r>
      <w:r w:rsidR="00B821A5">
        <w:rPr>
          <w:rFonts w:asciiTheme="majorHAnsi" w:hAnsiTheme="majorHAnsi"/>
          <w:szCs w:val="21"/>
        </w:rPr>
        <w:t>were engaged in peer educati</w:t>
      </w:r>
      <w:r w:rsidR="007850DD">
        <w:rPr>
          <w:rFonts w:asciiTheme="majorHAnsi" w:hAnsiTheme="majorHAnsi"/>
          <w:szCs w:val="21"/>
        </w:rPr>
        <w:t>on sessions in target locations;</w:t>
      </w:r>
    </w:p>
    <w:p w14:paraId="493771CC" w14:textId="106FE7E7" w:rsidR="006D6821" w:rsidRDefault="009F5019" w:rsidP="00C252E0">
      <w:pPr>
        <w:pStyle w:val="ListBullet"/>
        <w:numPr>
          <w:ilvl w:val="0"/>
          <w:numId w:val="23"/>
        </w:numPr>
        <w:tabs>
          <w:tab w:val="clear" w:pos="284"/>
        </w:tabs>
        <w:spacing w:before="120" w:line="240" w:lineRule="auto"/>
        <w:ind w:left="426" w:hanging="284"/>
        <w:rPr>
          <w:rFonts w:asciiTheme="majorHAnsi" w:hAnsiTheme="majorHAnsi"/>
          <w:szCs w:val="21"/>
        </w:rPr>
      </w:pPr>
      <w:r>
        <w:rPr>
          <w:rFonts w:asciiTheme="majorHAnsi" w:hAnsiTheme="majorHAnsi"/>
          <w:szCs w:val="21"/>
        </w:rPr>
        <w:t xml:space="preserve">6,000 </w:t>
      </w:r>
      <w:r w:rsidR="00B821A5">
        <w:rPr>
          <w:rFonts w:asciiTheme="majorHAnsi" w:hAnsiTheme="majorHAnsi"/>
          <w:szCs w:val="21"/>
        </w:rPr>
        <w:t>girls</w:t>
      </w:r>
      <w:r>
        <w:rPr>
          <w:rFonts w:asciiTheme="majorHAnsi" w:hAnsiTheme="majorHAnsi"/>
          <w:szCs w:val="21"/>
        </w:rPr>
        <w:t xml:space="preserve"> and boys</w:t>
      </w:r>
      <w:r w:rsidR="00B821A5">
        <w:rPr>
          <w:rFonts w:asciiTheme="majorHAnsi" w:hAnsiTheme="majorHAnsi"/>
          <w:szCs w:val="21"/>
        </w:rPr>
        <w:t>, young men and women, registered with the youth centres and took part in worksh</w:t>
      </w:r>
      <w:r w:rsidR="007850DD">
        <w:rPr>
          <w:rFonts w:asciiTheme="majorHAnsi" w:hAnsiTheme="majorHAnsi"/>
          <w:szCs w:val="21"/>
        </w:rPr>
        <w:t>ops and youth centre activities;</w:t>
      </w:r>
    </w:p>
    <w:p w14:paraId="6A33C8EF" w14:textId="1ADDC08F" w:rsidR="006D6821" w:rsidRDefault="006D6821" w:rsidP="00C252E0">
      <w:pPr>
        <w:pStyle w:val="ListBullet"/>
        <w:numPr>
          <w:ilvl w:val="0"/>
          <w:numId w:val="23"/>
        </w:numPr>
        <w:tabs>
          <w:tab w:val="clear" w:pos="284"/>
        </w:tabs>
        <w:spacing w:before="120" w:line="240" w:lineRule="auto"/>
        <w:ind w:left="426" w:hanging="284"/>
        <w:rPr>
          <w:rFonts w:asciiTheme="majorHAnsi" w:hAnsiTheme="majorHAnsi"/>
          <w:szCs w:val="21"/>
        </w:rPr>
      </w:pPr>
      <w:r>
        <w:rPr>
          <w:rFonts w:asciiTheme="majorHAnsi" w:hAnsiTheme="majorHAnsi"/>
          <w:szCs w:val="21"/>
        </w:rPr>
        <w:t xml:space="preserve">audiences of </w:t>
      </w:r>
      <w:r w:rsidR="009F5019">
        <w:rPr>
          <w:rFonts w:asciiTheme="majorHAnsi" w:hAnsiTheme="majorHAnsi"/>
          <w:szCs w:val="21"/>
        </w:rPr>
        <w:t>115</w:t>
      </w:r>
      <w:r w:rsidR="00B821A5">
        <w:rPr>
          <w:rFonts w:asciiTheme="majorHAnsi" w:hAnsiTheme="majorHAnsi"/>
          <w:szCs w:val="21"/>
        </w:rPr>
        <w:t>,500</w:t>
      </w:r>
      <w:r>
        <w:rPr>
          <w:rFonts w:asciiTheme="majorHAnsi" w:hAnsiTheme="majorHAnsi"/>
          <w:szCs w:val="21"/>
        </w:rPr>
        <w:t xml:space="preserve"> men and women attend</w:t>
      </w:r>
      <w:r w:rsidR="00B821A5">
        <w:rPr>
          <w:rFonts w:asciiTheme="majorHAnsi" w:hAnsiTheme="majorHAnsi"/>
          <w:szCs w:val="21"/>
        </w:rPr>
        <w:t>ed</w:t>
      </w:r>
      <w:r>
        <w:rPr>
          <w:rFonts w:asciiTheme="majorHAnsi" w:hAnsiTheme="majorHAnsi"/>
          <w:szCs w:val="21"/>
        </w:rPr>
        <w:t xml:space="preserve"> </w:t>
      </w:r>
      <w:r w:rsidR="002D7455">
        <w:rPr>
          <w:rFonts w:asciiTheme="majorHAnsi" w:hAnsiTheme="majorHAnsi"/>
          <w:szCs w:val="21"/>
        </w:rPr>
        <w:t xml:space="preserve">some </w:t>
      </w:r>
      <w:r w:rsidR="009F5019">
        <w:rPr>
          <w:rFonts w:asciiTheme="majorHAnsi" w:hAnsiTheme="majorHAnsi"/>
          <w:szCs w:val="21"/>
        </w:rPr>
        <w:t xml:space="preserve">30 </w:t>
      </w:r>
      <w:r>
        <w:rPr>
          <w:rFonts w:asciiTheme="majorHAnsi" w:hAnsiTheme="majorHAnsi"/>
          <w:szCs w:val="21"/>
        </w:rPr>
        <w:t>theatre</w:t>
      </w:r>
      <w:r w:rsidR="00CF53FF">
        <w:rPr>
          <w:rFonts w:asciiTheme="majorHAnsi" w:hAnsiTheme="majorHAnsi"/>
          <w:szCs w:val="21"/>
        </w:rPr>
        <w:t xml:space="preserve"> and film</w:t>
      </w:r>
      <w:r>
        <w:rPr>
          <w:rFonts w:asciiTheme="majorHAnsi" w:hAnsiTheme="majorHAnsi"/>
          <w:szCs w:val="21"/>
        </w:rPr>
        <w:t xml:space="preserve"> productions and </w:t>
      </w:r>
      <w:r w:rsidR="009F5019">
        <w:rPr>
          <w:rFonts w:asciiTheme="majorHAnsi" w:hAnsiTheme="majorHAnsi"/>
          <w:szCs w:val="21"/>
        </w:rPr>
        <w:t xml:space="preserve">80,000 </w:t>
      </w:r>
      <w:r w:rsidR="00B821A5">
        <w:rPr>
          <w:rFonts w:asciiTheme="majorHAnsi" w:hAnsiTheme="majorHAnsi"/>
          <w:szCs w:val="21"/>
        </w:rPr>
        <w:t xml:space="preserve">WSB resources (DVDs and educational materials) were distributed to 16 </w:t>
      </w:r>
      <w:r>
        <w:rPr>
          <w:rFonts w:asciiTheme="majorHAnsi" w:hAnsiTheme="majorHAnsi"/>
          <w:szCs w:val="21"/>
        </w:rPr>
        <w:t>countries</w:t>
      </w:r>
      <w:r w:rsidR="007850DD">
        <w:rPr>
          <w:rFonts w:asciiTheme="majorHAnsi" w:hAnsiTheme="majorHAnsi"/>
          <w:szCs w:val="21"/>
        </w:rPr>
        <w:t>;</w:t>
      </w:r>
    </w:p>
    <w:p w14:paraId="41CA6F25" w14:textId="45596BDF" w:rsidR="00CF53FF" w:rsidRDefault="00CF53FF" w:rsidP="00C252E0">
      <w:pPr>
        <w:pStyle w:val="ListBullet"/>
        <w:numPr>
          <w:ilvl w:val="0"/>
          <w:numId w:val="23"/>
        </w:numPr>
        <w:tabs>
          <w:tab w:val="clear" w:pos="284"/>
        </w:tabs>
        <w:spacing w:before="120" w:line="240" w:lineRule="auto"/>
        <w:ind w:left="426" w:hanging="284"/>
        <w:rPr>
          <w:rFonts w:asciiTheme="majorHAnsi" w:hAnsiTheme="majorHAnsi"/>
          <w:szCs w:val="21"/>
        </w:rPr>
      </w:pPr>
      <w:r>
        <w:rPr>
          <w:rFonts w:asciiTheme="majorHAnsi" w:hAnsiTheme="majorHAnsi"/>
          <w:szCs w:val="21"/>
        </w:rPr>
        <w:t>provided emergency accommodation and shelter for 256</w:t>
      </w:r>
      <w:r w:rsidR="00B821A5">
        <w:rPr>
          <w:rFonts w:asciiTheme="majorHAnsi" w:hAnsiTheme="majorHAnsi"/>
          <w:szCs w:val="21"/>
        </w:rPr>
        <w:t xml:space="preserve"> men and women, boys and girls</w:t>
      </w:r>
      <w:r>
        <w:rPr>
          <w:rFonts w:asciiTheme="majorHAnsi" w:hAnsiTheme="majorHAnsi"/>
          <w:szCs w:val="21"/>
        </w:rPr>
        <w:t>, including 2 living with a disability,</w:t>
      </w:r>
      <w:r w:rsidR="00B821A5">
        <w:rPr>
          <w:rFonts w:asciiTheme="majorHAnsi" w:hAnsiTheme="majorHAnsi"/>
          <w:szCs w:val="21"/>
        </w:rPr>
        <w:t xml:space="preserve"> </w:t>
      </w:r>
      <w:r>
        <w:rPr>
          <w:rFonts w:asciiTheme="majorHAnsi" w:hAnsiTheme="majorHAnsi"/>
          <w:szCs w:val="21"/>
        </w:rPr>
        <w:t xml:space="preserve">at </w:t>
      </w:r>
      <w:r w:rsidR="00B821A5">
        <w:rPr>
          <w:rFonts w:asciiTheme="majorHAnsi" w:hAnsiTheme="majorHAnsi"/>
          <w:szCs w:val="21"/>
        </w:rPr>
        <w:t>their centre in Port Vila</w:t>
      </w:r>
      <w:r>
        <w:rPr>
          <w:rFonts w:asciiTheme="majorHAnsi" w:hAnsiTheme="majorHAnsi"/>
          <w:szCs w:val="21"/>
        </w:rPr>
        <w:t xml:space="preserve"> during TC Pam</w:t>
      </w:r>
      <w:r w:rsidR="009F5019">
        <w:rPr>
          <w:rFonts w:asciiTheme="majorHAnsi" w:hAnsiTheme="majorHAnsi"/>
          <w:szCs w:val="21"/>
        </w:rPr>
        <w:t xml:space="preserve"> and worked </w:t>
      </w:r>
      <w:r w:rsidR="00845667">
        <w:rPr>
          <w:rFonts w:asciiTheme="majorHAnsi" w:hAnsiTheme="majorHAnsi"/>
          <w:szCs w:val="21"/>
        </w:rPr>
        <w:t xml:space="preserve">on improved resilience in </w:t>
      </w:r>
      <w:r w:rsidR="009F5019">
        <w:rPr>
          <w:rFonts w:asciiTheme="majorHAnsi" w:hAnsiTheme="majorHAnsi"/>
          <w:szCs w:val="21"/>
        </w:rPr>
        <w:t xml:space="preserve">5 communities </w:t>
      </w:r>
      <w:r w:rsidR="00845667">
        <w:rPr>
          <w:rFonts w:asciiTheme="majorHAnsi" w:hAnsiTheme="majorHAnsi"/>
          <w:szCs w:val="21"/>
        </w:rPr>
        <w:t xml:space="preserve">with 2600 community members </w:t>
      </w:r>
      <w:r w:rsidR="009F5019">
        <w:rPr>
          <w:rFonts w:asciiTheme="majorHAnsi" w:hAnsiTheme="majorHAnsi"/>
          <w:szCs w:val="21"/>
        </w:rPr>
        <w:t>on Efate and Malekula</w:t>
      </w:r>
      <w:r w:rsidR="007850DD">
        <w:rPr>
          <w:rFonts w:asciiTheme="majorHAnsi" w:hAnsiTheme="majorHAnsi"/>
          <w:szCs w:val="21"/>
        </w:rPr>
        <w:t>; and</w:t>
      </w:r>
    </w:p>
    <w:p w14:paraId="73C99D4B" w14:textId="1621C95F" w:rsidR="006D6821" w:rsidRDefault="00657407" w:rsidP="00C252E0">
      <w:pPr>
        <w:pStyle w:val="ListBullet"/>
        <w:numPr>
          <w:ilvl w:val="0"/>
          <w:numId w:val="23"/>
        </w:numPr>
        <w:tabs>
          <w:tab w:val="clear" w:pos="284"/>
        </w:tabs>
        <w:spacing w:before="120" w:line="240" w:lineRule="auto"/>
        <w:ind w:left="426" w:hanging="284"/>
        <w:rPr>
          <w:rFonts w:asciiTheme="majorHAnsi" w:hAnsiTheme="majorHAnsi"/>
          <w:szCs w:val="21"/>
        </w:rPr>
      </w:pPr>
      <w:r>
        <w:rPr>
          <w:rFonts w:asciiTheme="majorHAnsi" w:hAnsiTheme="majorHAnsi"/>
          <w:szCs w:val="21"/>
        </w:rPr>
        <w:t>80</w:t>
      </w:r>
      <w:r w:rsidR="006D6821">
        <w:rPr>
          <w:rFonts w:asciiTheme="majorHAnsi" w:hAnsiTheme="majorHAnsi"/>
          <w:szCs w:val="21"/>
        </w:rPr>
        <w:t xml:space="preserve">% </w:t>
      </w:r>
      <w:r>
        <w:rPr>
          <w:rFonts w:asciiTheme="majorHAnsi" w:hAnsiTheme="majorHAnsi"/>
          <w:szCs w:val="21"/>
        </w:rPr>
        <w:t xml:space="preserve">of </w:t>
      </w:r>
      <w:r w:rsidR="00FE02FE">
        <w:rPr>
          <w:rFonts w:asciiTheme="majorHAnsi" w:hAnsiTheme="majorHAnsi"/>
          <w:szCs w:val="21"/>
        </w:rPr>
        <w:t xml:space="preserve">a sample of the </w:t>
      </w:r>
      <w:r>
        <w:rPr>
          <w:rFonts w:asciiTheme="majorHAnsi" w:hAnsiTheme="majorHAnsi"/>
          <w:szCs w:val="21"/>
        </w:rPr>
        <w:t xml:space="preserve">audience </w:t>
      </w:r>
      <w:r w:rsidR="00FE02FE">
        <w:rPr>
          <w:rFonts w:asciiTheme="majorHAnsi" w:hAnsiTheme="majorHAnsi"/>
          <w:szCs w:val="21"/>
        </w:rPr>
        <w:t xml:space="preserve">(watching plays or participating in workshops) surveys conducted </w:t>
      </w:r>
      <w:r>
        <w:rPr>
          <w:rFonts w:asciiTheme="majorHAnsi" w:hAnsiTheme="majorHAnsi"/>
          <w:szCs w:val="21"/>
        </w:rPr>
        <w:t xml:space="preserve">reported an increase in </w:t>
      </w:r>
      <w:r w:rsidR="006D6821">
        <w:rPr>
          <w:rFonts w:asciiTheme="majorHAnsi" w:hAnsiTheme="majorHAnsi"/>
          <w:szCs w:val="21"/>
        </w:rPr>
        <w:t xml:space="preserve">awareness </w:t>
      </w:r>
      <w:r>
        <w:rPr>
          <w:rFonts w:asciiTheme="majorHAnsi" w:hAnsiTheme="majorHAnsi"/>
          <w:szCs w:val="21"/>
        </w:rPr>
        <w:t>on issues covered</w:t>
      </w:r>
      <w:r w:rsidR="007850DD">
        <w:rPr>
          <w:rFonts w:asciiTheme="majorHAnsi" w:hAnsiTheme="majorHAnsi"/>
          <w:szCs w:val="21"/>
        </w:rPr>
        <w:t>.</w:t>
      </w:r>
    </w:p>
    <w:p w14:paraId="66E284EF" w14:textId="19CABAC0" w:rsidR="00482801" w:rsidRDefault="00482801"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lastRenderedPageBreak/>
        <w:t>WSB’s holistic approach to community development has evolved over 28 years. Theatre is at the heart of WSB’s work and approach. Beyond its core acting group, WSB also hosts a community theatre troupe, a youth drama group, and the Rainbow Community Disability Theatre, a drama group made up of community members with cognitive and physical disabilities. It involves travelling to communities to perform plays</w:t>
      </w:r>
      <w:r w:rsidR="0086708B">
        <w:rPr>
          <w:rFonts w:asciiTheme="majorHAnsi" w:hAnsiTheme="majorHAnsi"/>
          <w:szCs w:val="21"/>
        </w:rPr>
        <w:t xml:space="preserve">, screening films </w:t>
      </w:r>
      <w:r w:rsidRPr="00482801">
        <w:rPr>
          <w:rFonts w:asciiTheme="majorHAnsi" w:hAnsiTheme="majorHAnsi"/>
          <w:szCs w:val="21"/>
        </w:rPr>
        <w:t xml:space="preserve">and </w:t>
      </w:r>
      <w:r w:rsidR="007D1275">
        <w:rPr>
          <w:rFonts w:asciiTheme="majorHAnsi" w:hAnsiTheme="majorHAnsi"/>
          <w:szCs w:val="21"/>
        </w:rPr>
        <w:t xml:space="preserve">running </w:t>
      </w:r>
      <w:r w:rsidRPr="00482801">
        <w:rPr>
          <w:rFonts w:asciiTheme="majorHAnsi" w:hAnsiTheme="majorHAnsi"/>
          <w:szCs w:val="21"/>
        </w:rPr>
        <w:t>workshop programs</w:t>
      </w:r>
      <w:r w:rsidR="002C5E62">
        <w:rPr>
          <w:rFonts w:asciiTheme="majorHAnsi" w:hAnsiTheme="majorHAnsi"/>
          <w:szCs w:val="21"/>
        </w:rPr>
        <w:t xml:space="preserve"> on key social issues. It comple</w:t>
      </w:r>
      <w:r w:rsidRPr="00482801">
        <w:rPr>
          <w:rFonts w:asciiTheme="majorHAnsi" w:hAnsiTheme="majorHAnsi"/>
          <w:szCs w:val="21"/>
        </w:rPr>
        <w:t>ments this by running health clinics (in partnership with the Ministry of Health), youth centres, and a youth nutrition centre, with school students coming to see theatre plays and taking part in other activities. It produces and uses high quality live drama, films and radio to create awareness and motivate action on critical social, economic and environmental development issues, and to allow people to make informed choices about their lives and resources.</w:t>
      </w:r>
      <w:r w:rsidR="00B90B43" w:rsidRPr="00B90B43">
        <w:rPr>
          <w:rFonts w:asciiTheme="majorHAnsi" w:hAnsiTheme="majorHAnsi"/>
          <w:szCs w:val="21"/>
        </w:rPr>
        <w:t xml:space="preserve"> </w:t>
      </w:r>
      <w:r w:rsidR="00B90B43">
        <w:rPr>
          <w:rFonts w:asciiTheme="majorHAnsi" w:hAnsiTheme="majorHAnsi"/>
          <w:szCs w:val="21"/>
        </w:rPr>
        <w:t>WSB is noted for challenging social norm</w:t>
      </w:r>
      <w:r w:rsidR="00B2000A">
        <w:rPr>
          <w:rFonts w:asciiTheme="majorHAnsi" w:hAnsiTheme="majorHAnsi"/>
          <w:szCs w:val="21"/>
        </w:rPr>
        <w:t>s</w:t>
      </w:r>
      <w:r w:rsidR="00B90B43">
        <w:rPr>
          <w:rFonts w:asciiTheme="majorHAnsi" w:hAnsiTheme="majorHAnsi"/>
          <w:szCs w:val="21"/>
        </w:rPr>
        <w:t xml:space="preserve"> on issues such as political corruption,</w:t>
      </w:r>
      <w:r w:rsidR="0084054F">
        <w:rPr>
          <w:rFonts w:asciiTheme="majorHAnsi" w:hAnsiTheme="majorHAnsi"/>
          <w:szCs w:val="21"/>
        </w:rPr>
        <w:t xml:space="preserve"> reproductive health rights</w:t>
      </w:r>
      <w:r w:rsidR="00B90B43">
        <w:rPr>
          <w:rFonts w:asciiTheme="majorHAnsi" w:hAnsiTheme="majorHAnsi"/>
          <w:szCs w:val="21"/>
        </w:rPr>
        <w:t xml:space="preserve"> and attitudes to HIV. The Love Patrol TV series and </w:t>
      </w:r>
      <w:r w:rsidR="005F243D">
        <w:rPr>
          <w:rFonts w:asciiTheme="majorHAnsi" w:hAnsiTheme="majorHAnsi"/>
          <w:szCs w:val="21"/>
        </w:rPr>
        <w:t xml:space="preserve">recent </w:t>
      </w:r>
      <w:r w:rsidR="00B90B43">
        <w:rPr>
          <w:rFonts w:asciiTheme="majorHAnsi" w:hAnsiTheme="majorHAnsi"/>
          <w:szCs w:val="21"/>
        </w:rPr>
        <w:t>films ‘Talemaot’ and ‘</w:t>
      </w:r>
      <w:r w:rsidR="0084054F">
        <w:rPr>
          <w:rFonts w:asciiTheme="majorHAnsi" w:hAnsiTheme="majorHAnsi"/>
          <w:szCs w:val="21"/>
        </w:rPr>
        <w:t>Laef I Swit’</w:t>
      </w:r>
      <w:r w:rsidR="00B90B43">
        <w:rPr>
          <w:rFonts w:asciiTheme="majorHAnsi" w:hAnsiTheme="majorHAnsi"/>
          <w:szCs w:val="21"/>
        </w:rPr>
        <w:t xml:space="preserve"> </w:t>
      </w:r>
      <w:r w:rsidR="0084054F">
        <w:rPr>
          <w:rFonts w:asciiTheme="majorHAnsi" w:hAnsiTheme="majorHAnsi"/>
          <w:szCs w:val="21"/>
        </w:rPr>
        <w:t xml:space="preserve">highlight </w:t>
      </w:r>
      <w:r w:rsidR="00B90B43">
        <w:rPr>
          <w:rFonts w:asciiTheme="majorHAnsi" w:hAnsiTheme="majorHAnsi"/>
          <w:szCs w:val="21"/>
        </w:rPr>
        <w:t xml:space="preserve">the </w:t>
      </w:r>
      <w:r w:rsidR="0084054F">
        <w:rPr>
          <w:rFonts w:asciiTheme="majorHAnsi" w:hAnsiTheme="majorHAnsi"/>
          <w:szCs w:val="21"/>
        </w:rPr>
        <w:t xml:space="preserve">serious </w:t>
      </w:r>
      <w:r w:rsidR="00B90B43">
        <w:rPr>
          <w:rFonts w:asciiTheme="majorHAnsi" w:hAnsiTheme="majorHAnsi"/>
          <w:szCs w:val="21"/>
        </w:rPr>
        <w:t xml:space="preserve">issue of violence against women, </w:t>
      </w:r>
      <w:r w:rsidR="0084054F">
        <w:rPr>
          <w:rFonts w:asciiTheme="majorHAnsi" w:hAnsiTheme="majorHAnsi"/>
          <w:szCs w:val="21"/>
        </w:rPr>
        <w:t xml:space="preserve">and the low status of women </w:t>
      </w:r>
      <w:r w:rsidR="005F243D">
        <w:rPr>
          <w:rFonts w:asciiTheme="majorHAnsi" w:hAnsiTheme="majorHAnsi"/>
          <w:szCs w:val="21"/>
        </w:rPr>
        <w:t xml:space="preserve">in </w:t>
      </w:r>
      <w:r w:rsidR="0084054F">
        <w:rPr>
          <w:rFonts w:asciiTheme="majorHAnsi" w:hAnsiTheme="majorHAnsi"/>
          <w:szCs w:val="21"/>
        </w:rPr>
        <w:t>society.</w:t>
      </w:r>
      <w:r w:rsidR="005F243D">
        <w:rPr>
          <w:rFonts w:asciiTheme="majorHAnsi" w:hAnsiTheme="majorHAnsi"/>
          <w:szCs w:val="21"/>
        </w:rPr>
        <w:t xml:space="preserve"> </w:t>
      </w:r>
    </w:p>
    <w:p w14:paraId="1B12B73E" w14:textId="087A55E7" w:rsidR="00482801" w:rsidRPr="00482801" w:rsidRDefault="0055016B" w:rsidP="00C252E0">
      <w:pPr>
        <w:pStyle w:val="ListBullet"/>
        <w:numPr>
          <w:ilvl w:val="0"/>
          <w:numId w:val="0"/>
        </w:numPr>
        <w:tabs>
          <w:tab w:val="clear" w:pos="284"/>
        </w:tabs>
        <w:spacing w:before="120" w:line="240" w:lineRule="auto"/>
        <w:rPr>
          <w:rFonts w:asciiTheme="majorHAnsi" w:hAnsiTheme="majorHAnsi"/>
          <w:szCs w:val="21"/>
        </w:rPr>
      </w:pPr>
      <w:r w:rsidRPr="00B2000A">
        <w:rPr>
          <w:rFonts w:asciiTheme="majorHAnsi" w:hAnsiTheme="majorHAnsi"/>
          <w:szCs w:val="21"/>
        </w:rPr>
        <w:t xml:space="preserve">Wan Smolbag actively promotes inclusion of boys and girls, men and women in all activities where appropriate. While participation alone is important, efforts are also made to ensure women have leadership and decision making opportunities in program activities. At present, </w:t>
      </w:r>
      <w:r w:rsidR="00B2000A">
        <w:rPr>
          <w:rFonts w:asciiTheme="majorHAnsi" w:hAnsiTheme="majorHAnsi"/>
          <w:szCs w:val="21"/>
        </w:rPr>
        <w:t xml:space="preserve">four </w:t>
      </w:r>
      <w:r w:rsidRPr="00B2000A">
        <w:rPr>
          <w:rFonts w:asciiTheme="majorHAnsi" w:hAnsiTheme="majorHAnsi"/>
          <w:szCs w:val="21"/>
        </w:rPr>
        <w:t xml:space="preserve">out of </w:t>
      </w:r>
      <w:r w:rsidR="00B2000A">
        <w:rPr>
          <w:rFonts w:asciiTheme="majorHAnsi" w:hAnsiTheme="majorHAnsi"/>
          <w:szCs w:val="21"/>
        </w:rPr>
        <w:t>six</w:t>
      </w:r>
      <w:r w:rsidRPr="00B2000A">
        <w:rPr>
          <w:rFonts w:asciiTheme="majorHAnsi" w:hAnsiTheme="majorHAnsi"/>
          <w:szCs w:val="21"/>
        </w:rPr>
        <w:t xml:space="preserve"> members of the management team are female. WSB female staff continue to occupy key roles such as: senior lead actresses, program coordinators, peer education coordinator, nutrition centre manager and script writer.</w:t>
      </w:r>
      <w:r w:rsidR="00D87C14">
        <w:rPr>
          <w:rFonts w:asciiTheme="majorHAnsi" w:hAnsiTheme="majorHAnsi"/>
          <w:szCs w:val="21"/>
        </w:rPr>
        <w:t xml:space="preserve"> </w:t>
      </w:r>
      <w:r w:rsidR="00482801" w:rsidRPr="00482801">
        <w:rPr>
          <w:rFonts w:asciiTheme="majorHAnsi" w:hAnsiTheme="majorHAnsi"/>
          <w:szCs w:val="21"/>
        </w:rPr>
        <w:t>Independent reviews show that WSB has well-trained, highly skilled and hard-working Ni-Vanuatu staff with a good national and regional reputation. WSB has strong and long-term partnerships with communities, government and other non-government organisations and an extensive, long-standing network of national and international contacts. WSB has a very large repertoire of plays that can be adapted for use across the Pacific and a large stock of films, videos and radio programs together with innovative and easy-to-use materials that encourage discussion and information exchange and include storylines of dramas in comic format for those with limited literacy skills.</w:t>
      </w:r>
    </w:p>
    <w:p w14:paraId="380C8703" w14:textId="66255C56" w:rsidR="00482801" w:rsidRPr="00482801" w:rsidRDefault="00482801" w:rsidP="00C252E0">
      <w:pPr>
        <w:pStyle w:val="ListBullet"/>
        <w:numPr>
          <w:ilvl w:val="0"/>
          <w:numId w:val="0"/>
        </w:numPr>
        <w:tabs>
          <w:tab w:val="clear" w:pos="284"/>
          <w:tab w:val="left" w:pos="22"/>
        </w:tabs>
        <w:spacing w:before="120" w:line="240" w:lineRule="auto"/>
        <w:rPr>
          <w:rFonts w:asciiTheme="majorHAnsi" w:hAnsiTheme="majorHAnsi"/>
          <w:szCs w:val="21"/>
        </w:rPr>
      </w:pPr>
      <w:r w:rsidRPr="00482801">
        <w:rPr>
          <w:rFonts w:asciiTheme="majorHAnsi" w:hAnsiTheme="majorHAnsi"/>
          <w:szCs w:val="21"/>
        </w:rPr>
        <w:t xml:space="preserve">WSB has </w:t>
      </w:r>
      <w:r w:rsidR="008B69CF">
        <w:rPr>
          <w:rFonts w:asciiTheme="majorHAnsi" w:hAnsiTheme="majorHAnsi"/>
          <w:szCs w:val="21"/>
        </w:rPr>
        <w:t xml:space="preserve">wide-ranging </w:t>
      </w:r>
      <w:r w:rsidRPr="00482801">
        <w:rPr>
          <w:rFonts w:asciiTheme="majorHAnsi" w:hAnsiTheme="majorHAnsi"/>
          <w:szCs w:val="21"/>
        </w:rPr>
        <w:t xml:space="preserve">physical resources and through building skills, providing opportunity, encouragement and employment over the years, WSB has made </w:t>
      </w:r>
      <w:r w:rsidR="008B69CF">
        <w:rPr>
          <w:rFonts w:asciiTheme="majorHAnsi" w:hAnsiTheme="majorHAnsi"/>
          <w:szCs w:val="21"/>
        </w:rPr>
        <w:t xml:space="preserve">positive </w:t>
      </w:r>
      <w:r w:rsidRPr="00482801">
        <w:rPr>
          <w:rFonts w:asciiTheme="majorHAnsi" w:hAnsiTheme="majorHAnsi"/>
          <w:szCs w:val="21"/>
        </w:rPr>
        <w:t>changes to the lives of many young men and women, most of whom had their first opportunity to participate in society through WSB.</w:t>
      </w:r>
    </w:p>
    <w:p w14:paraId="6163E76D" w14:textId="77777777" w:rsidR="00482801" w:rsidRPr="00482801" w:rsidRDefault="00482801"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t>The organisation’s activities extend beyond theatre. During disasters, WSB has become an official evacuation centre for those in the peri-urban communities and settlements of Blacksands, Tagabe River and Prima. During the Ambae evacuation, WSB centres in Luganville and on Pentecost were able to respond and help displaced communities.</w:t>
      </w:r>
    </w:p>
    <w:p w14:paraId="314604AA" w14:textId="77777777" w:rsidR="0086708B" w:rsidRDefault="00482801"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t>Apart from achievements through theatre, there are many examples of positive, sustainable change as a result of</w:t>
      </w:r>
      <w:r w:rsidR="0086708B">
        <w:rPr>
          <w:rFonts w:asciiTheme="majorHAnsi" w:hAnsiTheme="majorHAnsi"/>
          <w:szCs w:val="21"/>
        </w:rPr>
        <w:t xml:space="preserve"> other activities. For example: </w:t>
      </w:r>
    </w:p>
    <w:p w14:paraId="5A9148A6" w14:textId="26AF7D4D" w:rsidR="0086708B" w:rsidRDefault="0086708B" w:rsidP="0086708B">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Pr>
          <w:rFonts w:asciiTheme="majorHAnsi" w:hAnsiTheme="majorHAnsi" w:cs="Arial"/>
          <w:sz w:val="21"/>
          <w:szCs w:val="21"/>
        </w:rPr>
        <w:t>T</w:t>
      </w:r>
      <w:r w:rsidR="00482801" w:rsidRPr="0086708B">
        <w:rPr>
          <w:rFonts w:asciiTheme="majorHAnsi" w:hAnsiTheme="majorHAnsi" w:cs="Arial"/>
          <w:sz w:val="21"/>
          <w:szCs w:val="21"/>
        </w:rPr>
        <w:t>he Vanua-tai turtle monitors network created 20 years ago by WSB to address the decline of turtle populations around Vanuatu</w:t>
      </w:r>
      <w:r w:rsidR="008B69CF" w:rsidRPr="0086708B">
        <w:rPr>
          <w:rFonts w:asciiTheme="majorHAnsi" w:hAnsiTheme="majorHAnsi" w:cs="Arial"/>
          <w:sz w:val="21"/>
          <w:szCs w:val="21"/>
        </w:rPr>
        <w:t xml:space="preserve"> and to provide productive activities for communities</w:t>
      </w:r>
      <w:r w:rsidR="00482801" w:rsidRPr="0086708B">
        <w:rPr>
          <w:rFonts w:asciiTheme="majorHAnsi" w:hAnsiTheme="majorHAnsi" w:cs="Arial"/>
          <w:sz w:val="21"/>
          <w:szCs w:val="21"/>
        </w:rPr>
        <w:t xml:space="preserve"> has expanded to over 500 community volunteers in villages across Vanuatu. The network has been recognised internationally with an award for turtle conservation, and they are used by the Department of Fisheri</w:t>
      </w:r>
      <w:r>
        <w:rPr>
          <w:rFonts w:asciiTheme="majorHAnsi" w:hAnsiTheme="majorHAnsi" w:cs="Arial"/>
          <w:sz w:val="21"/>
          <w:szCs w:val="21"/>
        </w:rPr>
        <w:t>es for marine conservation work.</w:t>
      </w:r>
    </w:p>
    <w:p w14:paraId="1A3D0D73" w14:textId="23D7987C" w:rsidR="0086708B" w:rsidRPr="0086708B" w:rsidRDefault="00482801" w:rsidP="0086708B">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sidRPr="0086708B">
        <w:rPr>
          <w:rFonts w:asciiTheme="majorHAnsi" w:hAnsiTheme="majorHAnsi"/>
          <w:szCs w:val="21"/>
        </w:rPr>
        <w:t xml:space="preserve">WSB’s youth centre created Vanua Fire Dance who are now an independent group, managing their own funds and regularly performing in hotels and at events. </w:t>
      </w:r>
      <w:r w:rsidR="00B2000A" w:rsidRPr="0086708B">
        <w:rPr>
          <w:rFonts w:asciiTheme="majorHAnsi" w:hAnsiTheme="majorHAnsi"/>
          <w:szCs w:val="21"/>
        </w:rPr>
        <w:t xml:space="preserve">In </w:t>
      </w:r>
      <w:r w:rsidR="0000705F" w:rsidRPr="0086708B">
        <w:rPr>
          <w:rFonts w:asciiTheme="majorHAnsi" w:hAnsiTheme="majorHAnsi"/>
          <w:szCs w:val="21"/>
        </w:rPr>
        <w:t>2014</w:t>
      </w:r>
      <w:r w:rsidR="00186838" w:rsidRPr="0086708B">
        <w:rPr>
          <w:rFonts w:asciiTheme="majorHAnsi" w:hAnsiTheme="majorHAnsi"/>
          <w:szCs w:val="21"/>
        </w:rPr>
        <w:t xml:space="preserve"> (when still managed by WSB)</w:t>
      </w:r>
      <w:r w:rsidR="006D6821" w:rsidRPr="0086708B">
        <w:rPr>
          <w:rFonts w:asciiTheme="majorHAnsi" w:hAnsiTheme="majorHAnsi"/>
          <w:szCs w:val="21"/>
        </w:rPr>
        <w:t xml:space="preserve"> this group gave </w:t>
      </w:r>
      <w:r w:rsidR="00186838" w:rsidRPr="0086708B">
        <w:rPr>
          <w:rFonts w:asciiTheme="majorHAnsi" w:hAnsiTheme="majorHAnsi"/>
          <w:szCs w:val="21"/>
        </w:rPr>
        <w:t xml:space="preserve">performances </w:t>
      </w:r>
      <w:r w:rsidR="006D6821" w:rsidRPr="0086708B">
        <w:rPr>
          <w:rFonts w:asciiTheme="majorHAnsi" w:hAnsiTheme="majorHAnsi"/>
          <w:szCs w:val="21"/>
        </w:rPr>
        <w:t xml:space="preserve">across </w:t>
      </w:r>
      <w:r w:rsidR="00186838" w:rsidRPr="0086708B">
        <w:rPr>
          <w:rFonts w:asciiTheme="majorHAnsi" w:hAnsiTheme="majorHAnsi"/>
          <w:szCs w:val="21"/>
        </w:rPr>
        <w:t xml:space="preserve">at least </w:t>
      </w:r>
      <w:r w:rsidR="00B2000A" w:rsidRPr="0086708B">
        <w:rPr>
          <w:rFonts w:asciiTheme="majorHAnsi" w:hAnsiTheme="majorHAnsi"/>
          <w:szCs w:val="21"/>
        </w:rPr>
        <w:t xml:space="preserve">eight </w:t>
      </w:r>
      <w:r w:rsidR="006D6821" w:rsidRPr="0086708B">
        <w:rPr>
          <w:rFonts w:asciiTheme="majorHAnsi" w:hAnsiTheme="majorHAnsi"/>
          <w:szCs w:val="21"/>
        </w:rPr>
        <w:t xml:space="preserve">venues </w:t>
      </w:r>
      <w:r w:rsidR="00186838" w:rsidRPr="0086708B">
        <w:rPr>
          <w:rFonts w:asciiTheme="majorHAnsi" w:hAnsiTheme="majorHAnsi"/>
          <w:szCs w:val="21"/>
        </w:rPr>
        <w:t xml:space="preserve">for </w:t>
      </w:r>
      <w:r w:rsidR="006D6821" w:rsidRPr="0086708B">
        <w:rPr>
          <w:rFonts w:asciiTheme="majorHAnsi" w:hAnsiTheme="majorHAnsi"/>
          <w:szCs w:val="21"/>
        </w:rPr>
        <w:t xml:space="preserve">an estimated </w:t>
      </w:r>
      <w:r w:rsidR="00186838" w:rsidRPr="0086708B">
        <w:rPr>
          <w:rFonts w:asciiTheme="majorHAnsi" w:hAnsiTheme="majorHAnsi"/>
          <w:szCs w:val="21"/>
        </w:rPr>
        <w:t>33,000</w:t>
      </w:r>
      <w:r w:rsidR="006D6821" w:rsidRPr="0086708B">
        <w:rPr>
          <w:rFonts w:asciiTheme="majorHAnsi" w:hAnsiTheme="majorHAnsi"/>
          <w:szCs w:val="21"/>
        </w:rPr>
        <w:t xml:space="preserve"> </w:t>
      </w:r>
      <w:r w:rsidR="00186838" w:rsidRPr="0086708B">
        <w:rPr>
          <w:rFonts w:asciiTheme="majorHAnsi" w:hAnsiTheme="majorHAnsi"/>
          <w:szCs w:val="21"/>
        </w:rPr>
        <w:t>people</w:t>
      </w:r>
      <w:r w:rsidR="006D6821" w:rsidRPr="0086708B">
        <w:rPr>
          <w:rFonts w:asciiTheme="majorHAnsi" w:hAnsiTheme="majorHAnsi"/>
          <w:szCs w:val="21"/>
        </w:rPr>
        <w:t xml:space="preserve"> – with gross revenue of VUV</w:t>
      </w:r>
      <w:r w:rsidR="00B2000A" w:rsidRPr="0086708B">
        <w:rPr>
          <w:rFonts w:asciiTheme="majorHAnsi" w:hAnsiTheme="majorHAnsi"/>
          <w:szCs w:val="21"/>
        </w:rPr>
        <w:t>3.6 </w:t>
      </w:r>
      <w:r w:rsidR="00186838" w:rsidRPr="0086708B">
        <w:rPr>
          <w:rFonts w:asciiTheme="majorHAnsi" w:hAnsiTheme="majorHAnsi"/>
          <w:szCs w:val="21"/>
        </w:rPr>
        <w:t>million</w:t>
      </w:r>
      <w:r w:rsidR="006D6821" w:rsidRPr="0086708B">
        <w:rPr>
          <w:rFonts w:asciiTheme="majorHAnsi" w:hAnsiTheme="majorHAnsi"/>
          <w:szCs w:val="21"/>
        </w:rPr>
        <w:t xml:space="preserve"> (A</w:t>
      </w:r>
      <w:r w:rsidR="00B2000A" w:rsidRPr="0086708B">
        <w:rPr>
          <w:rFonts w:asciiTheme="majorHAnsi" w:hAnsiTheme="majorHAnsi"/>
          <w:szCs w:val="21"/>
        </w:rPr>
        <w:t>$</w:t>
      </w:r>
      <w:r w:rsidR="00186838" w:rsidRPr="0086708B">
        <w:rPr>
          <w:rFonts w:asciiTheme="majorHAnsi" w:hAnsiTheme="majorHAnsi"/>
          <w:szCs w:val="21"/>
        </w:rPr>
        <w:t>44,000</w:t>
      </w:r>
      <w:r w:rsidR="0086708B">
        <w:rPr>
          <w:rFonts w:asciiTheme="majorHAnsi" w:hAnsiTheme="majorHAnsi"/>
          <w:szCs w:val="21"/>
        </w:rPr>
        <w:t>).</w:t>
      </w:r>
    </w:p>
    <w:p w14:paraId="5EAF69B3" w14:textId="73456196" w:rsidR="00482801" w:rsidRPr="0086708B" w:rsidRDefault="0086708B" w:rsidP="0086708B">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Pr>
          <w:rFonts w:asciiTheme="majorHAnsi" w:hAnsiTheme="majorHAnsi"/>
          <w:szCs w:val="21"/>
        </w:rPr>
        <w:t>T</w:t>
      </w:r>
      <w:r w:rsidR="00482801" w:rsidRPr="0086708B">
        <w:rPr>
          <w:rFonts w:asciiTheme="majorHAnsi" w:hAnsiTheme="majorHAnsi"/>
          <w:szCs w:val="21"/>
        </w:rPr>
        <w:t>he sports program has developed the skills of young people who have mo</w:t>
      </w:r>
      <w:r w:rsidR="00E87BAB" w:rsidRPr="0086708B">
        <w:rPr>
          <w:rFonts w:asciiTheme="majorHAnsi" w:hAnsiTheme="majorHAnsi"/>
          <w:szCs w:val="21"/>
        </w:rPr>
        <w:t>ved on to represent Vanuatu in i</w:t>
      </w:r>
      <w:r w:rsidR="00B2000A" w:rsidRPr="0086708B">
        <w:rPr>
          <w:rFonts w:asciiTheme="majorHAnsi" w:hAnsiTheme="majorHAnsi"/>
          <w:szCs w:val="21"/>
        </w:rPr>
        <w:t>nternational competitions.</w:t>
      </w:r>
    </w:p>
    <w:p w14:paraId="0A76D983" w14:textId="406508A5" w:rsidR="00482801" w:rsidRDefault="00482801"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t xml:space="preserve">DFAT Partner Performance Assessments continue to acknowledge that WSB has consistently been a high performing and reliable partner, filling a niche in front-line service delivery, particularly for young women and men in the growing urban and per-urban areas. </w:t>
      </w:r>
      <w:r w:rsidR="008B69CF">
        <w:rPr>
          <w:rFonts w:asciiTheme="majorHAnsi" w:hAnsiTheme="majorHAnsi"/>
          <w:szCs w:val="21"/>
        </w:rPr>
        <w:t xml:space="preserve">An area of weakness has been monitoring and evaluation, with a </w:t>
      </w:r>
      <w:r w:rsidR="002C5E62">
        <w:rPr>
          <w:rFonts w:asciiTheme="majorHAnsi" w:hAnsiTheme="majorHAnsi"/>
          <w:szCs w:val="21"/>
        </w:rPr>
        <w:t xml:space="preserve">need for a </w:t>
      </w:r>
      <w:r w:rsidR="008B69CF">
        <w:rPr>
          <w:rFonts w:asciiTheme="majorHAnsi" w:hAnsiTheme="majorHAnsi"/>
          <w:szCs w:val="21"/>
        </w:rPr>
        <w:t>stronger focus on outcomes and impact rather than inputs and outputs. DFAT and WSB have agreed to dedicate more support to strengthen monitoring and evaluation in the next phase of support.</w:t>
      </w:r>
    </w:p>
    <w:p w14:paraId="0C833622" w14:textId="77777777" w:rsidR="00482801" w:rsidRPr="00482801" w:rsidRDefault="00482801" w:rsidP="00C252E0">
      <w:pPr>
        <w:pStyle w:val="ListBullet"/>
        <w:numPr>
          <w:ilvl w:val="0"/>
          <w:numId w:val="0"/>
        </w:numPr>
        <w:spacing w:before="120" w:line="240" w:lineRule="auto"/>
        <w:rPr>
          <w:rFonts w:asciiTheme="majorHAnsi" w:hAnsiTheme="majorHAnsi"/>
          <w:b/>
          <w:szCs w:val="21"/>
          <w:u w:val="single"/>
        </w:rPr>
      </w:pPr>
      <w:r w:rsidRPr="00482801">
        <w:rPr>
          <w:rFonts w:asciiTheme="majorHAnsi" w:hAnsiTheme="majorHAnsi"/>
          <w:b/>
          <w:szCs w:val="21"/>
          <w:u w:val="single"/>
        </w:rPr>
        <w:t>Policy alignment:</w:t>
      </w:r>
    </w:p>
    <w:p w14:paraId="68565FCD" w14:textId="432B320F" w:rsidR="0000705F" w:rsidRDefault="0084054F"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t xml:space="preserve">The </w:t>
      </w:r>
      <w:r>
        <w:rPr>
          <w:rFonts w:asciiTheme="majorHAnsi" w:hAnsiTheme="majorHAnsi"/>
          <w:szCs w:val="21"/>
        </w:rPr>
        <w:t xml:space="preserve">proposed investment </w:t>
      </w:r>
      <w:r w:rsidRPr="00482801">
        <w:rPr>
          <w:rFonts w:asciiTheme="majorHAnsi" w:hAnsiTheme="majorHAnsi"/>
          <w:szCs w:val="21"/>
        </w:rPr>
        <w:t xml:space="preserve">aligns with </w:t>
      </w:r>
      <w:r>
        <w:rPr>
          <w:rFonts w:asciiTheme="majorHAnsi" w:hAnsiTheme="majorHAnsi"/>
          <w:szCs w:val="21"/>
        </w:rPr>
        <w:t xml:space="preserve">DFAT’s </w:t>
      </w:r>
      <w:r w:rsidRPr="00937524">
        <w:rPr>
          <w:rFonts w:asciiTheme="majorHAnsi" w:hAnsiTheme="majorHAnsi"/>
          <w:i/>
          <w:szCs w:val="21"/>
        </w:rPr>
        <w:t>Gender Equality and Women’s Empowerment Strategy</w:t>
      </w:r>
      <w:r w:rsidRPr="00482801">
        <w:rPr>
          <w:rFonts w:asciiTheme="majorHAnsi" w:hAnsiTheme="majorHAnsi"/>
          <w:szCs w:val="21"/>
        </w:rPr>
        <w:t xml:space="preserve">, </w:t>
      </w:r>
      <w:r w:rsidR="0000705F">
        <w:rPr>
          <w:rFonts w:asciiTheme="majorHAnsi" w:hAnsiTheme="majorHAnsi"/>
          <w:szCs w:val="21"/>
        </w:rPr>
        <w:t xml:space="preserve">as it </w:t>
      </w:r>
      <w:r w:rsidR="00186838">
        <w:rPr>
          <w:rFonts w:asciiTheme="majorHAnsi" w:hAnsiTheme="majorHAnsi"/>
          <w:szCs w:val="21"/>
        </w:rPr>
        <w:t xml:space="preserve">will </w:t>
      </w:r>
      <w:r w:rsidR="0000705F">
        <w:rPr>
          <w:rFonts w:asciiTheme="majorHAnsi" w:hAnsiTheme="majorHAnsi"/>
          <w:szCs w:val="21"/>
        </w:rPr>
        <w:t xml:space="preserve">continue to work on the prevention of </w:t>
      </w:r>
      <w:r w:rsidRPr="00482801">
        <w:rPr>
          <w:rFonts w:asciiTheme="majorHAnsi" w:hAnsiTheme="majorHAnsi"/>
          <w:szCs w:val="21"/>
        </w:rPr>
        <w:t>violence against women</w:t>
      </w:r>
      <w:r w:rsidR="0000705F">
        <w:rPr>
          <w:rFonts w:asciiTheme="majorHAnsi" w:hAnsiTheme="majorHAnsi"/>
          <w:szCs w:val="21"/>
        </w:rPr>
        <w:t xml:space="preserve">, </w:t>
      </w:r>
      <w:r w:rsidRPr="00482801">
        <w:rPr>
          <w:rFonts w:asciiTheme="majorHAnsi" w:hAnsiTheme="majorHAnsi"/>
          <w:szCs w:val="21"/>
        </w:rPr>
        <w:t>enhanc</w:t>
      </w:r>
      <w:r w:rsidR="0000705F">
        <w:rPr>
          <w:rFonts w:asciiTheme="majorHAnsi" w:hAnsiTheme="majorHAnsi"/>
          <w:szCs w:val="21"/>
        </w:rPr>
        <w:t>e</w:t>
      </w:r>
      <w:r w:rsidRPr="00482801">
        <w:rPr>
          <w:rFonts w:asciiTheme="majorHAnsi" w:hAnsiTheme="majorHAnsi"/>
          <w:szCs w:val="21"/>
        </w:rPr>
        <w:t xml:space="preserve"> women’s voice in decision-making</w:t>
      </w:r>
      <w:r w:rsidR="00186838">
        <w:rPr>
          <w:rFonts w:asciiTheme="majorHAnsi" w:hAnsiTheme="majorHAnsi"/>
          <w:szCs w:val="21"/>
        </w:rPr>
        <w:t>,</w:t>
      </w:r>
      <w:r w:rsidR="0000705F">
        <w:rPr>
          <w:rFonts w:asciiTheme="majorHAnsi" w:hAnsiTheme="majorHAnsi"/>
          <w:szCs w:val="21"/>
        </w:rPr>
        <w:t xml:space="preserve"> </w:t>
      </w:r>
      <w:r w:rsidRPr="00482801">
        <w:rPr>
          <w:rFonts w:asciiTheme="majorHAnsi" w:hAnsiTheme="majorHAnsi"/>
          <w:szCs w:val="21"/>
        </w:rPr>
        <w:lastRenderedPageBreak/>
        <w:t>leadership and peace-building</w:t>
      </w:r>
      <w:r w:rsidR="0000705F" w:rsidRPr="0000705F">
        <w:rPr>
          <w:rFonts w:asciiTheme="majorHAnsi" w:hAnsiTheme="majorHAnsi"/>
          <w:szCs w:val="21"/>
        </w:rPr>
        <w:t xml:space="preserve"> </w:t>
      </w:r>
      <w:r w:rsidR="00186838">
        <w:rPr>
          <w:rFonts w:asciiTheme="majorHAnsi" w:hAnsiTheme="majorHAnsi"/>
          <w:szCs w:val="21"/>
        </w:rPr>
        <w:t xml:space="preserve">within </w:t>
      </w:r>
      <w:r w:rsidR="0000705F">
        <w:rPr>
          <w:rFonts w:asciiTheme="majorHAnsi" w:hAnsiTheme="majorHAnsi"/>
          <w:szCs w:val="21"/>
        </w:rPr>
        <w:t xml:space="preserve">the WSB organisation </w:t>
      </w:r>
      <w:r w:rsidR="00186838">
        <w:rPr>
          <w:rFonts w:asciiTheme="majorHAnsi" w:hAnsiTheme="majorHAnsi"/>
          <w:szCs w:val="21"/>
        </w:rPr>
        <w:t xml:space="preserve">(itself) </w:t>
      </w:r>
      <w:r w:rsidR="0000705F">
        <w:rPr>
          <w:rFonts w:asciiTheme="majorHAnsi" w:hAnsiTheme="majorHAnsi"/>
          <w:szCs w:val="21"/>
        </w:rPr>
        <w:t>as well as through its work at the community level</w:t>
      </w:r>
      <w:r w:rsidR="00186838">
        <w:rPr>
          <w:rFonts w:asciiTheme="majorHAnsi" w:hAnsiTheme="majorHAnsi"/>
          <w:szCs w:val="21"/>
        </w:rPr>
        <w:t>,</w:t>
      </w:r>
      <w:r w:rsidR="0000705F">
        <w:rPr>
          <w:rFonts w:asciiTheme="majorHAnsi" w:hAnsiTheme="majorHAnsi"/>
          <w:szCs w:val="21"/>
        </w:rPr>
        <w:t xml:space="preserve"> and </w:t>
      </w:r>
      <w:r w:rsidR="00186838">
        <w:rPr>
          <w:rFonts w:asciiTheme="majorHAnsi" w:hAnsiTheme="majorHAnsi"/>
          <w:szCs w:val="21"/>
        </w:rPr>
        <w:t xml:space="preserve">will </w:t>
      </w:r>
      <w:r w:rsidR="0000705F">
        <w:rPr>
          <w:rFonts w:asciiTheme="majorHAnsi" w:hAnsiTheme="majorHAnsi"/>
          <w:szCs w:val="21"/>
        </w:rPr>
        <w:t>promote women’s participation in small business training opportunities</w:t>
      </w:r>
      <w:r w:rsidR="00186838">
        <w:rPr>
          <w:rFonts w:asciiTheme="majorHAnsi" w:hAnsiTheme="majorHAnsi"/>
          <w:szCs w:val="21"/>
        </w:rPr>
        <w:t xml:space="preserve"> at the Port Vila youth centre</w:t>
      </w:r>
      <w:r w:rsidR="0000705F">
        <w:rPr>
          <w:rFonts w:asciiTheme="majorHAnsi" w:hAnsiTheme="majorHAnsi"/>
          <w:szCs w:val="21"/>
        </w:rPr>
        <w:t>.</w:t>
      </w:r>
    </w:p>
    <w:p w14:paraId="161A695D" w14:textId="1A0D575A" w:rsidR="003C3B89" w:rsidRDefault="0000705F" w:rsidP="00C252E0">
      <w:pPr>
        <w:pStyle w:val="ListBullet"/>
        <w:numPr>
          <w:ilvl w:val="0"/>
          <w:numId w:val="0"/>
        </w:numPr>
        <w:tabs>
          <w:tab w:val="clear" w:pos="284"/>
        </w:tabs>
        <w:spacing w:before="120" w:line="240" w:lineRule="auto"/>
        <w:rPr>
          <w:rFonts w:asciiTheme="majorHAnsi" w:hAnsiTheme="majorHAnsi"/>
          <w:szCs w:val="21"/>
        </w:rPr>
      </w:pPr>
      <w:r>
        <w:rPr>
          <w:rFonts w:asciiTheme="majorHAnsi" w:hAnsiTheme="majorHAnsi"/>
          <w:szCs w:val="21"/>
        </w:rPr>
        <w:t xml:space="preserve">The proposed investment also aligns well with </w:t>
      </w:r>
      <w:r w:rsidR="0084054F" w:rsidRPr="00482801">
        <w:rPr>
          <w:rFonts w:asciiTheme="majorHAnsi" w:hAnsiTheme="majorHAnsi"/>
          <w:szCs w:val="21"/>
        </w:rPr>
        <w:t xml:space="preserve">the </w:t>
      </w:r>
      <w:r w:rsidR="0084054F" w:rsidRPr="00937524">
        <w:rPr>
          <w:rFonts w:asciiTheme="majorHAnsi" w:hAnsiTheme="majorHAnsi"/>
          <w:i/>
          <w:szCs w:val="21"/>
        </w:rPr>
        <w:t>Development for All (2015-2020) Strategy</w:t>
      </w:r>
      <w:r w:rsidR="0084054F" w:rsidRPr="00482801">
        <w:rPr>
          <w:rFonts w:asciiTheme="majorHAnsi" w:hAnsiTheme="majorHAnsi"/>
          <w:szCs w:val="21"/>
        </w:rPr>
        <w:t xml:space="preserve"> for strengthening di</w:t>
      </w:r>
      <w:r w:rsidR="0084054F">
        <w:rPr>
          <w:rFonts w:asciiTheme="majorHAnsi" w:hAnsiTheme="majorHAnsi"/>
          <w:szCs w:val="21"/>
        </w:rPr>
        <w:t>sability-inclusive development</w:t>
      </w:r>
      <w:r>
        <w:rPr>
          <w:rFonts w:asciiTheme="majorHAnsi" w:hAnsiTheme="majorHAnsi"/>
          <w:szCs w:val="21"/>
        </w:rPr>
        <w:t xml:space="preserve"> as it will </w:t>
      </w:r>
      <w:r w:rsidR="00186838">
        <w:rPr>
          <w:rFonts w:asciiTheme="majorHAnsi" w:hAnsiTheme="majorHAnsi"/>
          <w:szCs w:val="21"/>
        </w:rPr>
        <w:t>offer opportunities to people living with disability through direct employment, participation in youth centre activities, and advocating for issues of disability inclusion using film, plays and through radio, as well as using their own Rainbow Theatre (a theatre group made up of people living with disability and their carers).</w:t>
      </w:r>
    </w:p>
    <w:p w14:paraId="6679AB1C" w14:textId="75406306" w:rsidR="003C3B89" w:rsidRDefault="00B2000A"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t>It is in Australia's national interest to promote stability by reducing vulnerability, poverty and r</w:t>
      </w:r>
      <w:r>
        <w:rPr>
          <w:rFonts w:asciiTheme="majorHAnsi" w:hAnsiTheme="majorHAnsi"/>
          <w:szCs w:val="21"/>
        </w:rPr>
        <w:t xml:space="preserve">isk in the Pacific region. </w:t>
      </w:r>
      <w:r w:rsidR="003C3B89" w:rsidRPr="00482801">
        <w:rPr>
          <w:rFonts w:asciiTheme="majorHAnsi" w:hAnsiTheme="majorHAnsi"/>
          <w:szCs w:val="21"/>
        </w:rPr>
        <w:t xml:space="preserve">A key priority in the </w:t>
      </w:r>
      <w:r w:rsidR="003C3B89" w:rsidRPr="00937524">
        <w:rPr>
          <w:rFonts w:asciiTheme="majorHAnsi" w:hAnsiTheme="majorHAnsi"/>
          <w:i/>
          <w:szCs w:val="21"/>
        </w:rPr>
        <w:t>Australia-Vanuatu Aid Partnership Arrangement</w:t>
      </w:r>
      <w:r w:rsidR="003C3B89" w:rsidRPr="00482801">
        <w:rPr>
          <w:rFonts w:asciiTheme="majorHAnsi" w:hAnsiTheme="majorHAnsi"/>
          <w:szCs w:val="21"/>
        </w:rPr>
        <w:t xml:space="preserve"> is to improve community safety and resilience</w:t>
      </w:r>
      <w:r w:rsidR="003C3B89">
        <w:rPr>
          <w:rFonts w:asciiTheme="majorHAnsi" w:hAnsiTheme="majorHAnsi"/>
          <w:szCs w:val="21"/>
        </w:rPr>
        <w:t xml:space="preserve"> in order to deal with </w:t>
      </w:r>
      <w:r w:rsidR="003C3B89" w:rsidRPr="00482801">
        <w:rPr>
          <w:rFonts w:asciiTheme="majorHAnsi" w:hAnsiTheme="majorHAnsi"/>
          <w:szCs w:val="21"/>
        </w:rPr>
        <w:t xml:space="preserve">issues </w:t>
      </w:r>
      <w:r w:rsidR="003C3B89">
        <w:rPr>
          <w:rFonts w:asciiTheme="majorHAnsi" w:hAnsiTheme="majorHAnsi"/>
          <w:szCs w:val="21"/>
        </w:rPr>
        <w:t xml:space="preserve">such as </w:t>
      </w:r>
      <w:r w:rsidR="003C3B89" w:rsidRPr="00482801">
        <w:rPr>
          <w:rFonts w:asciiTheme="majorHAnsi" w:hAnsiTheme="majorHAnsi"/>
          <w:szCs w:val="21"/>
        </w:rPr>
        <w:t>population growth, youth bulge</w:t>
      </w:r>
      <w:r w:rsidR="003C3B89">
        <w:rPr>
          <w:rFonts w:asciiTheme="majorHAnsi" w:hAnsiTheme="majorHAnsi"/>
          <w:szCs w:val="21"/>
        </w:rPr>
        <w:t>,</w:t>
      </w:r>
      <w:r w:rsidR="003C3B89" w:rsidRPr="00482801">
        <w:rPr>
          <w:rFonts w:asciiTheme="majorHAnsi" w:hAnsiTheme="majorHAnsi"/>
          <w:szCs w:val="21"/>
        </w:rPr>
        <w:t xml:space="preserve"> urbanisation</w:t>
      </w:r>
      <w:r w:rsidR="003C3B89">
        <w:rPr>
          <w:rFonts w:asciiTheme="majorHAnsi" w:hAnsiTheme="majorHAnsi"/>
          <w:szCs w:val="21"/>
        </w:rPr>
        <w:t xml:space="preserve"> and access to essential services and vital economic opportunities for women, children and people living with a disability</w:t>
      </w:r>
      <w:r w:rsidR="003C3B89" w:rsidRPr="00482801">
        <w:rPr>
          <w:rFonts w:asciiTheme="majorHAnsi" w:hAnsiTheme="majorHAnsi"/>
          <w:szCs w:val="21"/>
        </w:rPr>
        <w:t xml:space="preserve">. </w:t>
      </w:r>
    </w:p>
    <w:p w14:paraId="15BCF620" w14:textId="1549E569" w:rsidR="005F670C" w:rsidRDefault="005F670C" w:rsidP="00C252E0">
      <w:pPr>
        <w:pStyle w:val="ListBullet"/>
        <w:numPr>
          <w:ilvl w:val="0"/>
          <w:numId w:val="0"/>
        </w:numPr>
        <w:tabs>
          <w:tab w:val="clear" w:pos="284"/>
        </w:tabs>
        <w:spacing w:before="120" w:line="240" w:lineRule="auto"/>
        <w:rPr>
          <w:rFonts w:asciiTheme="majorHAnsi" w:hAnsiTheme="majorHAnsi"/>
          <w:szCs w:val="21"/>
        </w:rPr>
      </w:pPr>
      <w:r>
        <w:rPr>
          <w:rFonts w:asciiTheme="majorHAnsi" w:hAnsiTheme="majorHAnsi"/>
          <w:szCs w:val="21"/>
        </w:rPr>
        <w:t xml:space="preserve">WSB’s </w:t>
      </w:r>
      <w:r w:rsidR="00C27E8F">
        <w:rPr>
          <w:rFonts w:asciiTheme="majorHAnsi" w:hAnsiTheme="majorHAnsi"/>
          <w:szCs w:val="21"/>
        </w:rPr>
        <w:t xml:space="preserve">work </w:t>
      </w:r>
      <w:r>
        <w:rPr>
          <w:rFonts w:asciiTheme="majorHAnsi" w:hAnsiTheme="majorHAnsi"/>
          <w:szCs w:val="21"/>
        </w:rPr>
        <w:t>align</w:t>
      </w:r>
      <w:r w:rsidR="00C27E8F">
        <w:rPr>
          <w:rFonts w:asciiTheme="majorHAnsi" w:hAnsiTheme="majorHAnsi"/>
          <w:szCs w:val="21"/>
        </w:rPr>
        <w:t>s</w:t>
      </w:r>
      <w:r>
        <w:rPr>
          <w:rFonts w:asciiTheme="majorHAnsi" w:hAnsiTheme="majorHAnsi"/>
          <w:szCs w:val="21"/>
        </w:rPr>
        <w:t xml:space="preserve"> with a number of priority areas under the Pacific Development Framework. Under ‘skills and jobs’, WSB support</w:t>
      </w:r>
      <w:r w:rsidR="002C5E62">
        <w:rPr>
          <w:rFonts w:asciiTheme="majorHAnsi" w:hAnsiTheme="majorHAnsi"/>
          <w:szCs w:val="21"/>
        </w:rPr>
        <w:t>s</w:t>
      </w:r>
      <w:r>
        <w:rPr>
          <w:rFonts w:asciiTheme="majorHAnsi" w:hAnsiTheme="majorHAnsi"/>
          <w:szCs w:val="21"/>
        </w:rPr>
        <w:t xml:space="preserve"> creative individuals and groups to develop their skills and identify opportunities for self-employment. WSB supports ‘resilient communities’ through environmental conservation work and by supporting communities to be more prepared for disasters.</w:t>
      </w:r>
      <w:r w:rsidR="00C27E8F">
        <w:rPr>
          <w:rFonts w:asciiTheme="majorHAnsi" w:hAnsiTheme="majorHAnsi"/>
          <w:szCs w:val="21"/>
        </w:rPr>
        <w:t xml:space="preserve"> Through ‘health’ programs, WSB is addressing priority health needs, particularly sexual and reproductive health services. Finally, WSB’s work supports accountable leadership – both through their work with Chiefs and community leaders, complemented by creative media that reinforces messages and encourages public awareness and discourse on governance issues.</w:t>
      </w:r>
      <w:r w:rsidR="00364CCE">
        <w:rPr>
          <w:rFonts w:asciiTheme="majorHAnsi" w:hAnsiTheme="majorHAnsi"/>
          <w:szCs w:val="21"/>
        </w:rPr>
        <w:t xml:space="preserve"> </w:t>
      </w:r>
      <w:r w:rsidR="006E50DF">
        <w:rPr>
          <w:rFonts w:asciiTheme="majorHAnsi" w:hAnsiTheme="majorHAnsi"/>
          <w:szCs w:val="21"/>
        </w:rPr>
        <w:t xml:space="preserve">The investment </w:t>
      </w:r>
      <w:r w:rsidR="00364CCE">
        <w:rPr>
          <w:rFonts w:asciiTheme="majorHAnsi" w:hAnsiTheme="majorHAnsi"/>
          <w:szCs w:val="21"/>
        </w:rPr>
        <w:t xml:space="preserve">also aligns with Australia’s 2017 Foreign Policy White Paper </w:t>
      </w:r>
      <w:r w:rsidR="006E50DF">
        <w:rPr>
          <w:rFonts w:asciiTheme="majorHAnsi" w:hAnsiTheme="majorHAnsi"/>
          <w:szCs w:val="21"/>
        </w:rPr>
        <w:t xml:space="preserve">and its work with communities on being climate informed and </w:t>
      </w:r>
      <w:r w:rsidR="002C5E62">
        <w:rPr>
          <w:rFonts w:asciiTheme="majorHAnsi" w:hAnsiTheme="majorHAnsi"/>
          <w:szCs w:val="21"/>
        </w:rPr>
        <w:t>farming</w:t>
      </w:r>
      <w:r w:rsidR="006E50DF">
        <w:rPr>
          <w:rFonts w:asciiTheme="majorHAnsi" w:hAnsiTheme="majorHAnsi"/>
          <w:szCs w:val="21"/>
        </w:rPr>
        <w:t xml:space="preserve"> weather dependent</w:t>
      </w:r>
      <w:r w:rsidR="002C5E62">
        <w:rPr>
          <w:rFonts w:asciiTheme="majorHAnsi" w:hAnsiTheme="majorHAnsi"/>
          <w:szCs w:val="21"/>
        </w:rPr>
        <w:t xml:space="preserve"> crops.</w:t>
      </w:r>
    </w:p>
    <w:p w14:paraId="10D6B99F" w14:textId="6725C803" w:rsidR="00482801" w:rsidRPr="00482801" w:rsidRDefault="00482801" w:rsidP="00C252E0">
      <w:pPr>
        <w:pStyle w:val="ListBullet"/>
        <w:numPr>
          <w:ilvl w:val="0"/>
          <w:numId w:val="0"/>
        </w:numPr>
        <w:tabs>
          <w:tab w:val="clear" w:pos="284"/>
        </w:tabs>
        <w:spacing w:before="120" w:line="240" w:lineRule="auto"/>
        <w:rPr>
          <w:rFonts w:asciiTheme="majorHAnsi" w:hAnsiTheme="majorHAnsi"/>
          <w:szCs w:val="21"/>
        </w:rPr>
      </w:pPr>
      <w:r w:rsidRPr="00482801">
        <w:rPr>
          <w:rFonts w:asciiTheme="majorHAnsi" w:hAnsiTheme="majorHAnsi"/>
          <w:szCs w:val="21"/>
        </w:rPr>
        <w:t xml:space="preserve">The proposed investment aligns with the Vanuatu Government's </w:t>
      </w:r>
      <w:r w:rsidRPr="00937524">
        <w:rPr>
          <w:rFonts w:asciiTheme="majorHAnsi" w:hAnsiTheme="majorHAnsi"/>
          <w:i/>
          <w:szCs w:val="21"/>
        </w:rPr>
        <w:t>National Sustainable Development Plan</w:t>
      </w:r>
      <w:r w:rsidRPr="00482801">
        <w:rPr>
          <w:rFonts w:asciiTheme="majorHAnsi" w:hAnsiTheme="majorHAnsi"/>
          <w:szCs w:val="21"/>
        </w:rPr>
        <w:t>, contributing to the society and environment pillars.</w:t>
      </w:r>
    </w:p>
    <w:p w14:paraId="189BC695" w14:textId="77777777" w:rsidR="00482801" w:rsidRPr="00482801" w:rsidRDefault="00482801" w:rsidP="00C252E0">
      <w:pPr>
        <w:pStyle w:val="ListBullet"/>
        <w:numPr>
          <w:ilvl w:val="0"/>
          <w:numId w:val="0"/>
        </w:numPr>
        <w:spacing w:before="120" w:line="240" w:lineRule="auto"/>
        <w:rPr>
          <w:rFonts w:asciiTheme="majorHAnsi" w:hAnsiTheme="majorHAnsi"/>
          <w:b/>
          <w:szCs w:val="21"/>
          <w:u w:val="single"/>
        </w:rPr>
      </w:pPr>
      <w:r w:rsidRPr="00482801">
        <w:rPr>
          <w:rFonts w:asciiTheme="majorHAnsi" w:hAnsiTheme="majorHAnsi"/>
          <w:b/>
          <w:szCs w:val="21"/>
          <w:u w:val="single"/>
        </w:rPr>
        <w:t>Funding:</w:t>
      </w:r>
    </w:p>
    <w:p w14:paraId="2B1DEFFD" w14:textId="309CA40F" w:rsidR="00482801" w:rsidRPr="00482801"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Since 2010, Australia has provided A$11.8 million to WSB to use drama to raise community awareness of sensitive issues, and for programs in creative media, youth and community, health, environment, governance and policy research. Total funding provided by Australia to WSB through the current arrangement is A$2.9</w:t>
      </w:r>
      <w:r w:rsidR="00937524">
        <w:rPr>
          <w:rFonts w:asciiTheme="majorHAnsi" w:hAnsiTheme="majorHAnsi"/>
          <w:szCs w:val="21"/>
        </w:rPr>
        <w:t> </w:t>
      </w:r>
      <w:r w:rsidRPr="00482801">
        <w:rPr>
          <w:rFonts w:asciiTheme="majorHAnsi" w:hAnsiTheme="majorHAnsi"/>
          <w:szCs w:val="21"/>
        </w:rPr>
        <w:t>million (2015-2017). Funding proposed for the next three years (2018-2020) is A$4.3 million</w:t>
      </w:r>
      <w:r w:rsidR="00E87BAB">
        <w:rPr>
          <w:rStyle w:val="FootnoteReference"/>
          <w:rFonts w:asciiTheme="majorHAnsi" w:hAnsiTheme="majorHAnsi"/>
          <w:szCs w:val="21"/>
        </w:rPr>
        <w:footnoteReference w:id="15"/>
      </w:r>
      <w:r w:rsidRPr="00482801">
        <w:rPr>
          <w:rFonts w:asciiTheme="majorHAnsi" w:hAnsiTheme="majorHAnsi"/>
          <w:szCs w:val="21"/>
        </w:rPr>
        <w:t>.</w:t>
      </w:r>
    </w:p>
    <w:p w14:paraId="368C76AE" w14:textId="42D7D5C5" w:rsidR="00482801" w:rsidRPr="00482801" w:rsidRDefault="00482801" w:rsidP="00C252E0">
      <w:pPr>
        <w:pStyle w:val="ListBullet"/>
        <w:numPr>
          <w:ilvl w:val="0"/>
          <w:numId w:val="0"/>
        </w:numPr>
        <w:tabs>
          <w:tab w:val="clear" w:pos="284"/>
          <w:tab w:val="left" w:pos="22"/>
        </w:tabs>
        <w:spacing w:before="120" w:line="240" w:lineRule="auto"/>
        <w:rPr>
          <w:rFonts w:asciiTheme="majorHAnsi" w:hAnsiTheme="majorHAnsi"/>
          <w:szCs w:val="21"/>
        </w:rPr>
      </w:pPr>
      <w:r w:rsidRPr="00482801">
        <w:rPr>
          <w:rFonts w:asciiTheme="majorHAnsi" w:hAnsiTheme="majorHAnsi"/>
          <w:szCs w:val="21"/>
        </w:rPr>
        <w:t>In addition to bilateral Australian funds, WSB receives core funding contributions from the New Zealand Government and Oxfam:</w:t>
      </w:r>
    </w:p>
    <w:p w14:paraId="45B1CCC6" w14:textId="1A7DF607" w:rsidR="00482801" w:rsidRPr="00482801" w:rsidRDefault="00482801" w:rsidP="00482801">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sidRPr="00482801">
        <w:rPr>
          <w:rFonts w:asciiTheme="majorHAnsi" w:hAnsiTheme="majorHAnsi" w:cs="Arial"/>
          <w:sz w:val="21"/>
          <w:szCs w:val="21"/>
        </w:rPr>
        <w:t>N</w:t>
      </w:r>
      <w:r w:rsidR="003F60E9">
        <w:rPr>
          <w:rFonts w:asciiTheme="majorHAnsi" w:hAnsiTheme="majorHAnsi" w:cs="Arial"/>
          <w:sz w:val="21"/>
          <w:szCs w:val="21"/>
        </w:rPr>
        <w:t xml:space="preserve">ew </w:t>
      </w:r>
      <w:r w:rsidRPr="00482801">
        <w:rPr>
          <w:rFonts w:asciiTheme="majorHAnsi" w:hAnsiTheme="majorHAnsi" w:cs="Arial"/>
          <w:sz w:val="21"/>
          <w:szCs w:val="21"/>
        </w:rPr>
        <w:t>Z</w:t>
      </w:r>
      <w:r w:rsidR="003F60E9">
        <w:rPr>
          <w:rFonts w:asciiTheme="majorHAnsi" w:hAnsiTheme="majorHAnsi" w:cs="Arial"/>
          <w:sz w:val="21"/>
          <w:szCs w:val="21"/>
        </w:rPr>
        <w:t>ealand</w:t>
      </w:r>
      <w:r w:rsidRPr="00482801">
        <w:rPr>
          <w:rFonts w:asciiTheme="majorHAnsi" w:hAnsiTheme="majorHAnsi" w:cs="Arial"/>
          <w:sz w:val="21"/>
          <w:szCs w:val="21"/>
        </w:rPr>
        <w:t xml:space="preserve"> is providing </w:t>
      </w:r>
      <w:r w:rsidR="003C3B89">
        <w:rPr>
          <w:rFonts w:asciiTheme="majorHAnsi" w:hAnsiTheme="majorHAnsi" w:cs="Arial"/>
          <w:sz w:val="21"/>
          <w:szCs w:val="21"/>
        </w:rPr>
        <w:t>A</w:t>
      </w:r>
      <w:r w:rsidRPr="00482801">
        <w:rPr>
          <w:rFonts w:asciiTheme="majorHAnsi" w:hAnsiTheme="majorHAnsi" w:cs="Arial"/>
          <w:sz w:val="21"/>
          <w:szCs w:val="21"/>
        </w:rPr>
        <w:t>$4.</w:t>
      </w:r>
      <w:r w:rsidR="003C3B89">
        <w:rPr>
          <w:rFonts w:asciiTheme="majorHAnsi" w:hAnsiTheme="majorHAnsi" w:cs="Arial"/>
          <w:sz w:val="21"/>
          <w:szCs w:val="21"/>
        </w:rPr>
        <w:t>3</w:t>
      </w:r>
      <w:r w:rsidR="003C3B89" w:rsidRPr="00482801">
        <w:rPr>
          <w:rFonts w:asciiTheme="majorHAnsi" w:hAnsiTheme="majorHAnsi" w:cs="Arial"/>
          <w:sz w:val="21"/>
          <w:szCs w:val="21"/>
        </w:rPr>
        <w:t xml:space="preserve"> </w:t>
      </w:r>
      <w:r w:rsidRPr="00482801">
        <w:rPr>
          <w:rFonts w:asciiTheme="majorHAnsi" w:hAnsiTheme="majorHAnsi" w:cs="Arial"/>
          <w:sz w:val="21"/>
          <w:szCs w:val="21"/>
        </w:rPr>
        <w:t>million over 5 years (2015-2019).</w:t>
      </w:r>
      <w:r w:rsidR="003F60E9">
        <w:rPr>
          <w:rStyle w:val="FootnoteReference"/>
          <w:rFonts w:asciiTheme="majorHAnsi" w:hAnsiTheme="majorHAnsi" w:cs="Arial"/>
          <w:sz w:val="21"/>
          <w:szCs w:val="21"/>
        </w:rPr>
        <w:footnoteReference w:id="16"/>
      </w:r>
    </w:p>
    <w:p w14:paraId="5109A06B" w14:textId="04B8FFB6" w:rsidR="00482801" w:rsidRDefault="00482801" w:rsidP="00482801">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sidRPr="00482801">
        <w:rPr>
          <w:rFonts w:asciiTheme="majorHAnsi" w:hAnsiTheme="majorHAnsi" w:cs="Arial"/>
          <w:sz w:val="21"/>
          <w:szCs w:val="21"/>
        </w:rPr>
        <w:t>Oxfam provides A$258,000 annually (through ANCP).</w:t>
      </w:r>
    </w:p>
    <w:p w14:paraId="4836A057" w14:textId="724980FC" w:rsidR="004D167D" w:rsidRPr="00482801" w:rsidRDefault="004D167D" w:rsidP="00C252E0">
      <w:pPr>
        <w:tabs>
          <w:tab w:val="left" w:pos="5412"/>
        </w:tabs>
        <w:suppressAutoHyphens w:val="0"/>
        <w:spacing w:after="120" w:line="240" w:lineRule="auto"/>
        <w:rPr>
          <w:rFonts w:asciiTheme="majorHAnsi" w:hAnsiTheme="majorHAnsi" w:cs="Arial"/>
          <w:sz w:val="21"/>
          <w:szCs w:val="21"/>
        </w:rPr>
      </w:pPr>
      <w:r>
        <w:rPr>
          <w:rFonts w:asciiTheme="majorHAnsi" w:hAnsiTheme="majorHAnsi" w:cs="Arial"/>
          <w:sz w:val="21"/>
          <w:szCs w:val="21"/>
        </w:rPr>
        <w:t>We will continue to liaise closely with these core partners to ensure funding is consistent and reporting is streamlined as much as possible.</w:t>
      </w:r>
    </w:p>
    <w:p w14:paraId="46CF2DEE" w14:textId="10BA8363" w:rsidR="00813D52" w:rsidRPr="0086708B" w:rsidRDefault="00482801" w:rsidP="00C252E0">
      <w:pPr>
        <w:pStyle w:val="ListBullet"/>
        <w:numPr>
          <w:ilvl w:val="0"/>
          <w:numId w:val="0"/>
        </w:numPr>
        <w:tabs>
          <w:tab w:val="clear" w:pos="284"/>
          <w:tab w:val="left" w:pos="22"/>
        </w:tabs>
        <w:spacing w:before="120" w:line="240" w:lineRule="auto"/>
        <w:rPr>
          <w:rFonts w:asciiTheme="majorHAnsi" w:hAnsiTheme="majorHAnsi" w:cs="Arial"/>
          <w:szCs w:val="21"/>
        </w:rPr>
      </w:pPr>
      <w:r w:rsidRPr="00482801">
        <w:rPr>
          <w:rFonts w:asciiTheme="majorHAnsi" w:hAnsiTheme="majorHAnsi"/>
          <w:szCs w:val="21"/>
        </w:rPr>
        <w:t xml:space="preserve">WSB </w:t>
      </w:r>
      <w:r w:rsidR="004D167D">
        <w:rPr>
          <w:rFonts w:asciiTheme="majorHAnsi" w:hAnsiTheme="majorHAnsi"/>
          <w:szCs w:val="21"/>
        </w:rPr>
        <w:t xml:space="preserve">also </w:t>
      </w:r>
      <w:r w:rsidRPr="00482801">
        <w:rPr>
          <w:rFonts w:asciiTheme="majorHAnsi" w:hAnsiTheme="majorHAnsi"/>
          <w:szCs w:val="21"/>
        </w:rPr>
        <w:t xml:space="preserve">receives support from the Government of Vanuatu, and in particular through the Ministry of Health for its health programs, and the Department of Corrections. WSB also receives funding from a variety of other donors and through private partnerships, including UNICEF, UNDP, World Vision Vanuatu, CARE International, the </w:t>
      </w:r>
      <w:r w:rsidRPr="00482801">
        <w:rPr>
          <w:rFonts w:asciiTheme="majorHAnsi" w:hAnsiTheme="majorHAnsi" w:cs="Arial"/>
          <w:szCs w:val="21"/>
        </w:rPr>
        <w:t xml:space="preserve">South Pacific Regional Environment Programme, Pacific Peoples Partnership, Greens Hands, Grant Norton, IP Connect and </w:t>
      </w:r>
      <w:r w:rsidR="00452F78">
        <w:rPr>
          <w:rFonts w:asciiTheme="majorHAnsi" w:hAnsiTheme="majorHAnsi" w:cs="Arial"/>
          <w:szCs w:val="21"/>
        </w:rPr>
        <w:t>National Oceanic and Atmosphere Administration</w:t>
      </w:r>
      <w:r w:rsidRPr="00482801">
        <w:rPr>
          <w:rFonts w:asciiTheme="majorHAnsi" w:hAnsiTheme="majorHAnsi" w:cs="Arial"/>
          <w:szCs w:val="21"/>
        </w:rPr>
        <w:t xml:space="preserve">. A number of Australian aid programs (eg. Pacific Women Shaping Pacific Development and </w:t>
      </w:r>
      <w:r w:rsidR="00937524">
        <w:rPr>
          <w:rFonts w:asciiTheme="majorHAnsi" w:hAnsiTheme="majorHAnsi" w:cs="Arial"/>
          <w:szCs w:val="21"/>
        </w:rPr>
        <w:t>the Vanuatu Australia Policing and Justice Program</w:t>
      </w:r>
      <w:r w:rsidRPr="00482801">
        <w:rPr>
          <w:rFonts w:asciiTheme="majorHAnsi" w:hAnsiTheme="majorHAnsi" w:cs="Arial"/>
          <w:szCs w:val="21"/>
        </w:rPr>
        <w:t>) have also contracted WSB for specific activities</w:t>
      </w:r>
      <w:r w:rsidR="00937524">
        <w:rPr>
          <w:rFonts w:asciiTheme="majorHAnsi" w:hAnsiTheme="majorHAnsi" w:cs="Arial"/>
          <w:szCs w:val="21"/>
        </w:rPr>
        <w:t>.</w:t>
      </w:r>
    </w:p>
    <w:p w14:paraId="7C90B13E" w14:textId="6752C5DF" w:rsidR="0086708B" w:rsidRDefault="00C6480F" w:rsidP="00C252E0">
      <w:pPr>
        <w:rPr>
          <w:rFonts w:asciiTheme="majorHAnsi" w:hAnsiTheme="majorHAnsi"/>
          <w:sz w:val="21"/>
          <w:szCs w:val="21"/>
        </w:rPr>
      </w:pPr>
      <w:r>
        <w:rPr>
          <w:rFonts w:asciiTheme="majorHAnsi" w:hAnsiTheme="majorHAnsi"/>
          <w:sz w:val="21"/>
          <w:szCs w:val="21"/>
        </w:rPr>
        <w:t>WSB is heavily reliant on donor funding</w:t>
      </w:r>
      <w:r w:rsidR="00DB69EE">
        <w:rPr>
          <w:rFonts w:asciiTheme="majorHAnsi" w:hAnsiTheme="majorHAnsi"/>
          <w:sz w:val="21"/>
          <w:szCs w:val="21"/>
        </w:rPr>
        <w:t xml:space="preserve"> – not least because it operates in a small economy, with limited private sector activity and limited local government revenue space</w:t>
      </w:r>
      <w:r>
        <w:rPr>
          <w:rFonts w:asciiTheme="majorHAnsi" w:hAnsiTheme="majorHAnsi"/>
          <w:sz w:val="21"/>
          <w:szCs w:val="21"/>
        </w:rPr>
        <w:t>.</w:t>
      </w:r>
      <w:r w:rsidR="00DB69EE">
        <w:rPr>
          <w:rFonts w:asciiTheme="majorHAnsi" w:hAnsiTheme="majorHAnsi"/>
          <w:sz w:val="21"/>
          <w:szCs w:val="21"/>
        </w:rPr>
        <w:t xml:space="preserve"> This context is common in the Pacific and means that civil society service providers rely on development partners. Those WSB activities that do engage where the </w:t>
      </w:r>
      <w:r w:rsidR="00DB69EE">
        <w:rPr>
          <w:rFonts w:asciiTheme="majorHAnsi" w:hAnsiTheme="majorHAnsi"/>
          <w:sz w:val="21"/>
          <w:szCs w:val="21"/>
        </w:rPr>
        <w:lastRenderedPageBreak/>
        <w:t>economy is vibrant (</w:t>
      </w:r>
      <w:r w:rsidR="00DB69EE" w:rsidRPr="00B80C04">
        <w:rPr>
          <w:rFonts w:asciiTheme="majorHAnsi" w:hAnsiTheme="majorHAnsi"/>
          <w:sz w:val="21"/>
          <w:szCs w:val="21"/>
        </w:rPr>
        <w:t>e.g. Vanua</w:t>
      </w:r>
      <w:r w:rsidR="00DB69EE" w:rsidRPr="00DB69EE">
        <w:rPr>
          <w:rFonts w:asciiTheme="majorHAnsi" w:hAnsiTheme="majorHAnsi"/>
          <w:sz w:val="21"/>
          <w:szCs w:val="21"/>
        </w:rPr>
        <w:t xml:space="preserve"> Fire Dance</w:t>
      </w:r>
      <w:r w:rsidR="00DB69EE">
        <w:rPr>
          <w:rFonts w:asciiTheme="majorHAnsi" w:hAnsiTheme="majorHAnsi"/>
          <w:sz w:val="21"/>
          <w:szCs w:val="21"/>
        </w:rPr>
        <w:t>) have been managed by WSB to become i</w:t>
      </w:r>
      <w:r w:rsidR="0086708B">
        <w:rPr>
          <w:rFonts w:asciiTheme="majorHAnsi" w:hAnsiTheme="majorHAnsi"/>
          <w:sz w:val="21"/>
          <w:szCs w:val="21"/>
        </w:rPr>
        <w:t>ndependent and self-sustaining.</w:t>
      </w:r>
      <w:r w:rsidR="00DB69EE">
        <w:rPr>
          <w:rFonts w:asciiTheme="majorHAnsi" w:hAnsiTheme="majorHAnsi"/>
          <w:sz w:val="21"/>
          <w:szCs w:val="21"/>
        </w:rPr>
        <w:t xml:space="preserve"> </w:t>
      </w:r>
    </w:p>
    <w:p w14:paraId="4DE39A43" w14:textId="2BEB4A5E" w:rsidR="00604F8E" w:rsidRPr="00B80C04" w:rsidRDefault="00C6480F" w:rsidP="00C252E0">
      <w:pPr>
        <w:rPr>
          <w:rFonts w:asciiTheme="majorHAnsi" w:hAnsiTheme="majorHAnsi"/>
          <w:sz w:val="21"/>
          <w:szCs w:val="21"/>
        </w:rPr>
      </w:pPr>
      <w:r>
        <w:rPr>
          <w:rFonts w:asciiTheme="majorHAnsi" w:hAnsiTheme="majorHAnsi"/>
          <w:sz w:val="21"/>
          <w:szCs w:val="21"/>
        </w:rPr>
        <w:t xml:space="preserve">While </w:t>
      </w:r>
      <w:r w:rsidR="00482801" w:rsidRPr="00482801">
        <w:rPr>
          <w:rFonts w:asciiTheme="majorHAnsi" w:hAnsiTheme="majorHAnsi"/>
          <w:sz w:val="21"/>
          <w:szCs w:val="21"/>
        </w:rPr>
        <w:t>WSB continues to look for other funding sources, incl</w:t>
      </w:r>
      <w:r>
        <w:rPr>
          <w:rFonts w:asciiTheme="majorHAnsi" w:hAnsiTheme="majorHAnsi"/>
          <w:sz w:val="21"/>
          <w:szCs w:val="21"/>
        </w:rPr>
        <w:t>uding from private partnerships,</w:t>
      </w:r>
      <w:r w:rsidR="00482801" w:rsidRPr="00482801">
        <w:rPr>
          <w:rFonts w:asciiTheme="majorHAnsi" w:hAnsiTheme="majorHAnsi"/>
          <w:sz w:val="21"/>
          <w:szCs w:val="21"/>
        </w:rPr>
        <w:t xml:space="preserve"> </w:t>
      </w:r>
      <w:r>
        <w:rPr>
          <w:rFonts w:asciiTheme="majorHAnsi" w:hAnsiTheme="majorHAnsi"/>
          <w:sz w:val="21"/>
          <w:szCs w:val="21"/>
        </w:rPr>
        <w:t xml:space="preserve">a </w:t>
      </w:r>
      <w:r w:rsidR="00482801" w:rsidRPr="00482801">
        <w:rPr>
          <w:rFonts w:asciiTheme="majorHAnsi" w:hAnsiTheme="majorHAnsi"/>
          <w:sz w:val="21"/>
          <w:szCs w:val="21"/>
        </w:rPr>
        <w:t>study to identify options to further diversify WSB’s funding in 2016 noted that the issue of financial sustainability has been exhaustively queried, discussed and analysed throughout its 28 years. Funding Opportunity</w:t>
      </w:r>
      <w:r w:rsidR="00482801" w:rsidRPr="00482801">
        <w:rPr>
          <w:rFonts w:asciiTheme="majorHAnsi" w:hAnsiTheme="majorHAnsi"/>
          <w:sz w:val="21"/>
          <w:szCs w:val="21"/>
          <w:vertAlign w:val="superscript"/>
        </w:rPr>
        <w:footnoteReference w:id="17"/>
      </w:r>
      <w:r w:rsidR="00482801" w:rsidRPr="00482801">
        <w:rPr>
          <w:rFonts w:asciiTheme="majorHAnsi" w:hAnsiTheme="majorHAnsi"/>
          <w:sz w:val="21"/>
          <w:szCs w:val="21"/>
        </w:rPr>
        <w:t>, Commercial Opportunities</w:t>
      </w:r>
      <w:r w:rsidR="00482801" w:rsidRPr="00482801">
        <w:rPr>
          <w:rFonts w:asciiTheme="majorHAnsi" w:hAnsiTheme="majorHAnsi"/>
          <w:sz w:val="21"/>
          <w:szCs w:val="21"/>
          <w:vertAlign w:val="superscript"/>
        </w:rPr>
        <w:footnoteReference w:id="18"/>
      </w:r>
      <w:r w:rsidR="00482801" w:rsidRPr="00482801">
        <w:rPr>
          <w:rFonts w:asciiTheme="majorHAnsi" w:hAnsiTheme="majorHAnsi"/>
          <w:sz w:val="21"/>
          <w:szCs w:val="21"/>
        </w:rPr>
        <w:t xml:space="preserve"> and the Mid Term Review</w:t>
      </w:r>
      <w:r w:rsidR="00482801" w:rsidRPr="00482801">
        <w:rPr>
          <w:rFonts w:asciiTheme="majorHAnsi" w:hAnsiTheme="majorHAnsi"/>
          <w:sz w:val="21"/>
          <w:szCs w:val="21"/>
          <w:vertAlign w:val="superscript"/>
        </w:rPr>
        <w:footnoteReference w:id="19"/>
      </w:r>
      <w:r w:rsidR="00482801" w:rsidRPr="00482801">
        <w:rPr>
          <w:rFonts w:asciiTheme="majorHAnsi" w:hAnsiTheme="majorHAnsi"/>
          <w:sz w:val="21"/>
          <w:szCs w:val="21"/>
        </w:rPr>
        <w:t xml:space="preserve"> all suggested ways of generating some income, but did not identify significant sources outside of donor funding. Nothing significant in context has changed from these earlier reviews. Due to the range of services it provides communities and society in general, WSB will rely on substantial foreign aid for the foreseeable future (until the Vanuatu Government provides adequate, consistent social services). WSB will however </w:t>
      </w:r>
      <w:r w:rsidR="00937524">
        <w:rPr>
          <w:rFonts w:asciiTheme="majorHAnsi" w:hAnsiTheme="majorHAnsi"/>
          <w:sz w:val="21"/>
          <w:szCs w:val="21"/>
        </w:rPr>
        <w:t xml:space="preserve">need </w:t>
      </w:r>
      <w:r w:rsidR="00482801" w:rsidRPr="00482801">
        <w:rPr>
          <w:rFonts w:asciiTheme="majorHAnsi" w:hAnsiTheme="majorHAnsi"/>
          <w:sz w:val="21"/>
          <w:szCs w:val="21"/>
        </w:rPr>
        <w:t xml:space="preserve">to be proactive and responsive to other partnerships </w:t>
      </w:r>
      <w:r w:rsidR="00DB69EE">
        <w:rPr>
          <w:rFonts w:asciiTheme="majorHAnsi" w:hAnsiTheme="majorHAnsi"/>
          <w:sz w:val="21"/>
          <w:szCs w:val="21"/>
        </w:rPr>
        <w:t>to build diversity in its resource base</w:t>
      </w:r>
      <w:r w:rsidR="00482801" w:rsidRPr="00482801">
        <w:rPr>
          <w:rFonts w:asciiTheme="majorHAnsi" w:hAnsiTheme="majorHAnsi"/>
          <w:sz w:val="21"/>
          <w:szCs w:val="21"/>
        </w:rPr>
        <w:t>.</w:t>
      </w:r>
      <w:r>
        <w:rPr>
          <w:rFonts w:asciiTheme="majorHAnsi" w:hAnsiTheme="majorHAnsi"/>
          <w:sz w:val="21"/>
          <w:szCs w:val="21"/>
        </w:rPr>
        <w:t xml:space="preserve"> We will support WSB where appropriate to partner with appropriate individuals and organisations to develop </w:t>
      </w:r>
      <w:r w:rsidR="0026300F">
        <w:rPr>
          <w:rFonts w:asciiTheme="majorHAnsi" w:hAnsiTheme="majorHAnsi"/>
          <w:sz w:val="21"/>
          <w:szCs w:val="21"/>
        </w:rPr>
        <w:t xml:space="preserve">a </w:t>
      </w:r>
      <w:r>
        <w:rPr>
          <w:rFonts w:asciiTheme="majorHAnsi" w:hAnsiTheme="majorHAnsi"/>
          <w:sz w:val="21"/>
          <w:szCs w:val="21"/>
        </w:rPr>
        <w:t xml:space="preserve">business model where those partnerships can offer greater financial </w:t>
      </w:r>
      <w:r w:rsidR="00DB69EE">
        <w:rPr>
          <w:rFonts w:asciiTheme="majorHAnsi" w:hAnsiTheme="majorHAnsi"/>
          <w:sz w:val="21"/>
          <w:szCs w:val="21"/>
        </w:rPr>
        <w:t xml:space="preserve">diversity and </w:t>
      </w:r>
      <w:r>
        <w:rPr>
          <w:rFonts w:asciiTheme="majorHAnsi" w:hAnsiTheme="majorHAnsi"/>
          <w:sz w:val="21"/>
          <w:szCs w:val="21"/>
        </w:rPr>
        <w:t>sustainability.</w:t>
      </w:r>
    </w:p>
    <w:tbl>
      <w:tblPr>
        <w:tblW w:w="992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923"/>
      </w:tblGrid>
      <w:tr w:rsidR="00D9769C" w:rsidRPr="00E259DD" w14:paraId="54BB72F3" w14:textId="77777777" w:rsidTr="003B0E24">
        <w:trPr>
          <w:cantSplit/>
          <w:trHeight w:val="334"/>
        </w:trPr>
        <w:tc>
          <w:tcPr>
            <w:tcW w:w="9923"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tcMar>
              <w:top w:w="28" w:type="dxa"/>
              <w:left w:w="108" w:type="dxa"/>
              <w:bottom w:w="28" w:type="dxa"/>
              <w:right w:w="108" w:type="dxa"/>
            </w:tcMar>
            <w:hideMark/>
          </w:tcPr>
          <w:p w14:paraId="2FA12955" w14:textId="77777777" w:rsidR="00D9769C" w:rsidRPr="00E259DD" w:rsidRDefault="00D9769C" w:rsidP="001B3ED6">
            <w:pPr>
              <w:pStyle w:val="ListBullet"/>
              <w:numPr>
                <w:ilvl w:val="0"/>
                <w:numId w:val="0"/>
              </w:numPr>
              <w:spacing w:before="120" w:line="240" w:lineRule="auto"/>
              <w:ind w:left="644" w:hanging="360"/>
              <w:rPr>
                <w:rFonts w:asciiTheme="majorHAnsi" w:hAnsiTheme="majorHAnsi"/>
                <w:sz w:val="22"/>
                <w:szCs w:val="22"/>
              </w:rPr>
            </w:pPr>
            <w:r w:rsidRPr="00E259DD">
              <w:rPr>
                <w:rFonts w:asciiTheme="majorHAnsi" w:hAnsiTheme="majorHAnsi"/>
                <w:b/>
                <w:sz w:val="22"/>
                <w:szCs w:val="22"/>
              </w:rPr>
              <w:t xml:space="preserve">C: Proposed outcomes (What) </w:t>
            </w:r>
          </w:p>
        </w:tc>
      </w:tr>
    </w:tbl>
    <w:p w14:paraId="3C544751" w14:textId="7E7B464C" w:rsidR="00D87C14" w:rsidRPr="00482801" w:rsidRDefault="00F15B57" w:rsidP="00C252E0">
      <w:pPr>
        <w:pStyle w:val="ListBullet"/>
        <w:numPr>
          <w:ilvl w:val="0"/>
          <w:numId w:val="0"/>
        </w:numPr>
        <w:tabs>
          <w:tab w:val="clear" w:pos="284"/>
          <w:tab w:val="left" w:pos="0"/>
        </w:tabs>
        <w:spacing w:before="120" w:line="240" w:lineRule="auto"/>
        <w:rPr>
          <w:rFonts w:asciiTheme="majorHAnsi" w:hAnsiTheme="majorHAnsi"/>
          <w:szCs w:val="21"/>
        </w:rPr>
      </w:pPr>
      <w:r w:rsidRPr="006F3712">
        <w:rPr>
          <w:rFonts w:asciiTheme="majorHAnsi" w:hAnsiTheme="majorHAnsi"/>
          <w:szCs w:val="21"/>
        </w:rPr>
        <w:t xml:space="preserve">WSB has </w:t>
      </w:r>
      <w:r w:rsidR="00B80C04">
        <w:rPr>
          <w:rFonts w:asciiTheme="majorHAnsi" w:hAnsiTheme="majorHAnsi"/>
          <w:szCs w:val="21"/>
        </w:rPr>
        <w:t xml:space="preserve">a </w:t>
      </w:r>
      <w:r w:rsidRPr="006F3712">
        <w:rPr>
          <w:rFonts w:asciiTheme="majorHAnsi" w:hAnsiTheme="majorHAnsi"/>
          <w:szCs w:val="21"/>
        </w:rPr>
        <w:t>comparative advantage amongst other actors to influence the formal and informal rules that organise social/ political relations</w:t>
      </w:r>
      <w:r w:rsidR="00A837B2">
        <w:rPr>
          <w:rFonts w:asciiTheme="majorHAnsi" w:hAnsiTheme="majorHAnsi"/>
          <w:szCs w:val="21"/>
        </w:rPr>
        <w:t>.</w:t>
      </w:r>
      <w:r>
        <w:rPr>
          <w:rFonts w:asciiTheme="majorHAnsi" w:hAnsiTheme="majorHAnsi"/>
          <w:szCs w:val="21"/>
        </w:rPr>
        <w:t xml:space="preserve"> </w:t>
      </w:r>
      <w:r w:rsidR="00A837B2" w:rsidRPr="005D0C20">
        <w:rPr>
          <w:rFonts w:asciiTheme="majorHAnsi" w:hAnsiTheme="majorHAnsi"/>
          <w:szCs w:val="21"/>
        </w:rPr>
        <w:t xml:space="preserve">WSB </w:t>
      </w:r>
      <w:r w:rsidR="00B80C04">
        <w:rPr>
          <w:rFonts w:asciiTheme="majorHAnsi" w:hAnsiTheme="majorHAnsi"/>
          <w:szCs w:val="21"/>
        </w:rPr>
        <w:t xml:space="preserve">has </w:t>
      </w:r>
      <w:r w:rsidR="00A837B2" w:rsidRPr="005D0C20">
        <w:rPr>
          <w:rFonts w:asciiTheme="majorHAnsi" w:hAnsiTheme="majorHAnsi"/>
          <w:szCs w:val="21"/>
        </w:rPr>
        <w:t>demonstra</w:t>
      </w:r>
      <w:r w:rsidR="00B80C04">
        <w:rPr>
          <w:rFonts w:asciiTheme="majorHAnsi" w:hAnsiTheme="majorHAnsi"/>
          <w:szCs w:val="21"/>
        </w:rPr>
        <w:t>ted</w:t>
      </w:r>
      <w:r w:rsidR="00A837B2" w:rsidRPr="005D0C20">
        <w:rPr>
          <w:rFonts w:asciiTheme="majorHAnsi" w:hAnsiTheme="majorHAnsi"/>
          <w:szCs w:val="21"/>
        </w:rPr>
        <w:t xml:space="preserve"> </w:t>
      </w:r>
      <w:r w:rsidR="00B80C04">
        <w:rPr>
          <w:rFonts w:asciiTheme="majorHAnsi" w:hAnsiTheme="majorHAnsi"/>
          <w:szCs w:val="21"/>
        </w:rPr>
        <w:t xml:space="preserve">an </w:t>
      </w:r>
      <w:r w:rsidR="00A837B2" w:rsidRPr="005D0C20">
        <w:rPr>
          <w:rFonts w:asciiTheme="majorHAnsi" w:hAnsiTheme="majorHAnsi"/>
          <w:szCs w:val="21"/>
        </w:rPr>
        <w:t>ability to respond and take advantage of entry-points for reform and social/behavioural change in culturally appropriate ways</w:t>
      </w:r>
      <w:r w:rsidR="00A837B2">
        <w:rPr>
          <w:rFonts w:asciiTheme="majorHAnsi" w:hAnsiTheme="majorHAnsi"/>
          <w:szCs w:val="21"/>
        </w:rPr>
        <w:t xml:space="preserve"> with the greatest reach</w:t>
      </w:r>
      <w:r w:rsidR="00B80C04">
        <w:rPr>
          <w:rFonts w:asciiTheme="majorHAnsi" w:hAnsiTheme="majorHAnsi"/>
          <w:szCs w:val="21"/>
        </w:rPr>
        <w:t>,</w:t>
      </w:r>
      <w:r w:rsidR="00A837B2">
        <w:rPr>
          <w:rFonts w:asciiTheme="majorHAnsi" w:hAnsiTheme="majorHAnsi"/>
          <w:szCs w:val="21"/>
        </w:rPr>
        <w:t xml:space="preserve"> including to the most disadvantaged pockets of society. </w:t>
      </w:r>
      <w:r w:rsidR="00D87C14" w:rsidRPr="00482801">
        <w:rPr>
          <w:rFonts w:asciiTheme="majorHAnsi" w:hAnsiTheme="majorHAnsi"/>
          <w:szCs w:val="21"/>
        </w:rPr>
        <w:t xml:space="preserve">WSB’s knowledge of community values and beliefs, together with their understanding of how development problems impact individuals and communities and how best these issues might be addressed, make them best placed to respond to the key development challenges highlighted above. </w:t>
      </w:r>
    </w:p>
    <w:p w14:paraId="4688A40E" w14:textId="3B59668D" w:rsidR="008159A1" w:rsidRPr="00482801" w:rsidRDefault="008159A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WSB’s vision is a strong and well-governed Vanuatu, across all sectors of society, from rural to urban communities, and inclusive of everyone, particularly th</w:t>
      </w:r>
      <w:r>
        <w:rPr>
          <w:rFonts w:asciiTheme="majorHAnsi" w:hAnsiTheme="majorHAnsi"/>
          <w:szCs w:val="21"/>
        </w:rPr>
        <w:t xml:space="preserve">ose who are more marginalised. </w:t>
      </w:r>
      <w:r w:rsidRPr="00482801">
        <w:rPr>
          <w:rFonts w:asciiTheme="majorHAnsi" w:hAnsiTheme="majorHAnsi"/>
          <w:szCs w:val="21"/>
        </w:rPr>
        <w:t xml:space="preserve">This investment will run from January 2018 to </w:t>
      </w:r>
      <w:r w:rsidR="000F3A92">
        <w:rPr>
          <w:rFonts w:asciiTheme="majorHAnsi" w:hAnsiTheme="majorHAnsi"/>
          <w:szCs w:val="21"/>
        </w:rPr>
        <w:t>March 2021</w:t>
      </w:r>
      <w:r>
        <w:rPr>
          <w:rFonts w:asciiTheme="majorHAnsi" w:hAnsiTheme="majorHAnsi"/>
          <w:szCs w:val="21"/>
        </w:rPr>
        <w:t xml:space="preserve">, building on current programs. </w:t>
      </w:r>
      <w:r w:rsidRPr="00482801">
        <w:rPr>
          <w:rFonts w:asciiTheme="majorHAnsi" w:hAnsiTheme="majorHAnsi"/>
          <w:szCs w:val="21"/>
        </w:rPr>
        <w:t xml:space="preserve">Program outcomes </w:t>
      </w:r>
      <w:r>
        <w:rPr>
          <w:rFonts w:asciiTheme="majorHAnsi" w:hAnsiTheme="majorHAnsi"/>
          <w:szCs w:val="21"/>
        </w:rPr>
        <w:t>will be</w:t>
      </w:r>
      <w:r w:rsidRPr="00482801">
        <w:rPr>
          <w:rFonts w:asciiTheme="majorHAnsi" w:hAnsiTheme="majorHAnsi"/>
          <w:szCs w:val="21"/>
        </w:rPr>
        <w:t>:</w:t>
      </w:r>
    </w:p>
    <w:p w14:paraId="030A9996" w14:textId="7ADDB869" w:rsidR="008159A1" w:rsidRPr="008159A1" w:rsidRDefault="008159A1" w:rsidP="008159A1">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sidRPr="008159A1">
        <w:rPr>
          <w:rFonts w:asciiTheme="majorHAnsi" w:hAnsiTheme="majorHAnsi" w:cs="Arial"/>
          <w:sz w:val="21"/>
          <w:szCs w:val="21"/>
        </w:rPr>
        <w:t>WSB maintains a high quality and reach of live theatre, film, radio productions and supporting publications on contemporary development issues</w:t>
      </w:r>
      <w:r w:rsidRPr="008159A1">
        <w:rPr>
          <w:rFonts w:asciiTheme="majorHAnsi" w:eastAsia="Times New Roman" w:hAnsiTheme="majorHAnsi" w:cs="Times New Roman"/>
          <w:sz w:val="21"/>
          <w:szCs w:val="21"/>
          <w:lang w:val="en-AU" w:eastAsia="en-AU"/>
        </w:rPr>
        <w:t>.</w:t>
      </w:r>
    </w:p>
    <w:p w14:paraId="48B2C391" w14:textId="29BFB5ED" w:rsidR="008159A1" w:rsidRPr="008159A1" w:rsidRDefault="008159A1" w:rsidP="008159A1">
      <w:pPr>
        <w:numPr>
          <w:ilvl w:val="0"/>
          <w:numId w:val="14"/>
        </w:numPr>
        <w:tabs>
          <w:tab w:val="clear" w:pos="720"/>
          <w:tab w:val="left" w:pos="5412"/>
        </w:tabs>
        <w:suppressAutoHyphens w:val="0"/>
        <w:spacing w:after="120" w:line="240" w:lineRule="auto"/>
        <w:ind w:left="447" w:hanging="283"/>
        <w:rPr>
          <w:rFonts w:asciiTheme="majorHAnsi" w:eastAsia="Times New Roman" w:hAnsiTheme="majorHAnsi" w:cs="Times New Roman"/>
          <w:sz w:val="21"/>
          <w:szCs w:val="21"/>
          <w:lang w:val="en-AU" w:eastAsia="en-AU"/>
        </w:rPr>
      </w:pPr>
      <w:r w:rsidRPr="008159A1">
        <w:rPr>
          <w:rFonts w:asciiTheme="majorHAnsi" w:eastAsia="Times New Roman" w:hAnsiTheme="majorHAnsi" w:cs="Times New Roman"/>
          <w:sz w:val="21"/>
          <w:szCs w:val="21"/>
          <w:lang w:val="en-AU" w:eastAsia="en-AU"/>
        </w:rPr>
        <w:t xml:space="preserve"> ‘At risk’ young men and women from targeted communities participate in the social and economic development of their communities.</w:t>
      </w:r>
    </w:p>
    <w:p w14:paraId="0D0574BD" w14:textId="5A3356A8" w:rsidR="008159A1" w:rsidRPr="008159A1" w:rsidRDefault="008159A1" w:rsidP="008159A1">
      <w:pPr>
        <w:numPr>
          <w:ilvl w:val="0"/>
          <w:numId w:val="14"/>
        </w:numPr>
        <w:tabs>
          <w:tab w:val="clear" w:pos="720"/>
          <w:tab w:val="left" w:pos="5412"/>
        </w:tabs>
        <w:suppressAutoHyphens w:val="0"/>
        <w:spacing w:after="120" w:line="240" w:lineRule="auto"/>
        <w:ind w:left="447" w:hanging="283"/>
        <w:rPr>
          <w:rFonts w:asciiTheme="majorHAnsi" w:eastAsia="Times New Roman" w:hAnsiTheme="majorHAnsi" w:cs="Times New Roman"/>
          <w:sz w:val="21"/>
          <w:szCs w:val="21"/>
          <w:lang w:val="en-AU" w:eastAsia="en-AU"/>
        </w:rPr>
      </w:pPr>
      <w:r w:rsidRPr="008159A1">
        <w:rPr>
          <w:rFonts w:asciiTheme="majorHAnsi" w:eastAsia="Times New Roman" w:hAnsiTheme="majorHAnsi" w:cs="Times New Roman"/>
          <w:sz w:val="21"/>
          <w:szCs w:val="21"/>
          <w:lang w:val="en-AU" w:eastAsia="en-AU"/>
        </w:rPr>
        <w:t>Women and men (including young people) from target communities are accessing quality age-appropriate and confidential sexual and reproductive health services, including family planning.</w:t>
      </w:r>
    </w:p>
    <w:p w14:paraId="255C1FB9" w14:textId="0D767194" w:rsidR="008159A1" w:rsidRPr="008159A1" w:rsidRDefault="008159A1" w:rsidP="008159A1">
      <w:pPr>
        <w:numPr>
          <w:ilvl w:val="0"/>
          <w:numId w:val="14"/>
        </w:numPr>
        <w:tabs>
          <w:tab w:val="clear" w:pos="720"/>
          <w:tab w:val="left" w:pos="5412"/>
        </w:tabs>
        <w:suppressAutoHyphens w:val="0"/>
        <w:spacing w:after="120" w:line="240" w:lineRule="auto"/>
        <w:ind w:left="447" w:hanging="283"/>
        <w:rPr>
          <w:rFonts w:asciiTheme="majorHAnsi" w:eastAsia="Times New Roman" w:hAnsiTheme="majorHAnsi" w:cs="Times New Roman"/>
          <w:sz w:val="21"/>
          <w:szCs w:val="21"/>
          <w:lang w:val="en-AU" w:eastAsia="en-AU"/>
        </w:rPr>
      </w:pPr>
      <w:r w:rsidRPr="008159A1">
        <w:rPr>
          <w:rFonts w:asciiTheme="majorHAnsi" w:eastAsia="Times New Roman" w:hAnsiTheme="majorHAnsi" w:cs="Times New Roman"/>
          <w:sz w:val="21"/>
          <w:szCs w:val="21"/>
          <w:lang w:val="en-AU" w:eastAsia="en-AU"/>
        </w:rPr>
        <w:t>Target communities are increasingly knowledgeable about, and taking action to support, environmental sustainability and resource management; and target communities are better prepared for natural disasters.</w:t>
      </w:r>
    </w:p>
    <w:p w14:paraId="5A39C45D" w14:textId="110E3C34" w:rsidR="008159A1" w:rsidRPr="008159A1" w:rsidRDefault="008159A1" w:rsidP="008159A1">
      <w:pPr>
        <w:numPr>
          <w:ilvl w:val="0"/>
          <w:numId w:val="14"/>
        </w:numPr>
        <w:tabs>
          <w:tab w:val="clear" w:pos="720"/>
          <w:tab w:val="left" w:pos="5412"/>
        </w:tabs>
        <w:suppressAutoHyphens w:val="0"/>
        <w:spacing w:after="120" w:line="240" w:lineRule="auto"/>
        <w:ind w:left="447" w:hanging="283"/>
        <w:rPr>
          <w:rFonts w:asciiTheme="majorHAnsi" w:eastAsia="Times New Roman" w:hAnsiTheme="majorHAnsi" w:cs="Times New Roman"/>
          <w:sz w:val="21"/>
          <w:szCs w:val="21"/>
          <w:lang w:val="en-AU" w:eastAsia="en-AU"/>
        </w:rPr>
      </w:pPr>
      <w:r w:rsidRPr="008159A1">
        <w:rPr>
          <w:rFonts w:asciiTheme="majorHAnsi" w:eastAsia="Times New Roman" w:hAnsiTheme="majorHAnsi" w:cs="Times New Roman"/>
          <w:sz w:val="21"/>
          <w:szCs w:val="21"/>
          <w:lang w:val="en-AU" w:eastAsia="en-AU"/>
        </w:rPr>
        <w:t>Leaders in target communities demonstrate good governance, leadership and accountability across all of society; and target communities (including ‘at risk’ young men and women) demand good leadership from their leaders and make efforts to hold them to account.</w:t>
      </w:r>
    </w:p>
    <w:p w14:paraId="752EFA8D" w14:textId="6FEE707F" w:rsidR="008159A1" w:rsidRPr="008159A1" w:rsidRDefault="008159A1" w:rsidP="008159A1">
      <w:pPr>
        <w:numPr>
          <w:ilvl w:val="0"/>
          <w:numId w:val="14"/>
        </w:numPr>
        <w:tabs>
          <w:tab w:val="clear" w:pos="720"/>
          <w:tab w:val="left" w:pos="5412"/>
        </w:tabs>
        <w:suppressAutoHyphens w:val="0"/>
        <w:spacing w:after="120" w:line="240" w:lineRule="auto"/>
        <w:ind w:left="447" w:hanging="283"/>
        <w:rPr>
          <w:rFonts w:asciiTheme="majorHAnsi" w:eastAsia="Times New Roman" w:hAnsiTheme="majorHAnsi" w:cs="Times New Roman"/>
          <w:sz w:val="21"/>
          <w:szCs w:val="21"/>
          <w:lang w:val="en-AU" w:eastAsia="en-AU"/>
        </w:rPr>
      </w:pPr>
      <w:r w:rsidRPr="008159A1">
        <w:rPr>
          <w:rFonts w:asciiTheme="majorHAnsi" w:eastAsia="Times New Roman" w:hAnsiTheme="majorHAnsi" w:cs="Times New Roman"/>
          <w:sz w:val="21"/>
          <w:szCs w:val="21"/>
          <w:lang w:val="en-AU" w:eastAsia="en-AU"/>
        </w:rPr>
        <w:t>WSB increase their focus on progress towards outcomes (ie. behaviour change), creating an evidence base for policy and programming decisions.</w:t>
      </w:r>
    </w:p>
    <w:p w14:paraId="5B5BD4FB" w14:textId="77777777" w:rsidR="008159A1" w:rsidRPr="00482801" w:rsidRDefault="008159A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 xml:space="preserve">WSB's "Roadmap for Change" Strategy </w:t>
      </w:r>
      <w:r>
        <w:rPr>
          <w:rFonts w:asciiTheme="majorHAnsi" w:hAnsiTheme="majorHAnsi"/>
          <w:szCs w:val="21"/>
        </w:rPr>
        <w:t>(</w:t>
      </w:r>
      <w:r w:rsidRPr="00482801">
        <w:rPr>
          <w:rFonts w:asciiTheme="majorHAnsi" w:hAnsiTheme="majorHAnsi"/>
          <w:szCs w:val="21"/>
        </w:rPr>
        <w:t>2014-25</w:t>
      </w:r>
      <w:r>
        <w:rPr>
          <w:rFonts w:asciiTheme="majorHAnsi" w:hAnsiTheme="majorHAnsi"/>
          <w:szCs w:val="21"/>
        </w:rPr>
        <w:t>)</w:t>
      </w:r>
      <w:r w:rsidRPr="00482801">
        <w:rPr>
          <w:rFonts w:asciiTheme="majorHAnsi" w:hAnsiTheme="majorHAnsi"/>
          <w:szCs w:val="21"/>
        </w:rPr>
        <w:t xml:space="preserve"> focuses on creating and promoting an environment for change across all sectors of Vanuatu society. WSB achieves this through activities that facilitate dialogue and engagement with people, communities and institutions, particularly between those with power and authority and those who are more marginalised.</w:t>
      </w:r>
      <w:r>
        <w:rPr>
          <w:rFonts w:asciiTheme="majorHAnsi" w:hAnsiTheme="majorHAnsi"/>
          <w:szCs w:val="21"/>
        </w:rPr>
        <w:t xml:space="preserve"> </w:t>
      </w:r>
      <w:r w:rsidRPr="00482801">
        <w:rPr>
          <w:rFonts w:asciiTheme="majorHAnsi" w:hAnsiTheme="majorHAnsi"/>
          <w:szCs w:val="21"/>
        </w:rPr>
        <w:t>WSB adopts a wide range of strategies, approaches and action to achieve change, including:</w:t>
      </w:r>
    </w:p>
    <w:p w14:paraId="6D067E9E" w14:textId="1F0965D7" w:rsidR="008159A1" w:rsidRDefault="008159A1" w:rsidP="008159A1">
      <w:pPr>
        <w:numPr>
          <w:ilvl w:val="0"/>
          <w:numId w:val="14"/>
        </w:numPr>
        <w:tabs>
          <w:tab w:val="clear" w:pos="720"/>
          <w:tab w:val="left" w:pos="5412"/>
        </w:tabs>
        <w:suppressAutoHyphens w:val="0"/>
        <w:spacing w:after="120" w:line="240" w:lineRule="auto"/>
        <w:ind w:left="448" w:hanging="284"/>
        <w:rPr>
          <w:rFonts w:asciiTheme="majorHAnsi" w:hAnsiTheme="majorHAnsi" w:cs="Arial"/>
          <w:sz w:val="21"/>
          <w:szCs w:val="21"/>
        </w:rPr>
      </w:pPr>
      <w:r w:rsidRPr="00482801">
        <w:rPr>
          <w:rFonts w:asciiTheme="majorHAnsi" w:hAnsiTheme="majorHAnsi" w:cs="Arial"/>
          <w:sz w:val="21"/>
          <w:szCs w:val="21"/>
        </w:rPr>
        <w:t>creating awareness, dialogue and empowerment in a range of areas from governance, development, health and wellbeing, and resource management (by sharing information, encouraging reflective practice, challenging attitudes, encouraging behavioural change, cultivating a sense of belonging and community, and decreasing stigma and discrimination);</w:t>
      </w:r>
    </w:p>
    <w:p w14:paraId="2D3460A5" w14:textId="2EEB87B8" w:rsidR="008159A1" w:rsidRPr="00C252E0" w:rsidRDefault="008159A1" w:rsidP="00C252E0">
      <w:pPr>
        <w:numPr>
          <w:ilvl w:val="0"/>
          <w:numId w:val="14"/>
        </w:numPr>
        <w:tabs>
          <w:tab w:val="clear" w:pos="720"/>
          <w:tab w:val="left" w:pos="5412"/>
        </w:tabs>
        <w:suppressAutoHyphens w:val="0"/>
        <w:spacing w:after="120" w:line="240" w:lineRule="auto"/>
        <w:ind w:left="448" w:hanging="284"/>
        <w:rPr>
          <w:rFonts w:asciiTheme="majorHAnsi" w:hAnsiTheme="majorHAnsi" w:cs="Arial"/>
          <w:sz w:val="21"/>
          <w:szCs w:val="21"/>
        </w:rPr>
      </w:pPr>
      <w:r w:rsidRPr="00C252E0">
        <w:rPr>
          <w:rFonts w:asciiTheme="majorHAnsi" w:hAnsiTheme="majorHAnsi" w:cs="Arial"/>
          <w:sz w:val="21"/>
          <w:szCs w:val="21"/>
        </w:rPr>
        <w:lastRenderedPageBreak/>
        <w:t>direct assistance and support to people to improve their lives and wellbeing, and to support them in making a positive contribution to their families, communities, society, and to the governance of Vanuatu; and</w:t>
      </w:r>
    </w:p>
    <w:p w14:paraId="4D6C6D7C" w14:textId="77777777" w:rsidR="008159A1" w:rsidRPr="00482801" w:rsidRDefault="008159A1" w:rsidP="008159A1">
      <w:pPr>
        <w:numPr>
          <w:ilvl w:val="0"/>
          <w:numId w:val="14"/>
        </w:numPr>
        <w:tabs>
          <w:tab w:val="clear" w:pos="720"/>
          <w:tab w:val="left" w:pos="5412"/>
        </w:tabs>
        <w:suppressAutoHyphens w:val="0"/>
        <w:spacing w:after="120" w:line="240" w:lineRule="auto"/>
        <w:ind w:left="448" w:hanging="284"/>
        <w:rPr>
          <w:rFonts w:asciiTheme="majorHAnsi" w:hAnsiTheme="majorHAnsi" w:cs="Arial"/>
          <w:sz w:val="21"/>
          <w:szCs w:val="21"/>
        </w:rPr>
      </w:pPr>
      <w:r w:rsidRPr="00482801">
        <w:rPr>
          <w:rFonts w:asciiTheme="majorHAnsi" w:hAnsiTheme="majorHAnsi" w:cs="Arial"/>
          <w:sz w:val="21"/>
          <w:szCs w:val="21"/>
        </w:rPr>
        <w:t>facilitating collaboration and engagement amongst a wide range of citizens and stakeholders, including community leaders, policy makers, politicians, government, civil society and more marginalised communities and individuals.</w:t>
      </w:r>
    </w:p>
    <w:p w14:paraId="264EDA1A" w14:textId="77777777" w:rsidR="008159A1" w:rsidRPr="009C5BAE" w:rsidRDefault="008159A1" w:rsidP="00C252E0">
      <w:pPr>
        <w:pStyle w:val="ListBullet"/>
        <w:numPr>
          <w:ilvl w:val="0"/>
          <w:numId w:val="0"/>
        </w:numPr>
        <w:tabs>
          <w:tab w:val="clear" w:pos="284"/>
          <w:tab w:val="left" w:pos="0"/>
        </w:tabs>
        <w:spacing w:before="120" w:line="240" w:lineRule="auto"/>
        <w:rPr>
          <w:rFonts w:asciiTheme="majorHAnsi" w:hAnsiTheme="majorHAnsi"/>
        </w:rPr>
      </w:pPr>
      <w:r w:rsidRPr="009C5BAE">
        <w:rPr>
          <w:rFonts w:asciiTheme="majorHAnsi" w:hAnsiTheme="majorHAnsi"/>
        </w:rPr>
        <w:t>WSB will deliver activities across the six inter-related program areas to meet the program outcomes.</w:t>
      </w:r>
    </w:p>
    <w:p w14:paraId="08511B6B" w14:textId="6791C7C5" w:rsidR="009C5BAE" w:rsidRPr="009C5BAE" w:rsidRDefault="009C5BAE" w:rsidP="009C5BAE">
      <w:pPr>
        <w:numPr>
          <w:ilvl w:val="0"/>
          <w:numId w:val="14"/>
        </w:numPr>
        <w:tabs>
          <w:tab w:val="clear" w:pos="720"/>
          <w:tab w:val="left" w:pos="5412"/>
        </w:tabs>
        <w:suppressAutoHyphens w:val="0"/>
        <w:spacing w:after="120" w:line="240" w:lineRule="auto"/>
        <w:ind w:left="447" w:hanging="283"/>
        <w:rPr>
          <w:rFonts w:asciiTheme="majorHAnsi" w:hAnsiTheme="majorHAnsi" w:cs="Arial"/>
          <w:sz w:val="21"/>
          <w:szCs w:val="21"/>
        </w:rPr>
      </w:pPr>
      <w:r w:rsidRPr="009C5BAE">
        <w:rPr>
          <w:rFonts w:asciiTheme="majorHAnsi" w:hAnsiTheme="majorHAnsi" w:cs="Arial"/>
          <w:b/>
          <w:sz w:val="21"/>
          <w:szCs w:val="21"/>
        </w:rPr>
        <w:t>Creative Media</w:t>
      </w:r>
      <w:r w:rsidRPr="009C5BAE">
        <w:rPr>
          <w:rFonts w:asciiTheme="majorHAnsi" w:hAnsiTheme="majorHAnsi" w:cs="Arial"/>
          <w:sz w:val="21"/>
          <w:szCs w:val="21"/>
        </w:rPr>
        <w:t xml:space="preserve"> </w:t>
      </w:r>
      <w:r>
        <w:rPr>
          <w:rFonts w:asciiTheme="majorHAnsi" w:hAnsiTheme="majorHAnsi" w:cs="Arial"/>
          <w:sz w:val="21"/>
          <w:szCs w:val="21"/>
        </w:rPr>
        <w:t>activities that aim</w:t>
      </w:r>
      <w:r w:rsidRPr="009C5BAE">
        <w:rPr>
          <w:rFonts w:asciiTheme="majorHAnsi" w:hAnsiTheme="majorHAnsi" w:cs="Arial"/>
          <w:sz w:val="21"/>
          <w:szCs w:val="21"/>
        </w:rPr>
        <w:t xml:space="preserve"> to promote individual, community, and societal reflection, engagement, and dialogue. </w:t>
      </w:r>
      <w:r w:rsidRPr="009C5BAE">
        <w:rPr>
          <w:rFonts w:asciiTheme="majorHAnsi" w:hAnsiTheme="majorHAnsi"/>
          <w:sz w:val="21"/>
          <w:szCs w:val="21"/>
        </w:rPr>
        <w:t>WSB will produce high quality theatre, radio and film product</w:t>
      </w:r>
      <w:r w:rsidR="000F3A92">
        <w:rPr>
          <w:rFonts w:asciiTheme="majorHAnsi" w:hAnsiTheme="majorHAnsi"/>
          <w:sz w:val="21"/>
          <w:szCs w:val="21"/>
        </w:rPr>
        <w:t>s</w:t>
      </w:r>
      <w:r w:rsidRPr="009C5BAE">
        <w:rPr>
          <w:rFonts w:asciiTheme="majorHAnsi" w:hAnsiTheme="majorHAnsi"/>
          <w:sz w:val="21"/>
          <w:szCs w:val="21"/>
        </w:rPr>
        <w:t>. Given WSB’s extensive knowledge of communities, their development needs and emerging development issues, the themes and performance schedules for this component are flexible and will be agreed annually, or when necessary, with partners. Topics could include, but are not limited to, human rights and civic duties, government and leaders’ responsibilities, gender equality,</w:t>
      </w:r>
      <w:r w:rsidR="00B80C04">
        <w:rPr>
          <w:rFonts w:asciiTheme="majorHAnsi" w:hAnsiTheme="majorHAnsi"/>
          <w:sz w:val="21"/>
          <w:szCs w:val="21"/>
        </w:rPr>
        <w:t xml:space="preserve"> violence against women and children,</w:t>
      </w:r>
      <w:r w:rsidRPr="009C5BAE">
        <w:rPr>
          <w:rFonts w:asciiTheme="majorHAnsi" w:hAnsiTheme="majorHAnsi"/>
          <w:sz w:val="21"/>
          <w:szCs w:val="21"/>
        </w:rPr>
        <w:t xml:space="preserve"> disability, electoral rights, conservation, environmental sanitation and protection, sexual and reproductive health, and nutrition and healthy eating. WSB will also produce (where appropriate) written materials to accompany productions that can be used in a classroom or community setting to raise awareness and encourage community discussion.</w:t>
      </w:r>
      <w:r w:rsidR="00B90B43">
        <w:rPr>
          <w:rFonts w:asciiTheme="majorHAnsi" w:hAnsiTheme="majorHAnsi"/>
          <w:sz w:val="21"/>
          <w:szCs w:val="21"/>
        </w:rPr>
        <w:t xml:space="preserve"> </w:t>
      </w:r>
      <w:r w:rsidR="00B80C04">
        <w:rPr>
          <w:rFonts w:asciiTheme="majorHAnsi" w:hAnsiTheme="majorHAnsi"/>
          <w:sz w:val="21"/>
          <w:szCs w:val="21"/>
        </w:rPr>
        <w:t xml:space="preserve">DFAT </w:t>
      </w:r>
      <w:r w:rsidR="00B90B43">
        <w:rPr>
          <w:rFonts w:asciiTheme="majorHAnsi" w:hAnsiTheme="majorHAnsi"/>
          <w:sz w:val="21"/>
          <w:szCs w:val="21"/>
        </w:rPr>
        <w:t xml:space="preserve">will also </w:t>
      </w:r>
      <w:r w:rsidR="00B80C04">
        <w:rPr>
          <w:rFonts w:asciiTheme="majorHAnsi" w:hAnsiTheme="majorHAnsi"/>
          <w:sz w:val="21"/>
          <w:szCs w:val="21"/>
        </w:rPr>
        <w:t xml:space="preserve">encourage WSB to develop more </w:t>
      </w:r>
      <w:r w:rsidR="00B90B43">
        <w:rPr>
          <w:rFonts w:asciiTheme="majorHAnsi" w:hAnsiTheme="majorHAnsi"/>
          <w:sz w:val="21"/>
          <w:szCs w:val="21"/>
        </w:rPr>
        <w:t>material aimed at a younger audience (</w:t>
      </w:r>
      <w:r w:rsidR="00B80C04">
        <w:rPr>
          <w:rFonts w:asciiTheme="majorHAnsi" w:hAnsiTheme="majorHAnsi"/>
          <w:sz w:val="21"/>
          <w:szCs w:val="21"/>
        </w:rPr>
        <w:t>pre-adolescent</w:t>
      </w:r>
      <w:r w:rsidR="00B90B43">
        <w:rPr>
          <w:rFonts w:asciiTheme="majorHAnsi" w:hAnsiTheme="majorHAnsi"/>
          <w:sz w:val="21"/>
          <w:szCs w:val="21"/>
        </w:rPr>
        <w:t>).</w:t>
      </w:r>
    </w:p>
    <w:p w14:paraId="167A5A4A" w14:textId="35CBD509" w:rsidR="003439F8" w:rsidRDefault="009C5BAE" w:rsidP="008159A1">
      <w:pPr>
        <w:pStyle w:val="ListBullet"/>
        <w:numPr>
          <w:ilvl w:val="0"/>
          <w:numId w:val="14"/>
        </w:numPr>
        <w:tabs>
          <w:tab w:val="clear" w:pos="284"/>
          <w:tab w:val="clear" w:pos="720"/>
          <w:tab w:val="left" w:pos="0"/>
          <w:tab w:val="num" w:pos="426"/>
        </w:tabs>
        <w:spacing w:before="120" w:line="240" w:lineRule="auto"/>
        <w:ind w:left="426" w:hanging="284"/>
        <w:rPr>
          <w:rFonts w:asciiTheme="majorHAnsi" w:hAnsiTheme="majorHAnsi"/>
          <w:szCs w:val="21"/>
        </w:rPr>
      </w:pPr>
      <w:r w:rsidRPr="00482801">
        <w:rPr>
          <w:rFonts w:asciiTheme="majorHAnsi" w:hAnsiTheme="majorHAnsi" w:cs="Arial"/>
          <w:b/>
          <w:szCs w:val="21"/>
        </w:rPr>
        <w:t>Youth and Community</w:t>
      </w:r>
      <w:r w:rsidRPr="00482801">
        <w:rPr>
          <w:rFonts w:asciiTheme="majorHAnsi" w:hAnsiTheme="majorHAnsi" w:cs="Arial"/>
          <w:szCs w:val="21"/>
        </w:rPr>
        <w:t xml:space="preserve"> </w:t>
      </w:r>
      <w:r>
        <w:rPr>
          <w:rFonts w:asciiTheme="majorHAnsi" w:hAnsiTheme="majorHAnsi" w:cs="Arial"/>
          <w:szCs w:val="21"/>
        </w:rPr>
        <w:t>activities that aim</w:t>
      </w:r>
      <w:r w:rsidRPr="00482801">
        <w:rPr>
          <w:rFonts w:asciiTheme="majorHAnsi" w:hAnsiTheme="majorHAnsi" w:cs="Arial"/>
          <w:szCs w:val="21"/>
        </w:rPr>
        <w:t xml:space="preserve"> to promote responsibility, wellbeing and resilience in young people and their communities including in times of disaster.</w:t>
      </w:r>
      <w:r>
        <w:rPr>
          <w:rFonts w:asciiTheme="majorHAnsi" w:hAnsiTheme="majorHAnsi" w:cs="Arial"/>
          <w:szCs w:val="21"/>
        </w:rPr>
        <w:t xml:space="preserve"> </w:t>
      </w:r>
      <w:r w:rsidR="008159A1">
        <w:rPr>
          <w:rFonts w:asciiTheme="majorHAnsi" w:hAnsiTheme="majorHAnsi"/>
          <w:szCs w:val="21"/>
        </w:rPr>
        <w:t>WSB will provide</w:t>
      </w:r>
      <w:r w:rsidR="008159A1" w:rsidRPr="002C7CDB">
        <w:rPr>
          <w:rFonts w:asciiTheme="majorHAnsi" w:hAnsiTheme="majorHAnsi"/>
          <w:szCs w:val="21"/>
        </w:rPr>
        <w:t xml:space="preserve"> high</w:t>
      </w:r>
      <w:r w:rsidR="008159A1">
        <w:rPr>
          <w:rFonts w:asciiTheme="majorHAnsi" w:hAnsiTheme="majorHAnsi"/>
          <w:szCs w:val="21"/>
        </w:rPr>
        <w:t xml:space="preserve"> quality services, such as non-</w:t>
      </w:r>
      <w:r w:rsidR="008159A1" w:rsidRPr="002C7CDB">
        <w:rPr>
          <w:rFonts w:asciiTheme="majorHAnsi" w:hAnsiTheme="majorHAnsi"/>
          <w:szCs w:val="21"/>
        </w:rPr>
        <w:t>formal education and sporting opportunities</w:t>
      </w:r>
      <w:r w:rsidR="008159A1">
        <w:rPr>
          <w:rFonts w:asciiTheme="majorHAnsi" w:hAnsiTheme="majorHAnsi"/>
          <w:szCs w:val="21"/>
        </w:rPr>
        <w:t>,</w:t>
      </w:r>
      <w:r w:rsidR="008159A1" w:rsidRPr="002C7CDB">
        <w:rPr>
          <w:rFonts w:asciiTheme="majorHAnsi" w:hAnsiTheme="majorHAnsi"/>
          <w:szCs w:val="21"/>
        </w:rPr>
        <w:t xml:space="preserve"> for young unemployed, out-of-school young men and women in poor peri-urban settlements. Particular attention will continue to be given to gender equality in all youth centre activities, including sports. These activities aim to build knowledge, skills and confi</w:t>
      </w:r>
      <w:r w:rsidR="008159A1">
        <w:rPr>
          <w:rFonts w:asciiTheme="majorHAnsi" w:hAnsiTheme="majorHAnsi"/>
          <w:szCs w:val="21"/>
        </w:rPr>
        <w:t>dence among young men and women,</w:t>
      </w:r>
      <w:r w:rsidR="008159A1" w:rsidRPr="002C7CDB">
        <w:rPr>
          <w:rFonts w:asciiTheme="majorHAnsi" w:hAnsiTheme="majorHAnsi"/>
          <w:szCs w:val="21"/>
        </w:rPr>
        <w:t xml:space="preserve"> encourage self-reliance, resilience and leadership and promote positive participation in Vanuatu’s socio-economic development</w:t>
      </w:r>
      <w:r w:rsidR="003439F8">
        <w:rPr>
          <w:rFonts w:asciiTheme="majorHAnsi" w:hAnsiTheme="majorHAnsi"/>
          <w:szCs w:val="21"/>
        </w:rPr>
        <w:t>. This will include helping young, creative groups and individuals harness economic opportunities.</w:t>
      </w:r>
    </w:p>
    <w:p w14:paraId="1640AA16" w14:textId="7D81A274" w:rsidR="008159A1" w:rsidRPr="00482801" w:rsidRDefault="009C5BAE" w:rsidP="008159A1">
      <w:pPr>
        <w:pStyle w:val="ListBullet"/>
        <w:numPr>
          <w:ilvl w:val="0"/>
          <w:numId w:val="14"/>
        </w:numPr>
        <w:tabs>
          <w:tab w:val="clear" w:pos="284"/>
          <w:tab w:val="clear" w:pos="720"/>
          <w:tab w:val="left" w:pos="0"/>
          <w:tab w:val="num" w:pos="426"/>
        </w:tabs>
        <w:spacing w:before="120" w:line="240" w:lineRule="auto"/>
        <w:ind w:left="426" w:hanging="284"/>
        <w:rPr>
          <w:rFonts w:asciiTheme="majorHAnsi" w:hAnsiTheme="majorHAnsi"/>
          <w:szCs w:val="21"/>
        </w:rPr>
      </w:pPr>
      <w:r w:rsidRPr="00482801">
        <w:rPr>
          <w:rFonts w:asciiTheme="majorHAnsi" w:hAnsiTheme="majorHAnsi" w:cs="Arial"/>
          <w:b/>
          <w:szCs w:val="21"/>
        </w:rPr>
        <w:t>Health</w:t>
      </w:r>
      <w:r w:rsidRPr="00482801">
        <w:rPr>
          <w:rFonts w:asciiTheme="majorHAnsi" w:hAnsiTheme="majorHAnsi" w:cs="Arial"/>
          <w:szCs w:val="21"/>
        </w:rPr>
        <w:t xml:space="preserve"> </w:t>
      </w:r>
      <w:r>
        <w:rPr>
          <w:rFonts w:asciiTheme="majorHAnsi" w:hAnsiTheme="majorHAnsi" w:cs="Arial"/>
          <w:szCs w:val="21"/>
        </w:rPr>
        <w:t>activities that aim</w:t>
      </w:r>
      <w:r w:rsidRPr="00482801">
        <w:rPr>
          <w:rFonts w:asciiTheme="majorHAnsi" w:hAnsiTheme="majorHAnsi" w:cs="Arial"/>
          <w:szCs w:val="21"/>
        </w:rPr>
        <w:t xml:space="preserve"> to improve the health and wellbeing of individuals and communities. </w:t>
      </w:r>
      <w:r w:rsidR="008159A1">
        <w:rPr>
          <w:rFonts w:asciiTheme="majorHAnsi" w:hAnsiTheme="majorHAnsi"/>
          <w:szCs w:val="21"/>
        </w:rPr>
        <w:t xml:space="preserve">WSB will provide </w:t>
      </w:r>
      <w:r w:rsidR="008159A1" w:rsidRPr="008A2A9A">
        <w:rPr>
          <w:rFonts w:asciiTheme="majorHAnsi" w:hAnsiTheme="majorHAnsi"/>
          <w:szCs w:val="21"/>
        </w:rPr>
        <w:t>age-appropriate and confidential sexual and reproductive health services</w:t>
      </w:r>
      <w:r w:rsidR="008159A1">
        <w:rPr>
          <w:rFonts w:asciiTheme="majorHAnsi" w:hAnsiTheme="majorHAnsi"/>
          <w:szCs w:val="21"/>
        </w:rPr>
        <w:t>, including peer education and clinic services (Port Vila, Luga</w:t>
      </w:r>
      <w:r w:rsidR="00215202">
        <w:rPr>
          <w:rFonts w:asciiTheme="majorHAnsi" w:hAnsiTheme="majorHAnsi"/>
          <w:szCs w:val="21"/>
        </w:rPr>
        <w:t>n</w:t>
      </w:r>
      <w:r w:rsidR="008159A1">
        <w:rPr>
          <w:rFonts w:asciiTheme="majorHAnsi" w:hAnsiTheme="majorHAnsi"/>
          <w:szCs w:val="21"/>
        </w:rPr>
        <w:t>ville, Pentecost and mobile clinic services), in partnership with the Ministry of Health. Awareness and education on non-communicable diseases will also be covered through the creative media, youth and community program areas.</w:t>
      </w:r>
    </w:p>
    <w:p w14:paraId="49C9DB2B" w14:textId="7E2E33B9" w:rsidR="008159A1" w:rsidRPr="0086708B" w:rsidRDefault="009C5BAE" w:rsidP="00B80C04">
      <w:pPr>
        <w:pStyle w:val="ListBullet"/>
        <w:numPr>
          <w:ilvl w:val="0"/>
          <w:numId w:val="14"/>
        </w:numPr>
        <w:tabs>
          <w:tab w:val="clear" w:pos="284"/>
          <w:tab w:val="clear" w:pos="720"/>
          <w:tab w:val="left" w:pos="0"/>
          <w:tab w:val="num" w:pos="426"/>
        </w:tabs>
        <w:spacing w:before="120" w:line="240" w:lineRule="auto"/>
        <w:ind w:left="426" w:hanging="284"/>
        <w:rPr>
          <w:rFonts w:asciiTheme="majorHAnsi" w:hAnsiTheme="majorHAnsi"/>
          <w:szCs w:val="21"/>
        </w:rPr>
      </w:pPr>
      <w:r w:rsidRPr="00F15B57">
        <w:rPr>
          <w:rFonts w:asciiTheme="majorHAnsi" w:hAnsiTheme="majorHAnsi" w:cs="Arial"/>
          <w:b/>
          <w:szCs w:val="21"/>
        </w:rPr>
        <w:t>Environment</w:t>
      </w:r>
      <w:r w:rsidRPr="00B80C04">
        <w:rPr>
          <w:rFonts w:asciiTheme="majorHAnsi" w:hAnsiTheme="majorHAnsi" w:cs="Arial"/>
          <w:b/>
          <w:szCs w:val="21"/>
        </w:rPr>
        <w:t xml:space="preserve"> </w:t>
      </w:r>
      <w:r w:rsidRPr="00F15B57">
        <w:rPr>
          <w:rFonts w:asciiTheme="majorHAnsi" w:hAnsiTheme="majorHAnsi" w:cs="Arial"/>
          <w:szCs w:val="21"/>
        </w:rPr>
        <w:t xml:space="preserve">activities that aim to promote environmental sustainability and community resource management. </w:t>
      </w:r>
      <w:r w:rsidR="008159A1" w:rsidRPr="007850DD">
        <w:rPr>
          <w:rFonts w:asciiTheme="majorHAnsi" w:hAnsiTheme="majorHAnsi" w:cs="Arial"/>
          <w:szCs w:val="21"/>
        </w:rPr>
        <w:t xml:space="preserve">WSB will continue to support the strong community-based volunteer conservation (Vanua-tai) network, working closely with the Department of Environment and Fisheries. </w:t>
      </w:r>
      <w:r w:rsidR="006E50DF" w:rsidRPr="007850DD">
        <w:rPr>
          <w:rFonts w:asciiTheme="majorHAnsi" w:hAnsiTheme="majorHAnsi" w:cs="Arial"/>
          <w:szCs w:val="21"/>
        </w:rPr>
        <w:t xml:space="preserve">There will be an increased focus </w:t>
      </w:r>
      <w:r w:rsidR="00B443DA">
        <w:rPr>
          <w:rFonts w:asciiTheme="majorHAnsi" w:hAnsiTheme="majorHAnsi" w:cs="Arial"/>
          <w:szCs w:val="21"/>
        </w:rPr>
        <w:t xml:space="preserve">on working </w:t>
      </w:r>
      <w:r w:rsidR="006E50DF" w:rsidRPr="007850DD">
        <w:rPr>
          <w:rFonts w:asciiTheme="majorHAnsi" w:hAnsiTheme="majorHAnsi" w:cs="Arial"/>
          <w:szCs w:val="21"/>
        </w:rPr>
        <w:t>with target c</w:t>
      </w:r>
      <w:r w:rsidR="006E50DF" w:rsidRPr="00B2000A">
        <w:rPr>
          <w:rFonts w:asciiTheme="majorHAnsi" w:hAnsiTheme="majorHAnsi" w:cs="Arial"/>
          <w:szCs w:val="21"/>
        </w:rPr>
        <w:t xml:space="preserve">ommunities </w:t>
      </w:r>
      <w:r w:rsidR="00B443DA">
        <w:rPr>
          <w:rFonts w:asciiTheme="majorHAnsi" w:hAnsiTheme="majorHAnsi" w:cs="Arial"/>
          <w:szCs w:val="21"/>
        </w:rPr>
        <w:t xml:space="preserve">to ensure they are </w:t>
      </w:r>
      <w:r w:rsidR="006E50DF" w:rsidRPr="00B2000A">
        <w:rPr>
          <w:rFonts w:asciiTheme="majorHAnsi" w:hAnsiTheme="majorHAnsi" w:cs="Arial"/>
          <w:szCs w:val="21"/>
        </w:rPr>
        <w:t>climate informed</w:t>
      </w:r>
      <w:r w:rsidR="00B443DA">
        <w:rPr>
          <w:rFonts w:asciiTheme="majorHAnsi" w:hAnsiTheme="majorHAnsi" w:cs="Arial"/>
          <w:szCs w:val="21"/>
        </w:rPr>
        <w:t>,</w:t>
      </w:r>
      <w:r w:rsidR="006E50DF" w:rsidRPr="00B2000A">
        <w:rPr>
          <w:rFonts w:asciiTheme="majorHAnsi" w:hAnsiTheme="majorHAnsi" w:cs="Arial"/>
          <w:szCs w:val="21"/>
        </w:rPr>
        <w:t xml:space="preserve"> and dealing with highly weather dependent crops. </w:t>
      </w:r>
      <w:r w:rsidR="00F15B57">
        <w:rPr>
          <w:rFonts w:asciiTheme="majorHAnsi" w:hAnsiTheme="majorHAnsi" w:cs="Arial"/>
          <w:szCs w:val="21"/>
        </w:rPr>
        <w:t>WSB</w:t>
      </w:r>
      <w:r w:rsidR="006E50DF" w:rsidRPr="007850DD">
        <w:rPr>
          <w:rFonts w:asciiTheme="majorHAnsi" w:hAnsiTheme="majorHAnsi" w:cs="Arial"/>
          <w:szCs w:val="21"/>
        </w:rPr>
        <w:t xml:space="preserve"> </w:t>
      </w:r>
      <w:r w:rsidR="00B443DA">
        <w:rPr>
          <w:rFonts w:asciiTheme="majorHAnsi" w:hAnsiTheme="majorHAnsi" w:cs="Arial"/>
          <w:szCs w:val="21"/>
        </w:rPr>
        <w:t xml:space="preserve">will also </w:t>
      </w:r>
      <w:r w:rsidR="00F15B57">
        <w:rPr>
          <w:rFonts w:asciiTheme="majorHAnsi" w:hAnsiTheme="majorHAnsi" w:cs="Arial"/>
          <w:szCs w:val="21"/>
        </w:rPr>
        <w:t xml:space="preserve">train and </w:t>
      </w:r>
      <w:r w:rsidR="006E50DF" w:rsidRPr="007850DD">
        <w:rPr>
          <w:rFonts w:asciiTheme="majorHAnsi" w:hAnsiTheme="majorHAnsi" w:cs="Arial"/>
          <w:szCs w:val="21"/>
        </w:rPr>
        <w:t xml:space="preserve">manage a small number of </w:t>
      </w:r>
      <w:r w:rsidR="00F15B57" w:rsidRPr="00B80C04">
        <w:rPr>
          <w:rFonts w:asciiTheme="majorHAnsi" w:hAnsiTheme="majorHAnsi" w:cs="Arial"/>
          <w:szCs w:val="21"/>
        </w:rPr>
        <w:t xml:space="preserve">Community Disaster and Climate Change Committees </w:t>
      </w:r>
      <w:r w:rsidR="00F15B57">
        <w:rPr>
          <w:rFonts w:asciiTheme="majorHAnsi" w:hAnsiTheme="majorHAnsi" w:cs="Arial"/>
          <w:szCs w:val="21"/>
        </w:rPr>
        <w:t>(linked to NDMO, Oxfam and Red Cross)</w:t>
      </w:r>
      <w:r w:rsidR="00F15B57" w:rsidRPr="00B80C04">
        <w:rPr>
          <w:rFonts w:asciiTheme="majorHAnsi" w:hAnsiTheme="majorHAnsi" w:cs="Arial"/>
          <w:szCs w:val="21"/>
        </w:rPr>
        <w:t>.</w:t>
      </w:r>
      <w:r w:rsidR="006E50DF" w:rsidRPr="007850DD">
        <w:rPr>
          <w:rFonts w:asciiTheme="majorHAnsi" w:hAnsiTheme="majorHAnsi" w:cs="Arial"/>
          <w:szCs w:val="21"/>
        </w:rPr>
        <w:t xml:space="preserve"> </w:t>
      </w:r>
      <w:r w:rsidR="008159A1" w:rsidRPr="00B2000A">
        <w:rPr>
          <w:rFonts w:asciiTheme="majorHAnsi" w:hAnsiTheme="majorHAnsi" w:cs="Arial"/>
          <w:szCs w:val="21"/>
        </w:rPr>
        <w:t xml:space="preserve">Linked to the creative media program area, </w:t>
      </w:r>
      <w:r w:rsidR="008159A1" w:rsidRPr="0086708B">
        <w:rPr>
          <w:rFonts w:asciiTheme="majorHAnsi" w:hAnsiTheme="majorHAnsi" w:cs="Arial"/>
          <w:szCs w:val="21"/>
        </w:rPr>
        <w:t>community drama, films and radio programs will provide information and encourage discussion and community action on environmental governance</w:t>
      </w:r>
      <w:r w:rsidR="00F15B57" w:rsidRPr="0086708B">
        <w:rPr>
          <w:rFonts w:asciiTheme="majorHAnsi" w:hAnsiTheme="majorHAnsi" w:cs="Arial"/>
          <w:szCs w:val="21"/>
        </w:rPr>
        <w:t>, climate change and adaptation</w:t>
      </w:r>
      <w:r w:rsidR="008159A1" w:rsidRPr="0086708B">
        <w:rPr>
          <w:rFonts w:asciiTheme="majorHAnsi" w:hAnsiTheme="majorHAnsi" w:cs="Arial"/>
          <w:szCs w:val="21"/>
        </w:rPr>
        <w:t xml:space="preserve"> and conservation of natural resources. </w:t>
      </w:r>
      <w:r w:rsidR="0086708B" w:rsidRPr="0086708B">
        <w:rPr>
          <w:rFonts w:asciiTheme="majorHAnsi" w:hAnsiTheme="majorHAnsi" w:cs="Arial"/>
          <w:szCs w:val="21"/>
        </w:rPr>
        <w:t>C</w:t>
      </w:r>
      <w:r w:rsidR="008159A1" w:rsidRPr="0086708B">
        <w:rPr>
          <w:rFonts w:asciiTheme="majorHAnsi" w:hAnsiTheme="majorHAnsi" w:cs="Arial"/>
          <w:szCs w:val="21"/>
        </w:rPr>
        <w:t xml:space="preserve">onservation training </w:t>
      </w:r>
      <w:r w:rsidR="0086708B" w:rsidRPr="0086708B">
        <w:rPr>
          <w:rFonts w:asciiTheme="majorHAnsi" w:hAnsiTheme="majorHAnsi" w:cs="Arial"/>
          <w:szCs w:val="21"/>
        </w:rPr>
        <w:t xml:space="preserve">and </w:t>
      </w:r>
      <w:r w:rsidR="008159A1" w:rsidRPr="0086708B">
        <w:rPr>
          <w:rFonts w:asciiTheme="majorHAnsi" w:hAnsiTheme="majorHAnsi" w:cs="Arial"/>
          <w:szCs w:val="21"/>
        </w:rPr>
        <w:t xml:space="preserve">follow-up will be </w:t>
      </w:r>
      <w:r w:rsidR="0086708B" w:rsidRPr="0086708B">
        <w:rPr>
          <w:rFonts w:asciiTheme="majorHAnsi" w:hAnsiTheme="majorHAnsi" w:cs="Arial"/>
          <w:szCs w:val="21"/>
        </w:rPr>
        <w:t xml:space="preserve">provided for </w:t>
      </w:r>
      <w:r w:rsidR="008159A1" w:rsidRPr="0086708B">
        <w:rPr>
          <w:rFonts w:asciiTheme="majorHAnsi" w:hAnsiTheme="majorHAnsi" w:cs="Arial"/>
          <w:szCs w:val="21"/>
        </w:rPr>
        <w:t xml:space="preserve">the network. There will also be a </w:t>
      </w:r>
      <w:r w:rsidR="006E50DF" w:rsidRPr="0086708B">
        <w:rPr>
          <w:rFonts w:asciiTheme="majorHAnsi" w:hAnsiTheme="majorHAnsi" w:cs="Arial"/>
          <w:szCs w:val="21"/>
        </w:rPr>
        <w:t xml:space="preserve">continued </w:t>
      </w:r>
      <w:r w:rsidR="008159A1" w:rsidRPr="0086708B">
        <w:rPr>
          <w:rFonts w:asciiTheme="majorHAnsi" w:hAnsiTheme="majorHAnsi" w:cs="Arial"/>
          <w:szCs w:val="21"/>
        </w:rPr>
        <w:t xml:space="preserve">focus on waste management. </w:t>
      </w:r>
    </w:p>
    <w:p w14:paraId="5FE9DDE8" w14:textId="16E1D3C5" w:rsidR="008159A1" w:rsidRDefault="009C5BAE" w:rsidP="008159A1">
      <w:pPr>
        <w:pStyle w:val="ListBullet"/>
        <w:numPr>
          <w:ilvl w:val="0"/>
          <w:numId w:val="14"/>
        </w:numPr>
        <w:tabs>
          <w:tab w:val="clear" w:pos="284"/>
          <w:tab w:val="clear" w:pos="720"/>
          <w:tab w:val="left" w:pos="0"/>
          <w:tab w:val="num" w:pos="426"/>
        </w:tabs>
        <w:spacing w:before="120" w:line="240" w:lineRule="auto"/>
        <w:ind w:left="426" w:hanging="284"/>
        <w:rPr>
          <w:rFonts w:asciiTheme="majorHAnsi" w:hAnsiTheme="majorHAnsi"/>
          <w:szCs w:val="21"/>
        </w:rPr>
      </w:pPr>
      <w:r w:rsidRPr="00482801">
        <w:rPr>
          <w:rFonts w:asciiTheme="majorHAnsi" w:hAnsiTheme="majorHAnsi" w:cs="Arial"/>
          <w:b/>
          <w:szCs w:val="21"/>
        </w:rPr>
        <w:t>Governance</w:t>
      </w:r>
      <w:r w:rsidRPr="00482801">
        <w:rPr>
          <w:rFonts w:asciiTheme="majorHAnsi" w:hAnsiTheme="majorHAnsi" w:cs="Arial"/>
          <w:szCs w:val="21"/>
        </w:rPr>
        <w:t xml:space="preserve"> </w:t>
      </w:r>
      <w:r>
        <w:rPr>
          <w:rFonts w:asciiTheme="majorHAnsi" w:hAnsiTheme="majorHAnsi" w:cs="Arial"/>
          <w:szCs w:val="21"/>
        </w:rPr>
        <w:t>activities that aim</w:t>
      </w:r>
      <w:r w:rsidRPr="00482801">
        <w:rPr>
          <w:rFonts w:asciiTheme="majorHAnsi" w:hAnsiTheme="majorHAnsi" w:cs="Arial"/>
          <w:szCs w:val="21"/>
        </w:rPr>
        <w:t xml:space="preserve"> to promote good governance, leadership</w:t>
      </w:r>
      <w:r w:rsidR="00316424">
        <w:rPr>
          <w:rFonts w:asciiTheme="majorHAnsi" w:hAnsiTheme="majorHAnsi" w:cs="Arial"/>
          <w:szCs w:val="21"/>
        </w:rPr>
        <w:t>, increased community voice</w:t>
      </w:r>
      <w:r w:rsidRPr="00482801">
        <w:rPr>
          <w:rFonts w:asciiTheme="majorHAnsi" w:hAnsiTheme="majorHAnsi" w:cs="Arial"/>
          <w:szCs w:val="21"/>
        </w:rPr>
        <w:t xml:space="preserve"> and accountability across all of society.</w:t>
      </w:r>
      <w:r>
        <w:rPr>
          <w:rFonts w:asciiTheme="majorHAnsi" w:hAnsiTheme="majorHAnsi"/>
          <w:b/>
          <w:szCs w:val="21"/>
        </w:rPr>
        <w:t xml:space="preserve"> </w:t>
      </w:r>
      <w:r w:rsidR="008159A1">
        <w:rPr>
          <w:rFonts w:asciiTheme="majorHAnsi" w:hAnsiTheme="majorHAnsi"/>
          <w:szCs w:val="21"/>
        </w:rPr>
        <w:t>WSB will work with Chiefs and community leaders to highlight governance issues</w:t>
      </w:r>
      <w:r w:rsidR="005F243D">
        <w:rPr>
          <w:rFonts w:asciiTheme="majorHAnsi" w:hAnsiTheme="majorHAnsi"/>
          <w:szCs w:val="21"/>
        </w:rPr>
        <w:t>, challenge society norms on violence against women and children</w:t>
      </w:r>
      <w:r w:rsidR="008159A1">
        <w:rPr>
          <w:rFonts w:asciiTheme="majorHAnsi" w:hAnsiTheme="majorHAnsi"/>
          <w:szCs w:val="21"/>
        </w:rPr>
        <w:t xml:space="preserve"> and provide support for practical action in target communities. This will be complemented by creative media, including theatre and film, to reinforce messages and encourage discussion. Activities are mutually reinforcing and together form a powerful approach to improving governance at different levels of society.</w:t>
      </w:r>
    </w:p>
    <w:p w14:paraId="29F2EC97" w14:textId="2ABA6215" w:rsidR="008159A1" w:rsidRPr="00215202" w:rsidRDefault="009C5BAE" w:rsidP="00215202">
      <w:pPr>
        <w:pStyle w:val="ListBullet"/>
        <w:numPr>
          <w:ilvl w:val="0"/>
          <w:numId w:val="14"/>
        </w:numPr>
        <w:tabs>
          <w:tab w:val="clear" w:pos="284"/>
          <w:tab w:val="clear" w:pos="720"/>
          <w:tab w:val="left" w:pos="0"/>
          <w:tab w:val="num" w:pos="426"/>
        </w:tabs>
        <w:spacing w:before="120" w:line="240" w:lineRule="auto"/>
        <w:ind w:left="426" w:hanging="284"/>
        <w:rPr>
          <w:rFonts w:asciiTheme="majorHAnsi" w:hAnsiTheme="majorHAnsi"/>
          <w:szCs w:val="21"/>
        </w:rPr>
      </w:pPr>
      <w:r w:rsidRPr="00215202">
        <w:rPr>
          <w:rFonts w:asciiTheme="majorHAnsi" w:hAnsiTheme="majorHAnsi" w:cs="Arial"/>
          <w:b/>
          <w:szCs w:val="21"/>
        </w:rPr>
        <w:t xml:space="preserve">Monitoring, Performance and Results </w:t>
      </w:r>
      <w:r w:rsidRPr="00215202">
        <w:rPr>
          <w:rFonts w:asciiTheme="majorHAnsi" w:hAnsiTheme="majorHAnsi" w:cs="Arial"/>
          <w:szCs w:val="21"/>
        </w:rPr>
        <w:t>activities</w:t>
      </w:r>
      <w:r w:rsidRPr="00215202">
        <w:rPr>
          <w:rFonts w:asciiTheme="majorHAnsi" w:hAnsiTheme="majorHAnsi" w:cs="Arial"/>
          <w:b/>
          <w:szCs w:val="21"/>
        </w:rPr>
        <w:t xml:space="preserve"> </w:t>
      </w:r>
      <w:r w:rsidRPr="00215202">
        <w:rPr>
          <w:rFonts w:asciiTheme="majorHAnsi" w:hAnsiTheme="majorHAnsi" w:cs="Arial"/>
          <w:szCs w:val="21"/>
        </w:rPr>
        <w:t xml:space="preserve">that aim to </w:t>
      </w:r>
      <w:r w:rsidR="00215202" w:rsidRPr="00215202">
        <w:rPr>
          <w:rFonts w:asciiTheme="majorHAnsi" w:hAnsiTheme="majorHAnsi" w:cs="Arial"/>
          <w:szCs w:val="21"/>
        </w:rPr>
        <w:t xml:space="preserve">inform strategic choices by WSB and management of their programs as well as </w:t>
      </w:r>
      <w:r w:rsidRPr="00215202">
        <w:rPr>
          <w:rFonts w:asciiTheme="majorHAnsi" w:hAnsiTheme="majorHAnsi" w:cs="Arial"/>
          <w:szCs w:val="21"/>
        </w:rPr>
        <w:t>creat</w:t>
      </w:r>
      <w:r w:rsidR="00215202" w:rsidRPr="00215202">
        <w:rPr>
          <w:rFonts w:asciiTheme="majorHAnsi" w:hAnsiTheme="majorHAnsi" w:cs="Arial"/>
          <w:szCs w:val="21"/>
        </w:rPr>
        <w:t>ing</w:t>
      </w:r>
      <w:r w:rsidRPr="00215202">
        <w:rPr>
          <w:rFonts w:asciiTheme="majorHAnsi" w:hAnsiTheme="majorHAnsi" w:cs="Arial"/>
          <w:szCs w:val="21"/>
        </w:rPr>
        <w:t xml:space="preserve"> an evidence base for policy </w:t>
      </w:r>
      <w:r w:rsidR="00215202" w:rsidRPr="00215202">
        <w:rPr>
          <w:rFonts w:asciiTheme="majorHAnsi" w:hAnsiTheme="majorHAnsi" w:cs="Arial"/>
          <w:szCs w:val="21"/>
        </w:rPr>
        <w:t>advocacy</w:t>
      </w:r>
      <w:r w:rsidRPr="00215202">
        <w:rPr>
          <w:rFonts w:asciiTheme="majorHAnsi" w:hAnsiTheme="majorHAnsi" w:cs="Arial"/>
          <w:szCs w:val="21"/>
        </w:rPr>
        <w:t xml:space="preserve"> and promot</w:t>
      </w:r>
      <w:r w:rsidR="00215202" w:rsidRPr="00215202">
        <w:rPr>
          <w:rFonts w:asciiTheme="majorHAnsi" w:hAnsiTheme="majorHAnsi" w:cs="Arial"/>
          <w:szCs w:val="21"/>
        </w:rPr>
        <w:t>ing</w:t>
      </w:r>
      <w:r w:rsidRPr="00215202">
        <w:rPr>
          <w:rFonts w:asciiTheme="majorHAnsi" w:hAnsiTheme="majorHAnsi" w:cs="Arial"/>
          <w:szCs w:val="21"/>
        </w:rPr>
        <w:t xml:space="preserve"> individual and societal engagement and dialogue. </w:t>
      </w:r>
      <w:r w:rsidR="00215202" w:rsidRPr="00215202">
        <w:rPr>
          <w:rFonts w:asciiTheme="majorHAnsi" w:hAnsiTheme="majorHAnsi"/>
          <w:szCs w:val="21"/>
        </w:rPr>
        <w:t>In this phase t</w:t>
      </w:r>
      <w:r w:rsidR="008159A1" w:rsidRPr="00215202">
        <w:rPr>
          <w:rFonts w:asciiTheme="majorHAnsi" w:hAnsiTheme="majorHAnsi"/>
          <w:szCs w:val="21"/>
        </w:rPr>
        <w:t xml:space="preserve">here will be </w:t>
      </w:r>
      <w:r w:rsidR="00215202" w:rsidRPr="00215202">
        <w:rPr>
          <w:rFonts w:asciiTheme="majorHAnsi" w:hAnsiTheme="majorHAnsi"/>
          <w:szCs w:val="21"/>
        </w:rPr>
        <w:t>a more deliberate linking of results measurement, change processes and reporting to tell a more structured story of change suppo</w:t>
      </w:r>
      <w:r w:rsidR="00B443DA">
        <w:rPr>
          <w:rFonts w:asciiTheme="majorHAnsi" w:hAnsiTheme="majorHAnsi"/>
          <w:szCs w:val="21"/>
        </w:rPr>
        <w:t>rted by or attributable to WSB.</w:t>
      </w:r>
      <w:r w:rsidR="00215202" w:rsidRPr="00215202">
        <w:rPr>
          <w:rFonts w:asciiTheme="majorHAnsi" w:hAnsiTheme="majorHAnsi"/>
          <w:szCs w:val="21"/>
        </w:rPr>
        <w:t xml:space="preserve"> Monitoring and results measurement will be used to assess adequacy of progress </w:t>
      </w:r>
      <w:r w:rsidR="00215202" w:rsidRPr="00215202">
        <w:rPr>
          <w:rFonts w:asciiTheme="majorHAnsi" w:hAnsiTheme="majorHAnsi"/>
          <w:szCs w:val="21"/>
        </w:rPr>
        <w:lastRenderedPageBreak/>
        <w:t xml:space="preserve">towards sustainable </w:t>
      </w:r>
      <w:r w:rsidR="00215202" w:rsidRPr="00B443DA">
        <w:rPr>
          <w:rFonts w:asciiTheme="majorHAnsi" w:hAnsiTheme="majorHAnsi"/>
          <w:szCs w:val="21"/>
        </w:rPr>
        <w:t>change (e.g. increased</w:t>
      </w:r>
      <w:r w:rsidR="00215202" w:rsidRPr="00215202">
        <w:rPr>
          <w:rFonts w:asciiTheme="majorHAnsi" w:hAnsiTheme="majorHAnsi"/>
          <w:szCs w:val="21"/>
        </w:rPr>
        <w:t xml:space="preserve"> cost recovery in creative media; reduced repeat visits to the clinic for diseases linked to risky behaviours; a focus on reducing waste streams in the environment, not just cleaning up and disposing of waste after consumption). A</w:t>
      </w:r>
      <w:r w:rsidR="008159A1" w:rsidRPr="00215202">
        <w:rPr>
          <w:rFonts w:asciiTheme="majorHAnsi" w:hAnsiTheme="majorHAnsi"/>
          <w:szCs w:val="21"/>
        </w:rPr>
        <w:t>n increased focus on monitoring, evaluation and learning in this phase</w:t>
      </w:r>
      <w:r w:rsidR="000F3A92">
        <w:rPr>
          <w:rFonts w:asciiTheme="majorHAnsi" w:hAnsiTheme="majorHAnsi"/>
          <w:szCs w:val="21"/>
        </w:rPr>
        <w:t xml:space="preserve"> will be comple</w:t>
      </w:r>
      <w:r w:rsidR="00215202" w:rsidRPr="00215202">
        <w:rPr>
          <w:rFonts w:asciiTheme="majorHAnsi" w:hAnsiTheme="majorHAnsi"/>
          <w:szCs w:val="21"/>
        </w:rPr>
        <w:t>mented by support for</w:t>
      </w:r>
      <w:r w:rsidR="008159A1" w:rsidRPr="00215202">
        <w:rPr>
          <w:rFonts w:asciiTheme="majorHAnsi" w:hAnsiTheme="majorHAnsi"/>
          <w:szCs w:val="21"/>
        </w:rPr>
        <w:t xml:space="preserve"> </w:t>
      </w:r>
      <w:r w:rsidR="00215202" w:rsidRPr="00215202">
        <w:rPr>
          <w:rFonts w:asciiTheme="majorHAnsi" w:hAnsiTheme="majorHAnsi"/>
          <w:szCs w:val="21"/>
        </w:rPr>
        <w:t xml:space="preserve">WSB to </w:t>
      </w:r>
      <w:r w:rsidR="008159A1" w:rsidRPr="00215202">
        <w:rPr>
          <w:rFonts w:asciiTheme="majorHAnsi" w:hAnsiTheme="majorHAnsi"/>
          <w:szCs w:val="21"/>
        </w:rPr>
        <w:t>us</w:t>
      </w:r>
      <w:r w:rsidR="00215202" w:rsidRPr="00215202">
        <w:rPr>
          <w:rFonts w:asciiTheme="majorHAnsi" w:hAnsiTheme="majorHAnsi"/>
          <w:szCs w:val="21"/>
        </w:rPr>
        <w:t>e</w:t>
      </w:r>
      <w:r w:rsidR="008159A1" w:rsidRPr="00215202">
        <w:rPr>
          <w:rFonts w:asciiTheme="majorHAnsi" w:hAnsiTheme="majorHAnsi"/>
          <w:szCs w:val="21"/>
        </w:rPr>
        <w:t xml:space="preserve"> evidence and learning to inform programming in all program areas. The investment will include funding for a dedicated performance assessment officer, with mentoring and coaching provided by a dedicated Performance Assessment Adviser. A proportion of funding (</w:t>
      </w:r>
      <w:r w:rsidR="0086708B">
        <w:rPr>
          <w:rFonts w:asciiTheme="majorHAnsi" w:hAnsiTheme="majorHAnsi"/>
          <w:szCs w:val="21"/>
        </w:rPr>
        <w:t>$50,000 p.a.</w:t>
      </w:r>
      <w:r w:rsidR="008159A1" w:rsidRPr="00215202">
        <w:rPr>
          <w:rFonts w:asciiTheme="majorHAnsi" w:hAnsiTheme="majorHAnsi"/>
          <w:szCs w:val="21"/>
        </w:rPr>
        <w:t xml:space="preserve">) will be performance based, with clear annual targets </w:t>
      </w:r>
      <w:r w:rsidR="0086708B">
        <w:rPr>
          <w:rFonts w:asciiTheme="majorHAnsi" w:hAnsiTheme="majorHAnsi"/>
          <w:szCs w:val="21"/>
        </w:rPr>
        <w:t xml:space="preserve">agreed each year </w:t>
      </w:r>
      <w:r w:rsidR="008159A1" w:rsidRPr="00215202">
        <w:rPr>
          <w:rFonts w:asciiTheme="majorHAnsi" w:hAnsiTheme="majorHAnsi"/>
          <w:szCs w:val="21"/>
        </w:rPr>
        <w:t>to improve monitoring and evaluation.</w:t>
      </w:r>
    </w:p>
    <w:p w14:paraId="28664CBC" w14:textId="3E8BA986" w:rsidR="00482801" w:rsidRPr="00974959" w:rsidRDefault="008159A1">
      <w:pPr>
        <w:rPr>
          <w:rFonts w:asciiTheme="majorHAnsi" w:eastAsia="Times New Roman" w:hAnsiTheme="majorHAnsi" w:cs="Times New Roman"/>
          <w:sz w:val="21"/>
          <w:szCs w:val="21"/>
          <w:lang w:val="en-AU" w:eastAsia="en-AU"/>
        </w:rPr>
      </w:pPr>
      <w:r w:rsidRPr="00482801">
        <w:rPr>
          <w:rFonts w:asciiTheme="majorHAnsi" w:eastAsia="Times New Roman" w:hAnsiTheme="majorHAnsi" w:cs="Times New Roman"/>
          <w:sz w:val="21"/>
          <w:szCs w:val="21"/>
          <w:lang w:val="en-AU" w:eastAsia="en-AU"/>
        </w:rPr>
        <w:t>WSB will continue to mainstream gender equality and disability inclusion in all activities</w:t>
      </w:r>
      <w:r w:rsidR="00D87C14">
        <w:rPr>
          <w:rFonts w:asciiTheme="majorHAnsi" w:eastAsia="Times New Roman" w:hAnsiTheme="majorHAnsi" w:cs="Times New Roman"/>
          <w:sz w:val="21"/>
          <w:szCs w:val="21"/>
          <w:lang w:val="en-AU" w:eastAsia="en-AU"/>
        </w:rPr>
        <w:t>, and developing, where necessary, guiding documents to help articulate these approaches</w:t>
      </w:r>
      <w:r w:rsidRPr="00482801">
        <w:rPr>
          <w:rFonts w:asciiTheme="majorHAnsi" w:eastAsia="Times New Roman" w:hAnsiTheme="majorHAnsi" w:cs="Times New Roman"/>
          <w:sz w:val="21"/>
          <w:szCs w:val="21"/>
          <w:lang w:val="en-AU" w:eastAsia="en-AU"/>
        </w:rPr>
        <w:t>.</w:t>
      </w:r>
    </w:p>
    <w:tbl>
      <w:tblPr>
        <w:tblW w:w="992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923"/>
      </w:tblGrid>
      <w:tr w:rsidR="00D9769C" w:rsidRPr="00E259DD" w14:paraId="6CBE31B3" w14:textId="77777777" w:rsidTr="003B0E24">
        <w:trPr>
          <w:cantSplit/>
          <w:trHeight w:val="187"/>
        </w:trPr>
        <w:tc>
          <w:tcPr>
            <w:tcW w:w="9923"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tcMar>
              <w:top w:w="28" w:type="dxa"/>
              <w:left w:w="108" w:type="dxa"/>
              <w:bottom w:w="28" w:type="dxa"/>
              <w:right w:w="108" w:type="dxa"/>
            </w:tcMar>
            <w:hideMark/>
          </w:tcPr>
          <w:p w14:paraId="1F9686CD" w14:textId="77777777" w:rsidR="00D9769C" w:rsidRPr="00E259DD" w:rsidRDefault="00D9769C" w:rsidP="001B3ED6">
            <w:pPr>
              <w:pStyle w:val="ListBullet"/>
              <w:numPr>
                <w:ilvl w:val="0"/>
                <w:numId w:val="0"/>
              </w:numPr>
              <w:spacing w:before="120" w:line="240" w:lineRule="auto"/>
              <w:ind w:left="644" w:hanging="360"/>
              <w:rPr>
                <w:rFonts w:asciiTheme="majorHAnsi" w:hAnsiTheme="majorHAnsi"/>
                <w:sz w:val="22"/>
                <w:szCs w:val="22"/>
              </w:rPr>
            </w:pPr>
            <w:r w:rsidRPr="00E259DD">
              <w:rPr>
                <w:rFonts w:asciiTheme="majorHAnsi" w:hAnsiTheme="majorHAnsi"/>
                <w:b/>
                <w:sz w:val="22"/>
                <w:szCs w:val="22"/>
              </w:rPr>
              <w:t>D: Implementation arrangements (How will DFAT engage in the partnership?)</w:t>
            </w:r>
          </w:p>
        </w:tc>
      </w:tr>
    </w:tbl>
    <w:p w14:paraId="6871F224" w14:textId="2840ABCC" w:rsidR="00482801" w:rsidRPr="00482801"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A direct grant will be provided to WSB. A Memorandum of Understanding with WSB, New Zealand and Oxfam will set out clear responsibilities and streamline monitoring, evaluation and reporting requirements of all core donors.</w:t>
      </w:r>
      <w:r w:rsidR="00DB69EE">
        <w:rPr>
          <w:rFonts w:asciiTheme="majorHAnsi" w:hAnsiTheme="majorHAnsi"/>
          <w:szCs w:val="21"/>
        </w:rPr>
        <w:t xml:space="preserve">  One monitoring and results measurement framework will be used for WSB to report progress and results to </w:t>
      </w:r>
      <w:r w:rsidR="0086708B">
        <w:rPr>
          <w:rFonts w:asciiTheme="majorHAnsi" w:hAnsiTheme="majorHAnsi"/>
          <w:szCs w:val="21"/>
        </w:rPr>
        <w:t xml:space="preserve">all </w:t>
      </w:r>
      <w:r w:rsidR="00DB69EE">
        <w:rPr>
          <w:rFonts w:asciiTheme="majorHAnsi" w:hAnsiTheme="majorHAnsi"/>
          <w:szCs w:val="21"/>
        </w:rPr>
        <w:t>partners.</w:t>
      </w:r>
    </w:p>
    <w:p w14:paraId="76633DF8" w14:textId="37767132" w:rsidR="00482801" w:rsidRPr="00482801"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 xml:space="preserve">Australia will engage with WSB formally through </w:t>
      </w:r>
      <w:r w:rsidR="004475A6">
        <w:rPr>
          <w:rFonts w:asciiTheme="majorHAnsi" w:hAnsiTheme="majorHAnsi"/>
          <w:szCs w:val="21"/>
        </w:rPr>
        <w:t>quarterly</w:t>
      </w:r>
      <w:r w:rsidRPr="00482801">
        <w:rPr>
          <w:rFonts w:asciiTheme="majorHAnsi" w:hAnsiTheme="majorHAnsi"/>
          <w:szCs w:val="21"/>
        </w:rPr>
        <w:t xml:space="preserve"> Partnership Coordination Committee (PCC) meetings, which </w:t>
      </w:r>
      <w:r w:rsidR="004475A6">
        <w:rPr>
          <w:rFonts w:asciiTheme="majorHAnsi" w:hAnsiTheme="majorHAnsi"/>
          <w:szCs w:val="21"/>
        </w:rPr>
        <w:t xml:space="preserve">include </w:t>
      </w:r>
      <w:r w:rsidR="004475A6" w:rsidRPr="00482801">
        <w:rPr>
          <w:rFonts w:asciiTheme="majorHAnsi" w:hAnsiTheme="majorHAnsi"/>
          <w:szCs w:val="21"/>
        </w:rPr>
        <w:t>the WSB management team</w:t>
      </w:r>
      <w:r w:rsidR="004475A6">
        <w:rPr>
          <w:rFonts w:asciiTheme="majorHAnsi" w:hAnsiTheme="majorHAnsi"/>
          <w:szCs w:val="21"/>
        </w:rPr>
        <w:t>,</w:t>
      </w:r>
      <w:r w:rsidR="004475A6" w:rsidRPr="00482801">
        <w:rPr>
          <w:rFonts w:asciiTheme="majorHAnsi" w:hAnsiTheme="majorHAnsi"/>
          <w:szCs w:val="21"/>
        </w:rPr>
        <w:t xml:space="preserve"> </w:t>
      </w:r>
      <w:r w:rsidRPr="00482801">
        <w:rPr>
          <w:rFonts w:asciiTheme="majorHAnsi" w:hAnsiTheme="majorHAnsi"/>
          <w:szCs w:val="21"/>
        </w:rPr>
        <w:t>the three core donors and</w:t>
      </w:r>
      <w:r w:rsidR="004475A6">
        <w:rPr>
          <w:rFonts w:asciiTheme="majorHAnsi" w:hAnsiTheme="majorHAnsi"/>
          <w:szCs w:val="21"/>
        </w:rPr>
        <w:t xml:space="preserve"> other key stakeholders (eg. the Ministry of Health)</w:t>
      </w:r>
      <w:r w:rsidRPr="00482801">
        <w:rPr>
          <w:rFonts w:asciiTheme="majorHAnsi" w:hAnsiTheme="majorHAnsi"/>
          <w:szCs w:val="21"/>
        </w:rPr>
        <w:t xml:space="preserve">. The PCC meeting </w:t>
      </w:r>
      <w:r w:rsidR="003B313E">
        <w:rPr>
          <w:rFonts w:asciiTheme="majorHAnsi" w:hAnsiTheme="majorHAnsi"/>
          <w:szCs w:val="21"/>
        </w:rPr>
        <w:t xml:space="preserve">provides an opportunity to </w:t>
      </w:r>
      <w:r w:rsidRPr="00482801">
        <w:rPr>
          <w:rFonts w:asciiTheme="majorHAnsi" w:hAnsiTheme="majorHAnsi"/>
          <w:szCs w:val="21"/>
        </w:rPr>
        <w:t xml:space="preserve">oversee annual </w:t>
      </w:r>
      <w:r w:rsidR="003B313E">
        <w:rPr>
          <w:rFonts w:asciiTheme="majorHAnsi" w:hAnsiTheme="majorHAnsi"/>
          <w:szCs w:val="21"/>
        </w:rPr>
        <w:t xml:space="preserve">plans, activity plans, </w:t>
      </w:r>
      <w:r w:rsidRPr="00482801">
        <w:rPr>
          <w:rFonts w:asciiTheme="majorHAnsi" w:hAnsiTheme="majorHAnsi"/>
          <w:szCs w:val="21"/>
        </w:rPr>
        <w:t xml:space="preserve">progress reports, </w:t>
      </w:r>
      <w:r w:rsidR="003B313E">
        <w:rPr>
          <w:rFonts w:asciiTheme="majorHAnsi" w:hAnsiTheme="majorHAnsi"/>
          <w:szCs w:val="21"/>
        </w:rPr>
        <w:t xml:space="preserve">budgets and </w:t>
      </w:r>
      <w:r w:rsidRPr="00482801">
        <w:rPr>
          <w:rFonts w:asciiTheme="majorHAnsi" w:hAnsiTheme="majorHAnsi"/>
          <w:szCs w:val="21"/>
        </w:rPr>
        <w:t>f</w:t>
      </w:r>
      <w:r w:rsidR="003B313E">
        <w:rPr>
          <w:rFonts w:asciiTheme="majorHAnsi" w:hAnsiTheme="majorHAnsi"/>
          <w:szCs w:val="21"/>
        </w:rPr>
        <w:t>inancial acquittals</w:t>
      </w:r>
      <w:r w:rsidRPr="00482801">
        <w:rPr>
          <w:rFonts w:asciiTheme="majorHAnsi" w:hAnsiTheme="majorHAnsi"/>
          <w:szCs w:val="21"/>
        </w:rPr>
        <w:t>. Australia will also meet directly with WSB whenever required to address specific issues and as part of regular monitoring visits.</w:t>
      </w:r>
    </w:p>
    <w:p w14:paraId="524F116D" w14:textId="12052626" w:rsidR="00482801" w:rsidRDefault="00482801" w:rsidP="00C252E0">
      <w:pPr>
        <w:tabs>
          <w:tab w:val="left" w:pos="0"/>
        </w:tabs>
      </w:pPr>
      <w:r w:rsidRPr="00482801">
        <w:rPr>
          <w:rFonts w:asciiTheme="majorHAnsi" w:hAnsiTheme="majorHAnsi"/>
          <w:sz w:val="21"/>
          <w:szCs w:val="21"/>
        </w:rPr>
        <w:t xml:space="preserve">A strengthened monitoring and </w:t>
      </w:r>
      <w:r w:rsidR="00DB69EE">
        <w:rPr>
          <w:rFonts w:asciiTheme="majorHAnsi" w:hAnsiTheme="majorHAnsi"/>
          <w:sz w:val="21"/>
          <w:szCs w:val="21"/>
        </w:rPr>
        <w:t>results measurement</w:t>
      </w:r>
      <w:r w:rsidR="00DB69EE" w:rsidRPr="00482801">
        <w:rPr>
          <w:rFonts w:asciiTheme="majorHAnsi" w:hAnsiTheme="majorHAnsi"/>
          <w:sz w:val="21"/>
          <w:szCs w:val="21"/>
        </w:rPr>
        <w:t xml:space="preserve"> </w:t>
      </w:r>
      <w:r w:rsidRPr="00482801">
        <w:rPr>
          <w:rFonts w:asciiTheme="majorHAnsi" w:hAnsiTheme="majorHAnsi"/>
          <w:sz w:val="21"/>
          <w:szCs w:val="21"/>
        </w:rPr>
        <w:t>plan (aligned with DFAT M&amp;E Standards</w:t>
      </w:r>
      <w:r w:rsidR="00DB69EE">
        <w:rPr>
          <w:rFonts w:asciiTheme="majorHAnsi" w:hAnsiTheme="majorHAnsi"/>
          <w:sz w:val="21"/>
          <w:szCs w:val="21"/>
        </w:rPr>
        <w:t xml:space="preserve"> 2 and 3</w:t>
      </w:r>
      <w:r w:rsidRPr="00482801">
        <w:rPr>
          <w:rFonts w:asciiTheme="majorHAnsi" w:hAnsiTheme="majorHAnsi"/>
          <w:sz w:val="21"/>
          <w:szCs w:val="21"/>
        </w:rPr>
        <w:t xml:space="preserve">) will be developed in consultation with WSB in the first 3 months of the new grant agreement, with support from </w:t>
      </w:r>
      <w:r w:rsidR="003B313E">
        <w:rPr>
          <w:rFonts w:asciiTheme="majorHAnsi" w:hAnsiTheme="majorHAnsi"/>
          <w:sz w:val="21"/>
          <w:szCs w:val="21"/>
        </w:rPr>
        <w:t>the dedicated Performance Assessment A</w:t>
      </w:r>
      <w:r w:rsidRPr="00482801">
        <w:rPr>
          <w:rFonts w:asciiTheme="majorHAnsi" w:hAnsiTheme="majorHAnsi"/>
          <w:sz w:val="21"/>
          <w:szCs w:val="21"/>
        </w:rPr>
        <w:t xml:space="preserve">dviser. Up to A$100,000 p.a. will be </w:t>
      </w:r>
      <w:r w:rsidR="00DB69EE">
        <w:rPr>
          <w:rFonts w:asciiTheme="majorHAnsi" w:hAnsiTheme="majorHAnsi"/>
          <w:sz w:val="21"/>
          <w:szCs w:val="21"/>
        </w:rPr>
        <w:t xml:space="preserve">allocated </w:t>
      </w:r>
      <w:r w:rsidRPr="00482801">
        <w:rPr>
          <w:rFonts w:asciiTheme="majorHAnsi" w:hAnsiTheme="majorHAnsi"/>
          <w:sz w:val="21"/>
          <w:szCs w:val="21"/>
        </w:rPr>
        <w:t xml:space="preserve">for </w:t>
      </w:r>
      <w:r w:rsidR="003B313E">
        <w:rPr>
          <w:rFonts w:asciiTheme="majorHAnsi" w:hAnsiTheme="majorHAnsi"/>
          <w:sz w:val="21"/>
          <w:szCs w:val="21"/>
        </w:rPr>
        <w:t>the strengthened monitoring, performance and results program area.</w:t>
      </w:r>
      <w:r w:rsidR="009C5BAE">
        <w:rPr>
          <w:rFonts w:asciiTheme="majorHAnsi" w:hAnsiTheme="majorHAnsi"/>
          <w:sz w:val="21"/>
          <w:szCs w:val="21"/>
        </w:rPr>
        <w:t xml:space="preserve"> The focus over the next phase will aim to improve </w:t>
      </w:r>
      <w:r w:rsidR="00DB69EE">
        <w:rPr>
          <w:rFonts w:asciiTheme="majorHAnsi" w:hAnsiTheme="majorHAnsi"/>
          <w:sz w:val="21"/>
          <w:szCs w:val="21"/>
        </w:rPr>
        <w:t>monitoring and results measurement</w:t>
      </w:r>
      <w:r w:rsidR="009C5BAE">
        <w:rPr>
          <w:rFonts w:asciiTheme="majorHAnsi" w:hAnsiTheme="majorHAnsi"/>
          <w:sz w:val="21"/>
          <w:szCs w:val="21"/>
        </w:rPr>
        <w:t xml:space="preserve"> to a standard where DFAT can then consider other management efficiencies</w:t>
      </w:r>
      <w:r w:rsidR="00537858">
        <w:rPr>
          <w:rFonts w:asciiTheme="majorHAnsi" w:hAnsiTheme="majorHAnsi"/>
          <w:sz w:val="21"/>
          <w:szCs w:val="21"/>
        </w:rPr>
        <w:t xml:space="preserve"> for the next phase of support</w:t>
      </w:r>
      <w:r w:rsidR="009C5BAE">
        <w:rPr>
          <w:rFonts w:asciiTheme="majorHAnsi" w:hAnsiTheme="majorHAnsi"/>
          <w:sz w:val="21"/>
          <w:szCs w:val="21"/>
        </w:rPr>
        <w:t xml:space="preserve"> (e</w:t>
      </w:r>
      <w:r w:rsidR="00DB69EE">
        <w:rPr>
          <w:rFonts w:asciiTheme="majorHAnsi" w:hAnsiTheme="majorHAnsi"/>
          <w:sz w:val="21"/>
          <w:szCs w:val="21"/>
        </w:rPr>
        <w:t>.</w:t>
      </w:r>
      <w:r w:rsidR="009C5BAE">
        <w:rPr>
          <w:rFonts w:asciiTheme="majorHAnsi" w:hAnsiTheme="majorHAnsi"/>
          <w:sz w:val="21"/>
          <w:szCs w:val="21"/>
        </w:rPr>
        <w:t>g. delegated cooperation with New Zealand or Oxfam, or consolidation with another bilateral Australian aid program).</w:t>
      </w:r>
    </w:p>
    <w:tbl>
      <w:tblPr>
        <w:tblW w:w="992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923"/>
      </w:tblGrid>
      <w:tr w:rsidR="00D9769C" w:rsidRPr="00E259DD" w14:paraId="70712A85" w14:textId="77777777" w:rsidTr="003B0E24">
        <w:trPr>
          <w:cantSplit/>
          <w:trHeight w:val="187"/>
        </w:trPr>
        <w:tc>
          <w:tcPr>
            <w:tcW w:w="9923"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tcMar>
              <w:top w:w="28" w:type="dxa"/>
              <w:left w:w="108" w:type="dxa"/>
              <w:bottom w:w="28" w:type="dxa"/>
              <w:right w:w="108" w:type="dxa"/>
            </w:tcMar>
            <w:hideMark/>
          </w:tcPr>
          <w:p w14:paraId="2977B540" w14:textId="2B366DB9" w:rsidR="00D9769C" w:rsidRPr="00E259DD" w:rsidRDefault="00D9769C" w:rsidP="00482801">
            <w:pPr>
              <w:pStyle w:val="ListBullet"/>
              <w:numPr>
                <w:ilvl w:val="0"/>
                <w:numId w:val="0"/>
              </w:numPr>
              <w:spacing w:before="120" w:line="240" w:lineRule="auto"/>
              <w:ind w:left="644" w:hanging="360"/>
              <w:rPr>
                <w:rFonts w:asciiTheme="majorHAnsi" w:hAnsiTheme="majorHAnsi"/>
                <w:sz w:val="22"/>
                <w:szCs w:val="22"/>
              </w:rPr>
            </w:pPr>
            <w:r w:rsidRPr="00E259DD">
              <w:rPr>
                <w:rFonts w:asciiTheme="majorHAnsi" w:hAnsiTheme="majorHAnsi"/>
                <w:b/>
                <w:sz w:val="22"/>
                <w:szCs w:val="22"/>
              </w:rPr>
              <w:t>E: Risk assessment approach (What might go wrong?)</w:t>
            </w:r>
          </w:p>
        </w:tc>
      </w:tr>
    </w:tbl>
    <w:p w14:paraId="742038E7" w14:textId="482254E8" w:rsidR="00482801" w:rsidRPr="00482801"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The investment is assessed as low risk. Key risks are:</w:t>
      </w:r>
    </w:p>
    <w:p w14:paraId="75D07BE4" w14:textId="3241D436" w:rsidR="003B313E" w:rsidRDefault="00F349C2" w:rsidP="00F349C2">
      <w:pPr>
        <w:numPr>
          <w:ilvl w:val="0"/>
          <w:numId w:val="14"/>
        </w:numPr>
        <w:tabs>
          <w:tab w:val="clear" w:pos="720"/>
          <w:tab w:val="left" w:pos="5412"/>
        </w:tabs>
        <w:suppressAutoHyphens w:val="0"/>
        <w:spacing w:after="120" w:line="240" w:lineRule="auto"/>
        <w:ind w:left="448" w:hanging="284"/>
        <w:rPr>
          <w:rFonts w:asciiTheme="majorHAnsi" w:hAnsiTheme="majorHAnsi" w:cs="Arial"/>
          <w:sz w:val="21"/>
          <w:szCs w:val="21"/>
        </w:rPr>
      </w:pPr>
      <w:r>
        <w:rPr>
          <w:rFonts w:asciiTheme="majorHAnsi" w:hAnsiTheme="majorHAnsi" w:cs="Arial"/>
          <w:sz w:val="21"/>
          <w:szCs w:val="21"/>
        </w:rPr>
        <w:t xml:space="preserve">WSB are heavily reliant on donors for funding. A decrease in funding from any donor could result in a reduction of staff resources to carry out planned activities and/or put pressure on the Australian Government to increase funding. Poor donor harmonisation </w:t>
      </w:r>
      <w:r w:rsidRPr="00482801">
        <w:rPr>
          <w:rFonts w:asciiTheme="majorHAnsi" w:hAnsiTheme="majorHAnsi" w:cs="Arial"/>
          <w:sz w:val="21"/>
          <w:szCs w:val="21"/>
        </w:rPr>
        <w:t>could take staff resources away from program activity work to meet donor demands, creating fractured relationships and reduced capacity to carry out planned activities.</w:t>
      </w:r>
    </w:p>
    <w:p w14:paraId="1104E25F" w14:textId="31B611FF" w:rsidR="00482801" w:rsidRPr="00974959" w:rsidRDefault="00482801" w:rsidP="00974959">
      <w:pPr>
        <w:numPr>
          <w:ilvl w:val="0"/>
          <w:numId w:val="14"/>
        </w:numPr>
        <w:tabs>
          <w:tab w:val="clear" w:pos="720"/>
          <w:tab w:val="left" w:pos="5412"/>
        </w:tabs>
        <w:suppressAutoHyphens w:val="0"/>
        <w:spacing w:after="120" w:line="240" w:lineRule="auto"/>
        <w:ind w:left="448" w:hanging="284"/>
        <w:rPr>
          <w:rFonts w:asciiTheme="majorHAnsi" w:hAnsiTheme="majorHAnsi" w:cs="Arial"/>
          <w:sz w:val="21"/>
          <w:szCs w:val="21"/>
        </w:rPr>
      </w:pPr>
      <w:r w:rsidRPr="003B313E">
        <w:rPr>
          <w:rFonts w:asciiTheme="majorHAnsi" w:hAnsiTheme="majorHAnsi" w:cs="Arial"/>
          <w:sz w:val="21"/>
          <w:szCs w:val="21"/>
        </w:rPr>
        <w:t>Child protection – with a large number of youth</w:t>
      </w:r>
      <w:r w:rsidR="003B313E">
        <w:rPr>
          <w:rFonts w:asciiTheme="majorHAnsi" w:hAnsiTheme="majorHAnsi" w:cs="Arial"/>
          <w:sz w:val="21"/>
          <w:szCs w:val="21"/>
        </w:rPr>
        <w:t xml:space="preserve"> at WSB centres</w:t>
      </w:r>
      <w:r w:rsidRPr="003B313E">
        <w:rPr>
          <w:rFonts w:asciiTheme="majorHAnsi" w:hAnsiTheme="majorHAnsi" w:cs="Arial"/>
          <w:sz w:val="21"/>
          <w:szCs w:val="21"/>
        </w:rPr>
        <w:t xml:space="preserve">, </w:t>
      </w:r>
      <w:r w:rsidR="003B313E">
        <w:rPr>
          <w:rFonts w:asciiTheme="majorHAnsi" w:hAnsiTheme="majorHAnsi" w:cs="Arial"/>
          <w:sz w:val="21"/>
          <w:szCs w:val="21"/>
        </w:rPr>
        <w:t xml:space="preserve">there is a risk that WSB personnel or participants could cause a child protection incident. </w:t>
      </w:r>
      <w:r w:rsidRPr="003B313E">
        <w:rPr>
          <w:rFonts w:asciiTheme="majorHAnsi" w:hAnsiTheme="majorHAnsi" w:cs="Arial"/>
          <w:sz w:val="21"/>
          <w:szCs w:val="21"/>
        </w:rPr>
        <w:t>WSB has a duty of care to provide a safe environment to prevent the incidents and/ or to manage a situation should an incident occur.</w:t>
      </w:r>
      <w:r w:rsidR="00607E36">
        <w:rPr>
          <w:rFonts w:asciiTheme="majorHAnsi" w:hAnsiTheme="majorHAnsi" w:cs="Arial"/>
          <w:sz w:val="21"/>
          <w:szCs w:val="21"/>
        </w:rPr>
        <w:t xml:space="preserve"> WSB </w:t>
      </w:r>
      <w:r w:rsidR="00974959">
        <w:rPr>
          <w:rFonts w:asciiTheme="majorHAnsi" w:hAnsiTheme="majorHAnsi" w:cs="Arial"/>
          <w:sz w:val="21"/>
          <w:szCs w:val="21"/>
        </w:rPr>
        <w:t xml:space="preserve">will </w:t>
      </w:r>
      <w:r w:rsidR="00607E36">
        <w:rPr>
          <w:rFonts w:asciiTheme="majorHAnsi" w:hAnsiTheme="majorHAnsi" w:cs="Arial"/>
          <w:sz w:val="21"/>
          <w:szCs w:val="21"/>
        </w:rPr>
        <w:t xml:space="preserve">update their child protection policy </w:t>
      </w:r>
      <w:r w:rsidR="00974959">
        <w:rPr>
          <w:rFonts w:asciiTheme="majorHAnsi" w:hAnsiTheme="majorHAnsi" w:cs="Arial"/>
          <w:sz w:val="21"/>
          <w:szCs w:val="21"/>
        </w:rPr>
        <w:t xml:space="preserve">that takes into account comments from </w:t>
      </w:r>
      <w:r w:rsidR="00607E36">
        <w:rPr>
          <w:rFonts w:asciiTheme="majorHAnsi" w:hAnsiTheme="majorHAnsi" w:cs="Arial"/>
          <w:sz w:val="21"/>
          <w:szCs w:val="21"/>
        </w:rPr>
        <w:t>DFAT</w:t>
      </w:r>
      <w:r w:rsidR="00974959">
        <w:rPr>
          <w:rFonts w:asciiTheme="majorHAnsi" w:hAnsiTheme="majorHAnsi" w:cs="Arial"/>
          <w:sz w:val="21"/>
          <w:szCs w:val="21"/>
        </w:rPr>
        <w:t>’s</w:t>
      </w:r>
      <w:r w:rsidR="00607E36">
        <w:rPr>
          <w:rFonts w:asciiTheme="majorHAnsi" w:hAnsiTheme="majorHAnsi" w:cs="Arial"/>
          <w:sz w:val="21"/>
          <w:szCs w:val="21"/>
        </w:rPr>
        <w:t xml:space="preserve"> </w:t>
      </w:r>
      <w:r w:rsidR="00974959">
        <w:rPr>
          <w:rFonts w:asciiTheme="majorHAnsi" w:hAnsiTheme="majorHAnsi" w:cs="Arial"/>
          <w:sz w:val="21"/>
          <w:szCs w:val="21"/>
        </w:rPr>
        <w:t>C</w:t>
      </w:r>
      <w:r w:rsidR="00607E36">
        <w:rPr>
          <w:rFonts w:asciiTheme="majorHAnsi" w:hAnsiTheme="majorHAnsi" w:cs="Arial"/>
          <w:sz w:val="21"/>
          <w:szCs w:val="21"/>
        </w:rPr>
        <w:t xml:space="preserve">hild </w:t>
      </w:r>
      <w:r w:rsidR="00974959">
        <w:rPr>
          <w:rFonts w:asciiTheme="majorHAnsi" w:hAnsiTheme="majorHAnsi" w:cs="Arial"/>
          <w:sz w:val="21"/>
          <w:szCs w:val="21"/>
        </w:rPr>
        <w:t>P</w:t>
      </w:r>
      <w:r w:rsidR="00607E36">
        <w:rPr>
          <w:rFonts w:asciiTheme="majorHAnsi" w:hAnsiTheme="majorHAnsi" w:cs="Arial"/>
          <w:sz w:val="21"/>
          <w:szCs w:val="21"/>
        </w:rPr>
        <w:t xml:space="preserve">rotection </w:t>
      </w:r>
      <w:r w:rsidR="00974959">
        <w:rPr>
          <w:rFonts w:asciiTheme="majorHAnsi" w:hAnsiTheme="majorHAnsi" w:cs="Arial"/>
          <w:sz w:val="21"/>
          <w:szCs w:val="21"/>
        </w:rPr>
        <w:t>S</w:t>
      </w:r>
      <w:r w:rsidR="00607E36">
        <w:rPr>
          <w:rFonts w:asciiTheme="majorHAnsi" w:hAnsiTheme="majorHAnsi" w:cs="Arial"/>
          <w:sz w:val="21"/>
          <w:szCs w:val="21"/>
        </w:rPr>
        <w:t>ection</w:t>
      </w:r>
      <w:r w:rsidR="00974959">
        <w:rPr>
          <w:rFonts w:asciiTheme="majorHAnsi" w:hAnsiTheme="majorHAnsi" w:cs="Arial"/>
          <w:sz w:val="21"/>
          <w:szCs w:val="21"/>
        </w:rPr>
        <w:t xml:space="preserve"> and re-submit to DFAT.</w:t>
      </w:r>
    </w:p>
    <w:tbl>
      <w:tblPr>
        <w:tblW w:w="992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923"/>
      </w:tblGrid>
      <w:tr w:rsidR="00D9769C" w:rsidRPr="00E259DD" w14:paraId="5CE96BDD" w14:textId="77777777" w:rsidTr="003B0E24">
        <w:trPr>
          <w:cantSplit/>
          <w:trHeight w:val="187"/>
        </w:trPr>
        <w:tc>
          <w:tcPr>
            <w:tcW w:w="9923"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tcMar>
              <w:top w:w="28" w:type="dxa"/>
              <w:left w:w="108" w:type="dxa"/>
              <w:bottom w:w="28" w:type="dxa"/>
              <w:right w:w="108" w:type="dxa"/>
            </w:tcMar>
          </w:tcPr>
          <w:p w14:paraId="69B4ECB3" w14:textId="68F3B0B5" w:rsidR="00D9769C" w:rsidRPr="00E259DD" w:rsidRDefault="00D9769C" w:rsidP="00482801">
            <w:pPr>
              <w:pStyle w:val="ListBullet"/>
              <w:numPr>
                <w:ilvl w:val="0"/>
                <w:numId w:val="0"/>
              </w:numPr>
              <w:spacing w:before="120" w:line="240" w:lineRule="auto"/>
              <w:ind w:left="644" w:hanging="360"/>
              <w:rPr>
                <w:rFonts w:asciiTheme="majorHAnsi" w:hAnsiTheme="majorHAnsi" w:cs="Arial"/>
                <w:sz w:val="22"/>
                <w:szCs w:val="22"/>
              </w:rPr>
            </w:pPr>
            <w:r w:rsidRPr="00E259DD">
              <w:rPr>
                <w:rFonts w:asciiTheme="majorHAnsi" w:hAnsiTheme="majorHAnsi"/>
                <w:b/>
                <w:sz w:val="22"/>
                <w:szCs w:val="22"/>
              </w:rPr>
              <w:t>F: Quality assurance (Does the design meet DFAT’s quality criteria?)</w:t>
            </w:r>
          </w:p>
        </w:tc>
      </w:tr>
    </w:tbl>
    <w:p w14:paraId="753E4256" w14:textId="77777777" w:rsidR="00482801" w:rsidRPr="00482801" w:rsidRDefault="00482801" w:rsidP="00C252E0">
      <w:pPr>
        <w:pStyle w:val="ListBullet"/>
        <w:numPr>
          <w:ilvl w:val="0"/>
          <w:numId w:val="0"/>
        </w:numPr>
        <w:tabs>
          <w:tab w:val="clear" w:pos="284"/>
          <w:tab w:val="left" w:pos="0"/>
        </w:tabs>
        <w:spacing w:before="120" w:line="240" w:lineRule="auto"/>
        <w:rPr>
          <w:rFonts w:asciiTheme="majorHAnsi" w:hAnsiTheme="majorHAnsi"/>
          <w:szCs w:val="21"/>
        </w:rPr>
      </w:pPr>
      <w:r w:rsidRPr="00482801">
        <w:rPr>
          <w:rFonts w:asciiTheme="majorHAnsi" w:hAnsiTheme="majorHAnsi"/>
          <w:szCs w:val="21"/>
        </w:rPr>
        <w:t>Contracting Services Branch has been consulted on the process (for a partner-led design).</w:t>
      </w:r>
    </w:p>
    <w:p w14:paraId="01219A07" w14:textId="639DEA50" w:rsidR="00B240CF" w:rsidRDefault="00482801" w:rsidP="00560B59">
      <w:pPr>
        <w:tabs>
          <w:tab w:val="left" w:pos="0"/>
        </w:tabs>
        <w:rPr>
          <w:rFonts w:asciiTheme="majorHAnsi" w:hAnsiTheme="majorHAnsi"/>
          <w:sz w:val="21"/>
          <w:szCs w:val="21"/>
        </w:rPr>
        <w:sectPr w:rsidR="00B240CF" w:rsidSect="0058278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276" w:left="1134" w:header="142" w:footer="0" w:gutter="0"/>
          <w:cols w:space="397"/>
          <w:titlePg/>
          <w:docGrid w:linePitch="360"/>
        </w:sectPr>
      </w:pPr>
      <w:r w:rsidRPr="00482801">
        <w:rPr>
          <w:rFonts w:asciiTheme="majorHAnsi" w:hAnsiTheme="majorHAnsi"/>
          <w:sz w:val="21"/>
          <w:szCs w:val="21"/>
        </w:rPr>
        <w:t>Peer review participants include</w:t>
      </w:r>
      <w:r w:rsidR="00974959">
        <w:rPr>
          <w:rFonts w:asciiTheme="majorHAnsi" w:hAnsiTheme="majorHAnsi"/>
          <w:sz w:val="21"/>
          <w:szCs w:val="21"/>
        </w:rPr>
        <w:t>d</w:t>
      </w:r>
      <w:r w:rsidRPr="00482801">
        <w:rPr>
          <w:rFonts w:asciiTheme="majorHAnsi" w:hAnsiTheme="majorHAnsi"/>
          <w:sz w:val="21"/>
          <w:szCs w:val="21"/>
        </w:rPr>
        <w:t xml:space="preserve"> the following DFAT expertise: gender equality, disability inclusion, child protection, climate change, and </w:t>
      </w:r>
      <w:r w:rsidR="008C4D84">
        <w:rPr>
          <w:rFonts w:asciiTheme="majorHAnsi" w:hAnsiTheme="majorHAnsi"/>
          <w:sz w:val="21"/>
          <w:szCs w:val="21"/>
        </w:rPr>
        <w:t>governance</w:t>
      </w:r>
      <w:r w:rsidRPr="00482801">
        <w:rPr>
          <w:rFonts w:asciiTheme="majorHAnsi" w:hAnsiTheme="majorHAnsi"/>
          <w:sz w:val="21"/>
          <w:szCs w:val="21"/>
        </w:rPr>
        <w:t xml:space="preserve">. Written feedback </w:t>
      </w:r>
      <w:r w:rsidR="00974959">
        <w:rPr>
          <w:rFonts w:asciiTheme="majorHAnsi" w:hAnsiTheme="majorHAnsi"/>
          <w:sz w:val="21"/>
          <w:szCs w:val="21"/>
        </w:rPr>
        <w:t>has been incorporated in this Investment Design Summary document</w:t>
      </w:r>
      <w:r w:rsidRPr="00482801">
        <w:rPr>
          <w:rFonts w:asciiTheme="majorHAnsi" w:hAnsiTheme="majorHAnsi"/>
          <w:sz w:val="21"/>
          <w:szCs w:val="21"/>
        </w:rPr>
        <w:t>.</w:t>
      </w:r>
    </w:p>
    <w:p w14:paraId="2437239D" w14:textId="2F36DCD4" w:rsidR="00C252E0" w:rsidRDefault="00C252E0">
      <w:pPr>
        <w:suppressAutoHyphens w:val="0"/>
        <w:spacing w:before="0" w:after="120" w:line="440" w:lineRule="atLeast"/>
        <w:rPr>
          <w:rFonts w:asciiTheme="majorHAnsi" w:eastAsia="Times New Roman" w:hAnsiTheme="majorHAnsi" w:cstheme="majorBidi"/>
          <w:b/>
          <w:bCs/>
          <w:caps/>
          <w:spacing w:val="-10"/>
          <w:kern w:val="28"/>
          <w:sz w:val="38"/>
          <w:szCs w:val="52"/>
          <w:lang w:eastAsia="zh-CN"/>
        </w:rPr>
      </w:pPr>
    </w:p>
    <w:sectPr w:rsidR="00C252E0" w:rsidSect="00560B59">
      <w:headerReference w:type="default" r:id="rId14"/>
      <w:footerReference w:type="default" r:id="rId15"/>
      <w:footerReference w:type="first" r:id="rId16"/>
      <w:pgSz w:w="11906" w:h="16838" w:code="9"/>
      <w:pgMar w:top="1134" w:right="1134" w:bottom="1276" w:left="1134" w:header="142" w:footer="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12839" w14:textId="77777777" w:rsidR="00122594" w:rsidRDefault="00122594" w:rsidP="00D37B04">
      <w:r>
        <w:separator/>
      </w:r>
    </w:p>
  </w:endnote>
  <w:endnote w:type="continuationSeparator" w:id="0">
    <w:p w14:paraId="1F2AFBCA" w14:textId="77777777" w:rsidR="00122594" w:rsidRDefault="00122594"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A6B2" w14:textId="77777777" w:rsidR="007F357A" w:rsidRDefault="007F3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41652"/>
      <w:docPartObj>
        <w:docPartGallery w:val="Page Numbers (Bottom of Page)"/>
        <w:docPartUnique/>
      </w:docPartObj>
    </w:sdtPr>
    <w:sdtEndPr>
      <w:rPr>
        <w:noProof/>
      </w:rPr>
    </w:sdtEndPr>
    <w:sdtContent>
      <w:p w14:paraId="4BACFB17" w14:textId="0BFFF227" w:rsidR="00122594" w:rsidRDefault="00122594">
        <w:pPr>
          <w:pStyle w:val="Footer"/>
          <w:jc w:val="right"/>
        </w:pPr>
        <w:r>
          <w:fldChar w:fldCharType="begin"/>
        </w:r>
        <w:r>
          <w:instrText xml:space="preserve"> PAGE   \* MERGEFORMAT </w:instrText>
        </w:r>
        <w:r>
          <w:fldChar w:fldCharType="separate"/>
        </w:r>
        <w:r w:rsidR="007F357A">
          <w:rPr>
            <w:noProof/>
          </w:rPr>
          <w:t>7</w:t>
        </w:r>
        <w:r>
          <w:rPr>
            <w:noProof/>
          </w:rPr>
          <w:fldChar w:fldCharType="end"/>
        </w:r>
      </w:p>
    </w:sdtContent>
  </w:sdt>
  <w:p w14:paraId="462979FF" w14:textId="77777777" w:rsidR="00122594" w:rsidRPr="00FC322F" w:rsidRDefault="00122594" w:rsidP="00FC322F">
    <w:pPr>
      <w:pStyle w:val="Footer"/>
      <w:rPr>
        <w:b/>
      </w:rPr>
    </w:pPr>
  </w:p>
  <w:p w14:paraId="47C2C0B7" w14:textId="77777777" w:rsidR="00122594" w:rsidRDefault="0012259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934945"/>
      <w:docPartObj>
        <w:docPartGallery w:val="Page Numbers (Bottom of Page)"/>
        <w:docPartUnique/>
      </w:docPartObj>
    </w:sdtPr>
    <w:sdtEndPr>
      <w:rPr>
        <w:noProof/>
      </w:rPr>
    </w:sdtEndPr>
    <w:sdtContent>
      <w:p w14:paraId="5DF58A9D" w14:textId="45D1C8EE" w:rsidR="00122594" w:rsidRDefault="00122594">
        <w:pPr>
          <w:pStyle w:val="Footer"/>
          <w:jc w:val="right"/>
        </w:pPr>
        <w:r>
          <w:fldChar w:fldCharType="begin"/>
        </w:r>
        <w:r>
          <w:instrText xml:space="preserve"> PAGE   \* MERGEFORMAT </w:instrText>
        </w:r>
        <w:r>
          <w:fldChar w:fldCharType="separate"/>
        </w:r>
        <w:r w:rsidR="007F357A">
          <w:rPr>
            <w:noProof/>
          </w:rPr>
          <w:t>1</w:t>
        </w:r>
        <w:r>
          <w:rPr>
            <w:noProof/>
          </w:rPr>
          <w:fldChar w:fldCharType="end"/>
        </w:r>
      </w:p>
    </w:sdtContent>
  </w:sdt>
  <w:p w14:paraId="2FD38BCB" w14:textId="77777777" w:rsidR="00122594" w:rsidRPr="00FC322F" w:rsidRDefault="00122594" w:rsidP="00182A3B">
    <w:pPr>
      <w:pStyle w:val="Footer"/>
      <w:jc w:val="center"/>
      <w:rPr>
        <w:b/>
      </w:rPr>
    </w:pPr>
  </w:p>
  <w:p w14:paraId="49D4515F" w14:textId="77777777" w:rsidR="00122594" w:rsidRDefault="0012259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F8D5" w14:textId="77777777" w:rsidR="00122594" w:rsidRDefault="00122594" w:rsidP="006143FB">
    <w:pPr>
      <w:pStyle w:val="Classification"/>
    </w:pPr>
  </w:p>
  <w:p w14:paraId="7849F81D" w14:textId="32160E71" w:rsidR="00122594" w:rsidRDefault="00122594" w:rsidP="006143FB">
    <w:pPr>
      <w:pStyle w:val="Footer"/>
    </w:pPr>
    <w:r>
      <w:tab/>
    </w:r>
    <w:r w:rsidRPr="00B92E1E">
      <w:fldChar w:fldCharType="begin"/>
    </w:r>
    <w:r>
      <w:instrText xml:space="preserve"> STYLEREF  Title  \* MERGEFORMAT </w:instrText>
    </w:r>
    <w:r w:rsidRPr="00B92E1E">
      <w:fldChar w:fldCharType="separate"/>
    </w:r>
    <w:r w:rsidR="00B240CF">
      <w:rPr>
        <w:b/>
        <w:bCs/>
        <w:noProof/>
        <w:lang w:val="en-US"/>
      </w:rPr>
      <w:t>Error! No text of specified style in document.</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B240CF">
      <w:rPr>
        <w:rStyle w:val="PageNumber"/>
        <w:noProof/>
      </w:rPr>
      <w:t>8</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058B" w14:textId="0863ECC5" w:rsidR="00122594" w:rsidRDefault="00122594" w:rsidP="006143F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594AE" w14:textId="77777777" w:rsidR="00122594" w:rsidRPr="008C5A0E" w:rsidRDefault="00122594" w:rsidP="00D37B04">
      <w:pPr>
        <w:pStyle w:val="Footer"/>
      </w:pPr>
    </w:p>
  </w:footnote>
  <w:footnote w:type="continuationSeparator" w:id="0">
    <w:p w14:paraId="24EA5C00" w14:textId="77777777" w:rsidR="00122594" w:rsidRDefault="00122594" w:rsidP="00D37B04">
      <w:r>
        <w:continuationSeparator/>
      </w:r>
    </w:p>
  </w:footnote>
  <w:footnote w:id="1">
    <w:p w14:paraId="32A1F073" w14:textId="29979C89"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Vanuatu National Statistics Office,</w:t>
      </w:r>
      <w:r w:rsidRPr="00C252E0">
        <w:rPr>
          <w:i/>
          <w:sz w:val="16"/>
          <w:szCs w:val="16"/>
        </w:rPr>
        <w:t xml:space="preserve"> 2016 Mini Census</w:t>
      </w:r>
    </w:p>
  </w:footnote>
  <w:footnote w:id="2">
    <w:p w14:paraId="099233F0" w14:textId="28EF7A98" w:rsidR="00122594" w:rsidRPr="00C252E0" w:rsidRDefault="00122594" w:rsidP="00C252E0">
      <w:pPr>
        <w:pStyle w:val="FootnoteText"/>
        <w:spacing w:before="0" w:line="240" w:lineRule="auto"/>
        <w:rPr>
          <w:rFonts w:cs="Arial"/>
          <w:sz w:val="16"/>
          <w:szCs w:val="16"/>
        </w:rPr>
      </w:pPr>
      <w:r w:rsidRPr="00C252E0">
        <w:rPr>
          <w:rStyle w:val="FootnoteReference"/>
          <w:rFonts w:cs="Arial"/>
          <w:sz w:val="16"/>
          <w:szCs w:val="16"/>
        </w:rPr>
        <w:footnoteRef/>
      </w:r>
      <w:r w:rsidRPr="00C252E0">
        <w:rPr>
          <w:rFonts w:cs="Arial"/>
          <w:sz w:val="16"/>
          <w:szCs w:val="16"/>
        </w:rPr>
        <w:t xml:space="preserve"> </w:t>
      </w:r>
      <w:hyperlink r:id="rId1" w:history="1">
        <w:r w:rsidRPr="00C252E0">
          <w:rPr>
            <w:sz w:val="16"/>
            <w:szCs w:val="16"/>
          </w:rPr>
          <w:t>www.unicef.org/infobycountry/vanuatu-statistics</w:t>
        </w:r>
      </w:hyperlink>
    </w:p>
  </w:footnote>
  <w:footnote w:id="3">
    <w:p w14:paraId="48DF2E97" w14:textId="4AE449E7" w:rsidR="00122594" w:rsidRPr="00C252E0" w:rsidRDefault="00122594" w:rsidP="00C252E0">
      <w:pPr>
        <w:pStyle w:val="FootnoteText"/>
        <w:spacing w:before="0" w:line="240" w:lineRule="auto"/>
        <w:rPr>
          <w:sz w:val="16"/>
          <w:szCs w:val="16"/>
        </w:rPr>
      </w:pPr>
      <w:r w:rsidRPr="00C252E0">
        <w:rPr>
          <w:rStyle w:val="FootnoteReference"/>
          <w:sz w:val="16"/>
          <w:szCs w:val="16"/>
        </w:rPr>
        <w:footnoteRef/>
      </w:r>
      <w:r w:rsidRPr="00C252E0">
        <w:rPr>
          <w:rStyle w:val="FootnoteReference"/>
          <w:sz w:val="16"/>
          <w:szCs w:val="16"/>
        </w:rPr>
        <w:t xml:space="preserve"> </w:t>
      </w:r>
      <w:r w:rsidRPr="00C252E0">
        <w:rPr>
          <w:sz w:val="16"/>
          <w:szCs w:val="16"/>
        </w:rPr>
        <w:t xml:space="preserve">Sarah Mecartney, </w:t>
      </w:r>
      <w:r w:rsidRPr="00C252E0">
        <w:rPr>
          <w:i/>
          <w:sz w:val="16"/>
          <w:szCs w:val="16"/>
        </w:rPr>
        <w:t>Blacksands Settlement: A case for urban permanence in Vanuatu. Unpublished MSC thesis</w:t>
      </w:r>
      <w:r w:rsidRPr="00C252E0">
        <w:rPr>
          <w:sz w:val="16"/>
          <w:szCs w:val="16"/>
        </w:rPr>
        <w:t>, 2000, University of Sydney, Page 51</w:t>
      </w:r>
    </w:p>
  </w:footnote>
  <w:footnote w:id="4">
    <w:p w14:paraId="350B3DBC" w14:textId="6112D277"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w:t>
      </w:r>
      <w:r w:rsidRPr="00C252E0">
        <w:rPr>
          <w:sz w:val="16"/>
          <w:szCs w:val="16"/>
          <w:lang w:val="en-AU"/>
        </w:rPr>
        <w:t>Ibid, page 67</w:t>
      </w:r>
    </w:p>
  </w:footnote>
  <w:footnote w:id="5">
    <w:p w14:paraId="0B4C17D6" w14:textId="3ABD5174" w:rsidR="00122594" w:rsidRPr="00C252E0" w:rsidRDefault="00122594" w:rsidP="00C252E0">
      <w:pPr>
        <w:pStyle w:val="FootnoteText"/>
        <w:spacing w:before="0" w:line="240" w:lineRule="auto"/>
        <w:rPr>
          <w:sz w:val="16"/>
          <w:szCs w:val="16"/>
        </w:rPr>
      </w:pPr>
      <w:r w:rsidRPr="00C252E0">
        <w:rPr>
          <w:rStyle w:val="FootnoteReference"/>
          <w:sz w:val="16"/>
          <w:szCs w:val="16"/>
        </w:rPr>
        <w:footnoteRef/>
      </w:r>
      <w:r w:rsidRPr="00C252E0">
        <w:rPr>
          <w:sz w:val="16"/>
          <w:szCs w:val="16"/>
        </w:rPr>
        <w:t xml:space="preserve"> Vanuatu Bureau of Statistics and UNDP Pacific Centre, </w:t>
      </w:r>
      <w:r w:rsidRPr="00C252E0">
        <w:rPr>
          <w:i/>
          <w:sz w:val="16"/>
          <w:szCs w:val="16"/>
        </w:rPr>
        <w:t>Analysis of the 2010 Households Income and Expenditure Survey</w:t>
      </w:r>
      <w:r w:rsidRPr="00C252E0">
        <w:rPr>
          <w:sz w:val="16"/>
          <w:szCs w:val="16"/>
        </w:rPr>
        <w:t>, 2012</w:t>
      </w:r>
    </w:p>
  </w:footnote>
  <w:footnote w:id="6">
    <w:p w14:paraId="32E4CE8E" w14:textId="118C4098" w:rsidR="00122594" w:rsidRPr="00C252E0" w:rsidRDefault="00122594" w:rsidP="00C252E0">
      <w:pPr>
        <w:pStyle w:val="FootnoteText"/>
        <w:spacing w:before="0" w:line="240" w:lineRule="auto"/>
        <w:rPr>
          <w:sz w:val="16"/>
          <w:szCs w:val="16"/>
        </w:rPr>
      </w:pPr>
      <w:r w:rsidRPr="00C252E0">
        <w:rPr>
          <w:rStyle w:val="FootnoteReference"/>
          <w:sz w:val="16"/>
          <w:szCs w:val="16"/>
        </w:rPr>
        <w:footnoteRef/>
      </w:r>
      <w:r w:rsidRPr="00C252E0">
        <w:rPr>
          <w:sz w:val="16"/>
          <w:szCs w:val="16"/>
        </w:rPr>
        <w:t xml:space="preserve"> United Nations, </w:t>
      </w:r>
      <w:r w:rsidRPr="00C252E0">
        <w:rPr>
          <w:i/>
          <w:sz w:val="16"/>
          <w:szCs w:val="16"/>
        </w:rPr>
        <w:t>United Nations Common Country Assessment: Vanuatu</w:t>
      </w:r>
      <w:r w:rsidRPr="00C252E0">
        <w:rPr>
          <w:sz w:val="16"/>
          <w:szCs w:val="16"/>
        </w:rPr>
        <w:t>, 2002, page ix</w:t>
      </w:r>
    </w:p>
  </w:footnote>
  <w:footnote w:id="7">
    <w:p w14:paraId="0ED4F82E" w14:textId="4FE1B600"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Note 1</w:t>
      </w:r>
    </w:p>
  </w:footnote>
  <w:footnote w:id="8">
    <w:p w14:paraId="1B41B7FB" w14:textId="635DE612"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UNICEF, </w:t>
      </w:r>
      <w:r w:rsidRPr="00C252E0">
        <w:rPr>
          <w:i/>
          <w:sz w:val="16"/>
          <w:szCs w:val="16"/>
        </w:rPr>
        <w:t>Vanuatu: A Situation Analysis of Women, Children and Youth</w:t>
      </w:r>
      <w:r w:rsidRPr="00C252E0">
        <w:rPr>
          <w:sz w:val="16"/>
          <w:szCs w:val="16"/>
        </w:rPr>
        <w:t>, 2005, page v</w:t>
      </w:r>
    </w:p>
  </w:footnote>
  <w:footnote w:id="9">
    <w:p w14:paraId="074DEF67" w14:textId="5C38B3B3"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UNICEF and SPC, 2011</w:t>
      </w:r>
    </w:p>
  </w:footnote>
  <w:footnote w:id="10">
    <w:p w14:paraId="19A5BF08" w14:textId="2475CBA1"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w:t>
      </w:r>
      <w:r w:rsidRPr="00C252E0">
        <w:rPr>
          <w:sz w:val="16"/>
          <w:szCs w:val="16"/>
          <w:lang w:val="en-AU"/>
        </w:rPr>
        <w:t>Diabetes is among the highest in the Pacific with 20,300 cases in Vanuatu in 2015</w:t>
      </w:r>
    </w:p>
  </w:footnote>
  <w:footnote w:id="11">
    <w:p w14:paraId="172630BF" w14:textId="07E89883"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w:t>
      </w:r>
      <w:r w:rsidRPr="00C252E0">
        <w:rPr>
          <w:sz w:val="16"/>
          <w:szCs w:val="16"/>
          <w:lang w:val="en-AU"/>
        </w:rPr>
        <w:t xml:space="preserve">Vanuatu Correctional Services, </w:t>
      </w:r>
      <w:r w:rsidRPr="00C252E0">
        <w:rPr>
          <w:i/>
          <w:sz w:val="16"/>
          <w:szCs w:val="16"/>
          <w:lang w:val="en-AU"/>
        </w:rPr>
        <w:t>Offending Against Morality in Vanuatu</w:t>
      </w:r>
      <w:r w:rsidRPr="00C252E0">
        <w:rPr>
          <w:sz w:val="16"/>
          <w:szCs w:val="16"/>
          <w:lang w:val="en-AU"/>
        </w:rPr>
        <w:t>, 2017</w:t>
      </w:r>
    </w:p>
  </w:footnote>
  <w:footnote w:id="12">
    <w:p w14:paraId="2F28D6B8" w14:textId="5C56DDE0"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United Nations University – Institute for Environment and Human Security, </w:t>
      </w:r>
      <w:r w:rsidRPr="00C252E0">
        <w:rPr>
          <w:i/>
          <w:sz w:val="16"/>
          <w:szCs w:val="16"/>
        </w:rPr>
        <w:t>World Risk Report</w:t>
      </w:r>
      <w:r w:rsidRPr="00C252E0">
        <w:rPr>
          <w:sz w:val="16"/>
          <w:szCs w:val="16"/>
        </w:rPr>
        <w:t>, 2014, http://ehs.unu.edu/news/news/world-risk-report-2014.html#info</w:t>
      </w:r>
    </w:p>
  </w:footnote>
  <w:footnote w:id="13">
    <w:p w14:paraId="4CC227AF" w14:textId="47EF0BC0"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PACMAS, </w:t>
      </w:r>
      <w:r w:rsidRPr="00C252E0">
        <w:rPr>
          <w:i/>
          <w:sz w:val="16"/>
          <w:szCs w:val="16"/>
        </w:rPr>
        <w:t xml:space="preserve">Vanuatu </w:t>
      </w:r>
      <w:r w:rsidRPr="00C252E0">
        <w:rPr>
          <w:i/>
          <w:sz w:val="16"/>
          <w:szCs w:val="16"/>
          <w:lang w:val="en-AU"/>
        </w:rPr>
        <w:t>State of the Media and Communication Report</w:t>
      </w:r>
      <w:r w:rsidRPr="00C252E0">
        <w:rPr>
          <w:sz w:val="16"/>
          <w:szCs w:val="16"/>
          <w:lang w:val="en-AU"/>
        </w:rPr>
        <w:t xml:space="preserve">, </w:t>
      </w:r>
      <w:r w:rsidRPr="00C252E0">
        <w:rPr>
          <w:sz w:val="16"/>
          <w:szCs w:val="16"/>
        </w:rPr>
        <w:t>2013</w:t>
      </w:r>
    </w:p>
  </w:footnote>
  <w:footnote w:id="14">
    <w:p w14:paraId="4F79526B" w14:textId="7E213243"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w:t>
      </w:r>
      <w:r w:rsidRPr="00C252E0">
        <w:rPr>
          <w:sz w:val="16"/>
          <w:szCs w:val="16"/>
          <w:lang w:val="en-AU"/>
        </w:rPr>
        <w:t xml:space="preserve">Robyn Drysdale, </w:t>
      </w:r>
      <w:r w:rsidRPr="00C252E0">
        <w:rPr>
          <w:i/>
          <w:sz w:val="16"/>
          <w:szCs w:val="16"/>
          <w:lang w:val="en-AU"/>
        </w:rPr>
        <w:t>What role can a Pacific soap opera play in the HIV response?</w:t>
      </w:r>
      <w:r w:rsidRPr="00C252E0">
        <w:rPr>
          <w:sz w:val="16"/>
          <w:szCs w:val="16"/>
          <w:lang w:val="en-AU"/>
        </w:rPr>
        <w:t xml:space="preserve"> University of New South Wales PhD Thesis, 2014</w:t>
      </w:r>
    </w:p>
  </w:footnote>
  <w:footnote w:id="15">
    <w:p w14:paraId="044EB0E4" w14:textId="0A866B7B"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w:t>
      </w:r>
      <w:r w:rsidRPr="00C252E0">
        <w:rPr>
          <w:sz w:val="16"/>
          <w:szCs w:val="16"/>
          <w:lang w:val="en-AU"/>
        </w:rPr>
        <w:t>$1.6 million in 2018, $1.4 million in 2019 and $1.3 million in 2020. This gradual decrease is based on expectations of the level of funding from the New Zealand Government from 2020 onwards.</w:t>
      </w:r>
    </w:p>
  </w:footnote>
  <w:footnote w:id="16">
    <w:p w14:paraId="44877B10" w14:textId="34BFB6B9" w:rsidR="00122594" w:rsidRPr="00C252E0" w:rsidRDefault="00122594" w:rsidP="00C252E0">
      <w:pPr>
        <w:pStyle w:val="FootnoteText"/>
        <w:spacing w:before="0" w:line="240" w:lineRule="auto"/>
        <w:rPr>
          <w:sz w:val="16"/>
          <w:szCs w:val="16"/>
          <w:lang w:val="en-AU"/>
        </w:rPr>
      </w:pPr>
      <w:r w:rsidRPr="00C252E0">
        <w:rPr>
          <w:rStyle w:val="FootnoteReference"/>
          <w:sz w:val="16"/>
          <w:szCs w:val="16"/>
        </w:rPr>
        <w:footnoteRef/>
      </w:r>
      <w:r w:rsidRPr="00C252E0">
        <w:rPr>
          <w:sz w:val="16"/>
          <w:szCs w:val="16"/>
        </w:rPr>
        <w:t xml:space="preserve"> </w:t>
      </w:r>
      <w:r w:rsidRPr="00C252E0">
        <w:rPr>
          <w:sz w:val="16"/>
          <w:szCs w:val="16"/>
          <w:lang w:val="en-AU"/>
        </w:rPr>
        <w:t xml:space="preserve">New Zealand’s </w:t>
      </w:r>
      <w:r w:rsidR="004875BA" w:rsidRPr="00C252E0">
        <w:rPr>
          <w:sz w:val="16"/>
          <w:szCs w:val="16"/>
          <w:lang w:val="en-AU"/>
        </w:rPr>
        <w:t>planned expenditure is A$578,000 in 2018 and A$425,000 in 2019. Average annual expenditure over the five year period of their current commitment is A$860,000, with</w:t>
      </w:r>
      <w:r w:rsidRPr="00C252E0">
        <w:rPr>
          <w:sz w:val="16"/>
          <w:szCs w:val="16"/>
          <w:lang w:val="en-AU"/>
        </w:rPr>
        <w:t xml:space="preserve"> New </w:t>
      </w:r>
      <w:r w:rsidR="004875BA" w:rsidRPr="00C252E0">
        <w:rPr>
          <w:sz w:val="16"/>
          <w:szCs w:val="16"/>
          <w:lang w:val="en-AU"/>
        </w:rPr>
        <w:t xml:space="preserve">Zealand’s funding </w:t>
      </w:r>
      <w:r w:rsidRPr="00C252E0">
        <w:rPr>
          <w:sz w:val="16"/>
          <w:szCs w:val="16"/>
          <w:lang w:val="en-AU"/>
        </w:rPr>
        <w:t>front-ended</w:t>
      </w:r>
      <w:r w:rsidR="004875BA" w:rsidRPr="00C252E0">
        <w:rPr>
          <w:sz w:val="16"/>
          <w:szCs w:val="16"/>
          <w:lang w:val="en-AU"/>
        </w:rPr>
        <w:t xml:space="preserve"> and </w:t>
      </w:r>
      <w:r w:rsidRPr="00C252E0">
        <w:rPr>
          <w:sz w:val="16"/>
          <w:szCs w:val="16"/>
          <w:lang w:val="en-AU"/>
        </w:rPr>
        <w:t>Australia’s cont</w:t>
      </w:r>
      <w:r w:rsidR="004875BA" w:rsidRPr="00C252E0">
        <w:rPr>
          <w:sz w:val="16"/>
          <w:szCs w:val="16"/>
          <w:lang w:val="en-AU"/>
        </w:rPr>
        <w:t>ribution increasing in 2017-18. We expect New Zealand’s annual contribution to be approximately A$860,000 p.a. from 2020.</w:t>
      </w:r>
    </w:p>
  </w:footnote>
  <w:footnote w:id="17">
    <w:p w14:paraId="7C5BB7A5" w14:textId="232597CF" w:rsidR="00122594" w:rsidRPr="00C252E0" w:rsidRDefault="00122594" w:rsidP="00C252E0">
      <w:pPr>
        <w:pStyle w:val="FootnoteText"/>
        <w:spacing w:before="0" w:line="240" w:lineRule="auto"/>
        <w:rPr>
          <w:sz w:val="16"/>
          <w:szCs w:val="16"/>
        </w:rPr>
      </w:pPr>
      <w:r w:rsidRPr="00C252E0">
        <w:rPr>
          <w:rStyle w:val="FootnoteReference"/>
          <w:sz w:val="16"/>
          <w:szCs w:val="16"/>
        </w:rPr>
        <w:footnoteRef/>
      </w:r>
      <w:r w:rsidRPr="00C252E0">
        <w:rPr>
          <w:rFonts w:cs="Arial"/>
          <w:sz w:val="16"/>
          <w:szCs w:val="16"/>
        </w:rPr>
        <w:t xml:space="preserve"> </w:t>
      </w:r>
      <w:r w:rsidRPr="00C252E0">
        <w:rPr>
          <w:rFonts w:cs="Arial"/>
          <w:sz w:val="16"/>
          <w:szCs w:val="16"/>
          <w:lang w:val="en-AU"/>
        </w:rPr>
        <w:t xml:space="preserve">Sandcliff AB Ltd, </w:t>
      </w:r>
      <w:r w:rsidRPr="00C252E0">
        <w:rPr>
          <w:rFonts w:cs="Arial"/>
          <w:i/>
          <w:sz w:val="16"/>
          <w:szCs w:val="16"/>
        </w:rPr>
        <w:t>Funding Opportunity</w:t>
      </w:r>
      <w:r w:rsidRPr="00C252E0">
        <w:rPr>
          <w:rFonts w:cs="Arial"/>
          <w:sz w:val="16"/>
          <w:szCs w:val="16"/>
        </w:rPr>
        <w:t xml:space="preserve">, </w:t>
      </w:r>
      <w:r w:rsidRPr="00C252E0">
        <w:rPr>
          <w:rFonts w:cs="Arial"/>
          <w:sz w:val="16"/>
          <w:szCs w:val="16"/>
          <w:lang w:val="en-AU"/>
        </w:rPr>
        <w:t>2003</w:t>
      </w:r>
    </w:p>
  </w:footnote>
  <w:footnote w:id="18">
    <w:p w14:paraId="65A140E8" w14:textId="17E26E6A" w:rsidR="00122594" w:rsidRPr="00C252E0" w:rsidRDefault="00122594" w:rsidP="00C252E0">
      <w:pPr>
        <w:pStyle w:val="FootnoteText"/>
        <w:spacing w:before="0" w:line="240" w:lineRule="auto"/>
        <w:rPr>
          <w:rFonts w:cs="Arial"/>
          <w:sz w:val="16"/>
          <w:szCs w:val="16"/>
          <w:lang w:val="en-AU"/>
        </w:rPr>
      </w:pPr>
      <w:r w:rsidRPr="00C252E0">
        <w:rPr>
          <w:rStyle w:val="FootnoteReference"/>
          <w:sz w:val="16"/>
          <w:szCs w:val="16"/>
        </w:rPr>
        <w:footnoteRef/>
      </w:r>
      <w:r w:rsidRPr="00C252E0">
        <w:rPr>
          <w:sz w:val="16"/>
          <w:szCs w:val="16"/>
        </w:rPr>
        <w:t xml:space="preserve"> </w:t>
      </w:r>
      <w:r w:rsidRPr="00C252E0">
        <w:rPr>
          <w:rFonts w:cs="Arial"/>
          <w:sz w:val="16"/>
          <w:szCs w:val="16"/>
          <w:lang w:val="en-AU"/>
        </w:rPr>
        <w:t xml:space="preserve">Richard Barber, </w:t>
      </w:r>
      <w:r w:rsidRPr="00C252E0">
        <w:rPr>
          <w:rFonts w:cs="Arial"/>
          <w:i/>
          <w:sz w:val="16"/>
          <w:szCs w:val="16"/>
        </w:rPr>
        <w:t>Commercial Opportunities for Wan Smolbag Theatre</w:t>
      </w:r>
      <w:r w:rsidRPr="00C252E0">
        <w:rPr>
          <w:rFonts w:cs="Arial"/>
          <w:sz w:val="16"/>
          <w:szCs w:val="16"/>
        </w:rPr>
        <w:t xml:space="preserve">, </w:t>
      </w:r>
      <w:r w:rsidRPr="00C252E0">
        <w:rPr>
          <w:rFonts w:cs="Arial"/>
          <w:sz w:val="16"/>
          <w:szCs w:val="16"/>
          <w:lang w:val="en-AU"/>
        </w:rPr>
        <w:t>2006</w:t>
      </w:r>
    </w:p>
  </w:footnote>
  <w:footnote w:id="19">
    <w:p w14:paraId="7643E9CE" w14:textId="25295387" w:rsidR="00122594" w:rsidRPr="00C252E0" w:rsidRDefault="00122594" w:rsidP="00C252E0">
      <w:pPr>
        <w:pStyle w:val="FootnoteText"/>
        <w:spacing w:before="0" w:line="240" w:lineRule="auto"/>
        <w:rPr>
          <w:rFonts w:cs="Arial"/>
          <w:sz w:val="16"/>
          <w:szCs w:val="16"/>
          <w:lang w:val="en-AU"/>
        </w:rPr>
      </w:pPr>
      <w:r w:rsidRPr="00C252E0">
        <w:rPr>
          <w:rStyle w:val="FootnoteReference"/>
          <w:sz w:val="16"/>
          <w:szCs w:val="16"/>
        </w:rPr>
        <w:footnoteRef/>
      </w:r>
      <w:r w:rsidRPr="00C252E0">
        <w:rPr>
          <w:sz w:val="16"/>
          <w:szCs w:val="16"/>
        </w:rPr>
        <w:t xml:space="preserve"> </w:t>
      </w:r>
      <w:r w:rsidRPr="00C252E0">
        <w:rPr>
          <w:rFonts w:cs="Arial"/>
          <w:sz w:val="16"/>
          <w:szCs w:val="16"/>
          <w:lang w:val="en-AU"/>
        </w:rPr>
        <w:t xml:space="preserve">Heidi Tyedmers, </w:t>
      </w:r>
      <w:r w:rsidRPr="00C252E0">
        <w:rPr>
          <w:rFonts w:cs="Arial"/>
          <w:i/>
          <w:sz w:val="16"/>
          <w:szCs w:val="16"/>
        </w:rPr>
        <w:t>Mid Term Review of Wan Smolbag</w:t>
      </w:r>
      <w:r w:rsidRPr="00C252E0">
        <w:rPr>
          <w:rFonts w:cs="Arial"/>
          <w:sz w:val="16"/>
          <w:szCs w:val="16"/>
        </w:rPr>
        <w:t xml:space="preserve">, </w:t>
      </w:r>
      <w:r w:rsidRPr="00C252E0">
        <w:rPr>
          <w:rFonts w:cs="Arial"/>
          <w:sz w:val="16"/>
          <w:szCs w:val="16"/>
          <w:lang w:val="en-AU"/>
        </w:rPr>
        <w:t>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55A2" w14:textId="77777777" w:rsidR="007F357A" w:rsidRDefault="007F3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9B31" w14:textId="77777777" w:rsidR="00122594" w:rsidRPr="000854FD" w:rsidRDefault="00122594" w:rsidP="002D5B25">
    <w:pPr>
      <w:pStyle w:val="Header"/>
    </w:pPr>
    <w:r w:rsidRPr="00943730">
      <w:rPr>
        <w:noProof/>
        <w:lang w:val="en-AU" w:eastAsia="en-AU"/>
      </w:rPr>
      <w:drawing>
        <wp:anchor distT="0" distB="0" distL="114300" distR="114300" simplePos="0" relativeHeight="251654144" behindDoc="1" locked="1" layoutInCell="1" allowOverlap="1" wp14:anchorId="6AA7121A" wp14:editId="6E049205">
          <wp:simplePos x="0" y="0"/>
          <wp:positionH relativeFrom="page">
            <wp:posOffset>26035</wp:posOffset>
          </wp:positionH>
          <wp:positionV relativeFrom="page">
            <wp:align>top</wp:align>
          </wp:positionV>
          <wp:extent cx="7559040" cy="1069276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5C4AC528" w14:textId="77777777" w:rsidR="00122594" w:rsidRDefault="001225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4A0F" w14:textId="5A06ED24" w:rsidR="00122594" w:rsidRPr="00943730" w:rsidRDefault="00122594" w:rsidP="00943730">
    <w:pPr>
      <w:pStyle w:val="Header"/>
    </w:pPr>
    <w:r w:rsidRPr="00943730">
      <w:fldChar w:fldCharType="begin"/>
    </w:r>
    <w:r w:rsidRPr="00943730">
      <w:instrText xml:space="preserve"> DATE  \@ "MMMM yyyy"  \* MERGEFORMAT </w:instrText>
    </w:r>
    <w:r w:rsidRPr="00943730">
      <w:fldChar w:fldCharType="separate"/>
    </w:r>
    <w:r w:rsidR="007F357A">
      <w:rPr>
        <w:noProof/>
      </w:rPr>
      <w:t>February 2018</w:t>
    </w:r>
    <w:r w:rsidRPr="00943730">
      <w:fldChar w:fldCharType="end"/>
    </w:r>
    <w:r w:rsidRPr="00943730">
      <w:rPr>
        <w:noProof/>
        <w:lang w:val="en-AU" w:eastAsia="en-AU"/>
      </w:rPr>
      <w:drawing>
        <wp:anchor distT="0" distB="0" distL="114300" distR="114300" simplePos="0" relativeHeight="251653120" behindDoc="1" locked="1" layoutInCell="1" allowOverlap="1" wp14:anchorId="7411B83E" wp14:editId="2286D7AF">
          <wp:simplePos x="0" y="0"/>
          <wp:positionH relativeFrom="page">
            <wp:align>left</wp:align>
          </wp:positionH>
          <wp:positionV relativeFrom="page">
            <wp:align>center</wp:align>
          </wp:positionV>
          <wp:extent cx="7559040" cy="10868025"/>
          <wp:effectExtent l="0" t="0" r="381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868025"/>
                  </a:xfrm>
                  <a:prstGeom prst="rect">
                    <a:avLst/>
                  </a:prstGeom>
                </pic:spPr>
              </pic:pic>
            </a:graphicData>
          </a:graphic>
          <wp14:sizeRelH relativeFrom="margin">
            <wp14:pctWidth>0</wp14:pctWidth>
          </wp14:sizeRelH>
          <wp14:sizeRelV relativeFrom="margin">
            <wp14:pctHeight>0</wp14:pctHeight>
          </wp14:sizeRelV>
        </wp:anchor>
      </w:drawing>
    </w:r>
  </w:p>
  <w:p w14:paraId="1A979188" w14:textId="77777777" w:rsidR="00122594" w:rsidRDefault="0012259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EA33" w14:textId="77777777" w:rsidR="00122594" w:rsidRPr="00806503" w:rsidRDefault="00122594" w:rsidP="006143FB">
    <w:pPr>
      <w:pStyle w:val="Classification"/>
    </w:pPr>
    <w:r w:rsidRPr="00B92E1E">
      <w:rPr>
        <w:noProof/>
        <w:lang w:val="en-AU" w:eastAsia="en-AU"/>
      </w:rPr>
      <w:drawing>
        <wp:anchor distT="0" distB="0" distL="114300" distR="114300" simplePos="0" relativeHeight="251656192" behindDoc="1" locked="1" layoutInCell="1" allowOverlap="1" wp14:anchorId="10EBC732" wp14:editId="4045766C">
          <wp:simplePos x="0" y="0"/>
          <wp:positionH relativeFrom="page">
            <wp:posOffset>635</wp:posOffset>
          </wp:positionH>
          <wp:positionV relativeFrom="page">
            <wp:posOffset>-635</wp:posOffset>
          </wp:positionV>
          <wp:extent cx="7558405" cy="10692130"/>
          <wp:effectExtent l="0" t="0" r="1079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C10F8F"/>
    <w:multiLevelType w:val="hybridMultilevel"/>
    <w:tmpl w:val="189C7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212E206D"/>
    <w:multiLevelType w:val="hybridMultilevel"/>
    <w:tmpl w:val="79226D9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F840EAB"/>
    <w:multiLevelType w:val="multilevel"/>
    <w:tmpl w:val="53B4B3D2"/>
    <w:lvl w:ilvl="0">
      <w:start w:val="1"/>
      <w:numFmt w:val="decimal"/>
      <w:lvlText w:val="%1."/>
      <w:lvlJc w:val="left"/>
      <w:pPr>
        <w:ind w:left="36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9" w15:restartNumberingAfterBreak="0">
    <w:nsid w:val="311D57AC"/>
    <w:multiLevelType w:val="hybridMultilevel"/>
    <w:tmpl w:val="408A4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1F1F42"/>
    <w:multiLevelType w:val="hybridMultilevel"/>
    <w:tmpl w:val="A42CCED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1" w15:restartNumberingAfterBreak="0">
    <w:nsid w:val="3BBD0E8A"/>
    <w:multiLevelType w:val="hybridMultilevel"/>
    <w:tmpl w:val="EF36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820A44"/>
    <w:multiLevelType w:val="hybridMultilevel"/>
    <w:tmpl w:val="EA80DDEC"/>
    <w:lvl w:ilvl="0" w:tplc="64023292">
      <w:start w:val="1"/>
      <w:numFmt w:val="lowerLetter"/>
      <w:lvlText w:val="%1)"/>
      <w:lvlJc w:val="left"/>
      <w:pPr>
        <w:ind w:left="720" w:hanging="360"/>
      </w:pPr>
      <w:rPr>
        <w:rFonts w:ascii="Franklin Gothic Book" w:eastAsia="Times New Roman" w:hAnsi="Franklin Gothic Book" w:cs="Times New Roman"/>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4109DE"/>
    <w:multiLevelType w:val="hybridMultilevel"/>
    <w:tmpl w:val="6DA8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524D3C"/>
    <w:multiLevelType w:val="hybridMultilevel"/>
    <w:tmpl w:val="8B7CA45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C1EA7"/>
    <w:multiLevelType w:val="multilevel"/>
    <w:tmpl w:val="43428892"/>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4E4458E"/>
    <w:multiLevelType w:val="hybridMultilevel"/>
    <w:tmpl w:val="1144D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26"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2"/>
  </w:num>
  <w:num w:numId="2">
    <w:abstractNumId w:val="1"/>
  </w:num>
  <w:num w:numId="3">
    <w:abstractNumId w:val="7"/>
  </w:num>
  <w:num w:numId="4">
    <w:abstractNumId w:val="16"/>
  </w:num>
  <w:num w:numId="5">
    <w:abstractNumId w:val="19"/>
  </w:num>
  <w:num w:numId="6">
    <w:abstractNumId w:val="0"/>
  </w:num>
  <w:num w:numId="7">
    <w:abstractNumId w:val="7"/>
  </w:num>
  <w:num w:numId="8">
    <w:abstractNumId w:val="18"/>
  </w:num>
  <w:num w:numId="9">
    <w:abstractNumId w:val="1"/>
  </w:num>
  <w:num w:numId="10">
    <w:abstractNumId w:val="5"/>
  </w:num>
  <w:num w:numId="11">
    <w:abstractNumId w:val="23"/>
  </w:num>
  <w:num w:numId="12">
    <w:abstractNumId w:val="24"/>
  </w:num>
  <w:num w:numId="13">
    <w:abstractNumId w:val="26"/>
  </w:num>
  <w:num w:numId="14">
    <w:abstractNumId w:val="20"/>
  </w:num>
  <w:num w:numId="15">
    <w:abstractNumId w:val="12"/>
  </w:num>
  <w:num w:numId="16">
    <w:abstractNumId w:val="4"/>
  </w:num>
  <w:num w:numId="17">
    <w:abstractNumId w:val="10"/>
  </w:num>
  <w:num w:numId="18">
    <w:abstractNumId w:val="26"/>
  </w:num>
  <w:num w:numId="19">
    <w:abstractNumId w:val="26"/>
  </w:num>
  <w:num w:numId="20">
    <w:abstractNumId w:val="26"/>
  </w:num>
  <w:num w:numId="21">
    <w:abstractNumId w:val="26"/>
  </w:num>
  <w:num w:numId="22">
    <w:abstractNumId w:val="26"/>
  </w:num>
  <w:num w:numId="23">
    <w:abstractNumId w:val="15"/>
  </w:num>
  <w:num w:numId="24">
    <w:abstractNumId w:val="26"/>
  </w:num>
  <w:num w:numId="25">
    <w:abstractNumId w:val="26"/>
  </w:num>
  <w:num w:numId="26">
    <w:abstractNumId w:val="26"/>
  </w:num>
  <w:num w:numId="27">
    <w:abstractNumId w:val="26"/>
  </w:num>
  <w:num w:numId="28">
    <w:abstractNumId w:val="17"/>
  </w:num>
  <w:num w:numId="29">
    <w:abstractNumId w:val="21"/>
  </w:num>
  <w:num w:numId="30">
    <w:abstractNumId w:val="2"/>
  </w:num>
  <w:num w:numId="31">
    <w:abstractNumId w:val="14"/>
  </w:num>
  <w:num w:numId="32">
    <w:abstractNumId w:val="3"/>
  </w:num>
  <w:num w:numId="33">
    <w:abstractNumId w:val="25"/>
  </w:num>
  <w:num w:numId="34">
    <w:abstractNumId w:val="11"/>
  </w:num>
  <w:num w:numId="35">
    <w:abstractNumId w:val="8"/>
  </w:num>
  <w:num w:numId="36">
    <w:abstractNumId w:val="13"/>
  </w:num>
  <w:num w:numId="37">
    <w:abstractNumId w:val="9"/>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0705F"/>
    <w:rsid w:val="0002080A"/>
    <w:rsid w:val="0002782F"/>
    <w:rsid w:val="000309A0"/>
    <w:rsid w:val="00034013"/>
    <w:rsid w:val="00035BBF"/>
    <w:rsid w:val="00043647"/>
    <w:rsid w:val="00050806"/>
    <w:rsid w:val="0005198D"/>
    <w:rsid w:val="000546D9"/>
    <w:rsid w:val="00054E4D"/>
    <w:rsid w:val="00060073"/>
    <w:rsid w:val="000616C6"/>
    <w:rsid w:val="00074126"/>
    <w:rsid w:val="000758C6"/>
    <w:rsid w:val="00077733"/>
    <w:rsid w:val="00081271"/>
    <w:rsid w:val="00082F9D"/>
    <w:rsid w:val="000854FD"/>
    <w:rsid w:val="00095B64"/>
    <w:rsid w:val="000A6548"/>
    <w:rsid w:val="000B37F5"/>
    <w:rsid w:val="000D09BF"/>
    <w:rsid w:val="000D66D6"/>
    <w:rsid w:val="000E4AA3"/>
    <w:rsid w:val="000E6ECE"/>
    <w:rsid w:val="000F3A92"/>
    <w:rsid w:val="000F7FC1"/>
    <w:rsid w:val="00103BE2"/>
    <w:rsid w:val="00103DED"/>
    <w:rsid w:val="00113288"/>
    <w:rsid w:val="0011341F"/>
    <w:rsid w:val="00120757"/>
    <w:rsid w:val="001214BE"/>
    <w:rsid w:val="0012176E"/>
    <w:rsid w:val="00121E6B"/>
    <w:rsid w:val="00122594"/>
    <w:rsid w:val="00126319"/>
    <w:rsid w:val="0013101C"/>
    <w:rsid w:val="001337B4"/>
    <w:rsid w:val="00140587"/>
    <w:rsid w:val="001461D6"/>
    <w:rsid w:val="00152291"/>
    <w:rsid w:val="001527DF"/>
    <w:rsid w:val="001541EA"/>
    <w:rsid w:val="00154834"/>
    <w:rsid w:val="001719E9"/>
    <w:rsid w:val="001720C8"/>
    <w:rsid w:val="00173014"/>
    <w:rsid w:val="00176CDC"/>
    <w:rsid w:val="00182A3B"/>
    <w:rsid w:val="00186838"/>
    <w:rsid w:val="00192E61"/>
    <w:rsid w:val="001A6B1F"/>
    <w:rsid w:val="001A78DC"/>
    <w:rsid w:val="001B090E"/>
    <w:rsid w:val="001B3ED6"/>
    <w:rsid w:val="001C379D"/>
    <w:rsid w:val="001C5D1F"/>
    <w:rsid w:val="001D1FFB"/>
    <w:rsid w:val="001D663E"/>
    <w:rsid w:val="001D756D"/>
    <w:rsid w:val="001E1DC0"/>
    <w:rsid w:val="001E2279"/>
    <w:rsid w:val="001F3E81"/>
    <w:rsid w:val="00203277"/>
    <w:rsid w:val="00207967"/>
    <w:rsid w:val="0021077A"/>
    <w:rsid w:val="00215202"/>
    <w:rsid w:val="0021530F"/>
    <w:rsid w:val="002308C1"/>
    <w:rsid w:val="00240435"/>
    <w:rsid w:val="002528C6"/>
    <w:rsid w:val="00252C04"/>
    <w:rsid w:val="00252F30"/>
    <w:rsid w:val="0026300F"/>
    <w:rsid w:val="002702E7"/>
    <w:rsid w:val="00272A47"/>
    <w:rsid w:val="002806A8"/>
    <w:rsid w:val="002813F7"/>
    <w:rsid w:val="0028602A"/>
    <w:rsid w:val="0028748D"/>
    <w:rsid w:val="002A046A"/>
    <w:rsid w:val="002B1BC8"/>
    <w:rsid w:val="002B383D"/>
    <w:rsid w:val="002B5E10"/>
    <w:rsid w:val="002C0C1D"/>
    <w:rsid w:val="002C5E62"/>
    <w:rsid w:val="002C793D"/>
    <w:rsid w:val="002C7CDB"/>
    <w:rsid w:val="002D5B25"/>
    <w:rsid w:val="002D7455"/>
    <w:rsid w:val="002F4811"/>
    <w:rsid w:val="002F4F2B"/>
    <w:rsid w:val="003002C0"/>
    <w:rsid w:val="00301144"/>
    <w:rsid w:val="003031C6"/>
    <w:rsid w:val="00304984"/>
    <w:rsid w:val="0030508F"/>
    <w:rsid w:val="00312BF8"/>
    <w:rsid w:val="003148B7"/>
    <w:rsid w:val="0031504E"/>
    <w:rsid w:val="003158C3"/>
    <w:rsid w:val="00316424"/>
    <w:rsid w:val="003226E9"/>
    <w:rsid w:val="00324FBC"/>
    <w:rsid w:val="003274CD"/>
    <w:rsid w:val="00333501"/>
    <w:rsid w:val="003439F8"/>
    <w:rsid w:val="00344F00"/>
    <w:rsid w:val="003457C4"/>
    <w:rsid w:val="00347A86"/>
    <w:rsid w:val="00347DEB"/>
    <w:rsid w:val="0035119D"/>
    <w:rsid w:val="00364CCE"/>
    <w:rsid w:val="00365217"/>
    <w:rsid w:val="00366879"/>
    <w:rsid w:val="00375BEC"/>
    <w:rsid w:val="00383A08"/>
    <w:rsid w:val="00384D40"/>
    <w:rsid w:val="00385712"/>
    <w:rsid w:val="003863A7"/>
    <w:rsid w:val="0039344A"/>
    <w:rsid w:val="00395163"/>
    <w:rsid w:val="003A7B5E"/>
    <w:rsid w:val="003B053D"/>
    <w:rsid w:val="003B0E24"/>
    <w:rsid w:val="003B313E"/>
    <w:rsid w:val="003B4F12"/>
    <w:rsid w:val="003C3B89"/>
    <w:rsid w:val="003C6A68"/>
    <w:rsid w:val="003F2041"/>
    <w:rsid w:val="003F60E9"/>
    <w:rsid w:val="00402ACC"/>
    <w:rsid w:val="004073C0"/>
    <w:rsid w:val="004120EC"/>
    <w:rsid w:val="00415EA4"/>
    <w:rsid w:val="00423F31"/>
    <w:rsid w:val="00431899"/>
    <w:rsid w:val="00442055"/>
    <w:rsid w:val="004449D2"/>
    <w:rsid w:val="00445056"/>
    <w:rsid w:val="004475A6"/>
    <w:rsid w:val="00447A79"/>
    <w:rsid w:val="00452F78"/>
    <w:rsid w:val="004622E2"/>
    <w:rsid w:val="00467117"/>
    <w:rsid w:val="0047630A"/>
    <w:rsid w:val="004775DB"/>
    <w:rsid w:val="00482801"/>
    <w:rsid w:val="00482AE8"/>
    <w:rsid w:val="00486234"/>
    <w:rsid w:val="0048645C"/>
    <w:rsid w:val="00486804"/>
    <w:rsid w:val="004875BA"/>
    <w:rsid w:val="004A6095"/>
    <w:rsid w:val="004B3775"/>
    <w:rsid w:val="004D0BA0"/>
    <w:rsid w:val="004D167D"/>
    <w:rsid w:val="004D5452"/>
    <w:rsid w:val="004D62E1"/>
    <w:rsid w:val="004E058F"/>
    <w:rsid w:val="004E3B87"/>
    <w:rsid w:val="004E3E3E"/>
    <w:rsid w:val="004E4E49"/>
    <w:rsid w:val="005048BC"/>
    <w:rsid w:val="00510921"/>
    <w:rsid w:val="00510AD3"/>
    <w:rsid w:val="00513348"/>
    <w:rsid w:val="00513AD8"/>
    <w:rsid w:val="0051787C"/>
    <w:rsid w:val="005204D2"/>
    <w:rsid w:val="00521508"/>
    <w:rsid w:val="00522396"/>
    <w:rsid w:val="00524C83"/>
    <w:rsid w:val="00533B5D"/>
    <w:rsid w:val="00537852"/>
    <w:rsid w:val="00537858"/>
    <w:rsid w:val="00543638"/>
    <w:rsid w:val="00545A52"/>
    <w:rsid w:val="0055016B"/>
    <w:rsid w:val="005504EE"/>
    <w:rsid w:val="00560B59"/>
    <w:rsid w:val="00562118"/>
    <w:rsid w:val="005743F9"/>
    <w:rsid w:val="005810A8"/>
    <w:rsid w:val="00582789"/>
    <w:rsid w:val="005924AC"/>
    <w:rsid w:val="005A20F6"/>
    <w:rsid w:val="005A6708"/>
    <w:rsid w:val="005C1560"/>
    <w:rsid w:val="005C2526"/>
    <w:rsid w:val="005D3655"/>
    <w:rsid w:val="005D677F"/>
    <w:rsid w:val="005D7FC6"/>
    <w:rsid w:val="005E4830"/>
    <w:rsid w:val="005E4DF1"/>
    <w:rsid w:val="005E65C5"/>
    <w:rsid w:val="005F243D"/>
    <w:rsid w:val="005F557D"/>
    <w:rsid w:val="005F670C"/>
    <w:rsid w:val="005F772C"/>
    <w:rsid w:val="00604985"/>
    <w:rsid w:val="00604F8E"/>
    <w:rsid w:val="006066D7"/>
    <w:rsid w:val="00607E36"/>
    <w:rsid w:val="0061154B"/>
    <w:rsid w:val="0061215C"/>
    <w:rsid w:val="006143FB"/>
    <w:rsid w:val="00622B86"/>
    <w:rsid w:val="00623BA1"/>
    <w:rsid w:val="00626C52"/>
    <w:rsid w:val="00632E05"/>
    <w:rsid w:val="006346BC"/>
    <w:rsid w:val="00651B17"/>
    <w:rsid w:val="00657407"/>
    <w:rsid w:val="0066652A"/>
    <w:rsid w:val="006719C3"/>
    <w:rsid w:val="00677B61"/>
    <w:rsid w:val="00680522"/>
    <w:rsid w:val="00682022"/>
    <w:rsid w:val="00682167"/>
    <w:rsid w:val="00687605"/>
    <w:rsid w:val="006909EB"/>
    <w:rsid w:val="0069248E"/>
    <w:rsid w:val="006A0488"/>
    <w:rsid w:val="006A2BDC"/>
    <w:rsid w:val="006A2EF5"/>
    <w:rsid w:val="006C42AF"/>
    <w:rsid w:val="006D6821"/>
    <w:rsid w:val="006E50DF"/>
    <w:rsid w:val="006E5547"/>
    <w:rsid w:val="007019EE"/>
    <w:rsid w:val="00707659"/>
    <w:rsid w:val="007105CF"/>
    <w:rsid w:val="00711D8E"/>
    <w:rsid w:val="00712672"/>
    <w:rsid w:val="0071418F"/>
    <w:rsid w:val="00717E42"/>
    <w:rsid w:val="00721B1E"/>
    <w:rsid w:val="00726B4C"/>
    <w:rsid w:val="007341ED"/>
    <w:rsid w:val="00734E3F"/>
    <w:rsid w:val="00736985"/>
    <w:rsid w:val="00745DF5"/>
    <w:rsid w:val="00752D9E"/>
    <w:rsid w:val="00752FAA"/>
    <w:rsid w:val="0075374D"/>
    <w:rsid w:val="0076066C"/>
    <w:rsid w:val="0076250F"/>
    <w:rsid w:val="00774EC4"/>
    <w:rsid w:val="0077527D"/>
    <w:rsid w:val="00777C9A"/>
    <w:rsid w:val="00780FA5"/>
    <w:rsid w:val="00781780"/>
    <w:rsid w:val="007850DD"/>
    <w:rsid w:val="007A2627"/>
    <w:rsid w:val="007A2ABA"/>
    <w:rsid w:val="007B6200"/>
    <w:rsid w:val="007C4099"/>
    <w:rsid w:val="007C45FC"/>
    <w:rsid w:val="007D1275"/>
    <w:rsid w:val="007D34F4"/>
    <w:rsid w:val="007D7C99"/>
    <w:rsid w:val="007F12E7"/>
    <w:rsid w:val="007F3395"/>
    <w:rsid w:val="007F357A"/>
    <w:rsid w:val="007F697B"/>
    <w:rsid w:val="00801B9F"/>
    <w:rsid w:val="0080204D"/>
    <w:rsid w:val="008072B9"/>
    <w:rsid w:val="00810AFE"/>
    <w:rsid w:val="00813D52"/>
    <w:rsid w:val="00814628"/>
    <w:rsid w:val="008159A1"/>
    <w:rsid w:val="00815B66"/>
    <w:rsid w:val="00821707"/>
    <w:rsid w:val="0084054F"/>
    <w:rsid w:val="00845667"/>
    <w:rsid w:val="008475F0"/>
    <w:rsid w:val="00852F55"/>
    <w:rsid w:val="008557A7"/>
    <w:rsid w:val="0086708B"/>
    <w:rsid w:val="00870928"/>
    <w:rsid w:val="00872065"/>
    <w:rsid w:val="0087309A"/>
    <w:rsid w:val="00874876"/>
    <w:rsid w:val="008774B0"/>
    <w:rsid w:val="00880427"/>
    <w:rsid w:val="008812F6"/>
    <w:rsid w:val="0088357B"/>
    <w:rsid w:val="008924B9"/>
    <w:rsid w:val="0089405C"/>
    <w:rsid w:val="00897FA2"/>
    <w:rsid w:val="008A2A9A"/>
    <w:rsid w:val="008A5AFE"/>
    <w:rsid w:val="008B4A42"/>
    <w:rsid w:val="008B69CF"/>
    <w:rsid w:val="008B6B20"/>
    <w:rsid w:val="008C4D84"/>
    <w:rsid w:val="008C5A0E"/>
    <w:rsid w:val="008D2E3E"/>
    <w:rsid w:val="008F1613"/>
    <w:rsid w:val="008F46C7"/>
    <w:rsid w:val="008F60FF"/>
    <w:rsid w:val="008F719E"/>
    <w:rsid w:val="009003F5"/>
    <w:rsid w:val="009024CA"/>
    <w:rsid w:val="0090278D"/>
    <w:rsid w:val="00906555"/>
    <w:rsid w:val="00907023"/>
    <w:rsid w:val="009110D2"/>
    <w:rsid w:val="009173F5"/>
    <w:rsid w:val="00920C18"/>
    <w:rsid w:val="00921D3D"/>
    <w:rsid w:val="00937524"/>
    <w:rsid w:val="00941A34"/>
    <w:rsid w:val="00942434"/>
    <w:rsid w:val="0094303D"/>
    <w:rsid w:val="00943730"/>
    <w:rsid w:val="00947F54"/>
    <w:rsid w:val="00950D5F"/>
    <w:rsid w:val="009623A8"/>
    <w:rsid w:val="00962516"/>
    <w:rsid w:val="00963C90"/>
    <w:rsid w:val="00974959"/>
    <w:rsid w:val="00975CA5"/>
    <w:rsid w:val="009802C2"/>
    <w:rsid w:val="00980D22"/>
    <w:rsid w:val="0098106C"/>
    <w:rsid w:val="00986590"/>
    <w:rsid w:val="00986ECF"/>
    <w:rsid w:val="0099270B"/>
    <w:rsid w:val="00992C76"/>
    <w:rsid w:val="009969D6"/>
    <w:rsid w:val="009A266E"/>
    <w:rsid w:val="009A2B60"/>
    <w:rsid w:val="009B346E"/>
    <w:rsid w:val="009B4D3B"/>
    <w:rsid w:val="009C5BAE"/>
    <w:rsid w:val="009D0338"/>
    <w:rsid w:val="009D7094"/>
    <w:rsid w:val="009D7407"/>
    <w:rsid w:val="009E0866"/>
    <w:rsid w:val="009E273C"/>
    <w:rsid w:val="009E4C83"/>
    <w:rsid w:val="009F1350"/>
    <w:rsid w:val="009F4B73"/>
    <w:rsid w:val="009F5019"/>
    <w:rsid w:val="009F6423"/>
    <w:rsid w:val="00A07E81"/>
    <w:rsid w:val="00A100E5"/>
    <w:rsid w:val="00A2364B"/>
    <w:rsid w:val="00A24A62"/>
    <w:rsid w:val="00A25109"/>
    <w:rsid w:val="00A273CC"/>
    <w:rsid w:val="00A30BD7"/>
    <w:rsid w:val="00A31C9F"/>
    <w:rsid w:val="00A4144F"/>
    <w:rsid w:val="00A50A5E"/>
    <w:rsid w:val="00A50E3F"/>
    <w:rsid w:val="00A61B4D"/>
    <w:rsid w:val="00A67166"/>
    <w:rsid w:val="00A80F95"/>
    <w:rsid w:val="00A81DBE"/>
    <w:rsid w:val="00A837B2"/>
    <w:rsid w:val="00A90326"/>
    <w:rsid w:val="00A91BE5"/>
    <w:rsid w:val="00A97BF1"/>
    <w:rsid w:val="00AA298A"/>
    <w:rsid w:val="00AC164A"/>
    <w:rsid w:val="00AC2C67"/>
    <w:rsid w:val="00AC6B4D"/>
    <w:rsid w:val="00AD6E3F"/>
    <w:rsid w:val="00AD74F1"/>
    <w:rsid w:val="00AE111F"/>
    <w:rsid w:val="00AE448A"/>
    <w:rsid w:val="00AF2050"/>
    <w:rsid w:val="00B01AF9"/>
    <w:rsid w:val="00B02273"/>
    <w:rsid w:val="00B02F61"/>
    <w:rsid w:val="00B03CA8"/>
    <w:rsid w:val="00B12F08"/>
    <w:rsid w:val="00B2000A"/>
    <w:rsid w:val="00B2226F"/>
    <w:rsid w:val="00B2250A"/>
    <w:rsid w:val="00B2335B"/>
    <w:rsid w:val="00B240CF"/>
    <w:rsid w:val="00B24FB1"/>
    <w:rsid w:val="00B3321C"/>
    <w:rsid w:val="00B33C0A"/>
    <w:rsid w:val="00B443DA"/>
    <w:rsid w:val="00B473D3"/>
    <w:rsid w:val="00B510D4"/>
    <w:rsid w:val="00B55E19"/>
    <w:rsid w:val="00B60849"/>
    <w:rsid w:val="00B65E47"/>
    <w:rsid w:val="00B76BE6"/>
    <w:rsid w:val="00B80C04"/>
    <w:rsid w:val="00B821A5"/>
    <w:rsid w:val="00B827AF"/>
    <w:rsid w:val="00B900C3"/>
    <w:rsid w:val="00B90B43"/>
    <w:rsid w:val="00B94758"/>
    <w:rsid w:val="00BA0473"/>
    <w:rsid w:val="00BA4791"/>
    <w:rsid w:val="00BA4B6D"/>
    <w:rsid w:val="00BB26C5"/>
    <w:rsid w:val="00BC3D28"/>
    <w:rsid w:val="00BC56FE"/>
    <w:rsid w:val="00BD5BD7"/>
    <w:rsid w:val="00BE17F4"/>
    <w:rsid w:val="00BE3F00"/>
    <w:rsid w:val="00BF2F0F"/>
    <w:rsid w:val="00BF4DE6"/>
    <w:rsid w:val="00BF4E6B"/>
    <w:rsid w:val="00BF5062"/>
    <w:rsid w:val="00C06B13"/>
    <w:rsid w:val="00C10369"/>
    <w:rsid w:val="00C14832"/>
    <w:rsid w:val="00C1601B"/>
    <w:rsid w:val="00C2286E"/>
    <w:rsid w:val="00C246CE"/>
    <w:rsid w:val="00C252E0"/>
    <w:rsid w:val="00C27D25"/>
    <w:rsid w:val="00C27E8F"/>
    <w:rsid w:val="00C334FB"/>
    <w:rsid w:val="00C34AF1"/>
    <w:rsid w:val="00C42541"/>
    <w:rsid w:val="00C42CDE"/>
    <w:rsid w:val="00C5182A"/>
    <w:rsid w:val="00C51973"/>
    <w:rsid w:val="00C55065"/>
    <w:rsid w:val="00C5605A"/>
    <w:rsid w:val="00C63EE9"/>
    <w:rsid w:val="00C6480F"/>
    <w:rsid w:val="00C64A18"/>
    <w:rsid w:val="00C64AF2"/>
    <w:rsid w:val="00C65CFF"/>
    <w:rsid w:val="00C7592E"/>
    <w:rsid w:val="00C81691"/>
    <w:rsid w:val="00C85C08"/>
    <w:rsid w:val="00CA16F3"/>
    <w:rsid w:val="00CA37B1"/>
    <w:rsid w:val="00CB1959"/>
    <w:rsid w:val="00CC4A8D"/>
    <w:rsid w:val="00CC741B"/>
    <w:rsid w:val="00CD0E4B"/>
    <w:rsid w:val="00CD5C6C"/>
    <w:rsid w:val="00CD6B9A"/>
    <w:rsid w:val="00CE4C89"/>
    <w:rsid w:val="00CE7368"/>
    <w:rsid w:val="00CF07BA"/>
    <w:rsid w:val="00CF1365"/>
    <w:rsid w:val="00CF53FF"/>
    <w:rsid w:val="00D0296C"/>
    <w:rsid w:val="00D118F0"/>
    <w:rsid w:val="00D13335"/>
    <w:rsid w:val="00D32D6F"/>
    <w:rsid w:val="00D37B04"/>
    <w:rsid w:val="00D50E91"/>
    <w:rsid w:val="00D535C5"/>
    <w:rsid w:val="00D540C6"/>
    <w:rsid w:val="00D562E6"/>
    <w:rsid w:val="00D64BD1"/>
    <w:rsid w:val="00D87C14"/>
    <w:rsid w:val="00D92254"/>
    <w:rsid w:val="00D9769C"/>
    <w:rsid w:val="00D9777E"/>
    <w:rsid w:val="00DB6269"/>
    <w:rsid w:val="00DB66C7"/>
    <w:rsid w:val="00DB69EE"/>
    <w:rsid w:val="00DC2092"/>
    <w:rsid w:val="00DD0E3E"/>
    <w:rsid w:val="00DE084C"/>
    <w:rsid w:val="00DF4E49"/>
    <w:rsid w:val="00E001FF"/>
    <w:rsid w:val="00E01000"/>
    <w:rsid w:val="00E11C3A"/>
    <w:rsid w:val="00E14E65"/>
    <w:rsid w:val="00E14F51"/>
    <w:rsid w:val="00E17EAE"/>
    <w:rsid w:val="00E259DD"/>
    <w:rsid w:val="00E357B7"/>
    <w:rsid w:val="00E4431E"/>
    <w:rsid w:val="00E45146"/>
    <w:rsid w:val="00E53800"/>
    <w:rsid w:val="00E6081F"/>
    <w:rsid w:val="00E67862"/>
    <w:rsid w:val="00E76A52"/>
    <w:rsid w:val="00E8296D"/>
    <w:rsid w:val="00E8451B"/>
    <w:rsid w:val="00E8457B"/>
    <w:rsid w:val="00E87BAB"/>
    <w:rsid w:val="00E96B2E"/>
    <w:rsid w:val="00EA04B2"/>
    <w:rsid w:val="00EA20F3"/>
    <w:rsid w:val="00EA498E"/>
    <w:rsid w:val="00EC479D"/>
    <w:rsid w:val="00EC752F"/>
    <w:rsid w:val="00ED1992"/>
    <w:rsid w:val="00ED20A8"/>
    <w:rsid w:val="00ED2831"/>
    <w:rsid w:val="00ED43D1"/>
    <w:rsid w:val="00ED55F0"/>
    <w:rsid w:val="00ED5912"/>
    <w:rsid w:val="00ED61CA"/>
    <w:rsid w:val="00EE4EE1"/>
    <w:rsid w:val="00EF4574"/>
    <w:rsid w:val="00F15B57"/>
    <w:rsid w:val="00F16B08"/>
    <w:rsid w:val="00F248FC"/>
    <w:rsid w:val="00F25A93"/>
    <w:rsid w:val="00F2684E"/>
    <w:rsid w:val="00F32105"/>
    <w:rsid w:val="00F3367D"/>
    <w:rsid w:val="00F349C2"/>
    <w:rsid w:val="00F375D3"/>
    <w:rsid w:val="00F4290D"/>
    <w:rsid w:val="00F5404C"/>
    <w:rsid w:val="00F543C2"/>
    <w:rsid w:val="00F619BD"/>
    <w:rsid w:val="00F7042E"/>
    <w:rsid w:val="00F729EF"/>
    <w:rsid w:val="00F76B4E"/>
    <w:rsid w:val="00F77CAE"/>
    <w:rsid w:val="00F82271"/>
    <w:rsid w:val="00F83428"/>
    <w:rsid w:val="00F96BB9"/>
    <w:rsid w:val="00FB3194"/>
    <w:rsid w:val="00FB44A0"/>
    <w:rsid w:val="00FC322F"/>
    <w:rsid w:val="00FD1FA3"/>
    <w:rsid w:val="00FE02FE"/>
    <w:rsid w:val="00FE429B"/>
    <w:rsid w:val="00FE4B33"/>
    <w:rsid w:val="00FE4BE0"/>
    <w:rsid w:val="00FE6D51"/>
    <w:rsid w:val="00FE6F2A"/>
    <w:rsid w:val="00FF0AB4"/>
    <w:rsid w:val="00FF4235"/>
    <w:rsid w:val="00FF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3A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Recommendation,L,List Paragraph1,List Paragraph11"/>
    <w:basedOn w:val="Normal"/>
    <w:link w:val="ListParagraphChar"/>
    <w:uiPriority w:val="34"/>
    <w:qFormat/>
    <w:locked/>
    <w:rsid w:val="00D562E6"/>
    <w:pPr>
      <w:ind w:left="720"/>
      <w:contextualSpacing/>
    </w:pPr>
  </w:style>
  <w:style w:type="paragraph" w:styleId="NormalWeb">
    <w:name w:val="Normal (Web)"/>
    <w:basedOn w:val="Normal"/>
    <w:uiPriority w:val="99"/>
    <w:semiHidden/>
    <w:unhideWhenUsed/>
    <w:rsid w:val="00C64A1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5D677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D677F"/>
    <w:rPr>
      <w:color w:val="495965" w:themeColor="text2"/>
      <w:sz w:val="20"/>
      <w:szCs w:val="20"/>
      <w:lang w:val="en-GB"/>
    </w:rPr>
  </w:style>
  <w:style w:type="character" w:styleId="EndnoteReference">
    <w:name w:val="endnote reference"/>
    <w:basedOn w:val="DefaultParagraphFont"/>
    <w:uiPriority w:val="99"/>
    <w:semiHidden/>
    <w:unhideWhenUsed/>
    <w:rsid w:val="005D677F"/>
    <w:rPr>
      <w:vertAlign w:val="superscript"/>
    </w:rPr>
  </w:style>
  <w:style w:type="paragraph" w:customStyle="1" w:styleId="Default">
    <w:name w:val="Default"/>
    <w:rsid w:val="0024043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 Char,List Paragraph1 Char,List Paragraph11 Char"/>
    <w:link w:val="ListParagraph"/>
    <w:uiPriority w:val="34"/>
    <w:locked/>
    <w:rsid w:val="00447A79"/>
    <w:rPr>
      <w:color w:val="495965" w:themeColor="text2"/>
      <w:lang w:val="en-GB"/>
    </w:rPr>
  </w:style>
  <w:style w:type="paragraph" w:customStyle="1" w:styleId="Classification">
    <w:name w:val="Classification"/>
    <w:basedOn w:val="Header"/>
    <w:qFormat/>
    <w:rsid w:val="006143FB"/>
    <w:pPr>
      <w:spacing w:after="200" w:line="240" w:lineRule="auto"/>
      <w:ind w:left="0"/>
      <w:contextualSpacing/>
      <w:jc w:val="center"/>
    </w:pPr>
    <w:rPr>
      <w:color w:val="auto"/>
      <w:sz w:val="28"/>
    </w:rPr>
  </w:style>
  <w:style w:type="paragraph" w:customStyle="1" w:styleId="Tablebullet">
    <w:name w:val="Table bullet"/>
    <w:basedOn w:val="ListParagraph"/>
    <w:qFormat/>
    <w:rsid w:val="006143FB"/>
    <w:pPr>
      <w:keepNext/>
      <w:keepLines/>
      <w:numPr>
        <w:numId w:val="33"/>
      </w:numPr>
      <w:suppressAutoHyphens w:val="0"/>
      <w:spacing w:after="0" w:line="240" w:lineRule="auto"/>
      <w:outlineLvl w:val="0"/>
    </w:pPr>
    <w:rPr>
      <w:rFonts w:eastAsiaTheme="majorEastAsia" w:cstheme="majorBidi"/>
      <w:bCs/>
      <w:color w:val="404040" w:themeColor="text1" w:themeTint="BF"/>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450">
      <w:bodyDiv w:val="1"/>
      <w:marLeft w:val="0"/>
      <w:marRight w:val="0"/>
      <w:marTop w:val="0"/>
      <w:marBottom w:val="0"/>
      <w:divBdr>
        <w:top w:val="none" w:sz="0" w:space="0" w:color="auto"/>
        <w:left w:val="none" w:sz="0" w:space="0" w:color="auto"/>
        <w:bottom w:val="none" w:sz="0" w:space="0" w:color="auto"/>
        <w:right w:val="none" w:sz="0" w:space="0" w:color="auto"/>
      </w:divBdr>
    </w:div>
    <w:div w:id="467433916">
      <w:bodyDiv w:val="1"/>
      <w:marLeft w:val="0"/>
      <w:marRight w:val="0"/>
      <w:marTop w:val="0"/>
      <w:marBottom w:val="0"/>
      <w:divBdr>
        <w:top w:val="none" w:sz="0" w:space="0" w:color="auto"/>
        <w:left w:val="none" w:sz="0" w:space="0" w:color="auto"/>
        <w:bottom w:val="none" w:sz="0" w:space="0" w:color="auto"/>
        <w:right w:val="none" w:sz="0" w:space="0" w:color="auto"/>
      </w:divBdr>
    </w:div>
    <w:div w:id="688139137">
      <w:bodyDiv w:val="1"/>
      <w:marLeft w:val="0"/>
      <w:marRight w:val="0"/>
      <w:marTop w:val="0"/>
      <w:marBottom w:val="0"/>
      <w:divBdr>
        <w:top w:val="none" w:sz="0" w:space="0" w:color="auto"/>
        <w:left w:val="none" w:sz="0" w:space="0" w:color="auto"/>
        <w:bottom w:val="none" w:sz="0" w:space="0" w:color="auto"/>
        <w:right w:val="none" w:sz="0" w:space="0" w:color="auto"/>
      </w:divBdr>
    </w:div>
    <w:div w:id="1430275391">
      <w:bodyDiv w:val="1"/>
      <w:marLeft w:val="0"/>
      <w:marRight w:val="0"/>
      <w:marTop w:val="0"/>
      <w:marBottom w:val="0"/>
      <w:divBdr>
        <w:top w:val="none" w:sz="0" w:space="0" w:color="auto"/>
        <w:left w:val="none" w:sz="0" w:space="0" w:color="auto"/>
        <w:bottom w:val="none" w:sz="0" w:space="0" w:color="auto"/>
        <w:right w:val="none" w:sz="0" w:space="0" w:color="auto"/>
      </w:divBdr>
      <w:divsChild>
        <w:div w:id="1509637543">
          <w:marLeft w:val="0"/>
          <w:marRight w:val="0"/>
          <w:marTop w:val="0"/>
          <w:marBottom w:val="0"/>
          <w:divBdr>
            <w:top w:val="none" w:sz="0" w:space="0" w:color="auto"/>
            <w:left w:val="none" w:sz="0" w:space="0" w:color="auto"/>
            <w:bottom w:val="none" w:sz="0" w:space="0" w:color="auto"/>
            <w:right w:val="none" w:sz="0" w:space="0" w:color="auto"/>
          </w:divBdr>
          <w:divsChild>
            <w:div w:id="1424304834">
              <w:marLeft w:val="0"/>
              <w:marRight w:val="0"/>
              <w:marTop w:val="0"/>
              <w:marBottom w:val="0"/>
              <w:divBdr>
                <w:top w:val="none" w:sz="0" w:space="0" w:color="auto"/>
                <w:left w:val="none" w:sz="0" w:space="0" w:color="auto"/>
                <w:bottom w:val="none" w:sz="0" w:space="0" w:color="auto"/>
                <w:right w:val="none" w:sz="0" w:space="0" w:color="auto"/>
              </w:divBdr>
              <w:divsChild>
                <w:div w:id="62915269">
                  <w:marLeft w:val="0"/>
                  <w:marRight w:val="0"/>
                  <w:marTop w:val="0"/>
                  <w:marBottom w:val="0"/>
                  <w:divBdr>
                    <w:top w:val="none" w:sz="0" w:space="0" w:color="auto"/>
                    <w:left w:val="none" w:sz="0" w:space="0" w:color="auto"/>
                    <w:bottom w:val="none" w:sz="0" w:space="0" w:color="auto"/>
                    <w:right w:val="none" w:sz="0" w:space="0" w:color="auto"/>
                  </w:divBdr>
                  <w:divsChild>
                    <w:div w:id="676081360">
                      <w:marLeft w:val="0"/>
                      <w:marRight w:val="0"/>
                      <w:marTop w:val="0"/>
                      <w:marBottom w:val="0"/>
                      <w:divBdr>
                        <w:top w:val="none" w:sz="0" w:space="0" w:color="auto"/>
                        <w:left w:val="none" w:sz="0" w:space="0" w:color="auto"/>
                        <w:bottom w:val="none" w:sz="0" w:space="0" w:color="auto"/>
                        <w:right w:val="none" w:sz="0" w:space="0" w:color="auto"/>
                      </w:divBdr>
                      <w:divsChild>
                        <w:div w:id="1009941137">
                          <w:marLeft w:val="0"/>
                          <w:marRight w:val="0"/>
                          <w:marTop w:val="0"/>
                          <w:marBottom w:val="0"/>
                          <w:divBdr>
                            <w:top w:val="none" w:sz="0" w:space="0" w:color="auto"/>
                            <w:left w:val="none" w:sz="0" w:space="0" w:color="auto"/>
                            <w:bottom w:val="none" w:sz="0" w:space="0" w:color="auto"/>
                            <w:right w:val="none" w:sz="0" w:space="0" w:color="auto"/>
                          </w:divBdr>
                          <w:divsChild>
                            <w:div w:id="1754666654">
                              <w:marLeft w:val="0"/>
                              <w:marRight w:val="0"/>
                              <w:marTop w:val="0"/>
                              <w:marBottom w:val="0"/>
                              <w:divBdr>
                                <w:top w:val="none" w:sz="0" w:space="0" w:color="auto"/>
                                <w:left w:val="none" w:sz="0" w:space="0" w:color="auto"/>
                                <w:bottom w:val="none" w:sz="0" w:space="0" w:color="auto"/>
                                <w:right w:val="none" w:sz="0" w:space="0" w:color="auto"/>
                              </w:divBdr>
                              <w:divsChild>
                                <w:div w:id="1851555274">
                                  <w:marLeft w:val="0"/>
                                  <w:marRight w:val="0"/>
                                  <w:marTop w:val="0"/>
                                  <w:marBottom w:val="0"/>
                                  <w:divBdr>
                                    <w:top w:val="none" w:sz="0" w:space="0" w:color="auto"/>
                                    <w:left w:val="none" w:sz="0" w:space="0" w:color="auto"/>
                                    <w:bottom w:val="none" w:sz="0" w:space="0" w:color="auto"/>
                                    <w:right w:val="none" w:sz="0" w:space="0" w:color="auto"/>
                                  </w:divBdr>
                                  <w:divsChild>
                                    <w:div w:id="58292018">
                                      <w:marLeft w:val="0"/>
                                      <w:marRight w:val="0"/>
                                      <w:marTop w:val="0"/>
                                      <w:marBottom w:val="0"/>
                                      <w:divBdr>
                                        <w:top w:val="none" w:sz="0" w:space="0" w:color="auto"/>
                                        <w:left w:val="none" w:sz="0" w:space="0" w:color="auto"/>
                                        <w:bottom w:val="none" w:sz="0" w:space="0" w:color="auto"/>
                                        <w:right w:val="none" w:sz="0" w:space="0" w:color="auto"/>
                                      </w:divBdr>
                                      <w:divsChild>
                                        <w:div w:id="1764689430">
                                          <w:marLeft w:val="0"/>
                                          <w:marRight w:val="0"/>
                                          <w:marTop w:val="0"/>
                                          <w:marBottom w:val="0"/>
                                          <w:divBdr>
                                            <w:top w:val="none" w:sz="0" w:space="0" w:color="auto"/>
                                            <w:left w:val="none" w:sz="0" w:space="0" w:color="auto"/>
                                            <w:bottom w:val="none" w:sz="0" w:space="0" w:color="auto"/>
                                            <w:right w:val="none" w:sz="0" w:space="0" w:color="auto"/>
                                          </w:divBdr>
                                          <w:divsChild>
                                            <w:div w:id="248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621452">
      <w:bodyDiv w:val="1"/>
      <w:marLeft w:val="0"/>
      <w:marRight w:val="0"/>
      <w:marTop w:val="0"/>
      <w:marBottom w:val="0"/>
      <w:divBdr>
        <w:top w:val="none" w:sz="0" w:space="0" w:color="auto"/>
        <w:left w:val="none" w:sz="0" w:space="0" w:color="auto"/>
        <w:bottom w:val="none" w:sz="0" w:space="0" w:color="auto"/>
        <w:right w:val="none" w:sz="0" w:space="0" w:color="auto"/>
      </w:divBdr>
    </w:div>
    <w:div w:id="1807118117">
      <w:bodyDiv w:val="1"/>
      <w:marLeft w:val="0"/>
      <w:marRight w:val="0"/>
      <w:marTop w:val="0"/>
      <w:marBottom w:val="0"/>
      <w:divBdr>
        <w:top w:val="none" w:sz="0" w:space="0" w:color="auto"/>
        <w:left w:val="none" w:sz="0" w:space="0" w:color="auto"/>
        <w:bottom w:val="none" w:sz="0" w:space="0" w:color="auto"/>
        <w:right w:val="none" w:sz="0" w:space="0" w:color="auto"/>
      </w:divBdr>
    </w:div>
    <w:div w:id="20778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infobycountry/vanuatu-statist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5808B2-02A2-48C4-A904-8E324713A92E}"/>
</file>

<file path=customXml/itemProps2.xml><?xml version="1.0" encoding="utf-8"?>
<ds:datastoreItem xmlns:ds="http://schemas.openxmlformats.org/officeDocument/2006/customXml" ds:itemID="{7F4FFD7D-7510-4E58-BF40-D0579FB5665C}"/>
</file>

<file path=customXml/itemProps3.xml><?xml version="1.0" encoding="utf-8"?>
<ds:datastoreItem xmlns:ds="http://schemas.openxmlformats.org/officeDocument/2006/customXml" ds:itemID="{FCB16D61-D66C-490E-ACE9-9ECB4A7A321D}"/>
</file>

<file path=customXml/itemProps4.xml><?xml version="1.0" encoding="utf-8"?>
<ds:datastoreItem xmlns:ds="http://schemas.openxmlformats.org/officeDocument/2006/customXml" ds:itemID="{0B16C530-EB8C-489C-B9BD-8A851D0188D7}"/>
</file>

<file path=docProps/app.xml><?xml version="1.0" encoding="utf-8"?>
<Properties xmlns="http://schemas.openxmlformats.org/officeDocument/2006/extended-properties" xmlns:vt="http://schemas.openxmlformats.org/officeDocument/2006/docPropsVTypes">
  <Template>Normal.dotm</Template>
  <TotalTime>0</TotalTime>
  <Pages>8</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2018-02-08T23:08:00Z</dcterms:created>
  <dcterms:modified xsi:type="dcterms:W3CDTF">2018-02-08T23:08:00Z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06ebb2f6-9ef4-4583-b51a-8056076cc47a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1154000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