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F1B514" w14:textId="77777777" w:rsidR="00CE0818" w:rsidRDefault="00CE0818" w:rsidP="008051FA">
      <w:bookmarkStart w:id="0" w:name="_Hlk25591603"/>
      <w:bookmarkEnd w:id="0"/>
    </w:p>
    <w:p w14:paraId="67BC8114" w14:textId="77777777" w:rsidR="008051FA" w:rsidRPr="00F86414" w:rsidRDefault="008051FA" w:rsidP="008051FA">
      <w:pPr>
        <w:rPr>
          <w:rFonts w:ascii="Oswald" w:hAnsi="Oswald" w:cs="Times New Roman (Body CS)"/>
          <w:bCs/>
          <w:color w:val="0E1428"/>
          <w:spacing w:val="120"/>
          <w:sz w:val="52"/>
          <w:szCs w:val="52"/>
        </w:rPr>
      </w:pPr>
      <w:proofErr w:type="spellStart"/>
      <w:r w:rsidRPr="008051FA">
        <w:rPr>
          <w:rFonts w:ascii="Oswald" w:hAnsi="Oswald" w:cs="Times New Roman (Body CS)"/>
          <w:bCs/>
          <w:color w:val="0E1428"/>
          <w:spacing w:val="120"/>
          <w:sz w:val="52"/>
          <w:szCs w:val="52"/>
        </w:rPr>
        <w:t>Stretem</w:t>
      </w:r>
      <w:proofErr w:type="spellEnd"/>
      <w:r w:rsidRPr="008051FA">
        <w:rPr>
          <w:rFonts w:ascii="Oswald" w:hAnsi="Oswald" w:cs="Times New Roman (Body CS)"/>
          <w:bCs/>
          <w:color w:val="0E1428"/>
          <w:spacing w:val="120"/>
          <w:sz w:val="52"/>
          <w:szCs w:val="52"/>
        </w:rPr>
        <w:t xml:space="preserve"> Rod </w:t>
      </w:r>
      <w:proofErr w:type="spellStart"/>
      <w:r w:rsidRPr="008051FA">
        <w:rPr>
          <w:rFonts w:ascii="Oswald" w:hAnsi="Oswald" w:cs="Times New Roman (Body CS)"/>
          <w:bCs/>
          <w:color w:val="0E1428"/>
          <w:spacing w:val="120"/>
          <w:sz w:val="52"/>
          <w:szCs w:val="52"/>
        </w:rPr>
        <w:t>blong</w:t>
      </w:r>
      <w:proofErr w:type="spellEnd"/>
      <w:r w:rsidRPr="008051FA">
        <w:rPr>
          <w:rFonts w:ascii="Oswald" w:hAnsi="Oswald" w:cs="Times New Roman (Body CS)"/>
          <w:bCs/>
          <w:color w:val="0E1428"/>
          <w:spacing w:val="120"/>
          <w:sz w:val="52"/>
          <w:szCs w:val="52"/>
        </w:rPr>
        <w:t xml:space="preserve"> </w:t>
      </w:r>
      <w:proofErr w:type="spellStart"/>
      <w:r w:rsidRPr="008051FA">
        <w:rPr>
          <w:rFonts w:ascii="Oswald" w:hAnsi="Oswald" w:cs="Times New Roman (Body CS)"/>
          <w:bCs/>
          <w:color w:val="0E1428"/>
          <w:spacing w:val="120"/>
          <w:sz w:val="52"/>
          <w:szCs w:val="52"/>
        </w:rPr>
        <w:t>Jastis</w:t>
      </w:r>
      <w:proofErr w:type="spellEnd"/>
      <w:r w:rsidRPr="008051FA">
        <w:rPr>
          <w:rFonts w:ascii="Oswald" w:hAnsi="Oswald" w:cs="Times New Roman (Body CS)"/>
          <w:bCs/>
          <w:color w:val="0E1428"/>
          <w:spacing w:val="120"/>
          <w:sz w:val="52"/>
          <w:szCs w:val="52"/>
        </w:rPr>
        <w:t xml:space="preserve"> </w:t>
      </w:r>
      <w:proofErr w:type="spellStart"/>
      <w:r w:rsidRPr="008051FA">
        <w:rPr>
          <w:rFonts w:ascii="Oswald" w:hAnsi="Oswald" w:cs="Times New Roman (Body CS)"/>
          <w:bCs/>
          <w:color w:val="0E1428"/>
          <w:spacing w:val="120"/>
          <w:sz w:val="52"/>
          <w:szCs w:val="52"/>
        </w:rPr>
        <w:t>mo</w:t>
      </w:r>
      <w:proofErr w:type="spellEnd"/>
      <w:r w:rsidRPr="008051FA">
        <w:rPr>
          <w:rFonts w:ascii="Oswald" w:hAnsi="Oswald" w:cs="Times New Roman (Body CS)"/>
          <w:bCs/>
          <w:color w:val="0E1428"/>
          <w:spacing w:val="120"/>
          <w:sz w:val="52"/>
          <w:szCs w:val="52"/>
        </w:rPr>
        <w:t xml:space="preserve"> </w:t>
      </w:r>
      <w:proofErr w:type="spellStart"/>
      <w:r w:rsidRPr="008051FA">
        <w:rPr>
          <w:rFonts w:ascii="Oswald" w:hAnsi="Oswald" w:cs="Times New Roman (Body CS)"/>
          <w:bCs/>
          <w:color w:val="0E1428"/>
          <w:spacing w:val="120"/>
          <w:sz w:val="52"/>
          <w:szCs w:val="52"/>
        </w:rPr>
        <w:t>Sefti</w:t>
      </w:r>
      <w:proofErr w:type="spellEnd"/>
      <w:r w:rsidRPr="008051FA">
        <w:rPr>
          <w:rFonts w:ascii="Oswald" w:hAnsi="Oswald" w:cs="Times New Roman (Body CS)"/>
          <w:bCs/>
          <w:color w:val="0E1428"/>
          <w:spacing w:val="120"/>
          <w:sz w:val="52"/>
          <w:szCs w:val="52"/>
        </w:rPr>
        <w:t xml:space="preserve"> </w:t>
      </w:r>
      <w:bookmarkStart w:id="1" w:name="_Hlk19812796"/>
      <w:r>
        <w:rPr>
          <w:rFonts w:ascii="Oswald" w:hAnsi="Oswald" w:cs="Times New Roman (Body CS)"/>
          <w:bCs/>
          <w:color w:val="0E1428"/>
          <w:spacing w:val="120"/>
          <w:sz w:val="52"/>
          <w:szCs w:val="52"/>
        </w:rPr>
        <w:t>2017-2020</w:t>
      </w:r>
    </w:p>
    <w:p w14:paraId="45B0BAAD" w14:textId="77777777" w:rsidR="008051FA" w:rsidRDefault="008051FA" w:rsidP="00516155">
      <w:pPr>
        <w:rPr>
          <w:rFonts w:ascii="Oswald" w:hAnsi="Oswald" w:cs="Times New Roman (Body CS)"/>
          <w:bCs/>
          <w:color w:val="0E1428"/>
          <w:spacing w:val="120"/>
          <w:sz w:val="52"/>
          <w:szCs w:val="52"/>
        </w:rPr>
      </w:pPr>
    </w:p>
    <w:p w14:paraId="27F65398" w14:textId="77777777" w:rsidR="00516155" w:rsidRDefault="00CE0818" w:rsidP="00516155">
      <w:pPr>
        <w:rPr>
          <w:rFonts w:ascii="Oswald" w:hAnsi="Oswald" w:cs="Times New Roman (Body CS)"/>
          <w:bCs/>
          <w:color w:val="0E1428"/>
          <w:spacing w:val="120"/>
          <w:sz w:val="52"/>
          <w:szCs w:val="52"/>
        </w:rPr>
      </w:pPr>
      <w:r>
        <w:rPr>
          <w:rFonts w:ascii="Oswald" w:hAnsi="Oswald" w:cs="Times New Roman (Body CS)"/>
          <w:bCs/>
          <w:color w:val="0E1428"/>
          <w:spacing w:val="120"/>
          <w:sz w:val="52"/>
          <w:szCs w:val="52"/>
        </w:rPr>
        <w:t>Vanuatu-</w:t>
      </w:r>
      <w:r w:rsidR="008051FA">
        <w:rPr>
          <w:rFonts w:ascii="Oswald" w:hAnsi="Oswald" w:cs="Times New Roman (Body CS)"/>
          <w:bCs/>
          <w:color w:val="0E1428"/>
          <w:spacing w:val="120"/>
          <w:sz w:val="52"/>
          <w:szCs w:val="52"/>
        </w:rPr>
        <w:t xml:space="preserve">Australia </w:t>
      </w:r>
      <w:r w:rsidR="00516155" w:rsidRPr="00F86414">
        <w:rPr>
          <w:rFonts w:ascii="Oswald" w:hAnsi="Oswald" w:cs="Times New Roman (Body CS)"/>
          <w:bCs/>
          <w:color w:val="0E1428"/>
          <w:spacing w:val="120"/>
          <w:sz w:val="52"/>
          <w:szCs w:val="52"/>
        </w:rPr>
        <w:t xml:space="preserve">Policing </w:t>
      </w:r>
      <w:r w:rsidR="00516155">
        <w:rPr>
          <w:rFonts w:ascii="Oswald" w:hAnsi="Oswald" w:cs="Times New Roman (Body CS)"/>
          <w:bCs/>
          <w:color w:val="0E1428"/>
          <w:spacing w:val="120"/>
          <w:sz w:val="52"/>
          <w:szCs w:val="52"/>
        </w:rPr>
        <w:t>a</w:t>
      </w:r>
      <w:r w:rsidR="00516155" w:rsidRPr="00F86414">
        <w:rPr>
          <w:rFonts w:ascii="Oswald" w:hAnsi="Oswald" w:cs="Times New Roman (Body CS)"/>
          <w:bCs/>
          <w:color w:val="0E1428"/>
          <w:spacing w:val="120"/>
          <w:sz w:val="52"/>
          <w:szCs w:val="52"/>
        </w:rPr>
        <w:t>nd Justice Progra</w:t>
      </w:r>
      <w:r w:rsidR="008051FA">
        <w:rPr>
          <w:rFonts w:ascii="Oswald" w:hAnsi="Oswald" w:cs="Times New Roman (Body CS)"/>
          <w:bCs/>
          <w:color w:val="0E1428"/>
          <w:spacing w:val="120"/>
          <w:sz w:val="52"/>
          <w:szCs w:val="52"/>
        </w:rPr>
        <w:t xml:space="preserve">m </w:t>
      </w:r>
      <w:r>
        <w:rPr>
          <w:rFonts w:ascii="Oswald" w:hAnsi="Oswald" w:cs="Times New Roman (Body CS)"/>
          <w:bCs/>
          <w:color w:val="0E1428"/>
          <w:spacing w:val="120"/>
          <w:sz w:val="52"/>
          <w:szCs w:val="52"/>
        </w:rPr>
        <w:t xml:space="preserve"> </w:t>
      </w:r>
    </w:p>
    <w:bookmarkEnd w:id="1"/>
    <w:p w14:paraId="2FF1B268" w14:textId="77777777" w:rsidR="00516155" w:rsidRDefault="00516155" w:rsidP="00516155">
      <w:pPr>
        <w:rPr>
          <w:rFonts w:ascii="Oswald" w:hAnsi="Oswald" w:cs="Times New Roman (Body CS)"/>
          <w:b/>
          <w:color w:val="0E1428"/>
          <w:spacing w:val="120"/>
          <w:sz w:val="48"/>
          <w:szCs w:val="48"/>
        </w:rPr>
      </w:pPr>
    </w:p>
    <w:p w14:paraId="6655FE7F" w14:textId="77777777" w:rsidR="00951581" w:rsidRDefault="00951581" w:rsidP="00516155">
      <w:pPr>
        <w:rPr>
          <w:rFonts w:ascii="Oswald" w:hAnsi="Oswald" w:cs="Times New Roman (Body CS)"/>
          <w:b/>
          <w:color w:val="0E1428"/>
          <w:spacing w:val="120"/>
          <w:sz w:val="48"/>
          <w:szCs w:val="48"/>
        </w:rPr>
      </w:pPr>
    </w:p>
    <w:p w14:paraId="0C112941" w14:textId="77777777" w:rsidR="00CE0818" w:rsidRDefault="00CE0818" w:rsidP="00516155">
      <w:pPr>
        <w:rPr>
          <w:rFonts w:ascii="Oswald" w:hAnsi="Oswald" w:cs="Times New Roman (Body CS)"/>
          <w:b/>
          <w:color w:val="0E1428"/>
          <w:spacing w:val="120"/>
          <w:sz w:val="48"/>
          <w:szCs w:val="48"/>
        </w:rPr>
      </w:pPr>
    </w:p>
    <w:p w14:paraId="0968514C" w14:textId="77777777" w:rsidR="00516155" w:rsidRPr="00762ABA" w:rsidRDefault="00951581" w:rsidP="00516155">
      <w:pPr>
        <w:rPr>
          <w:rFonts w:ascii="Oswald" w:hAnsi="Oswald" w:cs="Times New Roman (Body CS)"/>
          <w:b/>
          <w:color w:val="0E1428"/>
          <w:spacing w:val="120"/>
          <w:sz w:val="48"/>
          <w:szCs w:val="48"/>
        </w:rPr>
      </w:pPr>
      <w:r w:rsidRPr="00AD5BE1">
        <w:rPr>
          <w:rFonts w:ascii="Oswald" w:hAnsi="Oswald" w:cs="Times New Roman (Body CS)"/>
          <w:b/>
          <w:noProof/>
          <w:color w:val="0E1428"/>
          <w:spacing w:val="120"/>
          <w:sz w:val="52"/>
          <w:szCs w:val="52"/>
          <w:lang w:eastAsia="en-AU"/>
        </w:rPr>
        <mc:AlternateContent>
          <mc:Choice Requires="wps">
            <w:drawing>
              <wp:anchor distT="0" distB="0" distL="114300" distR="114300" simplePos="0" relativeHeight="251660288" behindDoc="0" locked="0" layoutInCell="1" allowOverlap="1" wp14:anchorId="637A8C77" wp14:editId="6F6B999B">
                <wp:simplePos x="0" y="0"/>
                <wp:positionH relativeFrom="column">
                  <wp:posOffset>-57150</wp:posOffset>
                </wp:positionH>
                <wp:positionV relativeFrom="paragraph">
                  <wp:posOffset>187960</wp:posOffset>
                </wp:positionV>
                <wp:extent cx="5592445" cy="847725"/>
                <wp:effectExtent l="0" t="0" r="0" b="0"/>
                <wp:wrapNone/>
                <wp:docPr id="38" name="Text Box 38"/>
                <wp:cNvGraphicFramePr/>
                <a:graphic xmlns:a="http://schemas.openxmlformats.org/drawingml/2006/main">
                  <a:graphicData uri="http://schemas.microsoft.com/office/word/2010/wordprocessingShape">
                    <wps:wsp>
                      <wps:cNvSpPr txBox="1"/>
                      <wps:spPr>
                        <a:xfrm>
                          <a:off x="0" y="0"/>
                          <a:ext cx="5592445" cy="847725"/>
                        </a:xfrm>
                        <a:prstGeom prst="rect">
                          <a:avLst/>
                        </a:prstGeom>
                        <a:noFill/>
                        <a:ln w="6350">
                          <a:noFill/>
                        </a:ln>
                      </wps:spPr>
                      <wps:txbx>
                        <w:txbxContent>
                          <w:p w14:paraId="634EFDF8" w14:textId="77777777" w:rsidR="00705D48" w:rsidRPr="006C21C3" w:rsidRDefault="00705D48" w:rsidP="00516155">
                            <w:pPr>
                              <w:pStyle w:val="Subheading"/>
                              <w:rPr>
                                <w:rStyle w:val="MajorHeading"/>
                                <w:b w:val="0"/>
                                <w:color w:val="EB8C30"/>
                              </w:rPr>
                            </w:pPr>
                            <w:bookmarkStart w:id="2" w:name="_GoBack"/>
                            <w:r>
                              <w:rPr>
                                <w:rStyle w:val="MajorHeading"/>
                                <w:color w:val="EB8C30"/>
                              </w:rPr>
                              <w:t>Evaluation</w:t>
                            </w:r>
                            <w:r w:rsidRPr="006C21C3">
                              <w:rPr>
                                <w:rStyle w:val="MajorHeading"/>
                                <w:color w:val="EB8C30"/>
                              </w:rPr>
                              <w:t xml:space="preserve"> </w:t>
                            </w:r>
                            <w:r>
                              <w:rPr>
                                <w:rStyle w:val="MajorHeading"/>
                                <w:color w:val="EB8C30"/>
                              </w:rPr>
                              <w:t>Report</w:t>
                            </w:r>
                            <w:bookmarkEnd w:id="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37A8C77" id="_x0000_t202" coordsize="21600,21600" o:spt="202" path="m,l,21600r21600,l21600,xe">
                <v:stroke joinstyle="miter"/>
                <v:path gradientshapeok="t" o:connecttype="rect"/>
              </v:shapetype>
              <v:shape id="Text Box 38" o:spid="_x0000_s1026" type="#_x0000_t202" style="position:absolute;margin-left:-4.5pt;margin-top:14.8pt;width:440.35pt;height:6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" filled="f" stroked="f" strokeweight=".5pt">
                <v:textbox>
                  <w:txbxContent>
                    <w:p w14:paraId="634EFDF8" w14:textId="77777777" w:rsidR="00705D48" w:rsidRPr="006C21C3" w:rsidRDefault="00705D48" w:rsidP="00516155">
                      <w:pPr>
                        <w:pStyle w:val="Subheading"/>
                        <w:rPr>
                          <w:rStyle w:val="MajorHeading"/>
                          <w:b w:val="0"/>
                          <w:color w:val="EB8C30"/>
                        </w:rPr>
                      </w:pPr>
                      <w:r>
                        <w:rPr>
                          <w:rStyle w:val="MajorHeading"/>
                          <w:color w:val="EB8C30"/>
                        </w:rPr>
                        <w:t>Evaluation</w:t>
                      </w:r>
                      <w:r w:rsidRPr="006C21C3">
                        <w:rPr>
                          <w:rStyle w:val="MajorHeading"/>
                          <w:color w:val="EB8C30"/>
                        </w:rPr>
                        <w:t xml:space="preserve"> </w:t>
                      </w:r>
                      <w:r>
                        <w:rPr>
                          <w:rStyle w:val="MajorHeading"/>
                          <w:color w:val="EB8C30"/>
                        </w:rPr>
                        <w:t>Report</w:t>
                      </w:r>
                    </w:p>
                  </w:txbxContent>
                </v:textbox>
              </v:shape>
            </w:pict>
          </mc:Fallback>
        </mc:AlternateContent>
      </w:r>
    </w:p>
    <w:p w14:paraId="02038A4F" w14:textId="77777777" w:rsidR="00516155" w:rsidRDefault="00516155" w:rsidP="00516155">
      <w:pPr>
        <w:rPr>
          <w:rFonts w:ascii="Oswald" w:hAnsi="Oswald" w:cs="Times New Roman (Body CS)"/>
          <w:b/>
          <w:color w:val="0E1428"/>
          <w:spacing w:val="120"/>
          <w:sz w:val="52"/>
          <w:szCs w:val="52"/>
        </w:rPr>
      </w:pPr>
    </w:p>
    <w:p w14:paraId="5CDDA6EE" w14:textId="77777777" w:rsidR="00516155" w:rsidRDefault="00516155" w:rsidP="00516155">
      <w:pPr>
        <w:rPr>
          <w:rFonts w:ascii="Oswald" w:hAnsi="Oswald" w:cs="Times New Roman (Body CS)"/>
          <w:b/>
          <w:color w:val="0E1428"/>
          <w:spacing w:val="120"/>
          <w:sz w:val="52"/>
          <w:szCs w:val="52"/>
        </w:rPr>
      </w:pPr>
      <w:r w:rsidRPr="00AD5BE1">
        <w:rPr>
          <w:rFonts w:ascii="Oswald" w:hAnsi="Oswald" w:cs="Times New Roman (Body CS)"/>
          <w:b/>
          <w:noProof/>
          <w:color w:val="0E1428"/>
          <w:spacing w:val="120"/>
          <w:sz w:val="52"/>
          <w:szCs w:val="52"/>
          <w:lang w:eastAsia="en-AU"/>
        </w:rPr>
        <mc:AlternateContent>
          <mc:Choice Requires="wps">
            <w:drawing>
              <wp:anchor distT="0" distB="0" distL="114300" distR="114300" simplePos="0" relativeHeight="251661312" behindDoc="0" locked="0" layoutInCell="1" allowOverlap="1" wp14:anchorId="0DF0B597" wp14:editId="66731315">
                <wp:simplePos x="0" y="0"/>
                <wp:positionH relativeFrom="column">
                  <wp:posOffset>-108585</wp:posOffset>
                </wp:positionH>
                <wp:positionV relativeFrom="paragraph">
                  <wp:posOffset>353076</wp:posOffset>
                </wp:positionV>
                <wp:extent cx="4876800" cy="55372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4876800" cy="553720"/>
                        </a:xfrm>
                        <a:prstGeom prst="rect">
                          <a:avLst/>
                        </a:prstGeom>
                        <a:noFill/>
                        <a:ln w="6350">
                          <a:noFill/>
                        </a:ln>
                      </wps:spPr>
                      <wps:txbx>
                        <w:txbxContent>
                          <w:p w14:paraId="780282D1" w14:textId="77777777" w:rsidR="00705D48" w:rsidRPr="003A3AB5" w:rsidRDefault="00705D48" w:rsidP="00516155">
                            <w:pPr>
                              <w:pStyle w:val="Subheading"/>
                              <w:rPr>
                                <w:color w:val="auto"/>
                                <w:sz w:val="36"/>
                                <w:szCs w:val="36"/>
                              </w:rPr>
                            </w:pPr>
                            <w:r>
                              <w:rPr>
                                <w:color w:val="auto"/>
                                <w:sz w:val="36"/>
                                <w:szCs w:val="36"/>
                              </w:rPr>
                              <w:t>Final: 19 December</w:t>
                            </w:r>
                            <w:r w:rsidRPr="003A3AB5">
                              <w:rPr>
                                <w:color w:val="auto"/>
                                <w:sz w:val="36"/>
                                <w:szCs w:val="36"/>
                              </w:rPr>
                              <w:t xml:space="preserve"> 2019</w:t>
                            </w:r>
                          </w:p>
                          <w:p w14:paraId="13618C22" w14:textId="77777777" w:rsidR="00705D48" w:rsidRDefault="00705D48" w:rsidP="00516155">
                            <w:pPr>
                              <w:pStyle w:val="Subheading"/>
                              <w:rPr>
                                <w:sz w:val="36"/>
                                <w:szCs w:val="36"/>
                              </w:rPr>
                            </w:pPr>
                          </w:p>
                          <w:p w14:paraId="20499FBD" w14:textId="77777777" w:rsidR="00705D48" w:rsidRPr="006C21C3" w:rsidRDefault="00705D48" w:rsidP="00516155">
                            <w:pPr>
                              <w:pStyle w:val="Subheading"/>
                              <w:rPr>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F0B597" id="Text Box 40" o:spid="_x0000_s1027" type="#_x0000_t202" style="position:absolute;margin-left:-8.55pt;margin-top:27.8pt;width:384pt;height:4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" filled="f" stroked="f" strokeweight=".5pt">
                <v:textbox>
                  <w:txbxContent>
                    <w:p w14:paraId="780282D1" w14:textId="77777777" w:rsidR="00705D48" w:rsidRPr="003A3AB5" w:rsidRDefault="00705D48" w:rsidP="00516155">
                      <w:pPr>
                        <w:pStyle w:val="Subheading"/>
                        <w:rPr>
                          <w:color w:val="auto"/>
                          <w:sz w:val="36"/>
                          <w:szCs w:val="36"/>
                        </w:rPr>
                      </w:pPr>
                      <w:r>
                        <w:rPr>
                          <w:color w:val="auto"/>
                          <w:sz w:val="36"/>
                          <w:szCs w:val="36"/>
                        </w:rPr>
                        <w:t>Final: 19 December</w:t>
                      </w:r>
                      <w:r w:rsidRPr="003A3AB5">
                        <w:rPr>
                          <w:color w:val="auto"/>
                          <w:sz w:val="36"/>
                          <w:szCs w:val="36"/>
                        </w:rPr>
                        <w:t xml:space="preserve"> 2019</w:t>
                      </w:r>
                    </w:p>
                    <w:p w14:paraId="13618C22" w14:textId="77777777" w:rsidR="00705D48" w:rsidRDefault="00705D48" w:rsidP="00516155">
                      <w:pPr>
                        <w:pStyle w:val="Subheading"/>
                        <w:rPr>
                          <w:sz w:val="36"/>
                          <w:szCs w:val="36"/>
                        </w:rPr>
                      </w:pPr>
                    </w:p>
                    <w:p w14:paraId="20499FBD" w14:textId="77777777" w:rsidR="00705D48" w:rsidRPr="006C21C3" w:rsidRDefault="00705D48" w:rsidP="00516155">
                      <w:pPr>
                        <w:pStyle w:val="Subheading"/>
                        <w:rPr>
                          <w:sz w:val="36"/>
                          <w:szCs w:val="36"/>
                        </w:rPr>
                      </w:pPr>
                    </w:p>
                  </w:txbxContent>
                </v:textbox>
              </v:shape>
            </w:pict>
          </mc:Fallback>
        </mc:AlternateContent>
      </w:r>
    </w:p>
    <w:p w14:paraId="3E59D513" w14:textId="77777777" w:rsidR="00516155" w:rsidRPr="003A3AB5" w:rsidRDefault="00516155" w:rsidP="00516155">
      <w:pPr>
        <w:rPr>
          <w:rFonts w:ascii="Oswald" w:hAnsi="Oswald" w:cs="Times New Roman (Body CS)"/>
          <w:b/>
          <w:spacing w:val="120"/>
          <w:sz w:val="52"/>
          <w:szCs w:val="52"/>
        </w:rPr>
      </w:pPr>
    </w:p>
    <w:p w14:paraId="175017DD" w14:textId="77777777" w:rsidR="00516155" w:rsidRDefault="00516155" w:rsidP="00516155">
      <w:pPr>
        <w:rPr>
          <w:sz w:val="24"/>
          <w:szCs w:val="24"/>
        </w:rPr>
      </w:pPr>
    </w:p>
    <w:p w14:paraId="76B04A94" w14:textId="77777777" w:rsidR="00516155" w:rsidRDefault="00516155" w:rsidP="00516155">
      <w:pPr>
        <w:rPr>
          <w:sz w:val="24"/>
          <w:szCs w:val="24"/>
        </w:rPr>
      </w:pPr>
    </w:p>
    <w:p w14:paraId="642A130A" w14:textId="77777777" w:rsidR="00516155" w:rsidRDefault="00516155" w:rsidP="00516155">
      <w:pPr>
        <w:rPr>
          <w:sz w:val="24"/>
          <w:szCs w:val="24"/>
        </w:rPr>
      </w:pPr>
    </w:p>
    <w:p w14:paraId="3D294977" w14:textId="77777777" w:rsidR="00516155" w:rsidRDefault="00516155" w:rsidP="00516155">
      <w:pPr>
        <w:rPr>
          <w:sz w:val="24"/>
          <w:szCs w:val="24"/>
        </w:rPr>
      </w:pPr>
    </w:p>
    <w:p w14:paraId="73F4241B" w14:textId="77777777" w:rsidR="00516155" w:rsidRDefault="00516155" w:rsidP="00516155">
      <w:pPr>
        <w:rPr>
          <w:sz w:val="24"/>
          <w:szCs w:val="24"/>
        </w:rPr>
      </w:pPr>
    </w:p>
    <w:p w14:paraId="781A23C1" w14:textId="77777777" w:rsidR="00516155" w:rsidRDefault="00516155" w:rsidP="00516155">
      <w:pPr>
        <w:rPr>
          <w:sz w:val="24"/>
          <w:szCs w:val="24"/>
        </w:rPr>
      </w:pPr>
    </w:p>
    <w:p w14:paraId="1DDA9E5F" w14:textId="77777777" w:rsidR="00516155" w:rsidRPr="00516155" w:rsidRDefault="00516155" w:rsidP="00516155">
      <w:pPr>
        <w:rPr>
          <w:sz w:val="24"/>
          <w:szCs w:val="24"/>
        </w:rPr>
      </w:pPr>
      <w:r w:rsidRPr="00516155">
        <w:rPr>
          <w:sz w:val="24"/>
          <w:szCs w:val="24"/>
        </w:rPr>
        <w:t xml:space="preserve">This report has been prepared by Paul Nichols, Leigh Toomey and Michelle </w:t>
      </w:r>
      <w:proofErr w:type="spellStart"/>
      <w:r w:rsidRPr="00516155">
        <w:rPr>
          <w:sz w:val="24"/>
          <w:szCs w:val="24"/>
        </w:rPr>
        <w:t>Besley</w:t>
      </w:r>
      <w:proofErr w:type="spellEnd"/>
      <w:r w:rsidRPr="00516155">
        <w:rPr>
          <w:sz w:val="24"/>
          <w:szCs w:val="24"/>
        </w:rPr>
        <w:t xml:space="preserve"> (Praxis Consultants Pty Ltd)</w:t>
      </w:r>
      <w:r>
        <w:rPr>
          <w:sz w:val="24"/>
          <w:szCs w:val="24"/>
        </w:rPr>
        <w:t xml:space="preserve">, </w:t>
      </w:r>
      <w:r w:rsidRPr="00516155">
        <w:rPr>
          <w:sz w:val="24"/>
          <w:szCs w:val="24"/>
        </w:rPr>
        <w:t>Bertha Pakoasongi (DFAT Post Vanuatu) and Patrick Hagan (AFP)</w:t>
      </w:r>
    </w:p>
    <w:p w14:paraId="66FA74B5" w14:textId="77777777" w:rsidR="00516155" w:rsidRPr="00516155" w:rsidRDefault="00516155" w:rsidP="00516155">
      <w:pPr>
        <w:rPr>
          <w:sz w:val="24"/>
          <w:szCs w:val="24"/>
        </w:rPr>
      </w:pPr>
    </w:p>
    <w:p w14:paraId="315C278F" w14:textId="77777777" w:rsidR="0043041E" w:rsidRPr="005B4E54" w:rsidRDefault="0043041E" w:rsidP="00EC45D6">
      <w:pPr>
        <w:pBdr>
          <w:bottom w:val="single" w:sz="4" w:space="10" w:color="44546A" w:themeColor="text2"/>
        </w:pBdr>
        <w:shd w:val="clear" w:color="auto" w:fill="FFFFFF" w:themeFill="background1"/>
        <w:spacing w:before="400" w:after="280" w:line="240" w:lineRule="auto"/>
        <w:outlineLvl w:val="1"/>
        <w:rPr>
          <w:rFonts w:ascii="Calibri" w:eastAsia="MS Gothic" w:hAnsi="Calibri" w:cs="Times New Roman"/>
          <w:b/>
          <w:bCs/>
          <w:color w:val="44546A" w:themeColor="text2"/>
          <w:sz w:val="40"/>
          <w:szCs w:val="40"/>
        </w:rPr>
      </w:pPr>
      <w:bookmarkStart w:id="3" w:name="_Toc423711117"/>
      <w:bookmarkStart w:id="4" w:name="_Toc2772935"/>
      <w:bookmarkStart w:id="5" w:name="_Toc25591515"/>
      <w:r w:rsidRPr="005B4E54">
        <w:rPr>
          <w:rFonts w:ascii="Calibri" w:eastAsia="MS Gothic" w:hAnsi="Calibri" w:cs="Times New Roman"/>
          <w:b/>
          <w:bCs/>
          <w:color w:val="44546A" w:themeColor="text2"/>
          <w:sz w:val="40"/>
          <w:szCs w:val="40"/>
        </w:rPr>
        <w:lastRenderedPageBreak/>
        <w:t>Executive Summary</w:t>
      </w:r>
      <w:bookmarkEnd w:id="3"/>
      <w:bookmarkEnd w:id="4"/>
      <w:bookmarkEnd w:id="5"/>
    </w:p>
    <w:p w14:paraId="376670B1" w14:textId="77777777" w:rsidR="00D94E03" w:rsidRDefault="00362913" w:rsidP="00C75935">
      <w:pPr>
        <w:shd w:val="clear" w:color="auto" w:fill="FFFFFF" w:themeFill="background1"/>
        <w:spacing w:line="240" w:lineRule="auto"/>
        <w:jc w:val="both"/>
      </w:pPr>
      <w:bookmarkStart w:id="6" w:name="_Toc442302709"/>
      <w:bookmarkStart w:id="7" w:name="_Toc455611571"/>
      <w:bookmarkStart w:id="8" w:name="_Toc455611984"/>
      <w:bookmarkStart w:id="9" w:name="_Toc457305153"/>
      <w:bookmarkStart w:id="10" w:name="_Hlk1741089"/>
      <w:proofErr w:type="spellStart"/>
      <w:r w:rsidRPr="00B87B8B">
        <w:t>Stretem</w:t>
      </w:r>
      <w:proofErr w:type="spellEnd"/>
      <w:r w:rsidRPr="00B87B8B">
        <w:t xml:space="preserve"> Rod </w:t>
      </w:r>
      <w:proofErr w:type="spellStart"/>
      <w:r w:rsidRPr="00B87B8B">
        <w:t>blong</w:t>
      </w:r>
      <w:proofErr w:type="spellEnd"/>
      <w:r w:rsidRPr="00B87B8B">
        <w:t xml:space="preserve"> </w:t>
      </w:r>
      <w:proofErr w:type="spellStart"/>
      <w:r w:rsidRPr="00B87B8B">
        <w:t>Jastis</w:t>
      </w:r>
      <w:proofErr w:type="spellEnd"/>
      <w:r w:rsidRPr="00B87B8B">
        <w:t xml:space="preserve"> </w:t>
      </w:r>
      <w:proofErr w:type="spellStart"/>
      <w:r w:rsidRPr="00B87B8B">
        <w:t>mo</w:t>
      </w:r>
      <w:proofErr w:type="spellEnd"/>
      <w:r w:rsidRPr="00B87B8B">
        <w:t xml:space="preserve"> </w:t>
      </w:r>
      <w:proofErr w:type="spellStart"/>
      <w:r w:rsidRPr="00B87B8B">
        <w:t>Sefti</w:t>
      </w:r>
      <w:proofErr w:type="spellEnd"/>
      <w:r w:rsidRPr="00B87B8B">
        <w:t xml:space="preserve"> (SRBJS)</w:t>
      </w:r>
      <w:r>
        <w:rPr>
          <w:rStyle w:val="FootnoteReference"/>
        </w:rPr>
        <w:footnoteReference w:id="1"/>
      </w:r>
      <w:r>
        <w:t xml:space="preserve">, “the Program”, </w:t>
      </w:r>
      <w:r w:rsidRPr="00B87B8B">
        <w:t xml:space="preserve">is a $24 million </w:t>
      </w:r>
      <w:proofErr w:type="gramStart"/>
      <w:r w:rsidRPr="00B87B8B">
        <w:t>program,</w:t>
      </w:r>
      <w:r>
        <w:t xml:space="preserve"> that</w:t>
      </w:r>
      <w:proofErr w:type="gramEnd"/>
      <w:r>
        <w:t xml:space="preserve"> runs from </w:t>
      </w:r>
      <w:r w:rsidRPr="00715A7C">
        <w:t>1 January 2017 - 31 December 2020</w:t>
      </w:r>
      <w:r>
        <w:t>.</w:t>
      </w:r>
      <w:r w:rsidR="00DD6C13">
        <w:t xml:space="preserve"> With</w:t>
      </w:r>
      <w:r>
        <w:t xml:space="preserve"> </w:t>
      </w:r>
      <w:r w:rsidR="00DD6C13">
        <w:t>a focus on access and delivery of quality services for the most vulnerable (women, children, youth and persons with disabilities), t</w:t>
      </w:r>
      <w:r>
        <w:t>he Program’s</w:t>
      </w:r>
      <w:r w:rsidRPr="00B87B8B">
        <w:t xml:space="preserve"> goal is to improve policing, justice and community services in Vanuatu. </w:t>
      </w:r>
      <w:r w:rsidR="00D94E03">
        <w:t xml:space="preserve">It is implemented in an innovative hybrid implementation modality </w:t>
      </w:r>
      <w:r>
        <w:t>with</w:t>
      </w:r>
      <w:r w:rsidR="00D94E03">
        <w:t xml:space="preserve"> a </w:t>
      </w:r>
      <w:r>
        <w:t>Managing</w:t>
      </w:r>
      <w:r w:rsidR="00D94E03">
        <w:t xml:space="preserve"> Contractor and</w:t>
      </w:r>
      <w:r>
        <w:t xml:space="preserve"> </w:t>
      </w:r>
      <w:r w:rsidR="00D94E03">
        <w:t>direct</w:t>
      </w:r>
      <w:r>
        <w:t xml:space="preserve"> AFP</w:t>
      </w:r>
      <w:r w:rsidR="00D94E03">
        <w:t xml:space="preserve"> implementation</w:t>
      </w:r>
      <w:r w:rsidR="00E41B3C">
        <w:t>,</w:t>
      </w:r>
      <w:r w:rsidR="00D94E03">
        <w:t xml:space="preserve"> working together </w:t>
      </w:r>
      <w:r w:rsidR="00DD6C13">
        <w:t>u</w:t>
      </w:r>
      <w:r w:rsidR="00D94E03">
        <w:t>nder one overall design and</w:t>
      </w:r>
      <w:r w:rsidR="00BD4B45">
        <w:t xml:space="preserve"> two </w:t>
      </w:r>
      <w:r w:rsidR="00D94E03">
        <w:t>governance mechanism</w:t>
      </w:r>
      <w:r w:rsidR="00BD4B45">
        <w:t>s (Program Management Groups for both police and justice).</w:t>
      </w:r>
      <w:r w:rsidR="00D94E03">
        <w:t xml:space="preserve">    </w:t>
      </w:r>
    </w:p>
    <w:p w14:paraId="6FFE04AC" w14:textId="77777777" w:rsidR="00D94E03" w:rsidRPr="00BD4B45" w:rsidRDefault="00D94E03" w:rsidP="00C75935">
      <w:pPr>
        <w:shd w:val="clear" w:color="auto" w:fill="FFFFFF" w:themeFill="background1"/>
        <w:spacing w:line="240" w:lineRule="auto"/>
        <w:jc w:val="both"/>
        <w:rPr>
          <w:rFonts w:ascii="Calibri" w:eastAsia="Calibri" w:hAnsi="Calibri" w:cs="DaunPenh"/>
        </w:rPr>
      </w:pPr>
      <w:r>
        <w:t>An</w:t>
      </w:r>
      <w:r w:rsidRPr="002162D2">
        <w:t xml:space="preserve"> </w:t>
      </w:r>
      <w:r>
        <w:t xml:space="preserve">independent </w:t>
      </w:r>
      <w:r w:rsidRPr="002162D2">
        <w:t xml:space="preserve">evaluation team </w:t>
      </w:r>
      <w:r>
        <w:t>comprising policing, justice</w:t>
      </w:r>
      <w:r w:rsidR="00CE0818">
        <w:t>, development</w:t>
      </w:r>
      <w:r>
        <w:t xml:space="preserve"> and</w:t>
      </w:r>
      <w:r w:rsidR="00CE0818">
        <w:t xml:space="preserve"> evaluation</w:t>
      </w:r>
      <w:r>
        <w:t xml:space="preserve"> specialists </w:t>
      </w:r>
      <w:r w:rsidRPr="002162D2">
        <w:t xml:space="preserve">undertook a </w:t>
      </w:r>
      <w:r>
        <w:t>mission</w:t>
      </w:r>
      <w:r w:rsidRPr="002162D2">
        <w:t xml:space="preserve"> to Vanuatu from 26 August to 6 September 2019, carrying out consultations with stakeholders in </w:t>
      </w:r>
      <w:r w:rsidRPr="00393F6C">
        <w:rPr>
          <w:rFonts w:ascii="Calibri" w:eastAsia="Calibri" w:hAnsi="Calibri" w:cs="DaunPenh"/>
        </w:rPr>
        <w:t>Port Vila</w:t>
      </w:r>
      <w:r>
        <w:rPr>
          <w:rFonts w:ascii="Calibri" w:eastAsia="Calibri" w:hAnsi="Calibri" w:cs="DaunPenh"/>
        </w:rPr>
        <w:t xml:space="preserve"> and surrounding communities (Olin</w:t>
      </w:r>
      <w:r w:rsidR="000F3423">
        <w:rPr>
          <w:rFonts w:ascii="Calibri" w:eastAsia="Calibri" w:hAnsi="Calibri" w:cs="DaunPenh"/>
        </w:rPr>
        <w:t>,</w:t>
      </w:r>
      <w:r>
        <w:rPr>
          <w:rFonts w:ascii="Calibri" w:eastAsia="Calibri" w:hAnsi="Calibri" w:cs="DaunPenh"/>
        </w:rPr>
        <w:t xml:space="preserve"> </w:t>
      </w:r>
      <w:r>
        <w:t xml:space="preserve">Tokyo </w:t>
      </w:r>
      <w:proofErr w:type="spellStart"/>
      <w:r>
        <w:t>Buninga</w:t>
      </w:r>
      <w:proofErr w:type="spellEnd"/>
      <w:r w:rsidR="000F3423">
        <w:t xml:space="preserve"> and </w:t>
      </w:r>
      <w:proofErr w:type="spellStart"/>
      <w:r w:rsidR="000F3423">
        <w:t>Blacksands</w:t>
      </w:r>
      <w:proofErr w:type="spellEnd"/>
      <w:r>
        <w:rPr>
          <w:rFonts w:ascii="Calibri" w:eastAsia="Calibri" w:hAnsi="Calibri" w:cs="DaunPenh"/>
        </w:rPr>
        <w:t xml:space="preserve">) </w:t>
      </w:r>
      <w:r w:rsidRPr="00393F6C">
        <w:rPr>
          <w:rFonts w:ascii="Calibri" w:eastAsia="Calibri" w:hAnsi="Calibri" w:cs="DaunPenh"/>
        </w:rPr>
        <w:t>and Santo</w:t>
      </w:r>
      <w:r>
        <w:rPr>
          <w:rFonts w:ascii="Calibri" w:eastAsia="Calibri" w:hAnsi="Calibri" w:cs="DaunPenh"/>
        </w:rPr>
        <w:t xml:space="preserve">. </w:t>
      </w:r>
      <w:r w:rsidR="00BD4B45">
        <w:rPr>
          <w:rFonts w:ascii="Calibri" w:eastAsia="Calibri" w:hAnsi="Calibri" w:cs="DaunPenh"/>
        </w:rPr>
        <w:t xml:space="preserve">The purpose of the evaluation is to </w:t>
      </w:r>
      <w:r w:rsidR="00BD4B45">
        <w:t>assess performance over the project period to date (2017-2019</w:t>
      </w:r>
      <w:r w:rsidR="00B7205C">
        <w:t>)</w:t>
      </w:r>
      <w:r w:rsidR="00BD4B45">
        <w:t xml:space="preserve"> and to recommend improvements to program delivery in the remaining period (2020). </w:t>
      </w:r>
      <w:r>
        <w:rPr>
          <w:rFonts w:ascii="Calibri" w:eastAsia="Calibri" w:hAnsi="Calibri" w:cs="DaunPenh"/>
        </w:rPr>
        <w:t>A series of interviews and small group discussions were held with government, program and civil society organisation stakeholders. Focus group discussions were carried out with community members, including with youth, women, men, chiefs and Authorised Persons</w:t>
      </w:r>
      <w:r w:rsidR="00B7205C">
        <w:rPr>
          <w:rFonts w:ascii="Calibri" w:eastAsia="Calibri" w:hAnsi="Calibri" w:cs="DaunPenh"/>
        </w:rPr>
        <w:t xml:space="preserve"> (APs)</w:t>
      </w:r>
      <w:r>
        <w:rPr>
          <w:rFonts w:ascii="Calibri" w:eastAsia="Calibri" w:hAnsi="Calibri" w:cs="DaunPenh"/>
        </w:rPr>
        <w:t xml:space="preserve">. </w:t>
      </w:r>
      <w:r w:rsidRPr="002162D2">
        <w:t xml:space="preserve">A </w:t>
      </w:r>
      <w:r w:rsidRPr="00E76AC2">
        <w:t>total of 121 stakeholders</w:t>
      </w:r>
      <w:r>
        <w:t xml:space="preserve"> participated in consultations.</w:t>
      </w:r>
    </w:p>
    <w:p w14:paraId="7F063A89" w14:textId="77777777" w:rsidR="002C18B6" w:rsidRDefault="00362913" w:rsidP="00403708">
      <w:pPr>
        <w:shd w:val="clear" w:color="auto" w:fill="FFFFFF" w:themeFill="background1"/>
        <w:spacing w:line="240" w:lineRule="auto"/>
        <w:jc w:val="both"/>
      </w:pPr>
      <w:r>
        <w:t>The Program operates in a changing policy, economy and security context</w:t>
      </w:r>
      <w:r w:rsidR="00E41B3C">
        <w:t xml:space="preserve">.  It </w:t>
      </w:r>
      <w:r>
        <w:t>was designed as an adaptive and iterative program</w:t>
      </w:r>
      <w:r w:rsidR="00806986">
        <w:t xml:space="preserve"> working towards overarching End of Program Outcomes (EOPOs)</w:t>
      </w:r>
      <w:r>
        <w:t xml:space="preserve">, with flexible annual planning, </w:t>
      </w:r>
      <w:r w:rsidR="00B7205C">
        <w:t>technical advisory (</w:t>
      </w:r>
      <w:r>
        <w:t>TA</w:t>
      </w:r>
      <w:r w:rsidR="00B7205C">
        <w:t>)</w:t>
      </w:r>
      <w:r>
        <w:t xml:space="preserve"> and funding mechanisms.  The most significant developments over the period include the l</w:t>
      </w:r>
      <w:r w:rsidRPr="00F078E6">
        <w:t xml:space="preserve">aunch </w:t>
      </w:r>
      <w:r>
        <w:t xml:space="preserve">of the </w:t>
      </w:r>
      <w:r w:rsidR="00B7205C">
        <w:t>Government of Vanuatu’s (</w:t>
      </w:r>
      <w:proofErr w:type="spellStart"/>
      <w:r>
        <w:t>GoV</w:t>
      </w:r>
      <w:proofErr w:type="spellEnd"/>
      <w:r w:rsidR="00B7205C">
        <w:t>)</w:t>
      </w:r>
      <w:r>
        <w:t xml:space="preserve"> </w:t>
      </w:r>
      <w:r w:rsidRPr="00F078E6">
        <w:t>first ever National Security Strategy,</w:t>
      </w:r>
      <w:r>
        <w:t xml:space="preserve"> commitments to </w:t>
      </w:r>
      <w:r w:rsidRPr="00691084">
        <w:t xml:space="preserve">increase </w:t>
      </w:r>
      <w:r w:rsidR="007B28E4">
        <w:t>Vanuatu Police Force (</w:t>
      </w:r>
      <w:r w:rsidRPr="00691084">
        <w:t>VPF</w:t>
      </w:r>
      <w:r w:rsidR="007B28E4">
        <w:t>)</w:t>
      </w:r>
      <w:r w:rsidRPr="00691084">
        <w:t xml:space="preserve"> operational capacity from 580 to 900 officers by 2020, </w:t>
      </w:r>
      <w:r>
        <w:t>and changes in l</w:t>
      </w:r>
      <w:r w:rsidRPr="00F078E6">
        <w:t>eadership</w:t>
      </w:r>
      <w:r>
        <w:t xml:space="preserve"> at political and operational levels in Vanuatu.  T</w:t>
      </w:r>
      <w:r w:rsidRPr="000C0DE5">
        <w:t xml:space="preserve">he </w:t>
      </w:r>
      <w:r>
        <w:t xml:space="preserve">Prime Ministers of Australia and Vanuatu </w:t>
      </w:r>
      <w:r w:rsidR="000F3423">
        <w:t xml:space="preserve">agreed </w:t>
      </w:r>
      <w:r>
        <w:t xml:space="preserve">a package of enhanced security cooperation between the two countries in 2018 </w:t>
      </w:r>
      <w:r w:rsidR="000F3423">
        <w:t>as part of</w:t>
      </w:r>
      <w:r>
        <w:t xml:space="preserve"> Australia’s Pacific Step Up</w:t>
      </w:r>
      <w:r w:rsidR="000F3423">
        <w:t>. This</w:t>
      </w:r>
      <w:r>
        <w:t xml:space="preserve"> enabl</w:t>
      </w:r>
      <w:r w:rsidR="000F3423">
        <w:t>ed</w:t>
      </w:r>
      <w:r>
        <w:t xml:space="preserve"> Australia to </w:t>
      </w:r>
      <w:r w:rsidR="000F3423">
        <w:t xml:space="preserve">further </w:t>
      </w:r>
      <w:r>
        <w:t xml:space="preserve">enhance its support though the </w:t>
      </w:r>
      <w:r w:rsidR="000F3423">
        <w:t>P</w:t>
      </w:r>
      <w:r>
        <w:t xml:space="preserve">rogram alongside </w:t>
      </w:r>
      <w:r w:rsidR="001B6F9A">
        <w:t>complementary</w:t>
      </w:r>
      <w:r>
        <w:t xml:space="preserve"> commitments </w:t>
      </w:r>
      <w:r w:rsidR="00E41B3C">
        <w:t>of</w:t>
      </w:r>
      <w:r>
        <w:t xml:space="preserve"> the Aus</w:t>
      </w:r>
      <w:r w:rsidR="001B6F9A">
        <w:t>t</w:t>
      </w:r>
      <w:r>
        <w:t xml:space="preserve">ralian Defence Force (ADF) to the Vanuatu </w:t>
      </w:r>
      <w:r w:rsidR="00902487">
        <w:t xml:space="preserve">Mobile </w:t>
      </w:r>
      <w:r>
        <w:t>Force (VMF, a branch of the VPF in their integrated policing and security structure).</w:t>
      </w:r>
      <w:r w:rsidR="00403708">
        <w:t xml:space="preserve"> The Program also seeks to respond to challenges in the justice context related to lack of sustainable operational budget</w:t>
      </w:r>
      <w:r w:rsidR="00806986">
        <w:t xml:space="preserve">, strengthen the capacity of key agencies, </w:t>
      </w:r>
      <w:r w:rsidR="00403708">
        <w:t xml:space="preserve">support agencies </w:t>
      </w:r>
      <w:r w:rsidR="00806986">
        <w:t xml:space="preserve">to </w:t>
      </w:r>
      <w:r w:rsidR="00403708">
        <w:t xml:space="preserve">work cross </w:t>
      </w:r>
      <w:proofErr w:type="spellStart"/>
      <w:r w:rsidR="00403708">
        <w:t>sectorally</w:t>
      </w:r>
      <w:proofErr w:type="spellEnd"/>
      <w:r w:rsidR="00403708">
        <w:t xml:space="preserve"> and strengthen</w:t>
      </w:r>
      <w:r w:rsidR="00806986">
        <w:t xml:space="preserve"> access to justice at a community level.</w:t>
      </w:r>
      <w:r w:rsidR="002C18B6">
        <w:t xml:space="preserve"> This is particularly important as v</w:t>
      </w:r>
      <w:r w:rsidR="002C18B6" w:rsidRPr="00F23B61">
        <w:t xml:space="preserve">ulnerable people including women, children and youth, particularly from remote and peri-urban areas, </w:t>
      </w:r>
      <w:r w:rsidR="002C18B6">
        <w:t>experience high levels of violence</w:t>
      </w:r>
      <w:r w:rsidR="00A85386">
        <w:t>.</w:t>
      </w:r>
      <w:r w:rsidR="00A85386" w:rsidRPr="00A85386">
        <w:t xml:space="preserve"> </w:t>
      </w:r>
      <w:r w:rsidR="00A85386" w:rsidRPr="00F23B61">
        <w:t>Vanuatu’s informal customary system is the means by which the majority of Ni-Vanuatu access justice</w:t>
      </w:r>
      <w:r w:rsidR="00A85386">
        <w:t xml:space="preserve">, with rural communities having limited </w:t>
      </w:r>
      <w:r w:rsidR="002C18B6" w:rsidRPr="00F23B61">
        <w:t>access to</w:t>
      </w:r>
      <w:r w:rsidR="002C18B6">
        <w:t xml:space="preserve"> formal</w:t>
      </w:r>
      <w:r w:rsidR="002C18B6" w:rsidRPr="00F23B61">
        <w:t xml:space="preserve"> justice</w:t>
      </w:r>
      <w:r w:rsidR="00A85386">
        <w:t xml:space="preserve">. </w:t>
      </w:r>
    </w:p>
    <w:p w14:paraId="2D0083F2" w14:textId="77777777" w:rsidR="000D396F" w:rsidRDefault="00E41B3C" w:rsidP="00C75935">
      <w:pPr>
        <w:shd w:val="clear" w:color="auto" w:fill="FFFFFF" w:themeFill="background1"/>
        <w:spacing w:line="240" w:lineRule="auto"/>
        <w:jc w:val="both"/>
      </w:pPr>
      <w:r>
        <w:t>The evaluation has seven major findings and associated recommendations.</w:t>
      </w:r>
    </w:p>
    <w:p w14:paraId="07D29D3B" w14:textId="77777777" w:rsidR="00E41B3C" w:rsidRPr="00E41B3C" w:rsidRDefault="00E41B3C" w:rsidP="00C75935">
      <w:pPr>
        <w:shd w:val="clear" w:color="auto" w:fill="FFFFFF" w:themeFill="background1"/>
        <w:spacing w:line="240" w:lineRule="auto"/>
        <w:jc w:val="both"/>
        <w:rPr>
          <w:b/>
          <w:bCs/>
        </w:rPr>
      </w:pPr>
      <w:r w:rsidRPr="00E41B3C">
        <w:rPr>
          <w:b/>
          <w:bCs/>
        </w:rPr>
        <w:t>Findings</w:t>
      </w:r>
    </w:p>
    <w:p w14:paraId="35E68A65" w14:textId="77777777" w:rsidR="00687860" w:rsidRDefault="00687860" w:rsidP="00E41B3C">
      <w:pPr>
        <w:numPr>
          <w:ilvl w:val="0"/>
          <w:numId w:val="3"/>
        </w:numPr>
        <w:spacing w:after="120" w:line="240" w:lineRule="auto"/>
        <w:ind w:left="0" w:firstLine="0"/>
        <w:jc w:val="both"/>
        <w:rPr>
          <w:rFonts w:ascii="Calibri" w:eastAsia="Calibri" w:hAnsi="Calibri" w:cs="Times New Roman"/>
        </w:rPr>
      </w:pPr>
      <w:bookmarkStart w:id="11" w:name="_Hlk95936"/>
      <w:r w:rsidRPr="00687860">
        <w:rPr>
          <w:rFonts w:ascii="Calibri" w:eastAsia="Calibri" w:hAnsi="Calibri" w:cs="Times New Roman"/>
        </w:rPr>
        <w:t xml:space="preserve">The </w:t>
      </w:r>
      <w:r w:rsidR="003922A1">
        <w:rPr>
          <w:rFonts w:ascii="Calibri" w:eastAsia="Calibri" w:hAnsi="Calibri" w:cs="Times New Roman"/>
        </w:rPr>
        <w:t>P</w:t>
      </w:r>
      <w:r w:rsidRPr="00687860">
        <w:rPr>
          <w:rFonts w:ascii="Calibri" w:eastAsia="Calibri" w:hAnsi="Calibri" w:cs="Times New Roman"/>
        </w:rPr>
        <w:t xml:space="preserve">rogram has achieved </w:t>
      </w:r>
      <w:r w:rsidRPr="001B6F9A">
        <w:rPr>
          <w:rFonts w:ascii="Calibri" w:eastAsia="Calibri" w:hAnsi="Calibri" w:cs="Times New Roman"/>
          <w:b/>
          <w:bCs/>
        </w:rPr>
        <w:t>significant progress in some important areas at systems, organisational and community level</w:t>
      </w:r>
      <w:r w:rsidR="001B6F9A">
        <w:rPr>
          <w:rFonts w:ascii="Calibri" w:eastAsia="Calibri" w:hAnsi="Calibri" w:cs="Times New Roman"/>
          <w:b/>
          <w:bCs/>
        </w:rPr>
        <w:t>s</w:t>
      </w:r>
      <w:r w:rsidRPr="001B6F9A">
        <w:rPr>
          <w:rFonts w:ascii="Calibri" w:eastAsia="Calibri" w:hAnsi="Calibri" w:cs="Times New Roman"/>
          <w:b/>
          <w:bCs/>
        </w:rPr>
        <w:t xml:space="preserve"> </w:t>
      </w:r>
      <w:r w:rsidRPr="00687860">
        <w:rPr>
          <w:rFonts w:ascii="Calibri" w:eastAsia="Calibri" w:hAnsi="Calibri" w:cs="Times New Roman"/>
        </w:rPr>
        <w:t xml:space="preserve">that is resulting in better justice for vulnerable people, particularly women, </w:t>
      </w:r>
      <w:r w:rsidR="00B7205C">
        <w:rPr>
          <w:rFonts w:ascii="Calibri" w:eastAsia="Calibri" w:hAnsi="Calibri" w:cs="Times New Roman"/>
        </w:rPr>
        <w:t>and</w:t>
      </w:r>
      <w:r w:rsidRPr="00687860">
        <w:rPr>
          <w:rFonts w:ascii="Calibri" w:eastAsia="Calibri" w:hAnsi="Calibri" w:cs="Times New Roman"/>
        </w:rPr>
        <w:t xml:space="preserve"> builds on previous efforts and phases of Australian assistance. Across the Program, good progress is being made given the underlying challenges in the operating environment that pose a challenge for sustainability. The Program could do more to respond to opportunities and constraints across and beyond the sector with the G</w:t>
      </w:r>
      <w:r w:rsidR="00CE0818">
        <w:rPr>
          <w:rFonts w:ascii="Calibri" w:eastAsia="Calibri" w:hAnsi="Calibri" w:cs="Times New Roman"/>
        </w:rPr>
        <w:t>overnment of Vanuatu</w:t>
      </w:r>
      <w:r w:rsidRPr="00687860">
        <w:rPr>
          <w:rFonts w:ascii="Calibri" w:eastAsia="Calibri" w:hAnsi="Calibri" w:cs="Times New Roman"/>
        </w:rPr>
        <w:t xml:space="preserve"> to address core issues of financing and human resources in the long term. </w:t>
      </w:r>
    </w:p>
    <w:p w14:paraId="685813BD" w14:textId="77777777" w:rsidR="001B6F9A" w:rsidRDefault="001B6F9A" w:rsidP="001B6F9A">
      <w:pPr>
        <w:spacing w:after="0" w:line="240" w:lineRule="auto"/>
        <w:ind w:left="360"/>
        <w:jc w:val="both"/>
      </w:pPr>
      <w:r w:rsidRPr="00A21635">
        <w:rPr>
          <w:b/>
          <w:bCs/>
        </w:rPr>
        <w:lastRenderedPageBreak/>
        <w:t>System level</w:t>
      </w:r>
      <w:r>
        <w:t xml:space="preserve"> achievements </w:t>
      </w:r>
      <w:r w:rsidR="00806986">
        <w:t>to which</w:t>
      </w:r>
      <w:r>
        <w:t xml:space="preserve"> the Program </w:t>
      </w:r>
      <w:r w:rsidR="00806986">
        <w:t xml:space="preserve">has contributed </w:t>
      </w:r>
      <w:r>
        <w:t xml:space="preserve">to date include: </w:t>
      </w:r>
    </w:p>
    <w:p w14:paraId="15FA2BB4" w14:textId="77777777" w:rsidR="001B6F9A" w:rsidRDefault="001B6F9A" w:rsidP="001B6F9A">
      <w:pPr>
        <w:pStyle w:val="ListParagraph"/>
        <w:numPr>
          <w:ilvl w:val="0"/>
          <w:numId w:val="28"/>
        </w:numPr>
        <w:ind w:left="1080"/>
        <w:jc w:val="both"/>
        <w:rPr>
          <w:sz w:val="22"/>
          <w:szCs w:val="22"/>
        </w:rPr>
      </w:pPr>
      <w:r>
        <w:rPr>
          <w:sz w:val="22"/>
          <w:szCs w:val="22"/>
        </w:rPr>
        <w:t>An increase in numbers of victims of family violence willing to make reports to Police</w:t>
      </w:r>
    </w:p>
    <w:p w14:paraId="396B5D66" w14:textId="77777777" w:rsidR="001B6F9A" w:rsidRPr="00103842" w:rsidRDefault="001B6F9A" w:rsidP="001B6F9A">
      <w:pPr>
        <w:pStyle w:val="ListParagraph"/>
        <w:numPr>
          <w:ilvl w:val="0"/>
          <w:numId w:val="28"/>
        </w:numPr>
        <w:ind w:left="1080"/>
        <w:jc w:val="both"/>
        <w:rPr>
          <w:sz w:val="22"/>
          <w:szCs w:val="22"/>
        </w:rPr>
      </w:pPr>
      <w:r>
        <w:rPr>
          <w:sz w:val="22"/>
          <w:szCs w:val="22"/>
        </w:rPr>
        <w:t xml:space="preserve">High numbers of successful prosecutions of offenders of family violence </w:t>
      </w:r>
    </w:p>
    <w:p w14:paraId="66EAF70E" w14:textId="77777777" w:rsidR="001B6F9A" w:rsidRPr="008C5BE5" w:rsidRDefault="001B6F9A" w:rsidP="001B6F9A">
      <w:pPr>
        <w:pStyle w:val="ListParagraph"/>
        <w:numPr>
          <w:ilvl w:val="0"/>
          <w:numId w:val="28"/>
        </w:numPr>
        <w:ind w:left="1080"/>
        <w:jc w:val="both"/>
        <w:rPr>
          <w:sz w:val="22"/>
          <w:szCs w:val="22"/>
        </w:rPr>
      </w:pPr>
      <w:r w:rsidRPr="008C5BE5">
        <w:rPr>
          <w:sz w:val="22"/>
          <w:szCs w:val="22"/>
        </w:rPr>
        <w:t xml:space="preserve">Improved collaboration and cooperation amongst police and justice agencies, including through the </w:t>
      </w:r>
      <w:r w:rsidR="00C4778C">
        <w:rPr>
          <w:sz w:val="22"/>
          <w:szCs w:val="22"/>
        </w:rPr>
        <w:t>Sector</w:t>
      </w:r>
      <w:r w:rsidR="00C4778C" w:rsidRPr="008C5BE5">
        <w:rPr>
          <w:sz w:val="22"/>
          <w:szCs w:val="22"/>
        </w:rPr>
        <w:t xml:space="preserve"> </w:t>
      </w:r>
      <w:r w:rsidR="00C4778C">
        <w:rPr>
          <w:sz w:val="22"/>
          <w:szCs w:val="22"/>
        </w:rPr>
        <w:t>L</w:t>
      </w:r>
      <w:r w:rsidRPr="008C5BE5">
        <w:rPr>
          <w:sz w:val="22"/>
          <w:szCs w:val="22"/>
        </w:rPr>
        <w:t xml:space="preserve">eadership </w:t>
      </w:r>
      <w:r w:rsidR="00C4778C">
        <w:rPr>
          <w:sz w:val="22"/>
          <w:szCs w:val="22"/>
        </w:rPr>
        <w:t>G</w:t>
      </w:r>
      <w:r w:rsidRPr="008C5BE5">
        <w:rPr>
          <w:sz w:val="22"/>
          <w:szCs w:val="22"/>
        </w:rPr>
        <w:t>roup</w:t>
      </w:r>
      <w:r w:rsidR="00C4778C">
        <w:rPr>
          <w:sz w:val="22"/>
          <w:szCs w:val="22"/>
        </w:rPr>
        <w:t xml:space="preserve"> (formerly Heads of Agencies)</w:t>
      </w:r>
    </w:p>
    <w:p w14:paraId="5F14CE98" w14:textId="77777777" w:rsidR="001B6F9A" w:rsidRDefault="001B6F9A" w:rsidP="001B6F9A">
      <w:pPr>
        <w:pStyle w:val="ListParagraph"/>
        <w:numPr>
          <w:ilvl w:val="0"/>
          <w:numId w:val="28"/>
        </w:numPr>
        <w:ind w:left="1080"/>
        <w:jc w:val="both"/>
        <w:rPr>
          <w:sz w:val="22"/>
          <w:szCs w:val="22"/>
        </w:rPr>
      </w:pPr>
      <w:r>
        <w:rPr>
          <w:sz w:val="22"/>
          <w:szCs w:val="22"/>
        </w:rPr>
        <w:t>Improved systems for case management, data collection, human resources, financial management and monitoring and evaluation across the sector.</w:t>
      </w:r>
    </w:p>
    <w:p w14:paraId="3C467662" w14:textId="77777777" w:rsidR="001B6F9A" w:rsidRDefault="001B6F9A" w:rsidP="001B6F9A">
      <w:pPr>
        <w:spacing w:after="0" w:line="240" w:lineRule="auto"/>
        <w:ind w:left="360"/>
        <w:jc w:val="both"/>
      </w:pPr>
      <w:r w:rsidRPr="00A21635">
        <w:rPr>
          <w:b/>
          <w:bCs/>
        </w:rPr>
        <w:t>Organisational</w:t>
      </w:r>
      <w:r>
        <w:t xml:space="preserve"> achievements of the Program to date include: </w:t>
      </w:r>
    </w:p>
    <w:p w14:paraId="76386D48" w14:textId="77777777" w:rsidR="001B6F9A" w:rsidRDefault="001B6F9A" w:rsidP="001B6F9A">
      <w:pPr>
        <w:pStyle w:val="ListParagraph"/>
        <w:numPr>
          <w:ilvl w:val="0"/>
          <w:numId w:val="29"/>
        </w:numPr>
        <w:ind w:left="1080" w:hanging="357"/>
        <w:jc w:val="both"/>
        <w:rPr>
          <w:sz w:val="22"/>
          <w:szCs w:val="22"/>
        </w:rPr>
      </w:pPr>
      <w:r>
        <w:rPr>
          <w:sz w:val="22"/>
          <w:szCs w:val="22"/>
        </w:rPr>
        <w:t>Improved capacity and operations of the Office of Public Prosecutions</w:t>
      </w:r>
      <w:r w:rsidR="00B7205C">
        <w:rPr>
          <w:sz w:val="22"/>
          <w:szCs w:val="22"/>
        </w:rPr>
        <w:t xml:space="preserve"> (OPP)</w:t>
      </w:r>
      <w:r>
        <w:rPr>
          <w:sz w:val="22"/>
          <w:szCs w:val="22"/>
        </w:rPr>
        <w:t>:</w:t>
      </w:r>
    </w:p>
    <w:p w14:paraId="6DC561A2" w14:textId="77777777" w:rsidR="001B6F9A" w:rsidRPr="00E9288F" w:rsidRDefault="001B6F9A" w:rsidP="001B6F9A">
      <w:pPr>
        <w:pStyle w:val="ListParagraph"/>
        <w:numPr>
          <w:ilvl w:val="1"/>
          <w:numId w:val="29"/>
        </w:numPr>
        <w:ind w:left="1800" w:hanging="357"/>
        <w:jc w:val="both"/>
        <w:rPr>
          <w:sz w:val="22"/>
          <w:szCs w:val="22"/>
        </w:rPr>
      </w:pPr>
      <w:r>
        <w:rPr>
          <w:sz w:val="22"/>
          <w:szCs w:val="22"/>
        </w:rPr>
        <w:t>Demonstrable leadership behaviours within new management structures</w:t>
      </w:r>
      <w:r w:rsidRPr="00E9288F">
        <w:t xml:space="preserve"> </w:t>
      </w:r>
    </w:p>
    <w:p w14:paraId="483F7511" w14:textId="77777777" w:rsidR="001B6F9A" w:rsidRDefault="001B6F9A" w:rsidP="001B6F9A">
      <w:pPr>
        <w:pStyle w:val="ListParagraph"/>
        <w:numPr>
          <w:ilvl w:val="1"/>
          <w:numId w:val="29"/>
        </w:numPr>
        <w:ind w:left="1800" w:hanging="357"/>
        <w:jc w:val="both"/>
        <w:rPr>
          <w:sz w:val="22"/>
          <w:szCs w:val="22"/>
        </w:rPr>
      </w:pPr>
      <w:r>
        <w:rPr>
          <w:sz w:val="22"/>
          <w:szCs w:val="22"/>
        </w:rPr>
        <w:t>Improved timeliness of case r</w:t>
      </w:r>
      <w:r w:rsidRPr="00E9288F">
        <w:rPr>
          <w:sz w:val="22"/>
          <w:szCs w:val="22"/>
        </w:rPr>
        <w:t>egistration and reduced backlog in C</w:t>
      </w:r>
      <w:r>
        <w:rPr>
          <w:sz w:val="22"/>
          <w:szCs w:val="22"/>
        </w:rPr>
        <w:t>ase Management System (CMS)</w:t>
      </w:r>
      <w:r w:rsidRPr="00E9288F">
        <w:rPr>
          <w:sz w:val="22"/>
          <w:szCs w:val="22"/>
        </w:rPr>
        <w:t xml:space="preserve"> (Santo and Port Vila </w:t>
      </w:r>
      <w:r w:rsidR="00092F70" w:rsidRPr="00EF7649">
        <w:rPr>
          <w:sz w:val="22"/>
          <w:szCs w:val="22"/>
        </w:rPr>
        <w:t>S</w:t>
      </w:r>
      <w:r w:rsidR="00092F70">
        <w:rPr>
          <w:sz w:val="22"/>
          <w:szCs w:val="22"/>
        </w:rPr>
        <w:t xml:space="preserve">tate Prosecutions Department </w:t>
      </w:r>
      <w:r w:rsidRPr="00E9288F">
        <w:rPr>
          <w:sz w:val="22"/>
          <w:szCs w:val="22"/>
        </w:rPr>
        <w:t>(SPD)</w:t>
      </w:r>
      <w:r>
        <w:rPr>
          <w:sz w:val="22"/>
          <w:szCs w:val="22"/>
        </w:rPr>
        <w:t>)</w:t>
      </w:r>
    </w:p>
    <w:p w14:paraId="457AF8B3" w14:textId="77777777" w:rsidR="001B6F9A" w:rsidRPr="00EF7649" w:rsidRDefault="001B6F9A" w:rsidP="001B6F9A">
      <w:pPr>
        <w:pStyle w:val="ListParagraph"/>
        <w:numPr>
          <w:ilvl w:val="1"/>
          <w:numId w:val="29"/>
        </w:numPr>
        <w:ind w:left="1800" w:hanging="357"/>
        <w:jc w:val="both"/>
        <w:rPr>
          <w:sz w:val="22"/>
          <w:szCs w:val="22"/>
        </w:rPr>
      </w:pPr>
      <w:r>
        <w:rPr>
          <w:sz w:val="22"/>
          <w:szCs w:val="22"/>
        </w:rPr>
        <w:t>More appropriate prosecutions of y</w:t>
      </w:r>
      <w:r w:rsidRPr="00EF7649">
        <w:rPr>
          <w:sz w:val="22"/>
          <w:szCs w:val="22"/>
        </w:rPr>
        <w:t xml:space="preserve">oung </w:t>
      </w:r>
      <w:r>
        <w:rPr>
          <w:sz w:val="22"/>
          <w:szCs w:val="22"/>
        </w:rPr>
        <w:t>o</w:t>
      </w:r>
      <w:r w:rsidRPr="00EF7649">
        <w:rPr>
          <w:sz w:val="22"/>
          <w:szCs w:val="22"/>
        </w:rPr>
        <w:t xml:space="preserve">ffenders </w:t>
      </w:r>
      <w:r>
        <w:rPr>
          <w:sz w:val="22"/>
          <w:szCs w:val="22"/>
        </w:rPr>
        <w:t>through new</w:t>
      </w:r>
      <w:r w:rsidRPr="00EF7649">
        <w:rPr>
          <w:sz w:val="22"/>
          <w:szCs w:val="22"/>
        </w:rPr>
        <w:t xml:space="preserve"> Guideline</w:t>
      </w:r>
      <w:r>
        <w:rPr>
          <w:sz w:val="22"/>
          <w:szCs w:val="22"/>
        </w:rPr>
        <w:t>s</w:t>
      </w:r>
      <w:r w:rsidRPr="00EF7649">
        <w:rPr>
          <w:sz w:val="22"/>
          <w:szCs w:val="22"/>
        </w:rPr>
        <w:t xml:space="preserve"> for OPP and </w:t>
      </w:r>
      <w:r w:rsidR="00B7205C">
        <w:rPr>
          <w:sz w:val="22"/>
          <w:szCs w:val="22"/>
        </w:rPr>
        <w:t xml:space="preserve">VPF </w:t>
      </w:r>
      <w:r w:rsidRPr="00EF7649">
        <w:rPr>
          <w:sz w:val="22"/>
          <w:szCs w:val="22"/>
        </w:rPr>
        <w:t>SPD</w:t>
      </w:r>
      <w:r w:rsidR="003B0E29">
        <w:rPr>
          <w:sz w:val="22"/>
          <w:szCs w:val="22"/>
        </w:rPr>
        <w:t xml:space="preserve"> </w:t>
      </w:r>
      <w:r w:rsidRPr="00EF7649">
        <w:rPr>
          <w:sz w:val="22"/>
          <w:szCs w:val="22"/>
        </w:rPr>
        <w:t>prosecutors containing detailed directions on process, policy and victim management.</w:t>
      </w:r>
    </w:p>
    <w:p w14:paraId="19A3B79B" w14:textId="77777777" w:rsidR="001B6F9A" w:rsidRDefault="001B6F9A" w:rsidP="001B6F9A">
      <w:pPr>
        <w:pStyle w:val="ListParagraph"/>
        <w:numPr>
          <w:ilvl w:val="0"/>
          <w:numId w:val="29"/>
        </w:numPr>
        <w:ind w:left="1080"/>
        <w:jc w:val="both"/>
        <w:rPr>
          <w:sz w:val="22"/>
          <w:szCs w:val="22"/>
        </w:rPr>
      </w:pPr>
      <w:r>
        <w:rPr>
          <w:sz w:val="22"/>
          <w:szCs w:val="22"/>
        </w:rPr>
        <w:t>Improved capacity of the investigations function of the Police, particularly regarding family violence</w:t>
      </w:r>
    </w:p>
    <w:p w14:paraId="38C78136" w14:textId="77777777" w:rsidR="001B6F9A" w:rsidRDefault="001B6F9A" w:rsidP="001B6F9A">
      <w:pPr>
        <w:pStyle w:val="ListParagraph"/>
        <w:numPr>
          <w:ilvl w:val="1"/>
          <w:numId w:val="29"/>
        </w:numPr>
        <w:ind w:left="1800"/>
        <w:jc w:val="both"/>
        <w:rPr>
          <w:sz w:val="22"/>
          <w:szCs w:val="22"/>
        </w:rPr>
      </w:pPr>
      <w:r>
        <w:rPr>
          <w:sz w:val="22"/>
          <w:szCs w:val="22"/>
        </w:rPr>
        <w:t>observable</w:t>
      </w:r>
      <w:r w:rsidRPr="008F3F53">
        <w:rPr>
          <w:sz w:val="22"/>
          <w:szCs w:val="22"/>
        </w:rPr>
        <w:t xml:space="preserve"> increased ability for the </w:t>
      </w:r>
      <w:r w:rsidR="00B7205C">
        <w:rPr>
          <w:sz w:val="22"/>
          <w:szCs w:val="22"/>
        </w:rPr>
        <w:t xml:space="preserve">VPF </w:t>
      </w:r>
      <w:r w:rsidRPr="008F3F53">
        <w:rPr>
          <w:sz w:val="22"/>
          <w:szCs w:val="22"/>
        </w:rPr>
        <w:t>C</w:t>
      </w:r>
      <w:r w:rsidR="00B7205C">
        <w:rPr>
          <w:sz w:val="22"/>
          <w:szCs w:val="22"/>
        </w:rPr>
        <w:t xml:space="preserve">riminal </w:t>
      </w:r>
      <w:r w:rsidRPr="008F3F53">
        <w:rPr>
          <w:sz w:val="22"/>
          <w:szCs w:val="22"/>
        </w:rPr>
        <w:t>I</w:t>
      </w:r>
      <w:r w:rsidR="00B7205C">
        <w:rPr>
          <w:sz w:val="22"/>
          <w:szCs w:val="22"/>
        </w:rPr>
        <w:t xml:space="preserve">nvestigation </w:t>
      </w:r>
      <w:r w:rsidRPr="008F3F53">
        <w:rPr>
          <w:sz w:val="22"/>
          <w:szCs w:val="22"/>
        </w:rPr>
        <w:t>D</w:t>
      </w:r>
      <w:r w:rsidR="00B7205C">
        <w:rPr>
          <w:sz w:val="22"/>
          <w:szCs w:val="22"/>
        </w:rPr>
        <w:t>epartment (CID)</w:t>
      </w:r>
      <w:r w:rsidRPr="008F3F53">
        <w:rPr>
          <w:sz w:val="22"/>
          <w:szCs w:val="22"/>
        </w:rPr>
        <w:t xml:space="preserve"> team to operate under pressure and complete multiple major investigations to a high leve</w:t>
      </w:r>
      <w:r>
        <w:rPr>
          <w:sz w:val="22"/>
          <w:szCs w:val="22"/>
        </w:rPr>
        <w:t>l</w:t>
      </w:r>
    </w:p>
    <w:p w14:paraId="58B4CE88" w14:textId="77777777" w:rsidR="001B6F9A" w:rsidRDefault="001B6F9A" w:rsidP="001B6F9A">
      <w:pPr>
        <w:spacing w:after="0" w:line="240" w:lineRule="auto"/>
        <w:ind w:left="360"/>
        <w:jc w:val="both"/>
      </w:pPr>
      <w:r w:rsidRPr="004F0046">
        <w:rPr>
          <w:b/>
          <w:bCs/>
        </w:rPr>
        <w:t>Community level achievements</w:t>
      </w:r>
      <w:r>
        <w:t xml:space="preserve"> of the Program to date include: </w:t>
      </w:r>
    </w:p>
    <w:p w14:paraId="2B64100C" w14:textId="77777777" w:rsidR="001B6F9A" w:rsidRPr="0047150F" w:rsidRDefault="001B6F9A" w:rsidP="001B6F9A">
      <w:pPr>
        <w:pStyle w:val="ListParagraph"/>
        <w:numPr>
          <w:ilvl w:val="0"/>
          <w:numId w:val="29"/>
        </w:numPr>
        <w:ind w:left="1080"/>
        <w:jc w:val="both"/>
        <w:rPr>
          <w:sz w:val="22"/>
          <w:szCs w:val="22"/>
        </w:rPr>
      </w:pPr>
      <w:r>
        <w:rPr>
          <w:sz w:val="22"/>
          <w:szCs w:val="22"/>
        </w:rPr>
        <w:t xml:space="preserve">Increased number of Temporary Protection Orders (TPOs) issued by APs in the community.  </w:t>
      </w:r>
    </w:p>
    <w:p w14:paraId="38C871A1" w14:textId="77777777" w:rsidR="001B6F9A" w:rsidRDefault="001B6F9A" w:rsidP="001B6F9A">
      <w:pPr>
        <w:pStyle w:val="ListParagraph"/>
        <w:numPr>
          <w:ilvl w:val="0"/>
          <w:numId w:val="30"/>
        </w:numPr>
        <w:ind w:left="1080"/>
        <w:jc w:val="both"/>
        <w:rPr>
          <w:sz w:val="22"/>
          <w:szCs w:val="22"/>
        </w:rPr>
      </w:pPr>
      <w:r>
        <w:rPr>
          <w:sz w:val="22"/>
          <w:szCs w:val="22"/>
        </w:rPr>
        <w:t>Increased awareness of women and other vulnerable people of their rights to access the justice system.</w:t>
      </w:r>
    </w:p>
    <w:p w14:paraId="7CBBFC16" w14:textId="77777777" w:rsidR="00E41B3C" w:rsidRDefault="00E41B3C" w:rsidP="00E41B3C">
      <w:pPr>
        <w:pStyle w:val="ListParagraph"/>
        <w:ind w:left="1080"/>
        <w:jc w:val="both"/>
        <w:rPr>
          <w:sz w:val="22"/>
          <w:szCs w:val="22"/>
        </w:rPr>
      </w:pPr>
    </w:p>
    <w:p w14:paraId="52C2C696" w14:textId="77777777" w:rsidR="001B6F9A" w:rsidRDefault="001B6F9A" w:rsidP="00E41B3C">
      <w:pPr>
        <w:spacing w:line="240" w:lineRule="auto"/>
        <w:jc w:val="both"/>
      </w:pPr>
      <w:r>
        <w:t xml:space="preserve">The achievements made in the Program are highly significant in this challenging and changing context. There is evidence of sustained improvements over time that builds on previous Australian </w:t>
      </w:r>
      <w:proofErr w:type="gramStart"/>
      <w:r>
        <w:t>investments, that</w:t>
      </w:r>
      <w:proofErr w:type="gramEnd"/>
      <w:r>
        <w:t xml:space="preserve"> have been robust in the face of changing leadership and political disruption (such as change of Ministers) through electoral cycles. The Program has continued to operate and deliver activities in situations of acting leadership or substantial numbers of vacant government positions. </w:t>
      </w:r>
    </w:p>
    <w:p w14:paraId="1549463B" w14:textId="77777777" w:rsidR="001B6F9A" w:rsidRDefault="001B6F9A" w:rsidP="00806986">
      <w:pPr>
        <w:spacing w:line="240" w:lineRule="auto"/>
        <w:jc w:val="both"/>
      </w:pPr>
      <w:r>
        <w:t xml:space="preserve">The Program works across 14 </w:t>
      </w:r>
      <w:proofErr w:type="spellStart"/>
      <w:r>
        <w:t>GoV</w:t>
      </w:r>
      <w:proofErr w:type="spellEnd"/>
      <w:r>
        <w:t xml:space="preserve"> police and justice Agencies implementing a wide range of activities from simple one-off infrastructure and procurement of vehicles, to cross-sectoral capacity building for collective action</w:t>
      </w:r>
      <w:r w:rsidR="00806986">
        <w:t>. Long terms advisers are complimented by short term inputs and local technical and support staff. The modality is achieving results but could be refined over time.</w:t>
      </w:r>
    </w:p>
    <w:p w14:paraId="371801D4" w14:textId="77777777" w:rsidR="001B6F9A" w:rsidRDefault="001B6F9A" w:rsidP="00E41B3C">
      <w:pPr>
        <w:spacing w:after="120" w:line="240" w:lineRule="auto"/>
        <w:jc w:val="both"/>
      </w:pPr>
      <w:r>
        <w:t xml:space="preserve">The evaluation observed that performance across the program is highly variable according to the factors </w:t>
      </w:r>
      <w:r w:rsidRPr="001B6F9A">
        <w:rPr>
          <w:rFonts w:ascii="Calibri" w:eastAsia="Calibri" w:hAnsi="Calibri" w:cs="Times New Roman"/>
        </w:rPr>
        <w:t>enabling</w:t>
      </w:r>
      <w:r>
        <w:t xml:space="preserve"> and constraining progress (the political economy of the individualised setting), and the approach being adopted by the program (the nature of capacity building, ‘style’ of the relevant Adviser, and focus on the activity itself). </w:t>
      </w:r>
      <w:r w:rsidRPr="006302FD">
        <w:t>The review also observed that the reporting and monitoring and evaluation arrangements did not provide a ‘simple’ story of progress and effectiveness against the original design (at the EOPO and Intermediate Outcome (IO) levels) as key data sets for baseline and monitoring are not available</w:t>
      </w:r>
      <w:r w:rsidR="00806986">
        <w:t xml:space="preserve">, with the evaluation </w:t>
      </w:r>
      <w:r w:rsidR="0094075A">
        <w:t>identifying</w:t>
      </w:r>
      <w:r w:rsidR="00806986">
        <w:t xml:space="preserve"> avenues to improve the program logic and monitoring and evaluation. </w:t>
      </w:r>
    </w:p>
    <w:p w14:paraId="2F0AE4EE" w14:textId="77777777" w:rsidR="00687860" w:rsidRDefault="00687860" w:rsidP="00E41B3C">
      <w:pPr>
        <w:numPr>
          <w:ilvl w:val="0"/>
          <w:numId w:val="3"/>
        </w:numPr>
        <w:spacing w:after="120" w:line="240" w:lineRule="auto"/>
        <w:ind w:left="0" w:firstLine="0"/>
        <w:jc w:val="both"/>
        <w:rPr>
          <w:rFonts w:ascii="Calibri" w:eastAsia="Calibri" w:hAnsi="Calibri" w:cs="Times New Roman"/>
        </w:rPr>
      </w:pPr>
      <w:r w:rsidRPr="001B6F9A">
        <w:rPr>
          <w:rFonts w:ascii="Calibri" w:eastAsia="Calibri" w:hAnsi="Calibri" w:cs="Times New Roman"/>
          <w:b/>
          <w:bCs/>
        </w:rPr>
        <w:t>The “chain of justice” approach</w:t>
      </w:r>
      <w:r w:rsidRPr="00687860">
        <w:rPr>
          <w:rFonts w:ascii="Calibri" w:eastAsia="Calibri" w:hAnsi="Calibri" w:cs="Times New Roman"/>
        </w:rPr>
        <w:t xml:space="preserve"> adopted by the Program is </w:t>
      </w:r>
      <w:r w:rsidRPr="001B6F9A">
        <w:rPr>
          <w:rFonts w:ascii="Calibri" w:eastAsia="Calibri" w:hAnsi="Calibri" w:cs="Times New Roman"/>
          <w:b/>
          <w:bCs/>
        </w:rPr>
        <w:t>fundamental to the improvements that have been supported in delivering justice for vulnerable communities</w:t>
      </w:r>
      <w:r w:rsidRPr="00687860">
        <w:rPr>
          <w:rFonts w:ascii="Calibri" w:eastAsia="Calibri" w:hAnsi="Calibri" w:cs="Times New Roman"/>
        </w:rPr>
        <w:t xml:space="preserve"> in Vanuatu. The </w:t>
      </w:r>
      <w:r w:rsidR="003922A1">
        <w:rPr>
          <w:rFonts w:ascii="Calibri" w:eastAsia="Calibri" w:hAnsi="Calibri" w:cs="Times New Roman"/>
        </w:rPr>
        <w:t>P</w:t>
      </w:r>
      <w:r w:rsidRPr="00687860">
        <w:rPr>
          <w:rFonts w:ascii="Calibri" w:eastAsia="Calibri" w:hAnsi="Calibri" w:cs="Times New Roman"/>
        </w:rPr>
        <w:t>rogram has not just used the language of supporting justice as a system, it has implemented program structures and modalities to ensure that program efforts consistently contribute to this vision.</w:t>
      </w:r>
    </w:p>
    <w:p w14:paraId="4FFD39CE" w14:textId="77777777" w:rsidR="001B6F9A" w:rsidRDefault="001B6F9A" w:rsidP="00E41B3C">
      <w:pPr>
        <w:spacing w:after="120" w:line="240" w:lineRule="auto"/>
        <w:jc w:val="both"/>
        <w:rPr>
          <w:rFonts w:ascii="Calibri" w:eastAsia="Calibri" w:hAnsi="Calibri" w:cs="Times New Roman"/>
        </w:rPr>
      </w:pPr>
      <w:r w:rsidRPr="0048161F">
        <w:rPr>
          <w:lang w:val="en-GB"/>
        </w:rPr>
        <w:t xml:space="preserve">The chain of justice is comprised of a number of operationally independent agencies which together are responsible </w:t>
      </w:r>
      <w:r w:rsidRPr="0048161F">
        <w:rPr>
          <w:shd w:val="clear" w:color="auto" w:fill="FFFFFF" w:themeFill="background1"/>
          <w:lang w:val="en-GB"/>
        </w:rPr>
        <w:t>for the system of criminal law in Vanuatu.</w:t>
      </w:r>
      <w:r>
        <w:rPr>
          <w:shd w:val="clear" w:color="auto" w:fill="FFFFFF" w:themeFill="background1"/>
          <w:lang w:val="en-GB"/>
        </w:rPr>
        <w:t xml:space="preserve">  </w:t>
      </w:r>
      <w:r w:rsidRPr="0048161F">
        <w:t xml:space="preserve">The strength of the approach can be seen in the balancing and consistency of effort applied across the agencies in the chain. Program efforts start from the first point vulnerable people </w:t>
      </w:r>
      <w:r w:rsidR="00C048DD">
        <w:t>i</w:t>
      </w:r>
      <w:r w:rsidRPr="0048161F">
        <w:t>nteract with the formal justice system</w:t>
      </w:r>
      <w:r w:rsidR="00034BBB">
        <w:rPr>
          <w:rStyle w:val="FootnoteReference"/>
        </w:rPr>
        <w:footnoteReference w:id="2"/>
      </w:r>
      <w:r w:rsidRPr="0048161F">
        <w:t xml:space="preserve">, by sensitising VPF General Duties officers on </w:t>
      </w:r>
      <w:r w:rsidR="007250E8">
        <w:t>family and s</w:t>
      </w:r>
      <w:r w:rsidR="00B7205C">
        <w:t xml:space="preserve">exual </w:t>
      </w:r>
      <w:r w:rsidR="007250E8">
        <w:t>v</w:t>
      </w:r>
      <w:r w:rsidR="00B7205C">
        <w:t>iolence (F</w:t>
      </w:r>
      <w:r w:rsidRPr="0048161F">
        <w:t>SV</w:t>
      </w:r>
      <w:r w:rsidR="00B7205C">
        <w:t>)</w:t>
      </w:r>
      <w:r w:rsidRPr="0048161F">
        <w:t xml:space="preserve"> to improve their response; then strengthening CID and F</w:t>
      </w:r>
      <w:r w:rsidR="00B7205C">
        <w:t xml:space="preserve">amily </w:t>
      </w:r>
      <w:r w:rsidRPr="0048161F">
        <w:t>P</w:t>
      </w:r>
      <w:r w:rsidR="00B7205C">
        <w:t xml:space="preserve">rotection </w:t>
      </w:r>
      <w:r w:rsidRPr="0048161F">
        <w:t>U</w:t>
      </w:r>
      <w:r w:rsidR="00B7205C">
        <w:t>nit (FPU)</w:t>
      </w:r>
      <w:r w:rsidRPr="0048161F">
        <w:t xml:space="preserve"> to improve investigations and case management; linking this to SPD and OPP support aimed at improving case management, investigations and prosecution;</w:t>
      </w:r>
      <w:r w:rsidRPr="0048161F">
        <w:rPr>
          <w:vertAlign w:val="superscript"/>
        </w:rPr>
        <w:footnoteReference w:id="3"/>
      </w:r>
      <w:r w:rsidRPr="0048161F">
        <w:t xml:space="preserve"> and including P</w:t>
      </w:r>
      <w:r w:rsidR="00B7205C">
        <w:t xml:space="preserve">ublic </w:t>
      </w:r>
      <w:r w:rsidRPr="0048161F">
        <w:t>S</w:t>
      </w:r>
      <w:r w:rsidR="00B7205C">
        <w:t xml:space="preserve">olicitor’s </w:t>
      </w:r>
      <w:r w:rsidRPr="0048161F">
        <w:t>O</w:t>
      </w:r>
      <w:r w:rsidR="00B7205C">
        <w:t>ffice (PSO)</w:t>
      </w:r>
      <w:r w:rsidRPr="0048161F">
        <w:t xml:space="preserve"> support to ensure defendants receive an adequate defence.</w:t>
      </w:r>
      <w:r>
        <w:t xml:space="preserve">  </w:t>
      </w:r>
      <w:r w:rsidRPr="0048161F">
        <w:t xml:space="preserve">The </w:t>
      </w:r>
      <w:r>
        <w:t>P</w:t>
      </w:r>
      <w:r w:rsidRPr="0048161F">
        <w:t>rogram not only provided support to each link of the chain, it also implemented several cross-cutting activities aimed at whole of sector corporate strengthening, and developed specific program management approaches to ensure communication and adaptive approaches towards issues between agencies.</w:t>
      </w:r>
    </w:p>
    <w:p w14:paraId="409F6848" w14:textId="77777777" w:rsidR="001B6F9A" w:rsidRDefault="001B6F9A" w:rsidP="00E41B3C">
      <w:pPr>
        <w:spacing w:after="120" w:line="240" w:lineRule="auto"/>
        <w:jc w:val="both"/>
        <w:rPr>
          <w:rFonts w:ascii="Calibri" w:eastAsia="Calibri" w:hAnsi="Calibri" w:cs="Times New Roman"/>
        </w:rPr>
      </w:pPr>
      <w:r w:rsidRPr="0048161F">
        <w:t xml:space="preserve">The </w:t>
      </w:r>
      <w:r>
        <w:t>P</w:t>
      </w:r>
      <w:r w:rsidRPr="0048161F">
        <w:t>rogram not only provided support to each link of the chain, it also implemented several cross-cutting activities aimed at whole of sector corporate strengthening, and developed specific program management approaches to ensure communication and adaptive approaches towards issues between agencies.</w:t>
      </w:r>
      <w:r w:rsidR="009D2E5C">
        <w:t xml:space="preserve">  </w:t>
      </w:r>
      <w:r w:rsidRPr="0048161F">
        <w:t xml:space="preserve">The choice of a specific program focal point, </w:t>
      </w:r>
      <w:r>
        <w:t>being</w:t>
      </w:r>
      <w:r w:rsidRPr="0048161F">
        <w:t xml:space="preserve"> FSV, has likely contributed to the strong outcomes. </w:t>
      </w:r>
      <w:r>
        <w:t>FSV</w:t>
      </w:r>
      <w:r w:rsidRPr="0048161F">
        <w:t xml:space="preserve"> is a significant issue for Vanuatu, and has often been a difficult issue for the formal policing and justice system.</w:t>
      </w:r>
      <w:r w:rsidR="009D2E5C">
        <w:t xml:space="preserve">  T</w:t>
      </w:r>
      <w:r w:rsidR="009D2E5C" w:rsidRPr="0048161F">
        <w:t xml:space="preserve">his should be understood in the context of how difficult it is to support systemic change in justice systems. While most international development programs in the justice </w:t>
      </w:r>
      <w:r w:rsidR="009D2E5C">
        <w:t>sector</w:t>
      </w:r>
      <w:r w:rsidR="009D2E5C" w:rsidRPr="0048161F">
        <w:t xml:space="preserve"> </w:t>
      </w:r>
      <w:r w:rsidR="009D2E5C">
        <w:t xml:space="preserve">claim </w:t>
      </w:r>
      <w:r w:rsidR="009D2E5C" w:rsidRPr="0048161F">
        <w:t xml:space="preserve">to be focused on the chain of justice, the </w:t>
      </w:r>
      <w:r w:rsidR="009D2E5C">
        <w:t>e</w:t>
      </w:r>
      <w:r w:rsidR="009D2E5C" w:rsidRPr="0048161F">
        <w:t xml:space="preserve">valuation </w:t>
      </w:r>
      <w:r w:rsidR="009D2E5C">
        <w:t>t</w:t>
      </w:r>
      <w:r w:rsidR="009D2E5C" w:rsidRPr="0048161F">
        <w:t>eam is not aware of any in this region that have so successfully implemented such an approach, or delivered on chain of justice outcomes to this extent.</w:t>
      </w:r>
    </w:p>
    <w:p w14:paraId="3E7060D5" w14:textId="77777777" w:rsidR="00034BBB" w:rsidRPr="00034BBB" w:rsidRDefault="00034BBB" w:rsidP="00034BBB">
      <w:pPr>
        <w:numPr>
          <w:ilvl w:val="0"/>
          <w:numId w:val="3"/>
        </w:numPr>
        <w:spacing w:after="120" w:line="240" w:lineRule="auto"/>
        <w:ind w:left="0" w:firstLine="0"/>
        <w:jc w:val="both"/>
        <w:rPr>
          <w:rFonts w:ascii="Calibri" w:eastAsia="Calibri" w:hAnsi="Calibri" w:cs="Times New Roman"/>
        </w:rPr>
      </w:pPr>
      <w:r w:rsidRPr="00034BBB">
        <w:rPr>
          <w:rFonts w:ascii="Calibri" w:eastAsia="Calibri" w:hAnsi="Calibri" w:cs="Times New Roman"/>
        </w:rPr>
        <w:t xml:space="preserve">There has been </w:t>
      </w:r>
      <w:r w:rsidRPr="00034BBB">
        <w:rPr>
          <w:rFonts w:ascii="Calibri" w:eastAsia="Calibri" w:hAnsi="Calibri" w:cs="Times New Roman"/>
          <w:b/>
        </w:rPr>
        <w:t>some shift in policy priorities and resources</w:t>
      </w:r>
      <w:r w:rsidRPr="00034BBB">
        <w:rPr>
          <w:rFonts w:ascii="Calibri" w:eastAsia="Calibri" w:hAnsi="Calibri" w:cs="Times New Roman"/>
        </w:rPr>
        <w:t xml:space="preserve"> (associated with the Step Up and enhanced security cooperation between Go</w:t>
      </w:r>
      <w:r w:rsidR="007250E8">
        <w:rPr>
          <w:rFonts w:ascii="Calibri" w:eastAsia="Calibri" w:hAnsi="Calibri" w:cs="Times New Roman"/>
        </w:rPr>
        <w:t>vernment of Australia</w:t>
      </w:r>
      <w:r w:rsidRPr="00034BBB">
        <w:rPr>
          <w:rFonts w:ascii="Calibri" w:eastAsia="Calibri" w:hAnsi="Calibri" w:cs="Times New Roman"/>
        </w:rPr>
        <w:t xml:space="preserve"> and </w:t>
      </w:r>
      <w:proofErr w:type="spellStart"/>
      <w:r w:rsidRPr="00034BBB">
        <w:rPr>
          <w:rFonts w:ascii="Calibri" w:eastAsia="Calibri" w:hAnsi="Calibri" w:cs="Times New Roman"/>
        </w:rPr>
        <w:t>GoV</w:t>
      </w:r>
      <w:proofErr w:type="spellEnd"/>
      <w:r w:rsidRPr="00034BBB">
        <w:rPr>
          <w:rFonts w:ascii="Calibri" w:eastAsia="Calibri" w:hAnsi="Calibri" w:cs="Times New Roman"/>
        </w:rPr>
        <w:t xml:space="preserve">) </w:t>
      </w:r>
      <w:r w:rsidRPr="00034BBB">
        <w:rPr>
          <w:rFonts w:ascii="Calibri" w:eastAsia="Calibri" w:hAnsi="Calibri" w:cs="Times New Roman"/>
          <w:b/>
        </w:rPr>
        <w:t>towards greater operational support</w:t>
      </w:r>
      <w:r w:rsidRPr="00034BBB">
        <w:rPr>
          <w:rFonts w:ascii="Calibri" w:eastAsia="Calibri" w:hAnsi="Calibri" w:cs="Times New Roman"/>
        </w:rPr>
        <w:t xml:space="preserve"> that supports the implicit approach of the original program design. This aims to ensure an operational capability in policing and justice to maintain community confidence, from which capacity gains and improvements can be made. It is important that the </w:t>
      </w:r>
      <w:r w:rsidRPr="00034BBB">
        <w:rPr>
          <w:rFonts w:ascii="Calibri" w:eastAsia="Calibri" w:hAnsi="Calibri" w:cs="Times New Roman"/>
          <w:b/>
        </w:rPr>
        <w:t>balance in effort between short-term results and long-term sustainable change is maintained</w:t>
      </w:r>
      <w:r w:rsidRPr="00034BBB">
        <w:rPr>
          <w:rFonts w:ascii="Calibri" w:eastAsia="Calibri" w:hAnsi="Calibri" w:cs="Times New Roman"/>
        </w:rPr>
        <w:t>, to avoid the risk of creating dependency and removing incentives for internal change.</w:t>
      </w:r>
    </w:p>
    <w:p w14:paraId="783F9A93" w14:textId="77777777" w:rsidR="009D2E5C" w:rsidRDefault="009D2E5C" w:rsidP="00E41B3C">
      <w:pPr>
        <w:spacing w:after="120" w:line="240" w:lineRule="auto"/>
        <w:jc w:val="both"/>
        <w:rPr>
          <w:rFonts w:ascii="Calibri" w:eastAsia="Calibri" w:hAnsi="Calibri" w:cs="Times New Roman"/>
        </w:rPr>
      </w:pPr>
      <w:r w:rsidRPr="00D82BE1">
        <w:rPr>
          <w:rFonts w:cs="Times New Roman"/>
        </w:rPr>
        <w:t>The original design was structured against three major EOPOs and 15 IOs. All of these statements are ‘developmental’ in nature, in that they express a</w:t>
      </w:r>
      <w:r>
        <w:rPr>
          <w:rFonts w:cs="Times New Roman"/>
        </w:rPr>
        <w:t xml:space="preserve">n </w:t>
      </w:r>
      <w:r w:rsidRPr="00D82BE1">
        <w:rPr>
          <w:rFonts w:cs="Times New Roman"/>
        </w:rPr>
        <w:t>‘improvement’ in capacity, quality or reach of individuals, organisations or services.</w:t>
      </w:r>
      <w:r>
        <w:rPr>
          <w:rFonts w:cs="Times New Roman"/>
        </w:rPr>
        <w:t xml:space="preserve"> </w:t>
      </w:r>
      <w:r w:rsidRPr="00D82BE1">
        <w:rPr>
          <w:rFonts w:cs="Times New Roman"/>
        </w:rPr>
        <w:t>None of them reflect an underlying analysis of the political economy which suggests that agencies within the sector may lack the basic human and financial resources to deliver services to a minimum standard, or that there may be fundamental failings in the quality, reach or provision of their service.</w:t>
      </w:r>
      <w:r>
        <w:rPr>
          <w:rFonts w:cs="Times New Roman"/>
        </w:rPr>
        <w:t xml:space="preserve">  The original design included </w:t>
      </w:r>
      <w:r w:rsidR="00EC62E6">
        <w:rPr>
          <w:rFonts w:cs="Times New Roman"/>
        </w:rPr>
        <w:t xml:space="preserve">some </w:t>
      </w:r>
      <w:r>
        <w:rPr>
          <w:rFonts w:cs="Times New Roman"/>
        </w:rPr>
        <w:t xml:space="preserve">elements of basic operational support (infrastructure, vehicles, maintenance, </w:t>
      </w:r>
      <w:proofErr w:type="gramStart"/>
      <w:r>
        <w:rPr>
          <w:rFonts w:cs="Times New Roman"/>
        </w:rPr>
        <w:t>support</w:t>
      </w:r>
      <w:proofErr w:type="gramEnd"/>
      <w:r>
        <w:rPr>
          <w:rFonts w:cs="Times New Roman"/>
        </w:rPr>
        <w:t xml:space="preserve"> costs) that enable basic government service provision.  </w:t>
      </w:r>
      <w:r w:rsidR="00EC62E6">
        <w:rPr>
          <w:rFonts w:cs="Times New Roman"/>
        </w:rPr>
        <w:t xml:space="preserve">Australia’s Pacific </w:t>
      </w:r>
      <w:r>
        <w:rPr>
          <w:rFonts w:cs="Times New Roman"/>
        </w:rPr>
        <w:t xml:space="preserve">Step Up and </w:t>
      </w:r>
      <w:r w:rsidR="00EC62E6">
        <w:rPr>
          <w:rFonts w:cs="Times New Roman"/>
        </w:rPr>
        <w:t xml:space="preserve">the </w:t>
      </w:r>
      <w:r>
        <w:rPr>
          <w:rFonts w:cs="Times New Roman"/>
        </w:rPr>
        <w:t xml:space="preserve">enhanced security cooperation agreed between Vanuatu and Australia </w:t>
      </w:r>
      <w:r w:rsidR="00EC62E6">
        <w:rPr>
          <w:rFonts w:cs="Times New Roman"/>
        </w:rPr>
        <w:t>in</w:t>
      </w:r>
      <w:r>
        <w:rPr>
          <w:rFonts w:cs="Times New Roman"/>
        </w:rPr>
        <w:t xml:space="preserve"> 2018 further directed resources to key operational priorities of the VPF.  An analysis </w:t>
      </w:r>
      <w:r w:rsidRPr="00D82BE1">
        <w:rPr>
          <w:rFonts w:cs="Times New Roman"/>
        </w:rPr>
        <w:t>was undertaken of the overall program budget across 12 cost categories which reflect like-for-like elements of the Progra</w:t>
      </w:r>
      <w:r>
        <w:rPr>
          <w:rFonts w:cs="Times New Roman"/>
        </w:rPr>
        <w:t xml:space="preserve">m to understand the underlying nature of the strategies deployed, contrasting short term operational support with longer term developmental approaches.  This showed that the shift in priorities </w:t>
      </w:r>
      <w:r w:rsidR="00EC62E6">
        <w:rPr>
          <w:rFonts w:cs="Times New Roman"/>
        </w:rPr>
        <w:t xml:space="preserve">since 2018 </w:t>
      </w:r>
      <w:r>
        <w:rPr>
          <w:rFonts w:cs="Times New Roman"/>
        </w:rPr>
        <w:t>is modest, but that the balance of effort needs to be maintained to achieve sustainable outcomes.</w:t>
      </w:r>
      <w:r w:rsidR="00111466">
        <w:rPr>
          <w:rFonts w:cs="Times New Roman"/>
        </w:rPr>
        <w:t xml:space="preserve"> </w:t>
      </w:r>
      <w:r w:rsidR="00111466" w:rsidRPr="00D82BE1">
        <w:rPr>
          <w:rFonts w:cs="Times New Roman"/>
        </w:rPr>
        <w:t xml:space="preserve">The rationale for the </w:t>
      </w:r>
      <w:r w:rsidR="00111466">
        <w:rPr>
          <w:rFonts w:cs="Times New Roman"/>
        </w:rPr>
        <w:t>emphasis</w:t>
      </w:r>
      <w:r w:rsidR="00111466" w:rsidRPr="00D82BE1">
        <w:rPr>
          <w:rFonts w:cs="Times New Roman"/>
        </w:rPr>
        <w:t xml:space="preserve"> in priorities and resources is well-founded</w:t>
      </w:r>
      <w:r w:rsidR="00111466">
        <w:rPr>
          <w:rFonts w:cs="Times New Roman"/>
        </w:rPr>
        <w:t>, and reflects the original, but implicit, intention of the program design.</w:t>
      </w:r>
    </w:p>
    <w:p w14:paraId="3B19F961" w14:textId="77777777" w:rsidR="000B017A" w:rsidRDefault="000B017A" w:rsidP="00E41B3C">
      <w:pPr>
        <w:numPr>
          <w:ilvl w:val="0"/>
          <w:numId w:val="3"/>
        </w:numPr>
        <w:spacing w:after="120" w:line="240" w:lineRule="auto"/>
        <w:ind w:left="0" w:firstLine="0"/>
        <w:jc w:val="both"/>
        <w:rPr>
          <w:rFonts w:ascii="Calibri" w:eastAsia="Calibri" w:hAnsi="Calibri" w:cs="Times New Roman"/>
        </w:rPr>
      </w:pPr>
      <w:r w:rsidRPr="00687860">
        <w:rPr>
          <w:rFonts w:ascii="Calibri" w:eastAsia="Calibri" w:hAnsi="Calibri" w:cs="Times New Roman"/>
        </w:rPr>
        <w:t xml:space="preserve">The </w:t>
      </w:r>
      <w:r>
        <w:rPr>
          <w:rFonts w:ascii="Calibri" w:eastAsia="Calibri" w:hAnsi="Calibri" w:cs="Times New Roman"/>
        </w:rPr>
        <w:t>P</w:t>
      </w:r>
      <w:r w:rsidRPr="00687860">
        <w:rPr>
          <w:rFonts w:ascii="Calibri" w:eastAsia="Calibri" w:hAnsi="Calibri" w:cs="Times New Roman"/>
        </w:rPr>
        <w:t xml:space="preserve">rogram has </w:t>
      </w:r>
      <w:r w:rsidRPr="00111466">
        <w:rPr>
          <w:rFonts w:ascii="Calibri" w:eastAsia="Calibri" w:hAnsi="Calibri" w:cs="Times New Roman"/>
          <w:b/>
          <w:bCs/>
        </w:rPr>
        <w:t>understated its positive impact on gender equality</w:t>
      </w:r>
      <w:r w:rsidRPr="00687860">
        <w:rPr>
          <w:rFonts w:ascii="Calibri" w:eastAsia="Calibri" w:hAnsi="Calibri" w:cs="Times New Roman"/>
        </w:rPr>
        <w:t>.</w:t>
      </w:r>
      <w:r>
        <w:rPr>
          <w:rFonts w:ascii="Calibri" w:eastAsia="Calibri" w:hAnsi="Calibri" w:cs="Times New Roman"/>
        </w:rPr>
        <w:t xml:space="preserve"> </w:t>
      </w:r>
      <w:r w:rsidRPr="00687860">
        <w:rPr>
          <w:rFonts w:ascii="Calibri" w:eastAsia="Calibri" w:hAnsi="Calibri" w:cs="Times New Roman"/>
        </w:rPr>
        <w:t xml:space="preserve">It has a strong focus and demonstrated impact on prevention and prosecution of family violence. </w:t>
      </w:r>
      <w:r w:rsidRPr="00111466">
        <w:rPr>
          <w:rFonts w:ascii="Calibri" w:eastAsia="Calibri" w:hAnsi="Calibri" w:cs="Times New Roman"/>
          <w:b/>
          <w:bCs/>
        </w:rPr>
        <w:t>Good progress has been made in integrating gender considerations across most program components</w:t>
      </w:r>
      <w:r w:rsidRPr="00687860">
        <w:rPr>
          <w:rFonts w:ascii="Calibri" w:eastAsia="Calibri" w:hAnsi="Calibri" w:cs="Times New Roman"/>
        </w:rPr>
        <w:t>, while more could be done in some areas.</w:t>
      </w:r>
    </w:p>
    <w:p w14:paraId="6E80E15E" w14:textId="77777777" w:rsidR="002C18B6" w:rsidRDefault="00111466" w:rsidP="00E41B3C">
      <w:pPr>
        <w:spacing w:after="120" w:line="240" w:lineRule="auto"/>
        <w:jc w:val="both"/>
        <w:rPr>
          <w:rFonts w:ascii="Calibri" w:eastAsia="Calibri" w:hAnsi="Calibri" w:cs="Times New Roman"/>
        </w:rPr>
      </w:pPr>
      <w:r>
        <w:rPr>
          <w:rFonts w:ascii="Calibri" w:eastAsia="Calibri" w:hAnsi="Calibri" w:cs="Times New Roman"/>
        </w:rPr>
        <w:t>The Program</w:t>
      </w:r>
      <w:r w:rsidRPr="003709A7">
        <w:rPr>
          <w:rFonts w:ascii="Calibri" w:eastAsia="Calibri" w:hAnsi="Calibri" w:cs="Times New Roman"/>
        </w:rPr>
        <w:t xml:space="preserve"> has contributed importantly and significantly to gender equality by strengthening Vanuatu’s systems and capability to prevent and prosecute </w:t>
      </w:r>
      <w:r>
        <w:rPr>
          <w:rFonts w:ascii="Calibri" w:eastAsia="Calibri" w:hAnsi="Calibri" w:cs="Times New Roman"/>
        </w:rPr>
        <w:t>family and sexual violence, particularly through its E</w:t>
      </w:r>
      <w:r w:rsidR="007250E8">
        <w:rPr>
          <w:rFonts w:ascii="Calibri" w:eastAsia="Calibri" w:hAnsi="Calibri" w:cs="Times New Roman"/>
        </w:rPr>
        <w:t>OPOs</w:t>
      </w:r>
      <w:r>
        <w:rPr>
          <w:rFonts w:ascii="Calibri" w:eastAsia="Calibri" w:hAnsi="Calibri" w:cs="Times New Roman"/>
        </w:rPr>
        <w:t xml:space="preserve"> focus, its approach across the chain of justice and through systems change, and partnership with internal advocates in key justice Agencies and organisations committed to gender equality (such as the Vanuatu Women’s Centre).  However, the Program’s</w:t>
      </w:r>
      <w:r w:rsidRPr="003709A7">
        <w:rPr>
          <w:rFonts w:ascii="Calibri" w:eastAsia="Calibri" w:hAnsi="Calibri" w:cs="Times New Roman"/>
        </w:rPr>
        <w:t xml:space="preserve"> gender story and impact is not well captured in program reporting</w:t>
      </w:r>
      <w:r>
        <w:rPr>
          <w:rFonts w:ascii="Calibri" w:eastAsia="Calibri" w:hAnsi="Calibri" w:cs="Times New Roman"/>
        </w:rPr>
        <w:t>, and there remain some missed opportunities to extend the good practices across the whole program.</w:t>
      </w:r>
      <w:r w:rsidR="002C18B6" w:rsidRPr="002C18B6">
        <w:t xml:space="preserve"> </w:t>
      </w:r>
      <w:r w:rsidR="002C18B6" w:rsidRPr="00D6008B">
        <w:t>While there is a strong external focus on gender through program activities and outcomes, greater attention could be paid to effectively progressing internal organisational agency gender issues</w:t>
      </w:r>
      <w:r w:rsidR="002C18B6">
        <w:t xml:space="preserve"> and addressing</w:t>
      </w:r>
      <w:r w:rsidR="002C18B6">
        <w:rPr>
          <w:rFonts w:ascii="Calibri" w:eastAsia="Calibri" w:hAnsi="Calibri" w:cs="Times New Roman"/>
        </w:rPr>
        <w:t xml:space="preserve"> </w:t>
      </w:r>
      <w:r w:rsidR="002C18B6" w:rsidRPr="000B017A">
        <w:rPr>
          <w:rFonts w:ascii="Calibri" w:eastAsia="Calibri" w:hAnsi="Calibri" w:cs="Times New Roman"/>
        </w:rPr>
        <w:t>deep-seated structural issues</w:t>
      </w:r>
      <w:r w:rsidR="002C18B6">
        <w:rPr>
          <w:rFonts w:ascii="Calibri" w:eastAsia="Calibri" w:hAnsi="Calibri" w:cs="Times New Roman"/>
        </w:rPr>
        <w:t xml:space="preserve"> such as Family Protection Unit</w:t>
      </w:r>
      <w:r w:rsidR="002C18B6" w:rsidRPr="000B017A">
        <w:rPr>
          <w:rFonts w:ascii="Calibri" w:eastAsia="Calibri" w:hAnsi="Calibri" w:cs="Times New Roman"/>
        </w:rPr>
        <w:t xml:space="preserve"> workload, women’s representation in senior roles, and gender equity of new recruits</w:t>
      </w:r>
      <w:r w:rsidR="002C18B6">
        <w:rPr>
          <w:rFonts w:ascii="Calibri" w:eastAsia="Calibri" w:hAnsi="Calibri" w:cs="Times New Roman"/>
        </w:rPr>
        <w:t xml:space="preserve">. </w:t>
      </w:r>
    </w:p>
    <w:p w14:paraId="6152B8E6" w14:textId="299D25CD" w:rsidR="00111466" w:rsidRDefault="00111466" w:rsidP="00E41B3C">
      <w:pPr>
        <w:numPr>
          <w:ilvl w:val="0"/>
          <w:numId w:val="3"/>
        </w:numPr>
        <w:spacing w:after="120" w:line="240" w:lineRule="auto"/>
        <w:ind w:left="0" w:firstLine="0"/>
        <w:jc w:val="both"/>
        <w:rPr>
          <w:rFonts w:ascii="Calibri" w:eastAsia="Calibri" w:hAnsi="Calibri" w:cs="Times New Roman"/>
        </w:rPr>
      </w:pPr>
      <w:r w:rsidRPr="00210223">
        <w:rPr>
          <w:rFonts w:ascii="Calibri" w:eastAsia="Calibri" w:hAnsi="Calibri" w:cs="Times New Roman"/>
        </w:rPr>
        <w:t>Early evidence</w:t>
      </w:r>
      <w:r w:rsidRPr="00111466">
        <w:rPr>
          <w:rFonts w:ascii="Calibri" w:eastAsia="Calibri" w:hAnsi="Calibri" w:cs="Times New Roman"/>
        </w:rPr>
        <w:t xml:space="preserve"> suggests that the Program’s efforts to engage at </w:t>
      </w:r>
      <w:r w:rsidRPr="00111466">
        <w:rPr>
          <w:rFonts w:ascii="Calibri" w:eastAsia="Calibri" w:hAnsi="Calibri" w:cs="Times New Roman"/>
          <w:b/>
          <w:bCs/>
        </w:rPr>
        <w:t xml:space="preserve">community level is having </w:t>
      </w:r>
      <w:r w:rsidR="00470FE1">
        <w:rPr>
          <w:rFonts w:ascii="Calibri" w:eastAsia="Calibri" w:hAnsi="Calibri" w:cs="Times New Roman"/>
          <w:b/>
          <w:bCs/>
        </w:rPr>
        <w:t xml:space="preserve">a </w:t>
      </w:r>
      <w:r w:rsidRPr="00111466">
        <w:rPr>
          <w:rFonts w:ascii="Calibri" w:eastAsia="Calibri" w:hAnsi="Calibri" w:cs="Times New Roman"/>
          <w:b/>
          <w:bCs/>
        </w:rPr>
        <w:t>tangible impact</w:t>
      </w:r>
      <w:r w:rsidRPr="00111466">
        <w:rPr>
          <w:rFonts w:ascii="Calibri" w:eastAsia="Calibri" w:hAnsi="Calibri" w:cs="Times New Roman"/>
        </w:rPr>
        <w:t xml:space="preserve">, including changing attitudes and behaviours particularly concerning violence against women. </w:t>
      </w:r>
      <w:r w:rsidRPr="00111466">
        <w:rPr>
          <w:rFonts w:ascii="Calibri" w:eastAsia="Calibri" w:hAnsi="Calibri" w:cs="Times New Roman"/>
          <w:b/>
          <w:bCs/>
        </w:rPr>
        <w:t>Awareness and outreach activities are highly valued by communities</w:t>
      </w:r>
      <w:r w:rsidRPr="00111466">
        <w:rPr>
          <w:rFonts w:ascii="Calibri" w:eastAsia="Calibri" w:hAnsi="Calibri" w:cs="Times New Roman"/>
        </w:rPr>
        <w:t xml:space="preserve"> who are seeking greater visibility and access to justice systems. While not able to operate at scale, these activities are critical to the “virtuous spiral” necessary for increasing demand and accountability for effective governance across the chain of justice.</w:t>
      </w:r>
    </w:p>
    <w:p w14:paraId="3D8C432B" w14:textId="54373032" w:rsidR="00111466" w:rsidRPr="00414150" w:rsidRDefault="00111466" w:rsidP="00414150">
      <w:pPr>
        <w:shd w:val="clear" w:color="auto" w:fill="FFFFFF" w:themeFill="background1"/>
        <w:spacing w:line="240" w:lineRule="auto"/>
        <w:jc w:val="both"/>
        <w:rPr>
          <w:rFonts w:ascii="Calibri" w:eastAsia="Calibri" w:hAnsi="Calibri" w:cs="Times New Roman"/>
        </w:rPr>
      </w:pPr>
      <w:r w:rsidRPr="00F23B61">
        <w:rPr>
          <w:rFonts w:ascii="Calibri" w:eastAsia="Calibri" w:hAnsi="Calibri" w:cs="Times New Roman"/>
        </w:rPr>
        <w:t xml:space="preserve">The Program implements a range of community interventions through </w:t>
      </w:r>
      <w:r>
        <w:rPr>
          <w:rFonts w:ascii="Calibri" w:eastAsia="Calibri" w:hAnsi="Calibri" w:cs="Times New Roman"/>
        </w:rPr>
        <w:t>community</w:t>
      </w:r>
      <w:r w:rsidRPr="009705CD">
        <w:rPr>
          <w:rFonts w:ascii="Calibri" w:eastAsia="Calibri" w:hAnsi="Calibri" w:cs="Times New Roman"/>
        </w:rPr>
        <w:t xml:space="preserve"> grants and community partnerships including:</w:t>
      </w:r>
      <w:r w:rsidR="00E41B3C">
        <w:rPr>
          <w:rFonts w:ascii="Calibri" w:eastAsia="Calibri" w:hAnsi="Calibri" w:cs="Times New Roman"/>
        </w:rPr>
        <w:t xml:space="preserve"> </w:t>
      </w:r>
      <w:r w:rsidRPr="009705CD">
        <w:rPr>
          <w:rFonts w:ascii="Calibri" w:eastAsia="Calibri" w:hAnsi="Calibri" w:cs="Times New Roman"/>
        </w:rPr>
        <w:t>the</w:t>
      </w:r>
      <w:r w:rsidR="00EB5EF1">
        <w:rPr>
          <w:rFonts w:ascii="Calibri" w:eastAsia="Calibri" w:hAnsi="Calibri" w:cs="Times New Roman"/>
        </w:rPr>
        <w:t xml:space="preserve"> </w:t>
      </w:r>
      <w:r>
        <w:rPr>
          <w:rFonts w:ascii="Calibri" w:eastAsia="Calibri" w:hAnsi="Calibri" w:cs="Times New Roman"/>
        </w:rPr>
        <w:t>Authorised Persons</w:t>
      </w:r>
      <w:r w:rsidRPr="009705CD">
        <w:rPr>
          <w:rFonts w:ascii="Calibri" w:eastAsia="Calibri" w:hAnsi="Calibri" w:cs="Times New Roman"/>
        </w:rPr>
        <w:t xml:space="preserve"> Pilot project: </w:t>
      </w:r>
      <w:r>
        <w:rPr>
          <w:rFonts w:ascii="Calibri" w:eastAsia="Calibri" w:hAnsi="Calibri" w:cs="Times New Roman"/>
        </w:rPr>
        <w:t xml:space="preserve">community awareness raising sessions (for </w:t>
      </w:r>
      <w:r w:rsidRPr="00BC65FB">
        <w:rPr>
          <w:rFonts w:eastAsia="Times New Roman" w:cstheme="minorHAnsi"/>
          <w:color w:val="000000" w:themeColor="text1"/>
          <w:shd w:val="clear" w:color="auto" w:fill="FFFFFF"/>
        </w:rPr>
        <w:t>chiefs, community members, women, men and youth</w:t>
      </w:r>
      <w:r>
        <w:rPr>
          <w:rFonts w:eastAsia="Times New Roman" w:cstheme="minorHAnsi"/>
          <w:color w:val="000000" w:themeColor="text1"/>
          <w:shd w:val="clear" w:color="auto" w:fill="FFFFFF"/>
        </w:rPr>
        <w:t>)</w:t>
      </w:r>
      <w:r>
        <w:rPr>
          <w:rFonts w:ascii="Calibri" w:eastAsia="Calibri" w:hAnsi="Calibri" w:cs="Times New Roman"/>
        </w:rPr>
        <w:t xml:space="preserve">; </w:t>
      </w:r>
      <w:r w:rsidR="00EB5EF1">
        <w:rPr>
          <w:rFonts w:ascii="Calibri" w:eastAsia="Calibri" w:hAnsi="Calibri" w:cs="Times New Roman"/>
        </w:rPr>
        <w:t xml:space="preserve">and </w:t>
      </w:r>
      <w:r w:rsidRPr="00AA6A3C">
        <w:rPr>
          <w:rFonts w:ascii="Calibri" w:eastAsia="Calibri" w:hAnsi="Calibri" w:cs="Times New Roman"/>
        </w:rPr>
        <w:t>cross-sector workshops for youth</w:t>
      </w:r>
      <w:r w:rsidRPr="00F23B61">
        <w:rPr>
          <w:rFonts w:ascii="Calibri" w:eastAsia="Calibri" w:hAnsi="Calibri" w:cs="Times New Roman"/>
        </w:rPr>
        <w:t>; and disability projects. Community level FSV initiatives are resulting in positive changes including raised awareness of FSV laws and services; opening of a dialogue within communities about changing of norms and behaviours; and increasing community knowledge of and links with formal policing and justice agencies and support services</w:t>
      </w:r>
      <w:r w:rsidR="00092F70">
        <w:rPr>
          <w:rFonts w:ascii="Calibri" w:eastAsia="Calibri" w:hAnsi="Calibri" w:cs="Times New Roman"/>
        </w:rPr>
        <w:t>.</w:t>
      </w:r>
      <w:r w:rsidR="00EB5EF1">
        <w:t xml:space="preserve"> </w:t>
      </w:r>
      <w:r w:rsidR="00EB5EF1" w:rsidRPr="00F23B61">
        <w:rPr>
          <w:rFonts w:ascii="Calibri" w:eastAsia="Calibri" w:hAnsi="Calibri" w:cs="Times New Roman"/>
        </w:rPr>
        <w:t xml:space="preserve">Formal policing and justice elements and community level initiatives have been well integrated within </w:t>
      </w:r>
      <w:r w:rsidR="00EB5EF1">
        <w:rPr>
          <w:rFonts w:ascii="Calibri" w:eastAsia="Calibri" w:hAnsi="Calibri" w:cs="Times New Roman"/>
        </w:rPr>
        <w:t>the Program</w:t>
      </w:r>
      <w:r w:rsidR="00EB5EF1" w:rsidRPr="00F23B61">
        <w:rPr>
          <w:rFonts w:ascii="Calibri" w:eastAsia="Calibri" w:hAnsi="Calibri" w:cs="Times New Roman"/>
        </w:rPr>
        <w:t>. The Program has b</w:t>
      </w:r>
      <w:r w:rsidR="00470FE1">
        <w:rPr>
          <w:rFonts w:ascii="Calibri" w:eastAsia="Calibri" w:hAnsi="Calibri" w:cs="Times New Roman"/>
        </w:rPr>
        <w:t>r</w:t>
      </w:r>
      <w:r w:rsidR="00EB5EF1" w:rsidRPr="00F23B61">
        <w:rPr>
          <w:rFonts w:ascii="Calibri" w:eastAsia="Calibri" w:hAnsi="Calibri" w:cs="Times New Roman"/>
        </w:rPr>
        <w:t>ought key policing and justice partners to the community and has also linked community members with the formal system through exposure visits and referrals</w:t>
      </w:r>
      <w:r w:rsidR="00093652" w:rsidRPr="00F23B61">
        <w:rPr>
          <w:rFonts w:ascii="Calibri" w:eastAsia="Calibri" w:hAnsi="Calibri" w:cs="Times New Roman"/>
        </w:rPr>
        <w:t>.</w:t>
      </w:r>
      <w:r w:rsidR="00093652">
        <w:rPr>
          <w:rFonts w:ascii="Calibri" w:eastAsia="Calibri" w:hAnsi="Calibri" w:cs="Times New Roman"/>
        </w:rPr>
        <w:t xml:space="preserve"> </w:t>
      </w:r>
      <w:r w:rsidR="00893FD9" w:rsidRPr="00F23B61">
        <w:t>The continued success of these initiatives is likely to be linked with quality of services and support women receive if they access the formal justice system.</w:t>
      </w:r>
      <w:r w:rsidR="00893FD9">
        <w:t xml:space="preserve"> </w:t>
      </w:r>
      <w:r w:rsidR="00093652" w:rsidRPr="00F23B61">
        <w:t xml:space="preserve">These community level projects represent small pockets of practice, and have not been </w:t>
      </w:r>
      <w:r w:rsidR="00093652" w:rsidRPr="00414150">
        <w:t xml:space="preserve">implemented at scale. </w:t>
      </w:r>
    </w:p>
    <w:p w14:paraId="48F9ACE0" w14:textId="77777777" w:rsidR="00687860" w:rsidRPr="00414150" w:rsidRDefault="00687860" w:rsidP="00414150">
      <w:pPr>
        <w:numPr>
          <w:ilvl w:val="0"/>
          <w:numId w:val="3"/>
        </w:numPr>
        <w:shd w:val="clear" w:color="auto" w:fill="FFFFFF" w:themeFill="background1"/>
        <w:spacing w:after="120" w:line="240" w:lineRule="auto"/>
        <w:ind w:left="0" w:firstLine="0"/>
        <w:rPr>
          <w:rFonts w:ascii="Calibri" w:eastAsia="Calibri" w:hAnsi="Calibri" w:cs="Times New Roman"/>
        </w:rPr>
      </w:pPr>
      <w:r w:rsidRPr="00414150">
        <w:rPr>
          <w:rFonts w:ascii="Calibri" w:eastAsia="Calibri" w:hAnsi="Calibri" w:cs="Times New Roman"/>
        </w:rPr>
        <w:t xml:space="preserve">There are a </w:t>
      </w:r>
      <w:r w:rsidRPr="00414150">
        <w:rPr>
          <w:rFonts w:ascii="Calibri" w:eastAsia="Calibri" w:hAnsi="Calibri" w:cs="Times New Roman"/>
          <w:b/>
          <w:bCs/>
        </w:rPr>
        <w:t>wide range of approaches</w:t>
      </w:r>
      <w:r w:rsidRPr="00414150">
        <w:rPr>
          <w:rFonts w:ascii="Calibri" w:eastAsia="Calibri" w:hAnsi="Calibri" w:cs="Times New Roman"/>
        </w:rPr>
        <w:t xml:space="preserve"> and practices for capacity development across the Program. Some parts of the </w:t>
      </w:r>
      <w:r w:rsidR="00E53220" w:rsidRPr="00414150">
        <w:rPr>
          <w:rFonts w:ascii="Calibri" w:eastAsia="Calibri" w:hAnsi="Calibri" w:cs="Times New Roman"/>
        </w:rPr>
        <w:t>P</w:t>
      </w:r>
      <w:r w:rsidRPr="00414150">
        <w:rPr>
          <w:rFonts w:ascii="Calibri" w:eastAsia="Calibri" w:hAnsi="Calibri" w:cs="Times New Roman"/>
        </w:rPr>
        <w:t xml:space="preserve">rogram </w:t>
      </w:r>
      <w:r w:rsidRPr="00414150">
        <w:rPr>
          <w:rFonts w:ascii="Calibri" w:eastAsia="Calibri" w:hAnsi="Calibri" w:cs="Times New Roman"/>
          <w:b/>
          <w:bCs/>
        </w:rPr>
        <w:t>demonstrate good practice</w:t>
      </w:r>
      <w:r w:rsidRPr="00414150">
        <w:rPr>
          <w:rFonts w:ascii="Calibri" w:eastAsia="Calibri" w:hAnsi="Calibri" w:cs="Times New Roman"/>
        </w:rPr>
        <w:t xml:space="preserve"> and other parts of the </w:t>
      </w:r>
      <w:r w:rsidR="00E53220" w:rsidRPr="00414150">
        <w:rPr>
          <w:rFonts w:ascii="Calibri" w:eastAsia="Calibri" w:hAnsi="Calibri" w:cs="Times New Roman"/>
        </w:rPr>
        <w:t>P</w:t>
      </w:r>
      <w:r w:rsidRPr="00414150">
        <w:rPr>
          <w:rFonts w:ascii="Calibri" w:eastAsia="Calibri" w:hAnsi="Calibri" w:cs="Times New Roman"/>
        </w:rPr>
        <w:t>rogram rely on a</w:t>
      </w:r>
      <w:r w:rsidR="004910F3" w:rsidRPr="00414150">
        <w:rPr>
          <w:rFonts w:ascii="Calibri" w:eastAsia="Calibri" w:hAnsi="Calibri" w:cs="Times New Roman"/>
        </w:rPr>
        <w:t xml:space="preserve"> more</w:t>
      </w:r>
      <w:r w:rsidRPr="00414150">
        <w:rPr>
          <w:rFonts w:ascii="Calibri" w:eastAsia="Calibri" w:hAnsi="Calibri" w:cs="Times New Roman"/>
        </w:rPr>
        <w:t xml:space="preserve"> traditional </w:t>
      </w:r>
      <w:r w:rsidR="004910F3" w:rsidRPr="00414150">
        <w:rPr>
          <w:rFonts w:ascii="Calibri" w:eastAsia="Calibri" w:hAnsi="Calibri" w:cs="Times New Roman"/>
        </w:rPr>
        <w:t>approach</w:t>
      </w:r>
      <w:r w:rsidRPr="00414150">
        <w:rPr>
          <w:rFonts w:ascii="Calibri" w:eastAsia="Calibri" w:hAnsi="Calibri" w:cs="Times New Roman"/>
        </w:rPr>
        <w:t xml:space="preserve"> with </w:t>
      </w:r>
      <w:r w:rsidRPr="00414150">
        <w:rPr>
          <w:rFonts w:ascii="Calibri" w:eastAsia="Calibri" w:hAnsi="Calibri" w:cs="Times New Roman"/>
          <w:b/>
          <w:bCs/>
        </w:rPr>
        <w:t>less clear pathways to local ownership</w:t>
      </w:r>
      <w:r w:rsidRPr="00414150">
        <w:rPr>
          <w:rFonts w:ascii="Calibri" w:eastAsia="Calibri" w:hAnsi="Calibri" w:cs="Times New Roman"/>
        </w:rPr>
        <w:t xml:space="preserve"> and sustainability.</w:t>
      </w:r>
    </w:p>
    <w:p w14:paraId="2D69E890" w14:textId="77777777" w:rsidR="00EB5EF1" w:rsidRDefault="00EB5EF1" w:rsidP="00414150">
      <w:pPr>
        <w:shd w:val="clear" w:color="auto" w:fill="FFFFFF" w:themeFill="background1"/>
        <w:spacing w:line="240" w:lineRule="auto"/>
        <w:jc w:val="both"/>
        <w:rPr>
          <w:rFonts w:cs="Times New Roman"/>
        </w:rPr>
      </w:pPr>
      <w:r w:rsidRPr="00414150">
        <w:rPr>
          <w:rFonts w:cs="Times New Roman"/>
        </w:rPr>
        <w:t>The Capacity Development Strategy developed for the Program provides a comprehensive framework and plan which utilises a broad range of concepts and practices. This strategy</w:t>
      </w:r>
      <w:r w:rsidRPr="00C70E58">
        <w:rPr>
          <w:rFonts w:cs="Times New Roman"/>
        </w:rPr>
        <w:t xml:space="preserve">, while conceptually sound in many ways, </w:t>
      </w:r>
      <w:r>
        <w:rPr>
          <w:rFonts w:cs="Times New Roman"/>
        </w:rPr>
        <w:t>is</w:t>
      </w:r>
      <w:r w:rsidRPr="00C70E58">
        <w:rPr>
          <w:rFonts w:cs="Times New Roman"/>
        </w:rPr>
        <w:t xml:space="preserve"> </w:t>
      </w:r>
      <w:r>
        <w:rPr>
          <w:rFonts w:cs="Times New Roman"/>
        </w:rPr>
        <w:t xml:space="preserve">overly complicated for practical implementation, and progress is hard to monitor. </w:t>
      </w:r>
      <w:r w:rsidR="00893FD9">
        <w:rPr>
          <w:rFonts w:cs="Times New Roman"/>
        </w:rPr>
        <w:t>T</w:t>
      </w:r>
      <w:r w:rsidR="00893FD9" w:rsidRPr="00893FD9">
        <w:rPr>
          <w:rFonts w:cs="Times New Roman"/>
        </w:rPr>
        <w:t xml:space="preserve">he </w:t>
      </w:r>
      <w:r w:rsidR="00893FD9">
        <w:rPr>
          <w:rFonts w:cs="Times New Roman"/>
        </w:rPr>
        <w:t>P</w:t>
      </w:r>
      <w:r w:rsidR="00893FD9" w:rsidRPr="00893FD9">
        <w:rPr>
          <w:rFonts w:cs="Times New Roman"/>
        </w:rPr>
        <w:t xml:space="preserve">rogram has been designed to draw on a broad range of specialist expertise. </w:t>
      </w:r>
      <w:r w:rsidR="00893FD9">
        <w:rPr>
          <w:rFonts w:cs="Times New Roman"/>
        </w:rPr>
        <w:t>While t</w:t>
      </w:r>
      <w:r w:rsidR="00893FD9" w:rsidRPr="00893FD9">
        <w:rPr>
          <w:rFonts w:cs="Times New Roman"/>
        </w:rPr>
        <w:t>he modality is achieving results</w:t>
      </w:r>
      <w:r w:rsidR="00893FD9">
        <w:rPr>
          <w:rFonts w:cs="Times New Roman"/>
        </w:rPr>
        <w:t xml:space="preserve">, it </w:t>
      </w:r>
      <w:r w:rsidR="00893FD9" w:rsidRPr="00893FD9">
        <w:rPr>
          <w:rFonts w:cs="Times New Roman"/>
        </w:rPr>
        <w:t>could be refined over time</w:t>
      </w:r>
      <w:r>
        <w:rPr>
          <w:rFonts w:cs="Times New Roman"/>
        </w:rPr>
        <w:t xml:space="preserve">.  There are opportunities to learn from the good practice across the Program, </w:t>
      </w:r>
      <w:r w:rsidRPr="006302FD">
        <w:rPr>
          <w:rFonts w:cs="Times New Roman"/>
        </w:rPr>
        <w:t xml:space="preserve">and </w:t>
      </w:r>
      <w:r w:rsidR="004910F3">
        <w:rPr>
          <w:rFonts w:cs="Times New Roman"/>
        </w:rPr>
        <w:t xml:space="preserve">further </w:t>
      </w:r>
      <w:r w:rsidRPr="006302FD">
        <w:rPr>
          <w:rFonts w:cs="Times New Roman"/>
        </w:rPr>
        <w:t>consider alternative modalities</w:t>
      </w:r>
      <w:r w:rsidRPr="004910F3">
        <w:rPr>
          <w:rFonts w:cs="Times New Roman"/>
        </w:rPr>
        <w:t xml:space="preserve"> which would add to the ability of the program to contribute to capacity development at Agency and sector level in the longer term.</w:t>
      </w:r>
      <w:r w:rsidR="004910F3">
        <w:rPr>
          <w:rFonts w:cs="Times New Roman"/>
        </w:rPr>
        <w:t xml:space="preserve"> </w:t>
      </w:r>
    </w:p>
    <w:p w14:paraId="530BB853" w14:textId="77777777" w:rsidR="00687860" w:rsidRPr="00687860" w:rsidRDefault="00687860" w:rsidP="00E41B3C">
      <w:pPr>
        <w:numPr>
          <w:ilvl w:val="0"/>
          <w:numId w:val="3"/>
        </w:numPr>
        <w:spacing w:after="120" w:line="240" w:lineRule="auto"/>
        <w:ind w:left="0" w:firstLine="0"/>
        <w:jc w:val="both"/>
        <w:rPr>
          <w:rFonts w:ascii="Calibri" w:eastAsia="Calibri" w:hAnsi="Calibri" w:cs="Times New Roman"/>
        </w:rPr>
      </w:pPr>
      <w:r w:rsidRPr="00687860">
        <w:rPr>
          <w:rFonts w:ascii="Calibri" w:eastAsia="Calibri" w:hAnsi="Calibri" w:cs="Times New Roman"/>
        </w:rPr>
        <w:t xml:space="preserve">The </w:t>
      </w:r>
      <w:r w:rsidR="00382ABC">
        <w:rPr>
          <w:rFonts w:ascii="Calibri" w:eastAsia="Calibri" w:hAnsi="Calibri" w:cs="Times New Roman"/>
        </w:rPr>
        <w:t xml:space="preserve">EOPOs </w:t>
      </w:r>
      <w:r w:rsidRPr="00687860">
        <w:rPr>
          <w:rFonts w:ascii="Calibri" w:eastAsia="Calibri" w:hAnsi="Calibri" w:cs="Times New Roman"/>
        </w:rPr>
        <w:t xml:space="preserve">have </w:t>
      </w:r>
      <w:r w:rsidRPr="00EB5EF1">
        <w:rPr>
          <w:rFonts w:ascii="Calibri" w:eastAsia="Calibri" w:hAnsi="Calibri" w:cs="Times New Roman"/>
          <w:b/>
          <w:bCs/>
        </w:rPr>
        <w:t>driven performance towards a vision of results</w:t>
      </w:r>
      <w:r w:rsidRPr="00687860">
        <w:rPr>
          <w:rFonts w:ascii="Calibri" w:eastAsia="Calibri" w:hAnsi="Calibri" w:cs="Times New Roman"/>
        </w:rPr>
        <w:t xml:space="preserve"> through integrated systems thinking, </w:t>
      </w:r>
      <w:r w:rsidRPr="00EB5EF1">
        <w:rPr>
          <w:rFonts w:ascii="Calibri" w:eastAsia="Calibri" w:hAnsi="Calibri" w:cs="Times New Roman"/>
          <w:b/>
          <w:bCs/>
        </w:rPr>
        <w:t>but the implementation arrangements</w:t>
      </w:r>
      <w:r w:rsidRPr="00687860">
        <w:rPr>
          <w:rFonts w:ascii="Calibri" w:eastAsia="Calibri" w:hAnsi="Calibri" w:cs="Times New Roman"/>
        </w:rPr>
        <w:t xml:space="preserve"> (program logic, </w:t>
      </w:r>
      <w:r w:rsidR="00C27CC6">
        <w:rPr>
          <w:rFonts w:ascii="Calibri" w:eastAsia="Calibri" w:hAnsi="Calibri" w:cs="Times New Roman"/>
        </w:rPr>
        <w:t>Monitoring and Evaluation (</w:t>
      </w:r>
      <w:r w:rsidRPr="00687860">
        <w:rPr>
          <w:rFonts w:ascii="Calibri" w:eastAsia="Calibri" w:hAnsi="Calibri" w:cs="Times New Roman"/>
        </w:rPr>
        <w:t>M&amp;E</w:t>
      </w:r>
      <w:r w:rsidR="00C27CC6">
        <w:rPr>
          <w:rFonts w:ascii="Calibri" w:eastAsia="Calibri" w:hAnsi="Calibri" w:cs="Times New Roman"/>
        </w:rPr>
        <w:t>)</w:t>
      </w:r>
      <w:r w:rsidRPr="00687860">
        <w:rPr>
          <w:rFonts w:ascii="Calibri" w:eastAsia="Calibri" w:hAnsi="Calibri" w:cs="Times New Roman"/>
        </w:rPr>
        <w:t xml:space="preserve">, annual planning and budget systems) </w:t>
      </w:r>
      <w:r w:rsidRPr="00EB5EF1">
        <w:rPr>
          <w:rFonts w:ascii="Calibri" w:eastAsia="Calibri" w:hAnsi="Calibri" w:cs="Times New Roman"/>
          <w:b/>
          <w:bCs/>
        </w:rPr>
        <w:t xml:space="preserve">are </w:t>
      </w:r>
      <w:r w:rsidR="008E0E95">
        <w:rPr>
          <w:rFonts w:ascii="Calibri" w:eastAsia="Calibri" w:hAnsi="Calibri" w:cs="Times New Roman"/>
          <w:b/>
          <w:bCs/>
        </w:rPr>
        <w:t xml:space="preserve">complex and </w:t>
      </w:r>
      <w:r w:rsidRPr="00EB5EF1">
        <w:rPr>
          <w:rFonts w:ascii="Calibri" w:eastAsia="Calibri" w:hAnsi="Calibri" w:cs="Times New Roman"/>
          <w:b/>
          <w:bCs/>
        </w:rPr>
        <w:t>not well aligned</w:t>
      </w:r>
      <w:r w:rsidRPr="00687860">
        <w:rPr>
          <w:rFonts w:ascii="Calibri" w:eastAsia="Calibri" w:hAnsi="Calibri" w:cs="Times New Roman"/>
        </w:rPr>
        <w:t>, and could be more efficient to manage.</w:t>
      </w:r>
    </w:p>
    <w:p w14:paraId="03AB2418" w14:textId="77777777" w:rsidR="008E0E95" w:rsidRPr="00893FD9" w:rsidRDefault="00EB5EF1" w:rsidP="00893FD9">
      <w:pPr>
        <w:spacing w:after="100" w:line="240" w:lineRule="auto"/>
        <w:jc w:val="both"/>
      </w:pPr>
      <w:r w:rsidRPr="00EB5EF1">
        <w:t xml:space="preserve">The original design and </w:t>
      </w:r>
      <w:r w:rsidR="00092F70">
        <w:t>EOPO</w:t>
      </w:r>
      <w:r w:rsidRPr="00EB5EF1">
        <w:t xml:space="preserve">s </w:t>
      </w:r>
      <w:r w:rsidR="008E0E95">
        <w:t>have come to represent a compelling integrated ‘vision’ for the program, that brings the wide group of stakeholders (GOV agencies) and implementing partners (Contractor and AFP) together to achieve meaningful results.  The design structure (3 EOPOs and 15 IO) has a flexible annual planning process</w:t>
      </w:r>
      <w:r w:rsidR="00893FD9">
        <w:t>. However, several approaches to implementation arrangements have been created complicating management, monitoring and evaluation and reporting</w:t>
      </w:r>
      <w:r w:rsidR="00092F70">
        <w:t>.</w:t>
      </w:r>
    </w:p>
    <w:p w14:paraId="57945B53" w14:textId="77777777" w:rsidR="00F1171F" w:rsidRDefault="008E0E95" w:rsidP="00F1171F">
      <w:pPr>
        <w:spacing w:after="100" w:line="240" w:lineRule="auto"/>
        <w:jc w:val="both"/>
      </w:pPr>
      <w:r>
        <w:t xml:space="preserve">The complexity of the program logic and implementation arrangements may also have affected the working relationships between DFAT, the </w:t>
      </w:r>
      <w:proofErr w:type="spellStart"/>
      <w:r>
        <w:t>GoV</w:t>
      </w:r>
      <w:proofErr w:type="spellEnd"/>
      <w:r>
        <w:t xml:space="preserve">, the Managing Contractor and the AFP, as there are different understandings and expectations from the Program. The multiple ‘lenses’ with which to view the Program has added to the transactions and time needed to review and approve documents and plans. At the operational level, different </w:t>
      </w:r>
      <w:proofErr w:type="spellStart"/>
      <w:r>
        <w:t>GoV</w:t>
      </w:r>
      <w:proofErr w:type="spellEnd"/>
      <w:r>
        <w:t xml:space="preserve"> agencies interact with the Program in different ways. Advisers manage their workloads, relationships and plans in</w:t>
      </w:r>
      <w:r w:rsidR="0062788A">
        <w:t xml:space="preserve"> </w:t>
      </w:r>
      <w:r>
        <w:t>different manner</w:t>
      </w:r>
      <w:r w:rsidR="0062788A">
        <w:t>s</w:t>
      </w:r>
      <w:r>
        <w:t xml:space="preserve">. While this creates responsiveness to local partners, it also allows for different quality and approaches in implementation, and adds some inefficiency to management and reporting. </w:t>
      </w:r>
      <w:r w:rsidR="007B7CEA">
        <w:t>There are opportunities to streamline governance and management accountabilities within a ‘partnership’ model whereby the Contractor leads on operational and administrative issues and Australian Government agencies (including</w:t>
      </w:r>
      <w:r w:rsidR="0078371A">
        <w:t xml:space="preserve"> DFAT, AFP and ADF</w:t>
      </w:r>
      <w:r w:rsidR="007B7CEA">
        <w:t>)</w:t>
      </w:r>
      <w:r w:rsidR="00F1171F">
        <w:t xml:space="preserve"> jointly agree to policy and strategic direction.</w:t>
      </w:r>
    </w:p>
    <w:p w14:paraId="7180583D" w14:textId="77777777" w:rsidR="00687860" w:rsidRPr="008E0E95" w:rsidRDefault="00687860" w:rsidP="00687860">
      <w:pPr>
        <w:pStyle w:val="SDAbodytext"/>
        <w:rPr>
          <w:b/>
          <w:bCs/>
        </w:rPr>
      </w:pPr>
      <w:r w:rsidRPr="008E0E95">
        <w:rPr>
          <w:b/>
          <w:bCs/>
        </w:rPr>
        <w:t>Key evaluation recommendations:</w:t>
      </w:r>
    </w:p>
    <w:p w14:paraId="63C61B3D" w14:textId="77777777" w:rsidR="006F1E98" w:rsidRPr="000B017A" w:rsidRDefault="00687860" w:rsidP="00E41B3C">
      <w:pPr>
        <w:numPr>
          <w:ilvl w:val="0"/>
          <w:numId w:val="43"/>
        </w:numPr>
        <w:spacing w:after="120" w:line="240" w:lineRule="auto"/>
        <w:jc w:val="both"/>
        <w:rPr>
          <w:rFonts w:ascii="Calibri" w:eastAsia="Calibri" w:hAnsi="Calibri" w:cs="Times New Roman"/>
        </w:rPr>
      </w:pPr>
      <w:r w:rsidRPr="00687860">
        <w:rPr>
          <w:rFonts w:ascii="Calibri" w:eastAsia="Calibri" w:hAnsi="Calibri" w:cs="Times New Roman"/>
        </w:rPr>
        <w:t xml:space="preserve">DFAT should continue the </w:t>
      </w:r>
      <w:r w:rsidR="00E53220">
        <w:rPr>
          <w:rFonts w:ascii="Calibri" w:eastAsia="Calibri" w:hAnsi="Calibri" w:cs="Times New Roman"/>
        </w:rPr>
        <w:t>P</w:t>
      </w:r>
      <w:r w:rsidRPr="00687860">
        <w:rPr>
          <w:rFonts w:ascii="Calibri" w:eastAsia="Calibri" w:hAnsi="Calibri" w:cs="Times New Roman"/>
        </w:rPr>
        <w:t xml:space="preserve">rogram into </w:t>
      </w:r>
      <w:r w:rsidR="00CE0818">
        <w:rPr>
          <w:rFonts w:ascii="Calibri" w:eastAsia="Calibri" w:hAnsi="Calibri" w:cs="Times New Roman"/>
        </w:rPr>
        <w:t>a further</w:t>
      </w:r>
      <w:r w:rsidRPr="00687860">
        <w:rPr>
          <w:rFonts w:ascii="Calibri" w:eastAsia="Calibri" w:hAnsi="Calibri" w:cs="Times New Roman"/>
        </w:rPr>
        <w:t xml:space="preserve"> four</w:t>
      </w:r>
      <w:r w:rsidR="007272D4">
        <w:rPr>
          <w:rFonts w:ascii="Calibri" w:eastAsia="Calibri" w:hAnsi="Calibri" w:cs="Times New Roman"/>
        </w:rPr>
        <w:t>-</w:t>
      </w:r>
      <w:r w:rsidRPr="00687860">
        <w:rPr>
          <w:rFonts w:ascii="Calibri" w:eastAsia="Calibri" w:hAnsi="Calibri" w:cs="Times New Roman"/>
        </w:rPr>
        <w:t xml:space="preserve">year phase from </w:t>
      </w:r>
      <w:r w:rsidR="00331868" w:rsidRPr="00687860">
        <w:rPr>
          <w:rFonts w:ascii="Calibri" w:eastAsia="Calibri" w:hAnsi="Calibri" w:cs="Times New Roman"/>
        </w:rPr>
        <w:t>202</w:t>
      </w:r>
      <w:r w:rsidR="00331868">
        <w:rPr>
          <w:rFonts w:ascii="Calibri" w:eastAsia="Calibri" w:hAnsi="Calibri" w:cs="Times New Roman"/>
        </w:rPr>
        <w:t>1</w:t>
      </w:r>
      <w:r w:rsidRPr="00687860">
        <w:rPr>
          <w:rFonts w:ascii="Calibri" w:eastAsia="Calibri" w:hAnsi="Calibri" w:cs="Times New Roman"/>
        </w:rPr>
        <w:t>-</w:t>
      </w:r>
      <w:r w:rsidR="007272D4">
        <w:rPr>
          <w:rFonts w:ascii="Calibri" w:eastAsia="Calibri" w:hAnsi="Calibri" w:cs="Times New Roman"/>
        </w:rPr>
        <w:t>20</w:t>
      </w:r>
      <w:r w:rsidRPr="00687860">
        <w:rPr>
          <w:rFonts w:ascii="Calibri" w:eastAsia="Calibri" w:hAnsi="Calibri" w:cs="Times New Roman"/>
        </w:rPr>
        <w:t>24 as an integral part of Australia’s aid investments in Vanuatu.</w:t>
      </w:r>
      <w:r w:rsidR="00B1646A">
        <w:rPr>
          <w:rFonts w:ascii="Calibri" w:eastAsia="Calibri" w:hAnsi="Calibri" w:cs="Times New Roman"/>
        </w:rPr>
        <w:t xml:space="preserve"> </w:t>
      </w:r>
      <w:r w:rsidRPr="00687860">
        <w:rPr>
          <w:rFonts w:ascii="Calibri" w:eastAsia="Calibri" w:hAnsi="Calibri" w:cs="Times New Roman"/>
        </w:rPr>
        <w:t xml:space="preserve"> </w:t>
      </w:r>
    </w:p>
    <w:p w14:paraId="420FCF66" w14:textId="77777777" w:rsidR="006F1E98" w:rsidRDefault="00687860" w:rsidP="00E41B3C">
      <w:pPr>
        <w:numPr>
          <w:ilvl w:val="0"/>
          <w:numId w:val="43"/>
        </w:numPr>
        <w:spacing w:after="120" w:line="240" w:lineRule="auto"/>
        <w:jc w:val="both"/>
        <w:rPr>
          <w:rFonts w:ascii="Calibri" w:eastAsia="Calibri" w:hAnsi="Calibri" w:cs="Times New Roman"/>
        </w:rPr>
      </w:pPr>
      <w:r w:rsidRPr="00687860">
        <w:rPr>
          <w:rFonts w:ascii="Calibri" w:eastAsia="Calibri" w:hAnsi="Calibri" w:cs="Times New Roman"/>
        </w:rPr>
        <w:t>Australia should continue to support a joined</w:t>
      </w:r>
      <w:r w:rsidR="00331868">
        <w:rPr>
          <w:rFonts w:ascii="Calibri" w:eastAsia="Calibri" w:hAnsi="Calibri" w:cs="Times New Roman"/>
        </w:rPr>
        <w:t>-</w:t>
      </w:r>
      <w:r w:rsidRPr="00687860">
        <w:rPr>
          <w:rFonts w:ascii="Calibri" w:eastAsia="Calibri" w:hAnsi="Calibri" w:cs="Times New Roman"/>
        </w:rPr>
        <w:t>up policing and justice sector approach, with the hybrid modality and joint management. The benefits of this approach far outweigh the challenges, and have resulted in better outcomes than seen elsewhere.</w:t>
      </w:r>
    </w:p>
    <w:p w14:paraId="73944688" w14:textId="77777777" w:rsidR="005F3519" w:rsidRPr="00D6008B" w:rsidRDefault="00D6008B" w:rsidP="00D6008B">
      <w:pPr>
        <w:numPr>
          <w:ilvl w:val="0"/>
          <w:numId w:val="43"/>
        </w:numPr>
        <w:spacing w:after="120" w:line="240" w:lineRule="auto"/>
        <w:jc w:val="both"/>
        <w:rPr>
          <w:rFonts w:ascii="Calibri" w:eastAsia="Calibri" w:hAnsi="Calibri" w:cs="Times New Roman"/>
        </w:rPr>
      </w:pPr>
      <w:r>
        <w:t xml:space="preserve">The next phase of the Program should recognise explicitly the contribution that the Program makes towards supporting the </w:t>
      </w:r>
      <w:proofErr w:type="spellStart"/>
      <w:r>
        <w:t>GoV</w:t>
      </w:r>
      <w:proofErr w:type="spellEnd"/>
      <w:r>
        <w:t xml:space="preserve"> to maintain confidence of the public in stability and security in its outcome statements, and maintain a balance between short term gains and building momentum for long term sustainable change.  </w:t>
      </w:r>
    </w:p>
    <w:p w14:paraId="1A62BE61" w14:textId="77777777" w:rsidR="00D6008B" w:rsidRPr="00D6008B" w:rsidRDefault="00D6008B" w:rsidP="00D6008B">
      <w:pPr>
        <w:numPr>
          <w:ilvl w:val="0"/>
          <w:numId w:val="43"/>
        </w:numPr>
        <w:spacing w:after="120" w:line="240" w:lineRule="auto"/>
        <w:jc w:val="both"/>
      </w:pPr>
      <w:r w:rsidRPr="00D6008B">
        <w:t>The Program should maintain its commitments and efforts to promote gender equality through its support of women’s networks, male gender advocates and important data collection and reporting disaggregated by gender, as well as the focus on family violence. While there is a strong external focus on gender through program activities and outcomes, greater attention could be paid to effectively progressing internal organisational agency gender issues</w:t>
      </w:r>
      <w:r>
        <w:t>.</w:t>
      </w:r>
    </w:p>
    <w:p w14:paraId="592E432A" w14:textId="77777777" w:rsidR="00DD6C13" w:rsidRPr="00DD6C13" w:rsidRDefault="00DD6C13" w:rsidP="00E41B3C">
      <w:pPr>
        <w:numPr>
          <w:ilvl w:val="0"/>
          <w:numId w:val="43"/>
        </w:numPr>
        <w:spacing w:after="120" w:line="240" w:lineRule="auto"/>
        <w:jc w:val="both"/>
      </w:pPr>
      <w:r w:rsidRPr="00DD6C13">
        <w:t xml:space="preserve">The Program should continue to invest at the community level and </w:t>
      </w:r>
      <w:r w:rsidR="00210223">
        <w:t>facilitat</w:t>
      </w:r>
      <w:r w:rsidR="006A2BB7">
        <w:t>e</w:t>
      </w:r>
      <w:r w:rsidRPr="00DD6C13">
        <w:t xml:space="preserve"> government agencies </w:t>
      </w:r>
      <w:r w:rsidR="00210223">
        <w:t>to</w:t>
      </w:r>
      <w:r w:rsidRPr="00DD6C13">
        <w:t xml:space="preserve"> </w:t>
      </w:r>
      <w:r w:rsidR="006A2BB7">
        <w:t xml:space="preserve">better </w:t>
      </w:r>
      <w:r w:rsidRPr="00DD6C13">
        <w:t xml:space="preserve">engage in reflecting on the feedback from communities in planning and delivering their services.  Efforts should be made to support the </w:t>
      </w:r>
      <w:proofErr w:type="spellStart"/>
      <w:r w:rsidRPr="00DD6C13">
        <w:t>GoV</w:t>
      </w:r>
      <w:proofErr w:type="spellEnd"/>
      <w:r w:rsidRPr="00DD6C13">
        <w:t xml:space="preserve"> to lead implementation and take this approach to scale.</w:t>
      </w:r>
    </w:p>
    <w:p w14:paraId="5ED37760" w14:textId="77777777" w:rsidR="006F1E98" w:rsidRDefault="00687860" w:rsidP="00E41B3C">
      <w:pPr>
        <w:numPr>
          <w:ilvl w:val="0"/>
          <w:numId w:val="43"/>
        </w:numPr>
        <w:spacing w:after="120" w:line="240" w:lineRule="auto"/>
        <w:jc w:val="both"/>
        <w:rPr>
          <w:rFonts w:ascii="Calibri" w:eastAsia="Calibri" w:hAnsi="Calibri" w:cs="Times New Roman"/>
        </w:rPr>
      </w:pPr>
      <w:r w:rsidRPr="00687860">
        <w:rPr>
          <w:rFonts w:ascii="Calibri" w:eastAsia="Calibri" w:hAnsi="Calibri" w:cs="Times New Roman"/>
        </w:rPr>
        <w:t>Program management should continue to refine and socialise the existing Capacity Development Strategy which is underpinned by the adaptive planning model (Problem Driven Adaption and Iteration, PDIA).</w:t>
      </w:r>
      <w:r w:rsidR="00B1646A">
        <w:rPr>
          <w:rFonts w:ascii="Calibri" w:eastAsia="Calibri" w:hAnsi="Calibri" w:cs="Times New Roman"/>
        </w:rPr>
        <w:t xml:space="preserve"> </w:t>
      </w:r>
    </w:p>
    <w:p w14:paraId="719784E6" w14:textId="77777777" w:rsidR="006F1E98" w:rsidRPr="000B017A" w:rsidRDefault="00687860" w:rsidP="00E41B3C">
      <w:pPr>
        <w:numPr>
          <w:ilvl w:val="0"/>
          <w:numId w:val="43"/>
        </w:numPr>
        <w:spacing w:after="120" w:line="240" w:lineRule="auto"/>
        <w:jc w:val="both"/>
        <w:rPr>
          <w:rFonts w:ascii="Calibri" w:eastAsia="Calibri" w:hAnsi="Calibri" w:cs="Times New Roman"/>
        </w:rPr>
      </w:pPr>
      <w:r w:rsidRPr="00687860">
        <w:rPr>
          <w:rFonts w:ascii="Calibri" w:eastAsia="Calibri" w:hAnsi="Calibri" w:cs="Times New Roman"/>
        </w:rPr>
        <w:t>A “reset” process for further adapting and updating the program management and implementation arrangements should be conducted in 2020 to prepare for implementation of the next Phase from 2021-24. This is not a re-design but an opportunity to capture the ongoing adaptation and refinement that has occurred to date</w:t>
      </w:r>
      <w:r w:rsidR="00CE0818">
        <w:rPr>
          <w:rFonts w:ascii="Calibri" w:eastAsia="Calibri" w:hAnsi="Calibri" w:cs="Times New Roman"/>
        </w:rPr>
        <w:t>, and establish a renewed framework for program governance</w:t>
      </w:r>
      <w:r w:rsidRPr="00687860">
        <w:rPr>
          <w:rFonts w:ascii="Calibri" w:eastAsia="Calibri" w:hAnsi="Calibri" w:cs="Times New Roman"/>
        </w:rPr>
        <w:t>.</w:t>
      </w:r>
    </w:p>
    <w:bookmarkEnd w:id="11"/>
    <w:p w14:paraId="5CD26264" w14:textId="77777777" w:rsidR="00E40461" w:rsidRDefault="00E40461" w:rsidP="005968A9">
      <w:pPr>
        <w:pBdr>
          <w:bottom w:val="single" w:sz="4" w:space="10" w:color="44546A" w:themeColor="text2"/>
        </w:pBdr>
        <w:spacing w:before="400" w:after="280" w:line="240" w:lineRule="auto"/>
        <w:outlineLvl w:val="1"/>
        <w:rPr>
          <w:rFonts w:ascii="Calibri" w:eastAsia="MS Gothic" w:hAnsi="Calibri" w:cs="Times New Roman"/>
          <w:b/>
          <w:bCs/>
          <w:color w:val="44546A" w:themeColor="text2"/>
          <w:sz w:val="40"/>
          <w:szCs w:val="40"/>
        </w:rPr>
        <w:sectPr w:rsidR="00E40461" w:rsidSect="00E61B78">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pgNumType w:fmt="lowerRoman"/>
          <w:cols w:space="708"/>
          <w:titlePg/>
          <w:docGrid w:linePitch="360"/>
        </w:sectPr>
      </w:pPr>
    </w:p>
    <w:p w14:paraId="0E157378" w14:textId="77777777" w:rsidR="004417F9" w:rsidRPr="005B4E54" w:rsidRDefault="00893528" w:rsidP="005B4E54">
      <w:pPr>
        <w:pBdr>
          <w:bottom w:val="single" w:sz="4" w:space="10" w:color="44546A" w:themeColor="text2"/>
        </w:pBdr>
        <w:spacing w:before="400" w:after="280" w:line="240" w:lineRule="auto"/>
        <w:outlineLvl w:val="1"/>
        <w:rPr>
          <w:rFonts w:ascii="Calibri" w:eastAsia="MS Gothic" w:hAnsi="Calibri" w:cs="Times New Roman"/>
          <w:b/>
          <w:bCs/>
          <w:color w:val="44546A" w:themeColor="text2"/>
          <w:sz w:val="40"/>
          <w:szCs w:val="40"/>
        </w:rPr>
      </w:pPr>
      <w:bookmarkStart w:id="12" w:name="_Toc25591516"/>
      <w:bookmarkEnd w:id="6"/>
      <w:bookmarkEnd w:id="7"/>
      <w:bookmarkEnd w:id="8"/>
      <w:bookmarkEnd w:id="9"/>
      <w:bookmarkEnd w:id="10"/>
      <w:r w:rsidRPr="005B4E54">
        <w:rPr>
          <w:rFonts w:ascii="Calibri" w:eastAsia="MS Gothic" w:hAnsi="Calibri" w:cs="Times New Roman"/>
          <w:b/>
          <w:bCs/>
          <w:color w:val="44546A" w:themeColor="text2"/>
          <w:sz w:val="40"/>
          <w:szCs w:val="40"/>
        </w:rPr>
        <w:t>List of Acronyms</w:t>
      </w:r>
      <w:bookmarkEnd w:id="12"/>
      <w:r w:rsidRPr="005B4E54">
        <w:rPr>
          <w:rFonts w:ascii="Calibri" w:eastAsia="MS Gothic" w:hAnsi="Calibri" w:cs="Times New Roman"/>
          <w:b/>
          <w:bCs/>
          <w:color w:val="44546A" w:themeColor="text2"/>
          <w:sz w:val="40"/>
          <w:szCs w:val="40"/>
        </w:rPr>
        <w:t xml:space="preserve"> </w:t>
      </w:r>
    </w:p>
    <w:tbl>
      <w:tblPr>
        <w:tblStyle w:val="TableGrid"/>
        <w:tblW w:w="9067" w:type="dxa"/>
        <w:tblInd w:w="-142" w:type="dxa"/>
        <w:tblLook w:val="04A0" w:firstRow="1" w:lastRow="0" w:firstColumn="1" w:lastColumn="0" w:noHBand="0" w:noVBand="1"/>
      </w:tblPr>
      <w:tblGrid>
        <w:gridCol w:w="1271"/>
        <w:gridCol w:w="7796"/>
      </w:tblGrid>
      <w:tr w:rsidR="00CB58FA" w:rsidRPr="00856F5C" w14:paraId="64C8CD5C" w14:textId="77777777" w:rsidTr="00467737">
        <w:trPr>
          <w:trHeight w:val="295"/>
        </w:trPr>
        <w:tc>
          <w:tcPr>
            <w:tcW w:w="1271" w:type="dxa"/>
            <w:tcBorders>
              <w:top w:val="nil"/>
              <w:left w:val="nil"/>
              <w:bottom w:val="nil"/>
              <w:right w:val="nil"/>
            </w:tcBorders>
          </w:tcPr>
          <w:p w14:paraId="67FB6D9A" w14:textId="77777777" w:rsidR="00CB58FA" w:rsidRPr="00FD5B13" w:rsidRDefault="00CB58FA" w:rsidP="00ED3677">
            <w:pPr>
              <w:spacing w:beforeLines="10" w:before="24" w:afterLines="10" w:after="24"/>
              <w:rPr>
                <w:rFonts w:cstheme="minorHAnsi"/>
                <w:b/>
                <w:color w:val="44546A" w:themeColor="text2"/>
              </w:rPr>
            </w:pPr>
            <w:r>
              <w:rPr>
                <w:rFonts w:cstheme="minorHAnsi"/>
                <w:b/>
                <w:color w:val="44546A" w:themeColor="text2"/>
              </w:rPr>
              <w:t>ADF</w:t>
            </w:r>
          </w:p>
        </w:tc>
        <w:tc>
          <w:tcPr>
            <w:tcW w:w="7796" w:type="dxa"/>
            <w:tcBorders>
              <w:top w:val="nil"/>
              <w:left w:val="nil"/>
              <w:bottom w:val="nil"/>
              <w:right w:val="nil"/>
            </w:tcBorders>
          </w:tcPr>
          <w:p w14:paraId="33A890D3" w14:textId="77777777" w:rsidR="00CB58FA" w:rsidRDefault="00CB58FA" w:rsidP="00ED3677">
            <w:pPr>
              <w:spacing w:beforeLines="10" w:before="24" w:afterLines="10" w:after="24"/>
              <w:rPr>
                <w:rFonts w:cstheme="minorHAnsi"/>
              </w:rPr>
            </w:pPr>
            <w:r>
              <w:rPr>
                <w:rFonts w:cstheme="minorHAnsi"/>
              </w:rPr>
              <w:t xml:space="preserve">Australian </w:t>
            </w:r>
            <w:proofErr w:type="spellStart"/>
            <w:r>
              <w:rPr>
                <w:rFonts w:cstheme="minorHAnsi"/>
              </w:rPr>
              <w:t>Defence</w:t>
            </w:r>
            <w:proofErr w:type="spellEnd"/>
            <w:r>
              <w:rPr>
                <w:rFonts w:cstheme="minorHAnsi"/>
              </w:rPr>
              <w:t xml:space="preserve"> Force</w:t>
            </w:r>
          </w:p>
        </w:tc>
      </w:tr>
      <w:tr w:rsidR="00E14227" w:rsidRPr="00856F5C" w14:paraId="28F5F33E" w14:textId="77777777" w:rsidTr="00467737">
        <w:trPr>
          <w:trHeight w:val="295"/>
        </w:trPr>
        <w:tc>
          <w:tcPr>
            <w:tcW w:w="1271" w:type="dxa"/>
            <w:tcBorders>
              <w:top w:val="nil"/>
              <w:left w:val="nil"/>
              <w:bottom w:val="nil"/>
              <w:right w:val="nil"/>
            </w:tcBorders>
          </w:tcPr>
          <w:p w14:paraId="067B330B" w14:textId="77777777" w:rsidR="00E14227" w:rsidRPr="00FD5B13" w:rsidRDefault="00E14227" w:rsidP="00ED3677">
            <w:pPr>
              <w:spacing w:beforeLines="10" w:before="24" w:afterLines="10" w:after="24"/>
              <w:rPr>
                <w:rFonts w:cstheme="minorHAnsi"/>
                <w:b/>
                <w:color w:val="44546A" w:themeColor="text2"/>
              </w:rPr>
            </w:pPr>
            <w:r w:rsidRPr="00FD5B13">
              <w:rPr>
                <w:rFonts w:cstheme="minorHAnsi"/>
                <w:b/>
                <w:color w:val="44546A" w:themeColor="text2"/>
              </w:rPr>
              <w:t>AFP</w:t>
            </w:r>
          </w:p>
        </w:tc>
        <w:tc>
          <w:tcPr>
            <w:tcW w:w="7796" w:type="dxa"/>
            <w:tcBorders>
              <w:top w:val="nil"/>
              <w:left w:val="nil"/>
              <w:bottom w:val="nil"/>
              <w:right w:val="nil"/>
            </w:tcBorders>
          </w:tcPr>
          <w:p w14:paraId="3F61E0B2" w14:textId="77777777" w:rsidR="00E14227" w:rsidRPr="00856F5C" w:rsidRDefault="00E14227" w:rsidP="00ED3677">
            <w:pPr>
              <w:spacing w:beforeLines="10" w:before="24" w:afterLines="10" w:after="24"/>
              <w:rPr>
                <w:rFonts w:cstheme="minorHAnsi"/>
              </w:rPr>
            </w:pPr>
            <w:r>
              <w:rPr>
                <w:rFonts w:cstheme="minorHAnsi"/>
              </w:rPr>
              <w:t>Australian Federal Police</w:t>
            </w:r>
          </w:p>
        </w:tc>
      </w:tr>
      <w:tr w:rsidR="00E14227" w:rsidRPr="00856F5C" w14:paraId="780FC6A9" w14:textId="77777777" w:rsidTr="00467737">
        <w:tc>
          <w:tcPr>
            <w:tcW w:w="1271" w:type="dxa"/>
            <w:tcBorders>
              <w:top w:val="nil"/>
              <w:left w:val="nil"/>
              <w:bottom w:val="nil"/>
              <w:right w:val="nil"/>
            </w:tcBorders>
          </w:tcPr>
          <w:p w14:paraId="7E815E8C" w14:textId="77777777" w:rsidR="00E14227" w:rsidRPr="00FD5B13" w:rsidRDefault="00E14227" w:rsidP="00ED3677">
            <w:pPr>
              <w:spacing w:beforeLines="10" w:before="24" w:afterLines="10" w:after="24"/>
              <w:rPr>
                <w:rFonts w:cstheme="minorHAnsi"/>
                <w:b/>
                <w:color w:val="44546A" w:themeColor="text2"/>
              </w:rPr>
            </w:pPr>
            <w:r w:rsidRPr="00FD5B13">
              <w:rPr>
                <w:rFonts w:cstheme="minorHAnsi"/>
                <w:b/>
                <w:color w:val="44546A" w:themeColor="text2"/>
              </w:rPr>
              <w:t>AHC</w:t>
            </w:r>
          </w:p>
        </w:tc>
        <w:tc>
          <w:tcPr>
            <w:tcW w:w="7796" w:type="dxa"/>
            <w:tcBorders>
              <w:top w:val="nil"/>
              <w:left w:val="nil"/>
              <w:bottom w:val="nil"/>
              <w:right w:val="nil"/>
            </w:tcBorders>
          </w:tcPr>
          <w:p w14:paraId="44151692" w14:textId="77777777" w:rsidR="00E14227" w:rsidRDefault="00E14227" w:rsidP="00ED3677">
            <w:pPr>
              <w:spacing w:beforeLines="10" w:before="24" w:afterLines="10" w:after="24"/>
              <w:rPr>
                <w:rFonts w:cstheme="minorHAnsi"/>
              </w:rPr>
            </w:pPr>
            <w:r>
              <w:rPr>
                <w:rFonts w:cstheme="minorHAnsi"/>
              </w:rPr>
              <w:t>Australian High Commission, Port Vila</w:t>
            </w:r>
          </w:p>
        </w:tc>
      </w:tr>
      <w:tr w:rsidR="00ED3677" w:rsidRPr="00856F5C" w14:paraId="433E050C" w14:textId="77777777" w:rsidTr="00467737">
        <w:tc>
          <w:tcPr>
            <w:tcW w:w="1271" w:type="dxa"/>
            <w:tcBorders>
              <w:top w:val="nil"/>
              <w:left w:val="nil"/>
              <w:bottom w:val="nil"/>
              <w:right w:val="nil"/>
            </w:tcBorders>
          </w:tcPr>
          <w:p w14:paraId="1045499E" w14:textId="77777777" w:rsidR="00ED3677" w:rsidRPr="00FD5B13" w:rsidRDefault="00ED3677" w:rsidP="00ED3677">
            <w:pPr>
              <w:spacing w:beforeLines="10" w:before="24" w:afterLines="10" w:after="24"/>
              <w:rPr>
                <w:rFonts w:cstheme="minorHAnsi"/>
                <w:b/>
                <w:color w:val="44546A" w:themeColor="text2"/>
              </w:rPr>
            </w:pPr>
            <w:r>
              <w:rPr>
                <w:rFonts w:cstheme="minorHAnsi"/>
                <w:b/>
                <w:color w:val="44546A" w:themeColor="text2"/>
              </w:rPr>
              <w:t>AIP</w:t>
            </w:r>
          </w:p>
        </w:tc>
        <w:tc>
          <w:tcPr>
            <w:tcW w:w="7796" w:type="dxa"/>
            <w:tcBorders>
              <w:top w:val="nil"/>
              <w:left w:val="nil"/>
              <w:bottom w:val="nil"/>
              <w:right w:val="nil"/>
            </w:tcBorders>
          </w:tcPr>
          <w:p w14:paraId="4D25EE91" w14:textId="77777777" w:rsidR="00ED3677" w:rsidRDefault="00ED3677" w:rsidP="00ED3677">
            <w:pPr>
              <w:spacing w:beforeLines="10" w:before="24" w:afterLines="10" w:after="24"/>
              <w:rPr>
                <w:rFonts w:cstheme="minorHAnsi"/>
              </w:rPr>
            </w:pPr>
            <w:r>
              <w:t>Aid Investment Plan</w:t>
            </w:r>
          </w:p>
        </w:tc>
      </w:tr>
      <w:tr w:rsidR="00E14227" w:rsidRPr="00856F5C" w14:paraId="08A3B161" w14:textId="77777777" w:rsidTr="00467737">
        <w:tc>
          <w:tcPr>
            <w:tcW w:w="1271" w:type="dxa"/>
            <w:tcBorders>
              <w:top w:val="nil"/>
              <w:left w:val="nil"/>
              <w:bottom w:val="nil"/>
              <w:right w:val="nil"/>
            </w:tcBorders>
          </w:tcPr>
          <w:p w14:paraId="3D546511" w14:textId="77777777" w:rsidR="00E14227" w:rsidRPr="00FD5B13" w:rsidRDefault="00E14227" w:rsidP="00ED3677">
            <w:pPr>
              <w:spacing w:beforeLines="10" w:before="24" w:afterLines="10" w:after="24"/>
              <w:rPr>
                <w:rFonts w:cstheme="minorHAnsi"/>
                <w:b/>
                <w:color w:val="44546A" w:themeColor="text2"/>
              </w:rPr>
            </w:pPr>
            <w:r w:rsidRPr="00FD5B13">
              <w:rPr>
                <w:rFonts w:cstheme="minorHAnsi"/>
                <w:b/>
                <w:color w:val="44546A" w:themeColor="text2"/>
              </w:rPr>
              <w:t>AP</w:t>
            </w:r>
          </w:p>
        </w:tc>
        <w:tc>
          <w:tcPr>
            <w:tcW w:w="7796" w:type="dxa"/>
            <w:tcBorders>
              <w:top w:val="nil"/>
              <w:left w:val="nil"/>
              <w:bottom w:val="nil"/>
              <w:right w:val="nil"/>
            </w:tcBorders>
          </w:tcPr>
          <w:p w14:paraId="69B6107E" w14:textId="77777777" w:rsidR="00E14227" w:rsidRDefault="00E14227" w:rsidP="00ED3677">
            <w:pPr>
              <w:spacing w:beforeLines="10" w:before="24" w:afterLines="10" w:after="24"/>
              <w:rPr>
                <w:rFonts w:cstheme="minorHAnsi"/>
              </w:rPr>
            </w:pPr>
            <w:proofErr w:type="spellStart"/>
            <w:r>
              <w:rPr>
                <w:rFonts w:cstheme="minorHAnsi"/>
              </w:rPr>
              <w:t>Authorised</w:t>
            </w:r>
            <w:proofErr w:type="spellEnd"/>
            <w:r>
              <w:rPr>
                <w:rFonts w:cstheme="minorHAnsi"/>
              </w:rPr>
              <w:t xml:space="preserve"> Person </w:t>
            </w:r>
          </w:p>
        </w:tc>
      </w:tr>
      <w:tr w:rsidR="00E14227" w:rsidRPr="00856F5C" w14:paraId="331683DD" w14:textId="77777777" w:rsidTr="00467737">
        <w:tc>
          <w:tcPr>
            <w:tcW w:w="1271" w:type="dxa"/>
            <w:tcBorders>
              <w:top w:val="nil"/>
              <w:left w:val="nil"/>
              <w:bottom w:val="nil"/>
              <w:right w:val="nil"/>
            </w:tcBorders>
          </w:tcPr>
          <w:p w14:paraId="0AD89688" w14:textId="77777777" w:rsidR="00E14227" w:rsidRPr="00FD5B13" w:rsidRDefault="00E14227" w:rsidP="00ED3677">
            <w:pPr>
              <w:spacing w:beforeLines="10" w:before="24" w:afterLines="10" w:after="24"/>
              <w:rPr>
                <w:rFonts w:cstheme="minorHAnsi"/>
                <w:b/>
                <w:color w:val="44546A" w:themeColor="text2"/>
              </w:rPr>
            </w:pPr>
            <w:r w:rsidRPr="00FD5B13">
              <w:rPr>
                <w:rFonts w:cstheme="minorHAnsi"/>
                <w:b/>
                <w:color w:val="44546A" w:themeColor="text2"/>
              </w:rPr>
              <w:t>AUD</w:t>
            </w:r>
          </w:p>
        </w:tc>
        <w:tc>
          <w:tcPr>
            <w:tcW w:w="7796" w:type="dxa"/>
            <w:tcBorders>
              <w:top w:val="nil"/>
              <w:left w:val="nil"/>
              <w:bottom w:val="nil"/>
              <w:right w:val="nil"/>
            </w:tcBorders>
          </w:tcPr>
          <w:p w14:paraId="32138D0A" w14:textId="77777777" w:rsidR="00E14227" w:rsidRPr="00856F5C" w:rsidRDefault="00E14227" w:rsidP="00ED3677">
            <w:pPr>
              <w:spacing w:beforeLines="10" w:before="24" w:afterLines="10" w:after="24"/>
              <w:rPr>
                <w:rFonts w:cstheme="minorHAnsi"/>
              </w:rPr>
            </w:pPr>
            <w:r>
              <w:rPr>
                <w:rFonts w:cstheme="minorHAnsi"/>
              </w:rPr>
              <w:t>Australian Dollar</w:t>
            </w:r>
          </w:p>
        </w:tc>
      </w:tr>
      <w:tr w:rsidR="00E14227" w:rsidRPr="00856F5C" w14:paraId="5AA6886D" w14:textId="77777777" w:rsidTr="00467737">
        <w:trPr>
          <w:trHeight w:val="70"/>
        </w:trPr>
        <w:tc>
          <w:tcPr>
            <w:tcW w:w="1271" w:type="dxa"/>
            <w:tcBorders>
              <w:top w:val="nil"/>
              <w:left w:val="nil"/>
              <w:bottom w:val="nil"/>
              <w:right w:val="nil"/>
            </w:tcBorders>
          </w:tcPr>
          <w:p w14:paraId="01CD76DA" w14:textId="77777777" w:rsidR="00E14227" w:rsidRPr="00FD5B13" w:rsidRDefault="00E14227" w:rsidP="00ED3677">
            <w:pPr>
              <w:spacing w:beforeLines="10" w:before="24" w:afterLines="10" w:after="24"/>
              <w:rPr>
                <w:rFonts w:cstheme="minorHAnsi"/>
                <w:b/>
                <w:color w:val="44546A" w:themeColor="text2"/>
              </w:rPr>
            </w:pPr>
            <w:r w:rsidRPr="00FD5B13">
              <w:rPr>
                <w:rFonts w:cstheme="minorHAnsi"/>
                <w:b/>
                <w:color w:val="44546A" w:themeColor="text2"/>
              </w:rPr>
              <w:t>CID</w:t>
            </w:r>
          </w:p>
        </w:tc>
        <w:tc>
          <w:tcPr>
            <w:tcW w:w="7796" w:type="dxa"/>
            <w:tcBorders>
              <w:top w:val="nil"/>
              <w:left w:val="nil"/>
              <w:bottom w:val="nil"/>
              <w:right w:val="nil"/>
            </w:tcBorders>
          </w:tcPr>
          <w:p w14:paraId="42553A33" w14:textId="77777777" w:rsidR="00E14227" w:rsidRDefault="00E14227" w:rsidP="00ED3677">
            <w:pPr>
              <w:spacing w:beforeLines="10" w:before="24" w:afterLines="10" w:after="24"/>
              <w:rPr>
                <w:rFonts w:cstheme="minorHAnsi"/>
              </w:rPr>
            </w:pPr>
            <w:r>
              <w:rPr>
                <w:rFonts w:cstheme="minorHAnsi"/>
              </w:rPr>
              <w:t>Criminal Investigation Department (VPF)</w:t>
            </w:r>
          </w:p>
        </w:tc>
      </w:tr>
      <w:tr w:rsidR="00E14227" w:rsidRPr="00856F5C" w14:paraId="02894461" w14:textId="77777777" w:rsidTr="00467737">
        <w:tc>
          <w:tcPr>
            <w:tcW w:w="1271" w:type="dxa"/>
            <w:tcBorders>
              <w:top w:val="nil"/>
              <w:left w:val="nil"/>
              <w:bottom w:val="nil"/>
              <w:right w:val="nil"/>
            </w:tcBorders>
          </w:tcPr>
          <w:p w14:paraId="41CC9C88" w14:textId="77777777" w:rsidR="00E14227" w:rsidRPr="00FD5B13" w:rsidRDefault="00E14227" w:rsidP="00ED3677">
            <w:pPr>
              <w:spacing w:beforeLines="10" w:before="24" w:afterLines="10" w:after="24"/>
              <w:rPr>
                <w:rFonts w:cstheme="minorHAnsi"/>
                <w:b/>
                <w:color w:val="44546A" w:themeColor="text2"/>
              </w:rPr>
            </w:pPr>
            <w:r w:rsidRPr="00FD5B13">
              <w:rPr>
                <w:rFonts w:cstheme="minorHAnsi"/>
                <w:b/>
                <w:color w:val="44546A" w:themeColor="text2"/>
              </w:rPr>
              <w:t>CMS</w:t>
            </w:r>
          </w:p>
        </w:tc>
        <w:tc>
          <w:tcPr>
            <w:tcW w:w="7796" w:type="dxa"/>
            <w:tcBorders>
              <w:top w:val="nil"/>
              <w:left w:val="nil"/>
              <w:bottom w:val="nil"/>
              <w:right w:val="nil"/>
            </w:tcBorders>
          </w:tcPr>
          <w:p w14:paraId="619DEC90" w14:textId="77777777" w:rsidR="00E14227" w:rsidRDefault="00E14227" w:rsidP="00ED3677">
            <w:pPr>
              <w:spacing w:beforeLines="10" w:before="24" w:afterLines="10" w:after="24"/>
              <w:rPr>
                <w:rFonts w:cstheme="minorHAnsi"/>
              </w:rPr>
            </w:pPr>
            <w:r>
              <w:rPr>
                <w:rFonts w:cstheme="minorHAnsi"/>
              </w:rPr>
              <w:t>Case Management System</w:t>
            </w:r>
          </w:p>
        </w:tc>
      </w:tr>
      <w:tr w:rsidR="00E14227" w:rsidRPr="00856F5C" w14:paraId="20444456" w14:textId="77777777" w:rsidTr="00467737">
        <w:tc>
          <w:tcPr>
            <w:tcW w:w="1271" w:type="dxa"/>
            <w:tcBorders>
              <w:top w:val="nil"/>
              <w:left w:val="nil"/>
              <w:bottom w:val="nil"/>
              <w:right w:val="nil"/>
            </w:tcBorders>
          </w:tcPr>
          <w:p w14:paraId="6710FE93" w14:textId="77777777" w:rsidR="00E14227" w:rsidRPr="00FD5B13" w:rsidRDefault="00E14227" w:rsidP="00ED3677">
            <w:pPr>
              <w:spacing w:beforeLines="10" w:before="24" w:afterLines="10" w:after="24"/>
              <w:rPr>
                <w:rFonts w:cstheme="minorHAnsi"/>
                <w:b/>
                <w:color w:val="44546A" w:themeColor="text2"/>
              </w:rPr>
            </w:pPr>
            <w:r w:rsidRPr="00FD5B13">
              <w:rPr>
                <w:rFonts w:cstheme="minorHAnsi"/>
                <w:b/>
                <w:color w:val="44546A" w:themeColor="text2"/>
              </w:rPr>
              <w:t>CSO</w:t>
            </w:r>
          </w:p>
        </w:tc>
        <w:tc>
          <w:tcPr>
            <w:tcW w:w="7796" w:type="dxa"/>
            <w:tcBorders>
              <w:top w:val="nil"/>
              <w:left w:val="nil"/>
              <w:bottom w:val="nil"/>
              <w:right w:val="nil"/>
            </w:tcBorders>
          </w:tcPr>
          <w:p w14:paraId="1203363C" w14:textId="77777777" w:rsidR="00E14227" w:rsidRPr="00856F5C" w:rsidRDefault="00E14227" w:rsidP="00ED3677">
            <w:pPr>
              <w:spacing w:beforeLines="10" w:before="24" w:afterLines="10" w:after="24"/>
              <w:rPr>
                <w:rFonts w:cstheme="minorHAnsi"/>
              </w:rPr>
            </w:pPr>
            <w:r>
              <w:rPr>
                <w:rFonts w:cstheme="minorHAnsi"/>
              </w:rPr>
              <w:t xml:space="preserve">Civil Society </w:t>
            </w:r>
            <w:proofErr w:type="spellStart"/>
            <w:r>
              <w:rPr>
                <w:rFonts w:cstheme="minorHAnsi"/>
              </w:rPr>
              <w:t>Organisation</w:t>
            </w:r>
            <w:proofErr w:type="spellEnd"/>
          </w:p>
        </w:tc>
      </w:tr>
      <w:tr w:rsidR="00E14227" w:rsidRPr="00856F5C" w14:paraId="129DBA71" w14:textId="77777777" w:rsidTr="00467737">
        <w:tc>
          <w:tcPr>
            <w:tcW w:w="1271" w:type="dxa"/>
            <w:tcBorders>
              <w:top w:val="nil"/>
              <w:left w:val="nil"/>
              <w:bottom w:val="nil"/>
              <w:right w:val="nil"/>
            </w:tcBorders>
          </w:tcPr>
          <w:p w14:paraId="75FE54FB" w14:textId="77777777" w:rsidR="00E14227" w:rsidRPr="00FD5B13" w:rsidRDefault="00E14227" w:rsidP="00ED3677">
            <w:pPr>
              <w:spacing w:beforeLines="10" w:before="24" w:afterLines="10" w:after="24"/>
              <w:rPr>
                <w:rFonts w:cstheme="minorHAnsi"/>
                <w:b/>
                <w:color w:val="44546A" w:themeColor="text2"/>
              </w:rPr>
            </w:pPr>
            <w:r w:rsidRPr="00FD5B13">
              <w:rPr>
                <w:rFonts w:cstheme="minorHAnsi"/>
                <w:b/>
                <w:color w:val="44546A" w:themeColor="text2"/>
              </w:rPr>
              <w:t>CSU</w:t>
            </w:r>
          </w:p>
        </w:tc>
        <w:tc>
          <w:tcPr>
            <w:tcW w:w="7796" w:type="dxa"/>
            <w:tcBorders>
              <w:top w:val="nil"/>
              <w:left w:val="nil"/>
              <w:bottom w:val="nil"/>
              <w:right w:val="nil"/>
            </w:tcBorders>
          </w:tcPr>
          <w:p w14:paraId="390F14CC" w14:textId="77777777" w:rsidR="00E14227" w:rsidRPr="00856F5C" w:rsidRDefault="00E14227" w:rsidP="00ED3677">
            <w:pPr>
              <w:spacing w:beforeLines="10" w:before="24" w:afterLines="10" w:after="24"/>
              <w:rPr>
                <w:rFonts w:cstheme="minorHAnsi"/>
              </w:rPr>
            </w:pPr>
            <w:r>
              <w:rPr>
                <w:rFonts w:cstheme="minorHAnsi"/>
              </w:rPr>
              <w:t xml:space="preserve">Corporate Services Unit </w:t>
            </w:r>
          </w:p>
        </w:tc>
      </w:tr>
      <w:tr w:rsidR="00E14227" w:rsidRPr="00856F5C" w14:paraId="1BBC5FBC" w14:textId="77777777" w:rsidTr="00467737">
        <w:tc>
          <w:tcPr>
            <w:tcW w:w="1271" w:type="dxa"/>
            <w:tcBorders>
              <w:top w:val="nil"/>
              <w:left w:val="nil"/>
              <w:bottom w:val="nil"/>
              <w:right w:val="nil"/>
            </w:tcBorders>
          </w:tcPr>
          <w:p w14:paraId="48063CD8" w14:textId="77777777" w:rsidR="00E14227" w:rsidRPr="00FD5B13" w:rsidRDefault="00E14227" w:rsidP="00ED3677">
            <w:pPr>
              <w:spacing w:beforeLines="10" w:before="24" w:afterLines="10" w:after="24"/>
              <w:rPr>
                <w:rFonts w:cstheme="minorHAnsi"/>
                <w:b/>
                <w:color w:val="44546A" w:themeColor="text2"/>
              </w:rPr>
            </w:pPr>
            <w:r w:rsidRPr="00FD5B13">
              <w:rPr>
                <w:rFonts w:cstheme="minorHAnsi"/>
                <w:b/>
                <w:color w:val="44546A" w:themeColor="text2"/>
              </w:rPr>
              <w:t>DCP</w:t>
            </w:r>
          </w:p>
        </w:tc>
        <w:tc>
          <w:tcPr>
            <w:tcW w:w="7796" w:type="dxa"/>
            <w:tcBorders>
              <w:top w:val="nil"/>
              <w:left w:val="nil"/>
              <w:bottom w:val="nil"/>
              <w:right w:val="nil"/>
            </w:tcBorders>
          </w:tcPr>
          <w:p w14:paraId="3259025C" w14:textId="77777777" w:rsidR="00E14227" w:rsidRDefault="00E14227" w:rsidP="00ED3677">
            <w:pPr>
              <w:spacing w:beforeLines="10" w:before="24" w:afterLines="10" w:after="24"/>
              <w:rPr>
                <w:rFonts w:cstheme="minorHAnsi"/>
              </w:rPr>
            </w:pPr>
            <w:proofErr w:type="spellStart"/>
            <w:r>
              <w:rPr>
                <w:rFonts w:cstheme="minorHAnsi"/>
              </w:rPr>
              <w:t>Defence</w:t>
            </w:r>
            <w:proofErr w:type="spellEnd"/>
            <w:r>
              <w:rPr>
                <w:rFonts w:cstheme="minorHAnsi"/>
              </w:rPr>
              <w:t xml:space="preserve"> Cooperation Program (</w:t>
            </w:r>
            <w:proofErr w:type="spellStart"/>
            <w:r>
              <w:rPr>
                <w:rFonts w:cstheme="minorHAnsi"/>
              </w:rPr>
              <w:t>GoA</w:t>
            </w:r>
            <w:proofErr w:type="spellEnd"/>
            <w:r>
              <w:rPr>
                <w:rFonts w:cstheme="minorHAnsi"/>
              </w:rPr>
              <w:t>)</w:t>
            </w:r>
          </w:p>
        </w:tc>
      </w:tr>
      <w:tr w:rsidR="00E14227" w:rsidRPr="00856F5C" w14:paraId="78C6BC99" w14:textId="77777777" w:rsidTr="00467737">
        <w:tc>
          <w:tcPr>
            <w:tcW w:w="1271" w:type="dxa"/>
            <w:tcBorders>
              <w:top w:val="nil"/>
              <w:left w:val="nil"/>
              <w:bottom w:val="nil"/>
              <w:right w:val="nil"/>
            </w:tcBorders>
          </w:tcPr>
          <w:p w14:paraId="24B180BF" w14:textId="77777777" w:rsidR="00E14227" w:rsidRPr="00FD5B13" w:rsidRDefault="00E14227" w:rsidP="00ED3677">
            <w:pPr>
              <w:spacing w:beforeLines="10" w:before="24" w:afterLines="10" w:after="24"/>
              <w:rPr>
                <w:rFonts w:cstheme="minorHAnsi"/>
                <w:b/>
                <w:color w:val="44546A" w:themeColor="text2"/>
              </w:rPr>
            </w:pPr>
            <w:r w:rsidRPr="00FD5B13">
              <w:rPr>
                <w:rFonts w:cstheme="minorHAnsi"/>
                <w:b/>
                <w:color w:val="44546A" w:themeColor="text2"/>
              </w:rPr>
              <w:t>DFA</w:t>
            </w:r>
          </w:p>
        </w:tc>
        <w:tc>
          <w:tcPr>
            <w:tcW w:w="7796" w:type="dxa"/>
            <w:tcBorders>
              <w:top w:val="nil"/>
              <w:left w:val="nil"/>
              <w:bottom w:val="nil"/>
              <w:right w:val="nil"/>
            </w:tcBorders>
          </w:tcPr>
          <w:p w14:paraId="48A4E3DF" w14:textId="77777777" w:rsidR="00E14227" w:rsidRDefault="00E14227" w:rsidP="00ED3677">
            <w:pPr>
              <w:spacing w:beforeLines="10" w:before="24" w:afterLines="10" w:after="24"/>
              <w:rPr>
                <w:rFonts w:cstheme="minorHAnsi"/>
              </w:rPr>
            </w:pPr>
            <w:r>
              <w:rPr>
                <w:rFonts w:cstheme="minorHAnsi"/>
              </w:rPr>
              <w:t xml:space="preserve">Direct </w:t>
            </w:r>
            <w:r w:rsidR="001F41B5">
              <w:rPr>
                <w:rFonts w:cstheme="minorHAnsi"/>
              </w:rPr>
              <w:t>Financing</w:t>
            </w:r>
            <w:r>
              <w:rPr>
                <w:rFonts w:cstheme="minorHAnsi"/>
              </w:rPr>
              <w:t xml:space="preserve"> Arrangement</w:t>
            </w:r>
          </w:p>
        </w:tc>
      </w:tr>
      <w:tr w:rsidR="00E14227" w:rsidRPr="00856F5C" w14:paraId="227A58F6" w14:textId="77777777" w:rsidTr="00467737">
        <w:tc>
          <w:tcPr>
            <w:tcW w:w="1271" w:type="dxa"/>
            <w:tcBorders>
              <w:top w:val="nil"/>
              <w:left w:val="nil"/>
              <w:bottom w:val="nil"/>
              <w:right w:val="nil"/>
            </w:tcBorders>
          </w:tcPr>
          <w:p w14:paraId="7B3E2A92" w14:textId="77777777" w:rsidR="00E14227" w:rsidRPr="00FD5B13" w:rsidRDefault="00E14227" w:rsidP="00ED3677">
            <w:pPr>
              <w:spacing w:beforeLines="10" w:before="24" w:afterLines="10" w:after="24"/>
              <w:rPr>
                <w:rFonts w:cstheme="minorHAnsi"/>
                <w:b/>
                <w:color w:val="44546A" w:themeColor="text2"/>
              </w:rPr>
            </w:pPr>
            <w:r w:rsidRPr="00FD5B13">
              <w:rPr>
                <w:rFonts w:cstheme="minorHAnsi"/>
                <w:b/>
                <w:color w:val="44546A" w:themeColor="text2"/>
              </w:rPr>
              <w:t>DFAT</w:t>
            </w:r>
          </w:p>
        </w:tc>
        <w:tc>
          <w:tcPr>
            <w:tcW w:w="7796" w:type="dxa"/>
            <w:tcBorders>
              <w:top w:val="nil"/>
              <w:left w:val="nil"/>
              <w:bottom w:val="nil"/>
              <w:right w:val="nil"/>
            </w:tcBorders>
          </w:tcPr>
          <w:p w14:paraId="1AF41FF2" w14:textId="77777777" w:rsidR="00E14227" w:rsidRPr="00856F5C" w:rsidRDefault="00E14227" w:rsidP="00ED3677">
            <w:pPr>
              <w:spacing w:beforeLines="10" w:before="24" w:afterLines="10" w:after="24"/>
              <w:rPr>
                <w:rFonts w:cstheme="minorHAnsi"/>
              </w:rPr>
            </w:pPr>
            <w:r>
              <w:rPr>
                <w:rFonts w:cstheme="minorHAnsi"/>
              </w:rPr>
              <w:t>Department of Foreign Affairs and Trade (</w:t>
            </w:r>
            <w:proofErr w:type="spellStart"/>
            <w:r>
              <w:rPr>
                <w:rFonts w:cstheme="minorHAnsi"/>
              </w:rPr>
              <w:t>GoA</w:t>
            </w:r>
            <w:proofErr w:type="spellEnd"/>
            <w:r>
              <w:rPr>
                <w:rFonts w:cstheme="minorHAnsi"/>
              </w:rPr>
              <w:t>)</w:t>
            </w:r>
          </w:p>
        </w:tc>
      </w:tr>
      <w:tr w:rsidR="00F068CB" w:rsidRPr="00856F5C" w14:paraId="123A5249" w14:textId="77777777" w:rsidTr="00467737">
        <w:tc>
          <w:tcPr>
            <w:tcW w:w="1271" w:type="dxa"/>
            <w:tcBorders>
              <w:top w:val="nil"/>
              <w:left w:val="nil"/>
              <w:bottom w:val="nil"/>
              <w:right w:val="nil"/>
            </w:tcBorders>
          </w:tcPr>
          <w:p w14:paraId="4AB3AB3C" w14:textId="77777777" w:rsidR="00F068CB" w:rsidRPr="00FD5B13" w:rsidRDefault="00F068CB" w:rsidP="00ED3677">
            <w:pPr>
              <w:spacing w:beforeLines="10" w:before="24" w:afterLines="10" w:after="24"/>
              <w:rPr>
                <w:rFonts w:cstheme="minorHAnsi"/>
                <w:b/>
                <w:color w:val="44546A" w:themeColor="text2"/>
              </w:rPr>
            </w:pPr>
            <w:r>
              <w:rPr>
                <w:rFonts w:cstheme="minorHAnsi"/>
                <w:b/>
                <w:color w:val="44546A" w:themeColor="text2"/>
              </w:rPr>
              <w:t>DPO</w:t>
            </w:r>
          </w:p>
        </w:tc>
        <w:tc>
          <w:tcPr>
            <w:tcW w:w="7796" w:type="dxa"/>
            <w:tcBorders>
              <w:top w:val="nil"/>
              <w:left w:val="nil"/>
              <w:bottom w:val="nil"/>
              <w:right w:val="nil"/>
            </w:tcBorders>
          </w:tcPr>
          <w:p w14:paraId="69BCFCC7" w14:textId="77777777" w:rsidR="00F068CB" w:rsidRDefault="00F068CB" w:rsidP="00ED3677">
            <w:pPr>
              <w:spacing w:beforeLines="10" w:before="24" w:afterLines="10" w:after="24"/>
              <w:rPr>
                <w:rFonts w:cstheme="minorHAnsi"/>
              </w:rPr>
            </w:pPr>
            <w:r>
              <w:rPr>
                <w:rFonts w:cstheme="minorHAnsi"/>
              </w:rPr>
              <w:t xml:space="preserve">Disabled Persons </w:t>
            </w:r>
            <w:proofErr w:type="spellStart"/>
            <w:r>
              <w:rPr>
                <w:rFonts w:cstheme="minorHAnsi"/>
              </w:rPr>
              <w:t>Organisation</w:t>
            </w:r>
            <w:proofErr w:type="spellEnd"/>
          </w:p>
        </w:tc>
      </w:tr>
      <w:tr w:rsidR="00251454" w:rsidRPr="00856F5C" w14:paraId="083A3B09" w14:textId="77777777" w:rsidTr="00467737">
        <w:tc>
          <w:tcPr>
            <w:tcW w:w="1271" w:type="dxa"/>
            <w:tcBorders>
              <w:top w:val="nil"/>
              <w:left w:val="nil"/>
              <w:bottom w:val="nil"/>
              <w:right w:val="nil"/>
            </w:tcBorders>
          </w:tcPr>
          <w:p w14:paraId="627374E3" w14:textId="77777777" w:rsidR="00251454" w:rsidRPr="00FD5B13" w:rsidRDefault="00251454" w:rsidP="00ED3677">
            <w:pPr>
              <w:spacing w:beforeLines="10" w:before="24" w:afterLines="10" w:after="24"/>
              <w:rPr>
                <w:rFonts w:cstheme="minorHAnsi"/>
                <w:b/>
                <w:color w:val="44546A" w:themeColor="text2"/>
              </w:rPr>
            </w:pPr>
            <w:r w:rsidRPr="00251454">
              <w:rPr>
                <w:rFonts w:cstheme="minorHAnsi"/>
                <w:b/>
                <w:color w:val="44546A" w:themeColor="text2"/>
              </w:rPr>
              <w:t>DSPPAC</w:t>
            </w:r>
          </w:p>
        </w:tc>
        <w:tc>
          <w:tcPr>
            <w:tcW w:w="7796" w:type="dxa"/>
            <w:tcBorders>
              <w:top w:val="nil"/>
              <w:left w:val="nil"/>
              <w:bottom w:val="nil"/>
              <w:right w:val="nil"/>
            </w:tcBorders>
          </w:tcPr>
          <w:p w14:paraId="0258156A" w14:textId="77777777" w:rsidR="00251454" w:rsidRDefault="00251454" w:rsidP="00ED3677">
            <w:pPr>
              <w:spacing w:beforeLines="10" w:before="24" w:afterLines="10" w:after="24"/>
              <w:rPr>
                <w:rFonts w:cstheme="minorHAnsi"/>
              </w:rPr>
            </w:pPr>
            <w:r w:rsidRPr="00251454">
              <w:rPr>
                <w:rFonts w:cstheme="minorHAnsi"/>
              </w:rPr>
              <w:t xml:space="preserve">Department of Strategic Planning, Policy and Aid Coordination </w:t>
            </w:r>
            <w:r>
              <w:rPr>
                <w:rFonts w:cstheme="minorHAnsi"/>
              </w:rPr>
              <w:t>(</w:t>
            </w:r>
            <w:proofErr w:type="spellStart"/>
            <w:r>
              <w:rPr>
                <w:rFonts w:cstheme="minorHAnsi"/>
              </w:rPr>
              <w:t>GoV</w:t>
            </w:r>
            <w:proofErr w:type="spellEnd"/>
            <w:r w:rsidRPr="00251454">
              <w:rPr>
                <w:rFonts w:cstheme="minorHAnsi"/>
              </w:rPr>
              <w:t>)</w:t>
            </w:r>
          </w:p>
        </w:tc>
      </w:tr>
      <w:tr w:rsidR="00E14227" w:rsidRPr="00856F5C" w14:paraId="518435C1" w14:textId="77777777" w:rsidTr="00467737">
        <w:tc>
          <w:tcPr>
            <w:tcW w:w="1271" w:type="dxa"/>
            <w:tcBorders>
              <w:top w:val="nil"/>
              <w:left w:val="nil"/>
              <w:bottom w:val="nil"/>
              <w:right w:val="nil"/>
            </w:tcBorders>
          </w:tcPr>
          <w:p w14:paraId="3CF76C3D" w14:textId="77777777" w:rsidR="00E14227" w:rsidRPr="00FD5B13" w:rsidRDefault="00E14227" w:rsidP="00ED3677">
            <w:pPr>
              <w:spacing w:beforeLines="10" w:before="24" w:afterLines="10" w:after="24"/>
              <w:rPr>
                <w:rFonts w:cstheme="minorHAnsi"/>
                <w:b/>
                <w:color w:val="44546A" w:themeColor="text2"/>
              </w:rPr>
            </w:pPr>
            <w:r w:rsidRPr="00FD5B13">
              <w:rPr>
                <w:rFonts w:cstheme="minorHAnsi"/>
                <w:b/>
                <w:color w:val="44546A" w:themeColor="text2"/>
              </w:rPr>
              <w:t>EOPO</w:t>
            </w:r>
          </w:p>
        </w:tc>
        <w:tc>
          <w:tcPr>
            <w:tcW w:w="7796" w:type="dxa"/>
            <w:tcBorders>
              <w:top w:val="nil"/>
              <w:left w:val="nil"/>
              <w:bottom w:val="nil"/>
              <w:right w:val="nil"/>
            </w:tcBorders>
          </w:tcPr>
          <w:p w14:paraId="7B0031D2" w14:textId="77777777" w:rsidR="00E14227" w:rsidRDefault="00E14227" w:rsidP="00ED3677">
            <w:pPr>
              <w:spacing w:beforeLines="10" w:before="24" w:afterLines="10" w:after="24"/>
              <w:rPr>
                <w:rFonts w:cstheme="minorHAnsi"/>
              </w:rPr>
            </w:pPr>
            <w:r>
              <w:rPr>
                <w:rFonts w:cstheme="minorHAnsi"/>
              </w:rPr>
              <w:t>End of Program Outcome</w:t>
            </w:r>
          </w:p>
        </w:tc>
      </w:tr>
      <w:tr w:rsidR="001B08CD" w:rsidRPr="00856F5C" w14:paraId="2C93A65F" w14:textId="77777777" w:rsidTr="00467737">
        <w:tc>
          <w:tcPr>
            <w:tcW w:w="1271" w:type="dxa"/>
            <w:tcBorders>
              <w:top w:val="nil"/>
              <w:left w:val="nil"/>
              <w:bottom w:val="nil"/>
              <w:right w:val="nil"/>
            </w:tcBorders>
          </w:tcPr>
          <w:p w14:paraId="580F1FAD" w14:textId="77777777" w:rsidR="001B08CD" w:rsidRPr="00FD5B13" w:rsidRDefault="001B08CD" w:rsidP="00ED3677">
            <w:pPr>
              <w:spacing w:beforeLines="10" w:before="24" w:afterLines="10" w:after="24"/>
              <w:rPr>
                <w:rFonts w:cstheme="minorHAnsi"/>
                <w:b/>
                <w:color w:val="44546A" w:themeColor="text2"/>
              </w:rPr>
            </w:pPr>
            <w:r>
              <w:rPr>
                <w:rFonts w:cstheme="minorHAnsi"/>
                <w:b/>
                <w:color w:val="44546A" w:themeColor="text2"/>
              </w:rPr>
              <w:t>ESC</w:t>
            </w:r>
          </w:p>
        </w:tc>
        <w:tc>
          <w:tcPr>
            <w:tcW w:w="7796" w:type="dxa"/>
            <w:tcBorders>
              <w:top w:val="nil"/>
              <w:left w:val="nil"/>
              <w:bottom w:val="nil"/>
              <w:right w:val="nil"/>
            </w:tcBorders>
          </w:tcPr>
          <w:p w14:paraId="573F25A2" w14:textId="77777777" w:rsidR="001B08CD" w:rsidRDefault="001B08CD" w:rsidP="00ED3677">
            <w:pPr>
              <w:spacing w:beforeLines="10" w:before="24" w:afterLines="10" w:after="24"/>
              <w:rPr>
                <w:rFonts w:cstheme="minorHAnsi"/>
              </w:rPr>
            </w:pPr>
            <w:r w:rsidRPr="001B08CD">
              <w:rPr>
                <w:rFonts w:cstheme="minorHAnsi"/>
              </w:rPr>
              <w:t>Enhanced Security Cooperation</w:t>
            </w:r>
          </w:p>
        </w:tc>
      </w:tr>
      <w:tr w:rsidR="00E14227" w:rsidRPr="00856F5C" w14:paraId="6E0AD405" w14:textId="77777777" w:rsidTr="00467737">
        <w:tc>
          <w:tcPr>
            <w:tcW w:w="1271" w:type="dxa"/>
            <w:tcBorders>
              <w:top w:val="nil"/>
              <w:left w:val="nil"/>
              <w:bottom w:val="nil"/>
              <w:right w:val="nil"/>
            </w:tcBorders>
          </w:tcPr>
          <w:p w14:paraId="37626148" w14:textId="77777777" w:rsidR="00E14227" w:rsidRPr="00FD5B13" w:rsidRDefault="00E14227" w:rsidP="00ED3677">
            <w:pPr>
              <w:spacing w:beforeLines="10" w:before="24" w:afterLines="10" w:after="24"/>
              <w:rPr>
                <w:rFonts w:cstheme="minorHAnsi"/>
                <w:b/>
                <w:color w:val="44546A" w:themeColor="text2"/>
              </w:rPr>
            </w:pPr>
            <w:r w:rsidRPr="00FD5B13">
              <w:rPr>
                <w:rFonts w:cstheme="minorHAnsi"/>
                <w:b/>
                <w:color w:val="44546A" w:themeColor="text2"/>
              </w:rPr>
              <w:t>FIFO</w:t>
            </w:r>
          </w:p>
        </w:tc>
        <w:tc>
          <w:tcPr>
            <w:tcW w:w="7796" w:type="dxa"/>
            <w:tcBorders>
              <w:top w:val="nil"/>
              <w:left w:val="nil"/>
              <w:bottom w:val="nil"/>
              <w:right w:val="nil"/>
            </w:tcBorders>
          </w:tcPr>
          <w:p w14:paraId="543AC7AB" w14:textId="77777777" w:rsidR="00E14227" w:rsidRPr="00856F5C" w:rsidRDefault="00E14227" w:rsidP="00ED3677">
            <w:pPr>
              <w:spacing w:beforeLines="10" w:before="24" w:afterLines="10" w:after="24"/>
              <w:rPr>
                <w:rFonts w:cstheme="minorHAnsi"/>
              </w:rPr>
            </w:pPr>
            <w:r>
              <w:rPr>
                <w:rFonts w:cstheme="minorHAnsi"/>
                <w:lang w:val="pt-PT"/>
              </w:rPr>
              <w:t>Fly-in Fly-out</w:t>
            </w:r>
          </w:p>
        </w:tc>
      </w:tr>
      <w:tr w:rsidR="00E14227" w:rsidRPr="00856F5C" w14:paraId="5BF31D08" w14:textId="77777777" w:rsidTr="00467737">
        <w:tc>
          <w:tcPr>
            <w:tcW w:w="1271" w:type="dxa"/>
            <w:tcBorders>
              <w:top w:val="nil"/>
              <w:left w:val="nil"/>
              <w:bottom w:val="nil"/>
              <w:right w:val="nil"/>
            </w:tcBorders>
          </w:tcPr>
          <w:p w14:paraId="3074A90C" w14:textId="77777777" w:rsidR="00E14227" w:rsidRPr="00FD5B13" w:rsidRDefault="00E14227" w:rsidP="00ED3677">
            <w:pPr>
              <w:spacing w:beforeLines="10" w:before="24" w:afterLines="10" w:after="24"/>
              <w:rPr>
                <w:rFonts w:cstheme="minorHAnsi"/>
                <w:b/>
                <w:color w:val="44546A" w:themeColor="text2"/>
              </w:rPr>
            </w:pPr>
            <w:r w:rsidRPr="00FD5B13">
              <w:rPr>
                <w:rFonts w:cstheme="minorHAnsi"/>
                <w:b/>
                <w:color w:val="44546A" w:themeColor="text2"/>
              </w:rPr>
              <w:t>FPA</w:t>
            </w:r>
          </w:p>
        </w:tc>
        <w:tc>
          <w:tcPr>
            <w:tcW w:w="7796" w:type="dxa"/>
            <w:tcBorders>
              <w:top w:val="nil"/>
              <w:left w:val="nil"/>
              <w:bottom w:val="nil"/>
              <w:right w:val="nil"/>
            </w:tcBorders>
          </w:tcPr>
          <w:p w14:paraId="0685F420" w14:textId="77777777" w:rsidR="00E14227" w:rsidRDefault="00E14227" w:rsidP="00ED3677">
            <w:pPr>
              <w:spacing w:beforeLines="10" w:before="24" w:afterLines="10" w:after="24"/>
              <w:rPr>
                <w:rFonts w:cstheme="minorHAnsi"/>
              </w:rPr>
            </w:pPr>
            <w:r>
              <w:rPr>
                <w:rFonts w:cstheme="minorHAnsi"/>
              </w:rPr>
              <w:t>Family Protection Act 2008 (Vanuatu)</w:t>
            </w:r>
          </w:p>
        </w:tc>
      </w:tr>
      <w:tr w:rsidR="00E14227" w:rsidRPr="00856F5C" w14:paraId="30A1DAAF" w14:textId="77777777" w:rsidTr="00467737">
        <w:tc>
          <w:tcPr>
            <w:tcW w:w="1271" w:type="dxa"/>
            <w:tcBorders>
              <w:top w:val="nil"/>
              <w:left w:val="nil"/>
              <w:bottom w:val="nil"/>
              <w:right w:val="nil"/>
            </w:tcBorders>
          </w:tcPr>
          <w:p w14:paraId="18AD9898" w14:textId="77777777" w:rsidR="00E14227" w:rsidRPr="00FD5B13" w:rsidRDefault="00E14227" w:rsidP="00ED3677">
            <w:pPr>
              <w:spacing w:beforeLines="10" w:before="24" w:afterLines="10" w:after="24"/>
              <w:rPr>
                <w:rFonts w:cstheme="minorHAnsi"/>
                <w:b/>
                <w:color w:val="44546A" w:themeColor="text2"/>
              </w:rPr>
            </w:pPr>
            <w:r w:rsidRPr="00FD5B13">
              <w:rPr>
                <w:rFonts w:cstheme="minorHAnsi"/>
                <w:b/>
                <w:color w:val="44546A" w:themeColor="text2"/>
              </w:rPr>
              <w:t>FPU</w:t>
            </w:r>
          </w:p>
        </w:tc>
        <w:tc>
          <w:tcPr>
            <w:tcW w:w="7796" w:type="dxa"/>
            <w:tcBorders>
              <w:top w:val="nil"/>
              <w:left w:val="nil"/>
              <w:bottom w:val="nil"/>
              <w:right w:val="nil"/>
            </w:tcBorders>
          </w:tcPr>
          <w:p w14:paraId="56C3CD25" w14:textId="77777777" w:rsidR="00E14227" w:rsidRDefault="00E14227" w:rsidP="00ED3677">
            <w:pPr>
              <w:spacing w:beforeLines="10" w:before="24" w:afterLines="10" w:after="24"/>
              <w:rPr>
                <w:rFonts w:cstheme="minorHAnsi"/>
              </w:rPr>
            </w:pPr>
            <w:r>
              <w:rPr>
                <w:rFonts w:cstheme="minorHAnsi"/>
              </w:rPr>
              <w:t>Family Protection Unit (VPF)</w:t>
            </w:r>
          </w:p>
        </w:tc>
      </w:tr>
      <w:tr w:rsidR="00E14227" w:rsidRPr="00856F5C" w14:paraId="3607C946" w14:textId="77777777" w:rsidTr="00467737">
        <w:tc>
          <w:tcPr>
            <w:tcW w:w="1271" w:type="dxa"/>
            <w:tcBorders>
              <w:top w:val="nil"/>
              <w:left w:val="nil"/>
              <w:bottom w:val="nil"/>
              <w:right w:val="nil"/>
            </w:tcBorders>
          </w:tcPr>
          <w:p w14:paraId="4C4F4809" w14:textId="77777777" w:rsidR="00E14227" w:rsidRPr="00FD5B13" w:rsidRDefault="00E14227" w:rsidP="00ED3677">
            <w:pPr>
              <w:spacing w:beforeLines="10" w:before="24" w:afterLines="10" w:after="24"/>
              <w:rPr>
                <w:rFonts w:cstheme="minorHAnsi"/>
                <w:b/>
                <w:color w:val="44546A" w:themeColor="text2"/>
              </w:rPr>
            </w:pPr>
            <w:r w:rsidRPr="00FD5B13">
              <w:rPr>
                <w:rFonts w:cstheme="minorHAnsi"/>
                <w:b/>
                <w:color w:val="44546A" w:themeColor="text2"/>
              </w:rPr>
              <w:t>FRA</w:t>
            </w:r>
          </w:p>
        </w:tc>
        <w:tc>
          <w:tcPr>
            <w:tcW w:w="7796" w:type="dxa"/>
            <w:tcBorders>
              <w:top w:val="nil"/>
              <w:left w:val="nil"/>
              <w:bottom w:val="nil"/>
              <w:right w:val="nil"/>
            </w:tcBorders>
          </w:tcPr>
          <w:p w14:paraId="188B60A8" w14:textId="77777777" w:rsidR="00E14227" w:rsidRDefault="00E14227" w:rsidP="00ED3677">
            <w:pPr>
              <w:spacing w:beforeLines="10" w:before="24" w:afterLines="10" w:after="24"/>
              <w:rPr>
                <w:rFonts w:cstheme="minorHAnsi"/>
                <w:lang w:val="pt-PT"/>
              </w:rPr>
            </w:pPr>
            <w:r>
              <w:rPr>
                <w:rFonts w:cstheme="minorHAnsi"/>
                <w:lang w:val="pt-PT"/>
              </w:rPr>
              <w:t>Fiduciary Risk Assessment</w:t>
            </w:r>
          </w:p>
        </w:tc>
      </w:tr>
      <w:tr w:rsidR="00A87FBC" w:rsidRPr="00856F5C" w14:paraId="37C035DD" w14:textId="77777777" w:rsidTr="00467737">
        <w:tc>
          <w:tcPr>
            <w:tcW w:w="1271" w:type="dxa"/>
            <w:tcBorders>
              <w:top w:val="nil"/>
              <w:left w:val="nil"/>
              <w:bottom w:val="nil"/>
              <w:right w:val="nil"/>
            </w:tcBorders>
          </w:tcPr>
          <w:p w14:paraId="63C15DC4" w14:textId="77777777" w:rsidR="00A87FBC" w:rsidRPr="00FD5B13" w:rsidRDefault="00A87FBC" w:rsidP="00ED3677">
            <w:pPr>
              <w:spacing w:beforeLines="10" w:before="24" w:afterLines="10" w:after="24"/>
              <w:rPr>
                <w:rFonts w:cstheme="minorHAnsi"/>
                <w:b/>
                <w:color w:val="44546A" w:themeColor="text2"/>
              </w:rPr>
            </w:pPr>
            <w:r>
              <w:rPr>
                <w:rFonts w:cstheme="minorHAnsi"/>
                <w:b/>
                <w:color w:val="44546A" w:themeColor="text2"/>
              </w:rPr>
              <w:t>FSV</w:t>
            </w:r>
          </w:p>
        </w:tc>
        <w:tc>
          <w:tcPr>
            <w:tcW w:w="7796" w:type="dxa"/>
            <w:tcBorders>
              <w:top w:val="nil"/>
              <w:left w:val="nil"/>
              <w:bottom w:val="nil"/>
              <w:right w:val="nil"/>
            </w:tcBorders>
          </w:tcPr>
          <w:p w14:paraId="0C371228" w14:textId="77777777" w:rsidR="00A87FBC" w:rsidRDefault="00A87FBC" w:rsidP="00ED3677">
            <w:pPr>
              <w:spacing w:beforeLines="10" w:before="24" w:afterLines="10" w:after="24"/>
              <w:rPr>
                <w:rFonts w:cstheme="minorHAnsi"/>
                <w:lang w:val="pt-PT"/>
              </w:rPr>
            </w:pPr>
            <w:r>
              <w:rPr>
                <w:rFonts w:cstheme="minorHAnsi"/>
                <w:lang w:val="pt-PT"/>
              </w:rPr>
              <w:t>Family and Sexual Violence</w:t>
            </w:r>
          </w:p>
        </w:tc>
      </w:tr>
      <w:tr w:rsidR="00E14227" w:rsidRPr="00856F5C" w14:paraId="1B044704" w14:textId="77777777" w:rsidTr="00467737">
        <w:tc>
          <w:tcPr>
            <w:tcW w:w="1271" w:type="dxa"/>
            <w:tcBorders>
              <w:top w:val="nil"/>
              <w:left w:val="nil"/>
              <w:bottom w:val="nil"/>
              <w:right w:val="nil"/>
            </w:tcBorders>
          </w:tcPr>
          <w:p w14:paraId="63DF3500" w14:textId="77777777" w:rsidR="00E14227" w:rsidRPr="00FD5B13" w:rsidRDefault="00E14227" w:rsidP="00ED3677">
            <w:pPr>
              <w:spacing w:beforeLines="10" w:before="24" w:afterLines="10" w:after="24"/>
              <w:rPr>
                <w:rFonts w:cstheme="minorHAnsi"/>
                <w:b/>
                <w:color w:val="44546A" w:themeColor="text2"/>
              </w:rPr>
            </w:pPr>
            <w:r w:rsidRPr="00FD5B13">
              <w:rPr>
                <w:rFonts w:cstheme="minorHAnsi"/>
                <w:b/>
                <w:color w:val="44546A" w:themeColor="text2"/>
              </w:rPr>
              <w:t>GD</w:t>
            </w:r>
          </w:p>
        </w:tc>
        <w:tc>
          <w:tcPr>
            <w:tcW w:w="7796" w:type="dxa"/>
            <w:tcBorders>
              <w:top w:val="nil"/>
              <w:left w:val="nil"/>
              <w:bottom w:val="nil"/>
              <w:right w:val="nil"/>
            </w:tcBorders>
          </w:tcPr>
          <w:p w14:paraId="0501396A" w14:textId="77777777" w:rsidR="00E14227" w:rsidRPr="00856F5C" w:rsidRDefault="00E14227" w:rsidP="00ED3677">
            <w:pPr>
              <w:spacing w:beforeLines="10" w:before="24" w:afterLines="10" w:after="24"/>
              <w:rPr>
                <w:rFonts w:cstheme="minorHAnsi"/>
                <w:lang w:val="pt-PT"/>
              </w:rPr>
            </w:pPr>
            <w:r>
              <w:rPr>
                <w:rFonts w:cstheme="minorHAnsi"/>
                <w:lang w:val="pt-PT"/>
              </w:rPr>
              <w:t>General Duties (VPF)</w:t>
            </w:r>
          </w:p>
        </w:tc>
      </w:tr>
      <w:tr w:rsidR="00E14227" w:rsidRPr="00856F5C" w14:paraId="26BEF7C7" w14:textId="77777777" w:rsidTr="00467737">
        <w:tc>
          <w:tcPr>
            <w:tcW w:w="1271" w:type="dxa"/>
            <w:tcBorders>
              <w:top w:val="nil"/>
              <w:left w:val="nil"/>
              <w:bottom w:val="nil"/>
              <w:right w:val="nil"/>
            </w:tcBorders>
          </w:tcPr>
          <w:p w14:paraId="0E251E14" w14:textId="77777777" w:rsidR="00E14227" w:rsidRPr="00FD5B13" w:rsidRDefault="00E14227" w:rsidP="00ED3677">
            <w:pPr>
              <w:spacing w:beforeLines="10" w:before="24" w:afterLines="10" w:after="24"/>
              <w:rPr>
                <w:rFonts w:cstheme="minorHAnsi"/>
                <w:b/>
                <w:color w:val="44546A" w:themeColor="text2"/>
              </w:rPr>
            </w:pPr>
            <w:proofErr w:type="spellStart"/>
            <w:r w:rsidRPr="00FD5B13">
              <w:rPr>
                <w:rFonts w:cstheme="minorHAnsi"/>
                <w:b/>
                <w:color w:val="44546A" w:themeColor="text2"/>
              </w:rPr>
              <w:t>GoA</w:t>
            </w:r>
            <w:proofErr w:type="spellEnd"/>
          </w:p>
        </w:tc>
        <w:tc>
          <w:tcPr>
            <w:tcW w:w="7796" w:type="dxa"/>
            <w:tcBorders>
              <w:top w:val="nil"/>
              <w:left w:val="nil"/>
              <w:bottom w:val="nil"/>
              <w:right w:val="nil"/>
            </w:tcBorders>
          </w:tcPr>
          <w:p w14:paraId="40FF8C87" w14:textId="77777777" w:rsidR="00E14227" w:rsidRDefault="00E14227" w:rsidP="00ED3677">
            <w:pPr>
              <w:spacing w:beforeLines="10" w:before="24" w:afterLines="10" w:after="24"/>
              <w:rPr>
                <w:rFonts w:cstheme="minorHAnsi"/>
              </w:rPr>
            </w:pPr>
            <w:r w:rsidRPr="00856F5C">
              <w:rPr>
                <w:rFonts w:cstheme="minorHAnsi"/>
                <w:lang w:val="pt-PT"/>
              </w:rPr>
              <w:t>Government of Australia</w:t>
            </w:r>
          </w:p>
        </w:tc>
      </w:tr>
      <w:tr w:rsidR="00E14227" w:rsidRPr="00856F5C" w14:paraId="15CB52AC" w14:textId="77777777" w:rsidTr="00467737">
        <w:tc>
          <w:tcPr>
            <w:tcW w:w="1271" w:type="dxa"/>
            <w:tcBorders>
              <w:top w:val="nil"/>
              <w:left w:val="nil"/>
              <w:bottom w:val="nil"/>
              <w:right w:val="nil"/>
            </w:tcBorders>
          </w:tcPr>
          <w:p w14:paraId="073453E1" w14:textId="77777777" w:rsidR="00E14227" w:rsidRPr="00FD5B13" w:rsidRDefault="00E14227" w:rsidP="00ED3677">
            <w:pPr>
              <w:spacing w:beforeLines="10" w:before="24" w:afterLines="10" w:after="24"/>
              <w:rPr>
                <w:rFonts w:cstheme="minorHAnsi"/>
                <w:b/>
                <w:color w:val="44546A" w:themeColor="text2"/>
              </w:rPr>
            </w:pPr>
            <w:proofErr w:type="spellStart"/>
            <w:r w:rsidRPr="00FD5B13">
              <w:rPr>
                <w:rFonts w:cstheme="minorHAnsi"/>
                <w:b/>
                <w:color w:val="44546A" w:themeColor="text2"/>
              </w:rPr>
              <w:t>GoV</w:t>
            </w:r>
            <w:proofErr w:type="spellEnd"/>
          </w:p>
        </w:tc>
        <w:tc>
          <w:tcPr>
            <w:tcW w:w="7796" w:type="dxa"/>
            <w:tcBorders>
              <w:top w:val="nil"/>
              <w:left w:val="nil"/>
              <w:bottom w:val="nil"/>
              <w:right w:val="nil"/>
            </w:tcBorders>
          </w:tcPr>
          <w:p w14:paraId="7D829642" w14:textId="77777777" w:rsidR="00E14227" w:rsidRDefault="00E14227" w:rsidP="00ED3677">
            <w:pPr>
              <w:spacing w:beforeLines="10" w:before="24" w:afterLines="10" w:after="24"/>
              <w:rPr>
                <w:rFonts w:cstheme="minorHAnsi"/>
              </w:rPr>
            </w:pPr>
            <w:r w:rsidRPr="00856F5C">
              <w:rPr>
                <w:rFonts w:cstheme="minorHAnsi"/>
              </w:rPr>
              <w:t xml:space="preserve">Government of </w:t>
            </w:r>
            <w:r>
              <w:rPr>
                <w:rFonts w:cstheme="minorHAnsi"/>
              </w:rPr>
              <w:t>Vanuatu</w:t>
            </w:r>
          </w:p>
        </w:tc>
      </w:tr>
      <w:tr w:rsidR="005578EE" w:rsidRPr="00856F5C" w14:paraId="110F3C87" w14:textId="77777777" w:rsidTr="00467737">
        <w:tc>
          <w:tcPr>
            <w:tcW w:w="1271" w:type="dxa"/>
            <w:tcBorders>
              <w:top w:val="nil"/>
              <w:left w:val="nil"/>
              <w:bottom w:val="nil"/>
              <w:right w:val="nil"/>
            </w:tcBorders>
          </w:tcPr>
          <w:p w14:paraId="342F4B27" w14:textId="77777777" w:rsidR="005578EE" w:rsidRPr="00FD5B13" w:rsidRDefault="005578EE" w:rsidP="00ED3677">
            <w:pPr>
              <w:spacing w:beforeLines="10" w:before="24" w:afterLines="10" w:after="24"/>
              <w:rPr>
                <w:rFonts w:cstheme="minorHAnsi"/>
                <w:b/>
                <w:color w:val="44546A" w:themeColor="text2"/>
              </w:rPr>
            </w:pPr>
            <w:r>
              <w:rPr>
                <w:rFonts w:cstheme="minorHAnsi"/>
                <w:b/>
                <w:color w:val="44546A" w:themeColor="text2"/>
              </w:rPr>
              <w:t>HR</w:t>
            </w:r>
          </w:p>
        </w:tc>
        <w:tc>
          <w:tcPr>
            <w:tcW w:w="7796" w:type="dxa"/>
            <w:tcBorders>
              <w:top w:val="nil"/>
              <w:left w:val="nil"/>
              <w:bottom w:val="nil"/>
              <w:right w:val="nil"/>
            </w:tcBorders>
          </w:tcPr>
          <w:p w14:paraId="1562F9A0" w14:textId="77777777" w:rsidR="005578EE" w:rsidRDefault="005578EE" w:rsidP="00ED3677">
            <w:pPr>
              <w:spacing w:beforeLines="10" w:before="24" w:afterLines="10" w:after="24"/>
              <w:rPr>
                <w:rFonts w:cstheme="minorHAnsi"/>
              </w:rPr>
            </w:pPr>
            <w:r>
              <w:rPr>
                <w:rFonts w:cstheme="minorHAnsi"/>
              </w:rPr>
              <w:t>Human Resources</w:t>
            </w:r>
          </w:p>
        </w:tc>
      </w:tr>
      <w:tr w:rsidR="00E14227" w:rsidRPr="00856F5C" w14:paraId="30939EC4" w14:textId="77777777" w:rsidTr="00467737">
        <w:tc>
          <w:tcPr>
            <w:tcW w:w="1271" w:type="dxa"/>
            <w:tcBorders>
              <w:top w:val="nil"/>
              <w:left w:val="nil"/>
              <w:bottom w:val="nil"/>
              <w:right w:val="nil"/>
            </w:tcBorders>
          </w:tcPr>
          <w:p w14:paraId="1091D2E0" w14:textId="77777777" w:rsidR="00E14227" w:rsidRPr="00FD5B13" w:rsidRDefault="00E14227" w:rsidP="00ED3677">
            <w:pPr>
              <w:spacing w:beforeLines="10" w:before="24" w:afterLines="10" w:after="24"/>
              <w:rPr>
                <w:rFonts w:cstheme="minorHAnsi"/>
                <w:b/>
                <w:color w:val="44546A" w:themeColor="text2"/>
              </w:rPr>
            </w:pPr>
            <w:r w:rsidRPr="00FD5B13">
              <w:rPr>
                <w:rFonts w:cstheme="minorHAnsi"/>
                <w:b/>
                <w:color w:val="44546A" w:themeColor="text2"/>
              </w:rPr>
              <w:t>IO</w:t>
            </w:r>
          </w:p>
        </w:tc>
        <w:tc>
          <w:tcPr>
            <w:tcW w:w="7796" w:type="dxa"/>
            <w:tcBorders>
              <w:top w:val="nil"/>
              <w:left w:val="nil"/>
              <w:bottom w:val="nil"/>
              <w:right w:val="nil"/>
            </w:tcBorders>
          </w:tcPr>
          <w:p w14:paraId="455387F5" w14:textId="77777777" w:rsidR="00E14227" w:rsidRDefault="00E14227" w:rsidP="00ED3677">
            <w:pPr>
              <w:spacing w:beforeLines="10" w:before="24" w:afterLines="10" w:after="24"/>
              <w:rPr>
                <w:rFonts w:cstheme="minorHAnsi"/>
              </w:rPr>
            </w:pPr>
            <w:r>
              <w:rPr>
                <w:rFonts w:cstheme="minorHAnsi"/>
              </w:rPr>
              <w:t>Intermediate Outcome</w:t>
            </w:r>
          </w:p>
        </w:tc>
      </w:tr>
      <w:tr w:rsidR="00E14227" w:rsidRPr="00856F5C" w14:paraId="2E783EBA" w14:textId="77777777" w:rsidTr="00467737">
        <w:tc>
          <w:tcPr>
            <w:tcW w:w="1271" w:type="dxa"/>
            <w:tcBorders>
              <w:top w:val="nil"/>
              <w:left w:val="nil"/>
              <w:bottom w:val="nil"/>
              <w:right w:val="nil"/>
            </w:tcBorders>
          </w:tcPr>
          <w:p w14:paraId="2A3E9A19" w14:textId="77777777" w:rsidR="00E14227" w:rsidRPr="00FD5B13" w:rsidRDefault="00E14227" w:rsidP="00ED3677">
            <w:pPr>
              <w:spacing w:beforeLines="10" w:before="24" w:afterLines="10" w:after="24"/>
              <w:rPr>
                <w:rFonts w:cstheme="minorHAnsi"/>
                <w:b/>
                <w:color w:val="44546A" w:themeColor="text2"/>
              </w:rPr>
            </w:pPr>
            <w:r w:rsidRPr="00FD5B13">
              <w:rPr>
                <w:rFonts w:cstheme="minorHAnsi"/>
                <w:b/>
                <w:color w:val="44546A" w:themeColor="text2"/>
              </w:rPr>
              <w:t>JAM</w:t>
            </w:r>
          </w:p>
        </w:tc>
        <w:tc>
          <w:tcPr>
            <w:tcW w:w="7796" w:type="dxa"/>
            <w:tcBorders>
              <w:top w:val="nil"/>
              <w:left w:val="nil"/>
              <w:bottom w:val="nil"/>
              <w:right w:val="nil"/>
            </w:tcBorders>
          </w:tcPr>
          <w:p w14:paraId="3EAA8334" w14:textId="77777777" w:rsidR="00E14227" w:rsidRDefault="00E14227" w:rsidP="00ED3677">
            <w:pPr>
              <w:spacing w:beforeLines="10" w:before="24" w:afterLines="10" w:after="24"/>
              <w:rPr>
                <w:rFonts w:cstheme="minorHAnsi"/>
              </w:rPr>
            </w:pPr>
            <w:r>
              <w:rPr>
                <w:rFonts w:cstheme="minorHAnsi"/>
              </w:rPr>
              <w:t>Joint Adviser Meetings</w:t>
            </w:r>
          </w:p>
        </w:tc>
      </w:tr>
      <w:tr w:rsidR="00E14227" w:rsidRPr="00856F5C" w14:paraId="303E065D" w14:textId="77777777" w:rsidTr="00467737">
        <w:tc>
          <w:tcPr>
            <w:tcW w:w="1271" w:type="dxa"/>
            <w:tcBorders>
              <w:top w:val="nil"/>
              <w:left w:val="nil"/>
              <w:bottom w:val="nil"/>
              <w:right w:val="nil"/>
            </w:tcBorders>
          </w:tcPr>
          <w:p w14:paraId="560B416E" w14:textId="77777777" w:rsidR="00E14227" w:rsidRPr="00FD5B13" w:rsidRDefault="00E14227" w:rsidP="00ED3677">
            <w:pPr>
              <w:spacing w:beforeLines="10" w:before="24" w:afterLines="10" w:after="24"/>
              <w:rPr>
                <w:rFonts w:cstheme="minorHAnsi"/>
                <w:b/>
                <w:color w:val="44546A" w:themeColor="text2"/>
              </w:rPr>
            </w:pPr>
            <w:r w:rsidRPr="00FD5B13">
              <w:rPr>
                <w:rFonts w:cstheme="minorHAnsi"/>
                <w:b/>
                <w:color w:val="44546A" w:themeColor="text2"/>
              </w:rPr>
              <w:t>LRC</w:t>
            </w:r>
          </w:p>
        </w:tc>
        <w:tc>
          <w:tcPr>
            <w:tcW w:w="7796" w:type="dxa"/>
            <w:tcBorders>
              <w:top w:val="nil"/>
              <w:left w:val="nil"/>
              <w:bottom w:val="nil"/>
              <w:right w:val="nil"/>
            </w:tcBorders>
          </w:tcPr>
          <w:p w14:paraId="08DA0D54" w14:textId="77777777" w:rsidR="00E14227" w:rsidRDefault="00E14227" w:rsidP="00ED3677">
            <w:pPr>
              <w:spacing w:beforeLines="10" w:before="24" w:afterLines="10" w:after="24"/>
              <w:rPr>
                <w:rFonts w:cstheme="minorHAnsi"/>
              </w:rPr>
            </w:pPr>
            <w:r>
              <w:rPr>
                <w:rFonts w:cstheme="minorHAnsi"/>
              </w:rPr>
              <w:t>Law Reform Commission (</w:t>
            </w:r>
            <w:proofErr w:type="spellStart"/>
            <w:r>
              <w:rPr>
                <w:rFonts w:cstheme="minorHAnsi"/>
              </w:rPr>
              <w:t>GoV</w:t>
            </w:r>
            <w:proofErr w:type="spellEnd"/>
            <w:r>
              <w:rPr>
                <w:rFonts w:cstheme="minorHAnsi"/>
              </w:rPr>
              <w:t>)</w:t>
            </w:r>
          </w:p>
        </w:tc>
      </w:tr>
      <w:tr w:rsidR="00E14227" w:rsidRPr="00856F5C" w14:paraId="2D7DD3B0" w14:textId="77777777" w:rsidTr="00467737">
        <w:tc>
          <w:tcPr>
            <w:tcW w:w="1271" w:type="dxa"/>
            <w:tcBorders>
              <w:top w:val="nil"/>
              <w:left w:val="nil"/>
              <w:bottom w:val="nil"/>
              <w:right w:val="nil"/>
            </w:tcBorders>
          </w:tcPr>
          <w:p w14:paraId="5686F620" w14:textId="77777777" w:rsidR="00E14227" w:rsidRPr="00FD5B13" w:rsidRDefault="00E14227" w:rsidP="00ED3677">
            <w:pPr>
              <w:spacing w:beforeLines="10" w:before="24" w:afterLines="10" w:after="24"/>
              <w:rPr>
                <w:rFonts w:cstheme="minorHAnsi"/>
                <w:b/>
                <w:color w:val="44546A" w:themeColor="text2"/>
              </w:rPr>
            </w:pPr>
            <w:r w:rsidRPr="00FD5B13">
              <w:rPr>
                <w:rFonts w:cstheme="minorHAnsi"/>
                <w:b/>
                <w:color w:val="44546A" w:themeColor="text2"/>
              </w:rPr>
              <w:t>M&amp;E</w:t>
            </w:r>
          </w:p>
        </w:tc>
        <w:tc>
          <w:tcPr>
            <w:tcW w:w="7796" w:type="dxa"/>
            <w:tcBorders>
              <w:top w:val="nil"/>
              <w:left w:val="nil"/>
              <w:bottom w:val="nil"/>
              <w:right w:val="nil"/>
            </w:tcBorders>
          </w:tcPr>
          <w:p w14:paraId="129D0963" w14:textId="77777777" w:rsidR="00E14227" w:rsidRDefault="00E14227" w:rsidP="00ED3677">
            <w:pPr>
              <w:spacing w:beforeLines="10" w:before="24" w:afterLines="10" w:after="24"/>
              <w:rPr>
                <w:rFonts w:cstheme="minorHAnsi"/>
              </w:rPr>
            </w:pPr>
            <w:r>
              <w:rPr>
                <w:rFonts w:cstheme="minorHAnsi"/>
              </w:rPr>
              <w:t>Monitoring and Evaluation</w:t>
            </w:r>
          </w:p>
        </w:tc>
      </w:tr>
      <w:tr w:rsidR="00E14227" w:rsidRPr="00856F5C" w14:paraId="5CEB7A00" w14:textId="77777777" w:rsidTr="00467737">
        <w:tc>
          <w:tcPr>
            <w:tcW w:w="1271" w:type="dxa"/>
            <w:tcBorders>
              <w:top w:val="nil"/>
              <w:left w:val="nil"/>
              <w:bottom w:val="nil"/>
              <w:right w:val="nil"/>
            </w:tcBorders>
          </w:tcPr>
          <w:p w14:paraId="4F2ECDAB" w14:textId="77777777" w:rsidR="00E14227" w:rsidRPr="00FD5B13" w:rsidRDefault="00E14227" w:rsidP="00ED3677">
            <w:pPr>
              <w:spacing w:beforeLines="10" w:before="24" w:afterLines="10" w:after="24"/>
              <w:rPr>
                <w:rFonts w:cstheme="minorHAnsi"/>
                <w:b/>
                <w:color w:val="44546A" w:themeColor="text2"/>
              </w:rPr>
            </w:pPr>
            <w:r w:rsidRPr="00FD5B13">
              <w:rPr>
                <w:rFonts w:cstheme="minorHAnsi"/>
                <w:b/>
                <w:color w:val="44546A" w:themeColor="text2"/>
              </w:rPr>
              <w:t>MJCS</w:t>
            </w:r>
          </w:p>
        </w:tc>
        <w:tc>
          <w:tcPr>
            <w:tcW w:w="7796" w:type="dxa"/>
            <w:tcBorders>
              <w:top w:val="nil"/>
              <w:left w:val="nil"/>
              <w:bottom w:val="nil"/>
              <w:right w:val="nil"/>
            </w:tcBorders>
          </w:tcPr>
          <w:p w14:paraId="519504F1" w14:textId="77777777" w:rsidR="00E14227" w:rsidRPr="00856F5C" w:rsidRDefault="00E14227" w:rsidP="00ED3677">
            <w:pPr>
              <w:spacing w:beforeLines="10" w:before="24" w:afterLines="10" w:after="24"/>
              <w:rPr>
                <w:rFonts w:cstheme="minorHAnsi"/>
              </w:rPr>
            </w:pPr>
            <w:r>
              <w:rPr>
                <w:rFonts w:cstheme="minorHAnsi"/>
              </w:rPr>
              <w:t>Ministry of Justice and Community Services (</w:t>
            </w:r>
            <w:proofErr w:type="spellStart"/>
            <w:r>
              <w:rPr>
                <w:rFonts w:cstheme="minorHAnsi"/>
              </w:rPr>
              <w:t>GoV</w:t>
            </w:r>
            <w:proofErr w:type="spellEnd"/>
            <w:r>
              <w:rPr>
                <w:rFonts w:cstheme="minorHAnsi"/>
              </w:rPr>
              <w:t>)</w:t>
            </w:r>
          </w:p>
        </w:tc>
      </w:tr>
      <w:tr w:rsidR="005367EC" w:rsidRPr="00856F5C" w14:paraId="49398C18" w14:textId="77777777" w:rsidTr="00467737">
        <w:tc>
          <w:tcPr>
            <w:tcW w:w="1271" w:type="dxa"/>
            <w:tcBorders>
              <w:top w:val="nil"/>
              <w:left w:val="nil"/>
              <w:bottom w:val="nil"/>
              <w:right w:val="nil"/>
            </w:tcBorders>
          </w:tcPr>
          <w:p w14:paraId="50B433C8" w14:textId="77777777" w:rsidR="005367EC" w:rsidRDefault="005367EC" w:rsidP="00ED3677">
            <w:pPr>
              <w:spacing w:beforeLines="10" w:before="24" w:afterLines="10" w:after="24"/>
              <w:rPr>
                <w:rFonts w:cstheme="minorHAnsi"/>
                <w:b/>
                <w:color w:val="44546A" w:themeColor="text2"/>
              </w:rPr>
            </w:pPr>
            <w:proofErr w:type="spellStart"/>
            <w:r>
              <w:rPr>
                <w:rFonts w:cstheme="minorHAnsi"/>
                <w:b/>
                <w:color w:val="44546A" w:themeColor="text2"/>
              </w:rPr>
              <w:t>MoIA</w:t>
            </w:r>
            <w:proofErr w:type="spellEnd"/>
          </w:p>
        </w:tc>
        <w:tc>
          <w:tcPr>
            <w:tcW w:w="7796" w:type="dxa"/>
            <w:tcBorders>
              <w:top w:val="nil"/>
              <w:left w:val="nil"/>
              <w:bottom w:val="nil"/>
              <w:right w:val="nil"/>
            </w:tcBorders>
          </w:tcPr>
          <w:p w14:paraId="2C335B12" w14:textId="77777777" w:rsidR="005367EC" w:rsidRPr="00D33835" w:rsidRDefault="005367EC" w:rsidP="00ED3677">
            <w:pPr>
              <w:spacing w:beforeLines="10" w:before="24" w:afterLines="10" w:after="24"/>
              <w:rPr>
                <w:rFonts w:cstheme="minorHAnsi"/>
              </w:rPr>
            </w:pPr>
            <w:r>
              <w:rPr>
                <w:rFonts w:cstheme="minorHAnsi"/>
              </w:rPr>
              <w:t>Ministry of Internal Affairs (</w:t>
            </w:r>
            <w:proofErr w:type="spellStart"/>
            <w:r>
              <w:rPr>
                <w:rFonts w:cstheme="minorHAnsi"/>
              </w:rPr>
              <w:t>GoV</w:t>
            </w:r>
            <w:proofErr w:type="spellEnd"/>
            <w:r>
              <w:rPr>
                <w:rFonts w:cstheme="minorHAnsi"/>
              </w:rPr>
              <w:t>)</w:t>
            </w:r>
          </w:p>
        </w:tc>
      </w:tr>
      <w:tr w:rsidR="00D33835" w:rsidRPr="00856F5C" w14:paraId="41D42321" w14:textId="77777777" w:rsidTr="00467737">
        <w:tc>
          <w:tcPr>
            <w:tcW w:w="1271" w:type="dxa"/>
            <w:tcBorders>
              <w:top w:val="nil"/>
              <w:left w:val="nil"/>
              <w:bottom w:val="nil"/>
              <w:right w:val="nil"/>
            </w:tcBorders>
          </w:tcPr>
          <w:p w14:paraId="3FC0444B" w14:textId="77777777" w:rsidR="00D33835" w:rsidRPr="00FD5B13" w:rsidRDefault="00D33835" w:rsidP="00ED3677">
            <w:pPr>
              <w:spacing w:beforeLines="10" w:before="24" w:afterLines="10" w:after="24"/>
              <w:rPr>
                <w:rFonts w:cstheme="minorHAnsi"/>
                <w:b/>
                <w:color w:val="44546A" w:themeColor="text2"/>
              </w:rPr>
            </w:pPr>
            <w:r>
              <w:rPr>
                <w:rFonts w:cstheme="minorHAnsi"/>
                <w:b/>
                <w:color w:val="44546A" w:themeColor="text2"/>
              </w:rPr>
              <w:t>NSDP</w:t>
            </w:r>
          </w:p>
        </w:tc>
        <w:tc>
          <w:tcPr>
            <w:tcW w:w="7796" w:type="dxa"/>
            <w:tcBorders>
              <w:top w:val="nil"/>
              <w:left w:val="nil"/>
              <w:bottom w:val="nil"/>
              <w:right w:val="nil"/>
            </w:tcBorders>
          </w:tcPr>
          <w:p w14:paraId="4E08C757" w14:textId="77777777" w:rsidR="00D33835" w:rsidRDefault="00D33835" w:rsidP="00ED3677">
            <w:pPr>
              <w:spacing w:beforeLines="10" w:before="24" w:afterLines="10" w:after="24"/>
              <w:rPr>
                <w:rFonts w:cstheme="minorHAnsi"/>
              </w:rPr>
            </w:pPr>
            <w:r w:rsidRPr="00D33835">
              <w:rPr>
                <w:rFonts w:cstheme="minorHAnsi"/>
              </w:rPr>
              <w:t xml:space="preserve">National Sustainable Development Plan </w:t>
            </w:r>
            <w:r>
              <w:rPr>
                <w:rFonts w:cstheme="minorHAnsi"/>
              </w:rPr>
              <w:t>(</w:t>
            </w:r>
            <w:proofErr w:type="spellStart"/>
            <w:r>
              <w:rPr>
                <w:rFonts w:cstheme="minorHAnsi"/>
              </w:rPr>
              <w:t>GoV</w:t>
            </w:r>
            <w:proofErr w:type="spellEnd"/>
            <w:r>
              <w:rPr>
                <w:rFonts w:cstheme="minorHAnsi"/>
              </w:rPr>
              <w:t>)</w:t>
            </w:r>
          </w:p>
        </w:tc>
      </w:tr>
      <w:tr w:rsidR="005367EC" w:rsidRPr="00856F5C" w14:paraId="118DE537" w14:textId="77777777" w:rsidTr="00467737">
        <w:tc>
          <w:tcPr>
            <w:tcW w:w="1271" w:type="dxa"/>
            <w:tcBorders>
              <w:top w:val="nil"/>
              <w:left w:val="nil"/>
              <w:bottom w:val="nil"/>
              <w:right w:val="nil"/>
            </w:tcBorders>
          </w:tcPr>
          <w:p w14:paraId="0254909E" w14:textId="77777777" w:rsidR="005367EC" w:rsidRDefault="005367EC" w:rsidP="00ED3677">
            <w:pPr>
              <w:spacing w:beforeLines="10" w:before="24" w:afterLines="10" w:after="24"/>
              <w:rPr>
                <w:rFonts w:cstheme="minorHAnsi"/>
                <w:b/>
                <w:color w:val="44546A" w:themeColor="text2"/>
              </w:rPr>
            </w:pPr>
            <w:r>
              <w:rPr>
                <w:rFonts w:cstheme="minorHAnsi"/>
                <w:b/>
                <w:color w:val="44546A" w:themeColor="text2"/>
              </w:rPr>
              <w:t>NSO</w:t>
            </w:r>
          </w:p>
        </w:tc>
        <w:tc>
          <w:tcPr>
            <w:tcW w:w="7796" w:type="dxa"/>
            <w:tcBorders>
              <w:top w:val="nil"/>
              <w:left w:val="nil"/>
              <w:bottom w:val="nil"/>
              <w:right w:val="nil"/>
            </w:tcBorders>
          </w:tcPr>
          <w:p w14:paraId="013CB8E5" w14:textId="77777777" w:rsidR="005367EC" w:rsidRPr="00D33835" w:rsidRDefault="005367EC" w:rsidP="00ED3677">
            <w:pPr>
              <w:spacing w:beforeLines="10" w:before="24" w:afterLines="10" w:after="24"/>
              <w:rPr>
                <w:rFonts w:cstheme="minorHAnsi"/>
              </w:rPr>
            </w:pPr>
            <w:r>
              <w:rPr>
                <w:rFonts w:cstheme="minorHAnsi"/>
              </w:rPr>
              <w:t>National Statistics Office (</w:t>
            </w:r>
            <w:proofErr w:type="spellStart"/>
            <w:r>
              <w:rPr>
                <w:rFonts w:cstheme="minorHAnsi"/>
              </w:rPr>
              <w:t>GoV</w:t>
            </w:r>
            <w:proofErr w:type="spellEnd"/>
            <w:r>
              <w:rPr>
                <w:rFonts w:cstheme="minorHAnsi"/>
              </w:rPr>
              <w:t>)</w:t>
            </w:r>
          </w:p>
        </w:tc>
      </w:tr>
      <w:tr w:rsidR="00C350AB" w:rsidRPr="00856F5C" w14:paraId="151861B8" w14:textId="77777777" w:rsidTr="00467737">
        <w:tc>
          <w:tcPr>
            <w:tcW w:w="1271" w:type="dxa"/>
            <w:tcBorders>
              <w:top w:val="nil"/>
              <w:left w:val="nil"/>
              <w:bottom w:val="nil"/>
              <w:right w:val="nil"/>
            </w:tcBorders>
          </w:tcPr>
          <w:p w14:paraId="0B9F260D" w14:textId="77777777" w:rsidR="00C350AB" w:rsidRPr="00FD5B13" w:rsidRDefault="00C350AB" w:rsidP="00ED3677">
            <w:pPr>
              <w:spacing w:beforeLines="10" w:before="24" w:afterLines="10" w:after="24"/>
              <w:rPr>
                <w:rFonts w:cstheme="minorHAnsi"/>
                <w:b/>
                <w:color w:val="44546A" w:themeColor="text2"/>
              </w:rPr>
            </w:pPr>
            <w:r>
              <w:rPr>
                <w:rFonts w:cstheme="minorHAnsi"/>
                <w:b/>
                <w:color w:val="44546A" w:themeColor="text2"/>
              </w:rPr>
              <w:t>ODA</w:t>
            </w:r>
          </w:p>
        </w:tc>
        <w:tc>
          <w:tcPr>
            <w:tcW w:w="7796" w:type="dxa"/>
            <w:tcBorders>
              <w:top w:val="nil"/>
              <w:left w:val="nil"/>
              <w:bottom w:val="nil"/>
              <w:right w:val="nil"/>
            </w:tcBorders>
          </w:tcPr>
          <w:p w14:paraId="7383747A" w14:textId="77777777" w:rsidR="00C350AB" w:rsidRDefault="00C350AB" w:rsidP="00ED3677">
            <w:pPr>
              <w:spacing w:beforeLines="10" w:before="24" w:afterLines="10" w:after="24"/>
              <w:rPr>
                <w:rFonts w:cstheme="minorHAnsi"/>
              </w:rPr>
            </w:pPr>
            <w:r>
              <w:rPr>
                <w:rFonts w:cstheme="minorHAnsi"/>
              </w:rPr>
              <w:t>Official Development Assistance</w:t>
            </w:r>
          </w:p>
        </w:tc>
      </w:tr>
      <w:tr w:rsidR="00E14227" w:rsidRPr="00856F5C" w14:paraId="2EB37371" w14:textId="77777777" w:rsidTr="00467737">
        <w:tc>
          <w:tcPr>
            <w:tcW w:w="1271" w:type="dxa"/>
            <w:tcBorders>
              <w:top w:val="nil"/>
              <w:left w:val="nil"/>
              <w:bottom w:val="nil"/>
              <w:right w:val="nil"/>
            </w:tcBorders>
          </w:tcPr>
          <w:p w14:paraId="63697D06" w14:textId="77777777" w:rsidR="00E14227" w:rsidRPr="00FD5B13" w:rsidRDefault="00E14227" w:rsidP="00ED3677">
            <w:pPr>
              <w:spacing w:beforeLines="10" w:before="24" w:afterLines="10" w:after="24"/>
              <w:rPr>
                <w:rFonts w:cstheme="minorHAnsi"/>
                <w:b/>
                <w:color w:val="44546A" w:themeColor="text2"/>
              </w:rPr>
            </w:pPr>
            <w:r w:rsidRPr="00FD5B13">
              <w:rPr>
                <w:rFonts w:cstheme="minorHAnsi"/>
                <w:b/>
                <w:color w:val="44546A" w:themeColor="text2"/>
              </w:rPr>
              <w:t>OPP</w:t>
            </w:r>
          </w:p>
        </w:tc>
        <w:tc>
          <w:tcPr>
            <w:tcW w:w="7796" w:type="dxa"/>
            <w:tcBorders>
              <w:top w:val="nil"/>
              <w:left w:val="nil"/>
              <w:bottom w:val="nil"/>
              <w:right w:val="nil"/>
            </w:tcBorders>
          </w:tcPr>
          <w:p w14:paraId="60EE3D53" w14:textId="77777777" w:rsidR="00E14227" w:rsidRPr="00856F5C" w:rsidRDefault="00E14227" w:rsidP="00ED3677">
            <w:pPr>
              <w:spacing w:beforeLines="10" w:before="24" w:afterLines="10" w:after="24"/>
              <w:rPr>
                <w:rFonts w:cstheme="minorHAnsi"/>
              </w:rPr>
            </w:pPr>
            <w:r>
              <w:rPr>
                <w:rFonts w:cstheme="minorHAnsi"/>
              </w:rPr>
              <w:t>Office of the Public Prosecutor (</w:t>
            </w:r>
            <w:proofErr w:type="spellStart"/>
            <w:r>
              <w:rPr>
                <w:rFonts w:cstheme="minorHAnsi"/>
              </w:rPr>
              <w:t>GoV</w:t>
            </w:r>
            <w:proofErr w:type="spellEnd"/>
            <w:r>
              <w:rPr>
                <w:rFonts w:cstheme="minorHAnsi"/>
              </w:rPr>
              <w:t>)</w:t>
            </w:r>
          </w:p>
        </w:tc>
      </w:tr>
      <w:tr w:rsidR="00E14227" w:rsidRPr="00856F5C" w14:paraId="34A8CBC7" w14:textId="77777777" w:rsidTr="00467737">
        <w:tc>
          <w:tcPr>
            <w:tcW w:w="1271" w:type="dxa"/>
            <w:tcBorders>
              <w:top w:val="nil"/>
              <w:left w:val="nil"/>
              <w:bottom w:val="nil"/>
              <w:right w:val="nil"/>
            </w:tcBorders>
          </w:tcPr>
          <w:p w14:paraId="35608B2C" w14:textId="77777777" w:rsidR="00E14227" w:rsidRPr="00FD5B13" w:rsidRDefault="00E14227" w:rsidP="00ED3677">
            <w:pPr>
              <w:spacing w:beforeLines="10" w:before="24" w:afterLines="10" w:after="24"/>
              <w:rPr>
                <w:rFonts w:cstheme="minorHAnsi"/>
                <w:b/>
                <w:color w:val="44546A" w:themeColor="text2"/>
              </w:rPr>
            </w:pPr>
            <w:r w:rsidRPr="00FD5B13">
              <w:rPr>
                <w:rFonts w:cstheme="minorHAnsi"/>
                <w:b/>
                <w:color w:val="44546A" w:themeColor="text2"/>
              </w:rPr>
              <w:t>PDIA</w:t>
            </w:r>
          </w:p>
        </w:tc>
        <w:tc>
          <w:tcPr>
            <w:tcW w:w="7796" w:type="dxa"/>
            <w:tcBorders>
              <w:top w:val="nil"/>
              <w:left w:val="nil"/>
              <w:bottom w:val="nil"/>
              <w:right w:val="nil"/>
            </w:tcBorders>
          </w:tcPr>
          <w:p w14:paraId="53C7D7A6" w14:textId="77777777" w:rsidR="00E14227" w:rsidRDefault="00E14227" w:rsidP="00ED3677">
            <w:pPr>
              <w:spacing w:beforeLines="10" w:before="24" w:afterLines="10" w:after="24"/>
              <w:rPr>
                <w:rFonts w:cstheme="minorHAnsi"/>
              </w:rPr>
            </w:pPr>
            <w:r w:rsidRPr="00656172">
              <w:rPr>
                <w:rFonts w:cstheme="minorHAnsi"/>
              </w:rPr>
              <w:t>Problem Driven Adaption and Iteration</w:t>
            </w:r>
          </w:p>
        </w:tc>
      </w:tr>
      <w:tr w:rsidR="00055FA9" w:rsidRPr="00856F5C" w14:paraId="113A23FB" w14:textId="77777777" w:rsidTr="00467737">
        <w:tc>
          <w:tcPr>
            <w:tcW w:w="1271" w:type="dxa"/>
            <w:tcBorders>
              <w:top w:val="nil"/>
              <w:left w:val="nil"/>
              <w:bottom w:val="nil"/>
              <w:right w:val="nil"/>
            </w:tcBorders>
          </w:tcPr>
          <w:p w14:paraId="4A9E6E47" w14:textId="77777777" w:rsidR="00055FA9" w:rsidRPr="00FD5B13" w:rsidRDefault="00055FA9" w:rsidP="00ED3677">
            <w:pPr>
              <w:spacing w:beforeLines="10" w:before="24" w:afterLines="10" w:after="24"/>
              <w:rPr>
                <w:rFonts w:cstheme="minorHAnsi"/>
                <w:b/>
                <w:color w:val="44546A" w:themeColor="text2"/>
              </w:rPr>
            </w:pPr>
            <w:r>
              <w:rPr>
                <w:rFonts w:cstheme="minorHAnsi"/>
                <w:b/>
                <w:color w:val="44546A" w:themeColor="text2"/>
              </w:rPr>
              <w:t>PEA</w:t>
            </w:r>
          </w:p>
        </w:tc>
        <w:tc>
          <w:tcPr>
            <w:tcW w:w="7796" w:type="dxa"/>
            <w:tcBorders>
              <w:top w:val="nil"/>
              <w:left w:val="nil"/>
              <w:bottom w:val="nil"/>
              <w:right w:val="nil"/>
            </w:tcBorders>
          </w:tcPr>
          <w:p w14:paraId="3AF98398" w14:textId="77777777" w:rsidR="00055FA9" w:rsidRPr="00656172" w:rsidRDefault="00055FA9" w:rsidP="00ED3677">
            <w:pPr>
              <w:spacing w:beforeLines="10" w:before="24" w:afterLines="10" w:after="24"/>
              <w:rPr>
                <w:rFonts w:cstheme="minorHAnsi"/>
              </w:rPr>
            </w:pPr>
            <w:r>
              <w:rPr>
                <w:rFonts w:cstheme="minorHAnsi"/>
              </w:rPr>
              <w:t>Political Economy Analysis</w:t>
            </w:r>
          </w:p>
        </w:tc>
      </w:tr>
      <w:tr w:rsidR="00D347C1" w:rsidRPr="00856F5C" w14:paraId="1C9515A1" w14:textId="77777777" w:rsidTr="00467737">
        <w:tc>
          <w:tcPr>
            <w:tcW w:w="1271" w:type="dxa"/>
            <w:tcBorders>
              <w:top w:val="nil"/>
              <w:left w:val="nil"/>
              <w:bottom w:val="nil"/>
              <w:right w:val="nil"/>
            </w:tcBorders>
          </w:tcPr>
          <w:p w14:paraId="7E830BC7" w14:textId="77777777" w:rsidR="00D347C1" w:rsidRPr="00FD5B13" w:rsidRDefault="00D347C1" w:rsidP="00ED3677">
            <w:pPr>
              <w:spacing w:beforeLines="10" w:before="24" w:afterLines="10" w:after="24"/>
              <w:rPr>
                <w:rFonts w:cstheme="minorHAnsi"/>
                <w:b/>
                <w:color w:val="44546A" w:themeColor="text2"/>
              </w:rPr>
            </w:pPr>
            <w:r>
              <w:rPr>
                <w:rFonts w:cstheme="minorHAnsi"/>
                <w:b/>
                <w:color w:val="44546A" w:themeColor="text2"/>
              </w:rPr>
              <w:t>PFM</w:t>
            </w:r>
          </w:p>
        </w:tc>
        <w:tc>
          <w:tcPr>
            <w:tcW w:w="7796" w:type="dxa"/>
            <w:tcBorders>
              <w:top w:val="nil"/>
              <w:left w:val="nil"/>
              <w:bottom w:val="nil"/>
              <w:right w:val="nil"/>
            </w:tcBorders>
          </w:tcPr>
          <w:p w14:paraId="0467C8F5" w14:textId="77777777" w:rsidR="00D347C1" w:rsidRDefault="00D347C1" w:rsidP="00ED3677">
            <w:pPr>
              <w:spacing w:beforeLines="10" w:before="24" w:afterLines="10" w:after="24"/>
              <w:rPr>
                <w:rFonts w:cstheme="minorHAnsi"/>
              </w:rPr>
            </w:pPr>
            <w:r>
              <w:rPr>
                <w:rFonts w:cstheme="minorHAnsi"/>
              </w:rPr>
              <w:t>Public Financial Management</w:t>
            </w:r>
          </w:p>
        </w:tc>
      </w:tr>
      <w:tr w:rsidR="00E14227" w:rsidRPr="00856F5C" w14:paraId="656CD884" w14:textId="77777777" w:rsidTr="00467737">
        <w:tc>
          <w:tcPr>
            <w:tcW w:w="1271" w:type="dxa"/>
            <w:tcBorders>
              <w:top w:val="nil"/>
              <w:left w:val="nil"/>
              <w:bottom w:val="nil"/>
              <w:right w:val="nil"/>
            </w:tcBorders>
          </w:tcPr>
          <w:p w14:paraId="1E6B84ED" w14:textId="77777777" w:rsidR="00E14227" w:rsidRPr="00FD5B13" w:rsidRDefault="00E14227" w:rsidP="00ED3677">
            <w:pPr>
              <w:spacing w:beforeLines="10" w:before="24" w:afterLines="10" w:after="24"/>
              <w:rPr>
                <w:rFonts w:cstheme="minorHAnsi"/>
                <w:b/>
                <w:color w:val="44546A" w:themeColor="text2"/>
              </w:rPr>
            </w:pPr>
            <w:r w:rsidRPr="00FD5B13">
              <w:rPr>
                <w:rFonts w:cstheme="minorHAnsi"/>
                <w:b/>
                <w:color w:val="44546A" w:themeColor="text2"/>
              </w:rPr>
              <w:t>PIMS</w:t>
            </w:r>
          </w:p>
        </w:tc>
        <w:tc>
          <w:tcPr>
            <w:tcW w:w="7796" w:type="dxa"/>
            <w:tcBorders>
              <w:top w:val="nil"/>
              <w:left w:val="nil"/>
              <w:bottom w:val="nil"/>
              <w:right w:val="nil"/>
            </w:tcBorders>
          </w:tcPr>
          <w:p w14:paraId="1DD73DDC" w14:textId="77777777" w:rsidR="00E14227" w:rsidRPr="00856F5C" w:rsidRDefault="00E14227" w:rsidP="00ED3677">
            <w:pPr>
              <w:spacing w:beforeLines="10" w:before="24" w:afterLines="10" w:after="24"/>
              <w:rPr>
                <w:rFonts w:cstheme="minorHAnsi"/>
              </w:rPr>
            </w:pPr>
            <w:r>
              <w:rPr>
                <w:rFonts w:cstheme="minorHAnsi"/>
              </w:rPr>
              <w:t>Police Information Management System</w:t>
            </w:r>
          </w:p>
        </w:tc>
      </w:tr>
      <w:tr w:rsidR="00E14227" w:rsidRPr="00856F5C" w14:paraId="64B44CBE" w14:textId="77777777" w:rsidTr="00467737">
        <w:tc>
          <w:tcPr>
            <w:tcW w:w="1271" w:type="dxa"/>
            <w:tcBorders>
              <w:top w:val="nil"/>
              <w:left w:val="nil"/>
              <w:bottom w:val="nil"/>
              <w:right w:val="nil"/>
            </w:tcBorders>
          </w:tcPr>
          <w:p w14:paraId="1BBB379E" w14:textId="77777777" w:rsidR="00E14227" w:rsidRPr="00FD5B13" w:rsidRDefault="00E14227" w:rsidP="00ED3677">
            <w:pPr>
              <w:spacing w:beforeLines="10" w:before="24" w:afterLines="10" w:after="24"/>
              <w:rPr>
                <w:rFonts w:cstheme="minorHAnsi"/>
                <w:b/>
                <w:color w:val="44546A" w:themeColor="text2"/>
              </w:rPr>
            </w:pPr>
            <w:r w:rsidRPr="00FD5B13">
              <w:rPr>
                <w:rFonts w:cstheme="minorHAnsi"/>
                <w:b/>
                <w:color w:val="44546A" w:themeColor="text2"/>
              </w:rPr>
              <w:t>PJSI</w:t>
            </w:r>
          </w:p>
        </w:tc>
        <w:tc>
          <w:tcPr>
            <w:tcW w:w="7796" w:type="dxa"/>
            <w:tcBorders>
              <w:top w:val="nil"/>
              <w:left w:val="nil"/>
              <w:bottom w:val="nil"/>
              <w:right w:val="nil"/>
            </w:tcBorders>
          </w:tcPr>
          <w:p w14:paraId="78515EF1" w14:textId="77777777" w:rsidR="00E14227" w:rsidRDefault="00E14227" w:rsidP="00ED3677">
            <w:pPr>
              <w:spacing w:beforeLines="10" w:before="24" w:afterLines="10" w:after="24"/>
              <w:rPr>
                <w:rFonts w:cstheme="minorHAnsi"/>
              </w:rPr>
            </w:pPr>
            <w:r>
              <w:rPr>
                <w:rFonts w:cstheme="minorHAnsi"/>
              </w:rPr>
              <w:t>Pacific Judicial Strengthening Initiative (New Zealand)</w:t>
            </w:r>
          </w:p>
        </w:tc>
      </w:tr>
      <w:tr w:rsidR="0051643A" w:rsidRPr="00856F5C" w14:paraId="00C058BF" w14:textId="77777777" w:rsidTr="00467737">
        <w:tc>
          <w:tcPr>
            <w:tcW w:w="1271" w:type="dxa"/>
            <w:tcBorders>
              <w:top w:val="nil"/>
              <w:left w:val="nil"/>
              <w:bottom w:val="nil"/>
              <w:right w:val="nil"/>
            </w:tcBorders>
          </w:tcPr>
          <w:p w14:paraId="73F10557" w14:textId="77777777" w:rsidR="0051643A" w:rsidRPr="00FD5B13" w:rsidRDefault="0051643A" w:rsidP="00ED3677">
            <w:pPr>
              <w:spacing w:beforeLines="10" w:before="24" w:afterLines="10" w:after="24"/>
              <w:rPr>
                <w:rFonts w:cstheme="minorHAnsi"/>
                <w:b/>
                <w:color w:val="44546A" w:themeColor="text2"/>
              </w:rPr>
            </w:pPr>
            <w:r>
              <w:rPr>
                <w:rFonts w:cstheme="minorHAnsi"/>
                <w:b/>
                <w:color w:val="44546A" w:themeColor="text2"/>
              </w:rPr>
              <w:t>PJSPV</w:t>
            </w:r>
          </w:p>
        </w:tc>
        <w:tc>
          <w:tcPr>
            <w:tcW w:w="7796" w:type="dxa"/>
            <w:tcBorders>
              <w:top w:val="nil"/>
              <w:left w:val="nil"/>
              <w:bottom w:val="nil"/>
              <w:right w:val="nil"/>
            </w:tcBorders>
          </w:tcPr>
          <w:p w14:paraId="0066BF2A" w14:textId="77777777" w:rsidR="0051643A" w:rsidRDefault="0051643A" w:rsidP="00ED3677">
            <w:pPr>
              <w:spacing w:beforeLines="10" w:before="24" w:afterLines="10" w:after="24"/>
              <w:rPr>
                <w:rFonts w:cstheme="minorHAnsi"/>
              </w:rPr>
            </w:pPr>
            <w:r w:rsidRPr="00F71A80">
              <w:t>Policing and Justice Support Program Vanuatu</w:t>
            </w:r>
          </w:p>
        </w:tc>
      </w:tr>
      <w:tr w:rsidR="00E14227" w:rsidRPr="00856F5C" w14:paraId="7A9FD4B4" w14:textId="77777777" w:rsidTr="00467737">
        <w:tc>
          <w:tcPr>
            <w:tcW w:w="1271" w:type="dxa"/>
            <w:tcBorders>
              <w:top w:val="nil"/>
              <w:left w:val="nil"/>
              <w:bottom w:val="nil"/>
              <w:right w:val="nil"/>
            </w:tcBorders>
          </w:tcPr>
          <w:p w14:paraId="6E194A7D" w14:textId="77777777" w:rsidR="00E14227" w:rsidRPr="00FD5B13" w:rsidRDefault="00E14227" w:rsidP="00ED3677">
            <w:pPr>
              <w:spacing w:beforeLines="10" w:before="24" w:afterLines="10" w:after="24"/>
              <w:rPr>
                <w:rFonts w:cstheme="minorHAnsi"/>
                <w:b/>
                <w:color w:val="44546A" w:themeColor="text2"/>
              </w:rPr>
            </w:pPr>
            <w:r w:rsidRPr="00FD5B13">
              <w:rPr>
                <w:rFonts w:cstheme="minorHAnsi"/>
                <w:b/>
                <w:color w:val="44546A" w:themeColor="text2"/>
              </w:rPr>
              <w:t>PMG</w:t>
            </w:r>
          </w:p>
        </w:tc>
        <w:tc>
          <w:tcPr>
            <w:tcW w:w="7796" w:type="dxa"/>
            <w:tcBorders>
              <w:top w:val="nil"/>
              <w:left w:val="nil"/>
              <w:bottom w:val="nil"/>
              <w:right w:val="nil"/>
            </w:tcBorders>
          </w:tcPr>
          <w:p w14:paraId="5B4B80FA" w14:textId="77777777" w:rsidR="00E14227" w:rsidRDefault="00E14227" w:rsidP="00ED3677">
            <w:pPr>
              <w:spacing w:beforeLines="10" w:before="24" w:afterLines="10" w:after="24"/>
              <w:rPr>
                <w:rFonts w:cstheme="minorHAnsi"/>
              </w:rPr>
            </w:pPr>
            <w:r>
              <w:rPr>
                <w:rFonts w:cstheme="minorHAnsi"/>
              </w:rPr>
              <w:t>Partnership Management Group</w:t>
            </w:r>
          </w:p>
        </w:tc>
      </w:tr>
      <w:tr w:rsidR="00E14227" w:rsidRPr="00856F5C" w14:paraId="2FB441DA" w14:textId="77777777" w:rsidTr="00467737">
        <w:tc>
          <w:tcPr>
            <w:tcW w:w="1271" w:type="dxa"/>
            <w:tcBorders>
              <w:top w:val="nil"/>
              <w:left w:val="nil"/>
              <w:bottom w:val="nil"/>
              <w:right w:val="nil"/>
            </w:tcBorders>
          </w:tcPr>
          <w:p w14:paraId="60AFEE15" w14:textId="77777777" w:rsidR="00E14227" w:rsidRPr="00FD5B13" w:rsidRDefault="00E14227" w:rsidP="00ED3677">
            <w:pPr>
              <w:spacing w:beforeLines="10" w:before="24" w:afterLines="10" w:after="24"/>
              <w:rPr>
                <w:rFonts w:cstheme="minorHAnsi"/>
                <w:b/>
                <w:color w:val="44546A" w:themeColor="text2"/>
              </w:rPr>
            </w:pPr>
            <w:r w:rsidRPr="00FD5B13">
              <w:rPr>
                <w:rFonts w:cstheme="minorHAnsi"/>
                <w:b/>
                <w:color w:val="44546A" w:themeColor="text2"/>
              </w:rPr>
              <w:t>PMO</w:t>
            </w:r>
          </w:p>
        </w:tc>
        <w:tc>
          <w:tcPr>
            <w:tcW w:w="7796" w:type="dxa"/>
            <w:tcBorders>
              <w:top w:val="nil"/>
              <w:left w:val="nil"/>
              <w:bottom w:val="nil"/>
              <w:right w:val="nil"/>
            </w:tcBorders>
          </w:tcPr>
          <w:p w14:paraId="584D7CA9" w14:textId="77777777" w:rsidR="00E14227" w:rsidRDefault="00E14227" w:rsidP="00ED3677">
            <w:pPr>
              <w:spacing w:beforeLines="10" w:before="24" w:afterLines="10" w:after="24"/>
              <w:rPr>
                <w:rFonts w:cstheme="minorHAnsi"/>
              </w:rPr>
            </w:pPr>
            <w:r>
              <w:rPr>
                <w:rFonts w:cstheme="minorHAnsi"/>
              </w:rPr>
              <w:t>Prime Minister’s Office (</w:t>
            </w:r>
            <w:proofErr w:type="spellStart"/>
            <w:r>
              <w:rPr>
                <w:rFonts w:cstheme="minorHAnsi"/>
              </w:rPr>
              <w:t>GoV</w:t>
            </w:r>
            <w:proofErr w:type="spellEnd"/>
            <w:r>
              <w:rPr>
                <w:rFonts w:cstheme="minorHAnsi"/>
              </w:rPr>
              <w:t>)</w:t>
            </w:r>
          </w:p>
        </w:tc>
      </w:tr>
      <w:tr w:rsidR="00E14227" w:rsidRPr="00856F5C" w14:paraId="09254118" w14:textId="77777777" w:rsidTr="00467737">
        <w:tc>
          <w:tcPr>
            <w:tcW w:w="1271" w:type="dxa"/>
            <w:tcBorders>
              <w:top w:val="nil"/>
              <w:left w:val="nil"/>
              <w:bottom w:val="nil"/>
              <w:right w:val="nil"/>
            </w:tcBorders>
          </w:tcPr>
          <w:p w14:paraId="314F1599" w14:textId="77777777" w:rsidR="00E14227" w:rsidRPr="00FD5B13" w:rsidRDefault="00E14227" w:rsidP="00ED3677">
            <w:pPr>
              <w:spacing w:beforeLines="10" w:before="24" w:afterLines="10" w:after="24"/>
              <w:rPr>
                <w:rFonts w:cstheme="minorHAnsi"/>
                <w:b/>
                <w:color w:val="44546A" w:themeColor="text2"/>
              </w:rPr>
            </w:pPr>
            <w:r w:rsidRPr="00FD5B13">
              <w:rPr>
                <w:rFonts w:cstheme="minorHAnsi"/>
                <w:b/>
                <w:color w:val="44546A" w:themeColor="text2"/>
              </w:rPr>
              <w:t>PSO</w:t>
            </w:r>
          </w:p>
        </w:tc>
        <w:tc>
          <w:tcPr>
            <w:tcW w:w="7796" w:type="dxa"/>
            <w:tcBorders>
              <w:top w:val="nil"/>
              <w:left w:val="nil"/>
              <w:bottom w:val="nil"/>
              <w:right w:val="nil"/>
            </w:tcBorders>
          </w:tcPr>
          <w:p w14:paraId="41FC5A69" w14:textId="77777777" w:rsidR="00E14227" w:rsidRDefault="00E14227" w:rsidP="00ED3677">
            <w:pPr>
              <w:spacing w:beforeLines="10" w:before="24" w:afterLines="10" w:after="24"/>
              <w:rPr>
                <w:rFonts w:cstheme="minorHAnsi"/>
              </w:rPr>
            </w:pPr>
            <w:r>
              <w:rPr>
                <w:rFonts w:cstheme="minorHAnsi"/>
              </w:rPr>
              <w:t>Public Solicitor’s Office (</w:t>
            </w:r>
            <w:proofErr w:type="spellStart"/>
            <w:r>
              <w:rPr>
                <w:rFonts w:cstheme="minorHAnsi"/>
              </w:rPr>
              <w:t>GoV</w:t>
            </w:r>
            <w:proofErr w:type="spellEnd"/>
            <w:r>
              <w:rPr>
                <w:rFonts w:cstheme="minorHAnsi"/>
              </w:rPr>
              <w:t>)</w:t>
            </w:r>
          </w:p>
        </w:tc>
      </w:tr>
      <w:tr w:rsidR="00E14227" w:rsidRPr="00856F5C" w14:paraId="196BB0F2" w14:textId="77777777" w:rsidTr="00467737">
        <w:tc>
          <w:tcPr>
            <w:tcW w:w="1271" w:type="dxa"/>
            <w:tcBorders>
              <w:top w:val="nil"/>
              <w:left w:val="nil"/>
              <w:bottom w:val="nil"/>
              <w:right w:val="nil"/>
            </w:tcBorders>
          </w:tcPr>
          <w:p w14:paraId="753EEC1D" w14:textId="77777777" w:rsidR="00E14227" w:rsidRPr="00FD5B13" w:rsidRDefault="00E14227" w:rsidP="00ED3677">
            <w:pPr>
              <w:spacing w:beforeLines="10" w:before="24" w:afterLines="10" w:after="24"/>
              <w:rPr>
                <w:rFonts w:cstheme="minorHAnsi"/>
                <w:b/>
                <w:color w:val="44546A" w:themeColor="text2"/>
              </w:rPr>
            </w:pPr>
            <w:r w:rsidRPr="00FD5B13">
              <w:rPr>
                <w:rFonts w:cstheme="minorHAnsi"/>
                <w:b/>
                <w:color w:val="44546A" w:themeColor="text2"/>
              </w:rPr>
              <w:t>PSU</w:t>
            </w:r>
          </w:p>
        </w:tc>
        <w:tc>
          <w:tcPr>
            <w:tcW w:w="7796" w:type="dxa"/>
            <w:tcBorders>
              <w:top w:val="nil"/>
              <w:left w:val="nil"/>
              <w:bottom w:val="nil"/>
              <w:right w:val="nil"/>
            </w:tcBorders>
          </w:tcPr>
          <w:p w14:paraId="09F50FCC" w14:textId="77777777" w:rsidR="00E14227" w:rsidRDefault="00E14227" w:rsidP="00ED3677">
            <w:pPr>
              <w:spacing w:beforeLines="10" w:before="24" w:afterLines="10" w:after="24"/>
              <w:rPr>
                <w:rFonts w:cstheme="minorHAnsi"/>
              </w:rPr>
            </w:pPr>
            <w:r>
              <w:rPr>
                <w:rFonts w:cstheme="minorHAnsi"/>
              </w:rPr>
              <w:t>Professional Standards Unit (VPF)</w:t>
            </w:r>
          </w:p>
        </w:tc>
      </w:tr>
      <w:tr w:rsidR="00E14227" w:rsidRPr="00856F5C" w14:paraId="58B711D9" w14:textId="77777777" w:rsidTr="00467737">
        <w:tc>
          <w:tcPr>
            <w:tcW w:w="1271" w:type="dxa"/>
            <w:tcBorders>
              <w:top w:val="nil"/>
              <w:left w:val="nil"/>
              <w:bottom w:val="nil"/>
              <w:right w:val="nil"/>
            </w:tcBorders>
          </w:tcPr>
          <w:p w14:paraId="536FF15B" w14:textId="77777777" w:rsidR="00E14227" w:rsidRPr="00FD5B13" w:rsidRDefault="00E14227" w:rsidP="00ED3677">
            <w:pPr>
              <w:spacing w:beforeLines="10" w:before="24" w:afterLines="10" w:after="24"/>
              <w:rPr>
                <w:rFonts w:cstheme="minorHAnsi"/>
                <w:b/>
                <w:color w:val="44546A" w:themeColor="text2"/>
              </w:rPr>
            </w:pPr>
            <w:r w:rsidRPr="00FD5B13">
              <w:rPr>
                <w:rFonts w:cstheme="minorHAnsi"/>
                <w:b/>
                <w:color w:val="44546A" w:themeColor="text2"/>
              </w:rPr>
              <w:t>PTC</w:t>
            </w:r>
          </w:p>
        </w:tc>
        <w:tc>
          <w:tcPr>
            <w:tcW w:w="7796" w:type="dxa"/>
            <w:tcBorders>
              <w:top w:val="nil"/>
              <w:left w:val="nil"/>
              <w:bottom w:val="nil"/>
              <w:right w:val="nil"/>
            </w:tcBorders>
          </w:tcPr>
          <w:p w14:paraId="088B07CE" w14:textId="77777777" w:rsidR="00E14227" w:rsidRDefault="00E14227" w:rsidP="00ED3677">
            <w:pPr>
              <w:spacing w:beforeLines="10" w:before="24" w:afterLines="10" w:after="24"/>
              <w:rPr>
                <w:rFonts w:cstheme="minorHAnsi"/>
              </w:rPr>
            </w:pPr>
            <w:r>
              <w:rPr>
                <w:rFonts w:cstheme="minorHAnsi"/>
              </w:rPr>
              <w:t>Police Training College (VPF)</w:t>
            </w:r>
          </w:p>
        </w:tc>
      </w:tr>
      <w:tr w:rsidR="00E14227" w:rsidRPr="00856F5C" w14:paraId="10FB5F25" w14:textId="77777777" w:rsidTr="00467737">
        <w:tc>
          <w:tcPr>
            <w:tcW w:w="1271" w:type="dxa"/>
            <w:tcBorders>
              <w:top w:val="nil"/>
              <w:left w:val="nil"/>
              <w:bottom w:val="nil"/>
              <w:right w:val="nil"/>
            </w:tcBorders>
          </w:tcPr>
          <w:p w14:paraId="02348B86" w14:textId="77777777" w:rsidR="00E14227" w:rsidRPr="00FD5B13" w:rsidRDefault="00E14227" w:rsidP="00ED3677">
            <w:pPr>
              <w:spacing w:beforeLines="10" w:before="24" w:afterLines="10" w:after="24"/>
              <w:rPr>
                <w:rFonts w:cstheme="minorHAnsi"/>
                <w:b/>
                <w:color w:val="44546A" w:themeColor="text2"/>
              </w:rPr>
            </w:pPr>
            <w:r w:rsidRPr="00FD5B13">
              <w:rPr>
                <w:rFonts w:cstheme="minorHAnsi"/>
                <w:b/>
                <w:color w:val="44546A" w:themeColor="text2"/>
              </w:rPr>
              <w:t>RC</w:t>
            </w:r>
          </w:p>
        </w:tc>
        <w:tc>
          <w:tcPr>
            <w:tcW w:w="7796" w:type="dxa"/>
            <w:tcBorders>
              <w:top w:val="nil"/>
              <w:left w:val="nil"/>
              <w:bottom w:val="nil"/>
              <w:right w:val="nil"/>
            </w:tcBorders>
          </w:tcPr>
          <w:p w14:paraId="34D9576A" w14:textId="77777777" w:rsidR="00E14227" w:rsidRDefault="00E14227" w:rsidP="00ED3677">
            <w:pPr>
              <w:spacing w:beforeLines="10" w:before="24" w:afterLines="10" w:after="24"/>
              <w:rPr>
                <w:rFonts w:cstheme="minorHAnsi"/>
              </w:rPr>
            </w:pPr>
            <w:r>
              <w:rPr>
                <w:rFonts w:cstheme="minorHAnsi"/>
              </w:rPr>
              <w:t>Registered Counsellor</w:t>
            </w:r>
          </w:p>
        </w:tc>
      </w:tr>
      <w:tr w:rsidR="00E14227" w:rsidRPr="00856F5C" w14:paraId="472009DC" w14:textId="77777777" w:rsidTr="00467737">
        <w:tc>
          <w:tcPr>
            <w:tcW w:w="1271" w:type="dxa"/>
            <w:tcBorders>
              <w:top w:val="nil"/>
              <w:left w:val="nil"/>
              <w:bottom w:val="nil"/>
              <w:right w:val="nil"/>
            </w:tcBorders>
          </w:tcPr>
          <w:p w14:paraId="167DCC8F" w14:textId="77777777" w:rsidR="00E14227" w:rsidRPr="00FD5B13" w:rsidRDefault="00E14227" w:rsidP="00ED3677">
            <w:pPr>
              <w:spacing w:beforeLines="10" w:before="24" w:afterLines="10" w:after="24"/>
              <w:rPr>
                <w:rFonts w:cstheme="minorHAnsi"/>
                <w:b/>
                <w:color w:val="44546A" w:themeColor="text2"/>
              </w:rPr>
            </w:pPr>
            <w:r w:rsidRPr="00FD5B13">
              <w:rPr>
                <w:rFonts w:cstheme="minorHAnsi"/>
                <w:b/>
                <w:color w:val="44546A" w:themeColor="text2"/>
              </w:rPr>
              <w:t>SLO</w:t>
            </w:r>
          </w:p>
        </w:tc>
        <w:tc>
          <w:tcPr>
            <w:tcW w:w="7796" w:type="dxa"/>
            <w:tcBorders>
              <w:top w:val="nil"/>
              <w:left w:val="nil"/>
              <w:bottom w:val="nil"/>
              <w:right w:val="nil"/>
            </w:tcBorders>
          </w:tcPr>
          <w:p w14:paraId="731D53AD" w14:textId="77777777" w:rsidR="00E14227" w:rsidRDefault="00E14227" w:rsidP="00ED3677">
            <w:pPr>
              <w:spacing w:beforeLines="10" w:before="24" w:afterLines="10" w:after="24"/>
              <w:rPr>
                <w:rFonts w:cstheme="minorHAnsi"/>
              </w:rPr>
            </w:pPr>
            <w:r>
              <w:rPr>
                <w:rFonts w:cstheme="minorHAnsi"/>
              </w:rPr>
              <w:t>State Law Office (</w:t>
            </w:r>
            <w:proofErr w:type="spellStart"/>
            <w:r>
              <w:rPr>
                <w:rFonts w:cstheme="minorHAnsi"/>
              </w:rPr>
              <w:t>GoV</w:t>
            </w:r>
            <w:proofErr w:type="spellEnd"/>
            <w:r>
              <w:rPr>
                <w:rFonts w:cstheme="minorHAnsi"/>
              </w:rPr>
              <w:t>)</w:t>
            </w:r>
          </w:p>
        </w:tc>
      </w:tr>
      <w:tr w:rsidR="00E14227" w:rsidRPr="00856F5C" w14:paraId="19EA962C" w14:textId="77777777" w:rsidTr="00467737">
        <w:tc>
          <w:tcPr>
            <w:tcW w:w="1271" w:type="dxa"/>
            <w:tcBorders>
              <w:top w:val="nil"/>
              <w:left w:val="nil"/>
              <w:bottom w:val="nil"/>
              <w:right w:val="nil"/>
            </w:tcBorders>
          </w:tcPr>
          <w:p w14:paraId="33271A0F" w14:textId="77777777" w:rsidR="00E14227" w:rsidRPr="00FD5B13" w:rsidRDefault="00E14227" w:rsidP="00ED3677">
            <w:pPr>
              <w:spacing w:beforeLines="10" w:before="24" w:afterLines="10" w:after="24"/>
              <w:rPr>
                <w:rFonts w:cstheme="minorHAnsi"/>
                <w:b/>
                <w:color w:val="44546A" w:themeColor="text2"/>
              </w:rPr>
            </w:pPr>
            <w:r w:rsidRPr="00FD5B13">
              <w:rPr>
                <w:rFonts w:cstheme="minorHAnsi"/>
                <w:b/>
                <w:color w:val="44546A" w:themeColor="text2"/>
              </w:rPr>
              <w:t>SPD</w:t>
            </w:r>
          </w:p>
        </w:tc>
        <w:tc>
          <w:tcPr>
            <w:tcW w:w="7796" w:type="dxa"/>
            <w:tcBorders>
              <w:top w:val="nil"/>
              <w:left w:val="nil"/>
              <w:bottom w:val="nil"/>
              <w:right w:val="nil"/>
            </w:tcBorders>
          </w:tcPr>
          <w:p w14:paraId="7E1F82D1" w14:textId="77777777" w:rsidR="00E14227" w:rsidRDefault="00E14227" w:rsidP="00ED3677">
            <w:pPr>
              <w:spacing w:beforeLines="10" w:before="24" w:afterLines="10" w:after="24"/>
              <w:rPr>
                <w:rFonts w:cstheme="minorHAnsi"/>
              </w:rPr>
            </w:pPr>
            <w:r>
              <w:rPr>
                <w:rFonts w:cstheme="minorHAnsi"/>
              </w:rPr>
              <w:t>State Prosecutions Department (VPF)</w:t>
            </w:r>
          </w:p>
        </w:tc>
      </w:tr>
      <w:tr w:rsidR="00E14227" w:rsidRPr="00856F5C" w14:paraId="48A7254E" w14:textId="77777777" w:rsidTr="00467737">
        <w:tc>
          <w:tcPr>
            <w:tcW w:w="1271" w:type="dxa"/>
            <w:tcBorders>
              <w:top w:val="nil"/>
              <w:left w:val="nil"/>
              <w:bottom w:val="nil"/>
              <w:right w:val="nil"/>
            </w:tcBorders>
          </w:tcPr>
          <w:p w14:paraId="578FCE67" w14:textId="77777777" w:rsidR="00E14227" w:rsidRPr="00FD5B13" w:rsidRDefault="00E14227" w:rsidP="00ED3677">
            <w:pPr>
              <w:spacing w:beforeLines="10" w:before="24" w:afterLines="10" w:after="24"/>
              <w:rPr>
                <w:rFonts w:cstheme="minorHAnsi"/>
                <w:b/>
                <w:color w:val="44546A" w:themeColor="text2"/>
              </w:rPr>
            </w:pPr>
            <w:r w:rsidRPr="00FD5B13">
              <w:rPr>
                <w:rFonts w:cstheme="minorHAnsi"/>
                <w:b/>
                <w:color w:val="44546A" w:themeColor="text2"/>
              </w:rPr>
              <w:t>SRBJS</w:t>
            </w:r>
          </w:p>
        </w:tc>
        <w:tc>
          <w:tcPr>
            <w:tcW w:w="7796" w:type="dxa"/>
            <w:tcBorders>
              <w:top w:val="nil"/>
              <w:left w:val="nil"/>
              <w:bottom w:val="nil"/>
              <w:right w:val="nil"/>
            </w:tcBorders>
          </w:tcPr>
          <w:p w14:paraId="42EE3D01" w14:textId="77777777" w:rsidR="00E14227" w:rsidRDefault="00E14227" w:rsidP="00ED3677">
            <w:pPr>
              <w:spacing w:beforeLines="10" w:before="24" w:afterLines="10" w:after="24"/>
              <w:rPr>
                <w:rFonts w:cstheme="minorHAnsi"/>
              </w:rPr>
            </w:pPr>
            <w:proofErr w:type="spellStart"/>
            <w:r w:rsidRPr="00992BE8">
              <w:rPr>
                <w:rFonts w:ascii="Calibri" w:hAnsi="Calibri" w:cs="Arial"/>
              </w:rPr>
              <w:t>Stretem</w:t>
            </w:r>
            <w:proofErr w:type="spellEnd"/>
            <w:r w:rsidRPr="00992BE8">
              <w:rPr>
                <w:rFonts w:ascii="Calibri" w:hAnsi="Calibri" w:cs="Arial"/>
              </w:rPr>
              <w:t xml:space="preserve"> Rod </w:t>
            </w:r>
            <w:proofErr w:type="spellStart"/>
            <w:r w:rsidRPr="00992BE8">
              <w:rPr>
                <w:rFonts w:ascii="Calibri" w:hAnsi="Calibri" w:cs="Arial"/>
              </w:rPr>
              <w:t>Blong</w:t>
            </w:r>
            <w:proofErr w:type="spellEnd"/>
            <w:r w:rsidRPr="00992BE8">
              <w:rPr>
                <w:rFonts w:ascii="Calibri" w:hAnsi="Calibri" w:cs="Arial"/>
              </w:rPr>
              <w:t xml:space="preserve"> </w:t>
            </w:r>
            <w:proofErr w:type="spellStart"/>
            <w:r w:rsidRPr="00992BE8">
              <w:rPr>
                <w:rFonts w:ascii="Calibri" w:hAnsi="Calibri" w:cs="Arial"/>
              </w:rPr>
              <w:t>Jastis</w:t>
            </w:r>
            <w:proofErr w:type="spellEnd"/>
            <w:r w:rsidRPr="00992BE8">
              <w:rPr>
                <w:rFonts w:ascii="Calibri" w:hAnsi="Calibri" w:cs="Arial"/>
              </w:rPr>
              <w:t xml:space="preserve"> </w:t>
            </w:r>
            <w:proofErr w:type="spellStart"/>
            <w:r w:rsidRPr="00992BE8">
              <w:rPr>
                <w:rFonts w:ascii="Calibri" w:hAnsi="Calibri" w:cs="Arial"/>
              </w:rPr>
              <w:t>mo</w:t>
            </w:r>
            <w:proofErr w:type="spellEnd"/>
            <w:r w:rsidRPr="00992BE8">
              <w:rPr>
                <w:rFonts w:ascii="Calibri" w:hAnsi="Calibri" w:cs="Arial"/>
              </w:rPr>
              <w:t xml:space="preserve"> </w:t>
            </w:r>
            <w:proofErr w:type="spellStart"/>
            <w:r w:rsidRPr="00992BE8">
              <w:rPr>
                <w:rFonts w:ascii="Calibri" w:hAnsi="Calibri" w:cs="Arial"/>
              </w:rPr>
              <w:t>Sefti</w:t>
            </w:r>
            <w:proofErr w:type="spellEnd"/>
          </w:p>
        </w:tc>
      </w:tr>
      <w:tr w:rsidR="00E14227" w:rsidRPr="00856F5C" w14:paraId="13FD5F13" w14:textId="77777777" w:rsidTr="00467737">
        <w:tc>
          <w:tcPr>
            <w:tcW w:w="1271" w:type="dxa"/>
            <w:tcBorders>
              <w:top w:val="nil"/>
              <w:left w:val="nil"/>
              <w:bottom w:val="nil"/>
              <w:right w:val="nil"/>
            </w:tcBorders>
          </w:tcPr>
          <w:p w14:paraId="4F4F0849" w14:textId="77777777" w:rsidR="00E14227" w:rsidRPr="00FD5B13" w:rsidRDefault="00E14227" w:rsidP="00ED3677">
            <w:pPr>
              <w:spacing w:beforeLines="10" w:before="24" w:afterLines="10" w:after="24"/>
              <w:rPr>
                <w:rFonts w:cstheme="minorHAnsi"/>
                <w:b/>
                <w:color w:val="44546A" w:themeColor="text2"/>
              </w:rPr>
            </w:pPr>
            <w:r w:rsidRPr="00FD5B13">
              <w:rPr>
                <w:rFonts w:cstheme="minorHAnsi"/>
                <w:b/>
                <w:color w:val="44546A" w:themeColor="text2"/>
              </w:rPr>
              <w:t>STA</w:t>
            </w:r>
          </w:p>
        </w:tc>
        <w:tc>
          <w:tcPr>
            <w:tcW w:w="7796" w:type="dxa"/>
            <w:tcBorders>
              <w:top w:val="nil"/>
              <w:left w:val="nil"/>
              <w:bottom w:val="nil"/>
              <w:right w:val="nil"/>
            </w:tcBorders>
          </w:tcPr>
          <w:p w14:paraId="25FDC864" w14:textId="77777777" w:rsidR="00E14227" w:rsidRDefault="00E14227" w:rsidP="00ED3677">
            <w:pPr>
              <w:spacing w:beforeLines="10" w:before="24" w:afterLines="10" w:after="24"/>
              <w:rPr>
                <w:rFonts w:cstheme="minorHAnsi"/>
              </w:rPr>
            </w:pPr>
            <w:r>
              <w:rPr>
                <w:rFonts w:cstheme="minorHAnsi"/>
              </w:rPr>
              <w:t>Short-term Adviser</w:t>
            </w:r>
          </w:p>
        </w:tc>
      </w:tr>
      <w:tr w:rsidR="00E14227" w:rsidRPr="00856F5C" w14:paraId="6D6D4670" w14:textId="77777777" w:rsidTr="00467737">
        <w:tc>
          <w:tcPr>
            <w:tcW w:w="1271" w:type="dxa"/>
            <w:tcBorders>
              <w:top w:val="nil"/>
              <w:left w:val="nil"/>
              <w:bottom w:val="nil"/>
              <w:right w:val="nil"/>
            </w:tcBorders>
          </w:tcPr>
          <w:p w14:paraId="7A351EF6" w14:textId="77777777" w:rsidR="00E14227" w:rsidRPr="00FD5B13" w:rsidRDefault="00E14227" w:rsidP="00ED3677">
            <w:pPr>
              <w:spacing w:beforeLines="10" w:before="24" w:afterLines="10" w:after="24"/>
              <w:rPr>
                <w:rFonts w:cstheme="minorHAnsi"/>
                <w:b/>
                <w:color w:val="44546A" w:themeColor="text2"/>
              </w:rPr>
            </w:pPr>
            <w:r w:rsidRPr="00FD5B13">
              <w:rPr>
                <w:rFonts w:cstheme="minorHAnsi"/>
                <w:b/>
                <w:color w:val="44546A" w:themeColor="text2"/>
              </w:rPr>
              <w:t>TA</w:t>
            </w:r>
          </w:p>
        </w:tc>
        <w:tc>
          <w:tcPr>
            <w:tcW w:w="7796" w:type="dxa"/>
            <w:tcBorders>
              <w:top w:val="nil"/>
              <w:left w:val="nil"/>
              <w:bottom w:val="nil"/>
              <w:right w:val="nil"/>
            </w:tcBorders>
          </w:tcPr>
          <w:p w14:paraId="62F1B302" w14:textId="77777777" w:rsidR="00E14227" w:rsidRDefault="00E14227" w:rsidP="00ED3677">
            <w:pPr>
              <w:spacing w:beforeLines="10" w:before="24" w:afterLines="10" w:after="24"/>
              <w:rPr>
                <w:rFonts w:cstheme="minorHAnsi"/>
              </w:rPr>
            </w:pPr>
            <w:r>
              <w:rPr>
                <w:rFonts w:cstheme="minorHAnsi"/>
              </w:rPr>
              <w:t>Technical Adviser</w:t>
            </w:r>
          </w:p>
        </w:tc>
      </w:tr>
      <w:tr w:rsidR="00E14227" w:rsidRPr="00856F5C" w14:paraId="66692A7D" w14:textId="77777777" w:rsidTr="00467737">
        <w:tc>
          <w:tcPr>
            <w:tcW w:w="1271" w:type="dxa"/>
            <w:tcBorders>
              <w:top w:val="nil"/>
              <w:left w:val="nil"/>
              <w:bottom w:val="nil"/>
              <w:right w:val="nil"/>
            </w:tcBorders>
          </w:tcPr>
          <w:p w14:paraId="14343A6A" w14:textId="77777777" w:rsidR="00E14227" w:rsidRPr="00FD5B13" w:rsidRDefault="00E14227" w:rsidP="00ED3677">
            <w:pPr>
              <w:spacing w:beforeLines="10" w:before="24" w:afterLines="10" w:after="24"/>
              <w:rPr>
                <w:rFonts w:cstheme="minorHAnsi"/>
                <w:b/>
                <w:color w:val="44546A" w:themeColor="text2"/>
              </w:rPr>
            </w:pPr>
            <w:r w:rsidRPr="00FD5B13">
              <w:rPr>
                <w:rFonts w:cstheme="minorHAnsi"/>
                <w:b/>
                <w:color w:val="44546A" w:themeColor="text2"/>
              </w:rPr>
              <w:t>T</w:t>
            </w:r>
            <w:r w:rsidR="00251454">
              <w:rPr>
                <w:rFonts w:cstheme="minorHAnsi"/>
                <w:b/>
                <w:color w:val="44546A" w:themeColor="text2"/>
              </w:rPr>
              <w:t>O</w:t>
            </w:r>
            <w:r w:rsidRPr="00FD5B13">
              <w:rPr>
                <w:rFonts w:cstheme="minorHAnsi"/>
                <w:b/>
                <w:color w:val="44546A" w:themeColor="text2"/>
              </w:rPr>
              <w:t>R</w:t>
            </w:r>
          </w:p>
        </w:tc>
        <w:tc>
          <w:tcPr>
            <w:tcW w:w="7796" w:type="dxa"/>
            <w:tcBorders>
              <w:top w:val="nil"/>
              <w:left w:val="nil"/>
              <w:bottom w:val="nil"/>
              <w:right w:val="nil"/>
            </w:tcBorders>
          </w:tcPr>
          <w:p w14:paraId="32B1B493" w14:textId="77777777" w:rsidR="00E14227" w:rsidRDefault="00E14227" w:rsidP="00ED3677">
            <w:pPr>
              <w:spacing w:beforeLines="10" w:before="24" w:afterLines="10" w:after="24"/>
              <w:rPr>
                <w:rFonts w:cstheme="minorHAnsi"/>
              </w:rPr>
            </w:pPr>
            <w:r>
              <w:rPr>
                <w:rFonts w:cstheme="minorHAnsi"/>
              </w:rPr>
              <w:t>Terms of Reference</w:t>
            </w:r>
          </w:p>
        </w:tc>
      </w:tr>
      <w:tr w:rsidR="00E14227" w:rsidRPr="00856F5C" w14:paraId="75022D6C" w14:textId="77777777" w:rsidTr="00467737">
        <w:tc>
          <w:tcPr>
            <w:tcW w:w="1271" w:type="dxa"/>
            <w:tcBorders>
              <w:top w:val="nil"/>
              <w:left w:val="nil"/>
              <w:bottom w:val="nil"/>
              <w:right w:val="nil"/>
            </w:tcBorders>
          </w:tcPr>
          <w:p w14:paraId="6B8FFB5D" w14:textId="77777777" w:rsidR="00E14227" w:rsidRPr="00FD5B13" w:rsidRDefault="00E14227" w:rsidP="00ED3677">
            <w:pPr>
              <w:spacing w:beforeLines="10" w:before="24" w:afterLines="10" w:after="24"/>
              <w:rPr>
                <w:rFonts w:cstheme="minorHAnsi"/>
                <w:b/>
                <w:color w:val="44546A" w:themeColor="text2"/>
              </w:rPr>
            </w:pPr>
            <w:r w:rsidRPr="00FD5B13">
              <w:rPr>
                <w:rFonts w:cstheme="minorHAnsi"/>
                <w:b/>
                <w:color w:val="44546A" w:themeColor="text2"/>
              </w:rPr>
              <w:t>TPO</w:t>
            </w:r>
          </w:p>
        </w:tc>
        <w:tc>
          <w:tcPr>
            <w:tcW w:w="7796" w:type="dxa"/>
            <w:tcBorders>
              <w:top w:val="nil"/>
              <w:left w:val="nil"/>
              <w:bottom w:val="nil"/>
              <w:right w:val="nil"/>
            </w:tcBorders>
          </w:tcPr>
          <w:p w14:paraId="0DAB0597" w14:textId="77777777" w:rsidR="00E14227" w:rsidRDefault="00E14227" w:rsidP="00ED3677">
            <w:pPr>
              <w:spacing w:beforeLines="10" w:before="24" w:afterLines="10" w:after="24"/>
              <w:rPr>
                <w:rFonts w:cstheme="minorHAnsi"/>
              </w:rPr>
            </w:pPr>
            <w:r>
              <w:rPr>
                <w:rFonts w:cstheme="minorHAnsi"/>
              </w:rPr>
              <w:t>Temporary Protection Order</w:t>
            </w:r>
          </w:p>
        </w:tc>
      </w:tr>
      <w:tr w:rsidR="000B3D8B" w:rsidRPr="00856F5C" w14:paraId="71A8F3F9" w14:textId="77777777" w:rsidTr="00467737">
        <w:tc>
          <w:tcPr>
            <w:tcW w:w="1271" w:type="dxa"/>
            <w:tcBorders>
              <w:top w:val="nil"/>
              <w:left w:val="nil"/>
              <w:bottom w:val="nil"/>
              <w:right w:val="nil"/>
            </w:tcBorders>
          </w:tcPr>
          <w:p w14:paraId="6F957195" w14:textId="77777777" w:rsidR="000B3D8B" w:rsidRPr="00FD5B13" w:rsidRDefault="000B3D8B" w:rsidP="00ED3677">
            <w:pPr>
              <w:spacing w:beforeLines="10" w:before="24" w:afterLines="10" w:after="24"/>
              <w:rPr>
                <w:rFonts w:cstheme="minorHAnsi"/>
                <w:b/>
                <w:color w:val="44546A" w:themeColor="text2"/>
              </w:rPr>
            </w:pPr>
            <w:r>
              <w:rPr>
                <w:rFonts w:cstheme="minorHAnsi"/>
                <w:b/>
                <w:color w:val="44546A" w:themeColor="text2"/>
              </w:rPr>
              <w:t>TWP</w:t>
            </w:r>
          </w:p>
        </w:tc>
        <w:tc>
          <w:tcPr>
            <w:tcW w:w="7796" w:type="dxa"/>
            <w:tcBorders>
              <w:top w:val="nil"/>
              <w:left w:val="nil"/>
              <w:bottom w:val="nil"/>
              <w:right w:val="nil"/>
            </w:tcBorders>
          </w:tcPr>
          <w:p w14:paraId="533349F4" w14:textId="77777777" w:rsidR="000B3D8B" w:rsidRDefault="000B3D8B" w:rsidP="00ED3677">
            <w:pPr>
              <w:spacing w:beforeLines="10" w:before="24" w:afterLines="10" w:after="24"/>
              <w:rPr>
                <w:rFonts w:cstheme="minorHAnsi"/>
              </w:rPr>
            </w:pPr>
            <w:r>
              <w:rPr>
                <w:rFonts w:cstheme="minorHAnsi"/>
              </w:rPr>
              <w:t>Thinking and Working Politically</w:t>
            </w:r>
          </w:p>
        </w:tc>
      </w:tr>
      <w:tr w:rsidR="00E14227" w:rsidRPr="00856F5C" w14:paraId="75DB8CFB" w14:textId="77777777" w:rsidTr="00467737">
        <w:tc>
          <w:tcPr>
            <w:tcW w:w="1271" w:type="dxa"/>
            <w:tcBorders>
              <w:top w:val="nil"/>
              <w:left w:val="nil"/>
              <w:bottom w:val="nil"/>
              <w:right w:val="nil"/>
            </w:tcBorders>
          </w:tcPr>
          <w:p w14:paraId="79A48B98" w14:textId="77777777" w:rsidR="00E14227" w:rsidRPr="00FD5B13" w:rsidRDefault="00ED3677" w:rsidP="00ED3677">
            <w:pPr>
              <w:spacing w:beforeLines="10" w:before="24" w:afterLines="10" w:after="24"/>
              <w:rPr>
                <w:rFonts w:cstheme="minorHAnsi"/>
                <w:b/>
                <w:color w:val="44546A" w:themeColor="text2"/>
              </w:rPr>
            </w:pPr>
            <w:r>
              <w:rPr>
                <w:rFonts w:cstheme="minorHAnsi"/>
                <w:b/>
                <w:color w:val="44546A" w:themeColor="text2"/>
              </w:rPr>
              <w:t>VAPJP</w:t>
            </w:r>
          </w:p>
        </w:tc>
        <w:tc>
          <w:tcPr>
            <w:tcW w:w="7796" w:type="dxa"/>
            <w:tcBorders>
              <w:top w:val="nil"/>
              <w:left w:val="nil"/>
              <w:bottom w:val="nil"/>
              <w:right w:val="nil"/>
            </w:tcBorders>
          </w:tcPr>
          <w:p w14:paraId="388C350A" w14:textId="77777777" w:rsidR="00E14227" w:rsidRDefault="00E14227" w:rsidP="00ED3677">
            <w:pPr>
              <w:spacing w:beforeLines="10" w:before="24" w:afterLines="10" w:after="24"/>
              <w:rPr>
                <w:rFonts w:cstheme="minorHAnsi"/>
              </w:rPr>
            </w:pPr>
            <w:r>
              <w:rPr>
                <w:rFonts w:cstheme="minorHAnsi"/>
              </w:rPr>
              <w:t>Vanuatu-Australia Policing and Justice Program</w:t>
            </w:r>
          </w:p>
        </w:tc>
      </w:tr>
      <w:tr w:rsidR="00E14227" w:rsidRPr="00856F5C" w14:paraId="603E2335" w14:textId="77777777" w:rsidTr="00467737">
        <w:tc>
          <w:tcPr>
            <w:tcW w:w="1271" w:type="dxa"/>
            <w:tcBorders>
              <w:top w:val="nil"/>
              <w:left w:val="nil"/>
              <w:bottom w:val="nil"/>
              <w:right w:val="nil"/>
            </w:tcBorders>
          </w:tcPr>
          <w:p w14:paraId="02BC7CE9" w14:textId="77777777" w:rsidR="00E14227" w:rsidRPr="00FD5B13" w:rsidRDefault="00E14227" w:rsidP="00ED3677">
            <w:pPr>
              <w:spacing w:beforeLines="10" w:before="24" w:afterLines="10" w:after="24"/>
              <w:rPr>
                <w:rFonts w:cstheme="minorHAnsi"/>
                <w:b/>
                <w:color w:val="44546A" w:themeColor="text2"/>
              </w:rPr>
            </w:pPr>
            <w:r w:rsidRPr="00FD5B13">
              <w:rPr>
                <w:rFonts w:cstheme="minorHAnsi"/>
                <w:b/>
                <w:color w:val="44546A" w:themeColor="text2"/>
              </w:rPr>
              <w:t>VLS</w:t>
            </w:r>
          </w:p>
        </w:tc>
        <w:tc>
          <w:tcPr>
            <w:tcW w:w="7796" w:type="dxa"/>
            <w:tcBorders>
              <w:top w:val="nil"/>
              <w:left w:val="nil"/>
              <w:bottom w:val="nil"/>
              <w:right w:val="nil"/>
            </w:tcBorders>
          </w:tcPr>
          <w:p w14:paraId="1410B6B6" w14:textId="77777777" w:rsidR="00E14227" w:rsidRDefault="00E14227" w:rsidP="00ED3677">
            <w:pPr>
              <w:spacing w:beforeLines="10" w:before="24" w:afterLines="10" w:after="24"/>
              <w:rPr>
                <w:rFonts w:cstheme="minorHAnsi"/>
              </w:rPr>
            </w:pPr>
            <w:r>
              <w:rPr>
                <w:rFonts w:cstheme="minorHAnsi"/>
              </w:rPr>
              <w:t>Vanuatu Law Society</w:t>
            </w:r>
          </w:p>
        </w:tc>
      </w:tr>
      <w:tr w:rsidR="00E14227" w:rsidRPr="00856F5C" w14:paraId="09BFFD6F" w14:textId="77777777" w:rsidTr="00467737">
        <w:tc>
          <w:tcPr>
            <w:tcW w:w="1271" w:type="dxa"/>
            <w:tcBorders>
              <w:top w:val="nil"/>
              <w:left w:val="nil"/>
              <w:bottom w:val="nil"/>
              <w:right w:val="nil"/>
            </w:tcBorders>
          </w:tcPr>
          <w:p w14:paraId="4AD996D9" w14:textId="77777777" w:rsidR="00E14227" w:rsidRPr="00FD5B13" w:rsidRDefault="00E14227" w:rsidP="00ED3677">
            <w:pPr>
              <w:spacing w:beforeLines="10" w:before="24" w:afterLines="10" w:after="24"/>
              <w:rPr>
                <w:rFonts w:cstheme="minorHAnsi"/>
                <w:b/>
                <w:color w:val="44546A" w:themeColor="text2"/>
              </w:rPr>
            </w:pPr>
            <w:r w:rsidRPr="00FD5B13">
              <w:rPr>
                <w:rFonts w:cstheme="minorHAnsi"/>
                <w:b/>
                <w:color w:val="44546A" w:themeColor="text2"/>
              </w:rPr>
              <w:t>VMF</w:t>
            </w:r>
          </w:p>
        </w:tc>
        <w:tc>
          <w:tcPr>
            <w:tcW w:w="7796" w:type="dxa"/>
            <w:tcBorders>
              <w:top w:val="nil"/>
              <w:left w:val="nil"/>
              <w:bottom w:val="nil"/>
              <w:right w:val="nil"/>
            </w:tcBorders>
          </w:tcPr>
          <w:p w14:paraId="187CE092" w14:textId="77777777" w:rsidR="00E14227" w:rsidRDefault="00E14227" w:rsidP="00ED3677">
            <w:pPr>
              <w:spacing w:beforeLines="10" w:before="24" w:afterLines="10" w:after="24"/>
              <w:rPr>
                <w:rFonts w:cstheme="minorHAnsi"/>
              </w:rPr>
            </w:pPr>
            <w:r>
              <w:rPr>
                <w:rFonts w:cstheme="minorHAnsi"/>
              </w:rPr>
              <w:t xml:space="preserve">Vanuatu Mobile Force </w:t>
            </w:r>
          </w:p>
        </w:tc>
      </w:tr>
      <w:tr w:rsidR="00E14227" w:rsidRPr="00856F5C" w14:paraId="3F396A4F" w14:textId="77777777" w:rsidTr="00467737">
        <w:tc>
          <w:tcPr>
            <w:tcW w:w="1271" w:type="dxa"/>
            <w:tcBorders>
              <w:top w:val="nil"/>
              <w:left w:val="nil"/>
              <w:bottom w:val="nil"/>
              <w:right w:val="nil"/>
            </w:tcBorders>
          </w:tcPr>
          <w:p w14:paraId="256A4E3D" w14:textId="77777777" w:rsidR="00E14227" w:rsidRPr="00FD5B13" w:rsidRDefault="00E14227" w:rsidP="00ED3677">
            <w:pPr>
              <w:spacing w:beforeLines="10" w:before="24" w:afterLines="10" w:after="24"/>
              <w:rPr>
                <w:rFonts w:cstheme="minorHAnsi"/>
                <w:b/>
                <w:color w:val="44546A" w:themeColor="text2"/>
              </w:rPr>
            </w:pPr>
            <w:r w:rsidRPr="00FD5B13">
              <w:rPr>
                <w:rFonts w:cstheme="minorHAnsi"/>
                <w:b/>
                <w:color w:val="44546A" w:themeColor="text2"/>
              </w:rPr>
              <w:t>VPF</w:t>
            </w:r>
          </w:p>
        </w:tc>
        <w:tc>
          <w:tcPr>
            <w:tcW w:w="7796" w:type="dxa"/>
            <w:tcBorders>
              <w:top w:val="nil"/>
              <w:left w:val="nil"/>
              <w:bottom w:val="nil"/>
              <w:right w:val="nil"/>
            </w:tcBorders>
          </w:tcPr>
          <w:p w14:paraId="7A483580" w14:textId="77777777" w:rsidR="00E14227" w:rsidRDefault="00E14227" w:rsidP="00ED3677">
            <w:pPr>
              <w:spacing w:beforeLines="10" w:before="24" w:afterLines="10" w:after="24"/>
              <w:rPr>
                <w:rFonts w:cstheme="minorHAnsi"/>
              </w:rPr>
            </w:pPr>
            <w:r>
              <w:rPr>
                <w:rFonts w:cstheme="minorHAnsi"/>
              </w:rPr>
              <w:t>Vanuatu Police Force</w:t>
            </w:r>
          </w:p>
        </w:tc>
      </w:tr>
      <w:tr w:rsidR="00E14227" w:rsidRPr="00856F5C" w14:paraId="73BCE568" w14:textId="77777777" w:rsidTr="00467737">
        <w:tc>
          <w:tcPr>
            <w:tcW w:w="1271" w:type="dxa"/>
            <w:tcBorders>
              <w:top w:val="nil"/>
              <w:left w:val="nil"/>
              <w:bottom w:val="nil"/>
              <w:right w:val="nil"/>
            </w:tcBorders>
          </w:tcPr>
          <w:p w14:paraId="18B02774" w14:textId="77777777" w:rsidR="00E14227" w:rsidRPr="00FD5B13" w:rsidRDefault="00E14227" w:rsidP="00ED3677">
            <w:pPr>
              <w:spacing w:beforeLines="10" w:before="24" w:afterLines="10" w:after="24"/>
              <w:rPr>
                <w:rFonts w:cstheme="minorHAnsi"/>
                <w:b/>
                <w:color w:val="44546A" w:themeColor="text2"/>
              </w:rPr>
            </w:pPr>
            <w:r w:rsidRPr="00FD5B13">
              <w:rPr>
                <w:rFonts w:cstheme="minorHAnsi"/>
                <w:b/>
                <w:color w:val="44546A" w:themeColor="text2"/>
              </w:rPr>
              <w:t>VSPD</w:t>
            </w:r>
          </w:p>
        </w:tc>
        <w:tc>
          <w:tcPr>
            <w:tcW w:w="7796" w:type="dxa"/>
            <w:tcBorders>
              <w:top w:val="nil"/>
              <w:left w:val="nil"/>
              <w:bottom w:val="nil"/>
              <w:right w:val="nil"/>
            </w:tcBorders>
          </w:tcPr>
          <w:p w14:paraId="38E63CF2" w14:textId="77777777" w:rsidR="00E14227" w:rsidRDefault="00E14227" w:rsidP="00ED3677">
            <w:pPr>
              <w:spacing w:beforeLines="10" w:before="24" w:afterLines="10" w:after="24"/>
              <w:rPr>
                <w:rFonts w:cstheme="minorHAnsi"/>
              </w:rPr>
            </w:pPr>
            <w:r>
              <w:rPr>
                <w:rFonts w:cstheme="minorHAnsi"/>
              </w:rPr>
              <w:t>Vanuatu Society for People with Disability</w:t>
            </w:r>
          </w:p>
        </w:tc>
      </w:tr>
      <w:tr w:rsidR="00E14227" w:rsidRPr="00856F5C" w14:paraId="2645689C" w14:textId="77777777" w:rsidTr="00467737">
        <w:tc>
          <w:tcPr>
            <w:tcW w:w="1271" w:type="dxa"/>
            <w:tcBorders>
              <w:top w:val="nil"/>
              <w:left w:val="nil"/>
              <w:bottom w:val="nil"/>
              <w:right w:val="nil"/>
            </w:tcBorders>
          </w:tcPr>
          <w:p w14:paraId="30B9AA4A" w14:textId="77777777" w:rsidR="00E14227" w:rsidRPr="00FD5B13" w:rsidRDefault="00E14227" w:rsidP="00ED3677">
            <w:pPr>
              <w:spacing w:beforeLines="10" w:before="24" w:afterLines="10" w:after="24"/>
              <w:rPr>
                <w:rFonts w:cstheme="minorHAnsi"/>
                <w:b/>
                <w:color w:val="44546A" w:themeColor="text2"/>
              </w:rPr>
            </w:pPr>
            <w:r w:rsidRPr="00FD5B13">
              <w:rPr>
                <w:rFonts w:cstheme="minorHAnsi"/>
                <w:b/>
                <w:color w:val="44546A" w:themeColor="text2"/>
              </w:rPr>
              <w:t>VT</w:t>
            </w:r>
          </w:p>
        </w:tc>
        <w:tc>
          <w:tcPr>
            <w:tcW w:w="7796" w:type="dxa"/>
            <w:tcBorders>
              <w:top w:val="nil"/>
              <w:left w:val="nil"/>
              <w:bottom w:val="nil"/>
              <w:right w:val="nil"/>
            </w:tcBorders>
          </w:tcPr>
          <w:p w14:paraId="5DC694C0" w14:textId="77777777" w:rsidR="00E14227" w:rsidRDefault="00E14227" w:rsidP="00ED3677">
            <w:pPr>
              <w:spacing w:beforeLines="10" w:before="24" w:afterLines="10" w:after="24"/>
              <w:rPr>
                <w:rFonts w:cstheme="minorHAnsi"/>
              </w:rPr>
            </w:pPr>
            <w:r>
              <w:rPr>
                <w:rFonts w:cstheme="minorHAnsi"/>
              </w:rPr>
              <w:t>Vanuatu Vatu</w:t>
            </w:r>
          </w:p>
        </w:tc>
      </w:tr>
      <w:tr w:rsidR="00E14227" w:rsidRPr="00856F5C" w14:paraId="51C42322" w14:textId="77777777" w:rsidTr="00467737">
        <w:tc>
          <w:tcPr>
            <w:tcW w:w="1271" w:type="dxa"/>
            <w:tcBorders>
              <w:top w:val="nil"/>
              <w:left w:val="nil"/>
              <w:bottom w:val="nil"/>
              <w:right w:val="nil"/>
            </w:tcBorders>
          </w:tcPr>
          <w:p w14:paraId="4FCB00DD" w14:textId="77777777" w:rsidR="00E14227" w:rsidRPr="00FD5B13" w:rsidRDefault="00E14227" w:rsidP="00ED3677">
            <w:pPr>
              <w:spacing w:beforeLines="10" w:before="24" w:afterLines="10" w:after="24"/>
              <w:rPr>
                <w:rFonts w:cstheme="minorHAnsi"/>
                <w:b/>
                <w:color w:val="44546A" w:themeColor="text2"/>
              </w:rPr>
            </w:pPr>
            <w:r w:rsidRPr="00FD5B13">
              <w:rPr>
                <w:rFonts w:cstheme="minorHAnsi"/>
                <w:b/>
                <w:color w:val="44546A" w:themeColor="text2"/>
              </w:rPr>
              <w:t>VWC</w:t>
            </w:r>
          </w:p>
        </w:tc>
        <w:tc>
          <w:tcPr>
            <w:tcW w:w="7796" w:type="dxa"/>
            <w:tcBorders>
              <w:top w:val="nil"/>
              <w:left w:val="nil"/>
              <w:bottom w:val="nil"/>
              <w:right w:val="nil"/>
            </w:tcBorders>
          </w:tcPr>
          <w:p w14:paraId="39ECF01C" w14:textId="77777777" w:rsidR="00E14227" w:rsidRPr="00856F5C" w:rsidRDefault="00E14227" w:rsidP="00ED3677">
            <w:pPr>
              <w:spacing w:beforeLines="10" w:before="24" w:afterLines="10" w:after="24"/>
              <w:rPr>
                <w:rFonts w:cstheme="minorHAnsi"/>
              </w:rPr>
            </w:pPr>
            <w:r>
              <w:rPr>
                <w:rFonts w:cstheme="minorHAnsi"/>
              </w:rPr>
              <w:t>Vanuatu Women’s Centre</w:t>
            </w:r>
          </w:p>
        </w:tc>
      </w:tr>
      <w:tr w:rsidR="00E14227" w:rsidRPr="00856F5C" w14:paraId="1165BC6B" w14:textId="77777777" w:rsidTr="00467737">
        <w:tc>
          <w:tcPr>
            <w:tcW w:w="1271" w:type="dxa"/>
            <w:tcBorders>
              <w:top w:val="nil"/>
              <w:left w:val="nil"/>
              <w:bottom w:val="nil"/>
              <w:right w:val="nil"/>
            </w:tcBorders>
          </w:tcPr>
          <w:p w14:paraId="6C84BBB2" w14:textId="77777777" w:rsidR="00E14227" w:rsidRPr="00FD5B13" w:rsidRDefault="00E14227" w:rsidP="00ED3677">
            <w:pPr>
              <w:spacing w:beforeLines="10" w:before="24" w:afterLines="10" w:after="24"/>
              <w:rPr>
                <w:rFonts w:cstheme="minorHAnsi"/>
                <w:b/>
                <w:color w:val="44546A" w:themeColor="text2"/>
              </w:rPr>
            </w:pPr>
            <w:r w:rsidRPr="00FD5B13">
              <w:rPr>
                <w:rFonts w:cstheme="minorHAnsi"/>
                <w:b/>
                <w:color w:val="44546A" w:themeColor="text2"/>
              </w:rPr>
              <w:t>WAN</w:t>
            </w:r>
          </w:p>
        </w:tc>
        <w:tc>
          <w:tcPr>
            <w:tcW w:w="7796" w:type="dxa"/>
            <w:tcBorders>
              <w:top w:val="nil"/>
              <w:left w:val="nil"/>
              <w:bottom w:val="nil"/>
              <w:right w:val="nil"/>
            </w:tcBorders>
          </w:tcPr>
          <w:p w14:paraId="3B218E88" w14:textId="77777777" w:rsidR="00E14227" w:rsidRPr="00856F5C" w:rsidRDefault="00E14227" w:rsidP="00ED3677">
            <w:pPr>
              <w:spacing w:beforeLines="10" w:before="24" w:afterLines="10" w:after="24"/>
              <w:rPr>
                <w:rFonts w:cstheme="minorHAnsi"/>
              </w:rPr>
            </w:pPr>
            <w:r>
              <w:rPr>
                <w:rFonts w:cstheme="minorHAnsi"/>
              </w:rPr>
              <w:t>Women’s Advisory Network (VPF)</w:t>
            </w:r>
          </w:p>
        </w:tc>
      </w:tr>
      <w:tr w:rsidR="00E4782C" w:rsidRPr="00856F5C" w14:paraId="0EB17177" w14:textId="77777777" w:rsidTr="00467737">
        <w:tc>
          <w:tcPr>
            <w:tcW w:w="1271" w:type="dxa"/>
            <w:tcBorders>
              <w:top w:val="nil"/>
              <w:left w:val="nil"/>
              <w:bottom w:val="nil"/>
              <w:right w:val="nil"/>
            </w:tcBorders>
          </w:tcPr>
          <w:p w14:paraId="06FA1384" w14:textId="77777777" w:rsidR="00E4782C" w:rsidRPr="00FD5B13" w:rsidRDefault="00E4782C" w:rsidP="00ED3677">
            <w:pPr>
              <w:spacing w:beforeLines="10" w:before="24" w:afterLines="10" w:after="24"/>
              <w:rPr>
                <w:rFonts w:cstheme="minorHAnsi"/>
                <w:b/>
                <w:color w:val="44546A" w:themeColor="text2"/>
              </w:rPr>
            </w:pPr>
            <w:r>
              <w:rPr>
                <w:rFonts w:cstheme="minorHAnsi"/>
                <w:b/>
                <w:color w:val="44546A" w:themeColor="text2"/>
              </w:rPr>
              <w:t>WOG</w:t>
            </w:r>
          </w:p>
        </w:tc>
        <w:tc>
          <w:tcPr>
            <w:tcW w:w="7796" w:type="dxa"/>
            <w:tcBorders>
              <w:top w:val="nil"/>
              <w:left w:val="nil"/>
              <w:bottom w:val="nil"/>
              <w:right w:val="nil"/>
            </w:tcBorders>
          </w:tcPr>
          <w:p w14:paraId="42CB5CBC" w14:textId="77777777" w:rsidR="00E4782C" w:rsidRDefault="00E4782C" w:rsidP="00ED3677">
            <w:pPr>
              <w:spacing w:beforeLines="10" w:before="24" w:afterLines="10" w:after="24"/>
              <w:rPr>
                <w:rFonts w:cstheme="minorHAnsi"/>
              </w:rPr>
            </w:pPr>
            <w:r>
              <w:rPr>
                <w:rFonts w:cstheme="minorHAnsi"/>
              </w:rPr>
              <w:t>Whole of Government</w:t>
            </w:r>
          </w:p>
        </w:tc>
      </w:tr>
    </w:tbl>
    <w:p w14:paraId="485A9B8D" w14:textId="77777777" w:rsidR="00516155" w:rsidRDefault="00516155"/>
    <w:p w14:paraId="570E4856" w14:textId="77777777" w:rsidR="00893528" w:rsidRDefault="00893528"/>
    <w:p w14:paraId="59F9FC75" w14:textId="77777777" w:rsidR="00924E79" w:rsidRPr="005B4E54" w:rsidRDefault="004417F9" w:rsidP="005B4E54">
      <w:pPr>
        <w:pBdr>
          <w:bottom w:val="single" w:sz="4" w:space="10" w:color="44546A" w:themeColor="text2"/>
        </w:pBdr>
        <w:spacing w:before="400" w:after="280" w:line="240" w:lineRule="auto"/>
        <w:outlineLvl w:val="1"/>
        <w:rPr>
          <w:rFonts w:ascii="Calibri" w:eastAsia="MS Gothic" w:hAnsi="Calibri" w:cs="Times New Roman"/>
          <w:b/>
          <w:bCs/>
          <w:color w:val="44546A" w:themeColor="text2"/>
          <w:sz w:val="40"/>
          <w:szCs w:val="40"/>
        </w:rPr>
      </w:pPr>
      <w:bookmarkStart w:id="13" w:name="_Toc25591517"/>
      <w:bookmarkStart w:id="14" w:name="_Toc2772936"/>
      <w:r w:rsidRPr="005B4E54">
        <w:rPr>
          <w:rFonts w:ascii="Calibri" w:eastAsia="MS Gothic" w:hAnsi="Calibri" w:cs="Times New Roman"/>
          <w:b/>
          <w:bCs/>
          <w:color w:val="44546A" w:themeColor="text2"/>
          <w:sz w:val="40"/>
          <w:szCs w:val="40"/>
        </w:rPr>
        <w:t>Acknowledgements</w:t>
      </w:r>
      <w:bookmarkEnd w:id="13"/>
      <w:r w:rsidRPr="005B4E54">
        <w:rPr>
          <w:rFonts w:ascii="Calibri" w:eastAsia="MS Gothic" w:hAnsi="Calibri" w:cs="Times New Roman"/>
          <w:b/>
          <w:bCs/>
          <w:color w:val="44546A" w:themeColor="text2"/>
          <w:sz w:val="40"/>
          <w:szCs w:val="40"/>
        </w:rPr>
        <w:t xml:space="preserve"> </w:t>
      </w:r>
      <w:bookmarkEnd w:id="14"/>
    </w:p>
    <w:p w14:paraId="6656FFF3" w14:textId="77777777" w:rsidR="00924E79" w:rsidRDefault="00924E79" w:rsidP="003D6C68">
      <w:pPr>
        <w:spacing w:line="240" w:lineRule="auto"/>
        <w:jc w:val="both"/>
      </w:pPr>
      <w:r w:rsidRPr="00924E79">
        <w:t xml:space="preserve">The evaluation team </w:t>
      </w:r>
      <w:r w:rsidR="0038411D">
        <w:t xml:space="preserve">would like </w:t>
      </w:r>
      <w:r w:rsidRPr="00924E79">
        <w:t>to thank the many people who have given their time, and shared their expertise during the evaluation by participating in interviews, and/or the analysis</w:t>
      </w:r>
      <w:r w:rsidR="0000632A">
        <w:t xml:space="preserve"> and validation</w:t>
      </w:r>
      <w:r w:rsidRPr="00924E79">
        <w:t xml:space="preserve"> of </w:t>
      </w:r>
      <w:r w:rsidR="0000632A">
        <w:t>findings</w:t>
      </w:r>
      <w:r w:rsidRPr="00924E79">
        <w:t xml:space="preserve"> including: </w:t>
      </w:r>
      <w:r w:rsidRPr="00BF66A6">
        <w:t>DFAT</w:t>
      </w:r>
      <w:r w:rsidR="001209D6">
        <w:t xml:space="preserve">, AFP and </w:t>
      </w:r>
      <w:r w:rsidR="0000632A">
        <w:t>ADF</w:t>
      </w:r>
      <w:r w:rsidR="001209D6">
        <w:t xml:space="preserve"> officers and </w:t>
      </w:r>
      <w:r w:rsidR="00DC1AE3">
        <w:t>advisers</w:t>
      </w:r>
      <w:r w:rsidR="001209D6">
        <w:t xml:space="preserve">, </w:t>
      </w:r>
      <w:proofErr w:type="spellStart"/>
      <w:r w:rsidR="00165DEA">
        <w:t>GoV</w:t>
      </w:r>
      <w:proofErr w:type="spellEnd"/>
      <w:r w:rsidR="001209D6">
        <w:t xml:space="preserve"> representatives and policing and justice officers; Palladium staff and contracted </w:t>
      </w:r>
      <w:r w:rsidR="0093132A">
        <w:t>advisers</w:t>
      </w:r>
      <w:r w:rsidR="001209D6">
        <w:t>; CSO representatives</w:t>
      </w:r>
      <w:r>
        <w:t>; and community members. We would particularly like to thank Cathy McWilliam from DFAT Post in Vanuatu for all her efforts in facilitating our access to information and to people</w:t>
      </w:r>
      <w:r w:rsidR="008A3809">
        <w:t xml:space="preserve">, and Tony </w:t>
      </w:r>
      <w:proofErr w:type="spellStart"/>
      <w:r w:rsidR="00382ABC">
        <w:t>Lansdell</w:t>
      </w:r>
      <w:proofErr w:type="spellEnd"/>
      <w:r w:rsidR="00CE0818">
        <w:t xml:space="preserve">, </w:t>
      </w:r>
      <w:r w:rsidR="005C360A">
        <w:t>Keith</w:t>
      </w:r>
      <w:r w:rsidR="008A3809">
        <w:t xml:space="preserve"> </w:t>
      </w:r>
      <w:proofErr w:type="spellStart"/>
      <w:r w:rsidR="005C360A">
        <w:t>Twyford</w:t>
      </w:r>
      <w:proofErr w:type="spellEnd"/>
      <w:r w:rsidR="00CE0818">
        <w:t>, Wendy Xiao and Katrina McKenzie</w:t>
      </w:r>
      <w:r w:rsidR="005C360A">
        <w:t xml:space="preserve"> </w:t>
      </w:r>
      <w:r w:rsidR="008A3809">
        <w:t>for</w:t>
      </w:r>
      <w:r w:rsidR="008A3809" w:rsidRPr="008A3809">
        <w:t xml:space="preserve"> </w:t>
      </w:r>
      <w:r w:rsidR="008A3809">
        <w:t xml:space="preserve">providing </w:t>
      </w:r>
      <w:r w:rsidR="00CE0818">
        <w:t>financial and reporting data</w:t>
      </w:r>
      <w:r w:rsidR="008A3809">
        <w:t xml:space="preserve">. </w:t>
      </w:r>
    </w:p>
    <w:p w14:paraId="32A5F940" w14:textId="77777777" w:rsidR="00924E79" w:rsidRDefault="00924E79"/>
    <w:p w14:paraId="2457DC47" w14:textId="77777777" w:rsidR="00893528" w:rsidRDefault="00893528">
      <w:r>
        <w:br w:type="page"/>
      </w:r>
    </w:p>
    <w:p w14:paraId="59AA42F8" w14:textId="77777777" w:rsidR="00893528" w:rsidRPr="005B4E54" w:rsidRDefault="00893528" w:rsidP="005B4E54">
      <w:pPr>
        <w:pBdr>
          <w:bottom w:val="single" w:sz="4" w:space="10" w:color="44546A" w:themeColor="text2"/>
        </w:pBdr>
        <w:spacing w:before="400" w:after="280" w:line="240" w:lineRule="auto"/>
        <w:outlineLvl w:val="1"/>
        <w:rPr>
          <w:rFonts w:ascii="Calibri" w:eastAsia="MS Gothic" w:hAnsi="Calibri" w:cs="Times New Roman"/>
          <w:b/>
          <w:bCs/>
          <w:color w:val="44546A" w:themeColor="text2"/>
          <w:sz w:val="40"/>
          <w:szCs w:val="40"/>
        </w:rPr>
      </w:pPr>
      <w:bookmarkStart w:id="15" w:name="_Toc25591518"/>
      <w:r w:rsidRPr="005B4E54">
        <w:rPr>
          <w:rFonts w:ascii="Calibri" w:eastAsia="MS Gothic" w:hAnsi="Calibri" w:cs="Times New Roman"/>
          <w:b/>
          <w:bCs/>
          <w:color w:val="44546A" w:themeColor="text2"/>
          <w:sz w:val="40"/>
          <w:szCs w:val="40"/>
        </w:rPr>
        <w:t>Table of Contents</w:t>
      </w:r>
      <w:bookmarkEnd w:id="15"/>
    </w:p>
    <w:sdt>
      <w:sdtPr>
        <w:rPr>
          <w:rFonts w:asciiTheme="minorHAnsi" w:eastAsiaTheme="minorHAnsi" w:hAnsiTheme="minorHAnsi" w:cstheme="minorBidi"/>
          <w:color w:val="auto"/>
          <w:sz w:val="22"/>
          <w:szCs w:val="22"/>
          <w:lang w:val="en-AU"/>
        </w:rPr>
        <w:id w:val="233210999"/>
        <w:docPartObj>
          <w:docPartGallery w:val="Table of Contents"/>
          <w:docPartUnique/>
        </w:docPartObj>
      </w:sdtPr>
      <w:sdtEndPr>
        <w:rPr>
          <w:b/>
          <w:bCs/>
          <w:noProof/>
        </w:rPr>
      </w:sdtEndPr>
      <w:sdtContent>
        <w:p w14:paraId="73D80041" w14:textId="77777777" w:rsidR="008A1BB3" w:rsidRDefault="008A1BB3">
          <w:pPr>
            <w:pStyle w:val="TOCHeading"/>
          </w:pPr>
        </w:p>
        <w:p w14:paraId="408EA77D" w14:textId="58BAABFE" w:rsidR="00E41B3C" w:rsidRDefault="008A1BB3">
          <w:pPr>
            <w:pStyle w:val="TOC2"/>
            <w:tabs>
              <w:tab w:val="right" w:leader="dot" w:pos="9016"/>
            </w:tabs>
            <w:rPr>
              <w:rFonts w:eastAsiaTheme="minorEastAsia"/>
              <w:noProof/>
              <w:lang w:eastAsia="en-AU"/>
            </w:rPr>
          </w:pPr>
          <w:r>
            <w:fldChar w:fldCharType="begin"/>
          </w:r>
          <w:r>
            <w:instrText xml:space="preserve"> TOC \o "1-3" \h \z \u </w:instrText>
          </w:r>
          <w:r>
            <w:fldChar w:fldCharType="separate"/>
          </w:r>
          <w:hyperlink w:anchor="_Toc25591515" w:history="1">
            <w:r w:rsidR="00E41B3C" w:rsidRPr="00530F51">
              <w:rPr>
                <w:rStyle w:val="Hyperlink"/>
                <w:rFonts w:ascii="Calibri" w:eastAsia="MS Gothic" w:hAnsi="Calibri" w:cs="Times New Roman"/>
                <w:b/>
                <w:bCs/>
                <w:noProof/>
              </w:rPr>
              <w:t>Executive Summary</w:t>
            </w:r>
            <w:r w:rsidR="00E41B3C">
              <w:rPr>
                <w:noProof/>
                <w:webHidden/>
              </w:rPr>
              <w:tab/>
            </w:r>
            <w:r w:rsidR="00E41B3C">
              <w:rPr>
                <w:noProof/>
                <w:webHidden/>
              </w:rPr>
              <w:fldChar w:fldCharType="begin"/>
            </w:r>
            <w:r w:rsidR="00E41B3C">
              <w:rPr>
                <w:noProof/>
                <w:webHidden/>
              </w:rPr>
              <w:instrText xml:space="preserve"> PAGEREF _Toc25591515 \h </w:instrText>
            </w:r>
            <w:r w:rsidR="00E41B3C">
              <w:rPr>
                <w:noProof/>
                <w:webHidden/>
              </w:rPr>
            </w:r>
            <w:r w:rsidR="00E41B3C">
              <w:rPr>
                <w:noProof/>
                <w:webHidden/>
              </w:rPr>
              <w:fldChar w:fldCharType="separate"/>
            </w:r>
            <w:r w:rsidR="00266457">
              <w:rPr>
                <w:noProof/>
                <w:webHidden/>
              </w:rPr>
              <w:t>ii</w:t>
            </w:r>
            <w:r w:rsidR="00E41B3C">
              <w:rPr>
                <w:noProof/>
                <w:webHidden/>
              </w:rPr>
              <w:fldChar w:fldCharType="end"/>
            </w:r>
          </w:hyperlink>
        </w:p>
        <w:p w14:paraId="3BBC3336" w14:textId="04AEE4F5" w:rsidR="00E41B3C" w:rsidRDefault="00E70532">
          <w:pPr>
            <w:pStyle w:val="TOC2"/>
            <w:tabs>
              <w:tab w:val="right" w:leader="dot" w:pos="9016"/>
            </w:tabs>
            <w:rPr>
              <w:rFonts w:eastAsiaTheme="minorEastAsia"/>
              <w:noProof/>
              <w:lang w:eastAsia="en-AU"/>
            </w:rPr>
          </w:pPr>
          <w:hyperlink w:anchor="_Toc25591516" w:history="1">
            <w:r w:rsidR="00E41B3C" w:rsidRPr="00530F51">
              <w:rPr>
                <w:rStyle w:val="Hyperlink"/>
                <w:rFonts w:ascii="Calibri" w:eastAsia="MS Gothic" w:hAnsi="Calibri" w:cs="Times New Roman"/>
                <w:b/>
                <w:bCs/>
                <w:noProof/>
              </w:rPr>
              <w:t>List of Acronyms</w:t>
            </w:r>
            <w:r w:rsidR="00E41B3C">
              <w:rPr>
                <w:noProof/>
                <w:webHidden/>
              </w:rPr>
              <w:tab/>
            </w:r>
            <w:r w:rsidR="00E41B3C">
              <w:rPr>
                <w:noProof/>
                <w:webHidden/>
              </w:rPr>
              <w:fldChar w:fldCharType="begin"/>
            </w:r>
            <w:r w:rsidR="00E41B3C">
              <w:rPr>
                <w:noProof/>
                <w:webHidden/>
              </w:rPr>
              <w:instrText xml:space="preserve"> PAGEREF _Toc25591516 \h </w:instrText>
            </w:r>
            <w:r w:rsidR="00E41B3C">
              <w:rPr>
                <w:noProof/>
                <w:webHidden/>
              </w:rPr>
            </w:r>
            <w:r w:rsidR="00E41B3C">
              <w:rPr>
                <w:noProof/>
                <w:webHidden/>
              </w:rPr>
              <w:fldChar w:fldCharType="separate"/>
            </w:r>
            <w:r w:rsidR="00266457">
              <w:rPr>
                <w:noProof/>
                <w:webHidden/>
              </w:rPr>
              <w:t>vii</w:t>
            </w:r>
            <w:r w:rsidR="00E41B3C">
              <w:rPr>
                <w:noProof/>
                <w:webHidden/>
              </w:rPr>
              <w:fldChar w:fldCharType="end"/>
            </w:r>
          </w:hyperlink>
        </w:p>
        <w:p w14:paraId="3E057F6D" w14:textId="36F5A311" w:rsidR="00E41B3C" w:rsidRDefault="00E70532">
          <w:pPr>
            <w:pStyle w:val="TOC2"/>
            <w:tabs>
              <w:tab w:val="right" w:leader="dot" w:pos="9016"/>
            </w:tabs>
            <w:rPr>
              <w:rFonts w:eastAsiaTheme="minorEastAsia"/>
              <w:noProof/>
              <w:lang w:eastAsia="en-AU"/>
            </w:rPr>
          </w:pPr>
          <w:hyperlink w:anchor="_Toc25591517" w:history="1">
            <w:r w:rsidR="00E41B3C" w:rsidRPr="00530F51">
              <w:rPr>
                <w:rStyle w:val="Hyperlink"/>
                <w:rFonts w:ascii="Calibri" w:eastAsia="MS Gothic" w:hAnsi="Calibri" w:cs="Times New Roman"/>
                <w:b/>
                <w:bCs/>
                <w:noProof/>
              </w:rPr>
              <w:t>Acknowledgements</w:t>
            </w:r>
            <w:r w:rsidR="00E41B3C">
              <w:rPr>
                <w:noProof/>
                <w:webHidden/>
              </w:rPr>
              <w:tab/>
            </w:r>
            <w:r w:rsidR="00E41B3C">
              <w:rPr>
                <w:noProof/>
                <w:webHidden/>
              </w:rPr>
              <w:fldChar w:fldCharType="begin"/>
            </w:r>
            <w:r w:rsidR="00E41B3C">
              <w:rPr>
                <w:noProof/>
                <w:webHidden/>
              </w:rPr>
              <w:instrText xml:space="preserve"> PAGEREF _Toc25591517 \h </w:instrText>
            </w:r>
            <w:r w:rsidR="00E41B3C">
              <w:rPr>
                <w:noProof/>
                <w:webHidden/>
              </w:rPr>
            </w:r>
            <w:r w:rsidR="00E41B3C">
              <w:rPr>
                <w:noProof/>
                <w:webHidden/>
              </w:rPr>
              <w:fldChar w:fldCharType="separate"/>
            </w:r>
            <w:r w:rsidR="00266457">
              <w:rPr>
                <w:noProof/>
                <w:webHidden/>
              </w:rPr>
              <w:t>viii</w:t>
            </w:r>
            <w:r w:rsidR="00E41B3C">
              <w:rPr>
                <w:noProof/>
                <w:webHidden/>
              </w:rPr>
              <w:fldChar w:fldCharType="end"/>
            </w:r>
          </w:hyperlink>
        </w:p>
        <w:p w14:paraId="73F64625" w14:textId="550BFEFD" w:rsidR="00E41B3C" w:rsidRDefault="00E70532">
          <w:pPr>
            <w:pStyle w:val="TOC2"/>
            <w:tabs>
              <w:tab w:val="right" w:leader="dot" w:pos="9016"/>
            </w:tabs>
            <w:rPr>
              <w:rFonts w:eastAsiaTheme="minorEastAsia"/>
              <w:noProof/>
              <w:lang w:eastAsia="en-AU"/>
            </w:rPr>
          </w:pPr>
          <w:hyperlink w:anchor="_Toc25591518" w:history="1">
            <w:r w:rsidR="00E41B3C" w:rsidRPr="00530F51">
              <w:rPr>
                <w:rStyle w:val="Hyperlink"/>
                <w:rFonts w:ascii="Calibri" w:eastAsia="MS Gothic" w:hAnsi="Calibri" w:cs="Times New Roman"/>
                <w:b/>
                <w:bCs/>
                <w:noProof/>
              </w:rPr>
              <w:t>Table of Contents</w:t>
            </w:r>
            <w:r w:rsidR="00E41B3C">
              <w:rPr>
                <w:noProof/>
                <w:webHidden/>
              </w:rPr>
              <w:tab/>
            </w:r>
            <w:r w:rsidR="00E41B3C">
              <w:rPr>
                <w:noProof/>
                <w:webHidden/>
              </w:rPr>
              <w:fldChar w:fldCharType="begin"/>
            </w:r>
            <w:r w:rsidR="00E41B3C">
              <w:rPr>
                <w:noProof/>
                <w:webHidden/>
              </w:rPr>
              <w:instrText xml:space="preserve"> PAGEREF _Toc25591518 \h </w:instrText>
            </w:r>
            <w:r w:rsidR="00E41B3C">
              <w:rPr>
                <w:noProof/>
                <w:webHidden/>
              </w:rPr>
            </w:r>
            <w:r w:rsidR="00E41B3C">
              <w:rPr>
                <w:noProof/>
                <w:webHidden/>
              </w:rPr>
              <w:fldChar w:fldCharType="separate"/>
            </w:r>
            <w:r w:rsidR="00266457">
              <w:rPr>
                <w:noProof/>
                <w:webHidden/>
              </w:rPr>
              <w:t>ix</w:t>
            </w:r>
            <w:r w:rsidR="00E41B3C">
              <w:rPr>
                <w:noProof/>
                <w:webHidden/>
              </w:rPr>
              <w:fldChar w:fldCharType="end"/>
            </w:r>
          </w:hyperlink>
        </w:p>
        <w:p w14:paraId="49EDF992" w14:textId="288E1BA6" w:rsidR="00E41B3C" w:rsidRDefault="00E70532">
          <w:pPr>
            <w:pStyle w:val="TOC2"/>
            <w:tabs>
              <w:tab w:val="right" w:leader="dot" w:pos="9016"/>
            </w:tabs>
            <w:rPr>
              <w:rFonts w:eastAsiaTheme="minorEastAsia"/>
              <w:noProof/>
              <w:lang w:eastAsia="en-AU"/>
            </w:rPr>
          </w:pPr>
          <w:hyperlink w:anchor="_Toc25591519" w:history="1">
            <w:r w:rsidR="00E41B3C" w:rsidRPr="00530F51">
              <w:rPr>
                <w:rStyle w:val="Hyperlink"/>
                <w:rFonts w:ascii="Calibri" w:eastAsia="MS Gothic" w:hAnsi="Calibri" w:cs="Times New Roman"/>
                <w:b/>
                <w:bCs/>
                <w:noProof/>
              </w:rPr>
              <w:t>Section 1: Introduction</w:t>
            </w:r>
            <w:r w:rsidR="00E41B3C">
              <w:rPr>
                <w:noProof/>
                <w:webHidden/>
              </w:rPr>
              <w:tab/>
            </w:r>
            <w:r w:rsidR="00E41B3C">
              <w:rPr>
                <w:noProof/>
                <w:webHidden/>
              </w:rPr>
              <w:fldChar w:fldCharType="begin"/>
            </w:r>
            <w:r w:rsidR="00E41B3C">
              <w:rPr>
                <w:noProof/>
                <w:webHidden/>
              </w:rPr>
              <w:instrText xml:space="preserve"> PAGEREF _Toc25591519 \h </w:instrText>
            </w:r>
            <w:r w:rsidR="00E41B3C">
              <w:rPr>
                <w:noProof/>
                <w:webHidden/>
              </w:rPr>
            </w:r>
            <w:r w:rsidR="00E41B3C">
              <w:rPr>
                <w:noProof/>
                <w:webHidden/>
              </w:rPr>
              <w:fldChar w:fldCharType="separate"/>
            </w:r>
            <w:r w:rsidR="00266457">
              <w:rPr>
                <w:noProof/>
                <w:webHidden/>
              </w:rPr>
              <w:t>1</w:t>
            </w:r>
            <w:r w:rsidR="00E41B3C">
              <w:rPr>
                <w:noProof/>
                <w:webHidden/>
              </w:rPr>
              <w:fldChar w:fldCharType="end"/>
            </w:r>
          </w:hyperlink>
        </w:p>
        <w:p w14:paraId="498C20E4" w14:textId="741F4D90" w:rsidR="00E41B3C" w:rsidRDefault="00E70532">
          <w:pPr>
            <w:pStyle w:val="TOC2"/>
            <w:tabs>
              <w:tab w:val="left" w:pos="880"/>
              <w:tab w:val="right" w:leader="dot" w:pos="9016"/>
            </w:tabs>
            <w:rPr>
              <w:rFonts w:eastAsiaTheme="minorEastAsia"/>
              <w:noProof/>
              <w:lang w:eastAsia="en-AU"/>
            </w:rPr>
          </w:pPr>
          <w:hyperlink w:anchor="_Toc25591520" w:history="1">
            <w:r w:rsidR="00E41B3C" w:rsidRPr="00530F51">
              <w:rPr>
                <w:rStyle w:val="Hyperlink"/>
                <w:noProof/>
              </w:rPr>
              <w:t>1.1</w:t>
            </w:r>
            <w:r w:rsidR="00E41B3C">
              <w:rPr>
                <w:rFonts w:eastAsiaTheme="minorEastAsia"/>
                <w:noProof/>
                <w:lang w:eastAsia="en-AU"/>
              </w:rPr>
              <w:tab/>
            </w:r>
            <w:r w:rsidR="00E41B3C" w:rsidRPr="00530F51">
              <w:rPr>
                <w:rStyle w:val="Hyperlink"/>
                <w:noProof/>
              </w:rPr>
              <w:t>Program background</w:t>
            </w:r>
            <w:r w:rsidR="00E41B3C">
              <w:rPr>
                <w:noProof/>
                <w:webHidden/>
              </w:rPr>
              <w:tab/>
            </w:r>
            <w:r w:rsidR="00E41B3C">
              <w:rPr>
                <w:noProof/>
                <w:webHidden/>
              </w:rPr>
              <w:fldChar w:fldCharType="begin"/>
            </w:r>
            <w:r w:rsidR="00E41B3C">
              <w:rPr>
                <w:noProof/>
                <w:webHidden/>
              </w:rPr>
              <w:instrText xml:space="preserve"> PAGEREF _Toc25591520 \h </w:instrText>
            </w:r>
            <w:r w:rsidR="00E41B3C">
              <w:rPr>
                <w:noProof/>
                <w:webHidden/>
              </w:rPr>
            </w:r>
            <w:r w:rsidR="00E41B3C">
              <w:rPr>
                <w:noProof/>
                <w:webHidden/>
              </w:rPr>
              <w:fldChar w:fldCharType="separate"/>
            </w:r>
            <w:r w:rsidR="00266457">
              <w:rPr>
                <w:noProof/>
                <w:webHidden/>
              </w:rPr>
              <w:t>1</w:t>
            </w:r>
            <w:r w:rsidR="00E41B3C">
              <w:rPr>
                <w:noProof/>
                <w:webHidden/>
              </w:rPr>
              <w:fldChar w:fldCharType="end"/>
            </w:r>
          </w:hyperlink>
        </w:p>
        <w:p w14:paraId="1FD6B647" w14:textId="54934D02" w:rsidR="00E41B3C" w:rsidRDefault="00E70532">
          <w:pPr>
            <w:pStyle w:val="TOC2"/>
            <w:tabs>
              <w:tab w:val="left" w:pos="880"/>
              <w:tab w:val="right" w:leader="dot" w:pos="9016"/>
            </w:tabs>
            <w:rPr>
              <w:rFonts w:eastAsiaTheme="minorEastAsia"/>
              <w:noProof/>
              <w:lang w:eastAsia="en-AU"/>
            </w:rPr>
          </w:pPr>
          <w:hyperlink w:anchor="_Toc25591521" w:history="1">
            <w:r w:rsidR="00E41B3C" w:rsidRPr="00530F51">
              <w:rPr>
                <w:rStyle w:val="Hyperlink"/>
                <w:noProof/>
              </w:rPr>
              <w:t>1.2</w:t>
            </w:r>
            <w:r w:rsidR="00E41B3C">
              <w:rPr>
                <w:rFonts w:eastAsiaTheme="minorEastAsia"/>
                <w:noProof/>
                <w:lang w:eastAsia="en-AU"/>
              </w:rPr>
              <w:tab/>
            </w:r>
            <w:r w:rsidR="00E41B3C" w:rsidRPr="00530F51">
              <w:rPr>
                <w:rStyle w:val="Hyperlink"/>
                <w:noProof/>
              </w:rPr>
              <w:t>Political economy context</w:t>
            </w:r>
            <w:r w:rsidR="00E41B3C">
              <w:rPr>
                <w:noProof/>
                <w:webHidden/>
              </w:rPr>
              <w:tab/>
            </w:r>
            <w:r w:rsidR="00E41B3C">
              <w:rPr>
                <w:noProof/>
                <w:webHidden/>
              </w:rPr>
              <w:fldChar w:fldCharType="begin"/>
            </w:r>
            <w:r w:rsidR="00E41B3C">
              <w:rPr>
                <w:noProof/>
                <w:webHidden/>
              </w:rPr>
              <w:instrText xml:space="preserve"> PAGEREF _Toc25591521 \h </w:instrText>
            </w:r>
            <w:r w:rsidR="00E41B3C">
              <w:rPr>
                <w:noProof/>
                <w:webHidden/>
              </w:rPr>
            </w:r>
            <w:r w:rsidR="00E41B3C">
              <w:rPr>
                <w:noProof/>
                <w:webHidden/>
              </w:rPr>
              <w:fldChar w:fldCharType="separate"/>
            </w:r>
            <w:r w:rsidR="00266457">
              <w:rPr>
                <w:noProof/>
                <w:webHidden/>
              </w:rPr>
              <w:t>2</w:t>
            </w:r>
            <w:r w:rsidR="00E41B3C">
              <w:rPr>
                <w:noProof/>
                <w:webHidden/>
              </w:rPr>
              <w:fldChar w:fldCharType="end"/>
            </w:r>
          </w:hyperlink>
        </w:p>
        <w:p w14:paraId="0B1B8768" w14:textId="7F9D31DC" w:rsidR="00E41B3C" w:rsidRDefault="00E70532">
          <w:pPr>
            <w:pStyle w:val="TOC2"/>
            <w:tabs>
              <w:tab w:val="left" w:pos="880"/>
              <w:tab w:val="right" w:leader="dot" w:pos="9016"/>
            </w:tabs>
            <w:rPr>
              <w:rFonts w:eastAsiaTheme="minorEastAsia"/>
              <w:noProof/>
              <w:lang w:eastAsia="en-AU"/>
            </w:rPr>
          </w:pPr>
          <w:hyperlink w:anchor="_Toc25591522" w:history="1">
            <w:r w:rsidR="00E41B3C" w:rsidRPr="00530F51">
              <w:rPr>
                <w:rStyle w:val="Hyperlink"/>
                <w:noProof/>
              </w:rPr>
              <w:t>1.3</w:t>
            </w:r>
            <w:r w:rsidR="00E41B3C">
              <w:rPr>
                <w:rFonts w:eastAsiaTheme="minorEastAsia"/>
                <w:noProof/>
                <w:lang w:eastAsia="en-AU"/>
              </w:rPr>
              <w:tab/>
            </w:r>
            <w:r w:rsidR="00E41B3C" w:rsidRPr="00530F51">
              <w:rPr>
                <w:rStyle w:val="Hyperlink"/>
                <w:noProof/>
              </w:rPr>
              <w:t>Scope and methodology of the evaluation</w:t>
            </w:r>
            <w:r w:rsidR="00E41B3C">
              <w:rPr>
                <w:noProof/>
                <w:webHidden/>
              </w:rPr>
              <w:tab/>
            </w:r>
            <w:r w:rsidR="00E41B3C">
              <w:rPr>
                <w:noProof/>
                <w:webHidden/>
              </w:rPr>
              <w:fldChar w:fldCharType="begin"/>
            </w:r>
            <w:r w:rsidR="00E41B3C">
              <w:rPr>
                <w:noProof/>
                <w:webHidden/>
              </w:rPr>
              <w:instrText xml:space="preserve"> PAGEREF _Toc25591522 \h </w:instrText>
            </w:r>
            <w:r w:rsidR="00E41B3C">
              <w:rPr>
                <w:noProof/>
                <w:webHidden/>
              </w:rPr>
            </w:r>
            <w:r w:rsidR="00E41B3C">
              <w:rPr>
                <w:noProof/>
                <w:webHidden/>
              </w:rPr>
              <w:fldChar w:fldCharType="separate"/>
            </w:r>
            <w:r w:rsidR="00266457">
              <w:rPr>
                <w:noProof/>
                <w:webHidden/>
              </w:rPr>
              <w:t>3</w:t>
            </w:r>
            <w:r w:rsidR="00E41B3C">
              <w:rPr>
                <w:noProof/>
                <w:webHidden/>
              </w:rPr>
              <w:fldChar w:fldCharType="end"/>
            </w:r>
          </w:hyperlink>
        </w:p>
        <w:p w14:paraId="3A264A71" w14:textId="19478FBE" w:rsidR="00E41B3C" w:rsidRDefault="00E70532">
          <w:pPr>
            <w:pStyle w:val="TOC2"/>
            <w:tabs>
              <w:tab w:val="left" w:pos="880"/>
              <w:tab w:val="right" w:leader="dot" w:pos="9016"/>
            </w:tabs>
            <w:rPr>
              <w:rFonts w:eastAsiaTheme="minorEastAsia"/>
              <w:noProof/>
              <w:lang w:eastAsia="en-AU"/>
            </w:rPr>
          </w:pPr>
          <w:hyperlink w:anchor="_Toc25591523" w:history="1">
            <w:r w:rsidR="00E41B3C" w:rsidRPr="00530F51">
              <w:rPr>
                <w:rStyle w:val="Hyperlink"/>
                <w:noProof/>
              </w:rPr>
              <w:t>1.4</w:t>
            </w:r>
            <w:r w:rsidR="00E41B3C">
              <w:rPr>
                <w:rFonts w:eastAsiaTheme="minorEastAsia"/>
                <w:noProof/>
                <w:lang w:eastAsia="en-AU"/>
              </w:rPr>
              <w:tab/>
            </w:r>
            <w:r w:rsidR="00E41B3C" w:rsidRPr="00530F51">
              <w:rPr>
                <w:rStyle w:val="Hyperlink"/>
                <w:noProof/>
              </w:rPr>
              <w:t>About this document</w:t>
            </w:r>
            <w:r w:rsidR="00E41B3C">
              <w:rPr>
                <w:noProof/>
                <w:webHidden/>
              </w:rPr>
              <w:tab/>
            </w:r>
            <w:r w:rsidR="00E41B3C">
              <w:rPr>
                <w:noProof/>
                <w:webHidden/>
              </w:rPr>
              <w:fldChar w:fldCharType="begin"/>
            </w:r>
            <w:r w:rsidR="00E41B3C">
              <w:rPr>
                <w:noProof/>
                <w:webHidden/>
              </w:rPr>
              <w:instrText xml:space="preserve"> PAGEREF _Toc25591523 \h </w:instrText>
            </w:r>
            <w:r w:rsidR="00E41B3C">
              <w:rPr>
                <w:noProof/>
                <w:webHidden/>
              </w:rPr>
            </w:r>
            <w:r w:rsidR="00E41B3C">
              <w:rPr>
                <w:noProof/>
                <w:webHidden/>
              </w:rPr>
              <w:fldChar w:fldCharType="separate"/>
            </w:r>
            <w:r w:rsidR="00266457">
              <w:rPr>
                <w:noProof/>
                <w:webHidden/>
              </w:rPr>
              <w:t>5</w:t>
            </w:r>
            <w:r w:rsidR="00E41B3C">
              <w:rPr>
                <w:noProof/>
                <w:webHidden/>
              </w:rPr>
              <w:fldChar w:fldCharType="end"/>
            </w:r>
          </w:hyperlink>
        </w:p>
        <w:p w14:paraId="6A02AA96" w14:textId="73B5AACD" w:rsidR="00E41B3C" w:rsidRDefault="00E70532">
          <w:pPr>
            <w:pStyle w:val="TOC2"/>
            <w:tabs>
              <w:tab w:val="right" w:leader="dot" w:pos="9016"/>
            </w:tabs>
            <w:rPr>
              <w:rFonts w:eastAsiaTheme="minorEastAsia"/>
              <w:noProof/>
              <w:lang w:eastAsia="en-AU"/>
            </w:rPr>
          </w:pPr>
          <w:hyperlink w:anchor="_Toc25591524" w:history="1">
            <w:r w:rsidR="00E41B3C" w:rsidRPr="00530F51">
              <w:rPr>
                <w:rStyle w:val="Hyperlink"/>
                <w:rFonts w:ascii="Calibri" w:eastAsia="MS Gothic" w:hAnsi="Calibri" w:cs="Times New Roman"/>
                <w:b/>
                <w:bCs/>
                <w:noProof/>
              </w:rPr>
              <w:t>Section 2: Findings</w:t>
            </w:r>
            <w:r w:rsidR="00E41B3C">
              <w:rPr>
                <w:noProof/>
                <w:webHidden/>
              </w:rPr>
              <w:tab/>
            </w:r>
            <w:r w:rsidR="00E41B3C">
              <w:rPr>
                <w:noProof/>
                <w:webHidden/>
              </w:rPr>
              <w:fldChar w:fldCharType="begin"/>
            </w:r>
            <w:r w:rsidR="00E41B3C">
              <w:rPr>
                <w:noProof/>
                <w:webHidden/>
              </w:rPr>
              <w:instrText xml:space="preserve"> PAGEREF _Toc25591524 \h </w:instrText>
            </w:r>
            <w:r w:rsidR="00E41B3C">
              <w:rPr>
                <w:noProof/>
                <w:webHidden/>
              </w:rPr>
            </w:r>
            <w:r w:rsidR="00E41B3C">
              <w:rPr>
                <w:noProof/>
                <w:webHidden/>
              </w:rPr>
              <w:fldChar w:fldCharType="separate"/>
            </w:r>
            <w:r w:rsidR="00266457">
              <w:rPr>
                <w:noProof/>
                <w:webHidden/>
              </w:rPr>
              <w:t>6</w:t>
            </w:r>
            <w:r w:rsidR="00E41B3C">
              <w:rPr>
                <w:noProof/>
                <w:webHidden/>
              </w:rPr>
              <w:fldChar w:fldCharType="end"/>
            </w:r>
          </w:hyperlink>
        </w:p>
        <w:p w14:paraId="03573F05" w14:textId="419D5D49" w:rsidR="00E41B3C" w:rsidRDefault="00E70532">
          <w:pPr>
            <w:pStyle w:val="TOC2"/>
            <w:tabs>
              <w:tab w:val="right" w:leader="dot" w:pos="9016"/>
            </w:tabs>
            <w:rPr>
              <w:rFonts w:eastAsiaTheme="minorEastAsia"/>
              <w:noProof/>
              <w:lang w:eastAsia="en-AU"/>
            </w:rPr>
          </w:pPr>
          <w:hyperlink w:anchor="_Toc25591525" w:history="1">
            <w:r w:rsidR="00E41B3C" w:rsidRPr="00530F51">
              <w:rPr>
                <w:rStyle w:val="Hyperlink"/>
                <w:noProof/>
              </w:rPr>
              <w:t>2.1 Key findings</w:t>
            </w:r>
            <w:r w:rsidR="00E41B3C">
              <w:rPr>
                <w:noProof/>
                <w:webHidden/>
              </w:rPr>
              <w:tab/>
            </w:r>
            <w:r w:rsidR="00E41B3C">
              <w:rPr>
                <w:noProof/>
                <w:webHidden/>
              </w:rPr>
              <w:fldChar w:fldCharType="begin"/>
            </w:r>
            <w:r w:rsidR="00E41B3C">
              <w:rPr>
                <w:noProof/>
                <w:webHidden/>
              </w:rPr>
              <w:instrText xml:space="preserve"> PAGEREF _Toc25591525 \h </w:instrText>
            </w:r>
            <w:r w:rsidR="00E41B3C">
              <w:rPr>
                <w:noProof/>
                <w:webHidden/>
              </w:rPr>
            </w:r>
            <w:r w:rsidR="00E41B3C">
              <w:rPr>
                <w:noProof/>
                <w:webHidden/>
              </w:rPr>
              <w:fldChar w:fldCharType="separate"/>
            </w:r>
            <w:r w:rsidR="00266457">
              <w:rPr>
                <w:noProof/>
                <w:webHidden/>
              </w:rPr>
              <w:t>6</w:t>
            </w:r>
            <w:r w:rsidR="00E41B3C">
              <w:rPr>
                <w:noProof/>
                <w:webHidden/>
              </w:rPr>
              <w:fldChar w:fldCharType="end"/>
            </w:r>
          </w:hyperlink>
        </w:p>
        <w:p w14:paraId="45196654" w14:textId="125086CF" w:rsidR="00E41B3C" w:rsidRDefault="00E70532">
          <w:pPr>
            <w:pStyle w:val="TOC2"/>
            <w:tabs>
              <w:tab w:val="right" w:leader="dot" w:pos="9016"/>
            </w:tabs>
            <w:rPr>
              <w:rFonts w:eastAsiaTheme="minorEastAsia"/>
              <w:noProof/>
              <w:lang w:eastAsia="en-AU"/>
            </w:rPr>
          </w:pPr>
          <w:hyperlink w:anchor="_Toc25591526" w:history="1">
            <w:r w:rsidR="00E41B3C" w:rsidRPr="00530F51">
              <w:rPr>
                <w:rStyle w:val="Hyperlink"/>
                <w:rFonts w:ascii="Calibri" w:eastAsia="MS Gothic" w:hAnsi="Calibri" w:cs="Times New Roman"/>
                <w:b/>
                <w:bCs/>
                <w:noProof/>
              </w:rPr>
              <w:t>Section 5: Annexes</w:t>
            </w:r>
            <w:r w:rsidR="00E41B3C">
              <w:rPr>
                <w:noProof/>
                <w:webHidden/>
              </w:rPr>
              <w:tab/>
            </w:r>
            <w:r w:rsidR="00E41B3C">
              <w:rPr>
                <w:noProof/>
                <w:webHidden/>
              </w:rPr>
              <w:fldChar w:fldCharType="begin"/>
            </w:r>
            <w:r w:rsidR="00E41B3C">
              <w:rPr>
                <w:noProof/>
                <w:webHidden/>
              </w:rPr>
              <w:instrText xml:space="preserve"> PAGEREF _Toc25591526 \h </w:instrText>
            </w:r>
            <w:r w:rsidR="00E41B3C">
              <w:rPr>
                <w:noProof/>
                <w:webHidden/>
              </w:rPr>
            </w:r>
            <w:r w:rsidR="00E41B3C">
              <w:rPr>
                <w:noProof/>
                <w:webHidden/>
              </w:rPr>
              <w:fldChar w:fldCharType="separate"/>
            </w:r>
            <w:r w:rsidR="00266457">
              <w:rPr>
                <w:noProof/>
                <w:webHidden/>
              </w:rPr>
              <w:t>39</w:t>
            </w:r>
            <w:r w:rsidR="00E41B3C">
              <w:rPr>
                <w:noProof/>
                <w:webHidden/>
              </w:rPr>
              <w:fldChar w:fldCharType="end"/>
            </w:r>
          </w:hyperlink>
        </w:p>
        <w:p w14:paraId="7A77713D" w14:textId="475A172E" w:rsidR="00E41B3C" w:rsidRDefault="00E70532">
          <w:pPr>
            <w:pStyle w:val="TOC2"/>
            <w:tabs>
              <w:tab w:val="left" w:pos="880"/>
              <w:tab w:val="right" w:leader="dot" w:pos="9016"/>
            </w:tabs>
            <w:rPr>
              <w:rFonts w:eastAsiaTheme="minorEastAsia"/>
              <w:noProof/>
              <w:lang w:eastAsia="en-AU"/>
            </w:rPr>
          </w:pPr>
          <w:hyperlink w:anchor="_Toc25591527" w:history="1">
            <w:r w:rsidR="00E41B3C" w:rsidRPr="00530F51">
              <w:rPr>
                <w:rStyle w:val="Hyperlink"/>
                <w:rFonts w:eastAsia="Calibri" w:cstheme="minorHAnsi"/>
                <w:b/>
                <w:noProof/>
                <w:lang w:eastAsia="en-AU"/>
              </w:rPr>
              <w:t>5.1</w:t>
            </w:r>
            <w:r w:rsidR="00E41B3C">
              <w:rPr>
                <w:rFonts w:eastAsiaTheme="minorEastAsia"/>
                <w:noProof/>
                <w:lang w:eastAsia="en-AU"/>
              </w:rPr>
              <w:tab/>
            </w:r>
            <w:r w:rsidR="00E41B3C" w:rsidRPr="00530F51">
              <w:rPr>
                <w:rStyle w:val="Hyperlink"/>
                <w:rFonts w:eastAsia="Calibri" w:cstheme="minorHAnsi"/>
                <w:b/>
                <w:noProof/>
                <w:lang w:eastAsia="en-AU"/>
              </w:rPr>
              <w:t>Detailed assessment table</w:t>
            </w:r>
            <w:r w:rsidR="00E41B3C">
              <w:rPr>
                <w:noProof/>
                <w:webHidden/>
              </w:rPr>
              <w:tab/>
            </w:r>
            <w:r w:rsidR="00E41B3C">
              <w:rPr>
                <w:noProof/>
                <w:webHidden/>
              </w:rPr>
              <w:fldChar w:fldCharType="begin"/>
            </w:r>
            <w:r w:rsidR="00E41B3C">
              <w:rPr>
                <w:noProof/>
                <w:webHidden/>
              </w:rPr>
              <w:instrText xml:space="preserve"> PAGEREF _Toc25591527 \h </w:instrText>
            </w:r>
            <w:r w:rsidR="00E41B3C">
              <w:rPr>
                <w:noProof/>
                <w:webHidden/>
              </w:rPr>
            </w:r>
            <w:r w:rsidR="00E41B3C">
              <w:rPr>
                <w:noProof/>
                <w:webHidden/>
              </w:rPr>
              <w:fldChar w:fldCharType="separate"/>
            </w:r>
            <w:r w:rsidR="00266457">
              <w:rPr>
                <w:noProof/>
                <w:webHidden/>
              </w:rPr>
              <w:t>39</w:t>
            </w:r>
            <w:r w:rsidR="00E41B3C">
              <w:rPr>
                <w:noProof/>
                <w:webHidden/>
              </w:rPr>
              <w:fldChar w:fldCharType="end"/>
            </w:r>
          </w:hyperlink>
        </w:p>
        <w:p w14:paraId="5340315D" w14:textId="12BD1670" w:rsidR="00E41B3C" w:rsidRDefault="00E70532">
          <w:pPr>
            <w:pStyle w:val="TOC2"/>
            <w:tabs>
              <w:tab w:val="left" w:pos="880"/>
              <w:tab w:val="right" w:leader="dot" w:pos="9016"/>
            </w:tabs>
            <w:rPr>
              <w:rFonts w:eastAsiaTheme="minorEastAsia"/>
              <w:noProof/>
              <w:lang w:eastAsia="en-AU"/>
            </w:rPr>
          </w:pPr>
          <w:hyperlink w:anchor="_Toc25591528" w:history="1">
            <w:r w:rsidR="00E41B3C" w:rsidRPr="00530F51">
              <w:rPr>
                <w:rStyle w:val="Hyperlink"/>
                <w:rFonts w:eastAsia="Calibri" w:cstheme="minorHAnsi"/>
                <w:b/>
                <w:noProof/>
                <w:lang w:eastAsia="en-AU"/>
              </w:rPr>
              <w:t>5.2</w:t>
            </w:r>
            <w:r w:rsidR="00E41B3C">
              <w:rPr>
                <w:rFonts w:eastAsiaTheme="minorEastAsia"/>
                <w:noProof/>
                <w:lang w:eastAsia="en-AU"/>
              </w:rPr>
              <w:tab/>
            </w:r>
            <w:r w:rsidR="00E41B3C" w:rsidRPr="00530F51">
              <w:rPr>
                <w:rStyle w:val="Hyperlink"/>
                <w:rFonts w:eastAsia="Calibri" w:cstheme="minorHAnsi"/>
                <w:b/>
                <w:noProof/>
                <w:lang w:eastAsia="en-AU"/>
              </w:rPr>
              <w:t>Official GoV Policing and justice data</w:t>
            </w:r>
            <w:r w:rsidR="00E41B3C">
              <w:rPr>
                <w:noProof/>
                <w:webHidden/>
              </w:rPr>
              <w:tab/>
            </w:r>
            <w:r w:rsidR="00E41B3C">
              <w:rPr>
                <w:noProof/>
                <w:webHidden/>
              </w:rPr>
              <w:fldChar w:fldCharType="begin"/>
            </w:r>
            <w:r w:rsidR="00E41B3C">
              <w:rPr>
                <w:noProof/>
                <w:webHidden/>
              </w:rPr>
              <w:instrText xml:space="preserve"> PAGEREF _Toc25591528 \h </w:instrText>
            </w:r>
            <w:r w:rsidR="00E41B3C">
              <w:rPr>
                <w:noProof/>
                <w:webHidden/>
              </w:rPr>
            </w:r>
            <w:r w:rsidR="00E41B3C">
              <w:rPr>
                <w:noProof/>
                <w:webHidden/>
              </w:rPr>
              <w:fldChar w:fldCharType="separate"/>
            </w:r>
            <w:r w:rsidR="00266457">
              <w:rPr>
                <w:noProof/>
                <w:webHidden/>
              </w:rPr>
              <w:t>52</w:t>
            </w:r>
            <w:r w:rsidR="00E41B3C">
              <w:rPr>
                <w:noProof/>
                <w:webHidden/>
              </w:rPr>
              <w:fldChar w:fldCharType="end"/>
            </w:r>
          </w:hyperlink>
        </w:p>
        <w:p w14:paraId="60B28E88" w14:textId="11B12EBB" w:rsidR="00E41B3C" w:rsidRDefault="00E70532">
          <w:pPr>
            <w:pStyle w:val="TOC2"/>
            <w:tabs>
              <w:tab w:val="left" w:pos="880"/>
              <w:tab w:val="right" w:leader="dot" w:pos="9016"/>
            </w:tabs>
            <w:rPr>
              <w:rFonts w:eastAsiaTheme="minorEastAsia"/>
              <w:noProof/>
              <w:lang w:eastAsia="en-AU"/>
            </w:rPr>
          </w:pPr>
          <w:hyperlink w:anchor="_Toc25591529" w:history="1">
            <w:r w:rsidR="00E41B3C" w:rsidRPr="00530F51">
              <w:rPr>
                <w:rStyle w:val="Hyperlink"/>
                <w:rFonts w:eastAsia="Calibri" w:cstheme="minorHAnsi"/>
                <w:b/>
                <w:noProof/>
                <w:lang w:eastAsia="en-AU"/>
              </w:rPr>
              <w:t>5.3</w:t>
            </w:r>
            <w:r w:rsidR="00E41B3C">
              <w:rPr>
                <w:rFonts w:eastAsiaTheme="minorEastAsia"/>
                <w:noProof/>
                <w:lang w:eastAsia="en-AU"/>
              </w:rPr>
              <w:tab/>
            </w:r>
            <w:r w:rsidR="00E41B3C" w:rsidRPr="00530F51">
              <w:rPr>
                <w:rStyle w:val="Hyperlink"/>
                <w:rFonts w:eastAsia="Calibri" w:cstheme="minorHAnsi"/>
                <w:b/>
                <w:noProof/>
                <w:lang w:eastAsia="en-AU"/>
              </w:rPr>
              <w:t>Detailed Cost and effectiveness analysis</w:t>
            </w:r>
            <w:r w:rsidR="00E41B3C">
              <w:rPr>
                <w:noProof/>
                <w:webHidden/>
              </w:rPr>
              <w:tab/>
            </w:r>
            <w:r w:rsidR="00E41B3C">
              <w:rPr>
                <w:noProof/>
                <w:webHidden/>
              </w:rPr>
              <w:fldChar w:fldCharType="begin"/>
            </w:r>
            <w:r w:rsidR="00E41B3C">
              <w:rPr>
                <w:noProof/>
                <w:webHidden/>
              </w:rPr>
              <w:instrText xml:space="preserve"> PAGEREF _Toc25591529 \h </w:instrText>
            </w:r>
            <w:r w:rsidR="00E41B3C">
              <w:rPr>
                <w:noProof/>
                <w:webHidden/>
              </w:rPr>
            </w:r>
            <w:r w:rsidR="00E41B3C">
              <w:rPr>
                <w:noProof/>
                <w:webHidden/>
              </w:rPr>
              <w:fldChar w:fldCharType="separate"/>
            </w:r>
            <w:r w:rsidR="00266457">
              <w:rPr>
                <w:noProof/>
                <w:webHidden/>
              </w:rPr>
              <w:t>72</w:t>
            </w:r>
            <w:r w:rsidR="00E41B3C">
              <w:rPr>
                <w:noProof/>
                <w:webHidden/>
              </w:rPr>
              <w:fldChar w:fldCharType="end"/>
            </w:r>
          </w:hyperlink>
        </w:p>
        <w:p w14:paraId="3D12D7C4" w14:textId="0AD550C9" w:rsidR="00E41B3C" w:rsidRDefault="00E70532">
          <w:pPr>
            <w:pStyle w:val="TOC2"/>
            <w:tabs>
              <w:tab w:val="left" w:pos="880"/>
              <w:tab w:val="right" w:leader="dot" w:pos="9016"/>
            </w:tabs>
            <w:rPr>
              <w:rFonts w:eastAsiaTheme="minorEastAsia"/>
              <w:noProof/>
              <w:lang w:eastAsia="en-AU"/>
            </w:rPr>
          </w:pPr>
          <w:hyperlink w:anchor="_Toc25591530" w:history="1">
            <w:r w:rsidR="00E41B3C" w:rsidRPr="00530F51">
              <w:rPr>
                <w:rStyle w:val="Hyperlink"/>
                <w:rFonts w:eastAsia="Calibri" w:cstheme="minorHAnsi"/>
                <w:b/>
                <w:noProof/>
                <w:lang w:eastAsia="en-AU"/>
              </w:rPr>
              <w:t>5.4</w:t>
            </w:r>
            <w:r w:rsidR="00E41B3C">
              <w:rPr>
                <w:rFonts w:eastAsiaTheme="minorEastAsia"/>
                <w:noProof/>
                <w:lang w:eastAsia="en-AU"/>
              </w:rPr>
              <w:tab/>
            </w:r>
            <w:r w:rsidR="00E41B3C" w:rsidRPr="00530F51">
              <w:rPr>
                <w:rStyle w:val="Hyperlink"/>
                <w:rFonts w:eastAsia="Calibri" w:cstheme="minorHAnsi"/>
                <w:b/>
                <w:noProof/>
                <w:lang w:eastAsia="en-AU"/>
              </w:rPr>
              <w:t>Evaluation methodology</w:t>
            </w:r>
            <w:r w:rsidR="00E41B3C">
              <w:rPr>
                <w:noProof/>
                <w:webHidden/>
              </w:rPr>
              <w:tab/>
            </w:r>
            <w:r w:rsidR="00E41B3C">
              <w:rPr>
                <w:noProof/>
                <w:webHidden/>
              </w:rPr>
              <w:fldChar w:fldCharType="begin"/>
            </w:r>
            <w:r w:rsidR="00E41B3C">
              <w:rPr>
                <w:noProof/>
                <w:webHidden/>
              </w:rPr>
              <w:instrText xml:space="preserve"> PAGEREF _Toc25591530 \h </w:instrText>
            </w:r>
            <w:r w:rsidR="00E41B3C">
              <w:rPr>
                <w:noProof/>
                <w:webHidden/>
              </w:rPr>
            </w:r>
            <w:r w:rsidR="00E41B3C">
              <w:rPr>
                <w:noProof/>
                <w:webHidden/>
              </w:rPr>
              <w:fldChar w:fldCharType="separate"/>
            </w:r>
            <w:r w:rsidR="00266457">
              <w:rPr>
                <w:noProof/>
                <w:webHidden/>
              </w:rPr>
              <w:t>74</w:t>
            </w:r>
            <w:r w:rsidR="00E41B3C">
              <w:rPr>
                <w:noProof/>
                <w:webHidden/>
              </w:rPr>
              <w:fldChar w:fldCharType="end"/>
            </w:r>
          </w:hyperlink>
        </w:p>
        <w:p w14:paraId="16EC444F" w14:textId="77777777" w:rsidR="008A1BB3" w:rsidRDefault="008A1BB3">
          <w:r>
            <w:rPr>
              <w:b/>
              <w:bCs/>
              <w:noProof/>
            </w:rPr>
            <w:fldChar w:fldCharType="end"/>
          </w:r>
        </w:p>
      </w:sdtContent>
    </w:sdt>
    <w:p w14:paraId="010556D5" w14:textId="77777777" w:rsidR="00893528" w:rsidRDefault="00893528"/>
    <w:p w14:paraId="44E0CB79" w14:textId="77777777" w:rsidR="00E4189A" w:rsidRDefault="00E4189A">
      <w:pPr>
        <w:sectPr w:rsidR="00E4189A" w:rsidSect="00E4189A">
          <w:pgSz w:w="11906" w:h="16838"/>
          <w:pgMar w:top="1440" w:right="1440" w:bottom="1440" w:left="1440" w:header="708" w:footer="708" w:gutter="0"/>
          <w:pgNumType w:fmt="lowerRoman"/>
          <w:cols w:space="708"/>
          <w:titlePg/>
          <w:docGrid w:linePitch="360"/>
        </w:sectPr>
      </w:pPr>
    </w:p>
    <w:p w14:paraId="7EEAAD3B" w14:textId="77777777" w:rsidR="00761D61" w:rsidRPr="00906936" w:rsidRDefault="00761D61" w:rsidP="00906936">
      <w:pPr>
        <w:pBdr>
          <w:bottom w:val="single" w:sz="4" w:space="10" w:color="44546A" w:themeColor="text2"/>
        </w:pBdr>
        <w:spacing w:before="400" w:after="280" w:line="240" w:lineRule="auto"/>
        <w:outlineLvl w:val="1"/>
        <w:rPr>
          <w:rFonts w:ascii="Calibri" w:eastAsia="MS Gothic" w:hAnsi="Calibri" w:cs="Times New Roman"/>
          <w:b/>
          <w:bCs/>
          <w:color w:val="44546A" w:themeColor="text2"/>
          <w:sz w:val="40"/>
          <w:szCs w:val="40"/>
        </w:rPr>
      </w:pPr>
      <w:bookmarkStart w:id="16" w:name="_Toc25591519"/>
      <w:r w:rsidRPr="005B4E54">
        <w:rPr>
          <w:rFonts w:ascii="Calibri" w:eastAsia="MS Gothic" w:hAnsi="Calibri" w:cs="Times New Roman"/>
          <w:b/>
          <w:bCs/>
          <w:color w:val="44546A" w:themeColor="text2"/>
          <w:sz w:val="40"/>
          <w:szCs w:val="40"/>
        </w:rPr>
        <w:t>Section 1: Introduction</w:t>
      </w:r>
      <w:bookmarkEnd w:id="16"/>
    </w:p>
    <w:p w14:paraId="0C04B8A8" w14:textId="77777777" w:rsidR="005B4E54" w:rsidRDefault="005B4E54" w:rsidP="00F579AE">
      <w:pPr>
        <w:pStyle w:val="SDANumberedheading2"/>
        <w:numPr>
          <w:ilvl w:val="1"/>
          <w:numId w:val="2"/>
        </w:numPr>
        <w:spacing w:before="200"/>
        <w:rPr>
          <w:color w:val="44546A" w:themeColor="text2"/>
        </w:rPr>
      </w:pPr>
      <w:bookmarkStart w:id="17" w:name="_Toc25591520"/>
      <w:r w:rsidRPr="005B4E54">
        <w:rPr>
          <w:color w:val="44546A" w:themeColor="text2"/>
        </w:rPr>
        <w:t>Program background</w:t>
      </w:r>
      <w:bookmarkEnd w:id="17"/>
    </w:p>
    <w:p w14:paraId="2C2CC133" w14:textId="77777777" w:rsidR="00906936" w:rsidRPr="00B87B8B" w:rsidRDefault="00906936" w:rsidP="00E41B3C">
      <w:pPr>
        <w:spacing w:line="240" w:lineRule="auto"/>
        <w:jc w:val="both"/>
      </w:pPr>
      <w:bookmarkStart w:id="18" w:name="_Hlk20479832"/>
      <w:proofErr w:type="spellStart"/>
      <w:r w:rsidRPr="00B87B8B">
        <w:t>Stretem</w:t>
      </w:r>
      <w:proofErr w:type="spellEnd"/>
      <w:r w:rsidRPr="00B87B8B">
        <w:t xml:space="preserve"> Rod </w:t>
      </w:r>
      <w:proofErr w:type="spellStart"/>
      <w:r w:rsidRPr="00B87B8B">
        <w:t>blong</w:t>
      </w:r>
      <w:proofErr w:type="spellEnd"/>
      <w:r w:rsidRPr="00B87B8B">
        <w:t xml:space="preserve"> </w:t>
      </w:r>
      <w:proofErr w:type="spellStart"/>
      <w:r w:rsidRPr="00B87B8B">
        <w:t>Jastis</w:t>
      </w:r>
      <w:proofErr w:type="spellEnd"/>
      <w:r w:rsidRPr="00B87B8B">
        <w:t xml:space="preserve"> </w:t>
      </w:r>
      <w:proofErr w:type="spellStart"/>
      <w:r w:rsidRPr="00B87B8B">
        <w:t>mo</w:t>
      </w:r>
      <w:proofErr w:type="spellEnd"/>
      <w:r w:rsidRPr="00B87B8B">
        <w:t xml:space="preserve"> </w:t>
      </w:r>
      <w:proofErr w:type="spellStart"/>
      <w:r w:rsidRPr="00B87B8B">
        <w:t>Sefti</w:t>
      </w:r>
      <w:proofErr w:type="spellEnd"/>
      <w:r w:rsidRPr="00B87B8B">
        <w:t xml:space="preserve"> (SRBJS)</w:t>
      </w:r>
      <w:bookmarkEnd w:id="18"/>
      <w:r w:rsidR="00927634">
        <w:rPr>
          <w:rStyle w:val="FootnoteReference"/>
        </w:rPr>
        <w:footnoteReference w:id="4"/>
      </w:r>
      <w:r w:rsidR="00A80068">
        <w:t xml:space="preserve">, or ‘the Program’, </w:t>
      </w:r>
      <w:r w:rsidR="008051FA">
        <w:t xml:space="preserve">also referred to as </w:t>
      </w:r>
      <w:r w:rsidR="008051FA" w:rsidRPr="00B87B8B">
        <w:t>Vanuatu Australia Policing and Justice Program (</w:t>
      </w:r>
      <w:r w:rsidR="008051FA">
        <w:t>VAPJP</w:t>
      </w:r>
      <w:r w:rsidR="008051FA" w:rsidRPr="00B87B8B">
        <w:t>),</w:t>
      </w:r>
      <w:r w:rsidR="008051FA">
        <w:t xml:space="preserve"> </w:t>
      </w:r>
      <w:r w:rsidRPr="00B87B8B">
        <w:t>is a $24 million program,</w:t>
      </w:r>
      <w:r>
        <w:t xml:space="preserve"> that runs from </w:t>
      </w:r>
      <w:r w:rsidRPr="00715A7C">
        <w:t>1 January 2017 - 31 December 2020</w:t>
      </w:r>
      <w:r w:rsidR="00CE0818">
        <w:t xml:space="preserve">. </w:t>
      </w:r>
      <w:r w:rsidR="00A80068">
        <w:t>The Program’s</w:t>
      </w:r>
      <w:r w:rsidRPr="00B87B8B">
        <w:t xml:space="preserve"> goal is to improve policing, justice and community services in Vanuatu. </w:t>
      </w:r>
      <w:r w:rsidR="008051FA">
        <w:t>SRBJS</w:t>
      </w:r>
      <w:r w:rsidRPr="00B87B8B">
        <w:t xml:space="preserve"> has three interconnected </w:t>
      </w:r>
      <w:r w:rsidR="00951581">
        <w:t>End of Program Outcomes (EOPOs)</w:t>
      </w:r>
      <w:r w:rsidRPr="00B87B8B">
        <w:t>:</w:t>
      </w:r>
    </w:p>
    <w:p w14:paraId="4BFC95E5" w14:textId="77777777" w:rsidR="00287F3E" w:rsidRDefault="00906936" w:rsidP="004E7C9F">
      <w:pPr>
        <w:numPr>
          <w:ilvl w:val="0"/>
          <w:numId w:val="4"/>
        </w:numPr>
        <w:spacing w:after="0" w:line="240" w:lineRule="auto"/>
        <w:ind w:left="425" w:right="96" w:hanging="425"/>
        <w:contextualSpacing/>
        <w:jc w:val="both"/>
      </w:pPr>
      <w:r w:rsidRPr="005E3A1F">
        <w:rPr>
          <w:b/>
        </w:rPr>
        <w:t>EOPO1</w:t>
      </w:r>
      <w:r w:rsidRPr="00287F3E">
        <w:t>:</w:t>
      </w:r>
      <w:r w:rsidR="005E3A1F">
        <w:t xml:space="preserve"> </w:t>
      </w:r>
      <w:r w:rsidRPr="00287F3E">
        <w:t>VPF, justice and community services agencies and targeted non-state actors demonstrate strengthened service delivery capacity, particularly in their handling of cases involving women, children and youth.</w:t>
      </w:r>
    </w:p>
    <w:p w14:paraId="340F6043" w14:textId="77777777" w:rsidR="00287F3E" w:rsidRDefault="00906936" w:rsidP="004E7C9F">
      <w:pPr>
        <w:numPr>
          <w:ilvl w:val="0"/>
          <w:numId w:val="4"/>
        </w:numPr>
        <w:spacing w:after="0" w:line="240" w:lineRule="auto"/>
        <w:ind w:left="425" w:right="96" w:hanging="425"/>
        <w:contextualSpacing/>
        <w:jc w:val="both"/>
      </w:pPr>
      <w:r w:rsidRPr="005E3A1F">
        <w:rPr>
          <w:rFonts w:ascii="Calibri" w:hAnsi="Calibri" w:cs="Calibri"/>
          <w:b/>
        </w:rPr>
        <w:t>EOPO 2:</w:t>
      </w:r>
      <w:r w:rsidRPr="00287F3E">
        <w:rPr>
          <w:rFonts w:ascii="Calibri" w:hAnsi="Calibri" w:cs="Calibri"/>
        </w:rPr>
        <w:t xml:space="preserve"> Women, children and youth are increasingly accessing state policing, justice and community services in targeted locations.</w:t>
      </w:r>
    </w:p>
    <w:p w14:paraId="4CECBDA9" w14:textId="77777777" w:rsidR="00906936" w:rsidRPr="00951581" w:rsidRDefault="00906936" w:rsidP="004E7C9F">
      <w:pPr>
        <w:numPr>
          <w:ilvl w:val="0"/>
          <w:numId w:val="4"/>
        </w:numPr>
        <w:spacing w:after="0" w:line="240" w:lineRule="auto"/>
        <w:ind w:left="425" w:right="96" w:hanging="425"/>
        <w:contextualSpacing/>
        <w:jc w:val="both"/>
      </w:pPr>
      <w:r w:rsidRPr="005E3A1F">
        <w:rPr>
          <w:rFonts w:ascii="Calibri" w:hAnsi="Calibri" w:cs="Calibri"/>
          <w:b/>
        </w:rPr>
        <w:t>EOPO 3:</w:t>
      </w:r>
      <w:r w:rsidRPr="00287F3E">
        <w:rPr>
          <w:rFonts w:ascii="Calibri" w:hAnsi="Calibri" w:cs="Calibri"/>
        </w:rPr>
        <w:t xml:space="preserve"> VPF, justice and community services agencies and targeted non-state actors demonstrate improved quality of service delivery to women, children and youth in targeted locations.</w:t>
      </w:r>
    </w:p>
    <w:p w14:paraId="3134D5A3" w14:textId="77777777" w:rsidR="00951581" w:rsidRPr="00EB46D7" w:rsidRDefault="00951581" w:rsidP="00951581">
      <w:pPr>
        <w:spacing w:after="0" w:line="240" w:lineRule="auto"/>
        <w:ind w:left="425" w:right="96"/>
        <w:contextualSpacing/>
        <w:jc w:val="both"/>
      </w:pPr>
    </w:p>
    <w:p w14:paraId="52F48E81" w14:textId="77777777" w:rsidR="00AF2F88" w:rsidRDefault="00511F75" w:rsidP="00BB6C95">
      <w:pPr>
        <w:spacing w:line="240" w:lineRule="auto"/>
        <w:jc w:val="both"/>
      </w:pPr>
      <w:r>
        <w:t xml:space="preserve">The </w:t>
      </w:r>
      <w:r w:rsidR="00E53220">
        <w:t>P</w:t>
      </w:r>
      <w:r>
        <w:t>rogram</w:t>
      </w:r>
      <w:r w:rsidRPr="006E7224">
        <w:t xml:space="preserve"> has a hybrid implementation </w:t>
      </w:r>
      <w:r w:rsidRPr="00B87B8B">
        <w:t>modality</w:t>
      </w:r>
      <w:r w:rsidR="00A80068">
        <w:t xml:space="preserve">. </w:t>
      </w:r>
      <w:r w:rsidRPr="00B87B8B">
        <w:t xml:space="preserve">DFAT has contracted </w:t>
      </w:r>
      <w:r w:rsidR="00BD7DA6">
        <w:t>a Managing Contractor</w:t>
      </w:r>
      <w:r w:rsidRPr="00B87B8B">
        <w:t xml:space="preserve"> to deliver the </w:t>
      </w:r>
      <w:r w:rsidR="00E53220">
        <w:t>P</w:t>
      </w:r>
      <w:r w:rsidRPr="00B87B8B">
        <w:t xml:space="preserve">rogram, and provides separate funding to the Australian Federal Police (AFP) to fund AFP advisers to work within the program structure. </w:t>
      </w:r>
      <w:r w:rsidRPr="006E7224">
        <w:t>The management structure sees personnel working in (</w:t>
      </w:r>
      <w:proofErr w:type="spellStart"/>
      <w:r w:rsidRPr="006E7224">
        <w:t>i</w:t>
      </w:r>
      <w:proofErr w:type="spellEnd"/>
      <w:r w:rsidRPr="006E7224">
        <w:t xml:space="preserve">) Policing and (ii) Justice teams, each headed by a Program Coordinator (Program Coordinator Policing being an AFP adviser, who also advises the </w:t>
      </w:r>
      <w:r w:rsidR="00C31A9B">
        <w:t>Vanuatu Police Force (</w:t>
      </w:r>
      <w:r w:rsidRPr="006E7224">
        <w:t>VPF</w:t>
      </w:r>
      <w:r w:rsidR="00C31A9B">
        <w:t>)</w:t>
      </w:r>
      <w:r w:rsidRPr="006E7224">
        <w:t xml:space="preserve"> Commissioner) and a Senior Manager from </w:t>
      </w:r>
      <w:r w:rsidR="00BD7DA6">
        <w:t>the Contractor</w:t>
      </w:r>
      <w:r w:rsidRPr="006E7224">
        <w:t xml:space="preserve"> working across the finance and operations of both streams. The contract between DFAT and Palladium contains flexibility with an option to extend for up to four years</w:t>
      </w:r>
      <w:r>
        <w:t>.</w:t>
      </w:r>
      <w:r w:rsidR="00FF0230">
        <w:t xml:space="preserve"> </w:t>
      </w:r>
      <w:r w:rsidR="00906936" w:rsidRPr="006E7224">
        <w:t xml:space="preserve">There are two Partnership Management Groups (PMGs) overseeing and guiding the justice and policing streams of work. </w:t>
      </w:r>
      <w:r w:rsidR="00906936" w:rsidRPr="00B87B8B">
        <w:t xml:space="preserve">The </w:t>
      </w:r>
      <w:r w:rsidR="00E53220">
        <w:t>P</w:t>
      </w:r>
      <w:r w:rsidR="00906936" w:rsidRPr="00B87B8B">
        <w:t xml:space="preserve">rogram is delivered in a </w:t>
      </w:r>
      <w:r w:rsidR="00DB580A">
        <w:t>combination</w:t>
      </w:r>
      <w:r w:rsidR="00906936" w:rsidRPr="00B87B8B">
        <w:t xml:space="preserve"> of ways, including through </w:t>
      </w:r>
      <w:r w:rsidR="00BD7DA6">
        <w:t>technical advisers (TA)</w:t>
      </w:r>
      <w:r w:rsidR="00906936" w:rsidRPr="00B87B8B">
        <w:t xml:space="preserve">, a grants facility, some infrastructure support, supporting information systems and a VPF operational fund. </w:t>
      </w:r>
    </w:p>
    <w:p w14:paraId="0B0BBEDD" w14:textId="77777777" w:rsidR="00F078E6" w:rsidRDefault="00F71A80" w:rsidP="00BB6C95">
      <w:pPr>
        <w:spacing w:line="240" w:lineRule="auto"/>
        <w:jc w:val="both"/>
      </w:pPr>
      <w:r w:rsidRPr="00F71A80">
        <w:t xml:space="preserve">Australia has provided support to the justice, policing and community sector in Vanuatu in various iterations since 2000. In 2014, the previously separate programs of police and justice support were combined in a two-year program managed by DFAT, which was the pre-cursor to </w:t>
      </w:r>
      <w:r w:rsidR="008051FA">
        <w:t>SRBJS</w:t>
      </w:r>
      <w:r w:rsidRPr="00F71A80">
        <w:t xml:space="preserve"> (the Policing and Justice Support Program Vanuatu, PJSPV 2014-2016). </w:t>
      </w:r>
      <w:r w:rsidR="008051FA">
        <w:t>SRBJS</w:t>
      </w:r>
      <w:r w:rsidRPr="00F71A80">
        <w:t xml:space="preserve"> is largely an extension of PJSPV, and has the same implementation modality and </w:t>
      </w:r>
      <w:r w:rsidR="000D6DFA">
        <w:t>M</w:t>
      </w:r>
      <w:r w:rsidRPr="00F71A80">
        <w:t xml:space="preserve">anaging </w:t>
      </w:r>
      <w:r w:rsidR="000D6DFA">
        <w:t>C</w:t>
      </w:r>
      <w:r w:rsidRPr="00F71A80">
        <w:t xml:space="preserve">ontractor. </w:t>
      </w:r>
    </w:p>
    <w:p w14:paraId="5CA5C926" w14:textId="77777777" w:rsidR="00E64617" w:rsidRDefault="000D396F" w:rsidP="005E3A1F">
      <w:pPr>
        <w:spacing w:line="240" w:lineRule="auto"/>
        <w:jc w:val="both"/>
      </w:pPr>
      <w:r w:rsidRPr="005E3A1F">
        <w:t xml:space="preserve">In 2018, the breakdown of Australian funding (DFAT allocations to </w:t>
      </w:r>
      <w:r w:rsidR="008051FA">
        <w:t>SRBJS</w:t>
      </w:r>
      <w:r w:rsidRPr="005E3A1F">
        <w:t xml:space="preserve"> and AFP combined) between the sectors was 57% police, 43% justice (compared with 54% police, 46% justice in 2017). 3.2% of budget was spent on M&amp;E (compared with 4.2% in 2017). Of the </w:t>
      </w:r>
      <w:r w:rsidR="00BD7DA6">
        <w:t>Government of Vanuatu (</w:t>
      </w:r>
      <w:proofErr w:type="spellStart"/>
      <w:r w:rsidRPr="005E3A1F">
        <w:t>GoV</w:t>
      </w:r>
      <w:proofErr w:type="spellEnd"/>
      <w:r w:rsidR="00BD7DA6">
        <w:t>)</w:t>
      </w:r>
      <w:r w:rsidRPr="005E3A1F">
        <w:t xml:space="preserve"> 2018 budget (total </w:t>
      </w:r>
      <w:r w:rsidR="001B5BFF">
        <w:t>VT</w:t>
      </w:r>
      <w:r w:rsidR="001B5BFF" w:rsidRPr="005E3A1F">
        <w:t xml:space="preserve"> </w:t>
      </w:r>
      <w:r w:rsidRPr="005E3A1F">
        <w:t>43 billion/AUD 530 million), the Vanuatu justice sector was allocated 4% and the police 2.5%.</w:t>
      </w:r>
      <w:r w:rsidR="00B1646A">
        <w:t xml:space="preserve"> </w:t>
      </w:r>
      <w:r w:rsidRPr="005E3A1F">
        <w:t xml:space="preserve">Australia’s investment in these sectors in 2018 in Vanuatu equates to 9% of </w:t>
      </w:r>
      <w:proofErr w:type="spellStart"/>
      <w:r w:rsidRPr="005E3A1F">
        <w:t>GoV</w:t>
      </w:r>
      <w:proofErr w:type="spellEnd"/>
      <w:r w:rsidRPr="005E3A1F">
        <w:t xml:space="preserve"> spending on justice and 21% of </w:t>
      </w:r>
      <w:proofErr w:type="spellStart"/>
      <w:r w:rsidRPr="005E3A1F">
        <w:t>GoV</w:t>
      </w:r>
      <w:proofErr w:type="spellEnd"/>
      <w:r w:rsidRPr="005E3A1F">
        <w:t xml:space="preserve"> spending on police.</w:t>
      </w:r>
    </w:p>
    <w:p w14:paraId="5F229EBB" w14:textId="77777777" w:rsidR="000D396F" w:rsidRPr="00E64617" w:rsidRDefault="00E64617" w:rsidP="00E64617">
      <w:r>
        <w:br w:type="page"/>
      </w:r>
    </w:p>
    <w:p w14:paraId="4E30434D" w14:textId="77777777" w:rsidR="00F078E6" w:rsidRPr="00F078E6" w:rsidRDefault="00F078E6" w:rsidP="00F579AE">
      <w:pPr>
        <w:pStyle w:val="SDANumberedheading2"/>
        <w:numPr>
          <w:ilvl w:val="1"/>
          <w:numId w:val="2"/>
        </w:numPr>
        <w:spacing w:before="200"/>
        <w:rPr>
          <w:color w:val="44546A" w:themeColor="text2"/>
        </w:rPr>
      </w:pPr>
      <w:bookmarkStart w:id="19" w:name="_Toc25591521"/>
      <w:bookmarkStart w:id="20" w:name="_Hlk19965585"/>
      <w:r w:rsidRPr="00F078E6">
        <w:rPr>
          <w:color w:val="44546A" w:themeColor="text2"/>
        </w:rPr>
        <w:t xml:space="preserve">Political economy </w:t>
      </w:r>
      <w:r w:rsidR="00F6702C">
        <w:rPr>
          <w:color w:val="44546A" w:themeColor="text2"/>
        </w:rPr>
        <w:t>c</w:t>
      </w:r>
      <w:r w:rsidRPr="00F078E6">
        <w:rPr>
          <w:color w:val="44546A" w:themeColor="text2"/>
        </w:rPr>
        <w:t>ontext</w:t>
      </w:r>
      <w:bookmarkEnd w:id="19"/>
    </w:p>
    <w:p w14:paraId="2C92B2DF" w14:textId="77777777" w:rsidR="000D168F" w:rsidRPr="00B9194D" w:rsidRDefault="000D168F" w:rsidP="000D168F">
      <w:pPr>
        <w:spacing w:line="240" w:lineRule="auto"/>
        <w:jc w:val="both"/>
        <w:rPr>
          <w:rFonts w:cstheme="minorHAnsi"/>
        </w:rPr>
      </w:pPr>
      <w:r w:rsidRPr="00F078E6">
        <w:t>The</w:t>
      </w:r>
      <w:r w:rsidR="00BD7DA6">
        <w:t xml:space="preserve"> </w:t>
      </w:r>
      <w:r w:rsidR="00E53220">
        <w:t>P</w:t>
      </w:r>
      <w:r w:rsidRPr="00F078E6">
        <w:t>rogram operates</w:t>
      </w:r>
      <w:r w:rsidR="00BD7DA6">
        <w:t xml:space="preserve"> in a </w:t>
      </w:r>
      <w:r w:rsidRPr="00F078E6">
        <w:t>changing</w:t>
      </w:r>
      <w:r w:rsidR="00BD7DA6">
        <w:t xml:space="preserve"> policy, economic and security context</w:t>
      </w:r>
      <w:r w:rsidRPr="00F078E6">
        <w:t xml:space="preserve">. Recent developments include </w:t>
      </w:r>
      <w:r>
        <w:t xml:space="preserve">changes in VPF </w:t>
      </w:r>
      <w:r w:rsidRPr="00F078E6">
        <w:t>leadership</w:t>
      </w:r>
      <w:r>
        <w:t xml:space="preserve">, </w:t>
      </w:r>
      <w:r w:rsidR="008D6C2B">
        <w:t>the l</w:t>
      </w:r>
      <w:r w:rsidRPr="00F078E6">
        <w:t xml:space="preserve">aunch </w:t>
      </w:r>
      <w:r w:rsidR="008D6C2B">
        <w:t xml:space="preserve">of the </w:t>
      </w:r>
      <w:proofErr w:type="spellStart"/>
      <w:r w:rsidR="008D6C2B">
        <w:t>GoV’s</w:t>
      </w:r>
      <w:proofErr w:type="spellEnd"/>
      <w:r w:rsidR="008D6C2B">
        <w:t xml:space="preserve"> </w:t>
      </w:r>
      <w:r w:rsidRPr="00F078E6">
        <w:t xml:space="preserve">first ever National Security Strategy, as well as continued implementation of the decentralisation agenda. </w:t>
      </w:r>
      <w:r>
        <w:t xml:space="preserve">Despite these developments, </w:t>
      </w:r>
      <w:r w:rsidR="008D6C2B">
        <w:t>the Program</w:t>
      </w:r>
      <w:r>
        <w:t xml:space="preserve"> remains closely aligned with the </w:t>
      </w:r>
      <w:proofErr w:type="spellStart"/>
      <w:r>
        <w:t>GoV’s</w:t>
      </w:r>
      <w:proofErr w:type="spellEnd"/>
      <w:r>
        <w:t xml:space="preserve"> law and justice reform agenda and priorities that it set out to support, as articulated i</w:t>
      </w:r>
      <w:r>
        <w:rPr>
          <w:rFonts w:cstheme="minorHAnsi"/>
        </w:rPr>
        <w:t>n the</w:t>
      </w:r>
      <w:r w:rsidRPr="00655256">
        <w:t xml:space="preserve"> </w:t>
      </w:r>
      <w:r w:rsidRPr="00655256">
        <w:rPr>
          <w:rFonts w:cstheme="minorHAnsi"/>
        </w:rPr>
        <w:t xml:space="preserve">Vanuatu 2030 </w:t>
      </w:r>
      <w:r w:rsidRPr="00393F6C">
        <w:t xml:space="preserve">National Sustainable Development Plan </w:t>
      </w:r>
      <w:r>
        <w:t xml:space="preserve">(NSDP) </w:t>
      </w:r>
      <w:r w:rsidRPr="00393F6C">
        <w:t>2016-2030</w:t>
      </w:r>
      <w:r>
        <w:t>, and</w:t>
      </w:r>
      <w:r>
        <w:rPr>
          <w:rFonts w:cstheme="minorHAnsi"/>
        </w:rPr>
        <w:t xml:space="preserve"> the </w:t>
      </w:r>
      <w:r w:rsidRPr="00391C78">
        <w:t xml:space="preserve">Justice and Community Services </w:t>
      </w:r>
      <w:r>
        <w:t>S</w:t>
      </w:r>
      <w:r w:rsidRPr="00391C78">
        <w:t>ector</w:t>
      </w:r>
      <w:r>
        <w:t xml:space="preserve"> Strategy.</w:t>
      </w:r>
    </w:p>
    <w:p w14:paraId="12E4DCF2" w14:textId="77777777" w:rsidR="000D168F" w:rsidRDefault="000D168F" w:rsidP="000D168F">
      <w:pPr>
        <w:spacing w:line="240" w:lineRule="auto"/>
        <w:jc w:val="both"/>
      </w:pPr>
      <w:r>
        <w:t xml:space="preserve">Announcements by both the </w:t>
      </w:r>
      <w:r w:rsidR="00BD7DA6">
        <w:t>Government of Australia (</w:t>
      </w:r>
      <w:proofErr w:type="spellStart"/>
      <w:r>
        <w:t>GoA</w:t>
      </w:r>
      <w:proofErr w:type="spellEnd"/>
      <w:r w:rsidR="00BD7DA6">
        <w:t>)</w:t>
      </w:r>
      <w:r>
        <w:t xml:space="preserve"> and </w:t>
      </w:r>
      <w:proofErr w:type="spellStart"/>
      <w:r>
        <w:t>GoV</w:t>
      </w:r>
      <w:proofErr w:type="spellEnd"/>
      <w:r>
        <w:t xml:space="preserve"> have resulted in a shift in priorities and resources within the Program. In accordance with the </w:t>
      </w:r>
      <w:proofErr w:type="spellStart"/>
      <w:r>
        <w:t>GoV’s</w:t>
      </w:r>
      <w:proofErr w:type="spellEnd"/>
      <w:r>
        <w:t xml:space="preserve"> </w:t>
      </w:r>
      <w:r w:rsidRPr="00F078E6">
        <w:t>decentralisation agenda</w:t>
      </w:r>
      <w:r>
        <w:t xml:space="preserve"> and </w:t>
      </w:r>
      <w:r w:rsidR="0072335D">
        <w:t xml:space="preserve">as outlined in </w:t>
      </w:r>
      <w:r>
        <w:t xml:space="preserve">the </w:t>
      </w:r>
      <w:r w:rsidR="002D7459">
        <w:t>NSDP</w:t>
      </w:r>
      <w:r>
        <w:t xml:space="preserve">, </w:t>
      </w:r>
      <w:r w:rsidR="00BD7DA6">
        <w:t xml:space="preserve">in 2018 </w:t>
      </w:r>
      <w:r>
        <w:t xml:space="preserve">the Minister </w:t>
      </w:r>
      <w:r w:rsidR="00080927">
        <w:t xml:space="preserve">of Internal </w:t>
      </w:r>
      <w:r w:rsidRPr="00691084">
        <w:t>Affairs announced plans to increase VPF operational capacity from 580 to 900 officers by 2020, in order to enable all Area Councils</w:t>
      </w:r>
      <w:r>
        <w:t xml:space="preserve"> to have police presence. </w:t>
      </w:r>
      <w:r w:rsidRPr="000C0DE5">
        <w:t xml:space="preserve">In November 2018, the </w:t>
      </w:r>
      <w:r w:rsidR="0072335D">
        <w:t xml:space="preserve">Prime Ministers of Australia and Vanuatu announced </w:t>
      </w:r>
      <w:r w:rsidR="00BD7DA6">
        <w:t xml:space="preserve">a package of </w:t>
      </w:r>
      <w:r w:rsidR="0072335D">
        <w:t>enhanced security cooperation between the two countries</w:t>
      </w:r>
      <w:r w:rsidR="000B2E8E">
        <w:rPr>
          <w:rStyle w:val="FootnoteReference"/>
        </w:rPr>
        <w:footnoteReference w:id="5"/>
      </w:r>
      <w:r w:rsidR="0072335D">
        <w:t>.</w:t>
      </w:r>
      <w:r w:rsidRPr="000C0DE5">
        <w:t xml:space="preserve"> </w:t>
      </w:r>
      <w:r w:rsidR="00171CCA">
        <w:t>This included additional</w:t>
      </w:r>
      <w:r w:rsidR="00171CCA" w:rsidRPr="000C0DE5">
        <w:t xml:space="preserve"> </w:t>
      </w:r>
      <w:r w:rsidRPr="000C0DE5">
        <w:t xml:space="preserve">support for </w:t>
      </w:r>
      <w:r w:rsidR="00171CCA">
        <w:t xml:space="preserve">the </w:t>
      </w:r>
      <w:r w:rsidRPr="000C0DE5">
        <w:t>VPF</w:t>
      </w:r>
      <w:r>
        <w:t xml:space="preserve"> including </w:t>
      </w:r>
      <w:r w:rsidRPr="000C0DE5">
        <w:t>DFAT funding for VPF recruitment and training of an additional 320 new officers over 2019-</w:t>
      </w:r>
      <w:r w:rsidR="00BA6D07">
        <w:t>20</w:t>
      </w:r>
      <w:r w:rsidRPr="000C0DE5">
        <w:t>20</w:t>
      </w:r>
      <w:r w:rsidR="00171CCA">
        <w:t xml:space="preserve"> and</w:t>
      </w:r>
      <w:r w:rsidRPr="000C0DE5">
        <w:t xml:space="preserve"> </w:t>
      </w:r>
      <w:r>
        <w:t>A</w:t>
      </w:r>
      <w:r w:rsidR="00F94228">
        <w:t>ustralian Defence Force (A</w:t>
      </w:r>
      <w:r>
        <w:t>DF</w:t>
      </w:r>
      <w:r w:rsidR="00F94228">
        <w:t>)</w:t>
      </w:r>
      <w:r w:rsidRPr="000C0DE5">
        <w:t xml:space="preserve"> investment in infrastructure upgrades and training for the Vanuatu Mobile Force (VMF)</w:t>
      </w:r>
      <w:r>
        <w:t>. While these developments have paved the way for new opportunities, they have also presented implications and risks for the Program which are discussed under Finding 3.</w:t>
      </w:r>
    </w:p>
    <w:p w14:paraId="70FCF1C6" w14:textId="77777777" w:rsidR="000D168F" w:rsidRDefault="00BD7DA6" w:rsidP="000D168F">
      <w:pPr>
        <w:spacing w:line="240" w:lineRule="auto"/>
        <w:jc w:val="both"/>
      </w:pPr>
      <w:r>
        <w:t>The changing security context in the</w:t>
      </w:r>
      <w:r w:rsidR="000D168F" w:rsidRPr="00C91F1D">
        <w:t xml:space="preserve"> Pacific region</w:t>
      </w:r>
      <w:r>
        <w:t xml:space="preserve"> </w:t>
      </w:r>
      <w:r w:rsidR="008D6C2B">
        <w:t>includes</w:t>
      </w:r>
      <w:r>
        <w:t xml:space="preserve"> increasing recogni</w:t>
      </w:r>
      <w:r w:rsidR="006A2BB7">
        <w:t>tion</w:t>
      </w:r>
      <w:r>
        <w:t xml:space="preserve"> of the challenges of climate change, transnational crime, illegal fishing, money laundering and human security threats</w:t>
      </w:r>
      <w:r w:rsidR="008D6C2B">
        <w:t>.  This has resulted in</w:t>
      </w:r>
      <w:r w:rsidR="001835B5" w:rsidRPr="00C91F1D">
        <w:t xml:space="preserve"> </w:t>
      </w:r>
      <w:r w:rsidR="000D168F" w:rsidRPr="00C91F1D">
        <w:t xml:space="preserve">more countries </w:t>
      </w:r>
      <w:r w:rsidR="00F32632">
        <w:t xml:space="preserve">and actors </w:t>
      </w:r>
      <w:r w:rsidR="000D168F" w:rsidRPr="00C91F1D">
        <w:t>seek</w:t>
      </w:r>
      <w:r w:rsidR="00E0623C">
        <w:t>ing</w:t>
      </w:r>
      <w:r w:rsidR="000D168F" w:rsidRPr="00C91F1D">
        <w:t xml:space="preserve"> to re-engage and increase support to the </w:t>
      </w:r>
      <w:r w:rsidR="00F32632">
        <w:t>police</w:t>
      </w:r>
      <w:r w:rsidR="00F32632" w:rsidRPr="00C91F1D">
        <w:t xml:space="preserve"> </w:t>
      </w:r>
      <w:r w:rsidR="000D168F" w:rsidRPr="00C91F1D">
        <w:t xml:space="preserve">and justice sector in Vanuatu. </w:t>
      </w:r>
      <w:r>
        <w:t>Alongside the Program,</w:t>
      </w:r>
      <w:r w:rsidR="000D168F" w:rsidRPr="00C91F1D">
        <w:t xml:space="preserve"> the Australian Defence Cooperation Program (DCP), </w:t>
      </w:r>
      <w:r>
        <w:t>has a</w:t>
      </w:r>
      <w:r w:rsidR="000D168F" w:rsidRPr="00C91F1D">
        <w:t xml:space="preserve"> program of support planned for the VPF in 2019-</w:t>
      </w:r>
      <w:r w:rsidR="00BA6D07">
        <w:t>20</w:t>
      </w:r>
      <w:r w:rsidR="000D168F" w:rsidRPr="00C91F1D">
        <w:t>21</w:t>
      </w:r>
      <w:r w:rsidR="008D6C2B">
        <w:t xml:space="preserve">.  Traditional partners </w:t>
      </w:r>
      <w:r w:rsidR="000D168F" w:rsidRPr="00C91F1D">
        <w:t>such as New Zealand are becoming more active</w:t>
      </w:r>
      <w:r w:rsidR="008D6C2B">
        <w:t xml:space="preserve"> and new partners such as China</w:t>
      </w:r>
      <w:r w:rsidR="00B55D78">
        <w:t>, Japan and the US</w:t>
      </w:r>
      <w:r w:rsidR="008D6C2B">
        <w:t xml:space="preserve"> </w:t>
      </w:r>
      <w:r w:rsidR="00E0623C">
        <w:t xml:space="preserve">are </w:t>
      </w:r>
      <w:r w:rsidR="008D6C2B">
        <w:t xml:space="preserve">increasing their engagement in </w:t>
      </w:r>
      <w:r w:rsidR="00B55D78">
        <w:t xml:space="preserve">the sector in </w:t>
      </w:r>
      <w:r w:rsidR="008D6C2B">
        <w:t>Vanuatu</w:t>
      </w:r>
      <w:r w:rsidR="000D168F" w:rsidRPr="00C91F1D">
        <w:t xml:space="preserve">. </w:t>
      </w:r>
      <w:r w:rsidR="008D6C2B">
        <w:t xml:space="preserve"> </w:t>
      </w:r>
    </w:p>
    <w:p w14:paraId="32D42C2C" w14:textId="77777777" w:rsidR="000D168F" w:rsidRDefault="000D168F" w:rsidP="000D168F">
      <w:pPr>
        <w:spacing w:line="240" w:lineRule="auto"/>
        <w:jc w:val="both"/>
      </w:pPr>
      <w:r>
        <w:t>There are a range of enabling and con</w:t>
      </w:r>
      <w:r w:rsidR="00F369EF">
        <w:t>s</w:t>
      </w:r>
      <w:r>
        <w:t>t</w:t>
      </w:r>
      <w:r w:rsidR="00F369EF">
        <w:t>r</w:t>
      </w:r>
      <w:r>
        <w:t xml:space="preserve">aining factors which impact on the operating environment and affect </w:t>
      </w:r>
      <w:r w:rsidR="008D6C2B">
        <w:t>the Program’s</w:t>
      </w:r>
      <w:r>
        <w:t xml:space="preserve"> focus and delivery approaches. For example, </w:t>
      </w:r>
      <w:r w:rsidR="000B2E8E">
        <w:t xml:space="preserve">many </w:t>
      </w:r>
      <w:r w:rsidR="00691084">
        <w:t>a</w:t>
      </w:r>
      <w:r>
        <w:t xml:space="preserve">gencies in the sector have insufficient personnel or funds to reach regional and remote areas of the country or to meet minimum service standards with current levels of central government support for personnel costs, infrastructure, transport and recurrent costs. </w:t>
      </w:r>
      <w:r w:rsidRPr="004A5781">
        <w:t>There are pockets of commitment to gender equality within the policing and justice institutions along with organisations</w:t>
      </w:r>
      <w:r w:rsidR="00B06890" w:rsidRPr="004A5781">
        <w:t xml:space="preserve"> </w:t>
      </w:r>
      <w:r w:rsidR="004A5781" w:rsidRPr="004A5781">
        <w:t xml:space="preserve">working to advance gender equality </w:t>
      </w:r>
      <w:r w:rsidR="007D4E7B" w:rsidRPr="004A5781">
        <w:t xml:space="preserve">with good capacity </w:t>
      </w:r>
      <w:r w:rsidR="00B06890" w:rsidRPr="004A5781">
        <w:t>such as the Vanuatu Women’s Centre (VWC)</w:t>
      </w:r>
      <w:r w:rsidRPr="004A5781">
        <w:t xml:space="preserve">. However, </w:t>
      </w:r>
      <w:r w:rsidRPr="0070659C">
        <w:t xml:space="preserve">policing and justice institutions generally do not resource or prioritise </w:t>
      </w:r>
      <w:r w:rsidR="00A87FBC">
        <w:t>Family and Sexual Violence (FSV)</w:t>
      </w:r>
      <w:r w:rsidR="00A87FBC" w:rsidRPr="0070659C">
        <w:t xml:space="preserve"> </w:t>
      </w:r>
      <w:r w:rsidRPr="0070659C">
        <w:t>response,</w:t>
      </w:r>
      <w:r w:rsidR="008A1BE7">
        <w:t xml:space="preserve"> despite national statistics indicating that over 60% of women have </w:t>
      </w:r>
      <w:r w:rsidR="008A1BE7" w:rsidRPr="009F7A47">
        <w:rPr>
          <w:rFonts w:cstheme="minorHAnsi"/>
          <w:color w:val="000000"/>
        </w:rPr>
        <w:t>experienced sexual or physical violence at the hands of male partners or husbands.</w:t>
      </w:r>
      <w:r w:rsidR="008A1BE7" w:rsidRPr="009F7A47">
        <w:rPr>
          <w:rStyle w:val="FootnoteReference"/>
          <w:rFonts w:cstheme="minorHAnsi"/>
          <w:color w:val="000000"/>
        </w:rPr>
        <w:footnoteReference w:id="6"/>
      </w:r>
      <w:r w:rsidR="00B1646A">
        <w:rPr>
          <w:rFonts w:cstheme="minorHAnsi"/>
          <w:color w:val="000000"/>
        </w:rPr>
        <w:t xml:space="preserve"> </w:t>
      </w:r>
    </w:p>
    <w:p w14:paraId="10AF558D" w14:textId="77777777" w:rsidR="000D168F" w:rsidRDefault="000D168F" w:rsidP="000D168F">
      <w:pPr>
        <w:spacing w:line="240" w:lineRule="auto"/>
        <w:jc w:val="both"/>
      </w:pPr>
      <w:r w:rsidRPr="00C02114">
        <w:t>The Vanuatu policing context</w:t>
      </w:r>
      <w:r>
        <w:t xml:space="preserve"> is constrained by challenges associated with</w:t>
      </w:r>
      <w:r w:rsidRPr="001A5F1D">
        <w:t>: middle and executive leadership</w:t>
      </w:r>
      <w:r>
        <w:t xml:space="preserve">; </w:t>
      </w:r>
      <w:r w:rsidRPr="001A5F1D">
        <w:t>having an inadequate operational budget</w:t>
      </w:r>
      <w:r>
        <w:t xml:space="preserve"> which is further eroded by compensation claims for misconduct;</w:t>
      </w:r>
      <w:r w:rsidRPr="001A5F1D">
        <w:t xml:space="preserve"> poor mobility, </w:t>
      </w:r>
      <w:r>
        <w:t xml:space="preserve">capacity and </w:t>
      </w:r>
      <w:r w:rsidRPr="001A5F1D">
        <w:t>insufficient infrastructure to support government policies</w:t>
      </w:r>
      <w:r>
        <w:t>;</w:t>
      </w:r>
      <w:r w:rsidRPr="001A5F1D">
        <w:t xml:space="preserve"> </w:t>
      </w:r>
      <w:r>
        <w:t>leave and training policy entitlements</w:t>
      </w:r>
      <w:r w:rsidR="004A5781">
        <w:t xml:space="preserve"> that apply across the public service that</w:t>
      </w:r>
      <w:r>
        <w:t xml:space="preserve"> tak</w:t>
      </w:r>
      <w:r w:rsidR="004A5781">
        <w:t>e</w:t>
      </w:r>
      <w:r>
        <w:t xml:space="preserve"> officers out of the workplace for</w:t>
      </w:r>
      <w:r w:rsidR="008D6C2B">
        <w:t xml:space="preserve"> up to</w:t>
      </w:r>
      <w:r>
        <w:t xml:space="preserve"> three months a year; </w:t>
      </w:r>
      <w:r w:rsidRPr="001A5F1D">
        <w:t>and weak communication platforms.</w:t>
      </w:r>
      <w:r>
        <w:t xml:space="preserve"> Enabling factors include: an active </w:t>
      </w:r>
      <w:r w:rsidRPr="004277CC">
        <w:t>Women’s Advisory Network (WAN), good planning capacity, and a cadre</w:t>
      </w:r>
      <w:r>
        <w:t xml:space="preserve"> </w:t>
      </w:r>
      <w:r w:rsidR="00AA1BE0">
        <w:t xml:space="preserve">of </w:t>
      </w:r>
      <w:r>
        <w:t>engaged</w:t>
      </w:r>
      <w:r w:rsidRPr="004277CC">
        <w:t xml:space="preserve"> </w:t>
      </w:r>
      <w:r>
        <w:t>office</w:t>
      </w:r>
      <w:r w:rsidR="00AA1BE0">
        <w:t>r</w:t>
      </w:r>
      <w:r>
        <w:t xml:space="preserve">s </w:t>
      </w:r>
      <w:r w:rsidRPr="004277CC">
        <w:t>motivated</w:t>
      </w:r>
      <w:r>
        <w:t xml:space="preserve"> to seize capacity development opportunities.</w:t>
      </w:r>
      <w:r w:rsidR="00B1646A">
        <w:t xml:space="preserve"> </w:t>
      </w:r>
    </w:p>
    <w:p w14:paraId="3171B33A" w14:textId="77777777" w:rsidR="000D168F" w:rsidRDefault="000D168F" w:rsidP="000D168F">
      <w:pPr>
        <w:spacing w:line="240" w:lineRule="auto"/>
        <w:jc w:val="both"/>
      </w:pPr>
      <w:r w:rsidRPr="00C02114">
        <w:t xml:space="preserve">The Vanuatu </w:t>
      </w:r>
      <w:r>
        <w:t>justice</w:t>
      </w:r>
      <w:r w:rsidRPr="00C02114">
        <w:t xml:space="preserve"> context</w:t>
      </w:r>
      <w:r>
        <w:t xml:space="preserve"> is constrained by challenges associated with</w:t>
      </w:r>
      <w:r w:rsidRPr="001A5F1D">
        <w:t xml:space="preserve">: </w:t>
      </w:r>
      <w:r>
        <w:t xml:space="preserve">lack of sustainable operational budget; the composition of multiple agencies </w:t>
      </w:r>
      <w:r w:rsidRPr="00C02114">
        <w:t>with different constitutional and statutory bases and different reporting lines</w:t>
      </w:r>
      <w:r>
        <w:t xml:space="preserve">; and insufficient operational funds for the </w:t>
      </w:r>
      <w:r w:rsidRPr="00C02114">
        <w:t xml:space="preserve">Magistrates’ Court, </w:t>
      </w:r>
      <w:r w:rsidR="00251454">
        <w:t>State Law Office (</w:t>
      </w:r>
      <w:r w:rsidRPr="00C02114">
        <w:t>SLO</w:t>
      </w:r>
      <w:r w:rsidR="00251454">
        <w:t>)</w:t>
      </w:r>
      <w:r w:rsidRPr="00C02114">
        <w:t xml:space="preserve"> legislative function</w:t>
      </w:r>
      <w:r>
        <w:t xml:space="preserve"> and </w:t>
      </w:r>
      <w:r w:rsidR="00C27CC6">
        <w:t>Law Reform Commission (</w:t>
      </w:r>
      <w:r w:rsidRPr="00C02114">
        <w:t>LRC</w:t>
      </w:r>
      <w:r w:rsidR="00C27CC6">
        <w:t>)</w:t>
      </w:r>
      <w:r w:rsidRPr="00C02114">
        <w:t>.</w:t>
      </w:r>
      <w:r>
        <w:t xml:space="preserve"> Enabling factors include: a justice sector </w:t>
      </w:r>
      <w:r w:rsidRPr="006667CD">
        <w:t xml:space="preserve">hub for </w:t>
      </w:r>
      <w:r w:rsidR="005578EE">
        <w:t>Human Resources (</w:t>
      </w:r>
      <w:r w:rsidRPr="006667CD">
        <w:t>HR</w:t>
      </w:r>
      <w:r w:rsidR="005578EE">
        <w:t>)</w:t>
      </w:r>
      <w:r w:rsidRPr="006667CD">
        <w:t xml:space="preserve"> and finance functions which also taps into central agencies; </w:t>
      </w:r>
      <w:r>
        <w:t xml:space="preserve">and a </w:t>
      </w:r>
      <w:r w:rsidRPr="006667CD">
        <w:t xml:space="preserve">high level of capacity in the justice agencies, particularly the </w:t>
      </w:r>
      <w:r w:rsidR="00C27CC6">
        <w:t>Office of the Public Prosecutor (</w:t>
      </w:r>
      <w:r w:rsidRPr="006667CD">
        <w:t>OPP</w:t>
      </w:r>
      <w:r w:rsidR="00C27CC6">
        <w:t>)</w:t>
      </w:r>
      <w:r w:rsidRPr="006667CD">
        <w:t xml:space="preserve"> and </w:t>
      </w:r>
      <w:r w:rsidR="00C27CC6">
        <w:t>Public Solicitor’s Office (</w:t>
      </w:r>
      <w:r w:rsidRPr="006667CD">
        <w:t>PSO</w:t>
      </w:r>
      <w:r w:rsidR="00C27CC6">
        <w:t>)</w:t>
      </w:r>
      <w:r w:rsidRPr="006667CD">
        <w:t xml:space="preserve"> wh</w:t>
      </w:r>
      <w:r w:rsidR="00CA36FE">
        <w:t>ich</w:t>
      </w:r>
      <w:r w:rsidRPr="006667CD">
        <w:t xml:space="preserve"> work cross-</w:t>
      </w:r>
      <w:proofErr w:type="spellStart"/>
      <w:r w:rsidRPr="006667CD">
        <w:t>sectorally</w:t>
      </w:r>
      <w:proofErr w:type="spellEnd"/>
      <w:r w:rsidRPr="006667CD">
        <w:t xml:space="preserve"> with other agencies such as the </w:t>
      </w:r>
      <w:r w:rsidR="00251454">
        <w:t>State Prosecutions Department (</w:t>
      </w:r>
      <w:r w:rsidRPr="006667CD">
        <w:t>SPD</w:t>
      </w:r>
      <w:r w:rsidR="00251454">
        <w:t>)</w:t>
      </w:r>
      <w:r w:rsidRPr="006667CD">
        <w:t xml:space="preserve"> and </w:t>
      </w:r>
      <w:r w:rsidR="00F533A9">
        <w:t xml:space="preserve">the </w:t>
      </w:r>
      <w:r w:rsidRPr="006667CD">
        <w:t>VPF</w:t>
      </w:r>
      <w:r w:rsidR="00F533A9">
        <w:t>,</w:t>
      </w:r>
      <w:r w:rsidRPr="006667CD">
        <w:t xml:space="preserve"> </w:t>
      </w:r>
      <w:r w:rsidR="00F533A9">
        <w:t xml:space="preserve">including </w:t>
      </w:r>
      <w:r w:rsidRPr="006667CD">
        <w:t xml:space="preserve">through the </w:t>
      </w:r>
      <w:r w:rsidR="00C27CC6">
        <w:t>Joint Adviser Meetings (</w:t>
      </w:r>
      <w:r w:rsidRPr="006667CD">
        <w:t>JAM</w:t>
      </w:r>
      <w:r w:rsidR="00C27CC6">
        <w:t>)</w:t>
      </w:r>
      <w:r>
        <w:t>.</w:t>
      </w:r>
    </w:p>
    <w:p w14:paraId="71F589F7" w14:textId="77777777" w:rsidR="000D168F" w:rsidRPr="000D168F" w:rsidRDefault="000D168F" w:rsidP="00BB6C95">
      <w:pPr>
        <w:spacing w:line="240" w:lineRule="auto"/>
        <w:jc w:val="both"/>
      </w:pPr>
      <w:bookmarkStart w:id="22" w:name="_Hlk20344140"/>
      <w:r>
        <w:t>Vanuatu’s informal customary system is the bedrock of Vanuatu’s justice system, and remains the system in which 80 percent of Ni-Vanuatu access and experience justice</w:t>
      </w:r>
      <w:r w:rsidR="00E64617">
        <w:rPr>
          <w:rStyle w:val="FootnoteReference"/>
        </w:rPr>
        <w:footnoteReference w:id="7"/>
      </w:r>
      <w:r>
        <w:t xml:space="preserve">. The customary justice system is </w:t>
      </w:r>
      <w:r>
        <w:rPr>
          <w:rStyle w:val="e24kjd"/>
        </w:rPr>
        <w:t>accessible through “</w:t>
      </w:r>
      <w:proofErr w:type="spellStart"/>
      <w:r>
        <w:rPr>
          <w:rStyle w:val="e24kjd"/>
        </w:rPr>
        <w:t>kastom</w:t>
      </w:r>
      <w:proofErr w:type="spellEnd"/>
      <w:r>
        <w:rPr>
          <w:rStyle w:val="e24kjd"/>
        </w:rPr>
        <w:t xml:space="preserve">” chiefs who </w:t>
      </w:r>
      <w:r>
        <w:t xml:space="preserve">adjudicate and hold courts within their communities. </w:t>
      </w:r>
      <w:r w:rsidR="00E71C94" w:rsidRPr="009F7A47">
        <w:t>Rural women</w:t>
      </w:r>
      <w:r w:rsidR="00E71C94">
        <w:t xml:space="preserve"> reportedly</w:t>
      </w:r>
      <w:r w:rsidR="00E71C94" w:rsidRPr="009F7A47">
        <w:t xml:space="preserve"> experience more of every type of violence than urban women in Vanuatu</w:t>
      </w:r>
      <w:r w:rsidR="00E71C94">
        <w:rPr>
          <w:rStyle w:val="FootnoteReference"/>
        </w:rPr>
        <w:footnoteReference w:id="8"/>
      </w:r>
      <w:r w:rsidR="00E71C94" w:rsidRPr="009F7A47">
        <w:t xml:space="preserve">. </w:t>
      </w:r>
      <w:r>
        <w:t>The decentralisation agenda and Family Protection Act (FPA)</w:t>
      </w:r>
      <w:r>
        <w:rPr>
          <w:rStyle w:val="FootnoteReference"/>
        </w:rPr>
        <w:footnoteReference w:id="9"/>
      </w:r>
      <w:r>
        <w:t xml:space="preserve"> signal the </w:t>
      </w:r>
      <w:proofErr w:type="spellStart"/>
      <w:r>
        <w:t>GoV’s</w:t>
      </w:r>
      <w:proofErr w:type="spellEnd"/>
      <w:r>
        <w:t xml:space="preserve"> commitment to extend and strengthen links in </w:t>
      </w:r>
      <w:r w:rsidR="00792176">
        <w:t xml:space="preserve">the </w:t>
      </w:r>
      <w:r>
        <w:t xml:space="preserve">formal justice system with activities on the ground. However, Section 6 of the FPA which relates to the establishment of </w:t>
      </w:r>
      <w:r w:rsidR="00C27CC6">
        <w:t>Authorised Person/Registered Counsellor</w:t>
      </w:r>
      <w:r w:rsidR="007D4E7B">
        <w:t xml:space="preserve"> (AP/RC) </w:t>
      </w:r>
      <w:r>
        <w:t>has remained unf</w:t>
      </w:r>
      <w:r w:rsidR="00792176">
        <w:t>ulf</w:t>
      </w:r>
      <w:r>
        <w:t xml:space="preserve">illed for almost </w:t>
      </w:r>
      <w:r w:rsidR="00792176">
        <w:t xml:space="preserve">a </w:t>
      </w:r>
      <w:r>
        <w:t xml:space="preserve">decade, until the inception of </w:t>
      </w:r>
      <w:r w:rsidR="008051FA">
        <w:t>SRBJS</w:t>
      </w:r>
      <w:r>
        <w:t>’s AP-R</w:t>
      </w:r>
      <w:r w:rsidR="007D4E7B">
        <w:t>C</w:t>
      </w:r>
      <w:r>
        <w:t xml:space="preserve"> Pilot Project. This is a major success of the </w:t>
      </w:r>
      <w:r w:rsidR="00E53220">
        <w:t>P</w:t>
      </w:r>
      <w:r>
        <w:t xml:space="preserve">rogram and is discussed in Finding </w:t>
      </w:r>
      <w:r w:rsidR="0046486D">
        <w:t>5</w:t>
      </w:r>
      <w:r>
        <w:t>.</w:t>
      </w:r>
    </w:p>
    <w:p w14:paraId="73BAB706" w14:textId="77777777" w:rsidR="005B4E54" w:rsidRDefault="00757ED0" w:rsidP="00F579AE">
      <w:pPr>
        <w:pStyle w:val="SDANumberedheading2"/>
        <w:numPr>
          <w:ilvl w:val="1"/>
          <w:numId w:val="2"/>
        </w:numPr>
        <w:spacing w:before="200"/>
        <w:rPr>
          <w:color w:val="44546A" w:themeColor="text2"/>
        </w:rPr>
      </w:pPr>
      <w:bookmarkStart w:id="23" w:name="_Toc25591522"/>
      <w:bookmarkEnd w:id="20"/>
      <w:bookmarkEnd w:id="22"/>
      <w:r>
        <w:rPr>
          <w:color w:val="44546A" w:themeColor="text2"/>
        </w:rPr>
        <w:t>Scope</w:t>
      </w:r>
      <w:r w:rsidR="005B4E54" w:rsidRPr="005B4E54">
        <w:rPr>
          <w:color w:val="44546A" w:themeColor="text2"/>
        </w:rPr>
        <w:t xml:space="preserve"> </w:t>
      </w:r>
      <w:r w:rsidR="00D57B18">
        <w:rPr>
          <w:color w:val="44546A" w:themeColor="text2"/>
        </w:rPr>
        <w:t xml:space="preserve">and methodology of </w:t>
      </w:r>
      <w:r w:rsidR="005B4E54" w:rsidRPr="005B4E54">
        <w:rPr>
          <w:color w:val="44546A" w:themeColor="text2"/>
        </w:rPr>
        <w:t>the evaluation</w:t>
      </w:r>
      <w:bookmarkEnd w:id="23"/>
    </w:p>
    <w:p w14:paraId="5D0C4967" w14:textId="77777777" w:rsidR="006B1821" w:rsidRPr="002162D2" w:rsidRDefault="007B24C5" w:rsidP="00757ED0">
      <w:pPr>
        <w:spacing w:line="240" w:lineRule="auto"/>
        <w:jc w:val="both"/>
      </w:pPr>
      <w:r w:rsidRPr="00693EC7">
        <w:t>The purpose of the evaluation</w:t>
      </w:r>
      <w:r w:rsidR="007E61F8">
        <w:t xml:space="preserve"> is</w:t>
      </w:r>
      <w:r w:rsidRPr="00693EC7">
        <w:t xml:space="preserve"> </w:t>
      </w:r>
      <w:r w:rsidR="007E61F8">
        <w:t xml:space="preserve">both accountability and </w:t>
      </w:r>
      <w:r w:rsidR="00757ED0">
        <w:t>management</w:t>
      </w:r>
      <w:r w:rsidR="007E61F8">
        <w:t xml:space="preserve"> decision making. </w:t>
      </w:r>
      <w:r w:rsidR="00757ED0">
        <w:t xml:space="preserve">For accountability purposes, the evaluation looks back to assess past performance drawing on internal DFAT quality standards, with the audience being the Australian Government and the public.   For decision making, the evaluation </w:t>
      </w:r>
      <w:bookmarkStart w:id="24" w:name="_Hlk534202346"/>
      <w:r w:rsidR="00757ED0">
        <w:t>was</w:t>
      </w:r>
      <w:r w:rsidR="002B6508">
        <w:t xml:space="preserve"> undertaken to </w:t>
      </w:r>
      <w:r w:rsidR="00757ED0">
        <w:t xml:space="preserve">inform future decisions on whether or not Australia should make ongoing investments in this sector, and consider </w:t>
      </w:r>
      <w:r w:rsidR="00BB6FAB">
        <w:t>what changes or improvements could be made to program delivery</w:t>
      </w:r>
      <w:r w:rsidR="00757ED0">
        <w:t xml:space="preserve">. </w:t>
      </w:r>
      <w:r w:rsidR="002B6508">
        <w:t>The audience</w:t>
      </w:r>
      <w:r w:rsidR="002B6508" w:rsidRPr="002162D2">
        <w:t xml:space="preserve"> for th</w:t>
      </w:r>
      <w:r w:rsidR="00757ED0">
        <w:t>is aspect of the</w:t>
      </w:r>
      <w:r w:rsidR="002B6508" w:rsidRPr="002162D2">
        <w:t xml:space="preserve"> evaluation is senior decision makers in the Australian Government (DFAT and AFP)</w:t>
      </w:r>
      <w:r w:rsidR="00757ED0">
        <w:t xml:space="preserve">, </w:t>
      </w:r>
      <w:proofErr w:type="spellStart"/>
      <w:r w:rsidR="00757ED0">
        <w:t>GoV</w:t>
      </w:r>
      <w:proofErr w:type="spellEnd"/>
      <w:r w:rsidR="00757ED0">
        <w:t xml:space="preserve"> officials,</w:t>
      </w:r>
      <w:r w:rsidR="003C0419" w:rsidRPr="002162D2">
        <w:t xml:space="preserve"> </w:t>
      </w:r>
      <w:r w:rsidR="00757ED0">
        <w:t>and other local stakeholders</w:t>
      </w:r>
      <w:r w:rsidR="002B6508" w:rsidRPr="002162D2">
        <w:t>.</w:t>
      </w:r>
      <w:bookmarkEnd w:id="24"/>
    </w:p>
    <w:p w14:paraId="3B68E7BC" w14:textId="77777777" w:rsidR="007E61F8" w:rsidRPr="00393F6C" w:rsidRDefault="007E61F8" w:rsidP="007E61F8">
      <w:pPr>
        <w:tabs>
          <w:tab w:val="left" w:pos="851"/>
        </w:tabs>
        <w:spacing w:after="0" w:line="240" w:lineRule="auto"/>
        <w:ind w:right="-46"/>
        <w:jc w:val="both"/>
        <w:rPr>
          <w:rFonts w:eastAsia="Times New Roman" w:cstheme="minorHAnsi"/>
          <w:b/>
          <w:bCs/>
          <w:sz w:val="24"/>
          <w:szCs w:val="24"/>
          <w:lang w:eastAsia="en-AU"/>
        </w:rPr>
      </w:pPr>
      <w:r w:rsidRPr="00393F6C">
        <w:rPr>
          <w:rFonts w:eastAsia="Times New Roman" w:cstheme="minorHAnsi"/>
          <w:b/>
          <w:bCs/>
          <w:color w:val="44546A" w:themeColor="text2"/>
          <w:sz w:val="24"/>
          <w:szCs w:val="24"/>
          <w:lang w:eastAsia="en-AU"/>
        </w:rPr>
        <w:t>Evaluation questions and sub-questions</w:t>
      </w:r>
    </w:p>
    <w:p w14:paraId="428EDFAE" w14:textId="77777777" w:rsidR="007E61F8" w:rsidRDefault="007E61F8" w:rsidP="007E61F8">
      <w:pPr>
        <w:spacing w:after="120" w:line="240" w:lineRule="auto"/>
        <w:jc w:val="both"/>
        <w:rPr>
          <w:rFonts w:ascii="Calibri" w:eastAsia="Calibri" w:hAnsi="Calibri" w:cs="Arial"/>
          <w:bCs/>
          <w:szCs w:val="20"/>
        </w:rPr>
      </w:pPr>
      <w:r w:rsidRPr="00393F6C">
        <w:rPr>
          <w:rFonts w:ascii="Calibri" w:eastAsia="Calibri" w:hAnsi="Calibri" w:cs="Arial"/>
          <w:bCs/>
          <w:szCs w:val="20"/>
        </w:rPr>
        <w:t>The terms of reference drafted by DFAT and the AFP provided three key evaluation questions, and a set of guiding questions. Th</w:t>
      </w:r>
      <w:r>
        <w:rPr>
          <w:rFonts w:ascii="Calibri" w:eastAsia="Calibri" w:hAnsi="Calibri" w:cs="Arial"/>
          <w:bCs/>
          <w:szCs w:val="20"/>
        </w:rPr>
        <w:t xml:space="preserve">ese </w:t>
      </w:r>
      <w:r w:rsidRPr="00393F6C">
        <w:rPr>
          <w:rFonts w:ascii="Calibri" w:eastAsia="Calibri" w:hAnsi="Calibri" w:cs="Arial"/>
          <w:bCs/>
          <w:szCs w:val="20"/>
        </w:rPr>
        <w:t xml:space="preserve">were </w:t>
      </w:r>
      <w:r>
        <w:rPr>
          <w:rFonts w:ascii="Calibri" w:eastAsia="Calibri" w:hAnsi="Calibri" w:cs="Arial"/>
          <w:bCs/>
          <w:szCs w:val="20"/>
        </w:rPr>
        <w:t>reviewed</w:t>
      </w:r>
      <w:r w:rsidRPr="00393F6C">
        <w:rPr>
          <w:rFonts w:ascii="Calibri" w:eastAsia="Calibri" w:hAnsi="Calibri" w:cs="Arial"/>
          <w:bCs/>
          <w:szCs w:val="20"/>
        </w:rPr>
        <w:t xml:space="preserve"> and </w:t>
      </w:r>
      <w:r w:rsidR="00D57B18">
        <w:rPr>
          <w:rFonts w:ascii="Calibri" w:eastAsia="Calibri" w:hAnsi="Calibri" w:cs="Arial"/>
          <w:bCs/>
          <w:szCs w:val="20"/>
        </w:rPr>
        <w:t>developed</w:t>
      </w:r>
      <w:r w:rsidRPr="00393F6C">
        <w:rPr>
          <w:rFonts w:ascii="Calibri" w:eastAsia="Calibri" w:hAnsi="Calibri" w:cs="Arial"/>
          <w:bCs/>
          <w:szCs w:val="20"/>
        </w:rPr>
        <w:t xml:space="preserve"> by the evaluat</w:t>
      </w:r>
      <w:r w:rsidR="00D57B18">
        <w:rPr>
          <w:rFonts w:ascii="Calibri" w:eastAsia="Calibri" w:hAnsi="Calibri" w:cs="Arial"/>
          <w:bCs/>
          <w:szCs w:val="20"/>
        </w:rPr>
        <w:t>ion team</w:t>
      </w:r>
      <w:r w:rsidRPr="00393F6C">
        <w:rPr>
          <w:rFonts w:ascii="Calibri" w:eastAsia="Calibri" w:hAnsi="Calibri" w:cs="Arial"/>
          <w:bCs/>
          <w:szCs w:val="20"/>
        </w:rPr>
        <w:t xml:space="preserve"> in evaluation planning</w:t>
      </w:r>
      <w:r>
        <w:rPr>
          <w:rFonts w:ascii="Calibri" w:eastAsia="Calibri" w:hAnsi="Calibri" w:cs="Arial"/>
          <w:bCs/>
          <w:szCs w:val="20"/>
        </w:rPr>
        <w:t>, and</w:t>
      </w:r>
      <w:r w:rsidR="00D57B18">
        <w:rPr>
          <w:rFonts w:ascii="Calibri" w:eastAsia="Calibri" w:hAnsi="Calibri" w:cs="Arial"/>
          <w:bCs/>
          <w:szCs w:val="20"/>
        </w:rPr>
        <w:t xml:space="preserve"> subsequently</w:t>
      </w:r>
      <w:r>
        <w:rPr>
          <w:rFonts w:ascii="Calibri" w:eastAsia="Calibri" w:hAnsi="Calibri" w:cs="Arial"/>
          <w:bCs/>
          <w:szCs w:val="20"/>
        </w:rPr>
        <w:t xml:space="preserve"> re-framed as four Key Evaluation Questions </w:t>
      </w:r>
      <w:r w:rsidR="00D57B18">
        <w:rPr>
          <w:rFonts w:ascii="Calibri" w:eastAsia="Calibri" w:hAnsi="Calibri" w:cs="Arial"/>
          <w:bCs/>
          <w:szCs w:val="20"/>
        </w:rPr>
        <w:t xml:space="preserve">(KEQs) </w:t>
      </w:r>
      <w:r>
        <w:rPr>
          <w:rFonts w:ascii="Calibri" w:eastAsia="Calibri" w:hAnsi="Calibri" w:cs="Arial"/>
          <w:bCs/>
          <w:szCs w:val="20"/>
        </w:rPr>
        <w:t>with guiding questions for investigation</w:t>
      </w:r>
      <w:r w:rsidR="00D57B18">
        <w:rPr>
          <w:rFonts w:ascii="Calibri" w:eastAsia="Calibri" w:hAnsi="Calibri" w:cs="Arial"/>
          <w:bCs/>
          <w:szCs w:val="20"/>
        </w:rPr>
        <w:t xml:space="preserve"> (see Annex 5.3):</w:t>
      </w:r>
      <w:r>
        <w:rPr>
          <w:rFonts w:ascii="Calibri" w:eastAsia="Calibri" w:hAnsi="Calibri" w:cs="Arial"/>
          <w:bCs/>
          <w:szCs w:val="20"/>
        </w:rPr>
        <w:t xml:space="preserve"> </w:t>
      </w:r>
    </w:p>
    <w:p w14:paraId="7E27DB84" w14:textId="77777777" w:rsidR="007E61F8" w:rsidRPr="007E61F8" w:rsidRDefault="007E61F8" w:rsidP="00757ED0">
      <w:pPr>
        <w:spacing w:after="120"/>
        <w:ind w:left="720"/>
        <w:rPr>
          <w:bCs/>
          <w:i/>
          <w:iCs/>
        </w:rPr>
      </w:pPr>
      <w:r w:rsidRPr="007E61F8">
        <w:rPr>
          <w:bCs/>
          <w:i/>
          <w:iCs/>
        </w:rPr>
        <w:t>Q 1: To what extent has VAPJP generated outcomes that are significant and relevant to the needs and priorities of Vanuatu stakeholders (government, institution and community)?</w:t>
      </w:r>
    </w:p>
    <w:p w14:paraId="5A1D57D4" w14:textId="77777777" w:rsidR="007E61F8" w:rsidRPr="007E61F8" w:rsidRDefault="007E61F8" w:rsidP="00757ED0">
      <w:pPr>
        <w:spacing w:after="120"/>
        <w:ind w:left="720"/>
        <w:rPr>
          <w:bCs/>
          <w:i/>
          <w:iCs/>
        </w:rPr>
      </w:pPr>
      <w:r w:rsidRPr="007E61F8">
        <w:rPr>
          <w:bCs/>
          <w:i/>
          <w:iCs/>
        </w:rPr>
        <w:t>Q 2: How effective is the design and delivery of the VAPJP - what has and has not worked well?</w:t>
      </w:r>
    </w:p>
    <w:p w14:paraId="32BF4A0A" w14:textId="77777777" w:rsidR="007E61F8" w:rsidRPr="007E61F8" w:rsidRDefault="007E61F8" w:rsidP="00757ED0">
      <w:pPr>
        <w:spacing w:after="120"/>
        <w:ind w:left="720"/>
        <w:rPr>
          <w:bCs/>
          <w:i/>
          <w:iCs/>
        </w:rPr>
      </w:pPr>
      <w:r w:rsidRPr="007E61F8">
        <w:rPr>
          <w:bCs/>
          <w:i/>
          <w:iCs/>
        </w:rPr>
        <w:t>Q 3: How optimally are the program’s partnerships, modality and resource allocations functioning and contributing to program outcomes - what has and has not worked well?</w:t>
      </w:r>
    </w:p>
    <w:p w14:paraId="6F883C4B" w14:textId="77777777" w:rsidR="007E61F8" w:rsidRPr="007E61F8" w:rsidRDefault="007E61F8" w:rsidP="00757ED0">
      <w:pPr>
        <w:spacing w:after="120"/>
        <w:ind w:left="720"/>
        <w:rPr>
          <w:bCs/>
          <w:i/>
          <w:iCs/>
        </w:rPr>
      </w:pPr>
      <w:r w:rsidRPr="007E61F8">
        <w:rPr>
          <w:bCs/>
          <w:i/>
          <w:iCs/>
        </w:rPr>
        <w:t xml:space="preserve">Q 4: What opportunities are there for Australia to effectively and efficiently contribute to the Vanuatu policing and justice sector going forward? </w:t>
      </w:r>
    </w:p>
    <w:p w14:paraId="587E0135" w14:textId="77777777" w:rsidR="007E61F8" w:rsidRDefault="007E61F8" w:rsidP="007E61F8">
      <w:pPr>
        <w:spacing w:after="120" w:line="240" w:lineRule="auto"/>
        <w:jc w:val="both"/>
        <w:rPr>
          <w:rFonts w:ascii="Calibri" w:eastAsia="Calibri" w:hAnsi="Calibri" w:cs="Arial"/>
          <w:bCs/>
          <w:szCs w:val="20"/>
        </w:rPr>
      </w:pPr>
    </w:p>
    <w:p w14:paraId="750120BF" w14:textId="77777777" w:rsidR="007E61F8" w:rsidRDefault="007E61F8" w:rsidP="007E61F8">
      <w:pPr>
        <w:spacing w:after="120" w:line="240" w:lineRule="auto"/>
        <w:jc w:val="both"/>
        <w:rPr>
          <w:rFonts w:ascii="Calibri" w:eastAsia="Calibri" w:hAnsi="Calibri" w:cs="Arial"/>
          <w:bCs/>
          <w:szCs w:val="20"/>
        </w:rPr>
      </w:pPr>
    </w:p>
    <w:p w14:paraId="47523F10" w14:textId="77777777" w:rsidR="007E61F8" w:rsidRDefault="007E61F8" w:rsidP="007E61F8">
      <w:pPr>
        <w:spacing w:after="120" w:line="240" w:lineRule="auto"/>
        <w:jc w:val="both"/>
        <w:rPr>
          <w:rFonts w:ascii="Calibri" w:eastAsia="Calibri" w:hAnsi="Calibri" w:cs="Arial"/>
          <w:bCs/>
          <w:szCs w:val="20"/>
        </w:rPr>
      </w:pPr>
      <w:r>
        <w:rPr>
          <w:rFonts w:ascii="Calibri" w:eastAsia="Calibri" w:hAnsi="Calibri" w:cs="Arial"/>
          <w:bCs/>
          <w:szCs w:val="20"/>
        </w:rPr>
        <w:t xml:space="preserve">The change in KEQs reflects a formative </w:t>
      </w:r>
      <w:r w:rsidR="00D57B18">
        <w:rPr>
          <w:rFonts w:ascii="Calibri" w:eastAsia="Calibri" w:hAnsi="Calibri" w:cs="Arial"/>
          <w:bCs/>
          <w:szCs w:val="20"/>
        </w:rPr>
        <w:t xml:space="preserve">and open-ended </w:t>
      </w:r>
      <w:r>
        <w:rPr>
          <w:rFonts w:ascii="Calibri" w:eastAsia="Calibri" w:hAnsi="Calibri" w:cs="Arial"/>
          <w:bCs/>
          <w:szCs w:val="20"/>
        </w:rPr>
        <w:t xml:space="preserve">evaluation approach, rather than </w:t>
      </w:r>
      <w:r w:rsidR="00D57B18">
        <w:rPr>
          <w:rFonts w:ascii="Calibri" w:eastAsia="Calibri" w:hAnsi="Calibri" w:cs="Arial"/>
          <w:bCs/>
          <w:szCs w:val="20"/>
        </w:rPr>
        <w:t>the</w:t>
      </w:r>
      <w:r>
        <w:rPr>
          <w:rFonts w:ascii="Calibri" w:eastAsia="Calibri" w:hAnsi="Calibri" w:cs="Arial"/>
          <w:bCs/>
          <w:szCs w:val="20"/>
        </w:rPr>
        <w:t xml:space="preserve"> summative</w:t>
      </w:r>
      <w:r w:rsidR="00D57B18">
        <w:rPr>
          <w:rFonts w:ascii="Calibri" w:eastAsia="Calibri" w:hAnsi="Calibri" w:cs="Arial"/>
          <w:bCs/>
          <w:szCs w:val="20"/>
        </w:rPr>
        <w:t xml:space="preserve"> and closed</w:t>
      </w:r>
      <w:r>
        <w:rPr>
          <w:rFonts w:ascii="Calibri" w:eastAsia="Calibri" w:hAnsi="Calibri" w:cs="Arial"/>
          <w:bCs/>
          <w:szCs w:val="20"/>
        </w:rPr>
        <w:t xml:space="preserve"> approach </w:t>
      </w:r>
      <w:r w:rsidR="00D57B18">
        <w:rPr>
          <w:rFonts w:ascii="Calibri" w:eastAsia="Calibri" w:hAnsi="Calibri" w:cs="Arial"/>
          <w:bCs/>
          <w:szCs w:val="20"/>
        </w:rPr>
        <w:t>implied by</w:t>
      </w:r>
      <w:r>
        <w:rPr>
          <w:rFonts w:ascii="Calibri" w:eastAsia="Calibri" w:hAnsi="Calibri" w:cs="Arial"/>
          <w:bCs/>
          <w:szCs w:val="20"/>
        </w:rPr>
        <w:t xml:space="preserve"> the original KEQs, in order to match the methodology used</w:t>
      </w:r>
      <w:r w:rsidR="00D57B18">
        <w:rPr>
          <w:rFonts w:ascii="Calibri" w:eastAsia="Calibri" w:hAnsi="Calibri" w:cs="Arial"/>
          <w:bCs/>
          <w:szCs w:val="20"/>
        </w:rPr>
        <w:t xml:space="preserve"> and the nature of the original design and delivery arrangements.  This approach was selected due to the</w:t>
      </w:r>
      <w:r>
        <w:rPr>
          <w:rFonts w:ascii="Calibri" w:eastAsia="Calibri" w:hAnsi="Calibri" w:cs="Arial"/>
          <w:bCs/>
          <w:szCs w:val="20"/>
        </w:rPr>
        <w:t xml:space="preserve"> timing of the evaluation (mid</w:t>
      </w:r>
      <w:r w:rsidR="00D57B18">
        <w:rPr>
          <w:rFonts w:ascii="Calibri" w:eastAsia="Calibri" w:hAnsi="Calibri" w:cs="Arial"/>
          <w:bCs/>
          <w:szCs w:val="20"/>
        </w:rPr>
        <w:t>-</w:t>
      </w:r>
      <w:r>
        <w:rPr>
          <w:rFonts w:ascii="Calibri" w:eastAsia="Calibri" w:hAnsi="Calibri" w:cs="Arial"/>
          <w:bCs/>
          <w:szCs w:val="20"/>
        </w:rPr>
        <w:t>point</w:t>
      </w:r>
      <w:r w:rsidR="00D57B18">
        <w:rPr>
          <w:rFonts w:ascii="Calibri" w:eastAsia="Calibri" w:hAnsi="Calibri" w:cs="Arial"/>
          <w:bCs/>
          <w:szCs w:val="20"/>
        </w:rPr>
        <w:t xml:space="preserve">, </w:t>
      </w:r>
      <w:r>
        <w:rPr>
          <w:rFonts w:ascii="Calibri" w:eastAsia="Calibri" w:hAnsi="Calibri" w:cs="Arial"/>
          <w:bCs/>
          <w:szCs w:val="20"/>
        </w:rPr>
        <w:t>not end of program), the data available (no formal baseline data against EOPOs and IOs), and the adaptive nature of the program delivery arrangements (flexible annual budget and prioritisation).  The KEQs are intentionally asked in an open</w:t>
      </w:r>
      <w:r w:rsidR="00D57B18">
        <w:rPr>
          <w:rFonts w:ascii="Calibri" w:eastAsia="Calibri" w:hAnsi="Calibri" w:cs="Arial"/>
          <w:bCs/>
          <w:szCs w:val="20"/>
        </w:rPr>
        <w:t>-</w:t>
      </w:r>
      <w:r>
        <w:rPr>
          <w:rFonts w:ascii="Calibri" w:eastAsia="Calibri" w:hAnsi="Calibri" w:cs="Arial"/>
          <w:bCs/>
          <w:szCs w:val="20"/>
        </w:rPr>
        <w:t>ended manner (rather than a closed manner) to be able to analyse a broader range of data and information in the changing context.  In order to address standard DFAT Annual Quality Check criterion, a separate assessment of effectiveness and efficiency against the original KEQs was provided to DFAT by the evaluation team.</w:t>
      </w:r>
    </w:p>
    <w:p w14:paraId="394A366F" w14:textId="77777777" w:rsidR="00D57B18" w:rsidRPr="00D57B18" w:rsidRDefault="00D57B18" w:rsidP="00D57B18">
      <w:pPr>
        <w:tabs>
          <w:tab w:val="left" w:pos="851"/>
        </w:tabs>
        <w:spacing w:after="0" w:line="240" w:lineRule="auto"/>
        <w:ind w:right="-46"/>
        <w:jc w:val="both"/>
        <w:rPr>
          <w:rFonts w:eastAsia="Times New Roman" w:cstheme="minorHAnsi"/>
          <w:b/>
          <w:bCs/>
          <w:color w:val="44546A" w:themeColor="text2"/>
          <w:sz w:val="24"/>
          <w:szCs w:val="24"/>
          <w:lang w:eastAsia="en-AU"/>
        </w:rPr>
      </w:pPr>
      <w:r w:rsidRPr="00D57B18">
        <w:rPr>
          <w:rFonts w:eastAsia="Times New Roman" w:cstheme="minorHAnsi"/>
          <w:b/>
          <w:bCs/>
          <w:color w:val="44546A" w:themeColor="text2"/>
          <w:sz w:val="24"/>
          <w:szCs w:val="24"/>
          <w:lang w:eastAsia="en-AU"/>
        </w:rPr>
        <w:t>Methodology</w:t>
      </w:r>
    </w:p>
    <w:p w14:paraId="6F171032" w14:textId="77777777" w:rsidR="004E7AB4" w:rsidRDefault="00C13A27" w:rsidP="00BB6C95">
      <w:pPr>
        <w:spacing w:line="240" w:lineRule="auto"/>
        <w:jc w:val="both"/>
      </w:pPr>
      <w:r w:rsidRPr="002162D2">
        <w:t>The evaluation used mixed methods and adopted a participatory approach. For each key evaluation question, various lines of evidence were gathered from a range of sources. Data collection consisted of: a desktop review</w:t>
      </w:r>
      <w:r w:rsidR="00953CAE" w:rsidRPr="002162D2">
        <w:t xml:space="preserve">; </w:t>
      </w:r>
      <w:r w:rsidR="00FE0CD3" w:rsidRPr="002162D2">
        <w:t xml:space="preserve">face to face and </w:t>
      </w:r>
      <w:r w:rsidR="001E4CB0">
        <w:t>tele</w:t>
      </w:r>
      <w:r w:rsidR="00FE0CD3" w:rsidRPr="002162D2">
        <w:t xml:space="preserve">phone </w:t>
      </w:r>
      <w:r w:rsidRPr="002162D2">
        <w:t xml:space="preserve">interviews and focus group discussions with key stakeholders; </w:t>
      </w:r>
      <w:r w:rsidR="0060628E" w:rsidRPr="002162D2">
        <w:t xml:space="preserve">iterative development and testing of findings with </w:t>
      </w:r>
      <w:r w:rsidR="00D57B18">
        <w:t>clients (DFAT/AFP/</w:t>
      </w:r>
      <w:proofErr w:type="spellStart"/>
      <w:r w:rsidR="00D57B18">
        <w:t>GoV</w:t>
      </w:r>
      <w:proofErr w:type="spellEnd"/>
      <w:r w:rsidR="00D57B18">
        <w:t>)</w:t>
      </w:r>
      <w:r w:rsidR="0060628E" w:rsidRPr="002162D2">
        <w:t xml:space="preserve"> throughout the in-country visit; </w:t>
      </w:r>
      <w:r w:rsidRPr="002162D2">
        <w:t xml:space="preserve">and </w:t>
      </w:r>
      <w:r w:rsidR="00953CAE" w:rsidRPr="002162D2">
        <w:t>a</w:t>
      </w:r>
      <w:r w:rsidR="0060628E" w:rsidRPr="002162D2">
        <w:t xml:space="preserve"> </w:t>
      </w:r>
      <w:r w:rsidR="00953CAE" w:rsidRPr="002162D2">
        <w:t>feedback and verification workshop</w:t>
      </w:r>
      <w:r w:rsidR="0060628E" w:rsidRPr="002162D2">
        <w:t>.</w:t>
      </w:r>
    </w:p>
    <w:p w14:paraId="62D54021" w14:textId="77777777" w:rsidR="00D57B18" w:rsidRDefault="009217CA" w:rsidP="00BB6C95">
      <w:pPr>
        <w:spacing w:line="240" w:lineRule="auto"/>
        <w:jc w:val="both"/>
      </w:pPr>
      <w:bookmarkStart w:id="25" w:name="_Hlk495392199"/>
      <w:r w:rsidRPr="002162D2">
        <w:t xml:space="preserve">The evaluation team undertook a </w:t>
      </w:r>
      <w:r w:rsidR="001E4CB0" w:rsidRPr="002162D2">
        <w:t>1</w:t>
      </w:r>
      <w:r w:rsidR="001E4CB0">
        <w:t>2</w:t>
      </w:r>
      <w:r w:rsidRPr="002162D2">
        <w:t xml:space="preserve">-day visit to Vanuatu from 26 August to 6 September 2019, carrying out consultations with stakeholders </w:t>
      </w:r>
      <w:r w:rsidRPr="00393F6C">
        <w:rPr>
          <w:rFonts w:ascii="Calibri" w:eastAsia="Calibri" w:hAnsi="Calibri" w:cs="DaunPenh"/>
        </w:rPr>
        <w:t>in Port Vila</w:t>
      </w:r>
      <w:r>
        <w:rPr>
          <w:rFonts w:ascii="Calibri" w:eastAsia="Calibri" w:hAnsi="Calibri" w:cs="DaunPenh"/>
        </w:rPr>
        <w:t xml:space="preserve"> and surrounding communities (Olin</w:t>
      </w:r>
      <w:r w:rsidR="00E0623C">
        <w:rPr>
          <w:rFonts w:ascii="Calibri" w:eastAsia="Calibri" w:hAnsi="Calibri" w:cs="DaunPenh"/>
        </w:rPr>
        <w:t>,</w:t>
      </w:r>
      <w:r>
        <w:rPr>
          <w:rFonts w:ascii="Calibri" w:eastAsia="Calibri" w:hAnsi="Calibri" w:cs="DaunPenh"/>
        </w:rPr>
        <w:t xml:space="preserve"> </w:t>
      </w:r>
      <w:r>
        <w:t xml:space="preserve">Tokyo </w:t>
      </w:r>
      <w:proofErr w:type="spellStart"/>
      <w:r>
        <w:t>Buninga</w:t>
      </w:r>
      <w:proofErr w:type="spellEnd"/>
      <w:r w:rsidR="00E0623C">
        <w:t xml:space="preserve"> and </w:t>
      </w:r>
      <w:proofErr w:type="spellStart"/>
      <w:r w:rsidR="00E0623C">
        <w:t>Blacksands</w:t>
      </w:r>
      <w:proofErr w:type="spellEnd"/>
      <w:r>
        <w:rPr>
          <w:rFonts w:ascii="Calibri" w:eastAsia="Calibri" w:hAnsi="Calibri" w:cs="DaunPenh"/>
        </w:rPr>
        <w:t xml:space="preserve">) </w:t>
      </w:r>
      <w:r w:rsidRPr="00393F6C">
        <w:rPr>
          <w:rFonts w:ascii="Calibri" w:eastAsia="Calibri" w:hAnsi="Calibri" w:cs="DaunPenh"/>
        </w:rPr>
        <w:t>and Santo</w:t>
      </w:r>
      <w:r>
        <w:rPr>
          <w:rFonts w:ascii="Calibri" w:eastAsia="Calibri" w:hAnsi="Calibri" w:cs="DaunPenh"/>
        </w:rPr>
        <w:t xml:space="preserve"> </w:t>
      </w:r>
      <w:r w:rsidR="008F7A26">
        <w:rPr>
          <w:rFonts w:ascii="Calibri" w:eastAsia="Calibri" w:hAnsi="Calibri" w:cs="DaunPenh"/>
        </w:rPr>
        <w:t>(</w:t>
      </w:r>
      <w:r>
        <w:rPr>
          <w:rFonts w:ascii="Calibri" w:eastAsia="Calibri" w:hAnsi="Calibri" w:cs="DaunPenh"/>
        </w:rPr>
        <w:t xml:space="preserve">including community consultations in </w:t>
      </w:r>
      <w:proofErr w:type="spellStart"/>
      <w:r>
        <w:rPr>
          <w:rFonts w:ascii="Calibri" w:eastAsia="Calibri" w:hAnsi="Calibri" w:cs="DaunPenh"/>
        </w:rPr>
        <w:t>Saraday</w:t>
      </w:r>
      <w:proofErr w:type="spellEnd"/>
      <w:r w:rsidR="008F7A26">
        <w:rPr>
          <w:rFonts w:ascii="Calibri" w:eastAsia="Calibri" w:hAnsi="Calibri" w:cs="DaunPenh"/>
        </w:rPr>
        <w:t>)</w:t>
      </w:r>
      <w:r>
        <w:rPr>
          <w:rFonts w:ascii="Calibri" w:eastAsia="Calibri" w:hAnsi="Calibri" w:cs="DaunPenh"/>
        </w:rPr>
        <w:t xml:space="preserve">. </w:t>
      </w:r>
      <w:r w:rsidRPr="002162D2">
        <w:t xml:space="preserve">A </w:t>
      </w:r>
      <w:r w:rsidRPr="00E76AC2">
        <w:t>total of 1</w:t>
      </w:r>
      <w:r w:rsidR="00B168C7" w:rsidRPr="00E76AC2">
        <w:t>21</w:t>
      </w:r>
      <w:r w:rsidRPr="00E76AC2">
        <w:t xml:space="preserve"> </w:t>
      </w:r>
      <w:r w:rsidR="008D6C2B">
        <w:t>individuals</w:t>
      </w:r>
      <w:r>
        <w:t xml:space="preserve"> participated in consultations </w:t>
      </w:r>
      <w:r w:rsidR="008D6C2B">
        <w:t>(a</w:t>
      </w:r>
      <w:r>
        <w:t xml:space="preserve"> </w:t>
      </w:r>
      <w:r w:rsidR="00A80068">
        <w:t xml:space="preserve">detailed </w:t>
      </w:r>
      <w:r>
        <w:t>breakdown of participant groups</w:t>
      </w:r>
      <w:r w:rsidR="008D6C2B">
        <w:t xml:space="preserve"> is</w:t>
      </w:r>
      <w:r>
        <w:t xml:space="preserve"> </w:t>
      </w:r>
      <w:r w:rsidR="00366992" w:rsidRPr="002162D2">
        <w:t>provided in Annex 5.</w:t>
      </w:r>
      <w:r w:rsidR="00366992">
        <w:t>3</w:t>
      </w:r>
      <w:r w:rsidR="008D6C2B">
        <w:t>)</w:t>
      </w:r>
      <w:r w:rsidR="00366992" w:rsidRPr="002162D2">
        <w:t>.</w:t>
      </w:r>
      <w:r w:rsidR="008D6C2B">
        <w:t xml:space="preserve">  </w:t>
      </w:r>
      <w:r w:rsidR="008D6C2B">
        <w:rPr>
          <w:rFonts w:ascii="Calibri" w:eastAsia="Calibri" w:hAnsi="Calibri" w:cs="DaunPenh"/>
        </w:rPr>
        <w:t>A series of interviews and small group discussions were held with government (5</w:t>
      </w:r>
      <w:r w:rsidR="00A80068">
        <w:rPr>
          <w:rFonts w:ascii="Calibri" w:eastAsia="Calibri" w:hAnsi="Calibri" w:cs="DaunPenh"/>
        </w:rPr>
        <w:t>2</w:t>
      </w:r>
      <w:r w:rsidR="008D6C2B">
        <w:rPr>
          <w:rFonts w:ascii="Calibri" w:eastAsia="Calibri" w:hAnsi="Calibri" w:cs="DaunPenh"/>
        </w:rPr>
        <w:t>), program</w:t>
      </w:r>
      <w:r w:rsidR="00A80068">
        <w:rPr>
          <w:rFonts w:ascii="Calibri" w:eastAsia="Calibri" w:hAnsi="Calibri" w:cs="DaunPenh"/>
        </w:rPr>
        <w:t xml:space="preserve"> staff</w:t>
      </w:r>
      <w:r w:rsidR="008D6C2B">
        <w:rPr>
          <w:rFonts w:ascii="Calibri" w:eastAsia="Calibri" w:hAnsi="Calibri" w:cs="DaunPenh"/>
        </w:rPr>
        <w:t xml:space="preserve"> (20), Australian </w:t>
      </w:r>
      <w:r w:rsidR="00A80068">
        <w:rPr>
          <w:rFonts w:ascii="Calibri" w:eastAsia="Calibri" w:hAnsi="Calibri" w:cs="DaunPenh"/>
        </w:rPr>
        <w:t>Hi</w:t>
      </w:r>
      <w:r w:rsidR="008D6C2B">
        <w:rPr>
          <w:rFonts w:ascii="Calibri" w:eastAsia="Calibri" w:hAnsi="Calibri" w:cs="DaunPenh"/>
        </w:rPr>
        <w:t xml:space="preserve">gh Commission </w:t>
      </w:r>
      <w:r w:rsidR="00A80068">
        <w:rPr>
          <w:rFonts w:ascii="Calibri" w:eastAsia="Calibri" w:hAnsi="Calibri" w:cs="DaunPenh"/>
        </w:rPr>
        <w:t xml:space="preserve">officials </w:t>
      </w:r>
      <w:r w:rsidR="008D6C2B">
        <w:rPr>
          <w:rFonts w:ascii="Calibri" w:eastAsia="Calibri" w:hAnsi="Calibri" w:cs="DaunPenh"/>
        </w:rPr>
        <w:t>(7), other donors (2) and civil society organisations</w:t>
      </w:r>
      <w:r w:rsidR="00A80068">
        <w:rPr>
          <w:rFonts w:ascii="Calibri" w:eastAsia="Calibri" w:hAnsi="Calibri" w:cs="DaunPenh"/>
        </w:rPr>
        <w:t xml:space="preserve"> </w:t>
      </w:r>
      <w:r w:rsidR="008D6C2B">
        <w:rPr>
          <w:rFonts w:ascii="Calibri" w:eastAsia="Calibri" w:hAnsi="Calibri" w:cs="DaunPenh"/>
        </w:rPr>
        <w:t>(4). Focus group discussions were carried out with 36 community members, including with youth, women, men, chiefs and APs.</w:t>
      </w:r>
      <w:r w:rsidR="00D57B18">
        <w:rPr>
          <w:rFonts w:ascii="Calibri" w:eastAsia="Calibri" w:hAnsi="Calibri" w:cs="DaunPenh"/>
        </w:rPr>
        <w:t xml:space="preserve">  </w:t>
      </w:r>
      <w:r w:rsidR="00FE0CD3">
        <w:t xml:space="preserve">During the course of the evaluation, the team undertook a rapid assessment of the political economy of the policing and justice context in Vanuatu as a basis for assessing the performance of the </w:t>
      </w:r>
      <w:r w:rsidR="00E53220">
        <w:t>P</w:t>
      </w:r>
      <w:r w:rsidR="00FE0CD3">
        <w:t xml:space="preserve">rogram. </w:t>
      </w:r>
    </w:p>
    <w:p w14:paraId="2A0A1678" w14:textId="77777777" w:rsidR="009B6B60" w:rsidRDefault="008901D4" w:rsidP="00BB6C95">
      <w:pPr>
        <w:spacing w:line="240" w:lineRule="auto"/>
        <w:jc w:val="both"/>
      </w:pPr>
      <w:r>
        <w:t xml:space="preserve">In </w:t>
      </w:r>
      <w:r w:rsidR="00D57B18">
        <w:t>order to look back at past performance</w:t>
      </w:r>
      <w:r>
        <w:t xml:space="preserve">, </w:t>
      </w:r>
      <w:r w:rsidR="004840CD">
        <w:t xml:space="preserve">22 </w:t>
      </w:r>
      <w:r>
        <w:t>individual “parts” of the Program</w:t>
      </w:r>
      <w:r w:rsidR="000C1075" w:rsidRPr="00E53220">
        <w:rPr>
          <w:vertAlign w:val="superscript"/>
        </w:rPr>
        <w:footnoteReference w:id="10"/>
      </w:r>
      <w:r w:rsidRPr="00E53220">
        <w:rPr>
          <w:vertAlign w:val="superscript"/>
        </w:rPr>
        <w:t xml:space="preserve"> </w:t>
      </w:r>
      <w:r>
        <w:t>were analysed</w:t>
      </w:r>
      <w:r w:rsidR="00D90AE5">
        <w:t xml:space="preserve">, rather than an analysis directly of the design Intermediate Outcomes (IOs) and End of Program Outcomes (EOPOs).  This is because the evaluation team quickly came to the conclusion that the sector in practice is managed and implemented by the </w:t>
      </w:r>
      <w:proofErr w:type="spellStart"/>
      <w:r w:rsidR="00D90AE5">
        <w:t>GoV</w:t>
      </w:r>
      <w:proofErr w:type="spellEnd"/>
      <w:r w:rsidR="00D90AE5">
        <w:t xml:space="preserve"> in its separate agencies and functions, the plans and activities of the Program (particularly the advisers) work to specific agencies and functions, and the original program logic of IOs to EOPOs was not easy to use for evaluation purposes, as data is not directly available to assess the effectiveness of this logic.  </w:t>
      </w:r>
      <w:r>
        <w:t xml:space="preserve"> </w:t>
      </w:r>
      <w:r w:rsidR="00D90AE5">
        <w:t xml:space="preserve">The individual parts were analysed </w:t>
      </w:r>
      <w:r>
        <w:t xml:space="preserve">in terms of political economy influences, quality of approach and progress to date, and results towards outcomes (whether ‘’results’’ were observable, regardless of their meeting intended objectives). </w:t>
      </w:r>
      <w:r w:rsidR="00A80068">
        <w:t>Assessment</w:t>
      </w:r>
      <w:r w:rsidR="005B6954">
        <w:t xml:space="preserve"> </w:t>
      </w:r>
      <w:r w:rsidR="00F21060">
        <w:t>is</w:t>
      </w:r>
      <w:r w:rsidR="005B6954">
        <w:t xml:space="preserve"> therefore</w:t>
      </w:r>
      <w:r w:rsidR="00232E13">
        <w:t xml:space="preserve"> based on the quality of inputs provided and whether the Program could have done things differently or better to effect greater change in </w:t>
      </w:r>
      <w:r w:rsidR="005B6954">
        <w:t xml:space="preserve">light of the realities of the operating context. </w:t>
      </w:r>
      <w:r w:rsidR="00467737">
        <w:t xml:space="preserve">The activities were also analysed in terms of their capacity building approaches, </w:t>
      </w:r>
      <w:r w:rsidR="00F21060">
        <w:t xml:space="preserve">sustainability </w:t>
      </w:r>
      <w:r w:rsidR="00467737">
        <w:t>and consideration of gender equality.</w:t>
      </w:r>
      <w:r w:rsidR="00F21060">
        <w:t xml:space="preserve"> </w:t>
      </w:r>
      <w:r w:rsidR="000C1075">
        <w:t xml:space="preserve">Ratings scales were applied for </w:t>
      </w:r>
      <w:r w:rsidR="00F21060">
        <w:t>some</w:t>
      </w:r>
      <w:r w:rsidR="00700D72">
        <w:t xml:space="preserve"> of the</w:t>
      </w:r>
      <w:r w:rsidR="000C1075">
        <w:t xml:space="preserve"> assessment criteria using the DFAT 1-6 Quality scale as a basis</w:t>
      </w:r>
      <w:r w:rsidR="00F21060">
        <w:t xml:space="preserve"> and are presented in Section </w:t>
      </w:r>
      <w:r w:rsidR="007D6388">
        <w:t>2</w:t>
      </w:r>
      <w:r w:rsidR="00F21060">
        <w:t xml:space="preserve">, Finding 3. </w:t>
      </w:r>
      <w:r w:rsidR="002171AC">
        <w:t>The analysis table presented in Annex 5.</w:t>
      </w:r>
      <w:r w:rsidR="00E53220">
        <w:t>1</w:t>
      </w:r>
      <w:r w:rsidR="002171AC">
        <w:t xml:space="preserve"> provides a detailed justification</w:t>
      </w:r>
      <w:r w:rsidR="00700D72">
        <w:t xml:space="preserve"> of the </w:t>
      </w:r>
      <w:r w:rsidR="004341ED">
        <w:t>e</w:t>
      </w:r>
      <w:r w:rsidR="00700D72">
        <w:t xml:space="preserve">valuation </w:t>
      </w:r>
      <w:r w:rsidR="004341ED">
        <w:t>t</w:t>
      </w:r>
      <w:r w:rsidR="00700D72">
        <w:t xml:space="preserve">eam’s judgements </w:t>
      </w:r>
      <w:r w:rsidR="009B6B60">
        <w:t xml:space="preserve">of the effectiveness of individual assessments in narrative form. </w:t>
      </w:r>
    </w:p>
    <w:p w14:paraId="600CC352" w14:textId="77777777" w:rsidR="007204AE" w:rsidRDefault="008E486F" w:rsidP="007204AE">
      <w:pPr>
        <w:spacing w:line="240" w:lineRule="auto"/>
        <w:jc w:val="both"/>
      </w:pPr>
      <w:r>
        <w:t xml:space="preserve">The evaluation </w:t>
      </w:r>
      <w:r w:rsidR="005165CB">
        <w:t>was conducted by a five-person evaluation team c</w:t>
      </w:r>
      <w:r>
        <w:t>ompris</w:t>
      </w:r>
      <w:r w:rsidR="005165CB">
        <w:t>ing of</w:t>
      </w:r>
      <w:r>
        <w:t xml:space="preserve"> b</w:t>
      </w:r>
      <w:r w:rsidR="005165CB">
        <w:t xml:space="preserve">oth external and internal team members. External team members include </w:t>
      </w:r>
      <w:r w:rsidR="005165CB" w:rsidRPr="00FD3FE2">
        <w:t>Paul Nichols</w:t>
      </w:r>
      <w:r w:rsidR="005165CB">
        <w:t xml:space="preserve"> (</w:t>
      </w:r>
      <w:r w:rsidR="005165CB" w:rsidRPr="00FD3FE2">
        <w:t>Team Leader</w:t>
      </w:r>
      <w:r w:rsidR="005165CB">
        <w:t xml:space="preserve">), </w:t>
      </w:r>
      <w:r w:rsidR="005165CB" w:rsidRPr="00FD3FE2">
        <w:t xml:space="preserve">Michelle </w:t>
      </w:r>
      <w:proofErr w:type="spellStart"/>
      <w:r w:rsidR="005165CB" w:rsidRPr="00FD3FE2">
        <w:t>Besley</w:t>
      </w:r>
      <w:proofErr w:type="spellEnd"/>
      <w:r w:rsidR="005165CB">
        <w:t xml:space="preserve"> (</w:t>
      </w:r>
      <w:r w:rsidR="005165CB" w:rsidRPr="00FD3FE2">
        <w:t>Evaluation Specialist</w:t>
      </w:r>
      <w:r w:rsidR="005165CB">
        <w:t xml:space="preserve">) and </w:t>
      </w:r>
      <w:r w:rsidR="005165CB" w:rsidRPr="00FD3FE2">
        <w:t>Leigh Toomey</w:t>
      </w:r>
      <w:r w:rsidR="005165CB">
        <w:t xml:space="preserve"> (</w:t>
      </w:r>
      <w:r w:rsidR="005165CB" w:rsidRPr="00FD3FE2">
        <w:t>Justice Systems Specialist</w:t>
      </w:r>
      <w:r w:rsidR="005165CB">
        <w:t>).</w:t>
      </w:r>
      <w:r w:rsidR="00E14887">
        <w:t xml:space="preserve"> DFAT and AFP staff members a</w:t>
      </w:r>
      <w:r w:rsidR="003E3E47">
        <w:t xml:space="preserve">lso formed part of the evaluation team, with </w:t>
      </w:r>
      <w:r w:rsidR="003E3E47" w:rsidRPr="00FD3FE2">
        <w:t>Bertha Pakoasongi</w:t>
      </w:r>
      <w:r w:rsidR="003E3E47">
        <w:t xml:space="preserve"> (</w:t>
      </w:r>
      <w:r w:rsidR="003E3E47" w:rsidRPr="00233F6A">
        <w:t>S</w:t>
      </w:r>
      <w:r w:rsidR="003E3E47" w:rsidRPr="005165CB">
        <w:t>enior Program Manager – Law and Justic</w:t>
      </w:r>
      <w:r w:rsidR="003E3E47" w:rsidRPr="00233F6A">
        <w:t>e</w:t>
      </w:r>
      <w:r w:rsidR="00FE400C">
        <w:t>, Australian High Commission Port Vila</w:t>
      </w:r>
      <w:r w:rsidR="003E3E47" w:rsidRPr="00233F6A">
        <w:t xml:space="preserve">) and </w:t>
      </w:r>
      <w:r w:rsidR="00826717" w:rsidRPr="00FD3FE2">
        <w:t xml:space="preserve">Patrick Hagan, </w:t>
      </w:r>
      <w:r w:rsidR="003E3E47">
        <w:t>(</w:t>
      </w:r>
      <w:r w:rsidR="00826717" w:rsidRPr="00FD3FE2">
        <w:t>AFP Senior Evaluation Officer</w:t>
      </w:r>
      <w:r w:rsidR="00FE400C">
        <w:t>, AFP Canberra</w:t>
      </w:r>
      <w:r w:rsidR="003E3E47">
        <w:t xml:space="preserve">) forming part of the core team. </w:t>
      </w:r>
      <w:r w:rsidR="00D71115">
        <w:t xml:space="preserve">All core team members </w:t>
      </w:r>
      <w:r w:rsidR="00A33C9A">
        <w:t xml:space="preserve">participated </w:t>
      </w:r>
      <w:r w:rsidR="00D71115">
        <w:t xml:space="preserve">in evaluation planning, data collection and analysis and report writing. </w:t>
      </w:r>
      <w:r w:rsidR="005E5BAC">
        <w:t xml:space="preserve">The team leader ensured </w:t>
      </w:r>
      <w:r w:rsidR="005E5BAC" w:rsidRPr="00EF639E">
        <w:t xml:space="preserve">independence </w:t>
      </w:r>
      <w:r w:rsidR="00EF639E" w:rsidRPr="00EF639E">
        <w:t xml:space="preserve">by holding responsibility for final determinations and judgements presented in this report. </w:t>
      </w:r>
      <w:r w:rsidRPr="00DB4254">
        <w:t xml:space="preserve">The evaluation was managed by </w:t>
      </w:r>
      <w:r w:rsidR="00A80068">
        <w:t>the responsible</w:t>
      </w:r>
      <w:r w:rsidR="00EF639E" w:rsidRPr="00EF639E">
        <w:t xml:space="preserve"> First Secretary (Development Cooperation)</w:t>
      </w:r>
      <w:r w:rsidR="00EF639E">
        <w:t xml:space="preserve"> DFAT Post. </w:t>
      </w:r>
      <w:bookmarkEnd w:id="25"/>
    </w:p>
    <w:p w14:paraId="64AE16CD" w14:textId="77777777" w:rsidR="007E61F8" w:rsidRPr="00D57B18" w:rsidRDefault="00D57B18" w:rsidP="00D57B18">
      <w:pPr>
        <w:tabs>
          <w:tab w:val="left" w:pos="851"/>
        </w:tabs>
        <w:spacing w:after="0" w:line="240" w:lineRule="auto"/>
        <w:ind w:right="-46"/>
        <w:jc w:val="both"/>
        <w:rPr>
          <w:rFonts w:eastAsia="Times New Roman" w:cstheme="minorHAnsi"/>
          <w:b/>
          <w:bCs/>
          <w:color w:val="44546A" w:themeColor="text2"/>
          <w:sz w:val="24"/>
          <w:szCs w:val="24"/>
          <w:lang w:eastAsia="en-AU"/>
        </w:rPr>
      </w:pPr>
      <w:r w:rsidRPr="00D57B18">
        <w:rPr>
          <w:rFonts w:eastAsia="Times New Roman" w:cstheme="minorHAnsi"/>
          <w:b/>
          <w:bCs/>
          <w:color w:val="44546A" w:themeColor="text2"/>
          <w:sz w:val="24"/>
          <w:szCs w:val="24"/>
          <w:lang w:eastAsia="en-AU"/>
        </w:rPr>
        <w:t xml:space="preserve">Limitations of the evaluation  </w:t>
      </w:r>
    </w:p>
    <w:p w14:paraId="05AD938A" w14:textId="77777777" w:rsidR="00D57B18" w:rsidRDefault="00D90AE5" w:rsidP="007204AE">
      <w:pPr>
        <w:spacing w:line="240" w:lineRule="auto"/>
        <w:jc w:val="both"/>
      </w:pPr>
      <w:r>
        <w:t xml:space="preserve">There are strengths and weaknesses to the methodology adopted for this evaluation.  A strength includes the open-ended enquiry which was able to assess relevance and impact in a changing context </w:t>
      </w:r>
      <w:r w:rsidR="00BB6FAB">
        <w:t>given the</w:t>
      </w:r>
      <w:r>
        <w:t xml:space="preserve"> adaptive approach to the program, with </w:t>
      </w:r>
      <w:r w:rsidR="00BB6FAB">
        <w:t>the</w:t>
      </w:r>
      <w:r>
        <w:t xml:space="preserve"> associated weakness being the inability to form definitive judgements about effectiveness against the original program logic and design due to lack of baseline and indicator</w:t>
      </w:r>
      <w:r w:rsidR="00BB6FAB">
        <w:t>-</w:t>
      </w:r>
      <w:r>
        <w:t xml:space="preserve">based outcome data.  Another strength includes the participatory and inclusive nature of the evaluation process, where the views and opinions of stakeholders are directly reflected in the analysis and assessments, </w:t>
      </w:r>
      <w:r w:rsidR="00BB6FAB">
        <w:t>with</w:t>
      </w:r>
      <w:r>
        <w:t xml:space="preserve"> strong confirmation of findings through verification and feedback from stakeholders</w:t>
      </w:r>
      <w:r w:rsidR="00BB6FAB">
        <w:t xml:space="preserve">.  The </w:t>
      </w:r>
      <w:r>
        <w:t>associated weakness</w:t>
      </w:r>
      <w:r w:rsidR="00BB6FAB">
        <w:t xml:space="preserve"> is</w:t>
      </w:r>
      <w:r>
        <w:t xml:space="preserve"> that the evaluation does not present independent objective evidence against pre-determined indicators or criteria for assessment.  A further strength includes the quality and depth of analysis on the most important emerging issues, which provides useful and meaningful information and recommendations for future action, with the associated weakness being the lack of formal reporting against all of the areas for enquiry of</w:t>
      </w:r>
      <w:r w:rsidR="00BB6FAB">
        <w:t xml:space="preserve"> all of detailed</w:t>
      </w:r>
      <w:r>
        <w:t xml:space="preserve"> guiding evaluation questions.</w:t>
      </w:r>
    </w:p>
    <w:p w14:paraId="6F01B92C" w14:textId="77777777" w:rsidR="005B4E54" w:rsidRPr="005B4E54" w:rsidRDefault="005B4E54" w:rsidP="00F579AE">
      <w:pPr>
        <w:pStyle w:val="SDANumberedheading2"/>
        <w:numPr>
          <w:ilvl w:val="1"/>
          <w:numId w:val="2"/>
        </w:numPr>
        <w:spacing w:before="200"/>
        <w:rPr>
          <w:color w:val="44546A" w:themeColor="text2"/>
        </w:rPr>
      </w:pPr>
      <w:bookmarkStart w:id="26" w:name="_Toc25591523"/>
      <w:bookmarkStart w:id="27" w:name="_Hlk19788630"/>
      <w:r w:rsidRPr="005B4E54">
        <w:rPr>
          <w:color w:val="44546A" w:themeColor="text2"/>
        </w:rPr>
        <w:t>About this document</w:t>
      </w:r>
      <w:bookmarkEnd w:id="26"/>
      <w:r w:rsidRPr="005B4E54">
        <w:rPr>
          <w:color w:val="44546A" w:themeColor="text2"/>
        </w:rPr>
        <w:t xml:space="preserve"> </w:t>
      </w:r>
    </w:p>
    <w:bookmarkEnd w:id="27"/>
    <w:p w14:paraId="3029B4FC" w14:textId="77777777" w:rsidR="00BB6FAB" w:rsidRDefault="005C763C" w:rsidP="00FF1D28">
      <w:pPr>
        <w:spacing w:line="240" w:lineRule="auto"/>
        <w:jc w:val="both"/>
      </w:pPr>
      <w:r w:rsidRPr="005C763C">
        <w:t>This document presents the findings of the evaluation of</w:t>
      </w:r>
      <w:r w:rsidR="007609F9">
        <w:t xml:space="preserve"> </w:t>
      </w:r>
      <w:r w:rsidR="00D57B18">
        <w:t>the Program</w:t>
      </w:r>
      <w:r w:rsidRPr="005C763C">
        <w:t xml:space="preserve">. The main report </w:t>
      </w:r>
      <w:r w:rsidR="007609F9">
        <w:t>presents</w:t>
      </w:r>
      <w:r w:rsidRPr="005C763C">
        <w:t xml:space="preserve"> </w:t>
      </w:r>
      <w:r w:rsidR="007609F9">
        <w:t xml:space="preserve">seven key findings, </w:t>
      </w:r>
      <w:r w:rsidR="00BB6FAB">
        <w:t xml:space="preserve">with associated strategic level recommendations. </w:t>
      </w:r>
      <w:r w:rsidR="007609F9">
        <w:t xml:space="preserve"> </w:t>
      </w:r>
      <w:r w:rsidR="00BB6FAB">
        <w:t>These seven key findings are presented in order of importance, given the weight of evidence, significance</w:t>
      </w:r>
      <w:r w:rsidR="004963E2">
        <w:t xml:space="preserve"> in the context,</w:t>
      </w:r>
      <w:r w:rsidR="00BB6FAB">
        <w:t xml:space="preserve"> and implications for decision making.  The findings emerged from investigation of the key evaluation questions which guided the data collection and analysis process, but are not written directly against those questions (as is common to many evaluations)</w:t>
      </w:r>
      <w:r w:rsidR="004963E2">
        <w:t>, the evaluation team determined that these findings tell a more comprehensive and useful story of progress, impact and relevance</w:t>
      </w:r>
      <w:r w:rsidR="00FF1D28">
        <w:t>.</w:t>
      </w:r>
    </w:p>
    <w:p w14:paraId="4B1105E2" w14:textId="77777777" w:rsidR="00BB6FAB" w:rsidRDefault="00BB6FAB" w:rsidP="00BB6C95">
      <w:pPr>
        <w:spacing w:after="60" w:line="240" w:lineRule="auto"/>
        <w:jc w:val="both"/>
      </w:pPr>
      <w:r>
        <w:t>The link between the Findings and KEQs, and the original TOR KEQs, is as follows</w:t>
      </w:r>
      <w:r w:rsidR="004963E2">
        <w:t xml:space="preserve">: </w:t>
      </w:r>
    </w:p>
    <w:tbl>
      <w:tblPr>
        <w:tblStyle w:val="TableGrid"/>
        <w:tblW w:w="0" w:type="auto"/>
        <w:tblLook w:val="04A0" w:firstRow="1" w:lastRow="0" w:firstColumn="1" w:lastColumn="0" w:noHBand="0" w:noVBand="1"/>
      </w:tblPr>
      <w:tblGrid>
        <w:gridCol w:w="3681"/>
        <w:gridCol w:w="3118"/>
        <w:gridCol w:w="2217"/>
      </w:tblGrid>
      <w:tr w:rsidR="004963E2" w:rsidRPr="004963E2" w14:paraId="7457BFA9" w14:textId="77777777" w:rsidTr="004963E2">
        <w:tc>
          <w:tcPr>
            <w:tcW w:w="3681" w:type="dxa"/>
          </w:tcPr>
          <w:p w14:paraId="671B7CE0" w14:textId="77777777" w:rsidR="004963E2" w:rsidRPr="004963E2" w:rsidRDefault="004963E2" w:rsidP="004963E2">
            <w:pPr>
              <w:spacing w:after="60"/>
              <w:rPr>
                <w:b/>
                <w:bCs/>
                <w:i/>
                <w:iCs/>
                <w:sz w:val="18"/>
                <w:szCs w:val="18"/>
              </w:rPr>
            </w:pPr>
            <w:r w:rsidRPr="004963E2">
              <w:rPr>
                <w:b/>
                <w:bCs/>
                <w:i/>
                <w:iCs/>
                <w:sz w:val="18"/>
                <w:szCs w:val="18"/>
              </w:rPr>
              <w:t xml:space="preserve"> Findings in this report</w:t>
            </w:r>
          </w:p>
        </w:tc>
        <w:tc>
          <w:tcPr>
            <w:tcW w:w="3118" w:type="dxa"/>
          </w:tcPr>
          <w:p w14:paraId="24928C0C" w14:textId="77777777" w:rsidR="004963E2" w:rsidRPr="004963E2" w:rsidRDefault="004963E2" w:rsidP="004963E2">
            <w:pPr>
              <w:spacing w:after="60"/>
              <w:rPr>
                <w:b/>
                <w:bCs/>
                <w:i/>
                <w:iCs/>
                <w:sz w:val="18"/>
                <w:szCs w:val="18"/>
              </w:rPr>
            </w:pPr>
            <w:r w:rsidRPr="004963E2">
              <w:rPr>
                <w:b/>
                <w:bCs/>
                <w:i/>
                <w:iCs/>
                <w:sz w:val="18"/>
                <w:szCs w:val="18"/>
              </w:rPr>
              <w:t xml:space="preserve">Emerging from KEQs of the Evaluation Plan </w:t>
            </w:r>
          </w:p>
        </w:tc>
        <w:tc>
          <w:tcPr>
            <w:tcW w:w="2217" w:type="dxa"/>
          </w:tcPr>
          <w:p w14:paraId="251366B4" w14:textId="77777777" w:rsidR="004963E2" w:rsidRPr="004963E2" w:rsidRDefault="004963E2" w:rsidP="004963E2">
            <w:pPr>
              <w:spacing w:after="60"/>
              <w:rPr>
                <w:b/>
                <w:bCs/>
                <w:i/>
                <w:iCs/>
                <w:sz w:val="18"/>
                <w:szCs w:val="18"/>
              </w:rPr>
            </w:pPr>
            <w:r w:rsidRPr="004963E2">
              <w:rPr>
                <w:b/>
                <w:bCs/>
                <w:i/>
                <w:iCs/>
                <w:sz w:val="18"/>
                <w:szCs w:val="18"/>
              </w:rPr>
              <w:t xml:space="preserve">Respond to original TOR KEQs </w:t>
            </w:r>
          </w:p>
        </w:tc>
      </w:tr>
      <w:tr w:rsidR="004963E2" w:rsidRPr="004963E2" w14:paraId="07A5DB57" w14:textId="77777777" w:rsidTr="004963E2">
        <w:tc>
          <w:tcPr>
            <w:tcW w:w="3681" w:type="dxa"/>
          </w:tcPr>
          <w:p w14:paraId="6560A00B" w14:textId="77777777" w:rsidR="004963E2" w:rsidRPr="004963E2" w:rsidRDefault="004963E2" w:rsidP="004963E2">
            <w:pPr>
              <w:spacing w:after="60"/>
              <w:rPr>
                <w:sz w:val="18"/>
                <w:szCs w:val="18"/>
              </w:rPr>
            </w:pPr>
            <w:r w:rsidRPr="004963E2">
              <w:rPr>
                <w:sz w:val="18"/>
                <w:szCs w:val="18"/>
              </w:rPr>
              <w:t>Finding 1: significant progress but sustainability challenges</w:t>
            </w:r>
          </w:p>
        </w:tc>
        <w:tc>
          <w:tcPr>
            <w:tcW w:w="3118" w:type="dxa"/>
          </w:tcPr>
          <w:p w14:paraId="46E8A455" w14:textId="77777777" w:rsidR="004963E2" w:rsidRPr="004963E2" w:rsidRDefault="004963E2" w:rsidP="004963E2">
            <w:pPr>
              <w:spacing w:after="60"/>
              <w:rPr>
                <w:sz w:val="18"/>
                <w:szCs w:val="18"/>
              </w:rPr>
            </w:pPr>
            <w:r w:rsidRPr="004963E2">
              <w:rPr>
                <w:sz w:val="18"/>
                <w:szCs w:val="18"/>
              </w:rPr>
              <w:t>KEQ 1 re outcomes and significance</w:t>
            </w:r>
          </w:p>
        </w:tc>
        <w:tc>
          <w:tcPr>
            <w:tcW w:w="2217" w:type="dxa"/>
          </w:tcPr>
          <w:p w14:paraId="65F51EA7" w14:textId="77777777" w:rsidR="004963E2" w:rsidRPr="004963E2" w:rsidRDefault="004963E2" w:rsidP="004963E2">
            <w:pPr>
              <w:spacing w:after="60"/>
              <w:rPr>
                <w:sz w:val="18"/>
                <w:szCs w:val="18"/>
              </w:rPr>
            </w:pPr>
            <w:r w:rsidRPr="004963E2">
              <w:rPr>
                <w:sz w:val="18"/>
                <w:szCs w:val="18"/>
              </w:rPr>
              <w:t>KEQ 1 re effectiveness</w:t>
            </w:r>
          </w:p>
        </w:tc>
      </w:tr>
      <w:tr w:rsidR="004963E2" w:rsidRPr="004963E2" w14:paraId="057398EB" w14:textId="77777777" w:rsidTr="004963E2">
        <w:tc>
          <w:tcPr>
            <w:tcW w:w="3681" w:type="dxa"/>
          </w:tcPr>
          <w:p w14:paraId="00DC56F3" w14:textId="77777777" w:rsidR="004963E2" w:rsidRPr="004963E2" w:rsidRDefault="004963E2" w:rsidP="004963E2">
            <w:pPr>
              <w:spacing w:after="60"/>
              <w:rPr>
                <w:sz w:val="18"/>
                <w:szCs w:val="18"/>
              </w:rPr>
            </w:pPr>
            <w:r w:rsidRPr="004963E2">
              <w:rPr>
                <w:sz w:val="18"/>
                <w:szCs w:val="18"/>
              </w:rPr>
              <w:t>Finding 2: working across the chain of justice</w:t>
            </w:r>
          </w:p>
        </w:tc>
        <w:tc>
          <w:tcPr>
            <w:tcW w:w="3118" w:type="dxa"/>
          </w:tcPr>
          <w:p w14:paraId="2000608D" w14:textId="77777777" w:rsidR="004963E2" w:rsidRPr="004963E2" w:rsidRDefault="004963E2" w:rsidP="004963E2">
            <w:pPr>
              <w:spacing w:after="60"/>
              <w:rPr>
                <w:sz w:val="18"/>
                <w:szCs w:val="18"/>
              </w:rPr>
            </w:pPr>
            <w:r w:rsidRPr="004963E2">
              <w:rPr>
                <w:sz w:val="18"/>
                <w:szCs w:val="18"/>
              </w:rPr>
              <w:t>KEQ 1 re outcomes and significance</w:t>
            </w:r>
          </w:p>
        </w:tc>
        <w:tc>
          <w:tcPr>
            <w:tcW w:w="2217" w:type="dxa"/>
          </w:tcPr>
          <w:p w14:paraId="4984C482" w14:textId="77777777" w:rsidR="004963E2" w:rsidRPr="004963E2" w:rsidRDefault="004963E2" w:rsidP="004963E2">
            <w:pPr>
              <w:spacing w:after="60"/>
              <w:rPr>
                <w:sz w:val="18"/>
                <w:szCs w:val="18"/>
              </w:rPr>
            </w:pPr>
            <w:r w:rsidRPr="004963E2">
              <w:rPr>
                <w:sz w:val="18"/>
                <w:szCs w:val="18"/>
              </w:rPr>
              <w:t>KEQ 1 re effectiveness</w:t>
            </w:r>
          </w:p>
        </w:tc>
      </w:tr>
      <w:tr w:rsidR="004963E2" w:rsidRPr="004963E2" w14:paraId="0DF52339" w14:textId="77777777" w:rsidTr="004963E2">
        <w:tc>
          <w:tcPr>
            <w:tcW w:w="3681" w:type="dxa"/>
          </w:tcPr>
          <w:p w14:paraId="3EBE1788" w14:textId="77777777" w:rsidR="004963E2" w:rsidRPr="004963E2" w:rsidRDefault="004963E2" w:rsidP="004963E2">
            <w:pPr>
              <w:spacing w:after="60"/>
              <w:rPr>
                <w:sz w:val="18"/>
                <w:szCs w:val="18"/>
              </w:rPr>
            </w:pPr>
            <w:r w:rsidRPr="004963E2">
              <w:rPr>
                <w:sz w:val="18"/>
                <w:szCs w:val="18"/>
              </w:rPr>
              <w:t>Finding 3: balancing stability and development objectives</w:t>
            </w:r>
          </w:p>
        </w:tc>
        <w:tc>
          <w:tcPr>
            <w:tcW w:w="3118" w:type="dxa"/>
          </w:tcPr>
          <w:p w14:paraId="1D99A409" w14:textId="77777777" w:rsidR="004963E2" w:rsidRPr="004963E2" w:rsidRDefault="004963E2" w:rsidP="004963E2">
            <w:pPr>
              <w:spacing w:after="60"/>
              <w:rPr>
                <w:sz w:val="18"/>
                <w:szCs w:val="18"/>
              </w:rPr>
            </w:pPr>
            <w:r w:rsidRPr="004963E2">
              <w:rPr>
                <w:sz w:val="18"/>
                <w:szCs w:val="18"/>
              </w:rPr>
              <w:t>KEQ 1 re outcomes and significance</w:t>
            </w:r>
          </w:p>
        </w:tc>
        <w:tc>
          <w:tcPr>
            <w:tcW w:w="2217" w:type="dxa"/>
          </w:tcPr>
          <w:p w14:paraId="2A36A8C4" w14:textId="77777777" w:rsidR="004963E2" w:rsidRPr="004963E2" w:rsidRDefault="004963E2" w:rsidP="004963E2">
            <w:pPr>
              <w:spacing w:after="60"/>
              <w:rPr>
                <w:sz w:val="18"/>
                <w:szCs w:val="18"/>
              </w:rPr>
            </w:pPr>
            <w:r w:rsidRPr="004963E2">
              <w:rPr>
                <w:sz w:val="18"/>
                <w:szCs w:val="18"/>
              </w:rPr>
              <w:t>KEQ 1 re effectiveness</w:t>
            </w:r>
          </w:p>
        </w:tc>
      </w:tr>
      <w:tr w:rsidR="004963E2" w:rsidRPr="004963E2" w14:paraId="138B00D2" w14:textId="77777777" w:rsidTr="004963E2">
        <w:tc>
          <w:tcPr>
            <w:tcW w:w="3681" w:type="dxa"/>
          </w:tcPr>
          <w:p w14:paraId="10550825" w14:textId="77777777" w:rsidR="004963E2" w:rsidRPr="004963E2" w:rsidRDefault="004963E2" w:rsidP="004963E2">
            <w:pPr>
              <w:spacing w:after="60"/>
              <w:rPr>
                <w:sz w:val="18"/>
                <w:szCs w:val="18"/>
              </w:rPr>
            </w:pPr>
            <w:r w:rsidRPr="004963E2">
              <w:rPr>
                <w:sz w:val="18"/>
                <w:szCs w:val="18"/>
              </w:rPr>
              <w:t>Finding 4: underestimating gender equality impact</w:t>
            </w:r>
          </w:p>
        </w:tc>
        <w:tc>
          <w:tcPr>
            <w:tcW w:w="3118" w:type="dxa"/>
          </w:tcPr>
          <w:p w14:paraId="29261D07" w14:textId="77777777" w:rsidR="004963E2" w:rsidRPr="004963E2" w:rsidRDefault="004963E2" w:rsidP="004963E2">
            <w:pPr>
              <w:spacing w:after="60"/>
              <w:rPr>
                <w:sz w:val="18"/>
                <w:szCs w:val="18"/>
              </w:rPr>
            </w:pPr>
            <w:r w:rsidRPr="004963E2">
              <w:rPr>
                <w:sz w:val="18"/>
                <w:szCs w:val="18"/>
              </w:rPr>
              <w:t>KEQ 2: design and delivery worked well and not</w:t>
            </w:r>
          </w:p>
        </w:tc>
        <w:tc>
          <w:tcPr>
            <w:tcW w:w="2217" w:type="dxa"/>
          </w:tcPr>
          <w:p w14:paraId="3634681D" w14:textId="77777777" w:rsidR="004963E2" w:rsidRPr="004963E2" w:rsidRDefault="004963E2" w:rsidP="004963E2">
            <w:pPr>
              <w:spacing w:after="60"/>
              <w:rPr>
                <w:sz w:val="18"/>
                <w:szCs w:val="18"/>
              </w:rPr>
            </w:pPr>
            <w:r w:rsidRPr="004963E2">
              <w:rPr>
                <w:sz w:val="18"/>
                <w:szCs w:val="18"/>
              </w:rPr>
              <w:t>KEQ 2: re efficiency</w:t>
            </w:r>
          </w:p>
        </w:tc>
      </w:tr>
      <w:tr w:rsidR="004963E2" w:rsidRPr="004963E2" w14:paraId="358FB0CF" w14:textId="77777777" w:rsidTr="004963E2">
        <w:tc>
          <w:tcPr>
            <w:tcW w:w="3681" w:type="dxa"/>
          </w:tcPr>
          <w:p w14:paraId="56AB3B6C" w14:textId="77777777" w:rsidR="004963E2" w:rsidRPr="004963E2" w:rsidRDefault="004963E2" w:rsidP="004963E2">
            <w:pPr>
              <w:spacing w:after="60"/>
              <w:rPr>
                <w:sz w:val="18"/>
                <w:szCs w:val="18"/>
              </w:rPr>
            </w:pPr>
            <w:r w:rsidRPr="004963E2">
              <w:rPr>
                <w:sz w:val="18"/>
                <w:szCs w:val="18"/>
              </w:rPr>
              <w:t>Finding 5: importance of community level activities</w:t>
            </w:r>
          </w:p>
        </w:tc>
        <w:tc>
          <w:tcPr>
            <w:tcW w:w="3118" w:type="dxa"/>
          </w:tcPr>
          <w:p w14:paraId="021394DA" w14:textId="77777777" w:rsidR="004963E2" w:rsidRPr="004963E2" w:rsidRDefault="004963E2" w:rsidP="004963E2">
            <w:pPr>
              <w:spacing w:after="60"/>
              <w:rPr>
                <w:sz w:val="18"/>
                <w:szCs w:val="18"/>
              </w:rPr>
            </w:pPr>
            <w:r w:rsidRPr="004963E2">
              <w:rPr>
                <w:sz w:val="18"/>
                <w:szCs w:val="18"/>
              </w:rPr>
              <w:t>KEQ 2: design and delivery worked well and not</w:t>
            </w:r>
          </w:p>
        </w:tc>
        <w:tc>
          <w:tcPr>
            <w:tcW w:w="2217" w:type="dxa"/>
          </w:tcPr>
          <w:p w14:paraId="444210EA" w14:textId="77777777" w:rsidR="004963E2" w:rsidRPr="004963E2" w:rsidRDefault="004963E2" w:rsidP="004963E2">
            <w:pPr>
              <w:spacing w:after="60"/>
              <w:rPr>
                <w:sz w:val="18"/>
                <w:szCs w:val="18"/>
              </w:rPr>
            </w:pPr>
            <w:r w:rsidRPr="004963E2">
              <w:rPr>
                <w:sz w:val="18"/>
                <w:szCs w:val="18"/>
              </w:rPr>
              <w:t>KEQ 1 re effectiveness</w:t>
            </w:r>
          </w:p>
        </w:tc>
      </w:tr>
      <w:tr w:rsidR="004963E2" w:rsidRPr="004963E2" w14:paraId="4ACC9BBD" w14:textId="77777777" w:rsidTr="004963E2">
        <w:tc>
          <w:tcPr>
            <w:tcW w:w="3681" w:type="dxa"/>
          </w:tcPr>
          <w:p w14:paraId="647ED0D6" w14:textId="77777777" w:rsidR="004963E2" w:rsidRPr="004963E2" w:rsidRDefault="004963E2" w:rsidP="004963E2">
            <w:pPr>
              <w:spacing w:after="60"/>
              <w:rPr>
                <w:sz w:val="18"/>
                <w:szCs w:val="18"/>
              </w:rPr>
            </w:pPr>
            <w:r w:rsidRPr="004963E2">
              <w:rPr>
                <w:sz w:val="18"/>
                <w:szCs w:val="18"/>
              </w:rPr>
              <w:t>Finding 6: consistent capacity development approach</w:t>
            </w:r>
          </w:p>
        </w:tc>
        <w:tc>
          <w:tcPr>
            <w:tcW w:w="3118" w:type="dxa"/>
          </w:tcPr>
          <w:p w14:paraId="701E8133" w14:textId="77777777" w:rsidR="004963E2" w:rsidRPr="004963E2" w:rsidRDefault="004963E2" w:rsidP="004963E2">
            <w:pPr>
              <w:spacing w:after="60"/>
              <w:rPr>
                <w:sz w:val="18"/>
                <w:szCs w:val="18"/>
              </w:rPr>
            </w:pPr>
            <w:r w:rsidRPr="004963E2">
              <w:rPr>
                <w:sz w:val="18"/>
                <w:szCs w:val="18"/>
              </w:rPr>
              <w:t>KEQ 3: implementation modality: worked well and not</w:t>
            </w:r>
          </w:p>
        </w:tc>
        <w:tc>
          <w:tcPr>
            <w:tcW w:w="2217" w:type="dxa"/>
          </w:tcPr>
          <w:p w14:paraId="5D4F6B1A" w14:textId="77777777" w:rsidR="004963E2" w:rsidRPr="004963E2" w:rsidRDefault="004963E2" w:rsidP="004963E2">
            <w:pPr>
              <w:spacing w:after="60"/>
              <w:rPr>
                <w:sz w:val="18"/>
                <w:szCs w:val="18"/>
              </w:rPr>
            </w:pPr>
            <w:r w:rsidRPr="004963E2">
              <w:rPr>
                <w:sz w:val="18"/>
                <w:szCs w:val="18"/>
              </w:rPr>
              <w:t>KEQ 2: re efficiency</w:t>
            </w:r>
          </w:p>
        </w:tc>
      </w:tr>
      <w:tr w:rsidR="004963E2" w:rsidRPr="004963E2" w14:paraId="69544CC0" w14:textId="77777777" w:rsidTr="004963E2">
        <w:tc>
          <w:tcPr>
            <w:tcW w:w="3681" w:type="dxa"/>
          </w:tcPr>
          <w:p w14:paraId="267F6C97" w14:textId="77777777" w:rsidR="004963E2" w:rsidRPr="004963E2" w:rsidRDefault="004963E2" w:rsidP="004963E2">
            <w:pPr>
              <w:spacing w:after="60"/>
              <w:rPr>
                <w:sz w:val="18"/>
                <w:szCs w:val="18"/>
              </w:rPr>
            </w:pPr>
            <w:r w:rsidRPr="004963E2">
              <w:rPr>
                <w:sz w:val="18"/>
                <w:szCs w:val="18"/>
              </w:rPr>
              <w:t>Finding 7: align implementation arrangements to drive and report on results</w:t>
            </w:r>
          </w:p>
        </w:tc>
        <w:tc>
          <w:tcPr>
            <w:tcW w:w="3118" w:type="dxa"/>
          </w:tcPr>
          <w:p w14:paraId="0175A8E9" w14:textId="77777777" w:rsidR="004963E2" w:rsidRPr="004963E2" w:rsidRDefault="004963E2" w:rsidP="004963E2">
            <w:pPr>
              <w:spacing w:after="60"/>
              <w:rPr>
                <w:sz w:val="18"/>
                <w:szCs w:val="18"/>
              </w:rPr>
            </w:pPr>
            <w:r w:rsidRPr="004963E2">
              <w:rPr>
                <w:sz w:val="18"/>
                <w:szCs w:val="18"/>
              </w:rPr>
              <w:t>KEQ 3: implementation modality: worked well and not</w:t>
            </w:r>
          </w:p>
        </w:tc>
        <w:tc>
          <w:tcPr>
            <w:tcW w:w="2217" w:type="dxa"/>
          </w:tcPr>
          <w:p w14:paraId="19DDB422" w14:textId="77777777" w:rsidR="004963E2" w:rsidRPr="004963E2" w:rsidRDefault="004963E2" w:rsidP="004963E2">
            <w:pPr>
              <w:spacing w:after="60"/>
              <w:rPr>
                <w:sz w:val="18"/>
                <w:szCs w:val="18"/>
              </w:rPr>
            </w:pPr>
            <w:r w:rsidRPr="004963E2">
              <w:rPr>
                <w:sz w:val="18"/>
                <w:szCs w:val="18"/>
              </w:rPr>
              <w:t>KEQ 2: re efficiency</w:t>
            </w:r>
          </w:p>
        </w:tc>
      </w:tr>
      <w:tr w:rsidR="004963E2" w:rsidRPr="004963E2" w14:paraId="43714563" w14:textId="77777777" w:rsidTr="004963E2">
        <w:tc>
          <w:tcPr>
            <w:tcW w:w="3681" w:type="dxa"/>
          </w:tcPr>
          <w:p w14:paraId="62114344" w14:textId="77777777" w:rsidR="004963E2" w:rsidRPr="004963E2" w:rsidRDefault="004963E2" w:rsidP="004963E2">
            <w:pPr>
              <w:spacing w:after="60"/>
              <w:rPr>
                <w:sz w:val="18"/>
                <w:szCs w:val="18"/>
              </w:rPr>
            </w:pPr>
            <w:r>
              <w:rPr>
                <w:sz w:val="18"/>
                <w:szCs w:val="18"/>
              </w:rPr>
              <w:t>All Findings</w:t>
            </w:r>
          </w:p>
        </w:tc>
        <w:tc>
          <w:tcPr>
            <w:tcW w:w="3118" w:type="dxa"/>
          </w:tcPr>
          <w:p w14:paraId="4B4E843C" w14:textId="77777777" w:rsidR="004963E2" w:rsidRPr="004963E2" w:rsidRDefault="004963E2" w:rsidP="004963E2">
            <w:pPr>
              <w:spacing w:after="60"/>
              <w:rPr>
                <w:sz w:val="18"/>
                <w:szCs w:val="18"/>
              </w:rPr>
            </w:pPr>
            <w:r>
              <w:rPr>
                <w:sz w:val="18"/>
                <w:szCs w:val="18"/>
              </w:rPr>
              <w:t xml:space="preserve">KEQ 4: future opportunities </w:t>
            </w:r>
          </w:p>
        </w:tc>
        <w:tc>
          <w:tcPr>
            <w:tcW w:w="2217" w:type="dxa"/>
          </w:tcPr>
          <w:p w14:paraId="1E33C74B" w14:textId="77777777" w:rsidR="004963E2" w:rsidRPr="004963E2" w:rsidRDefault="004963E2" w:rsidP="004963E2">
            <w:pPr>
              <w:spacing w:after="60"/>
              <w:rPr>
                <w:sz w:val="18"/>
                <w:szCs w:val="18"/>
              </w:rPr>
            </w:pPr>
            <w:r>
              <w:rPr>
                <w:sz w:val="18"/>
                <w:szCs w:val="18"/>
              </w:rPr>
              <w:t>KEQ 3: future directions</w:t>
            </w:r>
          </w:p>
        </w:tc>
      </w:tr>
    </w:tbl>
    <w:p w14:paraId="6B7FC932" w14:textId="77777777" w:rsidR="00BB6FAB" w:rsidRDefault="00BB6FAB" w:rsidP="00571ABE">
      <w:pPr>
        <w:spacing w:after="60" w:line="240" w:lineRule="auto"/>
      </w:pPr>
    </w:p>
    <w:p w14:paraId="20566207" w14:textId="77777777" w:rsidR="0071582F" w:rsidRDefault="00BB6FAB" w:rsidP="00BB6C95">
      <w:pPr>
        <w:spacing w:after="60" w:line="240" w:lineRule="auto"/>
        <w:jc w:val="both"/>
      </w:pPr>
      <w:r>
        <w:t xml:space="preserve">More detailed </w:t>
      </w:r>
      <w:r w:rsidR="007609F9">
        <w:t>information and supporting evidence is presented in Annex 5 including:</w:t>
      </w:r>
    </w:p>
    <w:p w14:paraId="2CFB5886" w14:textId="77777777" w:rsidR="00564538" w:rsidRPr="002E542A" w:rsidRDefault="00564538" w:rsidP="004E7C9F">
      <w:pPr>
        <w:numPr>
          <w:ilvl w:val="0"/>
          <w:numId w:val="4"/>
        </w:numPr>
        <w:spacing w:after="0" w:line="240" w:lineRule="auto"/>
        <w:ind w:left="426" w:right="95" w:hanging="426"/>
        <w:contextualSpacing/>
        <w:jc w:val="both"/>
        <w:rPr>
          <w:rFonts w:eastAsia="Times New Roman" w:cstheme="minorHAnsi"/>
          <w:lang w:eastAsia="en-AU"/>
        </w:rPr>
      </w:pPr>
      <w:r>
        <w:rPr>
          <w:rFonts w:eastAsia="Times New Roman" w:cstheme="minorHAnsi"/>
          <w:lang w:eastAsia="en-AU"/>
        </w:rPr>
        <w:t>An</w:t>
      </w:r>
      <w:r w:rsidR="007609F9" w:rsidRPr="000844F9">
        <w:rPr>
          <w:rFonts w:eastAsia="Times New Roman" w:cstheme="minorHAnsi"/>
          <w:lang w:eastAsia="en-AU"/>
        </w:rPr>
        <w:t xml:space="preserve"> assessment of effectiveness of each individual part of the Program</w:t>
      </w:r>
      <w:r w:rsidR="0071582F" w:rsidRPr="000844F9">
        <w:rPr>
          <w:rFonts w:eastAsia="Times New Roman" w:cstheme="minorHAnsi"/>
          <w:lang w:eastAsia="en-AU"/>
        </w:rPr>
        <w:t xml:space="preserve"> which also </w:t>
      </w:r>
      <w:r>
        <w:rPr>
          <w:rFonts w:eastAsia="Times New Roman" w:cstheme="minorHAnsi"/>
          <w:lang w:eastAsia="en-AU"/>
        </w:rPr>
        <w:t xml:space="preserve">includes key </w:t>
      </w:r>
      <w:r w:rsidR="002E542A">
        <w:rPr>
          <w:rFonts w:eastAsia="Times New Roman" w:cstheme="minorHAnsi"/>
          <w:lang w:eastAsia="en-AU"/>
        </w:rPr>
        <w:t xml:space="preserve">analysis and achievement, and analysis of </w:t>
      </w:r>
      <w:r w:rsidRPr="002E542A">
        <w:rPr>
          <w:rFonts w:eastAsia="Times New Roman" w:cstheme="minorHAnsi"/>
          <w:lang w:eastAsia="en-AU"/>
        </w:rPr>
        <w:t>capacity building and gender equality (5.1);</w:t>
      </w:r>
    </w:p>
    <w:p w14:paraId="417FC613" w14:textId="77777777" w:rsidR="005C2A8A" w:rsidRDefault="00564538" w:rsidP="004E7C9F">
      <w:pPr>
        <w:numPr>
          <w:ilvl w:val="0"/>
          <w:numId w:val="4"/>
        </w:numPr>
        <w:spacing w:after="0" w:line="240" w:lineRule="auto"/>
        <w:ind w:left="426" w:right="95" w:hanging="426"/>
        <w:contextualSpacing/>
        <w:jc w:val="both"/>
        <w:rPr>
          <w:rFonts w:eastAsia="Times New Roman" w:cstheme="minorHAnsi"/>
          <w:lang w:eastAsia="en-AU"/>
        </w:rPr>
      </w:pPr>
      <w:r>
        <w:rPr>
          <w:rFonts w:eastAsia="Times New Roman" w:cstheme="minorHAnsi"/>
          <w:lang w:eastAsia="en-AU"/>
        </w:rPr>
        <w:t>O</w:t>
      </w:r>
      <w:r w:rsidR="000F4511" w:rsidRPr="000844F9">
        <w:rPr>
          <w:rFonts w:eastAsia="Times New Roman" w:cstheme="minorHAnsi"/>
          <w:lang w:eastAsia="en-AU"/>
        </w:rPr>
        <w:t>fficial</w:t>
      </w:r>
      <w:r w:rsidR="007609F9" w:rsidRPr="000844F9">
        <w:rPr>
          <w:rFonts w:eastAsia="Times New Roman" w:cstheme="minorHAnsi"/>
          <w:lang w:eastAsia="en-AU"/>
        </w:rPr>
        <w:t xml:space="preserve"> </w:t>
      </w:r>
      <w:r>
        <w:rPr>
          <w:rFonts w:eastAsia="Times New Roman" w:cstheme="minorHAnsi"/>
          <w:lang w:eastAsia="en-AU"/>
        </w:rPr>
        <w:t xml:space="preserve">policing and justice </w:t>
      </w:r>
      <w:r w:rsidR="000F4511" w:rsidRPr="000844F9">
        <w:rPr>
          <w:rFonts w:eastAsia="Times New Roman" w:cstheme="minorHAnsi"/>
          <w:lang w:eastAsia="en-AU"/>
        </w:rPr>
        <w:t>statistics and data sets which have informed analysis</w:t>
      </w:r>
      <w:r w:rsidR="005C2A8A">
        <w:rPr>
          <w:rFonts w:eastAsia="Times New Roman" w:cstheme="minorHAnsi"/>
          <w:lang w:eastAsia="en-AU"/>
        </w:rPr>
        <w:t xml:space="preserve"> (5.2);</w:t>
      </w:r>
    </w:p>
    <w:p w14:paraId="5DDEA5FC" w14:textId="77777777" w:rsidR="007609F9" w:rsidRDefault="005C2A8A" w:rsidP="004E7C9F">
      <w:pPr>
        <w:numPr>
          <w:ilvl w:val="0"/>
          <w:numId w:val="4"/>
        </w:numPr>
        <w:spacing w:after="0" w:line="240" w:lineRule="auto"/>
        <w:ind w:left="426" w:right="95" w:hanging="426"/>
        <w:contextualSpacing/>
        <w:jc w:val="both"/>
        <w:rPr>
          <w:rFonts w:eastAsia="Times New Roman" w:cstheme="minorHAnsi"/>
          <w:lang w:eastAsia="en-AU"/>
        </w:rPr>
      </w:pPr>
      <w:r>
        <w:rPr>
          <w:rFonts w:eastAsia="Times New Roman" w:cstheme="minorHAnsi"/>
          <w:lang w:eastAsia="en-AU"/>
        </w:rPr>
        <w:t>A</w:t>
      </w:r>
      <w:r w:rsidR="007609F9" w:rsidRPr="000844F9">
        <w:rPr>
          <w:rFonts w:eastAsia="Times New Roman" w:cstheme="minorHAnsi"/>
          <w:lang w:eastAsia="en-AU"/>
        </w:rPr>
        <w:t xml:space="preserve"> detailed evaluation methodology</w:t>
      </w:r>
      <w:r w:rsidR="00564538">
        <w:rPr>
          <w:rFonts w:eastAsia="Times New Roman" w:cstheme="minorHAnsi"/>
          <w:lang w:eastAsia="en-AU"/>
        </w:rPr>
        <w:t xml:space="preserve"> (5.</w:t>
      </w:r>
      <w:r>
        <w:rPr>
          <w:rFonts w:eastAsia="Times New Roman" w:cstheme="minorHAnsi"/>
          <w:lang w:eastAsia="en-AU"/>
        </w:rPr>
        <w:t>3</w:t>
      </w:r>
      <w:r w:rsidR="00564538">
        <w:rPr>
          <w:rFonts w:eastAsia="Times New Roman" w:cstheme="minorHAnsi"/>
          <w:lang w:eastAsia="en-AU"/>
        </w:rPr>
        <w:t>)</w:t>
      </w:r>
      <w:r>
        <w:rPr>
          <w:rFonts w:eastAsia="Times New Roman" w:cstheme="minorHAnsi"/>
          <w:lang w:eastAsia="en-AU"/>
        </w:rPr>
        <w:t>.</w:t>
      </w:r>
    </w:p>
    <w:p w14:paraId="4192A1A5" w14:textId="77777777" w:rsidR="00D57B18" w:rsidRDefault="00D57B18" w:rsidP="00D57B18">
      <w:pPr>
        <w:spacing w:after="0" w:line="240" w:lineRule="auto"/>
        <w:ind w:right="95"/>
        <w:contextualSpacing/>
        <w:jc w:val="both"/>
        <w:rPr>
          <w:rFonts w:eastAsia="Times New Roman" w:cstheme="minorHAnsi"/>
          <w:lang w:eastAsia="en-AU"/>
        </w:rPr>
      </w:pPr>
    </w:p>
    <w:p w14:paraId="314FFC67" w14:textId="77777777" w:rsidR="00951581" w:rsidRDefault="004963E2" w:rsidP="004963E2">
      <w:pPr>
        <w:spacing w:after="120" w:line="240" w:lineRule="auto"/>
        <w:jc w:val="both"/>
        <w:rPr>
          <w:rFonts w:eastAsia="Times New Roman" w:cstheme="minorHAnsi"/>
          <w:lang w:eastAsia="en-AU"/>
        </w:rPr>
      </w:pPr>
      <w:r>
        <w:rPr>
          <w:rFonts w:eastAsia="Times New Roman" w:cstheme="minorHAnsi"/>
          <w:lang w:eastAsia="en-AU"/>
        </w:rPr>
        <w:t>A secondary set of findings on specific issues were provided to DFAT and AFP under separate cover. This provides more detailed analysis and recommendations on issues mentioned under the main findings f</w:t>
      </w:r>
      <w:r w:rsidR="00437B7F">
        <w:rPr>
          <w:rFonts w:eastAsia="Times New Roman" w:cstheme="minorHAnsi"/>
          <w:lang w:eastAsia="en-AU"/>
        </w:rPr>
        <w:t>o</w:t>
      </w:r>
      <w:r>
        <w:rPr>
          <w:rFonts w:eastAsia="Times New Roman" w:cstheme="minorHAnsi"/>
          <w:lang w:eastAsia="en-AU"/>
        </w:rPr>
        <w:t>r further consideration.</w:t>
      </w:r>
    </w:p>
    <w:p w14:paraId="6492BD81" w14:textId="77777777" w:rsidR="00EE3C2A" w:rsidRPr="00906936" w:rsidRDefault="00EE3C2A" w:rsidP="00EE3C2A">
      <w:pPr>
        <w:pBdr>
          <w:bottom w:val="single" w:sz="4" w:space="10" w:color="44546A" w:themeColor="text2"/>
        </w:pBdr>
        <w:spacing w:before="400" w:after="280" w:line="240" w:lineRule="auto"/>
        <w:outlineLvl w:val="1"/>
        <w:rPr>
          <w:rFonts w:ascii="Calibri" w:eastAsia="MS Gothic" w:hAnsi="Calibri" w:cs="Times New Roman"/>
          <w:b/>
          <w:bCs/>
          <w:color w:val="44546A" w:themeColor="text2"/>
          <w:sz w:val="40"/>
          <w:szCs w:val="40"/>
        </w:rPr>
      </w:pPr>
      <w:bookmarkStart w:id="28" w:name="_Toc25591524"/>
      <w:bookmarkStart w:id="29" w:name="_Hlk2587718"/>
      <w:r w:rsidRPr="005B4E54">
        <w:rPr>
          <w:rFonts w:ascii="Calibri" w:eastAsia="MS Gothic" w:hAnsi="Calibri" w:cs="Times New Roman"/>
          <w:b/>
          <w:bCs/>
          <w:color w:val="44546A" w:themeColor="text2"/>
          <w:sz w:val="40"/>
          <w:szCs w:val="40"/>
        </w:rPr>
        <w:t xml:space="preserve">Section </w:t>
      </w:r>
      <w:r>
        <w:rPr>
          <w:rFonts w:ascii="Calibri" w:eastAsia="MS Gothic" w:hAnsi="Calibri" w:cs="Times New Roman"/>
          <w:b/>
          <w:bCs/>
          <w:color w:val="44546A" w:themeColor="text2"/>
          <w:sz w:val="40"/>
          <w:szCs w:val="40"/>
        </w:rPr>
        <w:t>2</w:t>
      </w:r>
      <w:r w:rsidRPr="005B4E54">
        <w:rPr>
          <w:rFonts w:ascii="Calibri" w:eastAsia="MS Gothic" w:hAnsi="Calibri" w:cs="Times New Roman"/>
          <w:b/>
          <w:bCs/>
          <w:color w:val="44546A" w:themeColor="text2"/>
          <w:sz w:val="40"/>
          <w:szCs w:val="40"/>
        </w:rPr>
        <w:t xml:space="preserve">: </w:t>
      </w:r>
      <w:r>
        <w:rPr>
          <w:rFonts w:ascii="Calibri" w:eastAsia="MS Gothic" w:hAnsi="Calibri" w:cs="Times New Roman"/>
          <w:b/>
          <w:bCs/>
          <w:color w:val="44546A" w:themeColor="text2"/>
          <w:sz w:val="40"/>
          <w:szCs w:val="40"/>
        </w:rPr>
        <w:t>Findings</w:t>
      </w:r>
      <w:bookmarkEnd w:id="28"/>
    </w:p>
    <w:p w14:paraId="6C7CDFA4" w14:textId="77777777" w:rsidR="00EE3C2A" w:rsidRDefault="00EE3C2A" w:rsidP="00EE3C2A">
      <w:pPr>
        <w:pStyle w:val="SDANumberedheading2"/>
        <w:ind w:left="0"/>
        <w:rPr>
          <w:color w:val="44546A" w:themeColor="text2"/>
        </w:rPr>
      </w:pPr>
      <w:bookmarkStart w:id="30" w:name="_Toc25591525"/>
      <w:r>
        <w:rPr>
          <w:color w:val="44546A" w:themeColor="text2"/>
        </w:rPr>
        <w:t>2.1 Key findings</w:t>
      </w:r>
      <w:bookmarkEnd w:id="30"/>
    </w:p>
    <w:p w14:paraId="0D9C985B" w14:textId="77777777" w:rsidR="000E4B79" w:rsidRDefault="000E4B79" w:rsidP="0048161F">
      <w:pPr>
        <w:spacing w:after="0"/>
        <w:jc w:val="both"/>
        <w:rPr>
          <w:rFonts w:ascii="Calibri" w:eastAsia="Calibri" w:hAnsi="Calibri" w:cs="Times New Roman"/>
          <w:b/>
        </w:rPr>
      </w:pPr>
    </w:p>
    <w:p w14:paraId="4B8DA59D" w14:textId="77777777" w:rsidR="0048161F" w:rsidRPr="0048161F" w:rsidRDefault="0048161F" w:rsidP="0048161F">
      <w:pPr>
        <w:spacing w:after="0"/>
        <w:jc w:val="both"/>
        <w:rPr>
          <w:rFonts w:ascii="Calibri" w:eastAsia="Calibri" w:hAnsi="Calibri" w:cs="Times New Roman"/>
          <w:b/>
        </w:rPr>
      </w:pPr>
      <w:r w:rsidRPr="00AF537E">
        <w:rPr>
          <w:rFonts w:ascii="Calibri" w:eastAsia="Calibri" w:hAnsi="Calibri" w:cs="Times New Roman"/>
          <w:b/>
        </w:rPr>
        <w:t xml:space="preserve">Finding </w:t>
      </w:r>
      <w:r>
        <w:rPr>
          <w:rFonts w:ascii="Calibri" w:eastAsia="Calibri" w:hAnsi="Calibri" w:cs="Times New Roman"/>
          <w:b/>
        </w:rPr>
        <w:t>1:</w:t>
      </w:r>
      <w:r w:rsidR="00A0159B">
        <w:rPr>
          <w:rFonts w:ascii="Calibri" w:eastAsia="Calibri" w:hAnsi="Calibri" w:cs="Times New Roman"/>
          <w:b/>
        </w:rPr>
        <w:t xml:space="preserve"> </w:t>
      </w:r>
      <w:r w:rsidR="00BB6FAB">
        <w:rPr>
          <w:rFonts w:ascii="Calibri" w:eastAsia="Calibri" w:hAnsi="Calibri" w:cs="Times New Roman"/>
          <w:b/>
        </w:rPr>
        <w:t>Significant progress but sustainability challenges</w:t>
      </w:r>
    </w:p>
    <w:p w14:paraId="1417479D" w14:textId="77777777" w:rsidR="000E4B79" w:rsidRPr="00951581" w:rsidRDefault="000E4B79" w:rsidP="0083248E">
      <w:pPr>
        <w:shd w:val="clear" w:color="auto" w:fill="F3F5F7"/>
        <w:spacing w:line="240" w:lineRule="auto"/>
        <w:jc w:val="both"/>
        <w:rPr>
          <w:color w:val="44546A" w:themeColor="text2"/>
        </w:rPr>
      </w:pPr>
      <w:r w:rsidRPr="00951581">
        <w:rPr>
          <w:color w:val="44546A" w:themeColor="text2"/>
        </w:rPr>
        <w:t xml:space="preserve">The program has achieved </w:t>
      </w:r>
      <w:r w:rsidRPr="00951581">
        <w:rPr>
          <w:b/>
          <w:color w:val="44546A" w:themeColor="text2"/>
        </w:rPr>
        <w:t>significant progress</w:t>
      </w:r>
      <w:r w:rsidRPr="00951581">
        <w:rPr>
          <w:color w:val="44546A" w:themeColor="text2"/>
        </w:rPr>
        <w:t xml:space="preserve"> in </w:t>
      </w:r>
      <w:r w:rsidRPr="00951581">
        <w:rPr>
          <w:b/>
          <w:color w:val="44546A" w:themeColor="text2"/>
        </w:rPr>
        <w:t>some</w:t>
      </w:r>
      <w:r w:rsidRPr="00951581">
        <w:rPr>
          <w:color w:val="44546A" w:themeColor="text2"/>
        </w:rPr>
        <w:t xml:space="preserve"> important areas at systems, organisational and community level that is resulting in better justice for vulnerable people, particularly women, that builds on previous efforts and phases of Australian assistance. Across the Program, </w:t>
      </w:r>
      <w:r w:rsidRPr="00951581">
        <w:rPr>
          <w:b/>
          <w:color w:val="44546A" w:themeColor="text2"/>
        </w:rPr>
        <w:t>good progress</w:t>
      </w:r>
      <w:r w:rsidRPr="00951581">
        <w:rPr>
          <w:color w:val="44546A" w:themeColor="text2"/>
        </w:rPr>
        <w:t xml:space="preserve"> is being made given the underlying challenges in the operating environment that pose a challenge for sustainability. The Program could do more to respond to opportunities and constraints across and beyond the sector with the </w:t>
      </w:r>
      <w:proofErr w:type="spellStart"/>
      <w:r w:rsidRPr="00951581">
        <w:rPr>
          <w:color w:val="44546A" w:themeColor="text2"/>
        </w:rPr>
        <w:t>GoV</w:t>
      </w:r>
      <w:proofErr w:type="spellEnd"/>
      <w:r w:rsidRPr="00951581">
        <w:rPr>
          <w:color w:val="44546A" w:themeColor="text2"/>
        </w:rPr>
        <w:t xml:space="preserve"> to address core issues of financing and human resources in the long term. </w:t>
      </w:r>
    </w:p>
    <w:p w14:paraId="5C2301C3" w14:textId="77777777" w:rsidR="000E4B79" w:rsidRPr="000E4B79" w:rsidRDefault="000E4B79" w:rsidP="000E4B79">
      <w:pPr>
        <w:spacing w:after="0" w:line="240" w:lineRule="auto"/>
        <w:rPr>
          <w:b/>
          <w:bCs/>
        </w:rPr>
      </w:pPr>
      <w:r w:rsidRPr="000E4B79">
        <w:rPr>
          <w:b/>
          <w:bCs/>
        </w:rPr>
        <w:t>Systems, Organisational and Community level achievements</w:t>
      </w:r>
    </w:p>
    <w:p w14:paraId="46078ABA" w14:textId="77777777" w:rsidR="000E4B79" w:rsidRDefault="00D63FC7" w:rsidP="0083248E">
      <w:pPr>
        <w:spacing w:line="240" w:lineRule="auto"/>
        <w:jc w:val="both"/>
      </w:pPr>
      <w:r w:rsidRPr="00B87B8B">
        <w:t>SRBJS</w:t>
      </w:r>
      <w:r>
        <w:t xml:space="preserve"> </w:t>
      </w:r>
      <w:r w:rsidR="000E4B79">
        <w:t>is a complex program with</w:t>
      </w:r>
      <w:r w:rsidR="00406A9B">
        <w:t xml:space="preserve"> three End of Program Outcomes (EOPOs) which are</w:t>
      </w:r>
      <w:r>
        <w:t xml:space="preserve"> framed as</w:t>
      </w:r>
      <w:r w:rsidR="000E4B79">
        <w:t xml:space="preserve"> aspirational goals</w:t>
      </w:r>
      <w:r w:rsidR="000E4B79">
        <w:rPr>
          <w:rStyle w:val="FootnoteReference"/>
        </w:rPr>
        <w:footnoteReference w:id="11"/>
      </w:r>
      <w:r w:rsidR="000E4B79">
        <w:t xml:space="preserve"> to improve service capacity, increase access and improve quality of services.</w:t>
      </w:r>
      <w:r w:rsidR="00B1646A">
        <w:t xml:space="preserve"> </w:t>
      </w:r>
      <w:r w:rsidR="000E4B79">
        <w:t xml:space="preserve">The design has a multi-layered approach to </w:t>
      </w:r>
      <w:r w:rsidR="00437B7F">
        <w:t xml:space="preserve">capacity development across </w:t>
      </w:r>
      <w:r w:rsidR="000E4B79">
        <w:t>the sector. The evaluation found that there are significant achievements of the program that span these outcome areas and levels.</w:t>
      </w:r>
      <w:r w:rsidR="00B1646A">
        <w:t xml:space="preserve"> </w:t>
      </w:r>
    </w:p>
    <w:p w14:paraId="2A61E933" w14:textId="77777777" w:rsidR="000E4B79" w:rsidRDefault="000E4B79" w:rsidP="0083248E">
      <w:pPr>
        <w:spacing w:after="0" w:line="240" w:lineRule="auto"/>
        <w:jc w:val="both"/>
      </w:pPr>
      <w:r w:rsidRPr="00A21635">
        <w:rPr>
          <w:b/>
          <w:bCs/>
        </w:rPr>
        <w:t>System level</w:t>
      </w:r>
      <w:r>
        <w:t xml:space="preserve"> achievements of the Program to date include: </w:t>
      </w:r>
    </w:p>
    <w:p w14:paraId="093C0506" w14:textId="77777777" w:rsidR="000E4B79" w:rsidRDefault="000E4B79" w:rsidP="004E7C9F">
      <w:pPr>
        <w:pStyle w:val="ListParagraph"/>
        <w:numPr>
          <w:ilvl w:val="0"/>
          <w:numId w:val="28"/>
        </w:numPr>
        <w:jc w:val="both"/>
        <w:rPr>
          <w:sz w:val="22"/>
          <w:szCs w:val="22"/>
        </w:rPr>
      </w:pPr>
      <w:r>
        <w:rPr>
          <w:sz w:val="22"/>
          <w:szCs w:val="22"/>
        </w:rPr>
        <w:t>An increase in numbers of victims of family violence willing to make reports to Police</w:t>
      </w:r>
      <w:r>
        <w:rPr>
          <w:rStyle w:val="FootnoteReference"/>
          <w:sz w:val="22"/>
          <w:szCs w:val="22"/>
        </w:rPr>
        <w:footnoteReference w:id="12"/>
      </w:r>
    </w:p>
    <w:p w14:paraId="5E997332" w14:textId="77777777" w:rsidR="000E4B79" w:rsidRPr="00103842" w:rsidRDefault="00E03285" w:rsidP="004E7C9F">
      <w:pPr>
        <w:pStyle w:val="ListParagraph"/>
        <w:numPr>
          <w:ilvl w:val="0"/>
          <w:numId w:val="28"/>
        </w:numPr>
        <w:jc w:val="both"/>
        <w:rPr>
          <w:sz w:val="22"/>
          <w:szCs w:val="22"/>
        </w:rPr>
      </w:pPr>
      <w:r>
        <w:rPr>
          <w:sz w:val="22"/>
          <w:szCs w:val="22"/>
        </w:rPr>
        <w:t>High numbers</w:t>
      </w:r>
      <w:r w:rsidR="000E4B79">
        <w:rPr>
          <w:sz w:val="22"/>
          <w:szCs w:val="22"/>
        </w:rPr>
        <w:t xml:space="preserve"> of successful prosecutions of offenders of family violence</w:t>
      </w:r>
      <w:r w:rsidR="00103842">
        <w:rPr>
          <w:sz w:val="22"/>
          <w:szCs w:val="22"/>
        </w:rPr>
        <w:t xml:space="preserve">. </w:t>
      </w:r>
      <w:r w:rsidR="000E4B79">
        <w:rPr>
          <w:rStyle w:val="FootnoteReference"/>
          <w:sz w:val="22"/>
          <w:szCs w:val="22"/>
        </w:rPr>
        <w:footnoteReference w:id="13"/>
      </w:r>
      <w:r w:rsidR="0093146D" w:rsidRPr="00103842">
        <w:t xml:space="preserve"> </w:t>
      </w:r>
    </w:p>
    <w:p w14:paraId="3FE531F6" w14:textId="77777777" w:rsidR="000E4B79" w:rsidRPr="008C5BE5" w:rsidRDefault="000E4B79" w:rsidP="004E7C9F">
      <w:pPr>
        <w:pStyle w:val="ListParagraph"/>
        <w:numPr>
          <w:ilvl w:val="0"/>
          <w:numId w:val="28"/>
        </w:numPr>
        <w:jc w:val="both"/>
        <w:rPr>
          <w:sz w:val="22"/>
          <w:szCs w:val="22"/>
        </w:rPr>
      </w:pPr>
      <w:r w:rsidRPr="008C5BE5">
        <w:rPr>
          <w:sz w:val="22"/>
          <w:szCs w:val="22"/>
        </w:rPr>
        <w:t>Improved collaboration and cooperation amongst police and justice agencies</w:t>
      </w:r>
      <w:r w:rsidR="008C5BE5" w:rsidRPr="008C5BE5">
        <w:rPr>
          <w:sz w:val="22"/>
          <w:szCs w:val="22"/>
        </w:rPr>
        <w:t xml:space="preserve">, including through the </w:t>
      </w:r>
      <w:r w:rsidRPr="008C5BE5">
        <w:rPr>
          <w:sz w:val="22"/>
          <w:szCs w:val="22"/>
        </w:rPr>
        <w:t>Strategic leadership group</w:t>
      </w:r>
      <w:r>
        <w:rPr>
          <w:rStyle w:val="FootnoteReference"/>
          <w:sz w:val="22"/>
          <w:szCs w:val="22"/>
        </w:rPr>
        <w:footnoteReference w:id="14"/>
      </w:r>
    </w:p>
    <w:p w14:paraId="56BA7A51" w14:textId="77777777" w:rsidR="00E4189A" w:rsidRDefault="000E4B79" w:rsidP="004E7C9F">
      <w:pPr>
        <w:pStyle w:val="ListParagraph"/>
        <w:numPr>
          <w:ilvl w:val="0"/>
          <w:numId w:val="28"/>
        </w:numPr>
        <w:jc w:val="both"/>
        <w:rPr>
          <w:sz w:val="22"/>
          <w:szCs w:val="22"/>
        </w:rPr>
      </w:pPr>
      <w:r>
        <w:rPr>
          <w:sz w:val="22"/>
          <w:szCs w:val="22"/>
        </w:rPr>
        <w:t>Improved systems for case management, data collection, human resources, financial management and monitoring and evaluation across the sector</w:t>
      </w:r>
      <w:r w:rsidR="0083248E">
        <w:rPr>
          <w:sz w:val="22"/>
          <w:szCs w:val="22"/>
        </w:rPr>
        <w:t>.</w:t>
      </w:r>
    </w:p>
    <w:p w14:paraId="4AF347FF" w14:textId="77777777" w:rsidR="0083248E" w:rsidRPr="0083248E" w:rsidRDefault="0083248E" w:rsidP="0083248E">
      <w:pPr>
        <w:pStyle w:val="ListParagraph"/>
        <w:jc w:val="both"/>
        <w:rPr>
          <w:sz w:val="22"/>
          <w:szCs w:val="22"/>
        </w:rPr>
      </w:pPr>
    </w:p>
    <w:p w14:paraId="721DE1EB" w14:textId="77777777" w:rsidR="000E4B79" w:rsidRDefault="00E41B3C" w:rsidP="00EF7649">
      <w:pPr>
        <w:spacing w:after="0" w:line="240" w:lineRule="auto"/>
        <w:jc w:val="both"/>
      </w:pPr>
      <w:r w:rsidRPr="00E93816">
        <w:rPr>
          <w:noProof/>
          <w:lang w:eastAsia="en-AU"/>
        </w:rPr>
        <mc:AlternateContent>
          <mc:Choice Requires="wps">
            <w:drawing>
              <wp:anchor distT="45720" distB="45720" distL="114300" distR="114300" simplePos="0" relativeHeight="251697152" behindDoc="0" locked="0" layoutInCell="1" allowOverlap="1" wp14:anchorId="67AFF36E" wp14:editId="641AA4E4">
                <wp:simplePos x="0" y="0"/>
                <wp:positionH relativeFrom="margin">
                  <wp:posOffset>3169285</wp:posOffset>
                </wp:positionH>
                <wp:positionV relativeFrom="paragraph">
                  <wp:posOffset>24765</wp:posOffset>
                </wp:positionV>
                <wp:extent cx="2626995" cy="5448300"/>
                <wp:effectExtent l="0" t="0" r="20955" b="1905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6995" cy="5448300"/>
                        </a:xfrm>
                        <a:prstGeom prst="rect">
                          <a:avLst/>
                        </a:prstGeom>
                        <a:ln>
                          <a:solidFill>
                            <a:schemeClr val="tx2"/>
                          </a:solidFill>
                          <a:headEnd/>
                          <a:tailEnd/>
                        </a:ln>
                      </wps:spPr>
                      <wps:style>
                        <a:lnRef idx="2">
                          <a:schemeClr val="dk1"/>
                        </a:lnRef>
                        <a:fillRef idx="1">
                          <a:schemeClr val="lt1"/>
                        </a:fillRef>
                        <a:effectRef idx="0">
                          <a:schemeClr val="dk1"/>
                        </a:effectRef>
                        <a:fontRef idx="minor">
                          <a:schemeClr val="dk1"/>
                        </a:fontRef>
                      </wps:style>
                      <wps:txbx>
                        <w:txbxContent>
                          <w:p w14:paraId="66082A22" w14:textId="77777777" w:rsidR="00705D48" w:rsidRPr="00EF37D5" w:rsidRDefault="00705D48" w:rsidP="004E7C9F">
                            <w:pPr>
                              <w:pStyle w:val="ListParagraph"/>
                              <w:numPr>
                                <w:ilvl w:val="0"/>
                                <w:numId w:val="31"/>
                              </w:numPr>
                              <w:ind w:left="284" w:hanging="284"/>
                              <w:rPr>
                                <w:b/>
                                <w:bCs/>
                                <w:color w:val="44546A" w:themeColor="text2"/>
                              </w:rPr>
                            </w:pPr>
                            <w:r w:rsidRPr="00EF37D5">
                              <w:rPr>
                                <w:color w:val="44546A" w:themeColor="text2"/>
                                <w:sz w:val="20"/>
                                <w:szCs w:val="20"/>
                                <w:lang w:val="en-GB"/>
                              </w:rPr>
                              <w:t xml:space="preserve">From 2015-2019, there has been a clear increase in the number of FPA offences reported, steadily increasing from </w:t>
                            </w:r>
                            <w:r w:rsidRPr="00EF37D5">
                              <w:rPr>
                                <w:b/>
                                <w:bCs/>
                                <w:color w:val="44546A" w:themeColor="text2"/>
                                <w:sz w:val="20"/>
                                <w:szCs w:val="20"/>
                                <w:lang w:val="en-GB"/>
                              </w:rPr>
                              <w:t>306 in 2015</w:t>
                            </w:r>
                            <w:r w:rsidRPr="00EF37D5">
                              <w:rPr>
                                <w:color w:val="44546A" w:themeColor="text2"/>
                                <w:sz w:val="20"/>
                                <w:szCs w:val="20"/>
                                <w:lang w:val="en-GB"/>
                              </w:rPr>
                              <w:t xml:space="preserve"> to an estimated </w:t>
                            </w:r>
                            <w:r w:rsidRPr="00EF37D5">
                              <w:rPr>
                                <w:b/>
                                <w:bCs/>
                                <w:color w:val="44546A" w:themeColor="text2"/>
                                <w:sz w:val="20"/>
                                <w:szCs w:val="20"/>
                                <w:lang w:val="en-GB"/>
                              </w:rPr>
                              <w:t>467 in 2019.</w:t>
                            </w:r>
                          </w:p>
                          <w:p w14:paraId="62454CD7" w14:textId="77777777" w:rsidR="00705D48" w:rsidRPr="00EF37D5" w:rsidRDefault="00705D48" w:rsidP="004E7C9F">
                            <w:pPr>
                              <w:pStyle w:val="ListParagraph"/>
                              <w:numPr>
                                <w:ilvl w:val="0"/>
                                <w:numId w:val="31"/>
                              </w:numPr>
                              <w:ind w:left="284" w:hanging="284"/>
                              <w:rPr>
                                <w:b/>
                                <w:bCs/>
                                <w:color w:val="44546A" w:themeColor="text2"/>
                              </w:rPr>
                            </w:pPr>
                            <w:r w:rsidRPr="00EF37D5">
                              <w:rPr>
                                <w:color w:val="44546A" w:themeColor="text2"/>
                                <w:sz w:val="20"/>
                                <w:szCs w:val="20"/>
                                <w:lang w:val="en-GB"/>
                              </w:rPr>
                              <w:t xml:space="preserve">There has been a significant increase in the number of protection orders filed in the Magistrates’ Court from 2016-2019, most notably in </w:t>
                            </w:r>
                            <w:r w:rsidRPr="00EF37D5">
                              <w:rPr>
                                <w:b/>
                                <w:bCs/>
                                <w:color w:val="44546A" w:themeColor="text2"/>
                                <w:sz w:val="20"/>
                                <w:szCs w:val="20"/>
                                <w:lang w:val="en-GB"/>
                              </w:rPr>
                              <w:t xml:space="preserve">Port Vila, </w:t>
                            </w:r>
                            <w:proofErr w:type="spellStart"/>
                            <w:r w:rsidRPr="00EF37D5">
                              <w:rPr>
                                <w:b/>
                                <w:bCs/>
                                <w:color w:val="44546A" w:themeColor="text2"/>
                                <w:sz w:val="20"/>
                                <w:szCs w:val="20"/>
                                <w:lang w:val="en-GB"/>
                              </w:rPr>
                              <w:t>Luganville</w:t>
                            </w:r>
                            <w:proofErr w:type="spellEnd"/>
                            <w:r w:rsidRPr="00EF37D5">
                              <w:rPr>
                                <w:b/>
                                <w:bCs/>
                                <w:color w:val="44546A" w:themeColor="text2"/>
                                <w:sz w:val="20"/>
                                <w:szCs w:val="20"/>
                                <w:lang w:val="en-GB"/>
                              </w:rPr>
                              <w:t xml:space="preserve"> and </w:t>
                            </w:r>
                            <w:proofErr w:type="spellStart"/>
                            <w:r w:rsidRPr="00EF37D5">
                              <w:rPr>
                                <w:b/>
                                <w:bCs/>
                                <w:color w:val="44546A" w:themeColor="text2"/>
                                <w:sz w:val="20"/>
                                <w:szCs w:val="20"/>
                                <w:lang w:val="en-GB"/>
                              </w:rPr>
                              <w:t>Lakatoro</w:t>
                            </w:r>
                            <w:proofErr w:type="spellEnd"/>
                            <w:r w:rsidRPr="00EF37D5">
                              <w:rPr>
                                <w:color w:val="44546A" w:themeColor="text2"/>
                                <w:sz w:val="20"/>
                                <w:szCs w:val="20"/>
                                <w:lang w:val="en-GB"/>
                              </w:rPr>
                              <w:t>.</w:t>
                            </w:r>
                          </w:p>
                          <w:p w14:paraId="17A1C2ED" w14:textId="77777777" w:rsidR="00705D48" w:rsidRPr="00EF7649" w:rsidRDefault="00705D48" w:rsidP="004E7C9F">
                            <w:pPr>
                              <w:pStyle w:val="ListParagraph"/>
                              <w:numPr>
                                <w:ilvl w:val="0"/>
                                <w:numId w:val="31"/>
                              </w:numPr>
                              <w:ind w:left="284" w:hanging="284"/>
                              <w:rPr>
                                <w:color w:val="44546A" w:themeColor="text2"/>
                                <w:sz w:val="20"/>
                                <w:szCs w:val="20"/>
                              </w:rPr>
                            </w:pPr>
                            <w:r w:rsidRPr="00EF37D5">
                              <w:rPr>
                                <w:color w:val="44546A" w:themeColor="text2"/>
                                <w:sz w:val="20"/>
                                <w:szCs w:val="20"/>
                              </w:rPr>
                              <w:t>There has also been a notable</w:t>
                            </w:r>
                            <w:r w:rsidRPr="00EF37D5">
                              <w:rPr>
                                <w:color w:val="44546A" w:themeColor="text2"/>
                                <w:sz w:val="20"/>
                                <w:szCs w:val="20"/>
                                <w:lang w:val="en-GB"/>
                              </w:rPr>
                              <w:t xml:space="preserve"> decrease in the number of protection order matters that were dismissed by the Magistrates’ Court or withdrawn (</w:t>
                            </w:r>
                            <w:r w:rsidRPr="00EF37D5">
                              <w:rPr>
                                <w:b/>
                                <w:bCs/>
                                <w:color w:val="44546A" w:themeColor="text2"/>
                                <w:sz w:val="20"/>
                                <w:szCs w:val="20"/>
                                <w:lang w:val="en-GB"/>
                              </w:rPr>
                              <w:t>212 dismissed/withdrawn in 2016, and an estimated 117 dismissed/withdrawn in 2019</w:t>
                            </w:r>
                            <w:r w:rsidRPr="00EF37D5">
                              <w:rPr>
                                <w:color w:val="44546A" w:themeColor="text2"/>
                                <w:sz w:val="20"/>
                                <w:szCs w:val="20"/>
                                <w:lang w:val="en-GB"/>
                              </w:rPr>
                              <w:t>).</w:t>
                            </w:r>
                          </w:p>
                          <w:p w14:paraId="33BFCA60" w14:textId="77777777" w:rsidR="00705D48" w:rsidRPr="00EF37D5" w:rsidRDefault="00705D48" w:rsidP="004E7C9F">
                            <w:pPr>
                              <w:pStyle w:val="ListParagraph"/>
                              <w:numPr>
                                <w:ilvl w:val="0"/>
                                <w:numId w:val="31"/>
                              </w:numPr>
                              <w:ind w:left="284" w:hanging="284"/>
                              <w:rPr>
                                <w:color w:val="44546A" w:themeColor="text2"/>
                                <w:sz w:val="20"/>
                                <w:szCs w:val="20"/>
                              </w:rPr>
                            </w:pPr>
                            <w:r w:rsidRPr="00EF7649">
                              <w:rPr>
                                <w:color w:val="44546A" w:themeColor="text2"/>
                                <w:sz w:val="20"/>
                                <w:szCs w:val="20"/>
                              </w:rPr>
                              <w:t>In relation to sentencing,</w:t>
                            </w:r>
                            <w:r w:rsidRPr="00252E69">
                              <w:rPr>
                                <w:b/>
                                <w:color w:val="44546A" w:themeColor="text2"/>
                                <w:sz w:val="20"/>
                                <w:szCs w:val="20"/>
                              </w:rPr>
                              <w:t xml:space="preserve"> Prosecutors are seeking higher and more appropriate sentences, including in relation to sexual assault</w:t>
                            </w:r>
                            <w:r w:rsidRPr="00EF7649">
                              <w:rPr>
                                <w:color w:val="44546A" w:themeColor="text2"/>
                                <w:sz w:val="20"/>
                                <w:szCs w:val="20"/>
                              </w:rPr>
                              <w:t xml:space="preserve">. Decisions in the Supreme Court to this effect have now been confirmed in the Court of Appeal. </w:t>
                            </w:r>
                            <w:r w:rsidRPr="00252E69">
                              <w:rPr>
                                <w:b/>
                                <w:color w:val="44546A" w:themeColor="text2"/>
                                <w:sz w:val="20"/>
                                <w:szCs w:val="20"/>
                              </w:rPr>
                              <w:t>The sentence range has now moved from 2-8 years to 8-18 years imprisonment for sexual offences</w:t>
                            </w:r>
                          </w:p>
                          <w:p w14:paraId="5FC39B44" w14:textId="77777777" w:rsidR="00705D48" w:rsidRPr="00EF37D5" w:rsidRDefault="00705D48" w:rsidP="004E7C9F">
                            <w:pPr>
                              <w:pStyle w:val="ListParagraph"/>
                              <w:numPr>
                                <w:ilvl w:val="0"/>
                                <w:numId w:val="31"/>
                              </w:numPr>
                              <w:spacing w:after="60"/>
                              <w:ind w:left="284" w:hanging="284"/>
                              <w:contextualSpacing w:val="0"/>
                              <w:rPr>
                                <w:color w:val="44546A" w:themeColor="text2"/>
                                <w:sz w:val="20"/>
                                <w:szCs w:val="20"/>
                              </w:rPr>
                            </w:pPr>
                            <w:r w:rsidRPr="00EF37D5">
                              <w:rPr>
                                <w:color w:val="44546A" w:themeColor="text2"/>
                                <w:sz w:val="20"/>
                                <w:szCs w:val="20"/>
                              </w:rPr>
                              <w:t>Cross-Sector Networks are collaborating under the leadership of MJCS, with TA and funding support. Sector Networks are also seeking to build sustainability and ownership across the sector, beyond the MJCS. This is evidenced by HRO Network and M&amp;E Network meetings being chaired by sector representatives for the first time (including by VPF, PSO and Judiciary during the first six months of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AFF36E" id="Text Box 2" o:spid="_x0000_s1028" type="#_x0000_t202" style="position:absolute;left:0;text-align:left;margin-left:249.55pt;margin-top:1.95pt;width:206.85pt;height:429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" fillcolor="white [3201]" strokecolor="#44546a [3215]" strokeweight="1pt">
                <v:textbox>
                  <w:txbxContent>
                    <w:p w14:paraId="66082A22" w14:textId="77777777" w:rsidR="00705D48" w:rsidRPr="00EF37D5" w:rsidRDefault="00705D48" w:rsidP="004E7C9F">
                      <w:pPr>
                        <w:pStyle w:val="ListParagraph"/>
                        <w:numPr>
                          <w:ilvl w:val="0"/>
                          <w:numId w:val="31"/>
                        </w:numPr>
                        <w:ind w:left="284" w:hanging="284"/>
                        <w:rPr>
                          <w:b/>
                          <w:bCs/>
                          <w:color w:val="44546A" w:themeColor="text2"/>
                        </w:rPr>
                      </w:pPr>
                      <w:r w:rsidRPr="00EF37D5">
                        <w:rPr>
                          <w:color w:val="44546A" w:themeColor="text2"/>
                          <w:sz w:val="20"/>
                          <w:szCs w:val="20"/>
                          <w:lang w:val="en-GB"/>
                        </w:rPr>
                        <w:t xml:space="preserve">From 2015-2019, there has been a clear increase in the number of FPA offences reported, steadily increasing from </w:t>
                      </w:r>
                      <w:r w:rsidRPr="00EF37D5">
                        <w:rPr>
                          <w:b/>
                          <w:bCs/>
                          <w:color w:val="44546A" w:themeColor="text2"/>
                          <w:sz w:val="20"/>
                          <w:szCs w:val="20"/>
                          <w:lang w:val="en-GB"/>
                        </w:rPr>
                        <w:t>306 in 2015</w:t>
                      </w:r>
                      <w:r w:rsidRPr="00EF37D5">
                        <w:rPr>
                          <w:color w:val="44546A" w:themeColor="text2"/>
                          <w:sz w:val="20"/>
                          <w:szCs w:val="20"/>
                          <w:lang w:val="en-GB"/>
                        </w:rPr>
                        <w:t xml:space="preserve"> to an estimated </w:t>
                      </w:r>
                      <w:r w:rsidRPr="00EF37D5">
                        <w:rPr>
                          <w:b/>
                          <w:bCs/>
                          <w:color w:val="44546A" w:themeColor="text2"/>
                          <w:sz w:val="20"/>
                          <w:szCs w:val="20"/>
                          <w:lang w:val="en-GB"/>
                        </w:rPr>
                        <w:t>467 in 2019.</w:t>
                      </w:r>
                    </w:p>
                    <w:p w14:paraId="62454CD7" w14:textId="77777777" w:rsidR="00705D48" w:rsidRPr="00EF37D5" w:rsidRDefault="00705D48" w:rsidP="004E7C9F">
                      <w:pPr>
                        <w:pStyle w:val="ListParagraph"/>
                        <w:numPr>
                          <w:ilvl w:val="0"/>
                          <w:numId w:val="31"/>
                        </w:numPr>
                        <w:ind w:left="284" w:hanging="284"/>
                        <w:rPr>
                          <w:b/>
                          <w:bCs/>
                          <w:color w:val="44546A" w:themeColor="text2"/>
                        </w:rPr>
                      </w:pPr>
                      <w:r w:rsidRPr="00EF37D5">
                        <w:rPr>
                          <w:color w:val="44546A" w:themeColor="text2"/>
                          <w:sz w:val="20"/>
                          <w:szCs w:val="20"/>
                          <w:lang w:val="en-GB"/>
                        </w:rPr>
                        <w:t xml:space="preserve">There has been a significant increase in the number of protection orders filed in the Magistrates’ Court from 2016-2019, most notably in </w:t>
                      </w:r>
                      <w:r w:rsidRPr="00EF37D5">
                        <w:rPr>
                          <w:b/>
                          <w:bCs/>
                          <w:color w:val="44546A" w:themeColor="text2"/>
                          <w:sz w:val="20"/>
                          <w:szCs w:val="20"/>
                          <w:lang w:val="en-GB"/>
                        </w:rPr>
                        <w:t>Port Vila, Luganville and Lakatoro</w:t>
                      </w:r>
                      <w:r w:rsidRPr="00EF37D5">
                        <w:rPr>
                          <w:color w:val="44546A" w:themeColor="text2"/>
                          <w:sz w:val="20"/>
                          <w:szCs w:val="20"/>
                          <w:lang w:val="en-GB"/>
                        </w:rPr>
                        <w:t>.</w:t>
                      </w:r>
                    </w:p>
                    <w:p w14:paraId="17A1C2ED" w14:textId="77777777" w:rsidR="00705D48" w:rsidRPr="00EF7649" w:rsidRDefault="00705D48" w:rsidP="004E7C9F">
                      <w:pPr>
                        <w:pStyle w:val="ListParagraph"/>
                        <w:numPr>
                          <w:ilvl w:val="0"/>
                          <w:numId w:val="31"/>
                        </w:numPr>
                        <w:ind w:left="284" w:hanging="284"/>
                        <w:rPr>
                          <w:color w:val="44546A" w:themeColor="text2"/>
                          <w:sz w:val="20"/>
                          <w:szCs w:val="20"/>
                        </w:rPr>
                      </w:pPr>
                      <w:r w:rsidRPr="00EF37D5">
                        <w:rPr>
                          <w:color w:val="44546A" w:themeColor="text2"/>
                          <w:sz w:val="20"/>
                          <w:szCs w:val="20"/>
                        </w:rPr>
                        <w:t>There has also been a notable</w:t>
                      </w:r>
                      <w:r w:rsidRPr="00EF37D5">
                        <w:rPr>
                          <w:color w:val="44546A" w:themeColor="text2"/>
                          <w:sz w:val="20"/>
                          <w:szCs w:val="20"/>
                          <w:lang w:val="en-GB"/>
                        </w:rPr>
                        <w:t xml:space="preserve"> decrease in the number of protection order matters that were dismissed by the Magistrates’ Court or withdrawn (</w:t>
                      </w:r>
                      <w:r w:rsidRPr="00EF37D5">
                        <w:rPr>
                          <w:b/>
                          <w:bCs/>
                          <w:color w:val="44546A" w:themeColor="text2"/>
                          <w:sz w:val="20"/>
                          <w:szCs w:val="20"/>
                          <w:lang w:val="en-GB"/>
                        </w:rPr>
                        <w:t>212 dismissed/withdrawn in 2016, and an estimated 117 dismissed/withdrawn in 2019</w:t>
                      </w:r>
                      <w:r w:rsidRPr="00EF37D5">
                        <w:rPr>
                          <w:color w:val="44546A" w:themeColor="text2"/>
                          <w:sz w:val="20"/>
                          <w:szCs w:val="20"/>
                          <w:lang w:val="en-GB"/>
                        </w:rPr>
                        <w:t>).</w:t>
                      </w:r>
                    </w:p>
                    <w:p w14:paraId="33BFCA60" w14:textId="77777777" w:rsidR="00705D48" w:rsidRPr="00EF37D5" w:rsidRDefault="00705D48" w:rsidP="004E7C9F">
                      <w:pPr>
                        <w:pStyle w:val="ListParagraph"/>
                        <w:numPr>
                          <w:ilvl w:val="0"/>
                          <w:numId w:val="31"/>
                        </w:numPr>
                        <w:ind w:left="284" w:hanging="284"/>
                        <w:rPr>
                          <w:color w:val="44546A" w:themeColor="text2"/>
                          <w:sz w:val="20"/>
                          <w:szCs w:val="20"/>
                        </w:rPr>
                      </w:pPr>
                      <w:r w:rsidRPr="00EF7649">
                        <w:rPr>
                          <w:color w:val="44546A" w:themeColor="text2"/>
                          <w:sz w:val="20"/>
                          <w:szCs w:val="20"/>
                        </w:rPr>
                        <w:t>In relation to sentencing,</w:t>
                      </w:r>
                      <w:r w:rsidRPr="00252E69">
                        <w:rPr>
                          <w:b/>
                          <w:color w:val="44546A" w:themeColor="text2"/>
                          <w:sz w:val="20"/>
                          <w:szCs w:val="20"/>
                        </w:rPr>
                        <w:t xml:space="preserve"> Prosecutors are seeking higher and more appropriate sentences, including in relation to sexual assault</w:t>
                      </w:r>
                      <w:r w:rsidRPr="00EF7649">
                        <w:rPr>
                          <w:color w:val="44546A" w:themeColor="text2"/>
                          <w:sz w:val="20"/>
                          <w:szCs w:val="20"/>
                        </w:rPr>
                        <w:t xml:space="preserve">. Decisions in the Supreme Court to this effect have now been confirmed in the Court of Appeal. </w:t>
                      </w:r>
                      <w:r w:rsidRPr="00252E69">
                        <w:rPr>
                          <w:b/>
                          <w:color w:val="44546A" w:themeColor="text2"/>
                          <w:sz w:val="20"/>
                          <w:szCs w:val="20"/>
                        </w:rPr>
                        <w:t>The sentence range has now moved from 2-8 years to 8-18 years imprisonment for sexual offences</w:t>
                      </w:r>
                    </w:p>
                    <w:p w14:paraId="5FC39B44" w14:textId="77777777" w:rsidR="00705D48" w:rsidRPr="00EF37D5" w:rsidRDefault="00705D48" w:rsidP="004E7C9F">
                      <w:pPr>
                        <w:pStyle w:val="ListParagraph"/>
                        <w:numPr>
                          <w:ilvl w:val="0"/>
                          <w:numId w:val="31"/>
                        </w:numPr>
                        <w:spacing w:after="60"/>
                        <w:ind w:left="284" w:hanging="284"/>
                        <w:contextualSpacing w:val="0"/>
                        <w:rPr>
                          <w:color w:val="44546A" w:themeColor="text2"/>
                          <w:sz w:val="20"/>
                          <w:szCs w:val="20"/>
                        </w:rPr>
                      </w:pPr>
                      <w:r w:rsidRPr="00EF37D5">
                        <w:rPr>
                          <w:color w:val="44546A" w:themeColor="text2"/>
                          <w:sz w:val="20"/>
                          <w:szCs w:val="20"/>
                        </w:rPr>
                        <w:t>Cross-Sector Networks are collaborating under the leadership of MJCS, with TA and funding support. Sector Networks are also seeking to build sustainability and ownership across the sector, beyond the MJCS. This is evidenced by HRO Network and M&amp;E Network meetings being chaired by sector representatives for the first time (including by VPF, PSO and Judiciary during the first six months of 2019).</w:t>
                      </w:r>
                    </w:p>
                  </w:txbxContent>
                </v:textbox>
                <w10:wrap type="square" anchorx="margin"/>
              </v:shape>
            </w:pict>
          </mc:Fallback>
        </mc:AlternateContent>
      </w:r>
      <w:r w:rsidR="000E4B79" w:rsidRPr="00A21635">
        <w:rPr>
          <w:b/>
          <w:bCs/>
        </w:rPr>
        <w:t>Organisational</w:t>
      </w:r>
      <w:r w:rsidR="000E4B79">
        <w:t xml:space="preserve"> achievements of the Program to date include: </w:t>
      </w:r>
    </w:p>
    <w:p w14:paraId="7F70DDDE" w14:textId="77777777" w:rsidR="000E4B79" w:rsidRDefault="000E4B79" w:rsidP="004E7C9F">
      <w:pPr>
        <w:pStyle w:val="ListParagraph"/>
        <w:numPr>
          <w:ilvl w:val="0"/>
          <w:numId w:val="29"/>
        </w:numPr>
        <w:ind w:hanging="357"/>
        <w:jc w:val="both"/>
        <w:rPr>
          <w:sz w:val="22"/>
          <w:szCs w:val="22"/>
        </w:rPr>
      </w:pPr>
      <w:r>
        <w:rPr>
          <w:sz w:val="22"/>
          <w:szCs w:val="22"/>
        </w:rPr>
        <w:t xml:space="preserve">Improved capacity and operations of the </w:t>
      </w:r>
      <w:r w:rsidR="00EF7649">
        <w:rPr>
          <w:sz w:val="22"/>
          <w:szCs w:val="22"/>
        </w:rPr>
        <w:t>OPP:</w:t>
      </w:r>
    </w:p>
    <w:p w14:paraId="27FC8443" w14:textId="77777777" w:rsidR="00E9288F" w:rsidRPr="00E9288F" w:rsidRDefault="00F83FB7" w:rsidP="004E7C9F">
      <w:pPr>
        <w:pStyle w:val="ListParagraph"/>
        <w:numPr>
          <w:ilvl w:val="1"/>
          <w:numId w:val="29"/>
        </w:numPr>
        <w:ind w:hanging="357"/>
        <w:jc w:val="both"/>
        <w:rPr>
          <w:sz w:val="22"/>
          <w:szCs w:val="22"/>
        </w:rPr>
      </w:pPr>
      <w:r>
        <w:rPr>
          <w:sz w:val="22"/>
          <w:szCs w:val="22"/>
        </w:rPr>
        <w:t xml:space="preserve">Demonstrable </w:t>
      </w:r>
      <w:r w:rsidR="000E4B79">
        <w:rPr>
          <w:sz w:val="22"/>
          <w:szCs w:val="22"/>
        </w:rPr>
        <w:t>leadership</w:t>
      </w:r>
      <w:r>
        <w:rPr>
          <w:sz w:val="22"/>
          <w:szCs w:val="22"/>
        </w:rPr>
        <w:t xml:space="preserve"> behaviours within new</w:t>
      </w:r>
      <w:r w:rsidR="000E4B79">
        <w:rPr>
          <w:sz w:val="22"/>
          <w:szCs w:val="22"/>
        </w:rPr>
        <w:t xml:space="preserve"> management structures</w:t>
      </w:r>
      <w:r w:rsidR="00E9288F" w:rsidRPr="00E9288F">
        <w:t xml:space="preserve"> </w:t>
      </w:r>
    </w:p>
    <w:p w14:paraId="1D6AC680" w14:textId="77777777" w:rsidR="00E9288F" w:rsidRDefault="00F83FB7" w:rsidP="004E7C9F">
      <w:pPr>
        <w:pStyle w:val="ListParagraph"/>
        <w:numPr>
          <w:ilvl w:val="1"/>
          <w:numId w:val="29"/>
        </w:numPr>
        <w:ind w:hanging="357"/>
        <w:jc w:val="both"/>
        <w:rPr>
          <w:sz w:val="22"/>
          <w:szCs w:val="22"/>
        </w:rPr>
      </w:pPr>
      <w:r>
        <w:rPr>
          <w:sz w:val="22"/>
          <w:szCs w:val="22"/>
        </w:rPr>
        <w:t>Improved timeliness of case r</w:t>
      </w:r>
      <w:r w:rsidR="00E9288F" w:rsidRPr="00E9288F">
        <w:rPr>
          <w:sz w:val="22"/>
          <w:szCs w:val="22"/>
        </w:rPr>
        <w:t>egistration and reduced backlog in C</w:t>
      </w:r>
      <w:r>
        <w:rPr>
          <w:sz w:val="22"/>
          <w:szCs w:val="22"/>
        </w:rPr>
        <w:t>ase Management System (CMS)</w:t>
      </w:r>
      <w:r w:rsidR="00E9288F" w:rsidRPr="00E9288F">
        <w:rPr>
          <w:sz w:val="22"/>
          <w:szCs w:val="22"/>
        </w:rPr>
        <w:t xml:space="preserve"> (Santo and Port Vila (SPD)</w:t>
      </w:r>
      <w:r>
        <w:rPr>
          <w:sz w:val="22"/>
          <w:szCs w:val="22"/>
        </w:rPr>
        <w:t>)</w:t>
      </w:r>
    </w:p>
    <w:p w14:paraId="244DCCE8" w14:textId="77777777" w:rsidR="00EF7649" w:rsidRPr="00EF7649" w:rsidRDefault="00F83FB7" w:rsidP="004E7C9F">
      <w:pPr>
        <w:pStyle w:val="ListParagraph"/>
        <w:numPr>
          <w:ilvl w:val="1"/>
          <w:numId w:val="29"/>
        </w:numPr>
        <w:ind w:hanging="357"/>
        <w:jc w:val="both"/>
        <w:rPr>
          <w:sz w:val="22"/>
          <w:szCs w:val="22"/>
        </w:rPr>
      </w:pPr>
      <w:r>
        <w:rPr>
          <w:sz w:val="22"/>
          <w:szCs w:val="22"/>
        </w:rPr>
        <w:t>More appropriate prosecutions of y</w:t>
      </w:r>
      <w:r w:rsidR="00EF7649" w:rsidRPr="00EF7649">
        <w:rPr>
          <w:sz w:val="22"/>
          <w:szCs w:val="22"/>
        </w:rPr>
        <w:t xml:space="preserve">oung </w:t>
      </w:r>
      <w:r>
        <w:rPr>
          <w:sz w:val="22"/>
          <w:szCs w:val="22"/>
        </w:rPr>
        <w:t>o</w:t>
      </w:r>
      <w:r w:rsidR="00EF7649" w:rsidRPr="00EF7649">
        <w:rPr>
          <w:sz w:val="22"/>
          <w:szCs w:val="22"/>
        </w:rPr>
        <w:t xml:space="preserve">ffenders </w:t>
      </w:r>
      <w:r>
        <w:rPr>
          <w:sz w:val="22"/>
          <w:szCs w:val="22"/>
        </w:rPr>
        <w:t xml:space="preserve">through </w:t>
      </w:r>
      <w:proofErr w:type="gramStart"/>
      <w:r>
        <w:rPr>
          <w:sz w:val="22"/>
          <w:szCs w:val="22"/>
        </w:rPr>
        <w:t xml:space="preserve">new </w:t>
      </w:r>
      <w:r w:rsidR="00EF7649" w:rsidRPr="00EF7649">
        <w:rPr>
          <w:sz w:val="22"/>
          <w:szCs w:val="22"/>
        </w:rPr>
        <w:t xml:space="preserve"> Guideline</w:t>
      </w:r>
      <w:r>
        <w:rPr>
          <w:sz w:val="22"/>
          <w:szCs w:val="22"/>
        </w:rPr>
        <w:t>s</w:t>
      </w:r>
      <w:proofErr w:type="gramEnd"/>
      <w:r w:rsidR="00034BBB">
        <w:rPr>
          <w:sz w:val="22"/>
          <w:szCs w:val="22"/>
        </w:rPr>
        <w:t xml:space="preserve"> </w:t>
      </w:r>
      <w:r w:rsidR="00EF7649" w:rsidRPr="00EF7649">
        <w:rPr>
          <w:sz w:val="22"/>
          <w:szCs w:val="22"/>
        </w:rPr>
        <w:t>for OPP and SPD prosecutors containing detailed directions on process, policy and victim management</w:t>
      </w:r>
      <w:r w:rsidR="00EF7649">
        <w:rPr>
          <w:rStyle w:val="FootnoteReference"/>
          <w:sz w:val="22"/>
          <w:szCs w:val="22"/>
        </w:rPr>
        <w:footnoteReference w:id="15"/>
      </w:r>
      <w:r w:rsidR="00EF7649" w:rsidRPr="00EF7649">
        <w:rPr>
          <w:sz w:val="22"/>
          <w:szCs w:val="22"/>
        </w:rPr>
        <w:t>.</w:t>
      </w:r>
    </w:p>
    <w:p w14:paraId="57BAA0CB" w14:textId="77777777" w:rsidR="008F3F53" w:rsidRDefault="000E4B79" w:rsidP="004E7C9F">
      <w:pPr>
        <w:pStyle w:val="ListParagraph"/>
        <w:numPr>
          <w:ilvl w:val="0"/>
          <w:numId w:val="29"/>
        </w:numPr>
        <w:jc w:val="both"/>
        <w:rPr>
          <w:sz w:val="22"/>
          <w:szCs w:val="22"/>
        </w:rPr>
      </w:pPr>
      <w:r>
        <w:rPr>
          <w:sz w:val="22"/>
          <w:szCs w:val="22"/>
        </w:rPr>
        <w:t>Improved capacity of the investigations function of the Police, particularly regarding family violence</w:t>
      </w:r>
    </w:p>
    <w:p w14:paraId="2DB774A6" w14:textId="77777777" w:rsidR="008F3F53" w:rsidRDefault="00F83FB7" w:rsidP="00F83FB7">
      <w:pPr>
        <w:pStyle w:val="ListParagraph"/>
        <w:numPr>
          <w:ilvl w:val="1"/>
          <w:numId w:val="29"/>
        </w:numPr>
        <w:jc w:val="both"/>
        <w:rPr>
          <w:sz w:val="22"/>
          <w:szCs w:val="22"/>
        </w:rPr>
      </w:pPr>
      <w:r>
        <w:rPr>
          <w:sz w:val="22"/>
          <w:szCs w:val="22"/>
        </w:rPr>
        <w:t>observable</w:t>
      </w:r>
      <w:r w:rsidR="008F3F53" w:rsidRPr="008F3F53">
        <w:rPr>
          <w:sz w:val="22"/>
          <w:szCs w:val="22"/>
        </w:rPr>
        <w:t xml:space="preserve"> increased ability for the CID team to operate under pressure and complete multiple major investigations to a high leve</w:t>
      </w:r>
      <w:r w:rsidR="008F3F53">
        <w:rPr>
          <w:sz w:val="22"/>
          <w:szCs w:val="22"/>
        </w:rPr>
        <w:t>l</w:t>
      </w:r>
    </w:p>
    <w:p w14:paraId="7202C32B" w14:textId="77777777" w:rsidR="00A061F2" w:rsidRDefault="00A061F2" w:rsidP="009B1CB6">
      <w:pPr>
        <w:spacing w:after="0" w:line="240" w:lineRule="auto"/>
        <w:jc w:val="both"/>
        <w:rPr>
          <w:b/>
          <w:bCs/>
        </w:rPr>
      </w:pPr>
    </w:p>
    <w:p w14:paraId="6F0631AB" w14:textId="77777777" w:rsidR="000E4B79" w:rsidRDefault="000E4B79" w:rsidP="009B1CB6">
      <w:pPr>
        <w:spacing w:after="0" w:line="240" w:lineRule="auto"/>
        <w:jc w:val="both"/>
      </w:pPr>
      <w:r w:rsidRPr="004F0046">
        <w:rPr>
          <w:b/>
          <w:bCs/>
        </w:rPr>
        <w:t>Community level achievements</w:t>
      </w:r>
      <w:r>
        <w:t xml:space="preserve"> of the Program to date include: </w:t>
      </w:r>
    </w:p>
    <w:p w14:paraId="5BAC606F" w14:textId="77777777" w:rsidR="000E4B79" w:rsidRPr="0047150F" w:rsidRDefault="000E4B79" w:rsidP="004E7C9F">
      <w:pPr>
        <w:pStyle w:val="ListParagraph"/>
        <w:numPr>
          <w:ilvl w:val="0"/>
          <w:numId w:val="29"/>
        </w:numPr>
        <w:jc w:val="both"/>
        <w:rPr>
          <w:sz w:val="22"/>
          <w:szCs w:val="22"/>
        </w:rPr>
      </w:pPr>
      <w:r>
        <w:rPr>
          <w:sz w:val="22"/>
          <w:szCs w:val="22"/>
        </w:rPr>
        <w:t xml:space="preserve">Increased number of Temporary Protection Orders </w:t>
      </w:r>
      <w:r w:rsidR="00251454">
        <w:rPr>
          <w:sz w:val="22"/>
          <w:szCs w:val="22"/>
        </w:rPr>
        <w:t xml:space="preserve">(TPOs) issued </w:t>
      </w:r>
      <w:r>
        <w:rPr>
          <w:sz w:val="22"/>
          <w:szCs w:val="22"/>
        </w:rPr>
        <w:t xml:space="preserve">by </w:t>
      </w:r>
      <w:r w:rsidR="00781DA0">
        <w:rPr>
          <w:sz w:val="22"/>
          <w:szCs w:val="22"/>
        </w:rPr>
        <w:t>APs</w:t>
      </w:r>
      <w:r>
        <w:rPr>
          <w:sz w:val="22"/>
          <w:szCs w:val="22"/>
        </w:rPr>
        <w:t xml:space="preserve"> in the community - </w:t>
      </w:r>
      <w:r w:rsidRPr="00BD21DF">
        <w:rPr>
          <w:sz w:val="22"/>
          <w:szCs w:val="22"/>
        </w:rPr>
        <w:t xml:space="preserve">Pilot communities are </w:t>
      </w:r>
      <w:r w:rsidRPr="002D1B5B">
        <w:rPr>
          <w:sz w:val="22"/>
          <w:szCs w:val="22"/>
        </w:rPr>
        <w:t xml:space="preserve">increasingly accessing services provided by APs. 45 TPOs were issued between </w:t>
      </w:r>
      <w:proofErr w:type="gramStart"/>
      <w:r w:rsidRPr="002D1B5B">
        <w:rPr>
          <w:sz w:val="22"/>
          <w:szCs w:val="22"/>
        </w:rPr>
        <w:t>January</w:t>
      </w:r>
      <w:proofErr w:type="gramEnd"/>
      <w:r w:rsidRPr="002D1B5B">
        <w:rPr>
          <w:sz w:val="22"/>
          <w:szCs w:val="22"/>
        </w:rPr>
        <w:t xml:space="preserve"> – June 2019, compared with</w:t>
      </w:r>
      <w:r w:rsidR="008C5BE5" w:rsidRPr="002D1B5B">
        <w:rPr>
          <w:sz w:val="22"/>
          <w:szCs w:val="22"/>
        </w:rPr>
        <w:t xml:space="preserve"> </w:t>
      </w:r>
      <w:r w:rsidRPr="002D1B5B">
        <w:rPr>
          <w:sz w:val="22"/>
          <w:szCs w:val="22"/>
        </w:rPr>
        <w:t>15 TPOs for the same period last year (though none of these were issued on Efate, only Santo in 2019)</w:t>
      </w:r>
      <w:r w:rsidRPr="002D1B5B">
        <w:rPr>
          <w:rStyle w:val="FootnoteReference"/>
          <w:sz w:val="22"/>
          <w:szCs w:val="22"/>
        </w:rPr>
        <w:footnoteReference w:id="16"/>
      </w:r>
      <w:r w:rsidRPr="002D1B5B">
        <w:rPr>
          <w:sz w:val="22"/>
          <w:szCs w:val="22"/>
        </w:rPr>
        <w:t>.</w:t>
      </w:r>
    </w:p>
    <w:p w14:paraId="7EFC7124" w14:textId="77777777" w:rsidR="000E4B79" w:rsidRDefault="000E4B79" w:rsidP="004E7C9F">
      <w:pPr>
        <w:pStyle w:val="ListParagraph"/>
        <w:numPr>
          <w:ilvl w:val="0"/>
          <w:numId w:val="30"/>
        </w:numPr>
        <w:jc w:val="both"/>
        <w:rPr>
          <w:sz w:val="22"/>
          <w:szCs w:val="22"/>
        </w:rPr>
      </w:pPr>
      <w:r>
        <w:rPr>
          <w:sz w:val="22"/>
          <w:szCs w:val="22"/>
        </w:rPr>
        <w:t xml:space="preserve">Increased awareness of women and other vulnerable people of their rights to access the justice system- </w:t>
      </w:r>
      <w:r w:rsidRPr="00EF37D5">
        <w:rPr>
          <w:sz w:val="22"/>
          <w:szCs w:val="22"/>
        </w:rPr>
        <w:t>VPF Victim Gender Analysis</w:t>
      </w:r>
      <w:r>
        <w:rPr>
          <w:rStyle w:val="FootnoteReference"/>
          <w:sz w:val="22"/>
          <w:szCs w:val="22"/>
        </w:rPr>
        <w:footnoteReference w:id="17"/>
      </w:r>
      <w:r w:rsidRPr="00EF37D5">
        <w:rPr>
          <w:sz w:val="22"/>
          <w:szCs w:val="22"/>
        </w:rPr>
        <w:t xml:space="preserve"> indicates that from 2015-2018, the number of female victims of FPA offences rose from 244 in 2015 to 339 in 2018 (with 226 female victims in 2019 </w:t>
      </w:r>
      <w:r w:rsidR="00781DA0">
        <w:rPr>
          <w:sz w:val="22"/>
          <w:szCs w:val="22"/>
        </w:rPr>
        <w:t>Year to Date</w:t>
      </w:r>
      <w:r w:rsidRPr="00EF37D5">
        <w:rPr>
          <w:sz w:val="22"/>
          <w:szCs w:val="22"/>
        </w:rPr>
        <w:t>). This suggests that awareness of women and other vulnerable people of their rights to access the formal justice system is increasing.</w:t>
      </w:r>
    </w:p>
    <w:p w14:paraId="358D64B8" w14:textId="77777777" w:rsidR="004431E5" w:rsidRPr="004431E5" w:rsidRDefault="004431E5" w:rsidP="004431E5">
      <w:pPr>
        <w:pStyle w:val="ListParagraph"/>
        <w:jc w:val="both"/>
        <w:rPr>
          <w:sz w:val="22"/>
          <w:szCs w:val="22"/>
        </w:rPr>
      </w:pPr>
    </w:p>
    <w:p w14:paraId="0C5DBD64" w14:textId="77777777" w:rsidR="000E4B79" w:rsidRPr="00251FC4" w:rsidRDefault="000E4B79" w:rsidP="00251FC4">
      <w:pPr>
        <w:spacing w:after="0" w:line="240" w:lineRule="auto"/>
        <w:rPr>
          <w:b/>
          <w:bCs/>
        </w:rPr>
      </w:pPr>
      <w:r w:rsidRPr="00251FC4">
        <w:rPr>
          <w:b/>
          <w:bCs/>
        </w:rPr>
        <w:t>Significance of achievements in light of the enabling and constraining factors in the context</w:t>
      </w:r>
    </w:p>
    <w:p w14:paraId="033750F1" w14:textId="77777777" w:rsidR="00251FC4" w:rsidRDefault="00251FC4" w:rsidP="009B1CB6">
      <w:pPr>
        <w:spacing w:line="240" w:lineRule="auto"/>
        <w:jc w:val="both"/>
      </w:pPr>
      <w:r>
        <w:t xml:space="preserve">There are underlying factors of the political economy in Vanuatu within which development programs operate and have limited ability to influence directly. Relatively weak political governance affects the accountability chain for the delivery of </w:t>
      </w:r>
      <w:r w:rsidR="00676314">
        <w:t xml:space="preserve">state </w:t>
      </w:r>
      <w:r>
        <w:t>services - from citizens to elected representatives, through Parliament, the Executive and to the public service. This impacts upon the expectations of the community for services to be provided, and the quality that they expect when it is provided.</w:t>
      </w:r>
      <w:r w:rsidR="00B1646A">
        <w:t xml:space="preserve"> </w:t>
      </w:r>
      <w:r>
        <w:t xml:space="preserve">In the context of policing and justice, most communities remain out of reach of a police officer apart from the two main towns (Port Vila and </w:t>
      </w:r>
      <w:proofErr w:type="spellStart"/>
      <w:r>
        <w:t>Luganville</w:t>
      </w:r>
      <w:proofErr w:type="spellEnd"/>
      <w:r>
        <w:t xml:space="preserve">). This is combined with a severely constrained budget environment, so that all agencies, and citizens, understand that that the Government is not able to fully fund the services it promises to deliver, including health and education, </w:t>
      </w:r>
      <w:r w:rsidR="007D6C58">
        <w:t>as well as</w:t>
      </w:r>
      <w:r>
        <w:t xml:space="preserve"> infrastructure (roads) and policing. As financing is always inadequate to fund Agency plans and commitments, this often leads to malaise in accountability for performance and standards of service delivery. Furthermore, the limited human resource capacity at a national level means that the senior and middle management cohort is not sufficient to fill all government sector leadership positions with the required level of qualification and experience. Agencies tend to be highly dependent on individuals for capability, and often fall back when high performing individuals move position. These three key factors profoundly impact on the policing and justice sector.</w:t>
      </w:r>
    </w:p>
    <w:p w14:paraId="7C28D615" w14:textId="77777777" w:rsidR="00251FC4" w:rsidRDefault="00251FC4" w:rsidP="009B1CB6">
      <w:pPr>
        <w:spacing w:line="240" w:lineRule="auto"/>
        <w:jc w:val="both"/>
      </w:pPr>
      <w:r>
        <w:t xml:space="preserve">The achievements made in the Program </w:t>
      </w:r>
      <w:r w:rsidR="009D0C89">
        <w:t xml:space="preserve">are </w:t>
      </w:r>
      <w:r>
        <w:t>highly significant in this context.</w:t>
      </w:r>
      <w:r w:rsidR="00B1646A">
        <w:t xml:space="preserve"> </w:t>
      </w:r>
      <w:r>
        <w:t xml:space="preserve">There is evidence of sustained improvements over time that builds on previous Australian </w:t>
      </w:r>
      <w:proofErr w:type="gramStart"/>
      <w:r>
        <w:t>investments, that</w:t>
      </w:r>
      <w:proofErr w:type="gramEnd"/>
      <w:r>
        <w:t xml:space="preserve"> have been robust in the face of changing leadership and political disruption (</w:t>
      </w:r>
      <w:r w:rsidR="00B1646A">
        <w:t xml:space="preserve">such as change of </w:t>
      </w:r>
      <w:r>
        <w:t>Ministers) through electoral cycles.</w:t>
      </w:r>
      <w:r w:rsidR="00B1646A">
        <w:t xml:space="preserve"> </w:t>
      </w:r>
      <w:r>
        <w:t>Moreover, the Program has continued to operate and deliver activities in situation</w:t>
      </w:r>
      <w:r w:rsidR="00784BFF">
        <w:t>s</w:t>
      </w:r>
      <w:r>
        <w:t xml:space="preserve"> of acting leadership or substantial numbers of vacant government positions.</w:t>
      </w:r>
      <w:r w:rsidR="00B1646A">
        <w:t xml:space="preserve"> </w:t>
      </w:r>
    </w:p>
    <w:p w14:paraId="45A9EE19" w14:textId="77777777" w:rsidR="00251FC4" w:rsidRDefault="00251FC4" w:rsidP="009B1CB6">
      <w:pPr>
        <w:spacing w:line="240" w:lineRule="auto"/>
        <w:jc w:val="both"/>
      </w:pPr>
      <w:r>
        <w:t>The Program has adopted strategies and approaches that work with enabling factors as far as possible.</w:t>
      </w:r>
      <w:r w:rsidR="00B1646A">
        <w:t xml:space="preserve"> </w:t>
      </w:r>
      <w:r>
        <w:t>The cross-sectoral approach builds networks and coalitions for change that withstand individual Agency rises and falls, and builds a broad base of human capital for the sector regardless of individual appointments and positions; working with civil society agencies who have their own mandates and functions, and broader support base, creates pressure for performance within the sector; and engaging with communities is aimed at improving the demand for good governance (in the long run).</w:t>
      </w:r>
    </w:p>
    <w:p w14:paraId="2320196A" w14:textId="77777777" w:rsidR="00251FC4" w:rsidRPr="0067743F" w:rsidRDefault="00251FC4" w:rsidP="00E4189A">
      <w:pPr>
        <w:spacing w:line="240" w:lineRule="auto"/>
        <w:jc w:val="both"/>
      </w:pPr>
      <w:r>
        <w:t>Although not intended as a focus of inquiry for this evaluation, sustainability of the investment is the critical issue that arises when considering achievements, and progress, to date.</w:t>
      </w:r>
      <w:r w:rsidR="00B1646A">
        <w:t xml:space="preserve"> </w:t>
      </w:r>
      <w:r>
        <w:t>It can be argued that the achievements have been generated through a substantial element of capacity substitution and operational support provided by the program</w:t>
      </w:r>
      <w:r>
        <w:rPr>
          <w:rStyle w:val="FootnoteReference"/>
        </w:rPr>
        <w:footnoteReference w:id="18"/>
      </w:r>
      <w:r>
        <w:t>, rather than from internally generated reform efforts.</w:t>
      </w:r>
      <w:r w:rsidR="00B1646A">
        <w:t xml:space="preserve"> </w:t>
      </w:r>
      <w:r>
        <w:t>The program is not geared towards tack</w:t>
      </w:r>
      <w:r w:rsidR="000C7CA7">
        <w:t>l</w:t>
      </w:r>
      <w:r>
        <w:t xml:space="preserve">ing the binding constraints </w:t>
      </w:r>
      <w:r w:rsidR="000D5983">
        <w:t>beyond</w:t>
      </w:r>
      <w:r>
        <w:t xml:space="preserve"> the sector associated with poor governance systems, lack of financing and </w:t>
      </w:r>
      <w:r w:rsidR="00731B16">
        <w:t xml:space="preserve">a </w:t>
      </w:r>
      <w:r>
        <w:t>thin human capital base. While the operational support to ensure services continue to be delivered in the short term is necessary</w:t>
      </w:r>
      <w:r w:rsidR="00E12DA0">
        <w:t xml:space="preserve"> to maintain the foundations </w:t>
      </w:r>
      <w:r w:rsidR="009B1CB6">
        <w:t>from</w:t>
      </w:r>
      <w:r w:rsidR="00E12DA0">
        <w:t xml:space="preserve"> which to </w:t>
      </w:r>
      <w:r>
        <w:t>build capacity, there is the inherent risk of creating dependence by preventing a “crisis” and avoiding the critical junctures from which major reform and change may occur. This is the development conundrum within which the entire Australian Aid program operates.</w:t>
      </w:r>
      <w:r w:rsidR="00B1646A">
        <w:t xml:space="preserve"> </w:t>
      </w:r>
      <w:r>
        <w:t>In this context, the achievements of the Program may still be regarded as substantial and significant</w:t>
      </w:r>
      <w:r w:rsidR="00334448">
        <w:t>, and the Program has responded by developing Sustainability Targets</w:t>
      </w:r>
      <w:r>
        <w:t xml:space="preserve">. However perhaps more could be done </w:t>
      </w:r>
      <w:r w:rsidR="001F2C05">
        <w:t>across</w:t>
      </w:r>
      <w:r>
        <w:t xml:space="preserve"> Australia’s </w:t>
      </w:r>
      <w:r w:rsidR="001F2C05">
        <w:t xml:space="preserve">aid program </w:t>
      </w:r>
      <w:r w:rsidR="005C29CB">
        <w:t>in</w:t>
      </w:r>
      <w:r>
        <w:t xml:space="preserve"> Vanuatu to either recognise and tackle the underlying constraints to sustainability for sectoral programs such as this, or to establish feasible </w:t>
      </w:r>
      <w:r w:rsidR="0054028F">
        <w:t>EOPOs</w:t>
      </w:r>
      <w:r>
        <w:t xml:space="preserve"> that </w:t>
      </w:r>
      <w:r w:rsidR="001F2C05">
        <w:t xml:space="preserve">more directly </w:t>
      </w:r>
      <w:r>
        <w:t xml:space="preserve">acknowledge the </w:t>
      </w:r>
      <w:r w:rsidR="001F2C05">
        <w:t xml:space="preserve">constraints to </w:t>
      </w:r>
      <w:r>
        <w:t>sustainability.</w:t>
      </w:r>
      <w:r>
        <w:rPr>
          <w:rStyle w:val="FootnoteReference"/>
        </w:rPr>
        <w:footnoteReference w:id="19"/>
      </w:r>
    </w:p>
    <w:p w14:paraId="217BB34E" w14:textId="77777777" w:rsidR="000E4B79" w:rsidRPr="00974487" w:rsidRDefault="000E4B79" w:rsidP="003F3BA4">
      <w:pPr>
        <w:spacing w:after="0" w:line="240" w:lineRule="auto"/>
        <w:rPr>
          <w:b/>
          <w:bCs/>
        </w:rPr>
      </w:pPr>
      <w:r w:rsidRPr="003F3BA4">
        <w:rPr>
          <w:b/>
          <w:bCs/>
        </w:rPr>
        <w:t>Overall Effectiveness</w:t>
      </w:r>
    </w:p>
    <w:p w14:paraId="219A68DE" w14:textId="77777777" w:rsidR="000E4B79" w:rsidRDefault="000E4B79" w:rsidP="003F3BA4">
      <w:pPr>
        <w:spacing w:line="240" w:lineRule="auto"/>
        <w:jc w:val="both"/>
      </w:pPr>
      <w:r>
        <w:t xml:space="preserve">The Program works across 14 </w:t>
      </w:r>
      <w:proofErr w:type="spellStart"/>
      <w:r>
        <w:t>GoV</w:t>
      </w:r>
      <w:proofErr w:type="spellEnd"/>
      <w:r>
        <w:t xml:space="preserve"> police and justice </w:t>
      </w:r>
      <w:r w:rsidR="005C29CB">
        <w:t>a</w:t>
      </w:r>
      <w:r>
        <w:t>gencies implementing a wide range of activities from simple one-off infrastructure and procurement of vehicles, to cross-sectoral capacity building for collective action.</w:t>
      </w:r>
      <w:r w:rsidR="00B1646A">
        <w:t xml:space="preserve"> </w:t>
      </w:r>
      <w:r>
        <w:t>Technical Assistance</w:t>
      </w:r>
      <w:r w:rsidR="005C29CB">
        <w:t xml:space="preserve"> is provided</w:t>
      </w:r>
      <w:r>
        <w:t xml:space="preserve"> primarily through </w:t>
      </w:r>
      <w:r w:rsidRPr="00AE50AF">
        <w:t>14</w:t>
      </w:r>
      <w:r>
        <w:t xml:space="preserve"> long term advisers (</w:t>
      </w:r>
      <w:r w:rsidR="00AE50AF">
        <w:t>9</w:t>
      </w:r>
      <w:r>
        <w:t xml:space="preserve"> justice and </w:t>
      </w:r>
      <w:r w:rsidR="00AE50AF">
        <w:t>5</w:t>
      </w:r>
      <w:r>
        <w:t xml:space="preserve"> police), plus </w:t>
      </w:r>
      <w:r w:rsidR="00AE50AF">
        <w:t>6</w:t>
      </w:r>
      <w:r>
        <w:t xml:space="preserve"> short term advisers</w:t>
      </w:r>
      <w:r w:rsidR="00AE50AF">
        <w:t xml:space="preserve">, </w:t>
      </w:r>
      <w:r>
        <w:t>with 9 local technical and support staff.</w:t>
      </w:r>
      <w:r w:rsidR="00B1646A">
        <w:t xml:space="preserve"> </w:t>
      </w:r>
    </w:p>
    <w:p w14:paraId="3BB5C299" w14:textId="77777777" w:rsidR="00AE50AF" w:rsidRDefault="00AE50AF" w:rsidP="00AE50AF">
      <w:pPr>
        <w:spacing w:line="240" w:lineRule="auto"/>
        <w:jc w:val="center"/>
      </w:pPr>
      <w:r>
        <w:rPr>
          <w:noProof/>
          <w:lang w:eastAsia="en-AU"/>
        </w:rPr>
        <w:drawing>
          <wp:inline distT="0" distB="0" distL="0" distR="0" wp14:anchorId="6D34A82D" wp14:editId="1824AF06">
            <wp:extent cx="4878070" cy="3256552"/>
            <wp:effectExtent l="0" t="0" r="0" b="127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06621" cy="3275613"/>
                    </a:xfrm>
                    <a:prstGeom prst="rect">
                      <a:avLst/>
                    </a:prstGeom>
                    <a:noFill/>
                  </pic:spPr>
                </pic:pic>
              </a:graphicData>
            </a:graphic>
          </wp:inline>
        </w:drawing>
      </w:r>
    </w:p>
    <w:p w14:paraId="46F73907" w14:textId="77777777" w:rsidR="00AE50AF" w:rsidRDefault="00AE50AF" w:rsidP="003F3BA4">
      <w:pPr>
        <w:spacing w:line="240" w:lineRule="auto"/>
        <w:jc w:val="both"/>
      </w:pPr>
    </w:p>
    <w:p w14:paraId="1553AC65" w14:textId="77777777" w:rsidR="00AE50AF" w:rsidRDefault="00AE50AF" w:rsidP="005C29CB">
      <w:pPr>
        <w:spacing w:line="240" w:lineRule="auto"/>
        <w:jc w:val="center"/>
      </w:pPr>
      <w:r>
        <w:rPr>
          <w:noProof/>
          <w:lang w:eastAsia="en-AU"/>
        </w:rPr>
        <w:drawing>
          <wp:inline distT="0" distB="0" distL="0" distR="0" wp14:anchorId="525B4994" wp14:editId="132288C9">
            <wp:extent cx="4816370" cy="2892494"/>
            <wp:effectExtent l="19050" t="19050" r="22860" b="222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32607" cy="2962301"/>
                    </a:xfrm>
                    <a:prstGeom prst="rect">
                      <a:avLst/>
                    </a:prstGeom>
                    <a:noFill/>
                    <a:ln>
                      <a:solidFill>
                        <a:schemeClr val="bg1">
                          <a:lumMod val="85000"/>
                        </a:schemeClr>
                      </a:solidFill>
                    </a:ln>
                  </pic:spPr>
                </pic:pic>
              </a:graphicData>
            </a:graphic>
          </wp:inline>
        </w:drawing>
      </w:r>
    </w:p>
    <w:p w14:paraId="460952EB" w14:textId="77777777" w:rsidR="00AE50AF" w:rsidRDefault="00AE50AF" w:rsidP="003F3BA4">
      <w:pPr>
        <w:spacing w:line="240" w:lineRule="auto"/>
        <w:jc w:val="both"/>
      </w:pPr>
    </w:p>
    <w:p w14:paraId="6EBECBFF" w14:textId="77777777" w:rsidR="000E4B79" w:rsidRDefault="000E4B79" w:rsidP="003F3BA4">
      <w:pPr>
        <w:spacing w:line="240" w:lineRule="auto"/>
        <w:jc w:val="both"/>
      </w:pPr>
      <w:r>
        <w:t xml:space="preserve">The evaluation observed that performance across the program is highly variable according to the factors enabling and constraining progress (the political economy of the individualised setting), and the approach being adopted by the program (the nature of capacity building, </w:t>
      </w:r>
      <w:r w:rsidR="00E0623C">
        <w:t>“</w:t>
      </w:r>
      <w:r>
        <w:t>style’’ of the relevant Adviser, and focus on the activity itself). The review also observed that the reporting and monitoring and evaluation arrangements did not provide a ‘simple’ story of progress and effectiveness against the original design (at the EOPO and I</w:t>
      </w:r>
      <w:r w:rsidR="00C31A9B">
        <w:t>ntermediate Outcome (I</w:t>
      </w:r>
      <w:r>
        <w:t>O</w:t>
      </w:r>
      <w:r w:rsidR="00C31A9B">
        <w:t>)</w:t>
      </w:r>
      <w:r>
        <w:t xml:space="preserve"> levels) as key data sets for baseline and monitoring are not available.</w:t>
      </w:r>
      <w:r>
        <w:rPr>
          <w:rStyle w:val="FootnoteReference"/>
        </w:rPr>
        <w:footnoteReference w:id="20"/>
      </w:r>
      <w:r w:rsidR="00B1646A">
        <w:t xml:space="preserve"> </w:t>
      </w:r>
    </w:p>
    <w:p w14:paraId="28A4F28B" w14:textId="77777777" w:rsidR="000E4B79" w:rsidRDefault="000E4B79" w:rsidP="003F3BA4">
      <w:pPr>
        <w:spacing w:line="240" w:lineRule="auto"/>
        <w:jc w:val="both"/>
      </w:pPr>
      <w:r>
        <w:t>In order to assess overall effectiveness, 22 individual “parts” of the Program (determined by participating Agency and/or Adviser focus and/or budget allocations for cross-sector activity) were analysed in terms of political economy influences, quality of approach and progress to date, and results towards outcomes (whether ‘’results’’ were observable, regardless of their meeting intended objectives).</w:t>
      </w:r>
      <w:r w:rsidR="00B1646A">
        <w:t xml:space="preserve"> </w:t>
      </w:r>
      <w:r>
        <w:t xml:space="preserve">The detailed analysis table (Annex </w:t>
      </w:r>
      <w:r w:rsidR="0054028F">
        <w:t>5.1</w:t>
      </w:r>
      <w:r>
        <w:t>) provides a detailed justification (in narrative) for the individual assessments. The activities were also analysed in terms of their capacity building approaches, and consideration of gender equality in implementation.</w:t>
      </w:r>
      <w:r w:rsidR="00B1646A">
        <w:t xml:space="preserve"> </w:t>
      </w:r>
      <w:r>
        <w:t>Ratings scales were applied for each assessment criteria using the DFAT 1-6 Quality scale as a basis.</w:t>
      </w:r>
      <w:r>
        <w:rPr>
          <w:rStyle w:val="FootnoteReference"/>
        </w:rPr>
        <w:footnoteReference w:id="21"/>
      </w:r>
      <w:r>
        <w:t xml:space="preserve"> </w:t>
      </w:r>
    </w:p>
    <w:p w14:paraId="5AF9908B" w14:textId="77777777" w:rsidR="000E4B79" w:rsidRDefault="000E4B79" w:rsidP="000E4B79">
      <w:pPr>
        <w:jc w:val="both"/>
      </w:pPr>
      <w:r>
        <w:t>The synthesis can be represented in the following diagram</w:t>
      </w:r>
      <w:r w:rsidR="001C7F37">
        <w:t xml:space="preserve"> (Figure </w:t>
      </w:r>
      <w:r w:rsidR="00D77930">
        <w:t>1</w:t>
      </w:r>
      <w:r w:rsidR="001C7F37">
        <w:t>)</w:t>
      </w:r>
      <w:r>
        <w:t>, which shows the variation across the dimensions rated.</w:t>
      </w:r>
      <w:r w:rsidR="00B1646A">
        <w:t xml:space="preserve"> </w:t>
      </w:r>
      <w:r>
        <w:t xml:space="preserve">There is no simple relationship between the political economy of the setting and results, nor with the quality of </w:t>
      </w:r>
      <w:proofErr w:type="gramStart"/>
      <w:r>
        <w:t>work being</w:t>
      </w:r>
      <w:proofErr w:type="gramEnd"/>
      <w:r>
        <w:t xml:space="preserve"> undertaken or the approaches to capacity development and gender, as a separate set of factors appear to be at work in each part of the program.</w:t>
      </w:r>
    </w:p>
    <w:p w14:paraId="332AFA5D" w14:textId="7E25A772" w:rsidR="009B1CB6" w:rsidRPr="00F908A4" w:rsidRDefault="009B1CB6" w:rsidP="009B1CB6">
      <w:pPr>
        <w:pStyle w:val="Caption"/>
        <w:keepNext/>
        <w:spacing w:after="0"/>
        <w:jc w:val="both"/>
        <w:rPr>
          <w:sz w:val="22"/>
          <w:szCs w:val="22"/>
        </w:rPr>
      </w:pPr>
      <w:r w:rsidRPr="00F908A4">
        <w:rPr>
          <w:sz w:val="22"/>
          <w:szCs w:val="22"/>
        </w:rPr>
        <w:t xml:space="preserve">Figure </w:t>
      </w:r>
      <w:r w:rsidRPr="00F908A4">
        <w:rPr>
          <w:sz w:val="22"/>
          <w:szCs w:val="22"/>
        </w:rPr>
        <w:fldChar w:fldCharType="begin"/>
      </w:r>
      <w:r w:rsidRPr="00F908A4">
        <w:rPr>
          <w:sz w:val="22"/>
          <w:szCs w:val="22"/>
        </w:rPr>
        <w:instrText xml:space="preserve"> SEQ Figure \* ARABIC </w:instrText>
      </w:r>
      <w:r w:rsidRPr="00F908A4">
        <w:rPr>
          <w:sz w:val="22"/>
          <w:szCs w:val="22"/>
        </w:rPr>
        <w:fldChar w:fldCharType="separate"/>
      </w:r>
      <w:r w:rsidR="00266457">
        <w:rPr>
          <w:noProof/>
          <w:sz w:val="22"/>
          <w:szCs w:val="22"/>
        </w:rPr>
        <w:t>1</w:t>
      </w:r>
      <w:r w:rsidRPr="00F908A4">
        <w:rPr>
          <w:sz w:val="22"/>
          <w:szCs w:val="22"/>
        </w:rPr>
        <w:fldChar w:fldCharType="end"/>
      </w:r>
      <w:r w:rsidRPr="00F908A4">
        <w:rPr>
          <w:sz w:val="22"/>
          <w:szCs w:val="22"/>
        </w:rPr>
        <w:t>: Effectiveness of SRBJS</w:t>
      </w:r>
      <w:r w:rsidR="00157909" w:rsidRPr="00F908A4">
        <w:rPr>
          <w:sz w:val="22"/>
          <w:szCs w:val="22"/>
        </w:rPr>
        <w:t xml:space="preserve"> program parts</w:t>
      </w:r>
    </w:p>
    <w:p w14:paraId="12D3A1C5" w14:textId="77777777" w:rsidR="009B1CB6" w:rsidRDefault="009B1CB6" w:rsidP="000E4B79">
      <w:pPr>
        <w:jc w:val="both"/>
      </w:pPr>
      <w:r w:rsidRPr="000E3F69">
        <w:rPr>
          <w:noProof/>
          <w:lang w:eastAsia="en-AU"/>
        </w:rPr>
        <w:drawing>
          <wp:inline distT="0" distB="0" distL="0" distR="0" wp14:anchorId="2EE64E94" wp14:editId="54614926">
            <wp:extent cx="5883184" cy="4245841"/>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497" r="2679"/>
                    <a:stretch/>
                  </pic:blipFill>
                  <pic:spPr bwMode="auto">
                    <a:xfrm>
                      <a:off x="0" y="0"/>
                      <a:ext cx="5886971" cy="4248574"/>
                    </a:xfrm>
                    <a:prstGeom prst="rect">
                      <a:avLst/>
                    </a:prstGeom>
                    <a:noFill/>
                    <a:ln>
                      <a:noFill/>
                    </a:ln>
                    <a:extLst>
                      <a:ext uri="{53640926-AAD7-44D8-BBD7-CCE9431645EC}">
                        <a14:shadowObscured xmlns:a14="http://schemas.microsoft.com/office/drawing/2010/main"/>
                      </a:ext>
                    </a:extLst>
                  </pic:spPr>
                </pic:pic>
              </a:graphicData>
            </a:graphic>
          </wp:inline>
        </w:drawing>
      </w:r>
    </w:p>
    <w:p w14:paraId="5BF1D031" w14:textId="77777777" w:rsidR="000E4B79" w:rsidRDefault="005271BD" w:rsidP="003F3BA4">
      <w:pPr>
        <w:spacing w:line="240" w:lineRule="auto"/>
        <w:jc w:val="both"/>
      </w:pPr>
      <w:r>
        <w:t>T</w:t>
      </w:r>
      <w:r w:rsidR="00D77930">
        <w:t xml:space="preserve">able </w:t>
      </w:r>
      <w:r w:rsidR="00321DDA">
        <w:t>1</w:t>
      </w:r>
      <w:r w:rsidR="00D77930">
        <w:t xml:space="preserve"> </w:t>
      </w:r>
      <w:r w:rsidR="000E4B79">
        <w:t>highlights results of progress to date</w:t>
      </w:r>
      <w:r w:rsidR="000E4B79">
        <w:rPr>
          <w:rStyle w:val="FootnoteReference"/>
        </w:rPr>
        <w:footnoteReference w:id="22"/>
      </w:r>
      <w:r w:rsidR="000E4B79">
        <w:t xml:space="preserve"> – with 12/22 showing results of 5 or above; and just 4/24 with poor results (score of 3) and none with scores of 1 or 2.</w:t>
      </w:r>
      <w:r w:rsidR="00B1646A">
        <w:t xml:space="preserve"> </w:t>
      </w:r>
      <w:r w:rsidR="000E4B79">
        <w:t xml:space="preserve">Four areas have no results as the program is not working in these Agencies, although they are important parts of the justice system, reflecting the </w:t>
      </w:r>
      <w:r w:rsidR="00E0623C">
        <w:t>l</w:t>
      </w:r>
      <w:r w:rsidR="000E4B79">
        <w:t xml:space="preserve">ow score for political economy setting </w:t>
      </w:r>
      <w:r w:rsidR="00E31BD4">
        <w:t xml:space="preserve">(reflective of the poor enabling environment irrespective of the Program </w:t>
      </w:r>
      <w:r w:rsidR="000E4B79">
        <w:t>at the present time</w:t>
      </w:r>
      <w:r w:rsidR="00E31BD4">
        <w:t>)</w:t>
      </w:r>
      <w:r w:rsidR="006E0570">
        <w:t>.</w:t>
      </w:r>
      <w:r w:rsidR="00274C49">
        <w:rPr>
          <w:rStyle w:val="FootnoteReference"/>
        </w:rPr>
        <w:footnoteReference w:id="23"/>
      </w:r>
    </w:p>
    <w:p w14:paraId="66CCC888" w14:textId="77777777" w:rsidR="000E4B79" w:rsidRDefault="00BA14ED" w:rsidP="003F3BA4">
      <w:pPr>
        <w:spacing w:line="240" w:lineRule="auto"/>
        <w:jc w:val="both"/>
      </w:pPr>
      <w:r w:rsidRPr="001F64C1">
        <w:rPr>
          <w:noProof/>
          <w:lang w:eastAsia="en-AU"/>
        </w:rPr>
        <mc:AlternateContent>
          <mc:Choice Requires="wps">
            <w:drawing>
              <wp:anchor distT="45720" distB="45720" distL="114300" distR="114300" simplePos="0" relativeHeight="251700224" behindDoc="0" locked="0" layoutInCell="1" allowOverlap="1" wp14:anchorId="3340184A" wp14:editId="3CF08E6C">
                <wp:simplePos x="0" y="0"/>
                <wp:positionH relativeFrom="margin">
                  <wp:align>left</wp:align>
                </wp:positionH>
                <wp:positionV relativeFrom="paragraph">
                  <wp:posOffset>93345</wp:posOffset>
                </wp:positionV>
                <wp:extent cx="3095625" cy="6677025"/>
                <wp:effectExtent l="0" t="0" r="9525" b="9525"/>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6677025"/>
                        </a:xfrm>
                        <a:prstGeom prst="rect">
                          <a:avLst/>
                        </a:prstGeom>
                        <a:solidFill>
                          <a:srgbClr val="FFFFFF"/>
                        </a:solidFill>
                        <a:ln w="9525">
                          <a:noFill/>
                          <a:miter lim="800000"/>
                          <a:headEnd/>
                          <a:tailEnd/>
                        </a:ln>
                      </wps:spPr>
                      <wps:txbx>
                        <w:txbxContent>
                          <w:p w14:paraId="1F7B3E97" w14:textId="77777777" w:rsidR="00705D48" w:rsidRPr="00F908A4" w:rsidRDefault="00705D48" w:rsidP="00F908A4">
                            <w:pPr>
                              <w:spacing w:after="0" w:line="240" w:lineRule="auto"/>
                              <w:rPr>
                                <w:color w:val="44546A" w:themeColor="text2"/>
                              </w:rPr>
                            </w:pPr>
                            <w:r w:rsidRPr="00F908A4">
                              <w:rPr>
                                <w:i/>
                                <w:iCs/>
                                <w:color w:val="44546A" w:themeColor="text2"/>
                              </w:rPr>
                              <w:t>Tabl</w:t>
                            </w:r>
                            <w:r>
                              <w:rPr>
                                <w:i/>
                                <w:iCs/>
                                <w:color w:val="44546A" w:themeColor="text2"/>
                              </w:rPr>
                              <w:t>e</w:t>
                            </w:r>
                            <w:r w:rsidRPr="00F908A4">
                              <w:rPr>
                                <w:i/>
                                <w:iCs/>
                                <w:color w:val="44546A" w:themeColor="text2"/>
                              </w:rPr>
                              <w:t xml:space="preserve">: </w:t>
                            </w:r>
                            <w:r>
                              <w:rPr>
                                <w:i/>
                                <w:iCs/>
                                <w:color w:val="44546A" w:themeColor="text2"/>
                              </w:rPr>
                              <w:t xml:space="preserve">1 </w:t>
                            </w:r>
                            <w:r w:rsidRPr="00F908A4">
                              <w:rPr>
                                <w:i/>
                                <w:iCs/>
                                <w:color w:val="44546A" w:themeColor="text2"/>
                              </w:rPr>
                              <w:t>Assessment of Progress of 22 “Parts” to EOPOs and IOs</w:t>
                            </w:r>
                          </w:p>
                          <w:p w14:paraId="561CE3EC" w14:textId="77777777" w:rsidR="00705D48" w:rsidRDefault="00705D48" w:rsidP="000E4B79">
                            <w:r w:rsidRPr="00274C49">
                              <w:rPr>
                                <w:noProof/>
                                <w:lang w:eastAsia="en-AU"/>
                              </w:rPr>
                              <w:drawing>
                                <wp:inline distT="0" distB="0" distL="0" distR="0" wp14:anchorId="5AF31815" wp14:editId="3AEFC495">
                                  <wp:extent cx="2907712" cy="6096000"/>
                                  <wp:effectExtent l="0" t="0" r="698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12540" cy="6106122"/>
                                          </a:xfrm>
                                          <a:prstGeom prst="rect">
                                            <a:avLst/>
                                          </a:prstGeom>
                                          <a:noFill/>
                                          <a:ln>
                                            <a:noFill/>
                                          </a:ln>
                                        </pic:spPr>
                                      </pic:pic>
                                    </a:graphicData>
                                  </a:graphic>
                                </wp:inline>
                              </w:drawing>
                            </w:r>
                          </w:p>
                          <w:p w14:paraId="2D60B000" w14:textId="77777777" w:rsidR="00705D48" w:rsidRDefault="00705D48" w:rsidP="000E4B79"/>
                          <w:p w14:paraId="714CAC9D" w14:textId="77777777" w:rsidR="00705D48" w:rsidRDefault="00705D48" w:rsidP="000E4B7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40184A" id="_x0000_s1029" type="#_x0000_t202" style="position:absolute;left:0;text-align:left;margin-left:0;margin-top:7.35pt;width:243.75pt;height:525.75pt;z-index:2517002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" stroked="f">
                <v:textbox>
                  <w:txbxContent>
                    <w:p w14:paraId="1F7B3E97" w14:textId="77777777" w:rsidR="00705D48" w:rsidRPr="00F908A4" w:rsidRDefault="00705D48" w:rsidP="00F908A4">
                      <w:pPr>
                        <w:spacing w:after="0" w:line="240" w:lineRule="auto"/>
                        <w:rPr>
                          <w:color w:val="44546A" w:themeColor="text2"/>
                        </w:rPr>
                      </w:pPr>
                      <w:r w:rsidRPr="00F908A4">
                        <w:rPr>
                          <w:i/>
                          <w:iCs/>
                          <w:color w:val="44546A" w:themeColor="text2"/>
                        </w:rPr>
                        <w:t>Tabl</w:t>
                      </w:r>
                      <w:r>
                        <w:rPr>
                          <w:i/>
                          <w:iCs/>
                          <w:color w:val="44546A" w:themeColor="text2"/>
                        </w:rPr>
                        <w:t>e</w:t>
                      </w:r>
                      <w:r w:rsidRPr="00F908A4">
                        <w:rPr>
                          <w:i/>
                          <w:iCs/>
                          <w:color w:val="44546A" w:themeColor="text2"/>
                        </w:rPr>
                        <w:t xml:space="preserve">: </w:t>
                      </w:r>
                      <w:r>
                        <w:rPr>
                          <w:i/>
                          <w:iCs/>
                          <w:color w:val="44546A" w:themeColor="text2"/>
                        </w:rPr>
                        <w:t xml:space="preserve">1 </w:t>
                      </w:r>
                      <w:r w:rsidRPr="00F908A4">
                        <w:rPr>
                          <w:i/>
                          <w:iCs/>
                          <w:color w:val="44546A" w:themeColor="text2"/>
                        </w:rPr>
                        <w:t>Assessment of Progress of 22 “Parts” to EOPOs and IOs</w:t>
                      </w:r>
                    </w:p>
                    <w:p w14:paraId="561CE3EC" w14:textId="77777777" w:rsidR="00705D48" w:rsidRDefault="00705D48" w:rsidP="000E4B79">
                      <w:r w:rsidRPr="00274C49">
                        <w:rPr>
                          <w:noProof/>
                          <w:lang w:eastAsia="en-AU"/>
                        </w:rPr>
                        <w:drawing>
                          <wp:inline distT="0" distB="0" distL="0" distR="0" wp14:anchorId="5AF31815" wp14:editId="3AEFC495">
                            <wp:extent cx="2907712" cy="6096000"/>
                            <wp:effectExtent l="0" t="0" r="698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12540" cy="6106122"/>
                                    </a:xfrm>
                                    <a:prstGeom prst="rect">
                                      <a:avLst/>
                                    </a:prstGeom>
                                    <a:noFill/>
                                    <a:ln>
                                      <a:noFill/>
                                    </a:ln>
                                  </pic:spPr>
                                </pic:pic>
                              </a:graphicData>
                            </a:graphic>
                          </wp:inline>
                        </w:drawing>
                      </w:r>
                    </w:p>
                    <w:p w14:paraId="2D60B000" w14:textId="77777777" w:rsidR="00705D48" w:rsidRDefault="00705D48" w:rsidP="000E4B79"/>
                    <w:p w14:paraId="714CAC9D" w14:textId="77777777" w:rsidR="00705D48" w:rsidRDefault="00705D48" w:rsidP="000E4B79"/>
                  </w:txbxContent>
                </v:textbox>
                <w10:wrap type="square" anchorx="margin"/>
              </v:shape>
            </w:pict>
          </mc:Fallback>
        </mc:AlternateContent>
      </w:r>
      <w:r w:rsidR="000E4B79">
        <w:t xml:space="preserve">The most recent </w:t>
      </w:r>
      <w:r w:rsidR="0054028F">
        <w:t>s</w:t>
      </w:r>
      <w:r w:rsidR="000E4B79">
        <w:t>ix-monthly report also provides an overview of progress of the Program to date</w:t>
      </w:r>
      <w:r w:rsidR="006E0570">
        <w:t xml:space="preserve"> (see Figure 2)</w:t>
      </w:r>
      <w:r w:rsidR="000E4B79">
        <w:t xml:space="preserve">, indicating that good progress is being made against 1 EOPO and some progress against the other 2 EOPOs, while good progress is being made against 3 IOs, some progress against 9 IOs, and no progress against 2 IOs. </w:t>
      </w:r>
    </w:p>
    <w:p w14:paraId="5935F65A" w14:textId="77777777" w:rsidR="00251FC4" w:rsidRDefault="00251FC4" w:rsidP="00251FC4">
      <w:pPr>
        <w:jc w:val="both"/>
      </w:pPr>
      <w:r>
        <w:t>The Program has been tracking Aggregate Development Results</w:t>
      </w:r>
      <w:r>
        <w:rPr>
          <w:rStyle w:val="FootnoteReference"/>
        </w:rPr>
        <w:footnoteReference w:id="24"/>
      </w:r>
      <w:r>
        <w:t>, Reach and Coverage</w:t>
      </w:r>
      <w:r>
        <w:rPr>
          <w:rStyle w:val="FootnoteReference"/>
        </w:rPr>
        <w:footnoteReference w:id="25"/>
      </w:r>
      <w:r>
        <w:t xml:space="preserve"> and Sustainability Indicators,</w:t>
      </w:r>
      <w:r>
        <w:rPr>
          <w:rStyle w:val="FootnoteReference"/>
        </w:rPr>
        <w:footnoteReference w:id="26"/>
      </w:r>
      <w:r>
        <w:t xml:space="preserve"> </w:t>
      </w:r>
      <w:r w:rsidR="005C520B">
        <w:t xml:space="preserve">with </w:t>
      </w:r>
      <w:r w:rsidR="000D401A">
        <w:t xml:space="preserve">all </w:t>
      </w:r>
      <w:r w:rsidR="005C520B">
        <w:t>progress reports reviewed</w:t>
      </w:r>
      <w:r>
        <w:t xml:space="preserve"> show</w:t>
      </w:r>
      <w:r w:rsidR="005C520B">
        <w:t>ing</w:t>
      </w:r>
      <w:r>
        <w:t xml:space="preserve"> measured positive progress.</w:t>
      </w:r>
    </w:p>
    <w:p w14:paraId="0638B896" w14:textId="77777777" w:rsidR="001F41B5" w:rsidRPr="007C0C8E" w:rsidRDefault="00251FC4" w:rsidP="007C0C8E">
      <w:pPr>
        <w:jc w:val="both"/>
      </w:pPr>
      <w:bookmarkStart w:id="33" w:name="_Hlk21613410"/>
      <w:r w:rsidRPr="00E25391">
        <w:t xml:space="preserve">A major challenge for assessing progress </w:t>
      </w:r>
      <w:r w:rsidR="00C1271B">
        <w:t xml:space="preserve">is the Program’s </w:t>
      </w:r>
      <w:r w:rsidR="008B52CD">
        <w:t>ability</w:t>
      </w:r>
      <w:r w:rsidR="00C1271B">
        <w:t xml:space="preserve"> to measure</w:t>
      </w:r>
      <w:r w:rsidR="008B52CD">
        <w:t xml:space="preserve"> and report on progress in relation to IOs. The </w:t>
      </w:r>
      <w:r w:rsidR="00C1271B">
        <w:t xml:space="preserve">IOs </w:t>
      </w:r>
      <w:r w:rsidRPr="00E25391">
        <w:t>are</w:t>
      </w:r>
      <w:r w:rsidR="00C1271B">
        <w:t xml:space="preserve"> </w:t>
      </w:r>
      <w:r w:rsidRPr="00E25391">
        <w:t>what may be described as ‘theoretical steps’ in a program logic chain that lead towards the EOPOs, but they are not grounded in identifiable Agencies or key milestones to be met.</w:t>
      </w:r>
      <w:r w:rsidR="00B1646A" w:rsidRPr="00E25391">
        <w:t xml:space="preserve"> </w:t>
      </w:r>
      <w:r w:rsidR="00002ECD">
        <w:t xml:space="preserve">In some ways they are better regarded as ‘indicators’ of progress towards the EOPOs. </w:t>
      </w:r>
      <w:r w:rsidRPr="00E25391">
        <w:t xml:space="preserve">They are important ideas, and represent the changes we aspire to see in a sector wide program of this nature. </w:t>
      </w:r>
      <w:r w:rsidR="00002ECD">
        <w:t>However, i</w:t>
      </w:r>
      <w:r w:rsidRPr="00E25391">
        <w:t>n practice they</w:t>
      </w:r>
      <w:r w:rsidR="00CB11B0">
        <w:t xml:space="preserve"> are </w:t>
      </w:r>
      <w:r w:rsidR="004836CA">
        <w:t xml:space="preserve">relatively </w:t>
      </w:r>
      <w:r w:rsidR="00CB11B0">
        <w:t xml:space="preserve">high level </w:t>
      </w:r>
      <w:r w:rsidR="00B7297A">
        <w:t xml:space="preserve">and </w:t>
      </w:r>
      <w:r w:rsidR="008969D6">
        <w:t xml:space="preserve">do </w:t>
      </w:r>
      <w:r w:rsidR="00B7297A">
        <w:t xml:space="preserve">not </w:t>
      </w:r>
      <w:r w:rsidR="00C5279C">
        <w:t>capture</w:t>
      </w:r>
      <w:r w:rsidR="00B7297A">
        <w:t xml:space="preserve"> </w:t>
      </w:r>
      <w:r w:rsidR="008969D6">
        <w:t xml:space="preserve">the </w:t>
      </w:r>
      <w:r w:rsidR="00B7297A">
        <w:t>changes that can</w:t>
      </w:r>
      <w:r w:rsidR="00B359A5">
        <w:t xml:space="preserve"> </w:t>
      </w:r>
      <w:r w:rsidR="00B7297A">
        <w:t xml:space="preserve">realistically </w:t>
      </w:r>
      <w:r w:rsidR="008969D6">
        <w:t xml:space="preserve">be </w:t>
      </w:r>
      <w:r w:rsidR="00B7297A">
        <w:t>expected to result</w:t>
      </w:r>
      <w:r w:rsidR="00C5279C">
        <w:t xml:space="preserve"> directly</w:t>
      </w:r>
      <w:r w:rsidR="00B7297A">
        <w:t xml:space="preserve"> from the Program’s </w:t>
      </w:r>
      <w:r w:rsidR="00E42BA8">
        <w:t>activities and outputs</w:t>
      </w:r>
      <w:r w:rsidR="00B7297A">
        <w:t xml:space="preserve"> that can </w:t>
      </w:r>
      <w:r w:rsidR="00002ECD">
        <w:t xml:space="preserve">be </w:t>
      </w:r>
      <w:r w:rsidR="008969D6">
        <w:t>feasibly be</w:t>
      </w:r>
      <w:r w:rsidR="00B7297A">
        <w:t xml:space="preserve"> measured through monitoring</w:t>
      </w:r>
      <w:r w:rsidR="00DB6FC4">
        <w:t xml:space="preserve">. As a result, IOs </w:t>
      </w:r>
      <w:r w:rsidRPr="00CB11B0">
        <w:t>have not been able to be readily ‘measured’ for reporting, despite best efforts.</w:t>
      </w:r>
      <w:r w:rsidR="00B1646A">
        <w:t xml:space="preserve"> </w:t>
      </w:r>
      <w:r>
        <w:t xml:space="preserve">The analysis provided in six monthly reporting may be regarded as reliable (they are fair assessments using multiple sources of data, with which the </w:t>
      </w:r>
      <w:r w:rsidR="00B65098">
        <w:t xml:space="preserve">evaluation </w:t>
      </w:r>
      <w:r>
        <w:t>team concurs)</w:t>
      </w:r>
      <w:r w:rsidR="00D24708">
        <w:t>. However,</w:t>
      </w:r>
      <w:r>
        <w:t xml:space="preserve"> </w:t>
      </w:r>
      <w:r w:rsidR="00D24708">
        <w:t>they</w:t>
      </w:r>
      <w:r>
        <w:t xml:space="preserve"> </w:t>
      </w:r>
      <w:r w:rsidR="00447480">
        <w:t>are not appropriate measures as they seek to measure things that are outside the project’s scop</w:t>
      </w:r>
      <w:r w:rsidR="00D24708">
        <w:t>e</w:t>
      </w:r>
      <w:r w:rsidR="00447480">
        <w:t xml:space="preserve"> of control (such as</w:t>
      </w:r>
      <w:r w:rsidR="007C0C8E">
        <w:t xml:space="preserve"> the uptake </w:t>
      </w:r>
      <w:r w:rsidR="00D24708">
        <w:t>or</w:t>
      </w:r>
      <w:r w:rsidR="007C0C8E">
        <w:t xml:space="preserve"> application of capacity building by counterparts or communities</w:t>
      </w:r>
      <w:r w:rsidR="00447480">
        <w:t>) and do not measure crucial elements that should be measured (such as the outputs</w:t>
      </w:r>
      <w:r w:rsidR="007C0C8E">
        <w:t xml:space="preserve"> and specific knowledge, skills and systems changes resulting from </w:t>
      </w:r>
      <w:r w:rsidR="00447480">
        <w:t>advisory work</w:t>
      </w:r>
      <w:r w:rsidR="007C0C8E">
        <w:t>)</w:t>
      </w:r>
      <w:r w:rsidR="00447480">
        <w:t xml:space="preserve">. </w:t>
      </w:r>
      <w:r w:rsidRPr="00CB11B0">
        <w:t xml:space="preserve">The end result of this </w:t>
      </w:r>
      <w:r w:rsidR="007C0C8E">
        <w:t xml:space="preserve">knowledge, skills and institutional </w:t>
      </w:r>
      <w:r w:rsidRPr="00CB11B0">
        <w:t xml:space="preserve">conceptualisation is that there remains a ‘missing middle’ in the design between inputs and outcomes of concrete </w:t>
      </w:r>
      <w:r w:rsidR="00447480">
        <w:t>o</w:t>
      </w:r>
      <w:r w:rsidRPr="00CB11B0">
        <w:t>utputs which can be delivered and for which</w:t>
      </w:r>
      <w:r w:rsidR="00B65098" w:rsidRPr="00CB11B0">
        <w:t xml:space="preserve"> </w:t>
      </w:r>
      <w:r w:rsidR="00E0623C" w:rsidRPr="007C0C8E">
        <w:rPr>
          <w:noProof/>
          <w:lang w:eastAsia="en-AU"/>
        </w:rPr>
        <mc:AlternateContent>
          <mc:Choice Requires="wps">
            <w:drawing>
              <wp:anchor distT="0" distB="0" distL="114300" distR="114300" simplePos="0" relativeHeight="251707392" behindDoc="0" locked="0" layoutInCell="1" allowOverlap="1" wp14:anchorId="7394A045" wp14:editId="27D56B82">
                <wp:simplePos x="0" y="0"/>
                <wp:positionH relativeFrom="margin">
                  <wp:posOffset>-34276</wp:posOffset>
                </wp:positionH>
                <wp:positionV relativeFrom="paragraph">
                  <wp:posOffset>502044</wp:posOffset>
                </wp:positionV>
                <wp:extent cx="5448300" cy="228600"/>
                <wp:effectExtent l="0" t="0" r="0" b="0"/>
                <wp:wrapThrough wrapText="bothSides">
                  <wp:wrapPolygon edited="0">
                    <wp:start x="0" y="0"/>
                    <wp:lineTo x="0" y="19800"/>
                    <wp:lineTo x="21524" y="19800"/>
                    <wp:lineTo x="21524" y="0"/>
                    <wp:lineTo x="0" y="0"/>
                  </wp:wrapPolygon>
                </wp:wrapThrough>
                <wp:docPr id="41" name="Text Box 41"/>
                <wp:cNvGraphicFramePr/>
                <a:graphic xmlns:a="http://schemas.openxmlformats.org/drawingml/2006/main">
                  <a:graphicData uri="http://schemas.microsoft.com/office/word/2010/wordprocessingShape">
                    <wps:wsp>
                      <wps:cNvSpPr txBox="1"/>
                      <wps:spPr>
                        <a:xfrm>
                          <a:off x="0" y="0"/>
                          <a:ext cx="5448300" cy="228600"/>
                        </a:xfrm>
                        <a:prstGeom prst="rect">
                          <a:avLst/>
                        </a:prstGeom>
                        <a:solidFill>
                          <a:prstClr val="white"/>
                        </a:solidFill>
                        <a:ln>
                          <a:noFill/>
                        </a:ln>
                      </wps:spPr>
                      <wps:txbx>
                        <w:txbxContent>
                          <w:p w14:paraId="47467053" w14:textId="51A4BD09" w:rsidR="00705D48" w:rsidRPr="00F908A4" w:rsidRDefault="00705D48" w:rsidP="0073133C">
                            <w:pPr>
                              <w:pStyle w:val="Caption"/>
                              <w:spacing w:after="0"/>
                              <w:rPr>
                                <w:sz w:val="22"/>
                                <w:szCs w:val="22"/>
                              </w:rPr>
                            </w:pPr>
                            <w:r w:rsidRPr="00F908A4">
                              <w:rPr>
                                <w:sz w:val="22"/>
                                <w:szCs w:val="22"/>
                              </w:rPr>
                              <w:t xml:space="preserve">Figure </w:t>
                            </w:r>
                            <w:r w:rsidRPr="00F908A4">
                              <w:rPr>
                                <w:sz w:val="22"/>
                                <w:szCs w:val="22"/>
                              </w:rPr>
                              <w:fldChar w:fldCharType="begin"/>
                            </w:r>
                            <w:r w:rsidRPr="00F908A4">
                              <w:rPr>
                                <w:sz w:val="22"/>
                                <w:szCs w:val="22"/>
                              </w:rPr>
                              <w:instrText xml:space="preserve"> SEQ Figure \* ARABIC </w:instrText>
                            </w:r>
                            <w:r w:rsidRPr="00F908A4">
                              <w:rPr>
                                <w:sz w:val="22"/>
                                <w:szCs w:val="22"/>
                              </w:rPr>
                              <w:fldChar w:fldCharType="separate"/>
                            </w:r>
                            <w:r w:rsidR="00266457">
                              <w:rPr>
                                <w:noProof/>
                                <w:sz w:val="22"/>
                                <w:szCs w:val="22"/>
                              </w:rPr>
                              <w:t>2</w:t>
                            </w:r>
                            <w:r w:rsidRPr="00F908A4">
                              <w:rPr>
                                <w:sz w:val="22"/>
                                <w:szCs w:val="22"/>
                              </w:rPr>
                              <w:fldChar w:fldCharType="end"/>
                            </w:r>
                            <w:r w:rsidRPr="00F908A4">
                              <w:rPr>
                                <w:sz w:val="22"/>
                                <w:szCs w:val="22"/>
                              </w:rPr>
                              <w:t xml:space="preserve">: Assessment of EOPOs and IOs (SRBJS Progress Report January- June 2019, </w:t>
                            </w:r>
                            <w:proofErr w:type="spellStart"/>
                            <w:r w:rsidRPr="00F908A4">
                              <w:rPr>
                                <w:sz w:val="22"/>
                                <w:szCs w:val="22"/>
                              </w:rPr>
                              <w:t>Pg</w:t>
                            </w:r>
                            <w:proofErr w:type="spellEnd"/>
                            <w:r w:rsidRPr="00F908A4">
                              <w:rPr>
                                <w:sz w:val="22"/>
                                <w:szCs w:val="22"/>
                              </w:rPr>
                              <w:t xml:space="preserve">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94A045" id="_x0000_t202" coordsize="21600,21600" o:spt="202" path="m,l,21600r21600,l21600,xe">
                <v:stroke joinstyle="miter"/>
                <v:path gradientshapeok="t" o:connecttype="rect"/>
              </v:shapetype>
              <v:shape id="Text Box 41" o:spid="_x0000_s1030" type="#_x0000_t202" style="position:absolute;left:0;text-align:left;margin-left:-2.7pt;margin-top:39.55pt;width:429pt;height:18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" stroked="f">
                <v:textbox inset="0,0,0,0">
                  <w:txbxContent>
                    <w:p w14:paraId="47467053" w14:textId="51A4BD09" w:rsidR="00705D48" w:rsidRPr="00F908A4" w:rsidRDefault="00705D48" w:rsidP="0073133C">
                      <w:pPr>
                        <w:pStyle w:val="Caption"/>
                        <w:spacing w:after="0"/>
                        <w:rPr>
                          <w:sz w:val="22"/>
                          <w:szCs w:val="22"/>
                        </w:rPr>
                      </w:pPr>
                      <w:r w:rsidRPr="00F908A4">
                        <w:rPr>
                          <w:sz w:val="22"/>
                          <w:szCs w:val="22"/>
                        </w:rPr>
                        <w:t xml:space="preserve">Figure </w:t>
                      </w:r>
                      <w:r w:rsidRPr="00F908A4">
                        <w:rPr>
                          <w:sz w:val="22"/>
                          <w:szCs w:val="22"/>
                        </w:rPr>
                        <w:fldChar w:fldCharType="begin"/>
                      </w:r>
                      <w:r w:rsidRPr="00F908A4">
                        <w:rPr>
                          <w:sz w:val="22"/>
                          <w:szCs w:val="22"/>
                        </w:rPr>
                        <w:instrText xml:space="preserve"> SEQ Figure \* ARABIC </w:instrText>
                      </w:r>
                      <w:r w:rsidRPr="00F908A4">
                        <w:rPr>
                          <w:sz w:val="22"/>
                          <w:szCs w:val="22"/>
                        </w:rPr>
                        <w:fldChar w:fldCharType="separate"/>
                      </w:r>
                      <w:r w:rsidR="00266457">
                        <w:rPr>
                          <w:noProof/>
                          <w:sz w:val="22"/>
                          <w:szCs w:val="22"/>
                        </w:rPr>
                        <w:t>2</w:t>
                      </w:r>
                      <w:r w:rsidRPr="00F908A4">
                        <w:rPr>
                          <w:sz w:val="22"/>
                          <w:szCs w:val="22"/>
                        </w:rPr>
                        <w:fldChar w:fldCharType="end"/>
                      </w:r>
                      <w:r w:rsidRPr="00F908A4">
                        <w:rPr>
                          <w:sz w:val="22"/>
                          <w:szCs w:val="22"/>
                        </w:rPr>
                        <w:t xml:space="preserve">: Assessment of EOPOs and IOs (SRBJS Progress Report January- June 2019, </w:t>
                      </w:r>
                      <w:proofErr w:type="spellStart"/>
                      <w:r w:rsidRPr="00F908A4">
                        <w:rPr>
                          <w:sz w:val="22"/>
                          <w:szCs w:val="22"/>
                        </w:rPr>
                        <w:t>Pg</w:t>
                      </w:r>
                      <w:proofErr w:type="spellEnd"/>
                      <w:r w:rsidRPr="00F908A4">
                        <w:rPr>
                          <w:sz w:val="22"/>
                          <w:szCs w:val="22"/>
                        </w:rPr>
                        <w:t xml:space="preserve"> 3).</w:t>
                      </w:r>
                    </w:p>
                  </w:txbxContent>
                </v:textbox>
                <w10:wrap type="through" anchorx="margin"/>
              </v:shape>
            </w:pict>
          </mc:Fallback>
        </mc:AlternateContent>
      </w:r>
      <w:r w:rsidRPr="00CB11B0">
        <w:t>management can be held accountable.</w:t>
      </w:r>
      <w:r>
        <w:t xml:space="preserve"> </w:t>
      </w:r>
      <w:bookmarkEnd w:id="33"/>
    </w:p>
    <w:p w14:paraId="490DF675" w14:textId="77777777" w:rsidR="00251FC4" w:rsidRPr="00501799" w:rsidRDefault="00BA14ED" w:rsidP="0066319B">
      <w:pPr>
        <w:spacing w:after="0"/>
        <w:rPr>
          <w:b/>
          <w:bCs/>
          <w:color w:val="2F5496" w:themeColor="accent1" w:themeShade="BF"/>
        </w:rPr>
      </w:pPr>
      <w:r w:rsidRPr="005C29CB">
        <w:rPr>
          <w:noProof/>
          <w:highlight w:val="cyan"/>
          <w:lang w:eastAsia="en-AU"/>
        </w:rPr>
        <w:drawing>
          <wp:anchor distT="0" distB="0" distL="114300" distR="114300" simplePos="0" relativeHeight="251703296" behindDoc="0" locked="0" layoutInCell="1" allowOverlap="1" wp14:anchorId="418A1831" wp14:editId="69CEF1F4">
            <wp:simplePos x="0" y="0"/>
            <wp:positionH relativeFrom="margin">
              <wp:align>left</wp:align>
            </wp:positionH>
            <wp:positionV relativeFrom="paragraph">
              <wp:posOffset>289560</wp:posOffset>
            </wp:positionV>
            <wp:extent cx="5777230" cy="6125845"/>
            <wp:effectExtent l="0" t="0" r="0" b="0"/>
            <wp:wrapThrough wrapText="bothSides">
              <wp:wrapPolygon edited="0">
                <wp:start x="0" y="0"/>
                <wp:lineTo x="0" y="21025"/>
                <wp:lineTo x="21439" y="21025"/>
                <wp:lineTo x="21439" y="0"/>
                <wp:lineTo x="0" y="0"/>
              </wp:wrapPolygon>
            </wp:wrapThrough>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77230" cy="6125845"/>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34" w:name="_Hlk26903607"/>
    </w:p>
    <w:bookmarkEnd w:id="34"/>
    <w:p w14:paraId="37B4C789" w14:textId="77777777" w:rsidR="005C29CB" w:rsidRPr="005C29CB" w:rsidRDefault="005C29CB" w:rsidP="005C29CB">
      <w:pPr>
        <w:spacing w:after="0"/>
        <w:rPr>
          <w:b/>
          <w:bCs/>
          <w:color w:val="2F5496" w:themeColor="accent1" w:themeShade="BF"/>
        </w:rPr>
      </w:pPr>
      <w:r w:rsidRPr="005C29CB">
        <w:rPr>
          <w:b/>
          <w:bCs/>
          <w:color w:val="2F5496" w:themeColor="accent1" w:themeShade="BF"/>
        </w:rPr>
        <w:t>Responding to the constraints and opportunities of the political economy</w:t>
      </w:r>
    </w:p>
    <w:p w14:paraId="2D57B53A" w14:textId="77777777" w:rsidR="00251FC4" w:rsidRDefault="00251FC4" w:rsidP="0066319B">
      <w:pPr>
        <w:spacing w:line="240" w:lineRule="auto"/>
        <w:jc w:val="both"/>
      </w:pPr>
      <w:r>
        <w:t xml:space="preserve">The Program has a strong emphasis on </w:t>
      </w:r>
      <w:r w:rsidR="009C7226">
        <w:t xml:space="preserve">a </w:t>
      </w:r>
      <w:r>
        <w:t xml:space="preserve">“thinking and working politically” </w:t>
      </w:r>
      <w:r w:rsidR="00055FA9">
        <w:t xml:space="preserve">(TWP) </w:t>
      </w:r>
      <w:r>
        <w:t>narrative throughout its design and associated documents.</w:t>
      </w:r>
      <w:r w:rsidR="00B1646A">
        <w:t xml:space="preserve"> </w:t>
      </w:r>
      <w:r>
        <w:t>However, the approach is lost somewhat in translation into the core structures and implementation arrangements of the design. The IOs do not show how the program will operate or what will be done (just the changes expected).</w:t>
      </w:r>
      <w:r w:rsidR="00B1646A">
        <w:t xml:space="preserve"> </w:t>
      </w:r>
      <w:r>
        <w:t>If a TWP approach was adopted as the core idea of the design</w:t>
      </w:r>
      <w:r w:rsidR="00055FA9">
        <w:t>’</w:t>
      </w:r>
      <w:r>
        <w:t xml:space="preserve">s theory of change, then the program logic diagram and structure would reflect the core ideas of a </w:t>
      </w:r>
      <w:r w:rsidR="00055FA9">
        <w:t>Political Economy Analysis (</w:t>
      </w:r>
      <w:r>
        <w:t>PEA</w:t>
      </w:r>
      <w:r w:rsidR="00055FA9">
        <w:t>)</w:t>
      </w:r>
      <w:r>
        <w:t xml:space="preserve"> and TWP astute approach: it may identify the leaders, the organisations (Agencies), the processes for support, the financing modality, the networks and coalitions, and/or the policy engagement mechanisms, from which those changes could be expected to accrue. In a TWP approach, taking advantage of opportunities and enablers in the political economy is a key idea, and needs to be reflected in the modalities and implementation arrangements of the design.</w:t>
      </w:r>
      <w:r w:rsidR="00B1646A">
        <w:t xml:space="preserve"> </w:t>
      </w:r>
      <w:r>
        <w:t xml:space="preserve">The Program has in fact responded in many areas in a politically astute manner, for example the differentiated approaches between the Adviser work in the </w:t>
      </w:r>
      <w:r w:rsidR="00D04E80">
        <w:t>OPP</w:t>
      </w:r>
      <w:r>
        <w:t xml:space="preserve"> compared to the </w:t>
      </w:r>
      <w:r w:rsidR="00D04E80">
        <w:t>PSO</w:t>
      </w:r>
      <w:r>
        <w:t xml:space="preserve"> respond directly to the leadership style and agency plans of each office; and the Advisers work in General Duties in </w:t>
      </w:r>
      <w:r w:rsidR="00D04E80">
        <w:t xml:space="preserve">Port Vila </w:t>
      </w:r>
      <w:r>
        <w:t>Central Station compared to that of the Adviser in SANMA Province, responds to the leadership style and momentum for change in each location.</w:t>
      </w:r>
      <w:r w:rsidR="00B1646A">
        <w:t xml:space="preserve"> </w:t>
      </w:r>
      <w:r>
        <w:t>These differences are not strengthened and supported by the inherent design, but are hidden from view in planning, budgeting and operations, by the current design.</w:t>
      </w:r>
      <w:r w:rsidR="00B1646A">
        <w:t xml:space="preserve"> </w:t>
      </w:r>
      <w:r>
        <w:t xml:space="preserve">Similarly, the </w:t>
      </w:r>
      <w:r w:rsidR="00844947">
        <w:t xml:space="preserve">Program </w:t>
      </w:r>
      <w:r>
        <w:t xml:space="preserve">understands where there may be blockages and obstacles to reform (such as in some sector Agencies) and so efforts are not maintained and </w:t>
      </w:r>
      <w:r w:rsidR="00844947">
        <w:t xml:space="preserve">are </w:t>
      </w:r>
      <w:r>
        <w:t>directed elsewhere.</w:t>
      </w:r>
      <w:r w:rsidR="00B1646A">
        <w:t xml:space="preserve"> </w:t>
      </w:r>
      <w:r>
        <w:t>This ‘no progress’ should be regarded as good decision making in some cases.</w:t>
      </w:r>
      <w:r w:rsidR="00B1646A">
        <w:t xml:space="preserve"> </w:t>
      </w:r>
      <w:r>
        <w:t xml:space="preserve">A renewed conceptualisation of the basic approach may reveal more opportunities to engage smartly with opportunities and enablers for change, particularly where new appointments are made, leadership emerges, and </w:t>
      </w:r>
      <w:proofErr w:type="spellStart"/>
      <w:r>
        <w:t>GoV</w:t>
      </w:r>
      <w:proofErr w:type="spellEnd"/>
      <w:r>
        <w:t xml:space="preserve"> policy decisions are made.</w:t>
      </w:r>
    </w:p>
    <w:p w14:paraId="18D03F79" w14:textId="77777777" w:rsidR="00251FC4" w:rsidRPr="00501799" w:rsidRDefault="00251FC4" w:rsidP="0066319B">
      <w:pPr>
        <w:spacing w:after="0"/>
        <w:rPr>
          <w:b/>
          <w:bCs/>
          <w:color w:val="2F5496" w:themeColor="accent1" w:themeShade="BF"/>
        </w:rPr>
      </w:pPr>
      <w:r>
        <w:rPr>
          <w:b/>
          <w:bCs/>
          <w:color w:val="2F5496" w:themeColor="accent1" w:themeShade="BF"/>
        </w:rPr>
        <w:t>Adapting to c</w:t>
      </w:r>
      <w:r w:rsidRPr="00501799">
        <w:rPr>
          <w:b/>
          <w:bCs/>
          <w:color w:val="2F5496" w:themeColor="accent1" w:themeShade="BF"/>
        </w:rPr>
        <w:t xml:space="preserve">ontext and policy </w:t>
      </w:r>
      <w:r>
        <w:rPr>
          <w:b/>
          <w:bCs/>
          <w:color w:val="2F5496" w:themeColor="accent1" w:themeShade="BF"/>
        </w:rPr>
        <w:t>changes</w:t>
      </w:r>
      <w:r w:rsidRPr="00501799">
        <w:rPr>
          <w:b/>
          <w:bCs/>
          <w:color w:val="2F5496" w:themeColor="accent1" w:themeShade="BF"/>
        </w:rPr>
        <w:t xml:space="preserve"> </w:t>
      </w:r>
    </w:p>
    <w:p w14:paraId="081FD0CA" w14:textId="77777777" w:rsidR="00251FC4" w:rsidRPr="0067743F" w:rsidRDefault="00251FC4" w:rsidP="00424E5C">
      <w:pPr>
        <w:spacing w:line="240" w:lineRule="auto"/>
        <w:jc w:val="both"/>
      </w:pPr>
      <w:r>
        <w:t>The Program has responded extremely well to changes, and pressures, in the policy and operating context</w:t>
      </w:r>
      <w:r w:rsidR="0081561C">
        <w:t>,</w:t>
      </w:r>
      <w:r>
        <w:t xml:space="preserve"> which adds to the significance of achievements and progress to date.</w:t>
      </w:r>
      <w:r w:rsidR="00B1646A">
        <w:t xml:space="preserve"> </w:t>
      </w:r>
      <w:r>
        <w:t xml:space="preserve"> Rather than resisting new directions, or undermining progress, big shifts have been embraced and used by the Program in positive ways.</w:t>
      </w:r>
      <w:r w:rsidR="00B1646A">
        <w:t xml:space="preserve"> </w:t>
      </w:r>
      <w:r>
        <w:t xml:space="preserve">Important context changes relate to </w:t>
      </w:r>
      <w:r w:rsidR="00757EF1">
        <w:t xml:space="preserve">Australia’s </w:t>
      </w:r>
      <w:r>
        <w:t xml:space="preserve">Pacific </w:t>
      </w:r>
      <w:r w:rsidR="00757EF1">
        <w:t xml:space="preserve">‘Step Up’ </w:t>
      </w:r>
      <w:r w:rsidR="00FB6DBD">
        <w:t>(</w:t>
      </w:r>
      <w:r w:rsidR="00757EF1">
        <w:t xml:space="preserve">which has seen </w:t>
      </w:r>
      <w:r w:rsidR="001D1F9B">
        <w:t>some additional funding and personnel to</w:t>
      </w:r>
      <w:r w:rsidR="00D63FC7">
        <w:t xml:space="preserve"> </w:t>
      </w:r>
      <w:r w:rsidR="00FB6DBD">
        <w:t>the Program</w:t>
      </w:r>
      <w:r w:rsidR="001D1F9B">
        <w:t xml:space="preserve"> </w:t>
      </w:r>
      <w:r w:rsidR="00FB6DBD">
        <w:t>as well as</w:t>
      </w:r>
      <w:r>
        <w:t xml:space="preserve"> an associated complementary commitment to the VMF managed separately by the </w:t>
      </w:r>
      <w:r w:rsidR="004E4BEE">
        <w:t>ADF</w:t>
      </w:r>
      <w:r w:rsidR="00FB6DBD">
        <w:t>)</w:t>
      </w:r>
      <w:r>
        <w:t>;</w:t>
      </w:r>
      <w:r w:rsidR="00FB6DBD">
        <w:t xml:space="preserve"> changes in leadership in the </w:t>
      </w:r>
      <w:proofErr w:type="spellStart"/>
      <w:r w:rsidR="00FB6DBD">
        <w:t>GoV</w:t>
      </w:r>
      <w:proofErr w:type="spellEnd"/>
      <w:r w:rsidR="00FB6DBD">
        <w:t xml:space="preserve"> with a</w:t>
      </w:r>
      <w:r>
        <w:t xml:space="preserve"> new Minister </w:t>
      </w:r>
      <w:r w:rsidR="005C4B84">
        <w:t xml:space="preserve">of </w:t>
      </w:r>
      <w:r>
        <w:t xml:space="preserve">Internal Affairs who is driving the increase of police numbers and decentralisation agenda; and several changes to leadership </w:t>
      </w:r>
      <w:r w:rsidR="00F40081">
        <w:t>across</w:t>
      </w:r>
      <w:r>
        <w:t xml:space="preserve"> the VPF</w:t>
      </w:r>
      <w:r w:rsidR="0066319B">
        <w:rPr>
          <w:rStyle w:val="FootnoteReference"/>
        </w:rPr>
        <w:footnoteReference w:id="27"/>
      </w:r>
      <w:r>
        <w:t xml:space="preserve">. The Program has adapted and responded well to these changes, yet </w:t>
      </w:r>
      <w:r w:rsidR="00C464B7">
        <w:t xml:space="preserve">continues </w:t>
      </w:r>
      <w:r>
        <w:t xml:space="preserve">reporting against the original </w:t>
      </w:r>
      <w:r w:rsidR="00FB6DBD">
        <w:t>Intermediate Outcomes</w:t>
      </w:r>
      <w:r>
        <w:t xml:space="preserve"> </w:t>
      </w:r>
      <w:r w:rsidR="00FB6DBD">
        <w:t>and</w:t>
      </w:r>
      <w:r>
        <w:t xml:space="preserve"> </w:t>
      </w:r>
      <w:r w:rsidR="00FB6DBD">
        <w:t>End of Program Outcomes</w:t>
      </w:r>
      <w:r w:rsidR="00424E5C">
        <w:t xml:space="preserve"> (as required by DFAT)</w:t>
      </w:r>
      <w:r>
        <w:t xml:space="preserve">. A better understanding of the key drivers of change (grounded in the </w:t>
      </w:r>
      <w:r w:rsidR="001100DF">
        <w:t>real-world</w:t>
      </w:r>
      <w:r>
        <w:t xml:space="preserve"> context of organisations and accountabilities</w:t>
      </w:r>
      <w:r w:rsidR="00FB6DBD">
        <w:t xml:space="preserve"> rather than the design Intermediate Outcome statements</w:t>
      </w:r>
      <w:r>
        <w:t xml:space="preserve">) and </w:t>
      </w:r>
      <w:r w:rsidR="00FB6DBD">
        <w:t>‘thinking and working politically’</w:t>
      </w:r>
      <w:r>
        <w:t xml:space="preserve"> strategies behind the design may enable this adaptation to be better reflected in planning and reporting. The detailed budget cost centre breakdown, and the theme headings for the </w:t>
      </w:r>
      <w:r w:rsidR="00485CE8">
        <w:t xml:space="preserve">2019 </w:t>
      </w:r>
      <w:r>
        <w:t>Annual Plan (as well as deliverables) give strong clues to the operational drivers and mechanisms behind the program’s strategy: Agencies, cross-sectoral working, operational financing, Technical Assistance and policy engagement (largely missing in the planning, reporting and analysis) are key building blocks of the efforts to deliver this Program</w:t>
      </w:r>
      <w:r>
        <w:rPr>
          <w:rStyle w:val="FootnoteReference"/>
        </w:rPr>
        <w:footnoteReference w:id="28"/>
      </w:r>
      <w:r>
        <w:t xml:space="preserve">. </w:t>
      </w:r>
    </w:p>
    <w:p w14:paraId="479981F7" w14:textId="77777777" w:rsidR="00BA14ED" w:rsidRDefault="00251FC4" w:rsidP="00424E5C">
      <w:pPr>
        <w:spacing w:line="240" w:lineRule="auto"/>
        <w:jc w:val="both"/>
      </w:pPr>
      <w:r>
        <w:t xml:space="preserve">Stakeholders consistently report that the support is valued, is well directed, delivers tangible benefits, and is “nudging” change without directing or imposing external approaches. It was common, and positive, for </w:t>
      </w:r>
      <w:proofErr w:type="spellStart"/>
      <w:r>
        <w:t>GoV</w:t>
      </w:r>
      <w:proofErr w:type="spellEnd"/>
      <w:r>
        <w:t xml:space="preserve"> stakeholders to value the support provided, ask for more, and yet express some frustration or dissatisfaction on the way support is provided.</w:t>
      </w:r>
      <w:r w:rsidR="00B1646A">
        <w:t xml:space="preserve"> </w:t>
      </w:r>
      <w:r>
        <w:t>This largely reflects the important role that Advisers have in responding to requests but channelling those requests towards more developmental or sustainable activities than those immediately requested</w:t>
      </w:r>
      <w:r>
        <w:rPr>
          <w:rStyle w:val="FootnoteReference"/>
        </w:rPr>
        <w:footnoteReference w:id="29"/>
      </w:r>
      <w:r>
        <w:t>.</w:t>
      </w:r>
      <w:r w:rsidR="00B1646A">
        <w:t xml:space="preserve"> </w:t>
      </w:r>
      <w:r>
        <w:t xml:space="preserve">The apparent degree of flexibility of the </w:t>
      </w:r>
      <w:r w:rsidR="0071111E">
        <w:t>Program</w:t>
      </w:r>
      <w:r>
        <w:t>, as perceived by stakeholders, is extremely positive.</w:t>
      </w:r>
      <w:r w:rsidR="00B1646A">
        <w:t xml:space="preserve"> </w:t>
      </w:r>
      <w:r>
        <w:t>This could be utilised even further with greater transparency over operational budgets to support internal reform efforts and be linked to further policy engagement opportunities.</w:t>
      </w:r>
    </w:p>
    <w:tbl>
      <w:tblPr>
        <w:tblStyle w:val="TableGrid1"/>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9016"/>
      </w:tblGrid>
      <w:tr w:rsidR="000E4B79" w:rsidRPr="009F6558" w14:paraId="1CFFF53F" w14:textId="77777777" w:rsidTr="00846104">
        <w:tc>
          <w:tcPr>
            <w:tcW w:w="9016" w:type="dxa"/>
            <w:shd w:val="clear" w:color="auto" w:fill="F3F5F7"/>
          </w:tcPr>
          <w:p w14:paraId="671BBD7D" w14:textId="77777777" w:rsidR="000E4B79" w:rsidRPr="009F6558" w:rsidRDefault="000E4B79" w:rsidP="00846104">
            <w:pPr>
              <w:shd w:val="clear" w:color="auto" w:fill="F3F5F7"/>
              <w:tabs>
                <w:tab w:val="left" w:pos="5954"/>
              </w:tabs>
              <w:rPr>
                <w:b/>
                <w:bCs/>
                <w:lang w:val="en-GB"/>
              </w:rPr>
            </w:pPr>
            <w:bookmarkStart w:id="35" w:name="_Hlk21698721"/>
            <w:r w:rsidRPr="009F6558">
              <w:rPr>
                <w:b/>
                <w:bCs/>
                <w:lang w:val="en-GB"/>
              </w:rPr>
              <w:t xml:space="preserve">Recommendation </w:t>
            </w:r>
            <w:r>
              <w:rPr>
                <w:b/>
                <w:bCs/>
                <w:lang w:val="en-GB"/>
              </w:rPr>
              <w:t>1</w:t>
            </w:r>
          </w:p>
          <w:p w14:paraId="2E415FAB" w14:textId="77777777" w:rsidR="000E4B79" w:rsidRPr="00FB6DBD" w:rsidRDefault="000E4B79" w:rsidP="00FB6DBD">
            <w:pPr>
              <w:shd w:val="clear" w:color="auto" w:fill="F3F5F7"/>
              <w:tabs>
                <w:tab w:val="left" w:pos="5954"/>
              </w:tabs>
              <w:spacing w:after="100"/>
              <w:jc w:val="both"/>
              <w:rPr>
                <w:lang w:val="en-GB"/>
              </w:rPr>
            </w:pPr>
            <w:r w:rsidRPr="009F6558">
              <w:rPr>
                <w:lang w:val="en-GB"/>
              </w:rPr>
              <w:t xml:space="preserve">DFAT should continue the </w:t>
            </w:r>
            <w:r w:rsidR="001B7899">
              <w:rPr>
                <w:lang w:val="en-GB"/>
              </w:rPr>
              <w:t>P</w:t>
            </w:r>
            <w:r w:rsidRPr="009F6558">
              <w:rPr>
                <w:lang w:val="en-GB"/>
              </w:rPr>
              <w:t xml:space="preserve">rogram into </w:t>
            </w:r>
            <w:r w:rsidR="00FB6DBD">
              <w:rPr>
                <w:lang w:val="en-GB"/>
              </w:rPr>
              <w:t>a further</w:t>
            </w:r>
            <w:r w:rsidRPr="009F6558">
              <w:rPr>
                <w:lang w:val="en-GB"/>
              </w:rPr>
              <w:t xml:space="preserve"> </w:t>
            </w:r>
            <w:r w:rsidR="00993EE5" w:rsidRPr="009F6558">
              <w:rPr>
                <w:lang w:val="en-GB"/>
              </w:rPr>
              <w:t>four-year</w:t>
            </w:r>
            <w:r w:rsidRPr="009F6558">
              <w:rPr>
                <w:lang w:val="en-GB"/>
              </w:rPr>
              <w:t xml:space="preserve"> phase from 2020-</w:t>
            </w:r>
            <w:r w:rsidR="00993EE5">
              <w:rPr>
                <w:lang w:val="en-GB"/>
              </w:rPr>
              <w:t>20</w:t>
            </w:r>
            <w:r w:rsidRPr="009F6558">
              <w:rPr>
                <w:lang w:val="en-GB"/>
              </w:rPr>
              <w:t>24 as an integral part of Australia’s aid investments in Vanuatu.</w:t>
            </w:r>
            <w:r w:rsidR="00B1646A">
              <w:rPr>
                <w:lang w:val="en-GB"/>
              </w:rPr>
              <w:t xml:space="preserve"> </w:t>
            </w:r>
            <w:r w:rsidRPr="009F6558">
              <w:rPr>
                <w:lang w:val="en-GB"/>
              </w:rPr>
              <w:t xml:space="preserve"> </w:t>
            </w:r>
            <w:bookmarkEnd w:id="35"/>
          </w:p>
        </w:tc>
      </w:tr>
    </w:tbl>
    <w:p w14:paraId="2270285D" w14:textId="77777777" w:rsidR="00251FC4" w:rsidRDefault="00251FC4" w:rsidP="00AF537E">
      <w:pPr>
        <w:spacing w:after="0"/>
        <w:jc w:val="both"/>
        <w:rPr>
          <w:rFonts w:ascii="Calibri" w:eastAsia="Calibri" w:hAnsi="Calibri" w:cs="Times New Roman"/>
          <w:b/>
        </w:rPr>
      </w:pPr>
    </w:p>
    <w:p w14:paraId="43C92D49" w14:textId="77777777" w:rsidR="00FB6DBD" w:rsidRDefault="00FB6DBD" w:rsidP="003A58A1">
      <w:pPr>
        <w:spacing w:line="240" w:lineRule="auto"/>
        <w:jc w:val="both"/>
        <w:rPr>
          <w:rFonts w:ascii="Calibri" w:eastAsia="Calibri" w:hAnsi="Calibri" w:cs="Times New Roman"/>
          <w:b/>
        </w:rPr>
      </w:pPr>
      <w:r>
        <w:rPr>
          <w:lang w:val="en-GB"/>
        </w:rPr>
        <w:t xml:space="preserve">In continuing the Program, </w:t>
      </w:r>
      <w:r w:rsidR="003A58A1">
        <w:rPr>
          <w:lang w:val="en-GB"/>
        </w:rPr>
        <w:t xml:space="preserve">further </w:t>
      </w:r>
      <w:r>
        <w:rPr>
          <w:lang w:val="en-GB"/>
        </w:rPr>
        <w:t xml:space="preserve">consideration could be given to developing a </w:t>
      </w:r>
      <w:r w:rsidRPr="00FB6DBD">
        <w:rPr>
          <w:lang w:val="en-GB"/>
        </w:rPr>
        <w:t xml:space="preserve">clear articulation of long-term </w:t>
      </w:r>
      <w:r w:rsidRPr="003A58A1">
        <w:rPr>
          <w:rFonts w:cs="Times New Roman"/>
        </w:rPr>
        <w:t>vision</w:t>
      </w:r>
      <w:r w:rsidRPr="00FB6DBD">
        <w:rPr>
          <w:lang w:val="en-GB"/>
        </w:rPr>
        <w:t xml:space="preserve"> and expectations for sustainability (economic and human capital) </w:t>
      </w:r>
      <w:r w:rsidR="00D13C29">
        <w:rPr>
          <w:lang w:val="en-GB"/>
        </w:rPr>
        <w:t>across</w:t>
      </w:r>
      <w:r w:rsidR="00275787" w:rsidRPr="00FB6DBD">
        <w:rPr>
          <w:lang w:val="en-GB"/>
        </w:rPr>
        <w:t xml:space="preserve"> policing and justice</w:t>
      </w:r>
      <w:r w:rsidR="00275787">
        <w:rPr>
          <w:lang w:val="en-GB"/>
        </w:rPr>
        <w:t xml:space="preserve"> </w:t>
      </w:r>
      <w:r w:rsidR="00D13C29">
        <w:rPr>
          <w:lang w:val="en-GB"/>
        </w:rPr>
        <w:t xml:space="preserve">in </w:t>
      </w:r>
      <w:r w:rsidR="003A58A1">
        <w:rPr>
          <w:lang w:val="en-GB"/>
        </w:rPr>
        <w:t xml:space="preserve">Australia’s aid program </w:t>
      </w:r>
      <w:r w:rsidR="00275787">
        <w:rPr>
          <w:lang w:val="en-GB"/>
        </w:rPr>
        <w:t>in</w:t>
      </w:r>
      <w:r w:rsidR="003A58A1">
        <w:rPr>
          <w:lang w:val="en-GB"/>
        </w:rPr>
        <w:t xml:space="preserve"> Vanuatu</w:t>
      </w:r>
      <w:r w:rsidRPr="00FB6DBD">
        <w:rPr>
          <w:lang w:val="en-GB"/>
        </w:rPr>
        <w:t xml:space="preserve">. </w:t>
      </w:r>
      <w:r w:rsidR="003A58A1">
        <w:rPr>
          <w:lang w:val="en-GB"/>
        </w:rPr>
        <w:t xml:space="preserve"> The p</w:t>
      </w:r>
      <w:r w:rsidRPr="009F6558">
        <w:rPr>
          <w:lang w:val="en-GB"/>
        </w:rPr>
        <w:t xml:space="preserve">rogram management and governance arrangements (including across </w:t>
      </w:r>
      <w:proofErr w:type="spellStart"/>
      <w:r w:rsidRPr="009F6558">
        <w:rPr>
          <w:lang w:val="en-GB"/>
        </w:rPr>
        <w:t>GoA</w:t>
      </w:r>
      <w:proofErr w:type="spellEnd"/>
      <w:r w:rsidRPr="009F6558">
        <w:rPr>
          <w:lang w:val="en-GB"/>
        </w:rPr>
        <w:t xml:space="preserve">) </w:t>
      </w:r>
      <w:r w:rsidR="003A58A1">
        <w:rPr>
          <w:lang w:val="en-GB"/>
        </w:rPr>
        <w:t>could</w:t>
      </w:r>
      <w:r w:rsidRPr="009F6558">
        <w:rPr>
          <w:lang w:val="en-GB"/>
        </w:rPr>
        <w:t xml:space="preserve"> enable greater strategic management to take advantage of opportunities and address constraints emerging in the Program.</w:t>
      </w:r>
    </w:p>
    <w:p w14:paraId="17DB1786" w14:textId="77777777" w:rsidR="00F7620B" w:rsidRDefault="00F7620B" w:rsidP="00AF537E">
      <w:pPr>
        <w:spacing w:after="0"/>
        <w:jc w:val="both"/>
        <w:rPr>
          <w:rFonts w:ascii="Calibri" w:eastAsia="Calibri" w:hAnsi="Calibri" w:cs="Times New Roman"/>
          <w:b/>
        </w:rPr>
      </w:pPr>
      <w:r w:rsidRPr="00AF537E">
        <w:rPr>
          <w:rFonts w:ascii="Calibri" w:eastAsia="Calibri" w:hAnsi="Calibri" w:cs="Times New Roman"/>
          <w:b/>
        </w:rPr>
        <w:t>Finding</w:t>
      </w:r>
      <w:r w:rsidR="00AF537E" w:rsidRPr="00AF537E">
        <w:rPr>
          <w:rFonts w:ascii="Calibri" w:eastAsia="Calibri" w:hAnsi="Calibri" w:cs="Times New Roman"/>
          <w:b/>
        </w:rPr>
        <w:t xml:space="preserve"> 2: </w:t>
      </w:r>
      <w:r w:rsidR="003A58A1">
        <w:rPr>
          <w:rFonts w:ascii="Calibri" w:eastAsia="Calibri" w:hAnsi="Calibri" w:cs="Times New Roman"/>
          <w:b/>
        </w:rPr>
        <w:t>working across the c</w:t>
      </w:r>
      <w:r w:rsidR="00AF537E" w:rsidRPr="00AF537E">
        <w:rPr>
          <w:rFonts w:ascii="Calibri" w:eastAsia="Calibri" w:hAnsi="Calibri" w:cs="Times New Roman"/>
          <w:b/>
        </w:rPr>
        <w:t>hain of justice</w:t>
      </w:r>
    </w:p>
    <w:p w14:paraId="4B222687" w14:textId="77777777" w:rsidR="0048161F" w:rsidRPr="0048161F" w:rsidRDefault="004E53F7" w:rsidP="0048161F">
      <w:pPr>
        <w:shd w:val="clear" w:color="auto" w:fill="F3F5F7"/>
        <w:spacing w:after="0" w:line="240" w:lineRule="auto"/>
        <w:jc w:val="both"/>
        <w:rPr>
          <w:rFonts w:cs="Times New Roman"/>
          <w:color w:val="44546A" w:themeColor="text2"/>
        </w:rPr>
      </w:pPr>
      <w:r w:rsidRPr="0048161F">
        <w:rPr>
          <w:noProof/>
          <w:lang w:eastAsia="en-AU"/>
        </w:rPr>
        <mc:AlternateContent>
          <mc:Choice Requires="wps">
            <w:drawing>
              <wp:anchor distT="0" distB="0" distL="114300" distR="114300" simplePos="0" relativeHeight="251691008" behindDoc="0" locked="0" layoutInCell="1" allowOverlap="1" wp14:anchorId="43251BE5" wp14:editId="01ABFC82">
                <wp:simplePos x="0" y="0"/>
                <wp:positionH relativeFrom="margin">
                  <wp:align>right</wp:align>
                </wp:positionH>
                <wp:positionV relativeFrom="paragraph">
                  <wp:posOffset>1527175</wp:posOffset>
                </wp:positionV>
                <wp:extent cx="2443480" cy="174625"/>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2443480" cy="174625"/>
                        </a:xfrm>
                        <a:prstGeom prst="rect">
                          <a:avLst/>
                        </a:prstGeom>
                        <a:solidFill>
                          <a:prstClr val="white"/>
                        </a:solidFill>
                        <a:ln>
                          <a:noFill/>
                        </a:ln>
                      </wps:spPr>
                      <wps:txbx>
                        <w:txbxContent>
                          <w:p w14:paraId="3A927E51" w14:textId="111758D5" w:rsidR="00705D48" w:rsidRPr="00F908A4" w:rsidRDefault="00705D48" w:rsidP="0048161F">
                            <w:pPr>
                              <w:pStyle w:val="Caption"/>
                              <w:rPr>
                                <w:noProof/>
                                <w:sz w:val="22"/>
                                <w:szCs w:val="22"/>
                              </w:rPr>
                            </w:pPr>
                            <w:r w:rsidRPr="004E53F7">
                              <w:rPr>
                                <w:sz w:val="22"/>
                                <w:szCs w:val="22"/>
                              </w:rPr>
                              <w:t xml:space="preserve">Figure </w:t>
                            </w:r>
                            <w:r w:rsidRPr="004E53F7">
                              <w:rPr>
                                <w:sz w:val="22"/>
                                <w:szCs w:val="22"/>
                              </w:rPr>
                              <w:fldChar w:fldCharType="begin"/>
                            </w:r>
                            <w:r w:rsidRPr="004E53F7">
                              <w:rPr>
                                <w:sz w:val="22"/>
                                <w:szCs w:val="22"/>
                              </w:rPr>
                              <w:instrText xml:space="preserve"> SEQ Figure \* ARABIC </w:instrText>
                            </w:r>
                            <w:r w:rsidRPr="004E53F7">
                              <w:rPr>
                                <w:sz w:val="22"/>
                                <w:szCs w:val="22"/>
                              </w:rPr>
                              <w:fldChar w:fldCharType="separate"/>
                            </w:r>
                            <w:r w:rsidR="00266457">
                              <w:rPr>
                                <w:noProof/>
                                <w:sz w:val="22"/>
                                <w:szCs w:val="22"/>
                              </w:rPr>
                              <w:t>3</w:t>
                            </w:r>
                            <w:r w:rsidRPr="004E53F7">
                              <w:rPr>
                                <w:sz w:val="22"/>
                                <w:szCs w:val="22"/>
                              </w:rPr>
                              <w:fldChar w:fldCharType="end"/>
                            </w:r>
                            <w:r w:rsidRPr="004E53F7">
                              <w:rPr>
                                <w:sz w:val="22"/>
                                <w:szCs w:val="22"/>
                              </w:rPr>
                              <w:t>: Chain of Jus</w:t>
                            </w:r>
                            <w:r w:rsidRPr="00F908A4">
                              <w:rPr>
                                <w:sz w:val="22"/>
                                <w:szCs w:val="22"/>
                              </w:rPr>
                              <w:t>tice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51BE5" id="Text Box 16" o:spid="_x0000_s1031" type="#_x0000_t202" style="position:absolute;left:0;text-align:left;margin-left:141.2pt;margin-top:120.25pt;width:192.4pt;height:13.75pt;z-index:251691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" stroked="f">
                <v:textbox inset="0,0,0,0">
                  <w:txbxContent>
                    <w:p w14:paraId="3A927E51" w14:textId="111758D5" w:rsidR="00705D48" w:rsidRPr="00F908A4" w:rsidRDefault="00705D48" w:rsidP="0048161F">
                      <w:pPr>
                        <w:pStyle w:val="Caption"/>
                        <w:rPr>
                          <w:noProof/>
                          <w:sz w:val="22"/>
                          <w:szCs w:val="22"/>
                        </w:rPr>
                      </w:pPr>
                      <w:r w:rsidRPr="004E53F7">
                        <w:rPr>
                          <w:sz w:val="22"/>
                          <w:szCs w:val="22"/>
                        </w:rPr>
                        <w:t xml:space="preserve">Figure </w:t>
                      </w:r>
                      <w:r w:rsidRPr="004E53F7">
                        <w:rPr>
                          <w:sz w:val="22"/>
                          <w:szCs w:val="22"/>
                        </w:rPr>
                        <w:fldChar w:fldCharType="begin"/>
                      </w:r>
                      <w:r w:rsidRPr="004E53F7">
                        <w:rPr>
                          <w:sz w:val="22"/>
                          <w:szCs w:val="22"/>
                        </w:rPr>
                        <w:instrText xml:space="preserve"> SEQ Figure \* ARABIC </w:instrText>
                      </w:r>
                      <w:r w:rsidRPr="004E53F7">
                        <w:rPr>
                          <w:sz w:val="22"/>
                          <w:szCs w:val="22"/>
                        </w:rPr>
                        <w:fldChar w:fldCharType="separate"/>
                      </w:r>
                      <w:r w:rsidR="00266457">
                        <w:rPr>
                          <w:noProof/>
                          <w:sz w:val="22"/>
                          <w:szCs w:val="22"/>
                        </w:rPr>
                        <w:t>3</w:t>
                      </w:r>
                      <w:r w:rsidRPr="004E53F7">
                        <w:rPr>
                          <w:sz w:val="22"/>
                          <w:szCs w:val="22"/>
                        </w:rPr>
                        <w:fldChar w:fldCharType="end"/>
                      </w:r>
                      <w:r w:rsidRPr="004E53F7">
                        <w:rPr>
                          <w:sz w:val="22"/>
                          <w:szCs w:val="22"/>
                        </w:rPr>
                        <w:t>: Chain of Jus</w:t>
                      </w:r>
                      <w:r w:rsidRPr="00F908A4">
                        <w:rPr>
                          <w:sz w:val="22"/>
                          <w:szCs w:val="22"/>
                        </w:rPr>
                        <w:t>tice</w:t>
                      </w:r>
                    </w:p>
                  </w:txbxContent>
                </v:textbox>
                <w10:wrap type="square" anchorx="margin"/>
              </v:shape>
            </w:pict>
          </mc:Fallback>
        </mc:AlternateContent>
      </w:r>
      <w:r w:rsidR="0048161F" w:rsidRPr="0048161F">
        <w:rPr>
          <w:rFonts w:cs="Times New Roman"/>
          <w:b/>
          <w:color w:val="44546A" w:themeColor="text2"/>
        </w:rPr>
        <w:t>The “chain of justice” approach</w:t>
      </w:r>
      <w:r w:rsidR="0048161F" w:rsidRPr="0048161F">
        <w:rPr>
          <w:rFonts w:cs="Times New Roman"/>
          <w:color w:val="44546A" w:themeColor="text2"/>
        </w:rPr>
        <w:t xml:space="preserve"> adopted by the Program is </w:t>
      </w:r>
      <w:r w:rsidR="0048161F" w:rsidRPr="0048161F">
        <w:rPr>
          <w:rFonts w:cs="Times New Roman"/>
          <w:b/>
          <w:color w:val="44546A" w:themeColor="text2"/>
        </w:rPr>
        <w:t>fundamental to the improvements that have been supported in delivering justice for vulnerable communities</w:t>
      </w:r>
      <w:r w:rsidR="0048161F" w:rsidRPr="0048161F">
        <w:rPr>
          <w:rFonts w:cs="Times New Roman"/>
          <w:color w:val="44546A" w:themeColor="text2"/>
        </w:rPr>
        <w:t xml:space="preserve"> in Vanuatu. The </w:t>
      </w:r>
      <w:r w:rsidR="001B7899">
        <w:rPr>
          <w:rFonts w:cs="Times New Roman"/>
          <w:color w:val="44546A" w:themeColor="text2"/>
        </w:rPr>
        <w:t>P</w:t>
      </w:r>
      <w:r w:rsidR="0048161F" w:rsidRPr="0048161F">
        <w:rPr>
          <w:rFonts w:cs="Times New Roman"/>
          <w:color w:val="44546A" w:themeColor="text2"/>
        </w:rPr>
        <w:t xml:space="preserve">rogram has adopted and maintained a chain of justice approach consistent with the intent set out in the design document, and has reinforced this intent through internal program management structures and processes. The decision to consistently implement a </w:t>
      </w:r>
      <w:r w:rsidR="0048161F" w:rsidRPr="0048161F">
        <w:rPr>
          <w:rFonts w:cs="Times New Roman"/>
          <w:b/>
          <w:color w:val="44546A" w:themeColor="text2"/>
        </w:rPr>
        <w:t xml:space="preserve">chain of justice approach underpins much of the success the </w:t>
      </w:r>
      <w:r w:rsidR="00E53220">
        <w:rPr>
          <w:rFonts w:cs="Times New Roman"/>
          <w:b/>
          <w:color w:val="44546A" w:themeColor="text2"/>
        </w:rPr>
        <w:t>P</w:t>
      </w:r>
      <w:r w:rsidR="0048161F" w:rsidRPr="0048161F">
        <w:rPr>
          <w:rFonts w:cs="Times New Roman"/>
          <w:b/>
          <w:color w:val="44546A" w:themeColor="text2"/>
        </w:rPr>
        <w:t>rogram has achieved in supporting improved justice outcomes for vulnerable people under the three EOPOs</w:t>
      </w:r>
      <w:r w:rsidR="0048161F" w:rsidRPr="0048161F">
        <w:rPr>
          <w:rFonts w:cs="Times New Roman"/>
          <w:color w:val="44546A" w:themeColor="text2"/>
        </w:rPr>
        <w:t>. This has been done in a way that is technically sound and politically feasible, that is, while still respecting the independence of constitutional and statutory agencies within the sector.</w:t>
      </w:r>
    </w:p>
    <w:p w14:paraId="782CE161" w14:textId="77777777" w:rsidR="0048161F" w:rsidRPr="0048161F" w:rsidRDefault="004E53F7" w:rsidP="0048161F">
      <w:pPr>
        <w:spacing w:after="0" w:line="240" w:lineRule="auto"/>
      </w:pPr>
      <w:r w:rsidRPr="0048161F">
        <w:rPr>
          <w:noProof/>
          <w:lang w:eastAsia="en-AU"/>
        </w:rPr>
        <w:drawing>
          <wp:anchor distT="0" distB="0" distL="114300" distR="114300" simplePos="0" relativeHeight="251689984" behindDoc="0" locked="0" layoutInCell="1" allowOverlap="1" wp14:anchorId="3E02B250" wp14:editId="087F6B8E">
            <wp:simplePos x="0" y="0"/>
            <wp:positionH relativeFrom="column">
              <wp:posOffset>3048000</wp:posOffset>
            </wp:positionH>
            <wp:positionV relativeFrom="paragraph">
              <wp:posOffset>46355</wp:posOffset>
            </wp:positionV>
            <wp:extent cx="3007360" cy="3797935"/>
            <wp:effectExtent l="0" t="0" r="254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3007360" cy="3797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CF4C5C" w14:textId="77777777" w:rsidR="0048161F" w:rsidRPr="0048161F" w:rsidRDefault="0048161F" w:rsidP="0048161F">
      <w:pPr>
        <w:spacing w:line="240" w:lineRule="auto"/>
        <w:jc w:val="both"/>
        <w:rPr>
          <w:lang w:val="en-GB"/>
        </w:rPr>
      </w:pPr>
      <w:r w:rsidRPr="0048161F">
        <w:rPr>
          <w:lang w:val="en-GB"/>
        </w:rPr>
        <w:t>The chain of justice</w:t>
      </w:r>
      <w:r w:rsidRPr="0048161F">
        <w:rPr>
          <w:vertAlign w:val="superscript"/>
          <w:lang w:val="en-GB"/>
        </w:rPr>
        <w:footnoteReference w:id="30"/>
      </w:r>
      <w:r w:rsidRPr="0048161F">
        <w:rPr>
          <w:lang w:val="en-GB"/>
        </w:rPr>
        <w:t xml:space="preserve"> is comprised of a number of operationally independent agencies which together are responsible </w:t>
      </w:r>
      <w:r w:rsidRPr="0048161F">
        <w:rPr>
          <w:shd w:val="clear" w:color="auto" w:fill="FFFFFF" w:themeFill="background1"/>
          <w:lang w:val="en-GB"/>
        </w:rPr>
        <w:t>for the system of criminal law in Vanuatu. This system embraces the VPF, SPD, OPP, PSO and the Magistrates’ and Supreme Courts,</w:t>
      </w:r>
      <w:r w:rsidR="007F37A6">
        <w:rPr>
          <w:shd w:val="clear" w:color="auto" w:fill="FFFFFF" w:themeFill="background1"/>
          <w:lang w:val="en-GB"/>
        </w:rPr>
        <w:t xml:space="preserve"> and corrections</w:t>
      </w:r>
      <w:r w:rsidRPr="0048161F">
        <w:rPr>
          <w:shd w:val="clear" w:color="auto" w:fill="FFFFFF" w:themeFill="background1"/>
          <w:lang w:val="en-GB"/>
        </w:rPr>
        <w:t xml:space="preserve"> which are each involved in criminal cases,</w:t>
      </w:r>
      <w:r w:rsidR="007F37A6">
        <w:rPr>
          <w:shd w:val="clear" w:color="auto" w:fill="FFFFFF" w:themeFill="background1"/>
          <w:lang w:val="en-GB"/>
        </w:rPr>
        <w:t xml:space="preserve"> </w:t>
      </w:r>
      <w:r w:rsidRPr="0048161F">
        <w:rPr>
          <w:shd w:val="clear" w:color="auto" w:fill="FFFFFF" w:themeFill="background1"/>
          <w:lang w:val="en-GB"/>
        </w:rPr>
        <w:t xml:space="preserve">from their initiation until their resolution. </w:t>
      </w:r>
      <w:bookmarkStart w:id="36" w:name="_Hlk26961084"/>
      <w:r w:rsidR="00A427A6">
        <w:rPr>
          <w:shd w:val="clear" w:color="auto" w:fill="FFFFFF" w:themeFill="background1"/>
          <w:lang w:val="en-GB"/>
        </w:rPr>
        <w:t>CSOs</w:t>
      </w:r>
      <w:r w:rsidRPr="0048161F">
        <w:rPr>
          <w:shd w:val="clear" w:color="auto" w:fill="FFFFFF" w:themeFill="background1"/>
          <w:lang w:val="en-GB"/>
        </w:rPr>
        <w:t>, such as the VW</w:t>
      </w:r>
      <w:r w:rsidR="001D1F9B">
        <w:rPr>
          <w:shd w:val="clear" w:color="auto" w:fill="FFFFFF" w:themeFill="background1"/>
          <w:lang w:val="en-GB"/>
        </w:rPr>
        <w:t>C</w:t>
      </w:r>
      <w:r w:rsidRPr="0048161F">
        <w:rPr>
          <w:shd w:val="clear" w:color="auto" w:fill="FFFFFF" w:themeFill="background1"/>
          <w:lang w:val="en-GB"/>
        </w:rPr>
        <w:t xml:space="preserve"> and VSPD, offer important</w:t>
      </w:r>
      <w:r w:rsidRPr="0048161F">
        <w:rPr>
          <w:lang w:val="en-GB"/>
        </w:rPr>
        <w:t xml:space="preserve"> capacity development to this process</w:t>
      </w:r>
      <w:r w:rsidR="00D13C29">
        <w:rPr>
          <w:lang w:val="en-GB"/>
        </w:rPr>
        <w:t xml:space="preserve"> and are the first port of call for many victims, linking them into the system</w:t>
      </w:r>
      <w:r w:rsidRPr="0048161F">
        <w:rPr>
          <w:lang w:val="en-GB"/>
        </w:rPr>
        <w:t>.</w:t>
      </w:r>
      <w:r w:rsidR="00B1646A">
        <w:rPr>
          <w:lang w:val="en-GB"/>
        </w:rPr>
        <w:t xml:space="preserve"> </w:t>
      </w:r>
      <w:bookmarkEnd w:id="36"/>
    </w:p>
    <w:p w14:paraId="67B144A7" w14:textId="77777777" w:rsidR="0048161F" w:rsidRPr="0048161F" w:rsidRDefault="0048161F" w:rsidP="0048161F">
      <w:pPr>
        <w:spacing w:after="60" w:line="240" w:lineRule="auto"/>
        <w:ind w:right="289"/>
        <w:jc w:val="both"/>
        <w:rPr>
          <w:lang w:val="en-GB"/>
        </w:rPr>
      </w:pPr>
      <w:r w:rsidRPr="0048161F">
        <w:rPr>
          <w:lang w:val="en-GB"/>
        </w:rPr>
        <w:t xml:space="preserve">Some examples of the value of joining assistance for policing and justice in one program include: </w:t>
      </w:r>
    </w:p>
    <w:p w14:paraId="16A3B5C7" w14:textId="77777777" w:rsidR="0048161F" w:rsidRPr="0048161F" w:rsidRDefault="0048161F" w:rsidP="004E7C9F">
      <w:pPr>
        <w:numPr>
          <w:ilvl w:val="0"/>
          <w:numId w:val="11"/>
        </w:numPr>
        <w:spacing w:line="240" w:lineRule="auto"/>
        <w:ind w:right="288"/>
        <w:contextualSpacing/>
        <w:jc w:val="both"/>
        <w:rPr>
          <w:lang w:val="en-GB"/>
        </w:rPr>
      </w:pPr>
      <w:r w:rsidRPr="0048161F">
        <w:rPr>
          <w:lang w:val="en-GB"/>
        </w:rPr>
        <w:t>Prosecutors can be more effective by working with VPF investigators to improve the quality of briefs.</w:t>
      </w:r>
      <w:r w:rsidR="00B1646A">
        <w:rPr>
          <w:lang w:val="en-GB"/>
        </w:rPr>
        <w:t xml:space="preserve"> </w:t>
      </w:r>
    </w:p>
    <w:p w14:paraId="2181577B" w14:textId="77777777" w:rsidR="0048161F" w:rsidRPr="0048161F" w:rsidRDefault="0048161F" w:rsidP="004E7C9F">
      <w:pPr>
        <w:numPr>
          <w:ilvl w:val="0"/>
          <w:numId w:val="11"/>
        </w:numPr>
        <w:spacing w:line="240" w:lineRule="auto"/>
        <w:ind w:right="288"/>
        <w:contextualSpacing/>
        <w:jc w:val="both"/>
        <w:rPr>
          <w:lang w:val="en-GB"/>
        </w:rPr>
      </w:pPr>
      <w:r w:rsidRPr="0048161F">
        <w:rPr>
          <w:lang w:val="en-GB"/>
        </w:rPr>
        <w:t>Tracking criminal cases through the system is more effective if each agency, including the police as the entry point, record information and cases accurately.</w:t>
      </w:r>
    </w:p>
    <w:p w14:paraId="7A05C865" w14:textId="77777777" w:rsidR="0048161F" w:rsidRPr="0048161F" w:rsidRDefault="0048161F" w:rsidP="004E7C9F">
      <w:pPr>
        <w:numPr>
          <w:ilvl w:val="0"/>
          <w:numId w:val="11"/>
        </w:numPr>
        <w:spacing w:line="240" w:lineRule="auto"/>
        <w:ind w:right="288"/>
        <w:contextualSpacing/>
        <w:jc w:val="both"/>
        <w:rPr>
          <w:lang w:val="en-GB"/>
        </w:rPr>
      </w:pPr>
      <w:r w:rsidRPr="0048161F">
        <w:rPr>
          <w:lang w:val="en-GB"/>
        </w:rPr>
        <w:t xml:space="preserve">Work on addressing gender-based violence will be more robust if it actively includes and involves the police and justice institutions. </w:t>
      </w:r>
    </w:p>
    <w:p w14:paraId="4AE5CC2B" w14:textId="77777777" w:rsidR="00034BBB" w:rsidRDefault="00034BBB" w:rsidP="00F369EF">
      <w:pPr>
        <w:spacing w:line="240" w:lineRule="auto"/>
        <w:jc w:val="both"/>
        <w:rPr>
          <w:lang w:val="en-GB"/>
        </w:rPr>
      </w:pPr>
    </w:p>
    <w:p w14:paraId="6CD662AA" w14:textId="77777777" w:rsidR="0048161F" w:rsidRPr="0048161F" w:rsidRDefault="0048161F" w:rsidP="00F369EF">
      <w:pPr>
        <w:spacing w:line="240" w:lineRule="auto"/>
        <w:jc w:val="both"/>
        <w:rPr>
          <w:lang w:val="en-GB"/>
        </w:rPr>
      </w:pPr>
      <w:r w:rsidRPr="0048161F">
        <w:rPr>
          <w:lang w:val="en-GB"/>
        </w:rPr>
        <w:t xml:space="preserve">While it is possible to improve </w:t>
      </w:r>
      <w:r w:rsidRPr="00DC6634">
        <w:t>various</w:t>
      </w:r>
      <w:r w:rsidRPr="0048161F">
        <w:rPr>
          <w:lang w:val="en-GB"/>
        </w:rPr>
        <w:t xml:space="preserve"> aspects of the criminal justice chain at individual and agency levels, engaging with the sector as a whole ensures all pieces of the jigsaw are </w:t>
      </w:r>
      <w:r w:rsidRPr="0041736B">
        <w:rPr>
          <w:lang w:val="en-GB"/>
        </w:rPr>
        <w:t xml:space="preserve">accounted for. These examples make clear why </w:t>
      </w:r>
      <w:r w:rsidR="008051FA" w:rsidRPr="0041736B">
        <w:rPr>
          <w:lang w:val="en-GB"/>
        </w:rPr>
        <w:t>SRBJS</w:t>
      </w:r>
      <w:r w:rsidRPr="0041736B">
        <w:rPr>
          <w:lang w:val="en-GB"/>
        </w:rPr>
        <w:t xml:space="preserve"> supports a whole-of-sector strengthening approach.</w:t>
      </w:r>
      <w:r w:rsidRPr="0041736B">
        <w:rPr>
          <w:rFonts w:cs="Times New Roman"/>
          <w:vertAlign w:val="superscript"/>
        </w:rPr>
        <w:footnoteReference w:id="31"/>
      </w:r>
      <w:r w:rsidR="007F37A6" w:rsidRPr="0041736B">
        <w:rPr>
          <w:lang w:val="en-GB"/>
        </w:rPr>
        <w:t xml:space="preserve"> It is also recognised that this approach spreads resources thinly while requiring substantial funding due to the large number of parts.</w:t>
      </w:r>
      <w:r w:rsidR="007F37A6">
        <w:rPr>
          <w:lang w:val="en-GB"/>
        </w:rPr>
        <w:t xml:space="preserve"> </w:t>
      </w:r>
    </w:p>
    <w:p w14:paraId="7793F3D0" w14:textId="77777777" w:rsidR="0048161F" w:rsidRPr="0048161F" w:rsidRDefault="0048161F" w:rsidP="0048161F">
      <w:pPr>
        <w:spacing w:line="240" w:lineRule="auto"/>
        <w:jc w:val="both"/>
      </w:pPr>
      <w:r w:rsidRPr="0048161F">
        <w:t>The strength of the approach can be seen in the balancing and consistency of effort applied across the agencies in the chain. Program efforts start from the first point vulnerable people Interact with the formal justice system, by sensitising VPF General Duties officers on FSV to improve their response; then strengthening CID and FPU to improve investigations and case management; linking this to SPD and OPP support aimed at improving case management, investigations and prosecution;</w:t>
      </w:r>
      <w:r w:rsidRPr="0048161F">
        <w:rPr>
          <w:vertAlign w:val="superscript"/>
        </w:rPr>
        <w:footnoteReference w:id="32"/>
      </w:r>
      <w:r w:rsidRPr="0048161F">
        <w:t xml:space="preserve"> and including PSO support to ensure defendants receive an adequate defence. For example, this has been achieved through: collaboration between VPF, SPD and the OPP on case management, investigations and prosecutions; VWC collaboration with the FPU, VPF to improve the efficiency and effectiveness of the handling of cases of family violence; and cross-agency prosecutorial collaboration with respect to record management, case and data management systems, drafting charges, strengthening investigations and briefs of evidence, advocacy skills and case management</w:t>
      </w:r>
      <w:r w:rsidRPr="0048161F">
        <w:rPr>
          <w:vertAlign w:val="superscript"/>
        </w:rPr>
        <w:footnoteReference w:id="33"/>
      </w:r>
      <w:r w:rsidRPr="0048161F">
        <w:t>.</w:t>
      </w:r>
      <w:r w:rsidRPr="0048161F">
        <w:rPr>
          <w:rFonts w:ascii="Calibri" w:hAnsi="Calibri" w:cs="Calibri"/>
          <w:i/>
          <w:color w:val="44546A" w:themeColor="text2"/>
        </w:rPr>
        <w:t xml:space="preserve"> </w:t>
      </w:r>
      <w:r w:rsidRPr="0048161F">
        <w:t xml:space="preserve">The </w:t>
      </w:r>
      <w:r w:rsidR="00E53220">
        <w:t>P</w:t>
      </w:r>
      <w:r w:rsidRPr="0048161F">
        <w:t xml:space="preserve">rogram has supported the Magistrates’ Court and Supreme Court in the final stage of considering these cases, but has been careful to respect their independence. Finally, the </w:t>
      </w:r>
      <w:r w:rsidR="00E53220">
        <w:t>P</w:t>
      </w:r>
      <w:r w:rsidRPr="0048161F">
        <w:t xml:space="preserve">rogram also looks to link the formal </w:t>
      </w:r>
      <w:r w:rsidR="000C6D9D">
        <w:t>justice</w:t>
      </w:r>
      <w:r w:rsidR="000C6D9D" w:rsidRPr="0048161F">
        <w:t xml:space="preserve"> </w:t>
      </w:r>
      <w:r w:rsidRPr="0048161F">
        <w:t xml:space="preserve">agencies with strengthened traditional justice systems through innovative projects like the AP </w:t>
      </w:r>
      <w:r w:rsidR="000C6D9D">
        <w:t xml:space="preserve">pilot, the </w:t>
      </w:r>
      <w:proofErr w:type="spellStart"/>
      <w:r w:rsidR="000C6D9D">
        <w:t>Malekula</w:t>
      </w:r>
      <w:proofErr w:type="spellEnd"/>
      <w:r w:rsidR="000C6D9D">
        <w:t xml:space="preserve"> Domestic Violence community awareness sessions</w:t>
      </w:r>
      <w:r w:rsidR="000C6D9D" w:rsidRPr="0048161F">
        <w:t xml:space="preserve"> </w:t>
      </w:r>
      <w:r w:rsidRPr="0048161F">
        <w:t xml:space="preserve">and the Youth Domestic Violence awareness trainings, which have </w:t>
      </w:r>
      <w:r w:rsidR="000C6D9D">
        <w:t xml:space="preserve">all </w:t>
      </w:r>
      <w:r w:rsidRPr="0048161F">
        <w:t xml:space="preserve">supported a stronger role for the formal system while building the capability of </w:t>
      </w:r>
      <w:r w:rsidR="00161225">
        <w:t xml:space="preserve">communities and </w:t>
      </w:r>
      <w:r w:rsidRPr="0048161F">
        <w:t>traditional systems to address FSV</w:t>
      </w:r>
      <w:r w:rsidR="00161225">
        <w:t xml:space="preserve"> and build demand for justice</w:t>
      </w:r>
      <w:r w:rsidRPr="0048161F">
        <w:t>.</w:t>
      </w:r>
    </w:p>
    <w:p w14:paraId="01FD6DAC" w14:textId="77777777" w:rsidR="001D2013" w:rsidRDefault="0048161F" w:rsidP="0048161F">
      <w:pPr>
        <w:shd w:val="clear" w:color="auto" w:fill="FFFFFF" w:themeFill="background1"/>
        <w:spacing w:line="240" w:lineRule="auto"/>
        <w:jc w:val="both"/>
      </w:pPr>
      <w:r w:rsidRPr="0048161F">
        <w:t xml:space="preserve">The </w:t>
      </w:r>
      <w:r w:rsidR="00E53220">
        <w:t>P</w:t>
      </w:r>
      <w:r w:rsidRPr="0048161F">
        <w:t xml:space="preserve">rogram not only provided support to each link of the chain, it also implemented several cross-cutting activities aimed at whole of sector corporate strengthening, and developed specific program management approaches to ensure communication and adaptive approaches towards issues between agencies. For example, </w:t>
      </w:r>
      <w:r w:rsidR="008051FA">
        <w:t>SRBJS</w:t>
      </w:r>
      <w:r w:rsidRPr="0048161F">
        <w:t xml:space="preserve"> has delivered </w:t>
      </w:r>
      <w:r w:rsidRPr="0048161F">
        <w:rPr>
          <w:lang w:val="en-GB"/>
        </w:rPr>
        <w:t xml:space="preserve">a range of training and courses offered by the </w:t>
      </w:r>
      <w:r w:rsidR="00E53220">
        <w:rPr>
          <w:lang w:val="en-GB"/>
        </w:rPr>
        <w:t>P</w:t>
      </w:r>
      <w:r w:rsidRPr="0048161F">
        <w:rPr>
          <w:lang w:val="en-GB"/>
        </w:rPr>
        <w:t xml:space="preserve">rogram for public sector lawyers from OPP, PSO, SPD, </w:t>
      </w:r>
      <w:proofErr w:type="gramStart"/>
      <w:r w:rsidRPr="0048161F">
        <w:rPr>
          <w:lang w:val="en-GB"/>
        </w:rPr>
        <w:t>SLO</w:t>
      </w:r>
      <w:proofErr w:type="gramEnd"/>
      <w:r w:rsidRPr="0048161F">
        <w:rPr>
          <w:lang w:val="en-GB"/>
        </w:rPr>
        <w:t xml:space="preserve"> to learn together</w:t>
      </w:r>
      <w:r w:rsidRPr="0048161F">
        <w:rPr>
          <w:sz w:val="18"/>
          <w:szCs w:val="18"/>
          <w:lang w:val="en-GB"/>
        </w:rPr>
        <w:t xml:space="preserve">. </w:t>
      </w:r>
      <w:r w:rsidR="0093132A" w:rsidRPr="0048161F">
        <w:t>Advis</w:t>
      </w:r>
      <w:r w:rsidR="0093132A">
        <w:t>e</w:t>
      </w:r>
      <w:r w:rsidR="0093132A" w:rsidRPr="0048161F">
        <w:t xml:space="preserve">rs </w:t>
      </w:r>
      <w:r w:rsidRPr="0048161F">
        <w:t xml:space="preserve">were also able to point to regular use of </w:t>
      </w:r>
      <w:r w:rsidR="00DC1AE3" w:rsidRPr="0048161F">
        <w:t>advis</w:t>
      </w:r>
      <w:r w:rsidR="00DC1AE3">
        <w:t>e</w:t>
      </w:r>
      <w:r w:rsidR="00DC1AE3" w:rsidRPr="0048161F">
        <w:t>r</w:t>
      </w:r>
      <w:r w:rsidRPr="0048161F">
        <w:t xml:space="preserve"> coordination meetings (known as the JAM) to develop joint </w:t>
      </w:r>
      <w:r w:rsidR="003D13BE" w:rsidRPr="0048161F">
        <w:t>problem-solving</w:t>
      </w:r>
      <w:r w:rsidRPr="0048161F">
        <w:t xml:space="preserve"> approaches where cross-agency issues had developed, </w:t>
      </w:r>
      <w:r w:rsidR="001D2013" w:rsidRPr="0048161F">
        <w:t xml:space="preserve">though the </w:t>
      </w:r>
      <w:r w:rsidR="001D2013">
        <w:t>e</w:t>
      </w:r>
      <w:r w:rsidR="001D2013" w:rsidRPr="0048161F">
        <w:t xml:space="preserve">valuation </w:t>
      </w:r>
      <w:r w:rsidR="001D2013">
        <w:t>t</w:t>
      </w:r>
      <w:r w:rsidR="001D2013" w:rsidRPr="0048161F">
        <w:t xml:space="preserve">eam considers that </w:t>
      </w:r>
      <w:r w:rsidR="001D2013">
        <w:t xml:space="preserve">similar meeting structures that include and are led by </w:t>
      </w:r>
      <w:r w:rsidR="001D2013" w:rsidRPr="0048161F">
        <w:t xml:space="preserve">counterparts should </w:t>
      </w:r>
      <w:r w:rsidR="001D2013">
        <w:t>occur</w:t>
      </w:r>
      <w:r w:rsidR="001D2013" w:rsidRPr="0048161F">
        <w:t>.</w:t>
      </w:r>
    </w:p>
    <w:p w14:paraId="726523BE" w14:textId="77777777" w:rsidR="0048161F" w:rsidRPr="0048161F" w:rsidRDefault="0048161F" w:rsidP="0048161F">
      <w:pPr>
        <w:spacing w:line="240" w:lineRule="auto"/>
        <w:jc w:val="both"/>
      </w:pPr>
      <w:r w:rsidRPr="0048161F">
        <w:t xml:space="preserve">The choice of a specific program focal point, </w:t>
      </w:r>
      <w:r w:rsidR="00F6543E">
        <w:t>being</w:t>
      </w:r>
      <w:r w:rsidR="00F6543E" w:rsidRPr="0048161F">
        <w:t xml:space="preserve"> </w:t>
      </w:r>
      <w:r w:rsidRPr="0048161F">
        <w:t xml:space="preserve">FSV, has likely contributed to the strong outcomes. </w:t>
      </w:r>
      <w:r w:rsidR="006B0E23">
        <w:t>FSV</w:t>
      </w:r>
      <w:r w:rsidRPr="0048161F">
        <w:t xml:space="preserve"> is a significant issue for Vanuatu, and has often been a difficult issue for the formal policing and justice system. Need in this area is illustrated by the heavy workload of the FPU</w:t>
      </w:r>
      <w:r w:rsidRPr="0048161F">
        <w:rPr>
          <w:vertAlign w:val="superscript"/>
        </w:rPr>
        <w:footnoteReference w:id="34"/>
      </w:r>
      <w:r w:rsidRPr="0048161F">
        <w:t xml:space="preserve">, and the </w:t>
      </w:r>
      <w:r w:rsidR="00F6543E">
        <w:t xml:space="preserve">high incidence </w:t>
      </w:r>
      <w:r w:rsidRPr="0048161F">
        <w:t xml:space="preserve">of morality and FSV offences </w:t>
      </w:r>
      <w:r w:rsidR="00F6543E">
        <w:t>against</w:t>
      </w:r>
      <w:r w:rsidR="00F6543E" w:rsidRPr="0048161F">
        <w:t xml:space="preserve"> </w:t>
      </w:r>
      <w:r w:rsidRPr="0048161F">
        <w:t>women</w:t>
      </w:r>
      <w:r w:rsidRPr="0048161F">
        <w:rPr>
          <w:vertAlign w:val="superscript"/>
        </w:rPr>
        <w:footnoteReference w:id="35"/>
      </w:r>
      <w:r w:rsidR="00F60D59">
        <w:t xml:space="preserve">and the ongoing impact it has on Vanuatu’s economy and daily life. </w:t>
      </w:r>
      <w:r w:rsidRPr="0048161F">
        <w:t xml:space="preserve">While the </w:t>
      </w:r>
      <w:r w:rsidR="00E53220">
        <w:t>P</w:t>
      </w:r>
      <w:r w:rsidRPr="0048161F">
        <w:t xml:space="preserve">rogram has worked appropriately to strengthen organisational capability in general, the consistent focus on FSV has been useful in providing a consistent aim and in showing the impact the </w:t>
      </w:r>
      <w:r w:rsidR="00E53220">
        <w:t>P</w:t>
      </w:r>
      <w:r w:rsidRPr="0048161F">
        <w:t xml:space="preserve">rogram has supported. </w:t>
      </w:r>
    </w:p>
    <w:p w14:paraId="2D191C13" w14:textId="77777777" w:rsidR="0048161F" w:rsidRDefault="0048161F" w:rsidP="0041736B">
      <w:pPr>
        <w:spacing w:line="240" w:lineRule="auto"/>
        <w:jc w:val="both"/>
      </w:pPr>
      <w:r w:rsidRPr="0048161F">
        <w:t xml:space="preserve">The success of the approach can be seen in the throughput of cases through the formal justice system. As illustrated in Figure </w:t>
      </w:r>
      <w:r w:rsidR="0016430A">
        <w:t>4</w:t>
      </w:r>
      <w:r w:rsidRPr="0048161F">
        <w:t xml:space="preserve"> below, </w:t>
      </w:r>
      <w:bookmarkStart w:id="37" w:name="_Hlk20243981"/>
      <w:r w:rsidR="0070532C">
        <w:t>FPA</w:t>
      </w:r>
      <w:r w:rsidRPr="0048161F">
        <w:t xml:space="preserve"> offence cases investigated by the </w:t>
      </w:r>
      <w:r w:rsidR="0070532C">
        <w:t>FPU</w:t>
      </w:r>
      <w:r w:rsidRPr="0048161F">
        <w:t xml:space="preserve"> have increased from 306 in 2015 </w:t>
      </w:r>
      <w:bookmarkEnd w:id="37"/>
      <w:r w:rsidRPr="0048161F">
        <w:t xml:space="preserve">(the first year that statistics are available) to 467 in 2019. As evidenced by Figures </w:t>
      </w:r>
      <w:r w:rsidR="0016430A">
        <w:t>5-6</w:t>
      </w:r>
      <w:r w:rsidRPr="0048161F">
        <w:t xml:space="preserve"> below, this has been matched in the OPP and SPD, where more </w:t>
      </w:r>
      <w:r w:rsidR="0070532C">
        <w:t>FPA</w:t>
      </w:r>
      <w:r w:rsidRPr="0048161F">
        <w:t xml:space="preserve"> cases have been registered and prosecuted, and in the courts with improved probability of the offenders being found guilty (from 49% in 2016 to 71% in 2019 in the Magistrates’ Court). This shows a ‘virtuous circle’ where the VPF are conducting </w:t>
      </w:r>
      <w:r w:rsidR="004F55B4">
        <w:t xml:space="preserve">a greater number of, and </w:t>
      </w:r>
      <w:r w:rsidRPr="0048161F">
        <w:t>higher quality</w:t>
      </w:r>
      <w:r w:rsidR="004F55B4">
        <w:t>,</w:t>
      </w:r>
      <w:r w:rsidRPr="0048161F">
        <w:t xml:space="preserve"> domestic violence investigations, these investigations are leading to effective prosecutions, which are resulting in more convictions for gender-based crimes, which may then facilitate further reporting from the community of </w:t>
      </w:r>
      <w:r w:rsidR="0070532C">
        <w:t>FPA</w:t>
      </w:r>
      <w:r w:rsidRPr="0048161F">
        <w:t xml:space="preserve"> cases to the justice system. </w:t>
      </w:r>
    </w:p>
    <w:p w14:paraId="3756CC9C" w14:textId="77777777" w:rsidR="00E41B3C" w:rsidRPr="00A0340A" w:rsidRDefault="003441C7" w:rsidP="00A0340A">
      <w:pPr>
        <w:pStyle w:val="CommentText"/>
        <w:rPr>
          <w:sz w:val="22"/>
          <w:szCs w:val="22"/>
        </w:rPr>
      </w:pPr>
      <w:r w:rsidRPr="00A0340A">
        <w:rPr>
          <w:sz w:val="22"/>
          <w:szCs w:val="22"/>
        </w:rPr>
        <w:t xml:space="preserve">It should be noted that not all cases involving domestic violence will be prosecuted as domestic violence offences against the FPA. The very serious offences will instead be prosecuted as serious assault, murder (offences against the person) or sexual assault/rape (offence against morality) as these have harsher sentences. This means </w:t>
      </w:r>
      <w:r w:rsidR="00A0340A" w:rsidRPr="00A0340A">
        <w:rPr>
          <w:sz w:val="22"/>
          <w:szCs w:val="22"/>
        </w:rPr>
        <w:t xml:space="preserve">that not all domestic violence </w:t>
      </w:r>
      <w:r w:rsidRPr="00A0340A">
        <w:rPr>
          <w:sz w:val="22"/>
          <w:szCs w:val="22"/>
        </w:rPr>
        <w:t>matters</w:t>
      </w:r>
      <w:r w:rsidR="00A0340A" w:rsidRPr="00A0340A">
        <w:rPr>
          <w:sz w:val="22"/>
          <w:szCs w:val="22"/>
        </w:rPr>
        <w:t xml:space="preserve"> care captured</w:t>
      </w:r>
      <w:r w:rsidRPr="00A0340A">
        <w:rPr>
          <w:sz w:val="22"/>
          <w:szCs w:val="22"/>
        </w:rPr>
        <w:t xml:space="preserve"> through the data, but the FPA offences as well as offences against the person and offence against </w:t>
      </w:r>
      <w:r w:rsidR="00E41B3C">
        <w:rPr>
          <w:sz w:val="22"/>
          <w:szCs w:val="22"/>
        </w:rPr>
        <w:t>m</w:t>
      </w:r>
      <w:r w:rsidRPr="00A0340A">
        <w:rPr>
          <w:sz w:val="22"/>
          <w:szCs w:val="22"/>
        </w:rPr>
        <w:t>orality where female is victim are a good proxy</w:t>
      </w:r>
      <w:r w:rsidR="00E41B3C">
        <w:rPr>
          <w:sz w:val="22"/>
          <w:szCs w:val="22"/>
        </w:rPr>
        <w:t>.</w:t>
      </w:r>
    </w:p>
    <w:p w14:paraId="17F44FFF" w14:textId="77777777" w:rsidR="0048161F" w:rsidRPr="00F908A4" w:rsidRDefault="0048161F" w:rsidP="0041736B">
      <w:pPr>
        <w:spacing w:after="0" w:line="240" w:lineRule="auto"/>
        <w:rPr>
          <w:color w:val="44546A" w:themeColor="text2"/>
          <w:lang w:val="en-GB"/>
        </w:rPr>
      </w:pPr>
      <w:r w:rsidRPr="00F908A4">
        <w:rPr>
          <w:i/>
          <w:color w:val="44546A" w:themeColor="text2"/>
        </w:rPr>
        <w:t xml:space="preserve">Figure </w:t>
      </w:r>
      <w:r w:rsidR="001F41B5" w:rsidRPr="00F908A4">
        <w:rPr>
          <w:i/>
          <w:color w:val="44546A" w:themeColor="text2"/>
        </w:rPr>
        <w:t>4</w:t>
      </w:r>
      <w:r w:rsidRPr="00F908A4">
        <w:rPr>
          <w:i/>
          <w:color w:val="44546A" w:themeColor="text2"/>
        </w:rPr>
        <w:t>: Top 10 Offences</w:t>
      </w:r>
      <w:r w:rsidRPr="00F908A4">
        <w:rPr>
          <w:color w:val="44546A" w:themeColor="text2"/>
        </w:rPr>
        <w:t xml:space="preserve"> (FPA offence cases investigated by FPU have increased (2015</w:t>
      </w:r>
      <w:proofErr w:type="gramStart"/>
      <w:r w:rsidRPr="00F908A4">
        <w:rPr>
          <w:color w:val="44546A" w:themeColor="text2"/>
        </w:rPr>
        <w:t>;</w:t>
      </w:r>
      <w:r w:rsidR="000322B8" w:rsidRPr="00F908A4">
        <w:rPr>
          <w:color w:val="44546A" w:themeColor="text2"/>
        </w:rPr>
        <w:t>306</w:t>
      </w:r>
      <w:proofErr w:type="gramEnd"/>
      <w:r w:rsidRPr="00F908A4">
        <w:rPr>
          <w:color w:val="44546A" w:themeColor="text2"/>
        </w:rPr>
        <w:t>-2019</w:t>
      </w:r>
      <w:r w:rsidR="005B02FE" w:rsidRPr="00F908A4">
        <w:rPr>
          <w:color w:val="44546A" w:themeColor="text2"/>
        </w:rPr>
        <w:t xml:space="preserve"> (</w:t>
      </w:r>
      <w:proofErr w:type="spellStart"/>
      <w:r w:rsidR="005B02FE" w:rsidRPr="00F908A4">
        <w:rPr>
          <w:color w:val="44546A" w:themeColor="text2"/>
        </w:rPr>
        <w:t>est</w:t>
      </w:r>
      <w:proofErr w:type="spellEnd"/>
      <w:r w:rsidR="005B02FE" w:rsidRPr="00F908A4">
        <w:rPr>
          <w:color w:val="44546A" w:themeColor="text2"/>
        </w:rPr>
        <w:t>)</w:t>
      </w:r>
      <w:r w:rsidRPr="00F908A4">
        <w:rPr>
          <w:color w:val="44546A" w:themeColor="text2"/>
        </w:rPr>
        <w:t>: 467).</w:t>
      </w:r>
    </w:p>
    <w:p w14:paraId="12AD9C84" w14:textId="77777777" w:rsidR="004E53F7" w:rsidRPr="00ED0564" w:rsidRDefault="0048161F">
      <w:r w:rsidRPr="0048161F">
        <w:rPr>
          <w:noProof/>
          <w:lang w:eastAsia="en-AU"/>
        </w:rPr>
        <w:drawing>
          <wp:inline distT="0" distB="0" distL="0" distR="0" wp14:anchorId="1B4DCB74" wp14:editId="1282E2B5">
            <wp:extent cx="6216521" cy="3204000"/>
            <wp:effectExtent l="0" t="0" r="0" b="0"/>
            <wp:docPr id="19" name="Picture 1">
              <a:extLst xmlns:a="http://schemas.openxmlformats.org/drawingml/2006/main">
                <a:ext uri="{FF2B5EF4-FFF2-40B4-BE49-F238E27FC236}">
                  <a16:creationId xmlns:a16="http://schemas.microsoft.com/office/drawing/2014/main" id="{18B692D2-75D9-8244-8A2B-B274A78ADF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18B692D2-75D9-8244-8A2B-B274A78ADFA8}"/>
                        </a:ext>
                      </a:extLst>
                    </pic:cNvPr>
                    <pic:cNvPicPr>
                      <a:picLocks noChangeAspect="1"/>
                    </pic:cNvPicPr>
                  </pic:nvPicPr>
                  <pic:blipFill>
                    <a:blip r:embed="rId21"/>
                    <a:stretch>
                      <a:fillRect/>
                    </a:stretch>
                  </pic:blipFill>
                  <pic:spPr>
                    <a:xfrm>
                      <a:off x="0" y="0"/>
                      <a:ext cx="6222224" cy="3206939"/>
                    </a:xfrm>
                    <a:prstGeom prst="rect">
                      <a:avLst/>
                    </a:prstGeom>
                  </pic:spPr>
                </pic:pic>
              </a:graphicData>
            </a:graphic>
          </wp:inline>
        </w:drawing>
      </w:r>
    </w:p>
    <w:p w14:paraId="295A343E" w14:textId="77777777" w:rsidR="00ED0564" w:rsidRPr="00ED0564" w:rsidRDefault="00ED0564" w:rsidP="00ED0564">
      <w:pPr>
        <w:rPr>
          <w:i/>
          <w:color w:val="44546A" w:themeColor="text2"/>
        </w:rPr>
      </w:pPr>
      <w:r>
        <w:rPr>
          <w:i/>
          <w:color w:val="44546A" w:themeColor="text2"/>
        </w:rPr>
        <w:br w:type="page"/>
      </w:r>
      <w:r w:rsidR="0048161F" w:rsidRPr="00F908A4">
        <w:rPr>
          <w:i/>
          <w:color w:val="44546A" w:themeColor="text2"/>
        </w:rPr>
        <w:t xml:space="preserve">Figure </w:t>
      </w:r>
      <w:r w:rsidR="001F41B5" w:rsidRPr="00F908A4">
        <w:rPr>
          <w:i/>
          <w:color w:val="44546A" w:themeColor="text2"/>
        </w:rPr>
        <w:t>5</w:t>
      </w:r>
      <w:r w:rsidR="0048161F" w:rsidRPr="00F908A4">
        <w:rPr>
          <w:i/>
          <w:color w:val="44546A" w:themeColor="text2"/>
        </w:rPr>
        <w:t>: OPP offences registered</w:t>
      </w:r>
      <w:r w:rsidR="0048161F" w:rsidRPr="00F908A4">
        <w:rPr>
          <w:b/>
          <w:color w:val="44546A" w:themeColor="text2"/>
        </w:rPr>
        <w:t xml:space="preserve"> </w:t>
      </w:r>
      <w:r w:rsidR="0048161F" w:rsidRPr="00F908A4">
        <w:rPr>
          <w:color w:val="44546A" w:themeColor="text2"/>
        </w:rPr>
        <w:t>(</w:t>
      </w:r>
      <w:r w:rsidRPr="00ED0564">
        <w:rPr>
          <w:color w:val="44546A" w:themeColor="text2"/>
        </w:rPr>
        <w:t>2018 saw a general increase as a result of taking on more cases from SPD – especially in Port Vila. Volumes are now more aligned to 2017 levels</w:t>
      </w:r>
      <w:r>
        <w:rPr>
          <w:color w:val="44546A" w:themeColor="text2"/>
        </w:rPr>
        <w:t>)</w:t>
      </w:r>
    </w:p>
    <w:p w14:paraId="04930286" w14:textId="77777777" w:rsidR="00ED0564" w:rsidRPr="00F908A4" w:rsidRDefault="00ED0564" w:rsidP="0048161F">
      <w:pPr>
        <w:spacing w:after="0"/>
        <w:rPr>
          <w:color w:val="44546A" w:themeColor="text2"/>
          <w:lang w:val="en-GB"/>
        </w:rPr>
      </w:pPr>
      <w:r w:rsidRPr="00ED0564">
        <w:rPr>
          <w:noProof/>
          <w:color w:val="44546A" w:themeColor="text2"/>
          <w:lang w:eastAsia="en-AU"/>
        </w:rPr>
        <w:drawing>
          <wp:inline distT="0" distB="0" distL="0" distR="0" wp14:anchorId="423FEAC2" wp14:editId="291DE660">
            <wp:extent cx="6011962" cy="3160800"/>
            <wp:effectExtent l="0" t="0" r="8255" b="1905"/>
            <wp:docPr id="214" name="Picture 1">
              <a:extLst xmlns:a="http://schemas.openxmlformats.org/drawingml/2006/main">
                <a:ext uri="{FF2B5EF4-FFF2-40B4-BE49-F238E27FC236}">
                  <a16:creationId xmlns:a16="http://schemas.microsoft.com/office/drawing/2014/main" id="{50BA3760-EFD2-2F47-9E66-4CF4E5978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50BA3760-EFD2-2F47-9E66-4CF4E5978D05}"/>
                        </a:ext>
                      </a:extLst>
                    </pic:cNvPr>
                    <pic:cNvPicPr>
                      <a:picLocks noChangeAspect="1"/>
                    </pic:cNvPicPr>
                  </pic:nvPicPr>
                  <pic:blipFill>
                    <a:blip r:embed="rId22"/>
                    <a:stretch>
                      <a:fillRect/>
                    </a:stretch>
                  </pic:blipFill>
                  <pic:spPr>
                    <a:xfrm>
                      <a:off x="0" y="0"/>
                      <a:ext cx="6019638" cy="3164836"/>
                    </a:xfrm>
                    <a:prstGeom prst="rect">
                      <a:avLst/>
                    </a:prstGeom>
                  </pic:spPr>
                </pic:pic>
              </a:graphicData>
            </a:graphic>
          </wp:inline>
        </w:drawing>
      </w:r>
    </w:p>
    <w:p w14:paraId="16D4738C" w14:textId="77777777" w:rsidR="0048161F" w:rsidRDefault="0048161F" w:rsidP="0048161F"/>
    <w:p w14:paraId="6F61836B" w14:textId="77777777" w:rsidR="004E53F7" w:rsidRDefault="004E53F7" w:rsidP="00AA3640">
      <w:pPr>
        <w:spacing w:after="0"/>
        <w:rPr>
          <w:i/>
          <w:color w:val="44546A" w:themeColor="text2"/>
        </w:rPr>
      </w:pPr>
    </w:p>
    <w:p w14:paraId="0AFB9D9B" w14:textId="77777777" w:rsidR="00ED0564" w:rsidRPr="00ED0564" w:rsidRDefault="0048161F" w:rsidP="00ED0564">
      <w:pPr>
        <w:spacing w:after="0"/>
        <w:rPr>
          <w:color w:val="44546A" w:themeColor="text2"/>
        </w:rPr>
      </w:pPr>
      <w:r w:rsidRPr="00F908A4">
        <w:rPr>
          <w:i/>
          <w:color w:val="44546A" w:themeColor="text2"/>
        </w:rPr>
        <w:t xml:space="preserve">Figure </w:t>
      </w:r>
      <w:r w:rsidR="001F41B5" w:rsidRPr="00F908A4">
        <w:rPr>
          <w:i/>
          <w:color w:val="44546A" w:themeColor="text2"/>
        </w:rPr>
        <w:t>6</w:t>
      </w:r>
      <w:r w:rsidRPr="00F908A4">
        <w:rPr>
          <w:i/>
          <w:color w:val="44546A" w:themeColor="text2"/>
        </w:rPr>
        <w:t xml:space="preserve">: SDP offences registered </w:t>
      </w:r>
      <w:r w:rsidRPr="00F908A4">
        <w:rPr>
          <w:color w:val="44546A" w:themeColor="text2"/>
        </w:rPr>
        <w:t>(</w:t>
      </w:r>
      <w:r w:rsidR="00ED0564" w:rsidRPr="00ED0564">
        <w:rPr>
          <w:color w:val="44546A" w:themeColor="text2"/>
          <w:lang w:val="en-US"/>
        </w:rPr>
        <w:t xml:space="preserve">SPD were not recording offences consistently in 2016, and have been excluded. Clear growth, matching the VPF results, for growth in </w:t>
      </w:r>
      <w:r w:rsidR="00ED0564">
        <w:rPr>
          <w:color w:val="44546A" w:themeColor="text2"/>
          <w:lang w:val="en-US"/>
        </w:rPr>
        <w:t>FPA</w:t>
      </w:r>
      <w:r w:rsidR="00ED0564" w:rsidRPr="00ED0564">
        <w:rPr>
          <w:color w:val="44546A" w:themeColor="text2"/>
          <w:lang w:val="en-US"/>
        </w:rPr>
        <w:t xml:space="preserve"> matters</w:t>
      </w:r>
      <w:r w:rsidR="00ED0564">
        <w:rPr>
          <w:color w:val="44546A" w:themeColor="text2"/>
          <w:lang w:val="en-US"/>
        </w:rPr>
        <w:t>)</w:t>
      </w:r>
      <w:r w:rsidR="00ED0564" w:rsidRPr="00ED0564">
        <w:rPr>
          <w:color w:val="44546A" w:themeColor="text2"/>
          <w:lang w:val="en-US"/>
        </w:rPr>
        <w:t xml:space="preserve">. </w:t>
      </w:r>
    </w:p>
    <w:p w14:paraId="71D9EEFD" w14:textId="77777777" w:rsidR="00ED0564" w:rsidRDefault="00ED0564" w:rsidP="00AA3640">
      <w:pPr>
        <w:spacing w:after="0"/>
        <w:rPr>
          <w:color w:val="44546A" w:themeColor="text2"/>
        </w:rPr>
      </w:pPr>
    </w:p>
    <w:p w14:paraId="50B25C24" w14:textId="77777777" w:rsidR="00ED0564" w:rsidRPr="0048161F" w:rsidRDefault="00ED0564" w:rsidP="00AA3640">
      <w:pPr>
        <w:spacing w:after="0"/>
        <w:rPr>
          <w:lang w:val="en-GB"/>
        </w:rPr>
      </w:pPr>
      <w:r w:rsidRPr="00ED0564">
        <w:rPr>
          <w:noProof/>
          <w:lang w:eastAsia="en-AU"/>
        </w:rPr>
        <w:drawing>
          <wp:inline distT="0" distB="0" distL="0" distR="0" wp14:anchorId="7B1BB8CE" wp14:editId="718D9F0F">
            <wp:extent cx="5984210" cy="3902400"/>
            <wp:effectExtent l="0" t="0" r="0" b="3175"/>
            <wp:docPr id="215" name="Picture 1">
              <a:extLst xmlns:a="http://schemas.openxmlformats.org/drawingml/2006/main">
                <a:ext uri="{FF2B5EF4-FFF2-40B4-BE49-F238E27FC236}">
                  <a16:creationId xmlns:a16="http://schemas.microsoft.com/office/drawing/2014/main" id="{1C1FA8E4-FB1E-4343-B2B1-9E097D8CB1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1C1FA8E4-FB1E-4343-B2B1-9E097D8CB153}"/>
                        </a:ext>
                      </a:extLst>
                    </pic:cNvPr>
                    <pic:cNvPicPr>
                      <a:picLocks noChangeAspect="1"/>
                    </pic:cNvPicPr>
                  </pic:nvPicPr>
                  <pic:blipFill>
                    <a:blip r:embed="rId23"/>
                    <a:stretch>
                      <a:fillRect/>
                    </a:stretch>
                  </pic:blipFill>
                  <pic:spPr>
                    <a:xfrm>
                      <a:off x="0" y="0"/>
                      <a:ext cx="5985420" cy="3903189"/>
                    </a:xfrm>
                    <a:prstGeom prst="rect">
                      <a:avLst/>
                    </a:prstGeom>
                  </pic:spPr>
                </pic:pic>
              </a:graphicData>
            </a:graphic>
          </wp:inline>
        </w:drawing>
      </w:r>
    </w:p>
    <w:p w14:paraId="6585B136" w14:textId="77777777" w:rsidR="0048161F" w:rsidRPr="0048161F" w:rsidRDefault="0048161F" w:rsidP="0048161F"/>
    <w:p w14:paraId="54EC402E" w14:textId="77777777" w:rsidR="004E53F7" w:rsidRPr="0048161F" w:rsidRDefault="0048161F" w:rsidP="0048161F">
      <w:pPr>
        <w:spacing w:line="240" w:lineRule="auto"/>
        <w:jc w:val="both"/>
      </w:pPr>
      <w:r w:rsidRPr="0048161F">
        <w:t xml:space="preserve">Overall, this is a highly significant outcome that should be understood in the context of how difficult it is to support systemic change in justice systems. While most international development programs in the justice domain claim to be focused on the chain of justice, the </w:t>
      </w:r>
      <w:r w:rsidR="004341ED">
        <w:t>e</w:t>
      </w:r>
      <w:r w:rsidRPr="0048161F">
        <w:t xml:space="preserve">valuation </w:t>
      </w:r>
      <w:r w:rsidR="004341ED">
        <w:t>t</w:t>
      </w:r>
      <w:r w:rsidRPr="0048161F">
        <w:t>eam is not aware of any in this region that have so successfully implemented such an approach, or delivered on chain of justice outcomes to this extent. The focus on the chain of justice has also allowed the justice and policing aspects of program management (that is,</w:t>
      </w:r>
      <w:r w:rsidR="009D2E5C">
        <w:t xml:space="preserve"> </w:t>
      </w:r>
      <w:r w:rsidRPr="0048161F">
        <w:t xml:space="preserve">the </w:t>
      </w:r>
      <w:r w:rsidR="001B6F9A">
        <w:t>M</w:t>
      </w:r>
      <w:r w:rsidRPr="0048161F">
        <w:t xml:space="preserve">anaging </w:t>
      </w:r>
      <w:r w:rsidR="001B6F9A">
        <w:t>C</w:t>
      </w:r>
      <w:r w:rsidRPr="0048161F">
        <w:t>ontractor and the AFP on the policing side) to bring their collective strengths together in support of their Vanuatu counterparts operating across this chain.</w:t>
      </w:r>
    </w:p>
    <w:tbl>
      <w:tblPr>
        <w:tblStyle w:val="TableGrid"/>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9016"/>
      </w:tblGrid>
      <w:tr w:rsidR="0048161F" w14:paraId="51E0108C" w14:textId="77777777" w:rsidTr="006B5A8C">
        <w:tc>
          <w:tcPr>
            <w:tcW w:w="9016" w:type="dxa"/>
            <w:shd w:val="clear" w:color="auto" w:fill="F3F5F7"/>
          </w:tcPr>
          <w:p w14:paraId="0666FD35" w14:textId="77777777" w:rsidR="0048161F" w:rsidRPr="0048161F" w:rsidRDefault="0048161F" w:rsidP="0048161F">
            <w:pPr>
              <w:shd w:val="clear" w:color="auto" w:fill="F3F5F7"/>
              <w:tabs>
                <w:tab w:val="left" w:pos="5954"/>
              </w:tabs>
              <w:spacing w:line="259" w:lineRule="auto"/>
              <w:rPr>
                <w:rFonts w:eastAsiaTheme="minorHAnsi"/>
                <w:b/>
                <w:bCs/>
                <w:lang w:val="en-GB"/>
              </w:rPr>
            </w:pPr>
            <w:bookmarkStart w:id="38" w:name="_Hlk21698746"/>
            <w:r w:rsidRPr="0048161F">
              <w:rPr>
                <w:rFonts w:eastAsiaTheme="minorHAnsi"/>
                <w:b/>
                <w:bCs/>
                <w:lang w:val="en-GB"/>
              </w:rPr>
              <w:t>Recommendation 2</w:t>
            </w:r>
          </w:p>
          <w:p w14:paraId="380C7B39" w14:textId="77777777" w:rsidR="007F37A6" w:rsidRPr="004A50F9" w:rsidRDefault="0048161F" w:rsidP="003A58A1">
            <w:pPr>
              <w:shd w:val="clear" w:color="auto" w:fill="F3F5F7"/>
              <w:tabs>
                <w:tab w:val="left" w:pos="5954"/>
              </w:tabs>
              <w:spacing w:after="100"/>
              <w:jc w:val="both"/>
              <w:rPr>
                <w:rFonts w:eastAsiaTheme="minorHAnsi"/>
                <w:lang w:val="en-GB"/>
              </w:rPr>
            </w:pPr>
            <w:r w:rsidRPr="0048161F">
              <w:rPr>
                <w:rFonts w:eastAsiaTheme="minorHAnsi"/>
                <w:lang w:val="en-GB"/>
              </w:rPr>
              <w:t>Australia should continue to support a joined-up policing and justice sector approach, with the hybrid modality and joint management.</w:t>
            </w:r>
            <w:r w:rsidR="00B1646A">
              <w:rPr>
                <w:rFonts w:eastAsiaTheme="minorHAnsi"/>
                <w:lang w:val="en-GB"/>
              </w:rPr>
              <w:t xml:space="preserve"> </w:t>
            </w:r>
            <w:r w:rsidRPr="0048161F">
              <w:rPr>
                <w:rFonts w:eastAsiaTheme="minorHAnsi"/>
                <w:lang w:val="en-GB"/>
              </w:rPr>
              <w:t>The benefits of this approach far outweigh the challenges, and have resulted in better outcomes than seen elsewhere.</w:t>
            </w:r>
            <w:bookmarkEnd w:id="38"/>
          </w:p>
        </w:tc>
      </w:tr>
    </w:tbl>
    <w:p w14:paraId="1BE7B8B5" w14:textId="77777777" w:rsidR="0048161F" w:rsidRDefault="0048161F" w:rsidP="002E6793">
      <w:pPr>
        <w:spacing w:after="0"/>
        <w:jc w:val="both"/>
        <w:rPr>
          <w:rFonts w:ascii="Calibri" w:eastAsia="Calibri" w:hAnsi="Calibri" w:cs="Times New Roman"/>
          <w:b/>
        </w:rPr>
      </w:pPr>
    </w:p>
    <w:p w14:paraId="23A5B62C" w14:textId="77777777" w:rsidR="004E53F7" w:rsidRDefault="003A58A1" w:rsidP="003A58A1">
      <w:pPr>
        <w:spacing w:line="240" w:lineRule="auto"/>
        <w:jc w:val="both"/>
        <w:rPr>
          <w:rFonts w:ascii="Calibri" w:eastAsia="Calibri" w:hAnsi="Calibri" w:cs="Times New Roman"/>
          <w:b/>
          <w:sz w:val="24"/>
          <w:szCs w:val="24"/>
        </w:rPr>
      </w:pPr>
      <w:r w:rsidRPr="0048161F">
        <w:rPr>
          <w:lang w:val="en-GB"/>
        </w:rPr>
        <w:t>The lessons, and challenges, from this experience provide a strong basis to inform other deployments and aid investments in similar settings.</w:t>
      </w:r>
      <w:r>
        <w:rPr>
          <w:lang w:val="en-GB"/>
        </w:rPr>
        <w:t xml:space="preserve"> </w:t>
      </w:r>
      <w:r w:rsidRPr="0048161F">
        <w:rPr>
          <w:lang w:val="en-GB"/>
        </w:rPr>
        <w:t xml:space="preserve">A specific case study and promotion of this experience internationally would be of </w:t>
      </w:r>
      <w:r w:rsidRPr="003A58A1">
        <w:rPr>
          <w:rFonts w:cs="Times New Roman"/>
        </w:rPr>
        <w:t>benefit</w:t>
      </w:r>
      <w:r w:rsidRPr="0048161F">
        <w:rPr>
          <w:lang w:val="en-GB"/>
        </w:rPr>
        <w:t xml:space="preserve"> to other bilateral donors and development partners.</w:t>
      </w:r>
      <w:r>
        <w:rPr>
          <w:lang w:val="en-GB"/>
        </w:rPr>
        <w:t xml:space="preserve">  </w:t>
      </w:r>
      <w:r w:rsidRPr="0041736B">
        <w:t xml:space="preserve">The Program’s integrated approach </w:t>
      </w:r>
      <w:r>
        <w:t>may be enhanced through</w:t>
      </w:r>
      <w:r w:rsidRPr="0041736B">
        <w:t xml:space="preserve"> continued and strengthened linking of the two separate </w:t>
      </w:r>
      <w:r w:rsidRPr="00951581">
        <w:rPr>
          <w:rFonts w:cs="Times New Roman"/>
        </w:rPr>
        <w:t>Program</w:t>
      </w:r>
      <w:r>
        <w:t xml:space="preserve"> Management Groups</w:t>
      </w:r>
      <w:r w:rsidRPr="0041736B">
        <w:t>.</w:t>
      </w:r>
    </w:p>
    <w:p w14:paraId="274A753A" w14:textId="77777777" w:rsidR="000B017A" w:rsidRPr="00D82BE1" w:rsidRDefault="000B017A" w:rsidP="000B017A">
      <w:pPr>
        <w:spacing w:after="0" w:line="240" w:lineRule="auto"/>
        <w:jc w:val="both"/>
        <w:rPr>
          <w:rFonts w:ascii="Calibri" w:eastAsia="Calibri" w:hAnsi="Calibri" w:cs="Times New Roman"/>
          <w:b/>
          <w:sz w:val="24"/>
          <w:szCs w:val="24"/>
        </w:rPr>
      </w:pPr>
      <w:r w:rsidRPr="00D82BE1">
        <w:rPr>
          <w:rFonts w:ascii="Calibri" w:eastAsia="Calibri" w:hAnsi="Calibri" w:cs="Times New Roman"/>
          <w:b/>
          <w:sz w:val="24"/>
          <w:szCs w:val="24"/>
        </w:rPr>
        <w:t xml:space="preserve">Finding </w:t>
      </w:r>
      <w:r>
        <w:rPr>
          <w:rFonts w:ascii="Calibri" w:eastAsia="Calibri" w:hAnsi="Calibri" w:cs="Times New Roman"/>
          <w:b/>
          <w:sz w:val="24"/>
          <w:szCs w:val="24"/>
        </w:rPr>
        <w:t>3</w:t>
      </w:r>
      <w:r w:rsidRPr="00D82BE1">
        <w:rPr>
          <w:rFonts w:ascii="Calibri" w:eastAsia="Calibri" w:hAnsi="Calibri" w:cs="Times New Roman"/>
          <w:b/>
          <w:sz w:val="24"/>
          <w:szCs w:val="24"/>
        </w:rPr>
        <w:t xml:space="preserve">: </w:t>
      </w:r>
      <w:r w:rsidR="00571ABE">
        <w:rPr>
          <w:rFonts w:ascii="Calibri" w:eastAsia="Calibri" w:hAnsi="Calibri" w:cs="Times New Roman"/>
          <w:b/>
          <w:sz w:val="24"/>
          <w:szCs w:val="24"/>
        </w:rPr>
        <w:t>balancing s</w:t>
      </w:r>
      <w:r w:rsidRPr="00D82BE1">
        <w:rPr>
          <w:rFonts w:ascii="Calibri" w:eastAsia="Calibri" w:hAnsi="Calibri" w:cs="Times New Roman"/>
          <w:b/>
          <w:sz w:val="24"/>
          <w:szCs w:val="24"/>
        </w:rPr>
        <w:t xml:space="preserve">tability </w:t>
      </w:r>
      <w:r w:rsidR="00571ABE">
        <w:rPr>
          <w:rFonts w:ascii="Calibri" w:eastAsia="Calibri" w:hAnsi="Calibri" w:cs="Times New Roman"/>
          <w:b/>
          <w:sz w:val="24"/>
          <w:szCs w:val="24"/>
        </w:rPr>
        <w:t>and</w:t>
      </w:r>
      <w:r w:rsidRPr="00D82BE1">
        <w:rPr>
          <w:rFonts w:ascii="Calibri" w:eastAsia="Calibri" w:hAnsi="Calibri" w:cs="Times New Roman"/>
          <w:b/>
          <w:sz w:val="24"/>
          <w:szCs w:val="24"/>
        </w:rPr>
        <w:t xml:space="preserve"> development</w:t>
      </w:r>
      <w:r w:rsidR="00571ABE">
        <w:rPr>
          <w:rFonts w:ascii="Calibri" w:eastAsia="Calibri" w:hAnsi="Calibri" w:cs="Times New Roman"/>
          <w:b/>
          <w:sz w:val="24"/>
          <w:szCs w:val="24"/>
        </w:rPr>
        <w:t xml:space="preserve"> objectives</w:t>
      </w:r>
    </w:p>
    <w:p w14:paraId="6E7FF13B" w14:textId="77777777" w:rsidR="000B017A" w:rsidRPr="00D82BE1" w:rsidRDefault="000B017A" w:rsidP="000B017A">
      <w:pPr>
        <w:shd w:val="clear" w:color="auto" w:fill="F3F5F7"/>
        <w:spacing w:after="0" w:line="240" w:lineRule="auto"/>
        <w:jc w:val="both"/>
        <w:rPr>
          <w:rFonts w:cs="Times New Roman"/>
          <w:color w:val="44546A" w:themeColor="text2"/>
        </w:rPr>
      </w:pPr>
      <w:r w:rsidRPr="00D82BE1">
        <w:rPr>
          <w:rFonts w:cs="Times New Roman"/>
          <w:color w:val="44546A" w:themeColor="text2"/>
        </w:rPr>
        <w:t xml:space="preserve">There has been </w:t>
      </w:r>
      <w:r w:rsidR="00485CE8">
        <w:rPr>
          <w:rFonts w:cs="Times New Roman"/>
          <w:color w:val="44546A" w:themeColor="text2"/>
        </w:rPr>
        <w:t>some</w:t>
      </w:r>
      <w:r w:rsidRPr="00D82BE1">
        <w:rPr>
          <w:rFonts w:cs="Times New Roman"/>
          <w:color w:val="44546A" w:themeColor="text2"/>
        </w:rPr>
        <w:t xml:space="preserve"> </w:t>
      </w:r>
      <w:r w:rsidRPr="00D82BE1">
        <w:rPr>
          <w:rFonts w:cs="Times New Roman"/>
          <w:b/>
          <w:color w:val="44546A" w:themeColor="text2"/>
        </w:rPr>
        <w:t>shift in policy priorities and resources</w:t>
      </w:r>
      <w:r w:rsidRPr="00D82BE1">
        <w:rPr>
          <w:rFonts w:cs="Times New Roman"/>
          <w:color w:val="44546A" w:themeColor="text2"/>
        </w:rPr>
        <w:t xml:space="preserve"> (associated with the Step Up and </w:t>
      </w:r>
      <w:r w:rsidR="009C5D55">
        <w:rPr>
          <w:rFonts w:cs="Times New Roman"/>
          <w:color w:val="44546A" w:themeColor="text2"/>
        </w:rPr>
        <w:t>e</w:t>
      </w:r>
      <w:r w:rsidRPr="00D82BE1">
        <w:rPr>
          <w:rFonts w:cs="Times New Roman"/>
          <w:color w:val="44546A" w:themeColor="text2"/>
        </w:rPr>
        <w:t xml:space="preserve">nhanced </w:t>
      </w:r>
      <w:r w:rsidR="009C5D55">
        <w:rPr>
          <w:rFonts w:cs="Times New Roman"/>
          <w:color w:val="44546A" w:themeColor="text2"/>
        </w:rPr>
        <w:t>s</w:t>
      </w:r>
      <w:r w:rsidRPr="00D82BE1">
        <w:rPr>
          <w:rFonts w:cs="Times New Roman"/>
          <w:color w:val="44546A" w:themeColor="text2"/>
        </w:rPr>
        <w:t xml:space="preserve">ecurity </w:t>
      </w:r>
      <w:r w:rsidR="009C5D55">
        <w:rPr>
          <w:rFonts w:cs="Times New Roman"/>
          <w:color w:val="44546A" w:themeColor="text2"/>
        </w:rPr>
        <w:t>c</w:t>
      </w:r>
      <w:r w:rsidRPr="00D82BE1">
        <w:rPr>
          <w:rFonts w:cs="Times New Roman"/>
          <w:color w:val="44546A" w:themeColor="text2"/>
        </w:rPr>
        <w:t xml:space="preserve">ooperation between </w:t>
      </w:r>
      <w:proofErr w:type="spellStart"/>
      <w:r w:rsidRPr="00D82BE1">
        <w:rPr>
          <w:rFonts w:cs="Times New Roman"/>
          <w:color w:val="44546A" w:themeColor="text2"/>
        </w:rPr>
        <w:t>G</w:t>
      </w:r>
      <w:r>
        <w:rPr>
          <w:rFonts w:cs="Times New Roman"/>
          <w:color w:val="44546A" w:themeColor="text2"/>
        </w:rPr>
        <w:t>o</w:t>
      </w:r>
      <w:r w:rsidRPr="00D82BE1">
        <w:rPr>
          <w:rFonts w:cs="Times New Roman"/>
          <w:color w:val="44546A" w:themeColor="text2"/>
        </w:rPr>
        <w:t>A</w:t>
      </w:r>
      <w:proofErr w:type="spellEnd"/>
      <w:r w:rsidRPr="00D82BE1">
        <w:rPr>
          <w:rFonts w:cs="Times New Roman"/>
          <w:color w:val="44546A" w:themeColor="text2"/>
        </w:rPr>
        <w:t xml:space="preserve"> and </w:t>
      </w:r>
      <w:proofErr w:type="spellStart"/>
      <w:r w:rsidRPr="00D82BE1">
        <w:rPr>
          <w:rFonts w:cs="Times New Roman"/>
          <w:color w:val="44546A" w:themeColor="text2"/>
        </w:rPr>
        <w:t>G</w:t>
      </w:r>
      <w:r>
        <w:rPr>
          <w:rFonts w:cs="Times New Roman"/>
          <w:color w:val="44546A" w:themeColor="text2"/>
        </w:rPr>
        <w:t>o</w:t>
      </w:r>
      <w:r w:rsidRPr="00D82BE1">
        <w:rPr>
          <w:rFonts w:cs="Times New Roman"/>
          <w:color w:val="44546A" w:themeColor="text2"/>
        </w:rPr>
        <w:t>V</w:t>
      </w:r>
      <w:proofErr w:type="spellEnd"/>
      <w:r w:rsidRPr="00D82BE1">
        <w:rPr>
          <w:rFonts w:cs="Times New Roman"/>
          <w:color w:val="44546A" w:themeColor="text2"/>
        </w:rPr>
        <w:t xml:space="preserve">) </w:t>
      </w:r>
      <w:r w:rsidRPr="00D82BE1">
        <w:rPr>
          <w:rFonts w:cs="Times New Roman"/>
          <w:b/>
          <w:color w:val="44546A" w:themeColor="text2"/>
        </w:rPr>
        <w:t>towards greater operational support</w:t>
      </w:r>
      <w:r w:rsidRPr="00D82BE1">
        <w:rPr>
          <w:rFonts w:cs="Times New Roman"/>
          <w:color w:val="44546A" w:themeColor="text2"/>
        </w:rPr>
        <w:t xml:space="preserve"> that </w:t>
      </w:r>
      <w:r>
        <w:rPr>
          <w:rFonts w:cs="Times New Roman"/>
          <w:color w:val="44546A" w:themeColor="text2"/>
        </w:rPr>
        <w:t>supports</w:t>
      </w:r>
      <w:r w:rsidRPr="00D82BE1">
        <w:rPr>
          <w:rFonts w:cs="Times New Roman"/>
          <w:color w:val="44546A" w:themeColor="text2"/>
        </w:rPr>
        <w:t xml:space="preserve"> the implicit approach of the original program design</w:t>
      </w:r>
      <w:r w:rsidR="003D13BE">
        <w:rPr>
          <w:rFonts w:cs="Times New Roman"/>
          <w:color w:val="44546A" w:themeColor="text2"/>
        </w:rPr>
        <w:t>.</w:t>
      </w:r>
      <w:r w:rsidR="00E74389">
        <w:rPr>
          <w:rFonts w:cs="Times New Roman"/>
          <w:color w:val="44546A" w:themeColor="text2"/>
        </w:rPr>
        <w:t xml:space="preserve"> Th</w:t>
      </w:r>
      <w:r w:rsidR="00A26910">
        <w:rPr>
          <w:rFonts w:cs="Times New Roman"/>
          <w:color w:val="44546A" w:themeColor="text2"/>
        </w:rPr>
        <w:t xml:space="preserve">is aims to ensure </w:t>
      </w:r>
      <w:r w:rsidRPr="00D82BE1">
        <w:rPr>
          <w:rFonts w:cs="Times New Roman"/>
          <w:color w:val="44546A" w:themeColor="text2"/>
        </w:rPr>
        <w:t>an operational capability in policing and justice to maintain community confidence, from which capacity</w:t>
      </w:r>
      <w:r>
        <w:rPr>
          <w:rFonts w:cs="Times New Roman"/>
          <w:color w:val="44546A" w:themeColor="text2"/>
        </w:rPr>
        <w:t xml:space="preserve"> gains</w:t>
      </w:r>
      <w:r w:rsidRPr="00D82BE1">
        <w:rPr>
          <w:rFonts w:cs="Times New Roman"/>
          <w:color w:val="44546A" w:themeColor="text2"/>
        </w:rPr>
        <w:t xml:space="preserve"> and improvements can be made. It is </w:t>
      </w:r>
      <w:r w:rsidRPr="00D82BE1">
        <w:rPr>
          <w:rFonts w:cs="Times New Roman"/>
          <w:b/>
          <w:color w:val="44546A" w:themeColor="text2"/>
        </w:rPr>
        <w:t>important that the balance in effort between short</w:t>
      </w:r>
      <w:r>
        <w:rPr>
          <w:rFonts w:cs="Times New Roman"/>
          <w:b/>
          <w:color w:val="44546A" w:themeColor="text2"/>
        </w:rPr>
        <w:t>-</w:t>
      </w:r>
      <w:r w:rsidRPr="00D82BE1">
        <w:rPr>
          <w:rFonts w:cs="Times New Roman"/>
          <w:b/>
          <w:color w:val="44546A" w:themeColor="text2"/>
        </w:rPr>
        <w:t>term results and long-term sustainable change is maintained</w:t>
      </w:r>
      <w:r w:rsidRPr="00D82BE1">
        <w:rPr>
          <w:rFonts w:cs="Times New Roman"/>
          <w:color w:val="44546A" w:themeColor="text2"/>
        </w:rPr>
        <w:t>, to avoid the risk of creating dependency and removing incentives for internal change.</w:t>
      </w:r>
    </w:p>
    <w:p w14:paraId="3D56695B" w14:textId="77777777" w:rsidR="000B017A" w:rsidRPr="00D82BE1" w:rsidRDefault="000B017A" w:rsidP="000B017A">
      <w:pPr>
        <w:spacing w:after="0" w:line="240" w:lineRule="auto"/>
        <w:rPr>
          <w:rFonts w:cs="Times New Roman"/>
        </w:rPr>
      </w:pPr>
    </w:p>
    <w:p w14:paraId="3714AAE4" w14:textId="77777777" w:rsidR="000B017A" w:rsidRPr="00D82BE1" w:rsidRDefault="000B017A" w:rsidP="003A58A1">
      <w:pPr>
        <w:spacing w:line="240" w:lineRule="auto"/>
        <w:jc w:val="both"/>
        <w:rPr>
          <w:rFonts w:cs="Times New Roman"/>
        </w:rPr>
      </w:pPr>
      <w:r w:rsidRPr="00D82BE1">
        <w:rPr>
          <w:rFonts w:cs="Times New Roman"/>
        </w:rPr>
        <w:t>The original design was structured against three major EOPOs and 15 IOs. All of these statements are ‘developmental’ in nature, in that they express a</w:t>
      </w:r>
      <w:r>
        <w:rPr>
          <w:rFonts w:cs="Times New Roman"/>
        </w:rPr>
        <w:t xml:space="preserve">n </w:t>
      </w:r>
      <w:r w:rsidRPr="00D82BE1">
        <w:rPr>
          <w:rFonts w:cs="Times New Roman"/>
        </w:rPr>
        <w:t>‘improvement’ in capacity, quality or reach of individuals, organisations or services.</w:t>
      </w:r>
      <w:r>
        <w:rPr>
          <w:rFonts w:cs="Times New Roman"/>
        </w:rPr>
        <w:t xml:space="preserve"> </w:t>
      </w:r>
      <w:r w:rsidRPr="00D82BE1">
        <w:rPr>
          <w:rFonts w:cs="Times New Roman"/>
        </w:rPr>
        <w:t>None of them reflect an underlying analysis of the political economy which suggests that agencies within the sector may lack the basic human and financial resources to deliver services to a minimum standard, or that there may be fundamental failings in the quality, reach or provision of their service.</w:t>
      </w:r>
      <w:r>
        <w:rPr>
          <w:rFonts w:cs="Times New Roman"/>
        </w:rPr>
        <w:t xml:space="preserve"> </w:t>
      </w:r>
      <w:r w:rsidRPr="00D82BE1">
        <w:rPr>
          <w:rFonts w:cs="Times New Roman"/>
        </w:rPr>
        <w:t>The rapid political economy analysis undertaken for this evaluation</w:t>
      </w:r>
      <w:r w:rsidRPr="00D82BE1">
        <w:rPr>
          <w:rFonts w:cs="Times New Roman"/>
          <w:vertAlign w:val="superscript"/>
        </w:rPr>
        <w:footnoteReference w:id="36"/>
      </w:r>
      <w:r w:rsidRPr="00D82BE1">
        <w:rPr>
          <w:rFonts w:cs="Times New Roman"/>
        </w:rPr>
        <w:t xml:space="preserve"> concludes that there are some factors in the context which constrain basic operations of some agencies in the sector, particularly the VPF, and the Magistrates</w:t>
      </w:r>
      <w:r>
        <w:rPr>
          <w:rFonts w:cs="Times New Roman"/>
        </w:rPr>
        <w:t>’</w:t>
      </w:r>
      <w:r w:rsidRPr="00D82BE1">
        <w:rPr>
          <w:rFonts w:cs="Times New Roman"/>
        </w:rPr>
        <w:t xml:space="preserve"> Court. These agencies do not have sufficient personnel or funds to reach regional and remote areas of the country or to meet minimum service standards with current levels of central government support for personnel costs, infrastructure, transport and recurrent costs. An implicit driver of the original design however, expressed through the mobilisation of the AFP officers and operational budget to be used to support recurrent costs for basic infrastructure maintenance, vehicles, fuel and consumables, was the need to ensure that basic services continue to be provided by the </w:t>
      </w:r>
      <w:proofErr w:type="spellStart"/>
      <w:r w:rsidRPr="00D82BE1">
        <w:rPr>
          <w:rFonts w:cs="Times New Roman"/>
        </w:rPr>
        <w:t>GoV.</w:t>
      </w:r>
      <w:proofErr w:type="spellEnd"/>
      <w:r w:rsidRPr="00D82BE1">
        <w:rPr>
          <w:rFonts w:cs="Times New Roman"/>
        </w:rPr>
        <w:t xml:space="preserve"> Without this underlying level of support, any efforts to support capacity development and improvements, are unlikely to be successful or sustained.</w:t>
      </w:r>
    </w:p>
    <w:p w14:paraId="2EECB6B5" w14:textId="77777777" w:rsidR="000B017A" w:rsidRDefault="000B017A" w:rsidP="000B017A">
      <w:pPr>
        <w:spacing w:line="240" w:lineRule="auto"/>
        <w:jc w:val="both"/>
        <w:rPr>
          <w:rFonts w:cs="Times New Roman"/>
        </w:rPr>
      </w:pPr>
      <w:r w:rsidRPr="00D82BE1">
        <w:rPr>
          <w:rFonts w:cs="Times New Roman"/>
        </w:rPr>
        <w:t xml:space="preserve">The Australian Government </w:t>
      </w:r>
      <w:r w:rsidR="00485CE8">
        <w:rPr>
          <w:rFonts w:cs="Times New Roman"/>
        </w:rPr>
        <w:t xml:space="preserve">Pacific </w:t>
      </w:r>
      <w:r w:rsidRPr="00D82BE1">
        <w:rPr>
          <w:rFonts w:cs="Times New Roman"/>
        </w:rPr>
        <w:t xml:space="preserve">Step Up </w:t>
      </w:r>
      <w:r w:rsidR="00485CE8">
        <w:rPr>
          <w:rFonts w:cs="Times New Roman"/>
        </w:rPr>
        <w:t>outlined in the</w:t>
      </w:r>
      <w:r w:rsidRPr="00D82BE1">
        <w:rPr>
          <w:rFonts w:cs="Times New Roman"/>
        </w:rPr>
        <w:t xml:space="preserve"> 2017 Foreign Policy White Paper</w:t>
      </w:r>
      <w:r w:rsidRPr="00D82BE1">
        <w:rPr>
          <w:rFonts w:cs="Times New Roman"/>
          <w:vertAlign w:val="superscript"/>
        </w:rPr>
        <w:footnoteReference w:id="37"/>
      </w:r>
      <w:r w:rsidRPr="00D82BE1">
        <w:rPr>
          <w:rFonts w:cs="Times New Roman"/>
        </w:rPr>
        <w:t xml:space="preserve">, and the agreement </w:t>
      </w:r>
      <w:r w:rsidR="00485CE8">
        <w:rPr>
          <w:rFonts w:cs="Times New Roman"/>
        </w:rPr>
        <w:t xml:space="preserve">between the Prime Ministers of Australia and Vanuatu </w:t>
      </w:r>
      <w:r w:rsidR="003A58A1">
        <w:rPr>
          <w:rFonts w:cs="Times New Roman"/>
        </w:rPr>
        <w:t>to enhance security cooperation</w:t>
      </w:r>
      <w:r w:rsidRPr="00D82BE1">
        <w:rPr>
          <w:rFonts w:cs="Times New Roman"/>
        </w:rPr>
        <w:t xml:space="preserve"> in</w:t>
      </w:r>
      <w:r w:rsidR="003A58A1">
        <w:rPr>
          <w:rFonts w:cs="Times New Roman"/>
        </w:rPr>
        <w:t xml:space="preserve"> </w:t>
      </w:r>
      <w:r w:rsidRPr="00D82BE1">
        <w:rPr>
          <w:rFonts w:cs="Times New Roman"/>
        </w:rPr>
        <w:t>2018</w:t>
      </w:r>
      <w:r w:rsidRPr="00D82BE1">
        <w:rPr>
          <w:rFonts w:cs="Times New Roman"/>
          <w:vertAlign w:val="superscript"/>
        </w:rPr>
        <w:footnoteReference w:id="38"/>
      </w:r>
      <w:r w:rsidRPr="00D82BE1">
        <w:rPr>
          <w:rFonts w:cs="Times New Roman"/>
        </w:rPr>
        <w:t xml:space="preserve"> resulted in </w:t>
      </w:r>
      <w:r w:rsidR="00485CE8">
        <w:rPr>
          <w:rFonts w:cs="Times New Roman"/>
        </w:rPr>
        <w:t>some</w:t>
      </w:r>
      <w:r w:rsidR="009C5D55">
        <w:rPr>
          <w:rFonts w:cs="Times New Roman"/>
        </w:rPr>
        <w:t xml:space="preserve"> </w:t>
      </w:r>
      <w:r w:rsidRPr="00D82BE1">
        <w:rPr>
          <w:rFonts w:cs="Times New Roman"/>
        </w:rPr>
        <w:t>shift in priorities and resources within the Program.</w:t>
      </w:r>
      <w:r>
        <w:rPr>
          <w:rFonts w:cs="Times New Roman"/>
        </w:rPr>
        <w:t xml:space="preserve"> </w:t>
      </w:r>
      <w:r w:rsidRPr="00D82BE1">
        <w:rPr>
          <w:rFonts w:cs="Times New Roman"/>
        </w:rPr>
        <w:t xml:space="preserve">Two new additional AFP officers were deployed (one to General Duties in the Port Vila Central Police Station, and one to </w:t>
      </w:r>
      <w:proofErr w:type="spellStart"/>
      <w:r w:rsidRPr="00D82BE1">
        <w:rPr>
          <w:rFonts w:cs="Times New Roman"/>
        </w:rPr>
        <w:t>Luganville</w:t>
      </w:r>
      <w:proofErr w:type="spellEnd"/>
      <w:r w:rsidRPr="00D82BE1">
        <w:rPr>
          <w:rFonts w:cs="Times New Roman"/>
        </w:rPr>
        <w:t xml:space="preserve"> in Northern Command for four northern Provinces); resources were</w:t>
      </w:r>
      <w:r>
        <w:rPr>
          <w:rFonts w:cs="Times New Roman"/>
        </w:rPr>
        <w:t xml:space="preserve"> </w:t>
      </w:r>
      <w:r w:rsidR="003A58A1">
        <w:rPr>
          <w:rFonts w:cs="Times New Roman"/>
        </w:rPr>
        <w:t>committed</w:t>
      </w:r>
      <w:r w:rsidRPr="00D82BE1">
        <w:rPr>
          <w:rFonts w:cs="Times New Roman"/>
        </w:rPr>
        <w:t xml:space="preserve"> </w:t>
      </w:r>
      <w:r>
        <w:rPr>
          <w:rFonts w:cs="Times New Roman"/>
        </w:rPr>
        <w:t>to</w:t>
      </w:r>
      <w:r w:rsidRPr="00D82BE1">
        <w:rPr>
          <w:rFonts w:cs="Times New Roman"/>
        </w:rPr>
        <w:t xml:space="preserve"> train </w:t>
      </w:r>
      <w:r>
        <w:rPr>
          <w:rFonts w:cs="Times New Roman"/>
        </w:rPr>
        <w:t>over</w:t>
      </w:r>
      <w:r w:rsidRPr="00D82BE1">
        <w:rPr>
          <w:rFonts w:cs="Times New Roman"/>
        </w:rPr>
        <w:t xml:space="preserve"> 300 </w:t>
      </w:r>
      <w:r>
        <w:rPr>
          <w:rFonts w:cs="Times New Roman"/>
        </w:rPr>
        <w:t xml:space="preserve">additional </w:t>
      </w:r>
      <w:r w:rsidRPr="00D82BE1">
        <w:rPr>
          <w:rFonts w:cs="Times New Roman"/>
        </w:rPr>
        <w:t>police recruits (cohorts of, 5</w:t>
      </w:r>
      <w:r>
        <w:rPr>
          <w:rFonts w:cs="Times New Roman"/>
        </w:rPr>
        <w:t>2, 100</w:t>
      </w:r>
      <w:r w:rsidRPr="00D82BE1">
        <w:rPr>
          <w:rFonts w:cs="Times New Roman"/>
        </w:rPr>
        <w:t xml:space="preserve"> and 60 to date) supported by an existing AFP officer, </w:t>
      </w:r>
      <w:r w:rsidR="009C5D55">
        <w:rPr>
          <w:rFonts w:cs="Times New Roman"/>
        </w:rPr>
        <w:t xml:space="preserve">and </w:t>
      </w:r>
      <w:r w:rsidR="003A58A1">
        <w:rPr>
          <w:rFonts w:cs="Times New Roman"/>
        </w:rPr>
        <w:t>fund</w:t>
      </w:r>
      <w:r w:rsidR="009C5D55">
        <w:rPr>
          <w:rFonts w:cs="Times New Roman"/>
        </w:rPr>
        <w:t xml:space="preserve">s </w:t>
      </w:r>
      <w:r w:rsidR="003A58A1">
        <w:rPr>
          <w:rFonts w:cs="Times New Roman"/>
        </w:rPr>
        <w:t>committed to</w:t>
      </w:r>
      <w:r w:rsidR="009C5D55">
        <w:rPr>
          <w:rFonts w:cs="Times New Roman"/>
        </w:rPr>
        <w:t xml:space="preserve"> additional </w:t>
      </w:r>
      <w:r w:rsidRPr="00D82BE1">
        <w:rPr>
          <w:rFonts w:cs="Times New Roman"/>
        </w:rPr>
        <w:t>infrastructure (including a fence at the VMF barracks</w:t>
      </w:r>
      <w:r w:rsidR="003A58A1">
        <w:rPr>
          <w:rFonts w:cs="Times New Roman"/>
        </w:rPr>
        <w:t xml:space="preserve">) and </w:t>
      </w:r>
      <w:r w:rsidRPr="00D82BE1">
        <w:rPr>
          <w:rFonts w:cs="Times New Roman"/>
        </w:rPr>
        <w:t>some operational support costs</w:t>
      </w:r>
      <w:r w:rsidR="003A58A1">
        <w:rPr>
          <w:rFonts w:cs="Times New Roman"/>
        </w:rPr>
        <w:t xml:space="preserve"> (including vehicles).  </w:t>
      </w:r>
      <w:r w:rsidRPr="00D82BE1">
        <w:rPr>
          <w:rFonts w:cs="Times New Roman"/>
        </w:rPr>
        <w:t xml:space="preserve">Complementary to these activities, the </w:t>
      </w:r>
      <w:r w:rsidR="003A58A1">
        <w:rPr>
          <w:rFonts w:cs="Times New Roman"/>
        </w:rPr>
        <w:t>ADF</w:t>
      </w:r>
      <w:r w:rsidRPr="00D82BE1">
        <w:rPr>
          <w:rFonts w:cs="Times New Roman"/>
        </w:rPr>
        <w:t xml:space="preserve"> also </w:t>
      </w:r>
      <w:r w:rsidR="003A58A1">
        <w:rPr>
          <w:rFonts w:cs="Times New Roman"/>
        </w:rPr>
        <w:t>supported</w:t>
      </w:r>
      <w:r w:rsidRPr="00D82BE1">
        <w:rPr>
          <w:rFonts w:cs="Times New Roman"/>
        </w:rPr>
        <w:t xml:space="preserve"> training of 100 new recruits for the VMF, and additional infrastructure and training exercises between the ADF and VMF.</w:t>
      </w:r>
      <w:r>
        <w:rPr>
          <w:rFonts w:cs="Times New Roman"/>
        </w:rPr>
        <w:t xml:space="preserve"> </w:t>
      </w:r>
      <w:r w:rsidRPr="00D82BE1">
        <w:rPr>
          <w:rFonts w:cs="Times New Roman"/>
        </w:rPr>
        <w:t xml:space="preserve">These are planned and agreed through regular talks between senior officials, and </w:t>
      </w:r>
      <w:r w:rsidRPr="007C48AA">
        <w:rPr>
          <w:rFonts w:cs="Times New Roman"/>
        </w:rPr>
        <w:t>are delivered with non-Official Development Assistance (ODA) funding.</w:t>
      </w:r>
    </w:p>
    <w:p w14:paraId="4A2A1B57" w14:textId="77777777" w:rsidR="009C5D55" w:rsidRDefault="00E61B78" w:rsidP="000B017A">
      <w:pPr>
        <w:spacing w:after="0" w:line="240" w:lineRule="auto"/>
        <w:jc w:val="both"/>
        <w:rPr>
          <w:rFonts w:cs="Times New Roman"/>
        </w:rPr>
      </w:pPr>
      <w:r w:rsidRPr="009C5D55">
        <w:rPr>
          <w:rFonts w:cs="Times New Roman"/>
          <w:noProof/>
          <w:lang w:eastAsia="en-AU"/>
        </w:rPr>
        <mc:AlternateContent>
          <mc:Choice Requires="wps">
            <w:drawing>
              <wp:anchor distT="45720" distB="45720" distL="114300" distR="114300" simplePos="0" relativeHeight="251711488" behindDoc="0" locked="0" layoutInCell="1" allowOverlap="1" wp14:anchorId="611BF5C3" wp14:editId="08B028AA">
                <wp:simplePos x="0" y="0"/>
                <wp:positionH relativeFrom="page">
                  <wp:posOffset>504825</wp:posOffset>
                </wp:positionH>
                <wp:positionV relativeFrom="paragraph">
                  <wp:posOffset>2862580</wp:posOffset>
                </wp:positionV>
                <wp:extent cx="6667500" cy="44005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4400550"/>
                        </a:xfrm>
                        <a:prstGeom prst="rect">
                          <a:avLst/>
                        </a:prstGeom>
                        <a:solidFill>
                          <a:srgbClr val="FFFFFF"/>
                        </a:solidFill>
                        <a:ln w="9525">
                          <a:solidFill>
                            <a:srgbClr val="000000"/>
                          </a:solidFill>
                          <a:miter lim="800000"/>
                          <a:headEnd/>
                          <a:tailEnd/>
                        </a:ln>
                      </wps:spPr>
                      <wps:txbx>
                        <w:txbxContent>
                          <w:p w14:paraId="4F6A91E0" w14:textId="77777777" w:rsidR="00705D48" w:rsidRDefault="00705D48" w:rsidP="00E61B78">
                            <w:pPr>
                              <w:spacing w:after="0" w:line="240" w:lineRule="auto"/>
                              <w:ind w:left="720" w:firstLine="720"/>
                              <w:rPr>
                                <w:rFonts w:cs="Times New Roman"/>
                                <w:b/>
                                <w:bCs/>
                                <w:i/>
                                <w:iCs/>
                                <w:sz w:val="20"/>
                                <w:szCs w:val="20"/>
                              </w:rPr>
                            </w:pPr>
                            <w:r w:rsidRPr="00A061F2">
                              <w:rPr>
                                <w:rFonts w:cs="Times New Roman"/>
                                <w:b/>
                                <w:bCs/>
                                <w:i/>
                                <w:iCs/>
                                <w:sz w:val="20"/>
                                <w:szCs w:val="20"/>
                              </w:rPr>
                              <w:t>After Step up (June 2018- end)</w:t>
                            </w:r>
                            <w:r>
                              <w:rPr>
                                <w:rFonts w:cs="Times New Roman"/>
                                <w:b/>
                                <w:bCs/>
                                <w:i/>
                                <w:iCs/>
                                <w:sz w:val="20"/>
                                <w:szCs w:val="20"/>
                              </w:rPr>
                              <w:t xml:space="preserve"> </w:t>
                            </w:r>
                            <w:r>
                              <w:rPr>
                                <w:rFonts w:cs="Times New Roman"/>
                                <w:b/>
                                <w:bCs/>
                                <w:i/>
                                <w:iCs/>
                                <w:sz w:val="20"/>
                                <w:szCs w:val="20"/>
                              </w:rPr>
                              <w:tab/>
                            </w:r>
                            <w:r>
                              <w:rPr>
                                <w:rFonts w:cs="Times New Roman"/>
                                <w:b/>
                                <w:bCs/>
                                <w:i/>
                                <w:iCs/>
                                <w:sz w:val="20"/>
                                <w:szCs w:val="20"/>
                              </w:rPr>
                              <w:tab/>
                            </w:r>
                            <w:r>
                              <w:rPr>
                                <w:rFonts w:cs="Times New Roman"/>
                                <w:b/>
                                <w:bCs/>
                                <w:i/>
                                <w:iCs/>
                                <w:sz w:val="20"/>
                                <w:szCs w:val="20"/>
                              </w:rPr>
                              <w:tab/>
                            </w:r>
                            <w:r w:rsidRPr="00A061F2">
                              <w:rPr>
                                <w:rFonts w:cs="Times New Roman"/>
                                <w:b/>
                                <w:bCs/>
                                <w:i/>
                                <w:iCs/>
                                <w:sz w:val="20"/>
                                <w:szCs w:val="20"/>
                              </w:rPr>
                              <w:t>Before Step Up (to June 2018)</w:t>
                            </w:r>
                          </w:p>
                          <w:p w14:paraId="466B0EEC" w14:textId="77777777" w:rsidR="00705D48" w:rsidRPr="009C5D55" w:rsidRDefault="00705D48" w:rsidP="00E61B78">
                            <w:pPr>
                              <w:spacing w:after="0" w:line="240" w:lineRule="auto"/>
                              <w:ind w:firstLine="720"/>
                              <w:rPr>
                                <w:rFonts w:cs="Times New Roman"/>
                                <w:b/>
                                <w:bCs/>
                                <w:i/>
                                <w:iCs/>
                                <w:sz w:val="20"/>
                                <w:szCs w:val="20"/>
                              </w:rPr>
                            </w:pPr>
                            <w:r w:rsidRPr="00EF018A">
                              <w:rPr>
                                <w:noProof/>
                                <w:lang w:eastAsia="en-AU"/>
                              </w:rPr>
                              <w:drawing>
                                <wp:inline distT="0" distB="0" distL="0" distR="0" wp14:anchorId="1B5551A3" wp14:editId="332994F6">
                                  <wp:extent cx="2934335" cy="406737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84178" cy="4136459"/>
                                          </a:xfrm>
                                          <a:prstGeom prst="rect">
                                            <a:avLst/>
                                          </a:prstGeom>
                                          <a:noFill/>
                                          <a:ln>
                                            <a:noFill/>
                                          </a:ln>
                                        </pic:spPr>
                                      </pic:pic>
                                    </a:graphicData>
                                  </a:graphic>
                                </wp:inline>
                              </w:drawing>
                            </w:r>
                            <w:r w:rsidRPr="00A061F2">
                              <w:rPr>
                                <w:noProof/>
                                <w:lang w:eastAsia="en-AU"/>
                              </w:rPr>
                              <w:drawing>
                                <wp:inline distT="0" distB="0" distL="0" distR="0" wp14:anchorId="5D44646D" wp14:editId="23CD993E">
                                  <wp:extent cx="2763280" cy="4069080"/>
                                  <wp:effectExtent l="0" t="0" r="0" b="762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02127" cy="412628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1BF5C3" id="_x0000_s1032" type="#_x0000_t202" style="position:absolute;left:0;text-align:left;margin-left:39.75pt;margin-top:225.4pt;width:525pt;height:346.5pt;z-index:2517114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">
                <v:textbox>
                  <w:txbxContent>
                    <w:p w14:paraId="4F6A91E0" w14:textId="77777777" w:rsidR="00705D48" w:rsidRDefault="00705D48" w:rsidP="00E61B78">
                      <w:pPr>
                        <w:spacing w:after="0" w:line="240" w:lineRule="auto"/>
                        <w:ind w:left="720" w:firstLine="720"/>
                        <w:rPr>
                          <w:rFonts w:cs="Times New Roman"/>
                          <w:b/>
                          <w:bCs/>
                          <w:i/>
                          <w:iCs/>
                          <w:sz w:val="20"/>
                          <w:szCs w:val="20"/>
                        </w:rPr>
                      </w:pPr>
                      <w:r w:rsidRPr="00A061F2">
                        <w:rPr>
                          <w:rFonts w:cs="Times New Roman"/>
                          <w:b/>
                          <w:bCs/>
                          <w:i/>
                          <w:iCs/>
                          <w:sz w:val="20"/>
                          <w:szCs w:val="20"/>
                        </w:rPr>
                        <w:t>After Step up (June 2018- end)</w:t>
                      </w:r>
                      <w:r>
                        <w:rPr>
                          <w:rFonts w:cs="Times New Roman"/>
                          <w:b/>
                          <w:bCs/>
                          <w:i/>
                          <w:iCs/>
                          <w:sz w:val="20"/>
                          <w:szCs w:val="20"/>
                        </w:rPr>
                        <w:t xml:space="preserve"> </w:t>
                      </w:r>
                      <w:r>
                        <w:rPr>
                          <w:rFonts w:cs="Times New Roman"/>
                          <w:b/>
                          <w:bCs/>
                          <w:i/>
                          <w:iCs/>
                          <w:sz w:val="20"/>
                          <w:szCs w:val="20"/>
                        </w:rPr>
                        <w:tab/>
                      </w:r>
                      <w:r>
                        <w:rPr>
                          <w:rFonts w:cs="Times New Roman"/>
                          <w:b/>
                          <w:bCs/>
                          <w:i/>
                          <w:iCs/>
                          <w:sz w:val="20"/>
                          <w:szCs w:val="20"/>
                        </w:rPr>
                        <w:tab/>
                      </w:r>
                      <w:r>
                        <w:rPr>
                          <w:rFonts w:cs="Times New Roman"/>
                          <w:b/>
                          <w:bCs/>
                          <w:i/>
                          <w:iCs/>
                          <w:sz w:val="20"/>
                          <w:szCs w:val="20"/>
                        </w:rPr>
                        <w:tab/>
                      </w:r>
                      <w:r w:rsidRPr="00A061F2">
                        <w:rPr>
                          <w:rFonts w:cs="Times New Roman"/>
                          <w:b/>
                          <w:bCs/>
                          <w:i/>
                          <w:iCs/>
                          <w:sz w:val="20"/>
                          <w:szCs w:val="20"/>
                        </w:rPr>
                        <w:t>Before Step Up (to June 2018)</w:t>
                      </w:r>
                    </w:p>
                    <w:p w14:paraId="466B0EEC" w14:textId="77777777" w:rsidR="00705D48" w:rsidRPr="009C5D55" w:rsidRDefault="00705D48" w:rsidP="00E61B78">
                      <w:pPr>
                        <w:spacing w:after="0" w:line="240" w:lineRule="auto"/>
                        <w:ind w:firstLine="720"/>
                        <w:rPr>
                          <w:rFonts w:cs="Times New Roman"/>
                          <w:b/>
                          <w:bCs/>
                          <w:i/>
                          <w:iCs/>
                          <w:sz w:val="20"/>
                          <w:szCs w:val="20"/>
                        </w:rPr>
                      </w:pPr>
                      <w:r w:rsidRPr="00EF018A">
                        <w:rPr>
                          <w:noProof/>
                          <w:lang w:eastAsia="en-AU"/>
                        </w:rPr>
                        <w:drawing>
                          <wp:inline distT="0" distB="0" distL="0" distR="0" wp14:anchorId="1B5551A3" wp14:editId="332994F6">
                            <wp:extent cx="2934335" cy="406737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84178" cy="4136459"/>
                                    </a:xfrm>
                                    <a:prstGeom prst="rect">
                                      <a:avLst/>
                                    </a:prstGeom>
                                    <a:noFill/>
                                    <a:ln>
                                      <a:noFill/>
                                    </a:ln>
                                  </pic:spPr>
                                </pic:pic>
                              </a:graphicData>
                            </a:graphic>
                          </wp:inline>
                        </w:drawing>
                      </w:r>
                      <w:r w:rsidRPr="00A061F2">
                        <w:rPr>
                          <w:noProof/>
                          <w:lang w:eastAsia="en-AU"/>
                        </w:rPr>
                        <w:drawing>
                          <wp:inline distT="0" distB="0" distL="0" distR="0" wp14:anchorId="5D44646D" wp14:editId="23CD993E">
                            <wp:extent cx="2763280" cy="4069080"/>
                            <wp:effectExtent l="0" t="0" r="0" b="762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02127" cy="4126284"/>
                                    </a:xfrm>
                                    <a:prstGeom prst="rect">
                                      <a:avLst/>
                                    </a:prstGeom>
                                    <a:noFill/>
                                    <a:ln>
                                      <a:noFill/>
                                    </a:ln>
                                  </pic:spPr>
                                </pic:pic>
                              </a:graphicData>
                            </a:graphic>
                          </wp:inline>
                        </w:drawing>
                      </w:r>
                    </w:p>
                  </w:txbxContent>
                </v:textbox>
                <w10:wrap type="square" anchorx="page"/>
              </v:shape>
            </w:pict>
          </mc:Fallback>
        </mc:AlternateContent>
      </w:r>
      <w:r w:rsidR="000B017A" w:rsidRPr="00D82BE1">
        <w:rPr>
          <w:rFonts w:cs="Times New Roman"/>
        </w:rPr>
        <w:t>An analysis was undertaken of the overall program budget across 12 cost categories which reflect like-for-like elements of the Program (where similar activities and approaches were grouped together).</w:t>
      </w:r>
      <w:r w:rsidR="000B017A" w:rsidRPr="00D82BE1">
        <w:rPr>
          <w:rFonts w:cs="Times New Roman"/>
          <w:vertAlign w:val="superscript"/>
        </w:rPr>
        <w:footnoteReference w:id="39"/>
      </w:r>
      <w:r w:rsidR="000B017A" w:rsidRPr="00D82BE1">
        <w:rPr>
          <w:rFonts w:cs="Times New Roman"/>
        </w:rPr>
        <w:t xml:space="preserve"> </w:t>
      </w:r>
      <w:r w:rsidR="007C48AA">
        <w:rPr>
          <w:rFonts w:cs="Times New Roman"/>
        </w:rPr>
        <w:t>(For example, all the capacity development activities for legal offices were grouped together</w:t>
      </w:r>
      <w:r w:rsidR="005F06BC">
        <w:rPr>
          <w:rFonts w:cs="Times New Roman"/>
        </w:rPr>
        <w:t>, the CMS/PIMMS activities were identified as a separate activity</w:t>
      </w:r>
      <w:r w:rsidR="007C48AA">
        <w:rPr>
          <w:rFonts w:cs="Times New Roman"/>
        </w:rPr>
        <w:t xml:space="preserve">). </w:t>
      </w:r>
      <w:r w:rsidR="000B017A" w:rsidRPr="00D82BE1">
        <w:rPr>
          <w:rFonts w:cs="Times New Roman"/>
        </w:rPr>
        <w:t xml:space="preserve">The </w:t>
      </w:r>
      <w:r w:rsidR="000B017A">
        <w:rPr>
          <w:rFonts w:cs="Times New Roman"/>
        </w:rPr>
        <w:t>e</w:t>
      </w:r>
      <w:r w:rsidR="000B017A" w:rsidRPr="00D82BE1">
        <w:rPr>
          <w:rFonts w:cs="Times New Roman"/>
        </w:rPr>
        <w:t>valuation team undertook an assessment of these program elements to rate them according to their contribution towards the long</w:t>
      </w:r>
      <w:r w:rsidR="000B017A">
        <w:rPr>
          <w:rFonts w:cs="Times New Roman"/>
        </w:rPr>
        <w:t>-</w:t>
      </w:r>
      <w:r w:rsidR="000B017A" w:rsidRPr="00D82BE1">
        <w:rPr>
          <w:rFonts w:cs="Times New Roman"/>
        </w:rPr>
        <w:t>term outcomes of the Program (an assessment of their sustainability given the approaches being taken); and undertook an assessment of the quality of implementation to date (quality being assessed according to the nature of the activities and progress to date).</w:t>
      </w:r>
      <w:r w:rsidR="000B017A">
        <w:rPr>
          <w:rFonts w:cs="Times New Roman"/>
        </w:rPr>
        <w:t xml:space="preserve"> </w:t>
      </w:r>
      <w:r w:rsidR="000B017A" w:rsidRPr="00D82BE1">
        <w:rPr>
          <w:rFonts w:cs="Times New Roman"/>
        </w:rPr>
        <w:t xml:space="preserve">The ratings were an aggregation of the individual assessments undertaken across the detail of the </w:t>
      </w:r>
      <w:r w:rsidR="000B017A">
        <w:rPr>
          <w:rFonts w:cs="Times New Roman"/>
        </w:rPr>
        <w:t>P</w:t>
      </w:r>
      <w:r w:rsidR="000B017A" w:rsidRPr="00D82BE1">
        <w:rPr>
          <w:rFonts w:cs="Times New Roman"/>
        </w:rPr>
        <w:t>rogram’s activities used in Finding 1.</w:t>
      </w:r>
      <w:r w:rsidR="000B017A" w:rsidRPr="00D82BE1">
        <w:rPr>
          <w:rFonts w:cs="Times New Roman"/>
          <w:vertAlign w:val="superscript"/>
        </w:rPr>
        <w:footnoteReference w:id="40"/>
      </w:r>
      <w:r w:rsidR="000B017A" w:rsidRPr="00D82BE1">
        <w:rPr>
          <w:rFonts w:cs="Times New Roman"/>
        </w:rPr>
        <w:t xml:space="preserve"> The </w:t>
      </w:r>
      <w:r w:rsidR="000B017A">
        <w:rPr>
          <w:rFonts w:cs="Times New Roman"/>
        </w:rPr>
        <w:t xml:space="preserve">Managing </w:t>
      </w:r>
      <w:r w:rsidR="000B017A" w:rsidRPr="00D82BE1">
        <w:rPr>
          <w:rFonts w:cs="Times New Roman"/>
        </w:rPr>
        <w:t>Contractor provided a budget breakdown by the 12 program elements across a 30-month period (actuals from 2017 and budget to end of 2019)</w:t>
      </w:r>
      <w:r w:rsidR="000B017A" w:rsidRPr="00D82BE1">
        <w:rPr>
          <w:rFonts w:cs="Times New Roman"/>
          <w:vertAlign w:val="superscript"/>
        </w:rPr>
        <w:footnoteReference w:id="41"/>
      </w:r>
      <w:r w:rsidR="000B017A" w:rsidRPr="00D82BE1">
        <w:rPr>
          <w:rFonts w:cs="Times New Roman"/>
        </w:rPr>
        <w:t>. The sustainability (long vs short</w:t>
      </w:r>
      <w:r w:rsidR="000B017A">
        <w:rPr>
          <w:rFonts w:cs="Times New Roman"/>
        </w:rPr>
        <w:t>-</w:t>
      </w:r>
      <w:r w:rsidR="000B017A" w:rsidRPr="00D82BE1">
        <w:rPr>
          <w:rFonts w:cs="Times New Roman"/>
        </w:rPr>
        <w:t xml:space="preserve">term approaches) and quality (poor to high) were represented in relation to the relative value of the elements. This shows that </w:t>
      </w:r>
      <w:r w:rsidR="009C5D55">
        <w:rPr>
          <w:rFonts w:cs="Times New Roman"/>
        </w:rPr>
        <w:t>any</w:t>
      </w:r>
      <w:r w:rsidR="000B017A" w:rsidRPr="00D82BE1">
        <w:rPr>
          <w:rFonts w:cs="Times New Roman"/>
        </w:rPr>
        <w:t xml:space="preserve"> diversion of resources and attention from the Step Up and </w:t>
      </w:r>
      <w:r w:rsidR="009C5D55">
        <w:rPr>
          <w:rFonts w:cs="Times New Roman"/>
        </w:rPr>
        <w:t>enhanced engagement</w:t>
      </w:r>
      <w:r w:rsidR="000B017A" w:rsidRPr="00D82BE1">
        <w:rPr>
          <w:rFonts w:cs="Times New Roman"/>
        </w:rPr>
        <w:t xml:space="preserve"> has driven the </w:t>
      </w:r>
      <w:r w:rsidR="000B017A">
        <w:rPr>
          <w:rFonts w:cs="Times New Roman"/>
        </w:rPr>
        <w:t>P</w:t>
      </w:r>
      <w:r w:rsidR="000B017A" w:rsidRPr="00D82BE1">
        <w:rPr>
          <w:rFonts w:cs="Times New Roman"/>
        </w:rPr>
        <w:t xml:space="preserve">rogram </w:t>
      </w:r>
      <w:r w:rsidR="00A061F2">
        <w:rPr>
          <w:rFonts w:cs="Times New Roman"/>
        </w:rPr>
        <w:t xml:space="preserve">only slightly </w:t>
      </w:r>
      <w:r w:rsidR="000B017A" w:rsidRPr="00D82BE1">
        <w:rPr>
          <w:rFonts w:cs="Times New Roman"/>
        </w:rPr>
        <w:t>towards a more operational and short-term focus, noting that the quality/progress to date has typically been above 4 (on the DFAT quality rating scale of 1-6).</w:t>
      </w:r>
    </w:p>
    <w:p w14:paraId="4C67AD6D" w14:textId="77777777" w:rsidR="009C5D55" w:rsidRDefault="009C5D55" w:rsidP="000B017A">
      <w:pPr>
        <w:spacing w:after="0" w:line="240" w:lineRule="auto"/>
        <w:jc w:val="both"/>
        <w:rPr>
          <w:rFonts w:cs="Times New Roman"/>
        </w:rPr>
      </w:pPr>
    </w:p>
    <w:p w14:paraId="4074F9C0" w14:textId="77777777" w:rsidR="009C5D55" w:rsidRPr="00D82BE1" w:rsidRDefault="009C5D55" w:rsidP="009C5D55">
      <w:pPr>
        <w:spacing w:after="0" w:line="240" w:lineRule="auto"/>
        <w:jc w:val="both"/>
        <w:rPr>
          <w:rFonts w:cs="Times New Roman"/>
        </w:rPr>
      </w:pPr>
      <w:r w:rsidRPr="00D82BE1">
        <w:rPr>
          <w:rFonts w:cs="Times New Roman"/>
        </w:rPr>
        <w:t xml:space="preserve">This can be compared to the original intention of the design, which had a </w:t>
      </w:r>
      <w:r>
        <w:rPr>
          <w:rFonts w:cs="Times New Roman"/>
        </w:rPr>
        <w:t xml:space="preserve">somewhat </w:t>
      </w:r>
      <w:r w:rsidRPr="00D82BE1">
        <w:rPr>
          <w:rFonts w:cs="Times New Roman"/>
        </w:rPr>
        <w:t xml:space="preserve">more balanced spread of activity types towards long and short-term approaches. </w:t>
      </w:r>
    </w:p>
    <w:p w14:paraId="629E1BB5" w14:textId="77777777" w:rsidR="009C5D55" w:rsidRDefault="009C5D55" w:rsidP="000B017A">
      <w:pPr>
        <w:spacing w:after="0" w:line="240" w:lineRule="auto"/>
        <w:rPr>
          <w:rFonts w:cs="Times New Roman"/>
        </w:rPr>
      </w:pPr>
    </w:p>
    <w:p w14:paraId="6699CA3D" w14:textId="77777777" w:rsidR="000B017A" w:rsidRPr="00D82BE1" w:rsidRDefault="000B017A" w:rsidP="000B017A">
      <w:pPr>
        <w:spacing w:line="240" w:lineRule="auto"/>
        <w:jc w:val="both"/>
        <w:rPr>
          <w:rFonts w:cs="Times New Roman"/>
        </w:rPr>
      </w:pPr>
      <w:r w:rsidRPr="00D82BE1">
        <w:rPr>
          <w:rFonts w:cs="Times New Roman"/>
        </w:rPr>
        <w:t xml:space="preserve">This </w:t>
      </w:r>
      <w:r w:rsidR="009C5D55">
        <w:rPr>
          <w:rFonts w:cs="Times New Roman"/>
        </w:rPr>
        <w:t>allocation of</w:t>
      </w:r>
      <w:r w:rsidRPr="00D82BE1">
        <w:rPr>
          <w:rFonts w:cs="Times New Roman"/>
        </w:rPr>
        <w:t xml:space="preserve"> priorities and resources is well </w:t>
      </w:r>
      <w:r w:rsidR="009C5D55">
        <w:rPr>
          <w:rFonts w:cs="Times New Roman"/>
        </w:rPr>
        <w:t>understood</w:t>
      </w:r>
      <w:r w:rsidRPr="00D82BE1">
        <w:rPr>
          <w:rFonts w:cs="Times New Roman"/>
        </w:rPr>
        <w:t xml:space="preserve"> by stakeholders, including DFAT Post, the </w:t>
      </w:r>
      <w:proofErr w:type="spellStart"/>
      <w:r w:rsidRPr="00D82BE1">
        <w:rPr>
          <w:rFonts w:cs="Times New Roman"/>
        </w:rPr>
        <w:t>GoV</w:t>
      </w:r>
      <w:proofErr w:type="spellEnd"/>
      <w:r w:rsidRPr="00D82BE1">
        <w:rPr>
          <w:rFonts w:cs="Times New Roman"/>
        </w:rPr>
        <w:t xml:space="preserve"> and implementers</w:t>
      </w:r>
      <w:r w:rsidRPr="00D82BE1">
        <w:rPr>
          <w:rFonts w:cs="Times New Roman"/>
          <w:vertAlign w:val="superscript"/>
        </w:rPr>
        <w:footnoteReference w:id="42"/>
      </w:r>
      <w:r w:rsidRPr="00D82BE1">
        <w:rPr>
          <w:rFonts w:cs="Times New Roman"/>
        </w:rPr>
        <w:t xml:space="preserve">. The rationale for the </w:t>
      </w:r>
      <w:r w:rsidR="00D80130">
        <w:rPr>
          <w:rFonts w:cs="Times New Roman"/>
        </w:rPr>
        <w:t>emphasis</w:t>
      </w:r>
      <w:r w:rsidRPr="00D82BE1">
        <w:rPr>
          <w:rFonts w:cs="Times New Roman"/>
        </w:rPr>
        <w:t xml:space="preserve"> in priorities and resources is well-founded.</w:t>
      </w:r>
      <w:r>
        <w:rPr>
          <w:rFonts w:cs="Times New Roman"/>
        </w:rPr>
        <w:t xml:space="preserve"> </w:t>
      </w:r>
      <w:r w:rsidRPr="00D82BE1">
        <w:rPr>
          <w:rFonts w:cs="Times New Roman"/>
        </w:rPr>
        <w:t xml:space="preserve">The Minister </w:t>
      </w:r>
      <w:r>
        <w:rPr>
          <w:rFonts w:cs="Times New Roman"/>
        </w:rPr>
        <w:t>of Internal</w:t>
      </w:r>
      <w:r w:rsidRPr="00D82BE1">
        <w:rPr>
          <w:rFonts w:cs="Times New Roman"/>
        </w:rPr>
        <w:t xml:space="preserve"> Affairs is an active and enthusiastic Minister of the </w:t>
      </w:r>
      <w:proofErr w:type="spellStart"/>
      <w:r w:rsidRPr="00D82BE1">
        <w:rPr>
          <w:rFonts w:cs="Times New Roman"/>
        </w:rPr>
        <w:t>GoV</w:t>
      </w:r>
      <w:proofErr w:type="spellEnd"/>
      <w:r w:rsidRPr="00D82BE1">
        <w:rPr>
          <w:rFonts w:cs="Times New Roman"/>
        </w:rPr>
        <w:t xml:space="preserve"> who is keen to build the VPF operational capacity to ensure that the </w:t>
      </w:r>
      <w:r>
        <w:rPr>
          <w:rFonts w:cs="Times New Roman"/>
        </w:rPr>
        <w:t>F</w:t>
      </w:r>
      <w:r w:rsidRPr="00D82BE1">
        <w:rPr>
          <w:rFonts w:cs="Times New Roman"/>
        </w:rPr>
        <w:t>orce increases from 580 to 900 officers</w:t>
      </w:r>
      <w:r>
        <w:rPr>
          <w:rFonts w:cs="Times New Roman"/>
        </w:rPr>
        <w:t xml:space="preserve"> as specified in Vanuatu’s National Sustainable Development Plan</w:t>
      </w:r>
      <w:r w:rsidRPr="00D82BE1">
        <w:rPr>
          <w:rFonts w:cs="Times New Roman"/>
        </w:rPr>
        <w:t xml:space="preserve">, and to enable </w:t>
      </w:r>
      <w:r w:rsidRPr="00A061F2">
        <w:rPr>
          <w:rFonts w:cs="Times New Roman"/>
        </w:rPr>
        <w:t>all 7</w:t>
      </w:r>
      <w:r w:rsidR="00894948" w:rsidRPr="00A061F2">
        <w:rPr>
          <w:rFonts w:cs="Times New Roman"/>
        </w:rPr>
        <w:t>2</w:t>
      </w:r>
      <w:r w:rsidRPr="00A061F2">
        <w:rPr>
          <w:rFonts w:cs="Times New Roman"/>
        </w:rPr>
        <w:t xml:space="preserve"> Area</w:t>
      </w:r>
      <w:r w:rsidRPr="00D82BE1">
        <w:rPr>
          <w:rFonts w:cs="Times New Roman"/>
        </w:rPr>
        <w:t xml:space="preserve"> Councils to have police presence. This is an important political initiative that Australia is </w:t>
      </w:r>
      <w:r w:rsidR="00D8742B">
        <w:rPr>
          <w:rFonts w:cs="Times New Roman"/>
        </w:rPr>
        <w:t>supporting</w:t>
      </w:r>
      <w:r w:rsidRPr="00D82BE1">
        <w:rPr>
          <w:rFonts w:cs="Times New Roman"/>
        </w:rPr>
        <w:t xml:space="preserve"> in line with its strategic priorities, and fits within the mandate of the Program. The basic infrastructure (such as the </w:t>
      </w:r>
      <w:proofErr w:type="spellStart"/>
      <w:r w:rsidRPr="00D82BE1">
        <w:rPr>
          <w:rFonts w:cs="Times New Roman"/>
        </w:rPr>
        <w:t>Malekula</w:t>
      </w:r>
      <w:proofErr w:type="spellEnd"/>
      <w:r w:rsidRPr="00D82BE1">
        <w:rPr>
          <w:rFonts w:cs="Times New Roman"/>
        </w:rPr>
        <w:t xml:space="preserve"> police station) and vehicles, support basic operational capability required for effective policing to the community. These activities are </w:t>
      </w:r>
      <w:r>
        <w:rPr>
          <w:rFonts w:cs="Times New Roman"/>
        </w:rPr>
        <w:t xml:space="preserve">an </w:t>
      </w:r>
      <w:r w:rsidRPr="00D82BE1">
        <w:rPr>
          <w:rFonts w:cs="Times New Roman"/>
        </w:rPr>
        <w:t xml:space="preserve">extension of the original intention of the design, which had already included provision of operational support costs as part of the </w:t>
      </w:r>
      <w:r>
        <w:rPr>
          <w:rFonts w:cs="Times New Roman"/>
        </w:rPr>
        <w:t>P</w:t>
      </w:r>
      <w:r w:rsidRPr="00D82BE1">
        <w:rPr>
          <w:rFonts w:cs="Times New Roman"/>
        </w:rPr>
        <w:t xml:space="preserve">rogram. However, the original design did not recognise the </w:t>
      </w:r>
      <w:r>
        <w:rPr>
          <w:rFonts w:cs="Times New Roman"/>
        </w:rPr>
        <w:t xml:space="preserve">need for </w:t>
      </w:r>
      <w:r w:rsidRPr="00D82BE1">
        <w:rPr>
          <w:rFonts w:cs="Times New Roman"/>
        </w:rPr>
        <w:t>‘balance’ of operational support costs to long</w:t>
      </w:r>
      <w:r>
        <w:rPr>
          <w:rFonts w:cs="Times New Roman"/>
        </w:rPr>
        <w:t>-</w:t>
      </w:r>
      <w:r w:rsidRPr="00D82BE1">
        <w:rPr>
          <w:rFonts w:cs="Times New Roman"/>
        </w:rPr>
        <w:t>term capacity building objectives, nor articulate how these activities contributed to the program logic.</w:t>
      </w:r>
    </w:p>
    <w:p w14:paraId="34F07E0C" w14:textId="77777777" w:rsidR="000B017A" w:rsidRPr="00D82BE1" w:rsidRDefault="000B017A" w:rsidP="000B017A">
      <w:pPr>
        <w:spacing w:line="240" w:lineRule="auto"/>
        <w:jc w:val="both"/>
        <w:rPr>
          <w:rFonts w:cs="Times New Roman"/>
        </w:rPr>
      </w:pPr>
      <w:r>
        <w:rPr>
          <w:rFonts w:cs="Times New Roman"/>
        </w:rPr>
        <w:t>Recent P</w:t>
      </w:r>
      <w:r w:rsidRPr="00D82BE1">
        <w:rPr>
          <w:rFonts w:cs="Times New Roman"/>
        </w:rPr>
        <w:t>rogram reporting has had a strong emphasis on the activities of the Step Up</w:t>
      </w:r>
      <w:r w:rsidR="00D80130">
        <w:rPr>
          <w:rFonts w:cs="Times New Roman"/>
        </w:rPr>
        <w:t xml:space="preserve"> and enhanced security cooperation</w:t>
      </w:r>
      <w:r w:rsidRPr="00D82BE1">
        <w:rPr>
          <w:rFonts w:cs="Times New Roman"/>
        </w:rPr>
        <w:t>, and consistently argued for the need for ongoing operational support costs, particularly</w:t>
      </w:r>
      <w:r w:rsidR="00D80130">
        <w:rPr>
          <w:rFonts w:cs="Times New Roman"/>
        </w:rPr>
        <w:t xml:space="preserve"> in</w:t>
      </w:r>
      <w:r w:rsidRPr="00D82BE1">
        <w:rPr>
          <w:rFonts w:cs="Times New Roman"/>
        </w:rPr>
        <w:t xml:space="preserve"> the separate AFP progress reporting.</w:t>
      </w:r>
      <w:r w:rsidRPr="00D82BE1">
        <w:rPr>
          <w:rFonts w:cs="Times New Roman"/>
          <w:vertAlign w:val="superscript"/>
        </w:rPr>
        <w:footnoteReference w:id="43"/>
      </w:r>
      <w:r w:rsidRPr="00D82BE1">
        <w:rPr>
          <w:rFonts w:cs="Times New Roman"/>
        </w:rPr>
        <w:t xml:space="preserve"> This reporting has not, however, identified the issue of the trade-off between </w:t>
      </w:r>
      <w:proofErr w:type="gramStart"/>
      <w:r w:rsidRPr="00D82BE1">
        <w:rPr>
          <w:rFonts w:cs="Times New Roman"/>
        </w:rPr>
        <w:t>provision</w:t>
      </w:r>
      <w:proofErr w:type="gramEnd"/>
      <w:r w:rsidRPr="00D82BE1">
        <w:rPr>
          <w:rFonts w:cs="Times New Roman"/>
        </w:rPr>
        <w:t xml:space="preserve"> of short-term support to long</w:t>
      </w:r>
      <w:r>
        <w:rPr>
          <w:rFonts w:cs="Times New Roman"/>
        </w:rPr>
        <w:t>-</w:t>
      </w:r>
      <w:r w:rsidRPr="00D82BE1">
        <w:rPr>
          <w:rFonts w:cs="Times New Roman"/>
        </w:rPr>
        <w:t xml:space="preserve">term capacity development. There are some activities of the Program for which ongoing operational and Adviser support is critical and necessary. This would include the support to the Professional Standards Unit (which would be unlikely to have internal and external political support and coverage for its highly sensitive work without external budget and visibility), and to the </w:t>
      </w:r>
      <w:r>
        <w:rPr>
          <w:rFonts w:cs="Times New Roman"/>
        </w:rPr>
        <w:t>VPF FPU</w:t>
      </w:r>
      <w:r w:rsidRPr="00D82BE1">
        <w:rPr>
          <w:rFonts w:cs="Times New Roman"/>
        </w:rPr>
        <w:t xml:space="preserve"> (without which the priority and attention on victims of </w:t>
      </w:r>
      <w:r w:rsidR="00D8742B">
        <w:rPr>
          <w:rFonts w:cs="Times New Roman"/>
        </w:rPr>
        <w:t xml:space="preserve">family violence and </w:t>
      </w:r>
      <w:r w:rsidRPr="00D82BE1">
        <w:rPr>
          <w:rFonts w:cs="Times New Roman"/>
        </w:rPr>
        <w:t xml:space="preserve">sexual assault may not be prioritised). There are also areas of the </w:t>
      </w:r>
      <w:r>
        <w:rPr>
          <w:rFonts w:cs="Times New Roman"/>
        </w:rPr>
        <w:t>P</w:t>
      </w:r>
      <w:r w:rsidRPr="00D82BE1">
        <w:rPr>
          <w:rFonts w:cs="Times New Roman"/>
        </w:rPr>
        <w:t xml:space="preserve">rogram which have operational support budgets for the </w:t>
      </w:r>
      <w:proofErr w:type="spellStart"/>
      <w:r w:rsidRPr="00D82BE1">
        <w:rPr>
          <w:rFonts w:cs="Times New Roman"/>
        </w:rPr>
        <w:t>GoV</w:t>
      </w:r>
      <w:proofErr w:type="spellEnd"/>
      <w:r w:rsidRPr="00D82BE1">
        <w:rPr>
          <w:rFonts w:cs="Times New Roman"/>
        </w:rPr>
        <w:t xml:space="preserve">, but the Adviser approach and way of working leans more towards long-term sustainable change. The operational support provided to the </w:t>
      </w:r>
      <w:r>
        <w:rPr>
          <w:rFonts w:cs="Times New Roman"/>
        </w:rPr>
        <w:t>MJCS</w:t>
      </w:r>
      <w:r w:rsidRPr="00D82BE1">
        <w:rPr>
          <w:rFonts w:cs="Times New Roman"/>
        </w:rPr>
        <w:t xml:space="preserve"> largely supports locally generated initiatives that operate at a sector level or organisational capacity buildin</w:t>
      </w:r>
      <w:r w:rsidR="004910F3">
        <w:rPr>
          <w:rFonts w:cs="Times New Roman"/>
        </w:rPr>
        <w:t>g,</w:t>
      </w:r>
      <w:r w:rsidRPr="00D82BE1">
        <w:rPr>
          <w:rFonts w:cs="Times New Roman"/>
        </w:rPr>
        <w:t xml:space="preserve"> and the advis</w:t>
      </w:r>
      <w:r>
        <w:rPr>
          <w:rFonts w:cs="Times New Roman"/>
        </w:rPr>
        <w:t>e</w:t>
      </w:r>
      <w:r w:rsidRPr="00D82BE1">
        <w:rPr>
          <w:rFonts w:cs="Times New Roman"/>
        </w:rPr>
        <w:t xml:space="preserve">r support at Northern Command works across the organisation of the VPF units to mobilise internal reform, </w:t>
      </w:r>
      <w:r w:rsidRPr="00992506">
        <w:rPr>
          <w:rFonts w:cs="Times New Roman"/>
        </w:rPr>
        <w:t>change</w:t>
      </w:r>
      <w:r w:rsidRPr="00D82BE1">
        <w:rPr>
          <w:rFonts w:cs="Times New Roman"/>
        </w:rPr>
        <w:t xml:space="preserve"> practices and </w:t>
      </w:r>
      <w:r w:rsidR="00992506">
        <w:rPr>
          <w:rFonts w:cs="Times New Roman"/>
        </w:rPr>
        <w:t xml:space="preserve">implement </w:t>
      </w:r>
      <w:r w:rsidRPr="00D82BE1">
        <w:rPr>
          <w:rFonts w:cs="Times New Roman"/>
        </w:rPr>
        <w:t>new initiatives, rather than supplement recurrent budgets. There are also some areas where there are missed opportunities to elevate the short-term support into a long-term sustainable change.</w:t>
      </w:r>
      <w:r>
        <w:rPr>
          <w:rFonts w:cs="Times New Roman"/>
        </w:rPr>
        <w:t xml:space="preserve"> </w:t>
      </w:r>
      <w:r w:rsidRPr="00D82BE1">
        <w:rPr>
          <w:rFonts w:cs="Times New Roman"/>
        </w:rPr>
        <w:t xml:space="preserve">For example, the support for the Case Management Systems (CMS) has reached a strong point of operational capability across different police and justice agencies, but is </w:t>
      </w:r>
      <w:r>
        <w:rPr>
          <w:rFonts w:cs="Times New Roman"/>
        </w:rPr>
        <w:t>highly</w:t>
      </w:r>
      <w:r w:rsidRPr="00D82BE1">
        <w:rPr>
          <w:rFonts w:cs="Times New Roman"/>
        </w:rPr>
        <w:t xml:space="preserve"> dependent on Program support. </w:t>
      </w:r>
      <w:r w:rsidR="00D80130">
        <w:rPr>
          <w:rFonts w:cs="Times New Roman"/>
        </w:rPr>
        <w:t>The</w:t>
      </w:r>
      <w:r w:rsidRPr="00D82BE1">
        <w:rPr>
          <w:rFonts w:cs="Times New Roman"/>
        </w:rPr>
        <w:t xml:space="preserve"> process of securing </w:t>
      </w:r>
      <w:proofErr w:type="spellStart"/>
      <w:r w:rsidRPr="00D82BE1">
        <w:rPr>
          <w:rFonts w:cs="Times New Roman"/>
        </w:rPr>
        <w:t>GoV</w:t>
      </w:r>
      <w:proofErr w:type="spellEnd"/>
      <w:r w:rsidRPr="00D82BE1">
        <w:rPr>
          <w:rFonts w:cs="Times New Roman"/>
        </w:rPr>
        <w:t xml:space="preserve"> ongoing recurrent budget and building internal maintenance capacity has </w:t>
      </w:r>
      <w:r w:rsidR="00D80130">
        <w:rPr>
          <w:rFonts w:cs="Times New Roman"/>
        </w:rPr>
        <w:t xml:space="preserve">only just begun to </w:t>
      </w:r>
      <w:r w:rsidRPr="00D82BE1">
        <w:rPr>
          <w:rFonts w:cs="Times New Roman"/>
        </w:rPr>
        <w:t xml:space="preserve">be taken forward. </w:t>
      </w:r>
    </w:p>
    <w:p w14:paraId="09205DD1" w14:textId="77777777" w:rsidR="000B017A" w:rsidRPr="00D82BE1" w:rsidRDefault="000B017A" w:rsidP="000B017A">
      <w:pPr>
        <w:spacing w:line="240" w:lineRule="auto"/>
        <w:jc w:val="both"/>
        <w:rPr>
          <w:rFonts w:cs="Times New Roman"/>
        </w:rPr>
      </w:pPr>
      <w:r w:rsidRPr="00D82BE1">
        <w:rPr>
          <w:rFonts w:cs="Times New Roman"/>
        </w:rPr>
        <w:t xml:space="preserve">There is strong feedback from the community that a basic operational police capability, and particularly a regular presence, is important to them. The </w:t>
      </w:r>
      <w:r w:rsidR="00D80130">
        <w:rPr>
          <w:rFonts w:cs="Times New Roman"/>
        </w:rPr>
        <w:t>Authorised Persons</w:t>
      </w:r>
      <w:r w:rsidRPr="00D82BE1">
        <w:rPr>
          <w:rFonts w:cs="Times New Roman"/>
        </w:rPr>
        <w:t xml:space="preserve"> evaluation found that in almost all pilot locations there was a reported increase in perceptions of safety and security. This was especially the case where there were also police rotations, although this also featured in sites where there were not strong links with police. Having someone in the community who could respond to problems was said to be a significant factor in helping communities feel safer, particularly women and children. As expressed by community members “</w:t>
      </w:r>
      <w:r w:rsidRPr="00D82BE1">
        <w:rPr>
          <w:rFonts w:cs="Times New Roman"/>
          <w:i/>
        </w:rPr>
        <w:t>It’s safer now for children and women – and girls can walk at night</w:t>
      </w:r>
      <w:r w:rsidRPr="00D82BE1">
        <w:rPr>
          <w:rFonts w:cs="Times New Roman"/>
        </w:rPr>
        <w:t>, and “</w:t>
      </w:r>
      <w:r w:rsidRPr="00D82BE1">
        <w:rPr>
          <w:rFonts w:cs="Times New Roman"/>
          <w:i/>
        </w:rPr>
        <w:t>Before, our community was not safe, but I’ve noticed things changing. Mothers and children are safe</w:t>
      </w:r>
      <w:r w:rsidRPr="00D82BE1">
        <w:rPr>
          <w:rFonts w:cs="Times New Roman"/>
        </w:rPr>
        <w:t>”</w:t>
      </w:r>
      <w:r w:rsidRPr="00D82BE1">
        <w:rPr>
          <w:rFonts w:cs="Times New Roman"/>
          <w:vertAlign w:val="superscript"/>
        </w:rPr>
        <w:footnoteReference w:id="44"/>
      </w:r>
      <w:r w:rsidRPr="00D82BE1">
        <w:rPr>
          <w:rFonts w:cs="Times New Roman"/>
        </w:rPr>
        <w:t>.</w:t>
      </w:r>
      <w:r w:rsidRPr="00D82BE1">
        <w:rPr>
          <w:rFonts w:cs="Times New Roman"/>
          <w:color w:val="002060"/>
          <w:sz w:val="24"/>
          <w:szCs w:val="24"/>
        </w:rPr>
        <w:t xml:space="preserve"> </w:t>
      </w:r>
      <w:r w:rsidRPr="00D82BE1">
        <w:rPr>
          <w:rFonts w:cs="Times New Roman"/>
        </w:rPr>
        <w:t xml:space="preserve">The </w:t>
      </w:r>
      <w:r>
        <w:rPr>
          <w:rFonts w:cs="Times New Roman"/>
        </w:rPr>
        <w:t>AP</w:t>
      </w:r>
      <w:r w:rsidRPr="00D82BE1">
        <w:rPr>
          <w:rFonts w:cs="Times New Roman"/>
        </w:rPr>
        <w:t xml:space="preserve"> project and outreach by justice agencies to build community awareness</w:t>
      </w:r>
      <w:r>
        <w:rPr>
          <w:rFonts w:cs="Times New Roman"/>
        </w:rPr>
        <w:t xml:space="preserve"> (e.g. </w:t>
      </w:r>
      <w:proofErr w:type="spellStart"/>
      <w:r>
        <w:rPr>
          <w:rFonts w:cs="Times New Roman"/>
        </w:rPr>
        <w:t>Malekula</w:t>
      </w:r>
      <w:proofErr w:type="spellEnd"/>
      <w:r>
        <w:rPr>
          <w:rFonts w:cs="Times New Roman"/>
        </w:rPr>
        <w:t xml:space="preserve"> work)</w:t>
      </w:r>
      <w:r w:rsidRPr="00D82BE1">
        <w:rPr>
          <w:rFonts w:cs="Times New Roman"/>
        </w:rPr>
        <w:t xml:space="preserve"> are well received and valued by communities, and especially so when backed up by regular police officer visits. Presently, all this community level outreach</w:t>
      </w:r>
      <w:r w:rsidR="00D8742B">
        <w:rPr>
          <w:rFonts w:cs="Times New Roman"/>
        </w:rPr>
        <w:t>, including police rotations, are</w:t>
      </w:r>
      <w:r w:rsidRPr="00D82BE1">
        <w:rPr>
          <w:rFonts w:cs="Times New Roman"/>
        </w:rPr>
        <w:t xml:space="preserve"> supported by the </w:t>
      </w:r>
      <w:r w:rsidR="00D8742B">
        <w:rPr>
          <w:rFonts w:cs="Times New Roman"/>
        </w:rPr>
        <w:t>Program</w:t>
      </w:r>
      <w:r w:rsidR="00D8742B" w:rsidRPr="00D82BE1">
        <w:rPr>
          <w:rFonts w:cs="Times New Roman"/>
        </w:rPr>
        <w:t xml:space="preserve"> </w:t>
      </w:r>
      <w:r w:rsidRPr="00D82BE1">
        <w:rPr>
          <w:rFonts w:cs="Times New Roman"/>
        </w:rPr>
        <w:t>through operational support costs (for transport, fuel</w:t>
      </w:r>
      <w:r>
        <w:rPr>
          <w:rFonts w:cs="Times New Roman"/>
        </w:rPr>
        <w:t xml:space="preserve"> and</w:t>
      </w:r>
      <w:r w:rsidRPr="00D82BE1">
        <w:rPr>
          <w:rFonts w:cs="Times New Roman"/>
        </w:rPr>
        <w:t xml:space="preserve"> per diems) and would not be undertaken otherwise. While it is clearly not sustainable, it is critical for building community confidence in security and safety. </w:t>
      </w:r>
    </w:p>
    <w:tbl>
      <w:tblPr>
        <w:tblStyle w:val="TableGrid11"/>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9016"/>
      </w:tblGrid>
      <w:tr w:rsidR="000B017A" w:rsidRPr="00D82BE1" w14:paraId="0E93A27E" w14:textId="77777777" w:rsidTr="009724CE">
        <w:tc>
          <w:tcPr>
            <w:tcW w:w="9016" w:type="dxa"/>
            <w:shd w:val="clear" w:color="auto" w:fill="F3F5F7"/>
          </w:tcPr>
          <w:p w14:paraId="39BBCB08" w14:textId="77777777" w:rsidR="000B017A" w:rsidRPr="00D82BE1" w:rsidRDefault="000B017A" w:rsidP="009724CE">
            <w:pPr>
              <w:shd w:val="clear" w:color="auto" w:fill="F3F5F7"/>
              <w:tabs>
                <w:tab w:val="left" w:pos="5954"/>
              </w:tabs>
              <w:rPr>
                <w:b/>
                <w:bCs/>
              </w:rPr>
            </w:pPr>
            <w:bookmarkStart w:id="39" w:name="_Hlk21698787"/>
            <w:r w:rsidRPr="00D82BE1">
              <w:rPr>
                <w:b/>
                <w:bCs/>
              </w:rPr>
              <w:t xml:space="preserve">Recommendation </w:t>
            </w:r>
            <w:r>
              <w:rPr>
                <w:b/>
                <w:bCs/>
              </w:rPr>
              <w:t>3</w:t>
            </w:r>
          </w:p>
          <w:p w14:paraId="7468BCE8" w14:textId="77777777" w:rsidR="00D6008B" w:rsidRPr="00D82BE1" w:rsidRDefault="00D6008B" w:rsidP="009724CE">
            <w:pPr>
              <w:shd w:val="clear" w:color="auto" w:fill="F3F5F7"/>
              <w:tabs>
                <w:tab w:val="left" w:pos="5954"/>
              </w:tabs>
              <w:spacing w:after="100"/>
              <w:jc w:val="both"/>
            </w:pPr>
            <w:r>
              <w:t xml:space="preserve">The next phase of the Program should </w:t>
            </w:r>
            <w:proofErr w:type="spellStart"/>
            <w:r>
              <w:t>recognise</w:t>
            </w:r>
            <w:proofErr w:type="spellEnd"/>
            <w:r>
              <w:t xml:space="preserve"> explicitly the contribution that the Program makes towards supporting the </w:t>
            </w:r>
            <w:proofErr w:type="spellStart"/>
            <w:r>
              <w:t>GoV</w:t>
            </w:r>
            <w:proofErr w:type="spellEnd"/>
            <w:r>
              <w:t xml:space="preserve"> to maintain confidence of the public in stability and security in its outcome statements, and maintain a balance between short term gains and building momentum for long term sustainable change.  </w:t>
            </w:r>
          </w:p>
          <w:bookmarkEnd w:id="39"/>
          <w:p w14:paraId="712409AA" w14:textId="77777777" w:rsidR="000B017A" w:rsidRPr="00D80130" w:rsidRDefault="000B017A" w:rsidP="00D80130">
            <w:pPr>
              <w:pStyle w:val="ListParagraph"/>
              <w:numPr>
                <w:ilvl w:val="1"/>
                <w:numId w:val="40"/>
              </w:numPr>
              <w:jc w:val="both"/>
              <w:rPr>
                <w:sz w:val="2"/>
                <w:szCs w:val="2"/>
              </w:rPr>
            </w:pPr>
          </w:p>
        </w:tc>
      </w:tr>
    </w:tbl>
    <w:p w14:paraId="50CD6642" w14:textId="77777777" w:rsidR="00A061F2" w:rsidRDefault="00A061F2" w:rsidP="000059AB">
      <w:pPr>
        <w:spacing w:after="0"/>
        <w:jc w:val="both"/>
        <w:rPr>
          <w:rFonts w:ascii="Calibri" w:eastAsia="Calibri" w:hAnsi="Calibri" w:cs="Times New Roman"/>
          <w:b/>
        </w:rPr>
      </w:pPr>
    </w:p>
    <w:p w14:paraId="72D8CB70" w14:textId="77777777" w:rsidR="00D80130" w:rsidRDefault="00D80130" w:rsidP="00D80130">
      <w:pPr>
        <w:spacing w:line="240" w:lineRule="auto"/>
        <w:jc w:val="both"/>
        <w:rPr>
          <w:rFonts w:ascii="Calibri" w:eastAsia="Calibri" w:hAnsi="Calibri" w:cs="Times New Roman"/>
          <w:b/>
        </w:rPr>
      </w:pPr>
      <w:r w:rsidRPr="00D80130">
        <w:t xml:space="preserve">The Program </w:t>
      </w:r>
      <w:r>
        <w:t>c</w:t>
      </w:r>
      <w:r w:rsidRPr="00D80130">
        <w:t>ould consider how to enhance the capacity development and sustainability aspects of parts of</w:t>
      </w:r>
      <w:r w:rsidR="005F3519">
        <w:t xml:space="preserve"> the</w:t>
      </w:r>
      <w:r w:rsidRPr="00D80130">
        <w:t xml:space="preserve"> Program that inherently substitute for lack of </w:t>
      </w:r>
      <w:proofErr w:type="spellStart"/>
      <w:r w:rsidRPr="00D80130">
        <w:t>GoV</w:t>
      </w:r>
      <w:proofErr w:type="spellEnd"/>
      <w:r w:rsidRPr="00D80130">
        <w:t xml:space="preserve"> recurrent funding (infrastructure, vehicles, fuel, other operational costs) by adopting good practice approaches for Advisers (based on that already within the Program) and tying operational support costs to policy triggers or incentives agreed with the </w:t>
      </w:r>
      <w:proofErr w:type="spellStart"/>
      <w:r w:rsidRPr="00D80130">
        <w:t>GoV.</w:t>
      </w:r>
      <w:proofErr w:type="spellEnd"/>
      <w:r>
        <w:t xml:space="preserve">  </w:t>
      </w:r>
      <w:r w:rsidRPr="000B017A">
        <w:t xml:space="preserve">Where activities are comprised or constrained by broader financial or political economy issues that affect sustainability (such as the CMS), this </w:t>
      </w:r>
      <w:r>
        <w:t>c</w:t>
      </w:r>
      <w:r w:rsidRPr="000B017A">
        <w:t xml:space="preserve">ould become elevated for policy dialogue between </w:t>
      </w:r>
      <w:proofErr w:type="spellStart"/>
      <w:r w:rsidRPr="000B017A">
        <w:t>GoA</w:t>
      </w:r>
      <w:proofErr w:type="spellEnd"/>
      <w:r w:rsidRPr="000B017A">
        <w:t xml:space="preserve"> and </w:t>
      </w:r>
      <w:proofErr w:type="spellStart"/>
      <w:r w:rsidRPr="000B017A">
        <w:t>GoV</w:t>
      </w:r>
      <w:proofErr w:type="spellEnd"/>
      <w:r w:rsidRPr="000B017A">
        <w:t xml:space="preserve"> in governance bodies and medium-term plans agreed to reduce reliance on Program support.</w:t>
      </w:r>
    </w:p>
    <w:p w14:paraId="02018340" w14:textId="77777777" w:rsidR="00D80130" w:rsidRDefault="00D80130" w:rsidP="000059AB">
      <w:pPr>
        <w:spacing w:after="0"/>
        <w:jc w:val="both"/>
        <w:rPr>
          <w:rFonts w:ascii="Calibri" w:eastAsia="Calibri" w:hAnsi="Calibri" w:cs="Times New Roman"/>
          <w:b/>
        </w:rPr>
      </w:pPr>
    </w:p>
    <w:p w14:paraId="0F14CF99" w14:textId="77777777" w:rsidR="000059AB" w:rsidRPr="000C35F4" w:rsidRDefault="000059AB" w:rsidP="000C35F4">
      <w:pPr>
        <w:spacing w:after="0" w:line="240" w:lineRule="auto"/>
        <w:jc w:val="both"/>
        <w:rPr>
          <w:rFonts w:ascii="Calibri" w:eastAsia="Calibri" w:hAnsi="Calibri" w:cs="Times New Roman"/>
          <w:b/>
          <w:sz w:val="24"/>
          <w:szCs w:val="24"/>
        </w:rPr>
      </w:pPr>
      <w:r w:rsidRPr="000C35F4">
        <w:rPr>
          <w:rFonts w:ascii="Calibri" w:eastAsia="Calibri" w:hAnsi="Calibri" w:cs="Times New Roman"/>
          <w:b/>
          <w:sz w:val="24"/>
          <w:szCs w:val="24"/>
        </w:rPr>
        <w:t xml:space="preserve">Finding </w:t>
      </w:r>
      <w:r w:rsidR="000B017A" w:rsidRPr="000C35F4">
        <w:rPr>
          <w:rFonts w:ascii="Calibri" w:eastAsia="Calibri" w:hAnsi="Calibri" w:cs="Times New Roman"/>
          <w:b/>
          <w:sz w:val="24"/>
          <w:szCs w:val="24"/>
        </w:rPr>
        <w:t>4</w:t>
      </w:r>
      <w:r w:rsidRPr="000C35F4">
        <w:rPr>
          <w:rFonts w:ascii="Calibri" w:eastAsia="Calibri" w:hAnsi="Calibri" w:cs="Times New Roman"/>
          <w:b/>
          <w:sz w:val="24"/>
          <w:szCs w:val="24"/>
        </w:rPr>
        <w:t xml:space="preserve">: </w:t>
      </w:r>
      <w:r w:rsidR="00571ABE" w:rsidRPr="000C35F4">
        <w:rPr>
          <w:rFonts w:ascii="Calibri" w:eastAsia="Calibri" w:hAnsi="Calibri" w:cs="Times New Roman"/>
          <w:b/>
          <w:sz w:val="24"/>
          <w:szCs w:val="24"/>
        </w:rPr>
        <w:t>under</w:t>
      </w:r>
      <w:r w:rsidR="00951581">
        <w:rPr>
          <w:rFonts w:ascii="Calibri" w:eastAsia="Calibri" w:hAnsi="Calibri" w:cs="Times New Roman"/>
          <w:b/>
          <w:sz w:val="24"/>
          <w:szCs w:val="24"/>
        </w:rPr>
        <w:t>stating</w:t>
      </w:r>
      <w:r w:rsidR="00571ABE" w:rsidRPr="000C35F4">
        <w:rPr>
          <w:rFonts w:ascii="Calibri" w:eastAsia="Calibri" w:hAnsi="Calibri" w:cs="Times New Roman"/>
          <w:b/>
          <w:sz w:val="24"/>
          <w:szCs w:val="24"/>
        </w:rPr>
        <w:t xml:space="preserve"> g</w:t>
      </w:r>
      <w:r w:rsidRPr="000C35F4">
        <w:rPr>
          <w:rFonts w:ascii="Calibri" w:eastAsia="Calibri" w:hAnsi="Calibri" w:cs="Times New Roman"/>
          <w:b/>
          <w:sz w:val="24"/>
          <w:szCs w:val="24"/>
        </w:rPr>
        <w:t>ender equality</w:t>
      </w:r>
      <w:r w:rsidR="00571ABE" w:rsidRPr="000C35F4">
        <w:rPr>
          <w:rFonts w:ascii="Calibri" w:eastAsia="Calibri" w:hAnsi="Calibri" w:cs="Times New Roman"/>
          <w:b/>
          <w:sz w:val="24"/>
          <w:szCs w:val="24"/>
        </w:rPr>
        <w:t xml:space="preserve"> impact</w:t>
      </w:r>
    </w:p>
    <w:p w14:paraId="2C6CCD8B" w14:textId="77777777" w:rsidR="000059AB" w:rsidRPr="003709A7" w:rsidRDefault="000059AB" w:rsidP="000059AB">
      <w:pPr>
        <w:shd w:val="clear" w:color="auto" w:fill="F3F5F7"/>
        <w:spacing w:after="0" w:line="240" w:lineRule="auto"/>
        <w:jc w:val="both"/>
        <w:rPr>
          <w:rFonts w:cs="Times New Roman"/>
          <w:color w:val="44546A" w:themeColor="text2"/>
        </w:rPr>
      </w:pPr>
      <w:r w:rsidRPr="003709A7">
        <w:rPr>
          <w:rFonts w:cs="Times New Roman"/>
          <w:b/>
          <w:color w:val="44546A" w:themeColor="text2"/>
        </w:rPr>
        <w:t xml:space="preserve">The </w:t>
      </w:r>
      <w:r>
        <w:rPr>
          <w:rFonts w:cs="Times New Roman"/>
          <w:b/>
          <w:color w:val="44546A" w:themeColor="text2"/>
        </w:rPr>
        <w:t>P</w:t>
      </w:r>
      <w:r w:rsidRPr="003709A7">
        <w:rPr>
          <w:rFonts w:cs="Times New Roman"/>
          <w:b/>
          <w:color w:val="44546A" w:themeColor="text2"/>
        </w:rPr>
        <w:t>rogram has understated its positive impact on gender equality</w:t>
      </w:r>
      <w:r w:rsidRPr="003709A7">
        <w:rPr>
          <w:rFonts w:cs="Times New Roman"/>
          <w:color w:val="44546A" w:themeColor="text2"/>
        </w:rPr>
        <w:t>. It has a strong focus and demonstrated impact on prevention and prosecution of family violence</w:t>
      </w:r>
      <w:r w:rsidRPr="003709A7">
        <w:rPr>
          <w:rFonts w:cs="Times New Roman"/>
          <w:b/>
          <w:color w:val="44546A" w:themeColor="text2"/>
        </w:rPr>
        <w:t>. Good progress has been made in integrating gender considerations across most program componen</w:t>
      </w:r>
      <w:r w:rsidRPr="003709A7">
        <w:rPr>
          <w:rFonts w:cs="Times New Roman"/>
          <w:color w:val="44546A" w:themeColor="text2"/>
        </w:rPr>
        <w:t>ts, while more could be done in some areas.</w:t>
      </w:r>
    </w:p>
    <w:p w14:paraId="65161760" w14:textId="77777777" w:rsidR="000059AB" w:rsidRPr="003709A7" w:rsidRDefault="000059AB" w:rsidP="000059AB">
      <w:pPr>
        <w:spacing w:after="0" w:line="240" w:lineRule="auto"/>
        <w:rPr>
          <w:rFonts w:cs="Times New Roman"/>
          <w:color w:val="2F5496" w:themeColor="accent1" w:themeShade="BF"/>
        </w:rPr>
      </w:pPr>
    </w:p>
    <w:p w14:paraId="1B8B9B77" w14:textId="77777777" w:rsidR="000059AB" w:rsidRPr="003709A7" w:rsidRDefault="00111466" w:rsidP="000059AB">
      <w:pPr>
        <w:spacing w:line="240" w:lineRule="auto"/>
        <w:jc w:val="both"/>
        <w:rPr>
          <w:rFonts w:ascii="Calibri" w:eastAsia="Calibri" w:hAnsi="Calibri" w:cs="Times New Roman"/>
        </w:rPr>
      </w:pPr>
      <w:r>
        <w:rPr>
          <w:rFonts w:ascii="Calibri" w:eastAsia="Calibri" w:hAnsi="Calibri" w:cs="Times New Roman"/>
        </w:rPr>
        <w:t>The Program</w:t>
      </w:r>
      <w:r w:rsidR="000059AB" w:rsidRPr="003709A7">
        <w:rPr>
          <w:rFonts w:ascii="Calibri" w:eastAsia="Calibri" w:hAnsi="Calibri" w:cs="Times New Roman"/>
        </w:rPr>
        <w:t xml:space="preserve"> has contributed importantly and significantly to gender equality by strengthening Vanuatu’s systems and capability to prevent and prosecute FSV. This is illustrated through evidence of improved accessibility and quality of services and outcomes for women assessing the justice system as outlined under Finding </w:t>
      </w:r>
      <w:r w:rsidR="000059AB">
        <w:rPr>
          <w:rFonts w:ascii="Calibri" w:eastAsia="Calibri" w:hAnsi="Calibri" w:cs="Times New Roman"/>
        </w:rPr>
        <w:t>2</w:t>
      </w:r>
      <w:r w:rsidR="000059AB" w:rsidRPr="003709A7">
        <w:rPr>
          <w:rFonts w:ascii="Calibri" w:eastAsia="Calibri" w:hAnsi="Calibri" w:cs="Times New Roman"/>
        </w:rPr>
        <w:t xml:space="preserve">. This has been achieved through the </w:t>
      </w:r>
      <w:r w:rsidR="000059AB">
        <w:rPr>
          <w:rFonts w:ascii="Calibri" w:eastAsia="Calibri" w:hAnsi="Calibri" w:cs="Times New Roman"/>
        </w:rPr>
        <w:t>P</w:t>
      </w:r>
      <w:r w:rsidR="000059AB" w:rsidRPr="003709A7">
        <w:rPr>
          <w:rFonts w:ascii="Calibri" w:eastAsia="Calibri" w:hAnsi="Calibri" w:cs="Times New Roman"/>
        </w:rPr>
        <w:t xml:space="preserve">rogram’s pointed focus on EOPOs that have driven whole of systems strengthening, which keeps user experience at the forefront, along with targeted gender interventions. </w:t>
      </w:r>
      <w:r>
        <w:rPr>
          <w:rFonts w:ascii="Calibri" w:eastAsia="Calibri" w:hAnsi="Calibri" w:cs="Times New Roman"/>
        </w:rPr>
        <w:t>The Program’s</w:t>
      </w:r>
      <w:r w:rsidR="000059AB" w:rsidRPr="003709A7">
        <w:rPr>
          <w:rFonts w:ascii="Calibri" w:eastAsia="Calibri" w:hAnsi="Calibri" w:cs="Times New Roman"/>
        </w:rPr>
        <w:t xml:space="preserve"> gender story and impact is not well captured in program reporting</w:t>
      </w:r>
      <w:r w:rsidR="000059AB" w:rsidRPr="003709A7">
        <w:rPr>
          <w:rFonts w:ascii="Calibri" w:eastAsia="Calibri" w:hAnsi="Calibri" w:cs="Times New Roman"/>
          <w:vertAlign w:val="superscript"/>
        </w:rPr>
        <w:footnoteReference w:id="45"/>
      </w:r>
      <w:r w:rsidR="000059AB">
        <w:rPr>
          <w:rFonts w:ascii="Calibri" w:eastAsia="Calibri" w:hAnsi="Calibri" w:cs="Times New Roman"/>
        </w:rPr>
        <w:t xml:space="preserve">, </w:t>
      </w:r>
      <w:r w:rsidR="000059AB" w:rsidRPr="003709A7">
        <w:rPr>
          <w:rFonts w:ascii="Calibri" w:eastAsia="Calibri" w:hAnsi="Calibri" w:cs="Times New Roman"/>
        </w:rPr>
        <w:t xml:space="preserve">and should be celebrated as a key success of the </w:t>
      </w:r>
      <w:r w:rsidR="000059AB">
        <w:rPr>
          <w:rFonts w:ascii="Calibri" w:eastAsia="Calibri" w:hAnsi="Calibri" w:cs="Times New Roman"/>
        </w:rPr>
        <w:t>P</w:t>
      </w:r>
      <w:r w:rsidR="000059AB" w:rsidRPr="003709A7">
        <w:rPr>
          <w:rFonts w:ascii="Calibri" w:eastAsia="Calibri" w:hAnsi="Calibri" w:cs="Times New Roman"/>
        </w:rPr>
        <w:t xml:space="preserve">rogram. </w:t>
      </w:r>
      <w:r w:rsidR="000059AB">
        <w:rPr>
          <w:rFonts w:ascii="Calibri" w:eastAsia="Calibri" w:hAnsi="Calibri" w:cs="Times New Roman"/>
        </w:rPr>
        <w:t>Inability</w:t>
      </w:r>
      <w:r w:rsidR="000059AB" w:rsidRPr="003709A7">
        <w:rPr>
          <w:rFonts w:ascii="Calibri" w:eastAsia="Calibri" w:hAnsi="Calibri" w:cs="Times New Roman"/>
        </w:rPr>
        <w:t xml:space="preserve"> to tell this story within the </w:t>
      </w:r>
      <w:r w:rsidR="000059AB">
        <w:rPr>
          <w:rFonts w:ascii="Calibri" w:eastAsia="Calibri" w:hAnsi="Calibri" w:cs="Times New Roman"/>
        </w:rPr>
        <w:t>P</w:t>
      </w:r>
      <w:r w:rsidR="000059AB" w:rsidRPr="003709A7">
        <w:rPr>
          <w:rFonts w:ascii="Calibri" w:eastAsia="Calibri" w:hAnsi="Calibri" w:cs="Times New Roman"/>
        </w:rPr>
        <w:t>rogram may</w:t>
      </w:r>
      <w:r w:rsidR="000059AB">
        <w:rPr>
          <w:rFonts w:ascii="Calibri" w:eastAsia="Calibri" w:hAnsi="Calibri" w:cs="Times New Roman"/>
        </w:rPr>
        <w:t xml:space="preserve"> be</w:t>
      </w:r>
      <w:r w:rsidR="000059AB" w:rsidRPr="003709A7">
        <w:rPr>
          <w:rFonts w:ascii="Calibri" w:eastAsia="Calibri" w:hAnsi="Calibri" w:cs="Times New Roman"/>
        </w:rPr>
        <w:t xml:space="preserve"> </w:t>
      </w:r>
      <w:r w:rsidR="000059AB">
        <w:rPr>
          <w:rFonts w:ascii="Calibri" w:eastAsia="Calibri" w:hAnsi="Calibri" w:cs="Times New Roman"/>
        </w:rPr>
        <w:t>potentially</w:t>
      </w:r>
      <w:r w:rsidR="000059AB" w:rsidRPr="003709A7">
        <w:rPr>
          <w:rFonts w:ascii="Calibri" w:eastAsia="Calibri" w:hAnsi="Calibri" w:cs="Times New Roman"/>
        </w:rPr>
        <w:t xml:space="preserve"> impact</w:t>
      </w:r>
      <w:r w:rsidR="000059AB">
        <w:rPr>
          <w:rFonts w:ascii="Calibri" w:eastAsia="Calibri" w:hAnsi="Calibri" w:cs="Times New Roman"/>
        </w:rPr>
        <w:t>ing</w:t>
      </w:r>
      <w:r w:rsidR="000059AB" w:rsidRPr="003709A7">
        <w:rPr>
          <w:rFonts w:ascii="Calibri" w:eastAsia="Calibri" w:hAnsi="Calibri" w:cs="Times New Roman"/>
        </w:rPr>
        <w:t xml:space="preserve"> upon the </w:t>
      </w:r>
      <w:proofErr w:type="spellStart"/>
      <w:r w:rsidR="000059AB" w:rsidRPr="003709A7">
        <w:rPr>
          <w:rFonts w:ascii="Calibri" w:eastAsia="Calibri" w:hAnsi="Calibri" w:cs="Times New Roman"/>
        </w:rPr>
        <w:t>GoV’s</w:t>
      </w:r>
      <w:proofErr w:type="spellEnd"/>
      <w:r w:rsidR="000059AB" w:rsidRPr="003709A7">
        <w:rPr>
          <w:rFonts w:ascii="Calibri" w:eastAsia="Calibri" w:hAnsi="Calibri" w:cs="Times New Roman"/>
        </w:rPr>
        <w:t xml:space="preserve"> ability to tell the story and </w:t>
      </w:r>
      <w:r w:rsidR="000059AB">
        <w:rPr>
          <w:rFonts w:ascii="Calibri" w:eastAsia="Calibri" w:hAnsi="Calibri" w:cs="Times New Roman"/>
        </w:rPr>
        <w:t xml:space="preserve">secure </w:t>
      </w:r>
      <w:r w:rsidR="000059AB" w:rsidRPr="003709A7">
        <w:rPr>
          <w:rFonts w:ascii="Calibri" w:eastAsia="Calibri" w:hAnsi="Calibri" w:cs="Times New Roman"/>
        </w:rPr>
        <w:t>more budget</w:t>
      </w:r>
      <w:r w:rsidR="000059AB">
        <w:rPr>
          <w:rFonts w:ascii="Calibri" w:eastAsia="Calibri" w:hAnsi="Calibri" w:cs="Times New Roman"/>
        </w:rPr>
        <w:t>,</w:t>
      </w:r>
      <w:r w:rsidR="000059AB" w:rsidRPr="003709A7">
        <w:rPr>
          <w:rFonts w:ascii="Calibri" w:eastAsia="Calibri" w:hAnsi="Calibri" w:cs="Times New Roman"/>
        </w:rPr>
        <w:t xml:space="preserve"> and </w:t>
      </w:r>
      <w:r w:rsidR="000059AB">
        <w:rPr>
          <w:rFonts w:ascii="Calibri" w:eastAsia="Calibri" w:hAnsi="Calibri" w:cs="Times New Roman"/>
        </w:rPr>
        <w:t>in transitioning responsibility to the</w:t>
      </w:r>
      <w:r w:rsidR="000059AB" w:rsidRPr="003709A7">
        <w:rPr>
          <w:rFonts w:ascii="Calibri" w:eastAsia="Calibri" w:hAnsi="Calibri" w:cs="Times New Roman"/>
        </w:rPr>
        <w:t xml:space="preserve"> </w:t>
      </w:r>
      <w:proofErr w:type="spellStart"/>
      <w:r w:rsidR="000059AB" w:rsidRPr="003709A7">
        <w:rPr>
          <w:rFonts w:ascii="Calibri" w:eastAsia="Calibri" w:hAnsi="Calibri" w:cs="Times New Roman"/>
        </w:rPr>
        <w:t>GoV</w:t>
      </w:r>
      <w:proofErr w:type="spellEnd"/>
      <w:r w:rsidR="000059AB" w:rsidRPr="003709A7">
        <w:rPr>
          <w:rFonts w:ascii="Calibri" w:eastAsia="Calibri" w:hAnsi="Calibri" w:cs="Times New Roman"/>
        </w:rPr>
        <w:t xml:space="preserve"> for areas like the AP program</w:t>
      </w:r>
      <w:r w:rsidR="000059AB">
        <w:rPr>
          <w:rStyle w:val="FootnoteReference"/>
          <w:rFonts w:ascii="Calibri" w:eastAsia="Calibri" w:hAnsi="Calibri" w:cs="Times New Roman"/>
        </w:rPr>
        <w:footnoteReference w:id="46"/>
      </w:r>
      <w:r w:rsidR="000059AB" w:rsidRPr="003709A7">
        <w:rPr>
          <w:rFonts w:ascii="Calibri" w:eastAsia="Calibri" w:hAnsi="Calibri" w:cs="Times New Roman"/>
        </w:rPr>
        <w:t xml:space="preserve">. While </w:t>
      </w:r>
      <w:r>
        <w:rPr>
          <w:rFonts w:ascii="Calibri" w:eastAsia="Calibri" w:hAnsi="Calibri" w:cs="Times New Roman"/>
        </w:rPr>
        <w:t>the Program</w:t>
      </w:r>
      <w:r w:rsidR="000059AB" w:rsidRPr="003709A7">
        <w:rPr>
          <w:rFonts w:ascii="Calibri" w:eastAsia="Calibri" w:hAnsi="Calibri" w:cs="Times New Roman"/>
        </w:rPr>
        <w:t xml:space="preserve"> is attuned to gender dynamics and overall is working well at an activity level to integrate gender considerations, some opportunities exist to strengthen internal gender dimensions, particularly at a whole of program level.</w:t>
      </w:r>
    </w:p>
    <w:p w14:paraId="55D7D2AF" w14:textId="77777777" w:rsidR="000059AB" w:rsidRPr="003709A7" w:rsidRDefault="000059AB" w:rsidP="000059AB">
      <w:pPr>
        <w:spacing w:line="240" w:lineRule="auto"/>
        <w:jc w:val="both"/>
        <w:rPr>
          <w:rFonts w:ascii="Calibri" w:eastAsia="Calibri" w:hAnsi="Calibri" w:cs="Times New Roman"/>
        </w:rPr>
      </w:pPr>
      <w:r w:rsidRPr="003709A7">
        <w:rPr>
          <w:rFonts w:ascii="Calibri" w:eastAsia="Calibri" w:hAnsi="Calibri" w:cs="Times New Roman"/>
        </w:rPr>
        <w:t xml:space="preserve">There are </w:t>
      </w:r>
      <w:r w:rsidRPr="003709A7">
        <w:rPr>
          <w:rFonts w:ascii="Calibri" w:hAnsi="Calibri" w:cs="Calibri"/>
        </w:rPr>
        <w:t xml:space="preserve">pockets of commitment to gender equality within the policing and justice institutions in Vanuatu along with </w:t>
      </w:r>
      <w:r>
        <w:rPr>
          <w:rFonts w:ascii="Calibri" w:hAnsi="Calibri" w:cs="Calibri"/>
        </w:rPr>
        <w:t xml:space="preserve">some </w:t>
      </w:r>
      <w:r w:rsidRPr="003709A7">
        <w:rPr>
          <w:rFonts w:ascii="Calibri" w:hAnsi="Calibri" w:cs="Calibri"/>
        </w:rPr>
        <w:t xml:space="preserve">high capacity </w:t>
      </w:r>
      <w:r w:rsidRPr="00992506">
        <w:rPr>
          <w:rFonts w:ascii="Calibri" w:hAnsi="Calibri" w:cs="Calibri"/>
        </w:rPr>
        <w:t>organisations such as VWC</w:t>
      </w:r>
      <w:r w:rsidR="00992506" w:rsidRPr="00992506">
        <w:rPr>
          <w:rFonts w:ascii="Calibri" w:hAnsi="Calibri" w:cs="Calibri"/>
        </w:rPr>
        <w:t xml:space="preserve"> </w:t>
      </w:r>
      <w:r w:rsidRPr="00992506">
        <w:rPr>
          <w:rFonts w:ascii="Calibri" w:hAnsi="Calibri" w:cs="Calibri"/>
        </w:rPr>
        <w:t>working</w:t>
      </w:r>
      <w:r w:rsidRPr="003709A7">
        <w:rPr>
          <w:rFonts w:ascii="Calibri" w:hAnsi="Calibri" w:cs="Calibri"/>
        </w:rPr>
        <w:t xml:space="preserve"> to advance gender equality. However, there are also pockets of resistance, making gender </w:t>
      </w:r>
      <w:r w:rsidRPr="003709A7">
        <w:rPr>
          <w:rFonts w:ascii="Calibri" w:eastAsia="Calibri" w:hAnsi="Calibri" w:cs="Times New Roman"/>
        </w:rPr>
        <w:t xml:space="preserve">equality an area of sensitivity. Advancing gender equality in the sector requires the </w:t>
      </w:r>
      <w:r>
        <w:rPr>
          <w:rFonts w:ascii="Calibri" w:eastAsia="Calibri" w:hAnsi="Calibri" w:cs="Times New Roman"/>
        </w:rPr>
        <w:t>P</w:t>
      </w:r>
      <w:r w:rsidRPr="003709A7">
        <w:rPr>
          <w:rFonts w:ascii="Calibri" w:eastAsia="Calibri" w:hAnsi="Calibri" w:cs="Times New Roman"/>
        </w:rPr>
        <w:t xml:space="preserve">rogram to listen, support and respond to local voices for gender equality when determining approaches and interventions. The </w:t>
      </w:r>
      <w:r>
        <w:rPr>
          <w:rFonts w:ascii="Calibri" w:eastAsia="Calibri" w:hAnsi="Calibri" w:cs="Times New Roman"/>
        </w:rPr>
        <w:t>P</w:t>
      </w:r>
      <w:r w:rsidRPr="003709A7">
        <w:rPr>
          <w:rFonts w:ascii="Calibri" w:eastAsia="Calibri" w:hAnsi="Calibri" w:cs="Times New Roman"/>
        </w:rPr>
        <w:t xml:space="preserve">rogram has done this successfully through good quality implementation of the </w:t>
      </w:r>
      <w:r>
        <w:rPr>
          <w:rFonts w:ascii="Calibri" w:eastAsia="Calibri" w:hAnsi="Calibri" w:cs="Times New Roman"/>
        </w:rPr>
        <w:t>SRBJS</w:t>
      </w:r>
      <w:r w:rsidRPr="003709A7">
        <w:rPr>
          <w:rFonts w:ascii="Calibri" w:eastAsia="Calibri" w:hAnsi="Calibri" w:cs="Times New Roman"/>
        </w:rPr>
        <w:t xml:space="preserve"> </w:t>
      </w:r>
      <w:r w:rsidRPr="003709A7">
        <w:rPr>
          <w:rFonts w:ascii="Calibri" w:hAnsi="Calibri" w:cs="Calibri"/>
        </w:rPr>
        <w:t>Gender Strategy</w:t>
      </w:r>
      <w:r w:rsidRPr="003709A7">
        <w:rPr>
          <w:rFonts w:ascii="Calibri" w:hAnsi="Calibri" w:cs="Calibri"/>
          <w:vertAlign w:val="superscript"/>
        </w:rPr>
        <w:footnoteReference w:id="47"/>
      </w:r>
      <w:r w:rsidRPr="003709A7">
        <w:rPr>
          <w:rFonts w:ascii="Calibri" w:hAnsi="Calibri" w:cs="Calibri"/>
        </w:rPr>
        <w:t>. Program managers and advis</w:t>
      </w:r>
      <w:r>
        <w:rPr>
          <w:rFonts w:ascii="Calibri" w:hAnsi="Calibri" w:cs="Calibri"/>
        </w:rPr>
        <w:t>e</w:t>
      </w:r>
      <w:r w:rsidRPr="003709A7">
        <w:rPr>
          <w:rFonts w:ascii="Calibri" w:hAnsi="Calibri" w:cs="Calibri"/>
        </w:rPr>
        <w:t xml:space="preserve">rs each hold responsibility for integrating </w:t>
      </w:r>
      <w:r>
        <w:rPr>
          <w:rFonts w:ascii="Calibri" w:hAnsi="Calibri" w:cs="Calibri"/>
        </w:rPr>
        <w:t xml:space="preserve">and prioritising </w:t>
      </w:r>
      <w:r w:rsidRPr="003709A7">
        <w:rPr>
          <w:rFonts w:ascii="Calibri" w:hAnsi="Calibri" w:cs="Calibri"/>
        </w:rPr>
        <w:t>gender into their roles, with some advis</w:t>
      </w:r>
      <w:r>
        <w:rPr>
          <w:rFonts w:ascii="Calibri" w:hAnsi="Calibri" w:cs="Calibri"/>
        </w:rPr>
        <w:t>e</w:t>
      </w:r>
      <w:r w:rsidRPr="003709A7">
        <w:rPr>
          <w:rFonts w:ascii="Calibri" w:hAnsi="Calibri" w:cs="Calibri"/>
        </w:rPr>
        <w:t xml:space="preserve">rs integrating gender more strongly than others. </w:t>
      </w:r>
      <w:r w:rsidRPr="003709A7">
        <w:rPr>
          <w:rFonts w:ascii="Calibri" w:eastAsia="Calibri" w:hAnsi="Calibri" w:cs="Times New Roman"/>
        </w:rPr>
        <w:t xml:space="preserve">In addition to mainstreaming gender, </w:t>
      </w:r>
      <w:r>
        <w:rPr>
          <w:rFonts w:ascii="Calibri" w:eastAsia="Calibri" w:hAnsi="Calibri" w:cs="Times New Roman"/>
        </w:rPr>
        <w:t>SRBJS</w:t>
      </w:r>
      <w:r w:rsidRPr="003709A7">
        <w:rPr>
          <w:rFonts w:ascii="Calibri" w:eastAsia="Calibri" w:hAnsi="Calibri" w:cs="Times New Roman"/>
        </w:rPr>
        <w:t xml:space="preserve"> has implemented specific initiatives to strengthen women’s leadership and advance gender equality in more overt ways. These include:</w:t>
      </w:r>
    </w:p>
    <w:p w14:paraId="53BA7517" w14:textId="77777777" w:rsidR="000059AB" w:rsidRPr="003709A7" w:rsidRDefault="000059AB" w:rsidP="004E7C9F">
      <w:pPr>
        <w:numPr>
          <w:ilvl w:val="0"/>
          <w:numId w:val="4"/>
        </w:numPr>
        <w:spacing w:after="0" w:line="240" w:lineRule="auto"/>
        <w:ind w:left="425" w:right="96" w:hanging="425"/>
        <w:contextualSpacing/>
        <w:jc w:val="both"/>
      </w:pPr>
      <w:r w:rsidRPr="003709A7">
        <w:rPr>
          <w:rFonts w:ascii="Calibri" w:hAnsi="Calibri" w:cs="Calibri"/>
          <w:b/>
        </w:rPr>
        <w:t>Pushing the conversation internally</w:t>
      </w:r>
      <w:r w:rsidRPr="003709A7">
        <w:rPr>
          <w:rFonts w:ascii="Calibri" w:hAnsi="Calibri" w:cs="Calibri"/>
        </w:rPr>
        <w:t xml:space="preserve"> - Facilitating gender training within the V</w:t>
      </w:r>
      <w:r w:rsidR="005F3519">
        <w:rPr>
          <w:rFonts w:ascii="Calibri" w:hAnsi="Calibri" w:cs="Calibri"/>
        </w:rPr>
        <w:t>PF</w:t>
      </w:r>
      <w:r w:rsidRPr="003709A7">
        <w:rPr>
          <w:rFonts w:ascii="Calibri" w:hAnsi="Calibri" w:cs="Calibri"/>
        </w:rPr>
        <w:t xml:space="preserve"> (including for executive / command in in 2019) and facilitating gender institutional assessments with the MJCS and OPP in 2018)</w:t>
      </w:r>
      <w:r w:rsidRPr="003709A7">
        <w:rPr>
          <w:rFonts w:ascii="Calibri" w:hAnsi="Calibri" w:cs="Calibri"/>
          <w:b/>
        </w:rPr>
        <w:t>;</w:t>
      </w:r>
    </w:p>
    <w:p w14:paraId="332AD450" w14:textId="77777777" w:rsidR="000059AB" w:rsidRPr="003709A7" w:rsidRDefault="000059AB" w:rsidP="004E7C9F">
      <w:pPr>
        <w:numPr>
          <w:ilvl w:val="0"/>
          <w:numId w:val="4"/>
        </w:numPr>
        <w:spacing w:after="0" w:line="240" w:lineRule="auto"/>
        <w:ind w:left="425" w:right="96" w:hanging="425"/>
        <w:contextualSpacing/>
        <w:jc w:val="both"/>
      </w:pPr>
      <w:r w:rsidRPr="003709A7">
        <w:rPr>
          <w:b/>
        </w:rPr>
        <w:t>Promoting women’s leadership and participation</w:t>
      </w:r>
      <w:r w:rsidRPr="003709A7">
        <w:t xml:space="preserve"> - Supporting a ‘Women in leadership program’ which draws women together across the sector and facilitates networking and paired mentoring arrangements, and increasing the participation of women at executive meetings</w:t>
      </w:r>
      <w:r w:rsidRPr="003709A7">
        <w:rPr>
          <w:vertAlign w:val="superscript"/>
        </w:rPr>
        <w:footnoteReference w:id="48"/>
      </w:r>
    </w:p>
    <w:p w14:paraId="0D1FDC8E" w14:textId="77777777" w:rsidR="000059AB" w:rsidRPr="003709A7" w:rsidRDefault="000059AB" w:rsidP="004E7C9F">
      <w:pPr>
        <w:numPr>
          <w:ilvl w:val="0"/>
          <w:numId w:val="4"/>
        </w:numPr>
        <w:spacing w:after="0" w:line="240" w:lineRule="auto"/>
        <w:ind w:left="425" w:right="96" w:hanging="425"/>
        <w:contextualSpacing/>
        <w:jc w:val="both"/>
      </w:pPr>
      <w:r w:rsidRPr="003709A7">
        <w:rPr>
          <w:rFonts w:ascii="Calibri" w:hAnsi="Calibri" w:cs="Calibri"/>
          <w:b/>
        </w:rPr>
        <w:t xml:space="preserve">Providing funding support </w:t>
      </w:r>
      <w:r>
        <w:rPr>
          <w:rFonts w:ascii="Calibri" w:hAnsi="Calibri" w:cs="Calibri"/>
          <w:b/>
        </w:rPr>
        <w:t xml:space="preserve">and encouragement </w:t>
      </w:r>
      <w:r w:rsidRPr="003709A7">
        <w:rPr>
          <w:rFonts w:ascii="Calibri" w:hAnsi="Calibri" w:cs="Calibri"/>
          <w:b/>
        </w:rPr>
        <w:t>to the Women’s Advisory Network (WAN)</w:t>
      </w:r>
      <w:r w:rsidRPr="003709A7">
        <w:rPr>
          <w:rFonts w:ascii="Calibri" w:hAnsi="Calibri" w:cs="Calibri"/>
        </w:rPr>
        <w:t xml:space="preserve"> – which has seen recommendations elevated through its regional reporting chain related to women’s recruitment, promotion and attendance at trainings addressed by command</w:t>
      </w:r>
      <w:r w:rsidRPr="003709A7">
        <w:rPr>
          <w:rFonts w:ascii="Calibri" w:hAnsi="Calibri" w:cs="Calibri"/>
          <w:vertAlign w:val="superscript"/>
        </w:rPr>
        <w:footnoteReference w:id="49"/>
      </w:r>
      <w:r w:rsidRPr="003709A7">
        <w:rPr>
          <w:rFonts w:ascii="Calibri" w:hAnsi="Calibri" w:cs="Calibri"/>
        </w:rPr>
        <w:t>.</w:t>
      </w:r>
    </w:p>
    <w:p w14:paraId="1A5CDEBF" w14:textId="77777777" w:rsidR="000059AB" w:rsidRPr="003709A7" w:rsidRDefault="000059AB" w:rsidP="000059AB">
      <w:pPr>
        <w:spacing w:after="0" w:line="240" w:lineRule="auto"/>
        <w:rPr>
          <w:rFonts w:ascii="Calibri" w:eastAsia="Calibri" w:hAnsi="Calibri" w:cs="Times New Roman"/>
        </w:rPr>
      </w:pPr>
    </w:p>
    <w:p w14:paraId="77DA10D6" w14:textId="77777777" w:rsidR="002E11D1" w:rsidRDefault="000059AB" w:rsidP="000059AB">
      <w:pPr>
        <w:spacing w:line="240" w:lineRule="auto"/>
        <w:jc w:val="both"/>
        <w:rPr>
          <w:rFonts w:ascii="Calibri" w:eastAsia="Calibri" w:hAnsi="Calibri" w:cs="Times New Roman"/>
        </w:rPr>
      </w:pPr>
      <w:r w:rsidRPr="003709A7">
        <w:rPr>
          <w:rFonts w:ascii="Calibri" w:eastAsia="Calibri" w:hAnsi="Calibri" w:cs="Times New Roman"/>
        </w:rPr>
        <w:t xml:space="preserve">The </w:t>
      </w:r>
      <w:r>
        <w:rPr>
          <w:rFonts w:ascii="Calibri" w:eastAsia="Calibri" w:hAnsi="Calibri" w:cs="Times New Roman"/>
        </w:rPr>
        <w:t>P</w:t>
      </w:r>
      <w:r w:rsidRPr="003709A7">
        <w:rPr>
          <w:rFonts w:ascii="Calibri" w:eastAsia="Calibri" w:hAnsi="Calibri" w:cs="Times New Roman"/>
        </w:rPr>
        <w:t xml:space="preserve">rogram has contributed to a range of systems changes across Vanuatu’s ‘chain of justice’ which has enabled women, particularly those who have experienced FSV, better access to services that are more likely to bring about just outcomes. The rapid political context analysis undertaken by the </w:t>
      </w:r>
      <w:r>
        <w:rPr>
          <w:rFonts w:ascii="Calibri" w:eastAsia="Calibri" w:hAnsi="Calibri" w:cs="Times New Roman"/>
        </w:rPr>
        <w:t>e</w:t>
      </w:r>
      <w:r w:rsidRPr="003709A7">
        <w:rPr>
          <w:rFonts w:ascii="Calibri" w:eastAsia="Calibri" w:hAnsi="Calibri" w:cs="Times New Roman"/>
        </w:rPr>
        <w:t xml:space="preserve">valuation </w:t>
      </w:r>
      <w:r>
        <w:rPr>
          <w:rFonts w:ascii="Calibri" w:eastAsia="Calibri" w:hAnsi="Calibri" w:cs="Times New Roman"/>
        </w:rPr>
        <w:t>t</w:t>
      </w:r>
      <w:r w:rsidRPr="003709A7">
        <w:rPr>
          <w:rFonts w:ascii="Calibri" w:eastAsia="Calibri" w:hAnsi="Calibri" w:cs="Times New Roman"/>
        </w:rPr>
        <w:t xml:space="preserve">eam also revealed a range of constraining factors which continue to limit access and outcomes for women. Table </w:t>
      </w:r>
      <w:r w:rsidR="00321DDA">
        <w:rPr>
          <w:rFonts w:ascii="Calibri" w:eastAsia="Calibri" w:hAnsi="Calibri" w:cs="Times New Roman"/>
        </w:rPr>
        <w:t>2</w:t>
      </w:r>
      <w:r w:rsidRPr="003709A7">
        <w:rPr>
          <w:rFonts w:ascii="Calibri" w:eastAsia="Calibri" w:hAnsi="Calibri" w:cs="Times New Roman"/>
        </w:rPr>
        <w:t xml:space="preserve"> below outlines factors both supporting and constraining gender equality in some aspects of the chain of justice chain in Vanuatu. While </w:t>
      </w:r>
      <w:r>
        <w:rPr>
          <w:rFonts w:ascii="Calibri" w:eastAsia="Calibri" w:hAnsi="Calibri" w:cs="Times New Roman"/>
        </w:rPr>
        <w:t>SRBJS</w:t>
      </w:r>
      <w:r w:rsidRPr="003709A7">
        <w:rPr>
          <w:rFonts w:ascii="Calibri" w:eastAsia="Calibri" w:hAnsi="Calibri" w:cs="Times New Roman"/>
        </w:rPr>
        <w:t xml:space="preserve"> has a focus on supporting women </w:t>
      </w:r>
      <w:r>
        <w:rPr>
          <w:rFonts w:ascii="Calibri" w:eastAsia="Calibri" w:hAnsi="Calibri" w:cs="Times New Roman"/>
        </w:rPr>
        <w:t xml:space="preserve">and children </w:t>
      </w:r>
      <w:r w:rsidRPr="003709A7">
        <w:rPr>
          <w:rFonts w:ascii="Calibri" w:eastAsia="Calibri" w:hAnsi="Calibri" w:cs="Times New Roman"/>
        </w:rPr>
        <w:t xml:space="preserve">who have experienced FSV, the </w:t>
      </w:r>
      <w:r>
        <w:rPr>
          <w:rFonts w:ascii="Calibri" w:eastAsia="Calibri" w:hAnsi="Calibri" w:cs="Times New Roman"/>
        </w:rPr>
        <w:t>P</w:t>
      </w:r>
      <w:r w:rsidRPr="003709A7">
        <w:rPr>
          <w:rFonts w:ascii="Calibri" w:eastAsia="Calibri" w:hAnsi="Calibri" w:cs="Times New Roman"/>
        </w:rPr>
        <w:t>rogram also engages men directly in awareness raising</w:t>
      </w:r>
      <w:r>
        <w:rPr>
          <w:rFonts w:ascii="Calibri" w:eastAsia="Calibri" w:hAnsi="Calibri" w:cs="Times New Roman"/>
        </w:rPr>
        <w:t>, behaviour change and encouraging them to champion gender issues</w:t>
      </w:r>
      <w:r w:rsidRPr="003709A7">
        <w:rPr>
          <w:rFonts w:ascii="Calibri" w:eastAsia="Calibri" w:hAnsi="Calibri" w:cs="Times New Roman"/>
        </w:rPr>
        <w:t>. Benefits are also experienced by men who are charged with FSV offences (related to FPA offences and offences against morality) through strengthened legal representation</w:t>
      </w:r>
      <w:r w:rsidRPr="003709A7">
        <w:rPr>
          <w:rFonts w:ascii="Calibri" w:eastAsia="Calibri" w:hAnsi="Calibri" w:cs="Times New Roman"/>
          <w:vertAlign w:val="superscript"/>
        </w:rPr>
        <w:footnoteReference w:id="50"/>
      </w:r>
      <w:r w:rsidRPr="003709A7">
        <w:rPr>
          <w:rFonts w:ascii="Calibri" w:eastAsia="Calibri" w:hAnsi="Calibri" w:cs="Times New Roman"/>
        </w:rPr>
        <w:t xml:space="preserve">. </w:t>
      </w:r>
    </w:p>
    <w:p w14:paraId="03C4DE94" w14:textId="77777777" w:rsidR="000059AB" w:rsidRPr="00A04479" w:rsidRDefault="002E11D1" w:rsidP="002E11D1">
      <w:pPr>
        <w:rPr>
          <w:rFonts w:ascii="Calibri" w:eastAsia="Calibri" w:hAnsi="Calibri" w:cs="Times New Roman"/>
        </w:rPr>
      </w:pPr>
      <w:r>
        <w:rPr>
          <w:rFonts w:ascii="Calibri" w:eastAsia="Calibri" w:hAnsi="Calibri" w:cs="Times New Roman"/>
        </w:rPr>
        <w:br w:type="page"/>
      </w:r>
    </w:p>
    <w:p w14:paraId="329B788E" w14:textId="77777777" w:rsidR="000059AB" w:rsidRPr="00192266" w:rsidRDefault="000059AB" w:rsidP="000059AB">
      <w:pPr>
        <w:spacing w:after="0"/>
        <w:rPr>
          <w:rFonts w:ascii="Calibri" w:eastAsia="Calibri" w:hAnsi="Calibri" w:cs="Times New Roman"/>
          <w:i/>
        </w:rPr>
      </w:pPr>
      <w:r w:rsidRPr="00192266">
        <w:rPr>
          <w:rFonts w:ascii="Calibri" w:eastAsia="Calibri" w:hAnsi="Calibri" w:cs="Times New Roman"/>
          <w:i/>
        </w:rPr>
        <w:t xml:space="preserve">Table </w:t>
      </w:r>
      <w:r w:rsidR="00321DDA">
        <w:rPr>
          <w:rFonts w:ascii="Calibri" w:eastAsia="Calibri" w:hAnsi="Calibri" w:cs="Times New Roman"/>
          <w:i/>
        </w:rPr>
        <w:t>2</w:t>
      </w:r>
      <w:r w:rsidRPr="00192266">
        <w:rPr>
          <w:rFonts w:ascii="Calibri" w:eastAsia="Calibri" w:hAnsi="Calibri" w:cs="Times New Roman"/>
          <w:i/>
        </w:rPr>
        <w:t>: Factors supporting and constraining gender equality across the chain of justice</w:t>
      </w:r>
    </w:p>
    <w:tbl>
      <w:tblPr>
        <w:tblStyle w:val="TableGrid3"/>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shd w:val="clear" w:color="auto" w:fill="FFFFFF" w:themeFill="background1"/>
        <w:tblLook w:val="04A0" w:firstRow="1" w:lastRow="0" w:firstColumn="1" w:lastColumn="0" w:noHBand="0" w:noVBand="1"/>
      </w:tblPr>
      <w:tblGrid>
        <w:gridCol w:w="1401"/>
        <w:gridCol w:w="3625"/>
        <w:gridCol w:w="3990"/>
      </w:tblGrid>
      <w:tr w:rsidR="000059AB" w:rsidRPr="003709A7" w14:paraId="4852C5FE" w14:textId="77777777" w:rsidTr="009724CE">
        <w:tc>
          <w:tcPr>
            <w:tcW w:w="1271" w:type="dxa"/>
            <w:shd w:val="clear" w:color="auto" w:fill="FFFFFF" w:themeFill="background1"/>
          </w:tcPr>
          <w:p w14:paraId="116CC08C" w14:textId="77777777" w:rsidR="000059AB" w:rsidRPr="003709A7" w:rsidRDefault="000059AB" w:rsidP="009724CE"/>
        </w:tc>
        <w:tc>
          <w:tcPr>
            <w:tcW w:w="3686" w:type="dxa"/>
            <w:shd w:val="clear" w:color="auto" w:fill="FFFFFF" w:themeFill="background1"/>
          </w:tcPr>
          <w:p w14:paraId="14236FFD" w14:textId="77777777" w:rsidR="000059AB" w:rsidRPr="005D4A89" w:rsidRDefault="000059AB" w:rsidP="009724CE">
            <w:pPr>
              <w:rPr>
                <w:b/>
                <w:color w:val="44546A" w:themeColor="text2"/>
              </w:rPr>
            </w:pPr>
            <w:r w:rsidRPr="005D4A89">
              <w:rPr>
                <w:b/>
                <w:color w:val="44546A" w:themeColor="text2"/>
              </w:rPr>
              <w:t>Supporting</w:t>
            </w:r>
          </w:p>
        </w:tc>
        <w:tc>
          <w:tcPr>
            <w:tcW w:w="4059" w:type="dxa"/>
            <w:shd w:val="clear" w:color="auto" w:fill="FFFFFF" w:themeFill="background1"/>
          </w:tcPr>
          <w:p w14:paraId="2E8BE812" w14:textId="77777777" w:rsidR="000059AB" w:rsidRPr="005D4A89" w:rsidRDefault="000059AB" w:rsidP="009724CE">
            <w:pPr>
              <w:rPr>
                <w:b/>
                <w:color w:val="44546A" w:themeColor="text2"/>
              </w:rPr>
            </w:pPr>
            <w:r w:rsidRPr="005D4A89">
              <w:rPr>
                <w:b/>
                <w:color w:val="44546A" w:themeColor="text2"/>
              </w:rPr>
              <w:t>Constraining</w:t>
            </w:r>
          </w:p>
        </w:tc>
      </w:tr>
      <w:tr w:rsidR="000059AB" w:rsidRPr="003709A7" w14:paraId="1C60D43F" w14:textId="77777777" w:rsidTr="009724CE">
        <w:tc>
          <w:tcPr>
            <w:tcW w:w="1271" w:type="dxa"/>
            <w:shd w:val="clear" w:color="auto" w:fill="8496B0" w:themeFill="text2" w:themeFillTint="99"/>
          </w:tcPr>
          <w:p w14:paraId="2A8277BE" w14:textId="77777777" w:rsidR="000059AB" w:rsidRPr="003709A7" w:rsidRDefault="00992506" w:rsidP="009724CE">
            <w:pPr>
              <w:rPr>
                <w:b/>
              </w:rPr>
            </w:pPr>
            <w:r>
              <w:rPr>
                <w:b/>
                <w:color w:val="FFFFFF" w:themeColor="background1"/>
              </w:rPr>
              <w:t>Community level</w:t>
            </w:r>
            <w:r w:rsidR="000059AB" w:rsidRPr="005D4A89">
              <w:rPr>
                <w:b/>
                <w:color w:val="FFFFFF" w:themeColor="background1"/>
              </w:rPr>
              <w:t xml:space="preserve"> justice</w:t>
            </w:r>
            <w:r>
              <w:rPr>
                <w:b/>
                <w:color w:val="FFFFFF" w:themeColor="background1"/>
              </w:rPr>
              <w:t xml:space="preserve"> systems</w:t>
            </w:r>
          </w:p>
        </w:tc>
        <w:tc>
          <w:tcPr>
            <w:tcW w:w="3686" w:type="dxa"/>
            <w:shd w:val="clear" w:color="auto" w:fill="FFFFFF" w:themeFill="background1"/>
          </w:tcPr>
          <w:p w14:paraId="6A387F06" w14:textId="77777777" w:rsidR="000059AB" w:rsidRPr="003709A7" w:rsidRDefault="000059AB" w:rsidP="004E7C9F">
            <w:pPr>
              <w:numPr>
                <w:ilvl w:val="0"/>
                <w:numId w:val="9"/>
              </w:numPr>
              <w:contextualSpacing/>
            </w:pPr>
            <w:r w:rsidRPr="003709A7">
              <w:t>Some women</w:t>
            </w:r>
            <w:r>
              <w:t xml:space="preserve"> and men (including youth)</w:t>
            </w:r>
            <w:r w:rsidRPr="003709A7">
              <w:t xml:space="preserve"> have better access to legal information and more women are accessing the formal justice system.</w:t>
            </w:r>
          </w:p>
          <w:p w14:paraId="146E0291" w14:textId="77777777" w:rsidR="000059AB" w:rsidRPr="003709A7" w:rsidRDefault="000059AB" w:rsidP="004E7C9F">
            <w:pPr>
              <w:numPr>
                <w:ilvl w:val="0"/>
                <w:numId w:val="9"/>
              </w:numPr>
              <w:contextualSpacing/>
            </w:pPr>
            <w:r w:rsidRPr="003709A7">
              <w:t>The AP program has made it easier for women to get protection orders and APs are also referring women to the VWC.</w:t>
            </w:r>
          </w:p>
          <w:p w14:paraId="5B65320A" w14:textId="77777777" w:rsidR="000059AB" w:rsidRPr="003709A7" w:rsidRDefault="000059AB" w:rsidP="004E7C9F">
            <w:pPr>
              <w:numPr>
                <w:ilvl w:val="0"/>
                <w:numId w:val="9"/>
              </w:numPr>
              <w:contextualSpacing/>
            </w:pPr>
            <w:r w:rsidRPr="003709A7">
              <w:t>Many couples are receiving ongoing support / awareness raising from APs and RCs to reduce FSV.</w:t>
            </w:r>
          </w:p>
        </w:tc>
        <w:tc>
          <w:tcPr>
            <w:tcW w:w="4059" w:type="dxa"/>
            <w:shd w:val="clear" w:color="auto" w:fill="FFFFFF" w:themeFill="background1"/>
          </w:tcPr>
          <w:p w14:paraId="543DA0C5" w14:textId="77777777" w:rsidR="000059AB" w:rsidRPr="003709A7" w:rsidRDefault="000059AB" w:rsidP="004E7C9F">
            <w:pPr>
              <w:numPr>
                <w:ilvl w:val="0"/>
                <w:numId w:val="9"/>
              </w:numPr>
              <w:contextualSpacing/>
            </w:pPr>
            <w:r w:rsidRPr="003709A7">
              <w:t>Many women do not feel safe to approach APs as the majority are men, and instead go to their wives.</w:t>
            </w:r>
          </w:p>
          <w:p w14:paraId="5B4D7810" w14:textId="77777777" w:rsidR="000059AB" w:rsidRPr="003709A7" w:rsidRDefault="000059AB" w:rsidP="004E7C9F">
            <w:pPr>
              <w:numPr>
                <w:ilvl w:val="0"/>
                <w:numId w:val="9"/>
              </w:numPr>
              <w:contextualSpacing/>
            </w:pPr>
            <w:r w:rsidRPr="003709A7">
              <w:t xml:space="preserve">Many women are reluctant to get protection orders </w:t>
            </w:r>
            <w:r>
              <w:t xml:space="preserve">or seek prosecution of crimes </w:t>
            </w:r>
            <w:r w:rsidRPr="003709A7">
              <w:t>due to fear of reprisals and their children’s welfare.</w:t>
            </w:r>
          </w:p>
          <w:p w14:paraId="4603D721" w14:textId="77777777" w:rsidR="000059AB" w:rsidRPr="003709A7" w:rsidRDefault="000059AB" w:rsidP="004E7C9F">
            <w:pPr>
              <w:numPr>
                <w:ilvl w:val="0"/>
                <w:numId w:val="9"/>
              </w:numPr>
              <w:contextualSpacing/>
            </w:pPr>
            <w:r w:rsidRPr="003709A7">
              <w:t xml:space="preserve">The reach and engagement of youth and men in awareness raising and behaviour change is limited, and does not sufficiently transform gender awareness and attitudes of </w:t>
            </w:r>
            <w:r>
              <w:t xml:space="preserve">men, including </w:t>
            </w:r>
            <w:r w:rsidRPr="003709A7">
              <w:t>chiefs.</w:t>
            </w:r>
          </w:p>
        </w:tc>
      </w:tr>
      <w:tr w:rsidR="000059AB" w:rsidRPr="003709A7" w14:paraId="5D2BFE1A" w14:textId="77777777" w:rsidTr="009724CE">
        <w:tc>
          <w:tcPr>
            <w:tcW w:w="1271" w:type="dxa"/>
            <w:shd w:val="clear" w:color="auto" w:fill="8496B0" w:themeFill="text2" w:themeFillTint="99"/>
          </w:tcPr>
          <w:p w14:paraId="49BB44C3" w14:textId="77777777" w:rsidR="000059AB" w:rsidRPr="005D4A89" w:rsidRDefault="000059AB" w:rsidP="009724CE">
            <w:pPr>
              <w:rPr>
                <w:b/>
                <w:color w:val="FFFFFF" w:themeColor="background1"/>
              </w:rPr>
            </w:pPr>
            <w:r w:rsidRPr="005D4A89">
              <w:rPr>
                <w:b/>
                <w:color w:val="FFFFFF" w:themeColor="background1"/>
              </w:rPr>
              <w:t>Policing – response and investigation</w:t>
            </w:r>
          </w:p>
        </w:tc>
        <w:tc>
          <w:tcPr>
            <w:tcW w:w="3686" w:type="dxa"/>
            <w:shd w:val="clear" w:color="auto" w:fill="FFFFFF" w:themeFill="background1"/>
          </w:tcPr>
          <w:p w14:paraId="3049B872" w14:textId="77777777" w:rsidR="000059AB" w:rsidRPr="003709A7" w:rsidRDefault="000059AB" w:rsidP="004E7C9F">
            <w:pPr>
              <w:numPr>
                <w:ilvl w:val="0"/>
                <w:numId w:val="9"/>
              </w:numPr>
              <w:contextualSpacing/>
            </w:pPr>
            <w:r w:rsidRPr="003709A7">
              <w:t>Recruits now receive gender training as part of the curricula.</w:t>
            </w:r>
          </w:p>
          <w:p w14:paraId="1735AB75" w14:textId="77777777" w:rsidR="000059AB" w:rsidRPr="003709A7" w:rsidRDefault="000059AB" w:rsidP="004E7C9F">
            <w:pPr>
              <w:numPr>
                <w:ilvl w:val="0"/>
                <w:numId w:val="9"/>
              </w:numPr>
              <w:contextualSpacing/>
            </w:pPr>
            <w:r w:rsidRPr="003709A7">
              <w:t>More officers have knowledge of the FPA and increased tactical response to FSV through increased F</w:t>
            </w:r>
            <w:r w:rsidR="000366E4">
              <w:t>PA</w:t>
            </w:r>
            <w:r w:rsidRPr="003709A7">
              <w:t xml:space="preserve"> offences charged and</w:t>
            </w:r>
            <w:r w:rsidRPr="003709A7">
              <w:rPr>
                <w:vertAlign w:val="superscript"/>
              </w:rPr>
              <w:footnoteReference w:id="51"/>
            </w:r>
            <w:r w:rsidRPr="003709A7">
              <w:t xml:space="preserve"> protection orders.</w:t>
            </w:r>
          </w:p>
          <w:p w14:paraId="00FF6A45" w14:textId="77777777" w:rsidR="000059AB" w:rsidRPr="003709A7" w:rsidRDefault="000059AB" w:rsidP="004E7C9F">
            <w:pPr>
              <w:numPr>
                <w:ilvl w:val="0"/>
                <w:numId w:val="9"/>
              </w:numPr>
              <w:contextualSpacing/>
            </w:pPr>
            <w:r w:rsidRPr="003709A7">
              <w:t xml:space="preserve">Data </w:t>
            </w:r>
            <w:r>
              <w:t xml:space="preserve">is </w:t>
            </w:r>
            <w:r w:rsidRPr="003709A7">
              <w:t xml:space="preserve">now available through </w:t>
            </w:r>
            <w:r>
              <w:t>(Police Information Management System (</w:t>
            </w:r>
            <w:r w:rsidRPr="003709A7">
              <w:t>PIMS</w:t>
            </w:r>
            <w:r>
              <w:t>)</w:t>
            </w:r>
            <w:r w:rsidRPr="003709A7">
              <w:t xml:space="preserve"> and CMS to track gender dimensions</w:t>
            </w:r>
            <w:r>
              <w:t>,</w:t>
            </w:r>
            <w:r w:rsidRPr="003709A7">
              <w:t xml:space="preserve"> and allows identification of high rate areas that they can direct the crime prevention team to focus on and identify blocks across the system.</w:t>
            </w:r>
          </w:p>
        </w:tc>
        <w:tc>
          <w:tcPr>
            <w:tcW w:w="4059" w:type="dxa"/>
            <w:shd w:val="clear" w:color="auto" w:fill="FFFFFF" w:themeFill="background1"/>
          </w:tcPr>
          <w:p w14:paraId="619C8679" w14:textId="77777777" w:rsidR="000059AB" w:rsidRPr="003709A7" w:rsidRDefault="000059AB" w:rsidP="004E7C9F">
            <w:pPr>
              <w:numPr>
                <w:ilvl w:val="0"/>
                <w:numId w:val="9"/>
              </w:numPr>
              <w:contextualSpacing/>
            </w:pPr>
            <w:r w:rsidRPr="003709A7">
              <w:t xml:space="preserve">Gender training for recruits </w:t>
            </w:r>
            <w:r>
              <w:t xml:space="preserve">is </w:t>
            </w:r>
            <w:r w:rsidRPr="003709A7">
              <w:t>limited, with some unable to refer women victims to the right place within the VPF if they need to make a complaint or to the VWC</w:t>
            </w:r>
            <w:r>
              <w:t>.</w:t>
            </w:r>
          </w:p>
          <w:p w14:paraId="4CDFACA5" w14:textId="77777777" w:rsidR="000059AB" w:rsidRPr="003709A7" w:rsidRDefault="000059AB" w:rsidP="004E7C9F">
            <w:pPr>
              <w:numPr>
                <w:ilvl w:val="0"/>
                <w:numId w:val="9"/>
              </w:numPr>
              <w:contextualSpacing/>
            </w:pPr>
            <w:r w:rsidRPr="003709A7">
              <w:t xml:space="preserve">Delay in investigation after police complaints are filed due to lack of staff. </w:t>
            </w:r>
            <w:r>
              <w:t>This includes</w:t>
            </w:r>
            <w:r w:rsidRPr="003709A7">
              <w:t xml:space="preserve"> limited VPF officers in </w:t>
            </w:r>
            <w:r>
              <w:t xml:space="preserve">the </w:t>
            </w:r>
            <w:r w:rsidRPr="003709A7">
              <w:t>FPU</w:t>
            </w:r>
            <w:r w:rsidRPr="003709A7">
              <w:rPr>
                <w:vertAlign w:val="superscript"/>
              </w:rPr>
              <w:footnoteReference w:id="52"/>
            </w:r>
            <w:r w:rsidRPr="003709A7">
              <w:t xml:space="preserve">. </w:t>
            </w:r>
          </w:p>
          <w:p w14:paraId="3BEF0F55" w14:textId="77777777" w:rsidR="000059AB" w:rsidRPr="003709A7" w:rsidRDefault="000059AB" w:rsidP="004E7C9F">
            <w:pPr>
              <w:numPr>
                <w:ilvl w:val="0"/>
                <w:numId w:val="9"/>
              </w:numPr>
              <w:contextualSpacing/>
            </w:pPr>
            <w:r w:rsidRPr="003709A7">
              <w:t>Lack of basic resource allocation by VPF to support women’s application</w:t>
            </w:r>
            <w:r>
              <w:t>s or prosecutions of DV crimes</w:t>
            </w:r>
            <w:r w:rsidRPr="003709A7">
              <w:t xml:space="preserve"> (VWC must cover fuel money for the serving of protection orders and women’s travel costs to Port Vila, and victims have to pay to be checked for evidence at hospital).</w:t>
            </w:r>
          </w:p>
        </w:tc>
      </w:tr>
      <w:tr w:rsidR="000059AB" w:rsidRPr="003709A7" w14:paraId="0450BD29" w14:textId="77777777" w:rsidTr="009724CE">
        <w:tc>
          <w:tcPr>
            <w:tcW w:w="1271" w:type="dxa"/>
            <w:shd w:val="clear" w:color="auto" w:fill="8496B0" w:themeFill="text2" w:themeFillTint="99"/>
          </w:tcPr>
          <w:p w14:paraId="7BC01D8F" w14:textId="77777777" w:rsidR="000059AB" w:rsidRPr="005D4A89" w:rsidRDefault="000059AB" w:rsidP="009724CE">
            <w:pPr>
              <w:rPr>
                <w:b/>
                <w:color w:val="FFFFFF" w:themeColor="background1"/>
              </w:rPr>
            </w:pPr>
            <w:r w:rsidRPr="005D4A89">
              <w:rPr>
                <w:b/>
                <w:color w:val="FFFFFF" w:themeColor="background1"/>
              </w:rPr>
              <w:t>Prosecutions</w:t>
            </w:r>
          </w:p>
        </w:tc>
        <w:tc>
          <w:tcPr>
            <w:tcW w:w="3686" w:type="dxa"/>
            <w:shd w:val="clear" w:color="auto" w:fill="FFFFFF" w:themeFill="background1"/>
          </w:tcPr>
          <w:p w14:paraId="143AE94B" w14:textId="77777777" w:rsidR="000059AB" w:rsidRPr="003709A7" w:rsidRDefault="000059AB" w:rsidP="004E7C9F">
            <w:pPr>
              <w:numPr>
                <w:ilvl w:val="0"/>
                <w:numId w:val="9"/>
              </w:numPr>
              <w:contextualSpacing/>
            </w:pPr>
            <w:r w:rsidRPr="003709A7">
              <w:rPr>
                <w:rFonts w:ascii="Calibri" w:eastAsia="Calibri" w:hAnsi="Calibri" w:cs="Times New Roman"/>
              </w:rPr>
              <w:t>The OPP takes the prosecution of family violence and sexual offences seriously, evidenced by increase of cases prosecuted in 2019</w:t>
            </w:r>
            <w:r w:rsidRPr="003709A7">
              <w:rPr>
                <w:rFonts w:ascii="Calibri" w:eastAsia="Calibri" w:hAnsi="Calibri" w:cs="Times New Roman"/>
                <w:vertAlign w:val="superscript"/>
              </w:rPr>
              <w:footnoteReference w:id="53"/>
            </w:r>
            <w:r w:rsidRPr="003709A7">
              <w:rPr>
                <w:rFonts w:ascii="Calibri" w:eastAsia="Calibri" w:hAnsi="Calibri" w:cs="Times New Roman"/>
              </w:rPr>
              <w:t>.</w:t>
            </w:r>
          </w:p>
          <w:p w14:paraId="33149CEB" w14:textId="77777777" w:rsidR="000059AB" w:rsidRPr="003709A7" w:rsidRDefault="000059AB" w:rsidP="004E7C9F">
            <w:pPr>
              <w:numPr>
                <w:ilvl w:val="0"/>
                <w:numId w:val="9"/>
              </w:numPr>
              <w:contextualSpacing/>
            </w:pPr>
            <w:r w:rsidRPr="003709A7">
              <w:rPr>
                <w:rFonts w:ascii="Calibri" w:eastAsia="Calibri" w:hAnsi="Calibri" w:cs="Times New Roman"/>
              </w:rPr>
              <w:t>Victim impact statements now being read out to court during sentences.</w:t>
            </w:r>
          </w:p>
        </w:tc>
        <w:tc>
          <w:tcPr>
            <w:tcW w:w="4059" w:type="dxa"/>
            <w:shd w:val="clear" w:color="auto" w:fill="FFFFFF" w:themeFill="background1"/>
          </w:tcPr>
          <w:p w14:paraId="38D49F77" w14:textId="77777777" w:rsidR="000059AB" w:rsidRPr="003709A7" w:rsidRDefault="000059AB" w:rsidP="004E7C9F">
            <w:pPr>
              <w:numPr>
                <w:ilvl w:val="0"/>
                <w:numId w:val="9"/>
              </w:numPr>
              <w:contextualSpacing/>
            </w:pPr>
            <w:r w:rsidRPr="003709A7">
              <w:t>Family violence matters are considered less important and given less resourcing than serious crime matters</w:t>
            </w:r>
            <w:r w:rsidRPr="003709A7">
              <w:rPr>
                <w:vertAlign w:val="superscript"/>
              </w:rPr>
              <w:footnoteReference w:id="54"/>
            </w:r>
            <w:r w:rsidRPr="003709A7">
              <w:t>.</w:t>
            </w:r>
            <w:r w:rsidRPr="003709A7">
              <w:rPr>
                <w:rFonts w:ascii="Calibri" w:eastAsia="Calibri" w:hAnsi="Calibri" w:cs="Times New Roman"/>
              </w:rPr>
              <w:t xml:space="preserve"> </w:t>
            </w:r>
          </w:p>
          <w:p w14:paraId="4FF665A1" w14:textId="77777777" w:rsidR="000059AB" w:rsidRPr="003709A7" w:rsidRDefault="000059AB" w:rsidP="004E7C9F">
            <w:pPr>
              <w:numPr>
                <w:ilvl w:val="0"/>
                <w:numId w:val="9"/>
              </w:numPr>
              <w:contextualSpacing/>
            </w:pPr>
            <w:r w:rsidRPr="003709A7">
              <w:rPr>
                <w:rFonts w:eastAsia="Calibri" w:cs="Times New Roman"/>
              </w:rPr>
              <w:t>Lack of understanding of gender issues across senior leadership</w:t>
            </w:r>
            <w:r>
              <w:rPr>
                <w:rFonts w:eastAsia="Calibri" w:cs="Times New Roman"/>
              </w:rPr>
              <w:t>.</w:t>
            </w:r>
          </w:p>
          <w:p w14:paraId="3AA5C3AE" w14:textId="77777777" w:rsidR="000059AB" w:rsidRPr="003709A7" w:rsidRDefault="000059AB" w:rsidP="004E7C9F">
            <w:pPr>
              <w:numPr>
                <w:ilvl w:val="0"/>
                <w:numId w:val="9"/>
              </w:numPr>
              <w:contextualSpacing/>
            </w:pPr>
            <w:r w:rsidRPr="003709A7">
              <w:t>The quality of witness support is dependent on the level of prosecutor awareness of the gender components of a crime (with some not conducting a witness briefing before the trial)</w:t>
            </w:r>
            <w:r>
              <w:t>.</w:t>
            </w:r>
          </w:p>
        </w:tc>
      </w:tr>
      <w:tr w:rsidR="000059AB" w:rsidRPr="003709A7" w14:paraId="42EE208C" w14:textId="77777777" w:rsidTr="009724CE">
        <w:tc>
          <w:tcPr>
            <w:tcW w:w="1271" w:type="dxa"/>
            <w:shd w:val="clear" w:color="auto" w:fill="8496B0" w:themeFill="text2" w:themeFillTint="99"/>
          </w:tcPr>
          <w:p w14:paraId="2875844B" w14:textId="77777777" w:rsidR="000059AB" w:rsidRPr="003709A7" w:rsidRDefault="000059AB" w:rsidP="009724CE">
            <w:r w:rsidRPr="005D4A89">
              <w:rPr>
                <w:b/>
                <w:color w:val="FFFFFF" w:themeColor="background1"/>
              </w:rPr>
              <w:t>Courts</w:t>
            </w:r>
          </w:p>
        </w:tc>
        <w:tc>
          <w:tcPr>
            <w:tcW w:w="3686" w:type="dxa"/>
            <w:shd w:val="clear" w:color="auto" w:fill="FFFFFF" w:themeFill="background1"/>
          </w:tcPr>
          <w:p w14:paraId="3F610624" w14:textId="77777777" w:rsidR="000059AB" w:rsidRPr="003709A7" w:rsidRDefault="000059AB" w:rsidP="004E7C9F">
            <w:pPr>
              <w:numPr>
                <w:ilvl w:val="0"/>
                <w:numId w:val="9"/>
              </w:numPr>
              <w:contextualSpacing/>
            </w:pPr>
            <w:r w:rsidRPr="003709A7">
              <w:t xml:space="preserve">Increase in the </w:t>
            </w:r>
            <w:r>
              <w:t>Ma</w:t>
            </w:r>
            <w:r w:rsidRPr="003709A7">
              <w:t>gistrate</w:t>
            </w:r>
            <w:r>
              <w:t>s</w:t>
            </w:r>
            <w:r w:rsidRPr="003709A7">
              <w:t xml:space="preserve">’ </w:t>
            </w:r>
            <w:r>
              <w:t>C</w:t>
            </w:r>
            <w:r w:rsidRPr="003709A7">
              <w:t xml:space="preserve">ourt issuing protection </w:t>
            </w:r>
            <w:r>
              <w:t>o</w:t>
            </w:r>
            <w:r w:rsidRPr="003709A7">
              <w:t>rders</w:t>
            </w:r>
            <w:r w:rsidRPr="003709A7">
              <w:rPr>
                <w:vertAlign w:val="superscript"/>
              </w:rPr>
              <w:footnoteReference w:id="55"/>
            </w:r>
          </w:p>
          <w:p w14:paraId="08356534" w14:textId="77777777" w:rsidR="000059AB" w:rsidRPr="003709A7" w:rsidRDefault="000059AB" w:rsidP="004E7C9F">
            <w:pPr>
              <w:numPr>
                <w:ilvl w:val="0"/>
                <w:numId w:val="9"/>
              </w:numPr>
              <w:contextualSpacing/>
            </w:pPr>
            <w:r w:rsidRPr="003709A7">
              <w:t>Courts are responding more quickly to cases</w:t>
            </w:r>
            <w:r w:rsidRPr="003709A7">
              <w:rPr>
                <w:vertAlign w:val="superscript"/>
              </w:rPr>
              <w:footnoteReference w:id="56"/>
            </w:r>
            <w:r w:rsidRPr="003709A7">
              <w:t xml:space="preserve"> and less protections orders are being dismissed by the court</w:t>
            </w:r>
            <w:r w:rsidRPr="003709A7">
              <w:rPr>
                <w:vertAlign w:val="superscript"/>
              </w:rPr>
              <w:footnoteReference w:id="57"/>
            </w:r>
          </w:p>
          <w:p w14:paraId="0378325E" w14:textId="77777777" w:rsidR="000059AB" w:rsidRPr="003709A7" w:rsidRDefault="000059AB" w:rsidP="004E7C9F">
            <w:pPr>
              <w:numPr>
                <w:ilvl w:val="0"/>
                <w:numId w:val="9"/>
              </w:numPr>
              <w:contextualSpacing/>
            </w:pPr>
            <w:r w:rsidRPr="003709A7">
              <w:t>The 2016 amendment</w:t>
            </w:r>
            <w:r w:rsidR="005F3519">
              <w:t xml:space="preserve"> to criminal code</w:t>
            </w:r>
            <w:r w:rsidRPr="003709A7">
              <w:t xml:space="preserve"> raised punishments for morality offences</w:t>
            </w:r>
            <w:r>
              <w:t xml:space="preserve"> </w:t>
            </w:r>
            <w:r w:rsidR="005F3519">
              <w:t xml:space="preserve"> </w:t>
            </w:r>
          </w:p>
        </w:tc>
        <w:tc>
          <w:tcPr>
            <w:tcW w:w="4059" w:type="dxa"/>
            <w:shd w:val="clear" w:color="auto" w:fill="FFFFFF" w:themeFill="background1"/>
          </w:tcPr>
          <w:p w14:paraId="3530F5A6" w14:textId="77777777" w:rsidR="000059AB" w:rsidRPr="003709A7" w:rsidRDefault="000059AB" w:rsidP="004E7C9F">
            <w:pPr>
              <w:numPr>
                <w:ilvl w:val="0"/>
                <w:numId w:val="9"/>
              </w:numPr>
              <w:contextualSpacing/>
            </w:pPr>
            <w:r w:rsidRPr="003709A7">
              <w:t xml:space="preserve">Some magistrates turn to cultural and religious views when delivering judgements. </w:t>
            </w:r>
          </w:p>
          <w:p w14:paraId="324CAF4E" w14:textId="77777777" w:rsidR="000059AB" w:rsidRPr="003709A7" w:rsidRDefault="000059AB" w:rsidP="009724CE">
            <w:pPr>
              <w:ind w:left="360"/>
              <w:contextualSpacing/>
            </w:pPr>
          </w:p>
        </w:tc>
      </w:tr>
    </w:tbl>
    <w:p w14:paraId="44637333" w14:textId="77777777" w:rsidR="000059AB" w:rsidRPr="003709A7" w:rsidRDefault="000059AB" w:rsidP="000059AB">
      <w:pPr>
        <w:spacing w:after="0" w:line="240" w:lineRule="auto"/>
        <w:jc w:val="both"/>
        <w:rPr>
          <w:rFonts w:ascii="Calibri" w:eastAsia="Calibri" w:hAnsi="Calibri" w:cs="Times New Roman"/>
        </w:rPr>
      </w:pPr>
      <w:r w:rsidRPr="003709A7">
        <w:br/>
      </w:r>
      <w:bookmarkStart w:id="40" w:name="_Hlk26961151"/>
      <w:r w:rsidRPr="003709A7">
        <w:rPr>
          <w:rFonts w:ascii="Calibri" w:eastAsia="Calibri" w:hAnsi="Calibri" w:cs="Times New Roman"/>
        </w:rPr>
        <w:t xml:space="preserve">The VWC has played a critical role in supporting program activities. It has: conducted community awareness raising activities in collaboration with lawyers; conducted awareness raising for APs to ensure that they are aware of and able to provide referrals to the VWC; and provided gender training for VPF officers. Importantly, the VWC facilitates a gender equality male </w:t>
      </w:r>
      <w:proofErr w:type="gramStart"/>
      <w:r w:rsidRPr="003709A7">
        <w:rPr>
          <w:rFonts w:ascii="Calibri" w:eastAsia="Calibri" w:hAnsi="Calibri" w:cs="Times New Roman"/>
        </w:rPr>
        <w:t>advocates</w:t>
      </w:r>
      <w:proofErr w:type="gramEnd"/>
      <w:r w:rsidRPr="003709A7">
        <w:rPr>
          <w:rFonts w:ascii="Calibri" w:eastAsia="Calibri" w:hAnsi="Calibri" w:cs="Times New Roman"/>
        </w:rPr>
        <w:t xml:space="preserve"> network,</w:t>
      </w:r>
      <w:r w:rsidRPr="003709A7">
        <w:rPr>
          <w:rFonts w:ascii="Calibri" w:eastAsia="Calibri" w:hAnsi="Calibri" w:cs="Times New Roman"/>
          <w:vertAlign w:val="superscript"/>
        </w:rPr>
        <w:footnoteReference w:id="58"/>
      </w:r>
      <w:r w:rsidRPr="003709A7">
        <w:rPr>
          <w:rFonts w:ascii="Calibri" w:eastAsia="Calibri" w:hAnsi="Calibri" w:cs="Times New Roman"/>
        </w:rPr>
        <w:t xml:space="preserve"> of which the former head of the FPU was a member and strong influencer within the VPF.</w:t>
      </w:r>
      <w:r w:rsidRPr="003709A7">
        <w:t xml:space="preserve"> </w:t>
      </w:r>
      <w:r w:rsidRPr="003709A7">
        <w:rPr>
          <w:rFonts w:ascii="Calibri" w:eastAsia="Calibri" w:hAnsi="Calibri" w:cs="Times New Roman"/>
        </w:rPr>
        <w:t>The VWC also plays a critical role in providing client support to assist women reporting FSV offences and helping them access the court system</w:t>
      </w:r>
      <w:r w:rsidRPr="003709A7">
        <w:rPr>
          <w:rFonts w:ascii="Calibri" w:eastAsia="Calibri" w:hAnsi="Calibri" w:cs="Times New Roman"/>
          <w:vertAlign w:val="superscript"/>
        </w:rPr>
        <w:footnoteReference w:id="59"/>
      </w:r>
      <w:r w:rsidRPr="003709A7">
        <w:rPr>
          <w:rFonts w:ascii="Calibri" w:eastAsia="Calibri" w:hAnsi="Calibri" w:cs="Times New Roman"/>
        </w:rPr>
        <w:t>. This includes covering VPF fuel costs to ensure police officers serve protection orders and covering flight costs for police offices and suspects (to ensure perpetrators are sent to the remand centre), and for women to travel to appear in court.</w:t>
      </w:r>
      <w:r>
        <w:rPr>
          <w:rFonts w:ascii="Calibri" w:eastAsia="Calibri" w:hAnsi="Calibri" w:cs="Times New Roman"/>
        </w:rPr>
        <w:t xml:space="preserve"> While these activities are unsustainable and increase VPF reliance on external funding, they are critical to the chain of justice and the protection and safety of women experiencing FSV. </w:t>
      </w:r>
      <w:r w:rsidRPr="003709A7">
        <w:rPr>
          <w:rFonts w:ascii="Calibri" w:eastAsia="Calibri" w:hAnsi="Calibri" w:cs="Times New Roman"/>
        </w:rPr>
        <w:t xml:space="preserve">These project activities are not funded under </w:t>
      </w:r>
      <w:r>
        <w:rPr>
          <w:rFonts w:ascii="Calibri" w:eastAsia="Calibri" w:hAnsi="Calibri" w:cs="Times New Roman"/>
        </w:rPr>
        <w:t>SRBJS</w:t>
      </w:r>
      <w:r w:rsidRPr="003709A7">
        <w:rPr>
          <w:rFonts w:ascii="Calibri" w:eastAsia="Calibri" w:hAnsi="Calibri" w:cs="Times New Roman"/>
        </w:rPr>
        <w:t xml:space="preserve">, but through another DFAT funded program of support, and have been critical to the </w:t>
      </w:r>
      <w:r>
        <w:rPr>
          <w:rFonts w:ascii="Calibri" w:eastAsia="Calibri" w:hAnsi="Calibri" w:cs="Times New Roman"/>
        </w:rPr>
        <w:t>P</w:t>
      </w:r>
      <w:r w:rsidRPr="003709A7">
        <w:rPr>
          <w:rFonts w:ascii="Calibri" w:eastAsia="Calibri" w:hAnsi="Calibri" w:cs="Times New Roman"/>
        </w:rPr>
        <w:t>rogram’s gender work.</w:t>
      </w:r>
    </w:p>
    <w:bookmarkEnd w:id="40"/>
    <w:p w14:paraId="36474B49" w14:textId="77777777" w:rsidR="000059AB" w:rsidRPr="003709A7" w:rsidRDefault="000059AB" w:rsidP="000059AB">
      <w:pPr>
        <w:spacing w:after="0" w:line="240" w:lineRule="auto"/>
        <w:jc w:val="both"/>
        <w:rPr>
          <w:rFonts w:ascii="Calibri" w:eastAsia="Calibri" w:hAnsi="Calibri" w:cs="Times New Roman"/>
        </w:rPr>
      </w:pPr>
    </w:p>
    <w:p w14:paraId="68200E9A" w14:textId="77777777" w:rsidR="000059AB" w:rsidRPr="003709A7" w:rsidRDefault="000059AB" w:rsidP="000059AB">
      <w:pPr>
        <w:spacing w:after="0" w:line="240" w:lineRule="auto"/>
        <w:jc w:val="both"/>
        <w:rPr>
          <w:rFonts w:ascii="Calibri" w:eastAsia="Calibri" w:hAnsi="Calibri" w:cs="Times New Roman"/>
        </w:rPr>
      </w:pPr>
      <w:r w:rsidRPr="003709A7">
        <w:rPr>
          <w:rFonts w:ascii="Calibri" w:eastAsia="Calibri" w:hAnsi="Calibri" w:cs="Times New Roman"/>
        </w:rPr>
        <w:t>Training</w:t>
      </w:r>
      <w:r>
        <w:rPr>
          <w:rFonts w:ascii="Calibri" w:eastAsia="Calibri" w:hAnsi="Calibri" w:cs="Times New Roman"/>
        </w:rPr>
        <w:t xml:space="preserve"> and workshops</w:t>
      </w:r>
      <w:r w:rsidRPr="003709A7">
        <w:rPr>
          <w:rFonts w:ascii="Calibri" w:eastAsia="Calibri" w:hAnsi="Calibri" w:cs="Times New Roman"/>
        </w:rPr>
        <w:t xml:space="preserve"> ha</w:t>
      </w:r>
      <w:r>
        <w:rPr>
          <w:rFonts w:ascii="Calibri" w:eastAsia="Calibri" w:hAnsi="Calibri" w:cs="Times New Roman"/>
        </w:rPr>
        <w:t>ve</w:t>
      </w:r>
      <w:r w:rsidRPr="003709A7">
        <w:rPr>
          <w:rFonts w:ascii="Calibri" w:eastAsia="Calibri" w:hAnsi="Calibri" w:cs="Times New Roman"/>
        </w:rPr>
        <w:t xml:space="preserve"> been used as a primary modality to create awareness of gender issues. The </w:t>
      </w:r>
      <w:r>
        <w:rPr>
          <w:rFonts w:ascii="Calibri" w:eastAsia="Calibri" w:hAnsi="Calibri" w:cs="Times New Roman"/>
        </w:rPr>
        <w:t>P</w:t>
      </w:r>
      <w:r w:rsidRPr="003709A7">
        <w:rPr>
          <w:rFonts w:ascii="Calibri" w:eastAsia="Calibri" w:hAnsi="Calibri" w:cs="Times New Roman"/>
        </w:rPr>
        <w:t>rogram has sought to ensure women participate in training, largely achieving planned targets</w:t>
      </w:r>
      <w:r w:rsidRPr="003709A7">
        <w:rPr>
          <w:rFonts w:ascii="Calibri" w:eastAsia="Calibri" w:hAnsi="Calibri" w:cs="Times New Roman"/>
          <w:vertAlign w:val="superscript"/>
        </w:rPr>
        <w:footnoteReference w:id="60"/>
      </w:r>
      <w:r w:rsidRPr="003709A7">
        <w:rPr>
          <w:rFonts w:ascii="Calibri" w:eastAsia="Calibri" w:hAnsi="Calibri" w:cs="Times New Roman"/>
        </w:rPr>
        <w:t xml:space="preserve">. It has also sought to ensure various stakeholder groups across the policing and justice continuum receive gender training, particularly on the FPA. An appropriate level of investment has been placed on training police officers at officer and executive levels. There is </w:t>
      </w:r>
      <w:r>
        <w:rPr>
          <w:rFonts w:ascii="Calibri" w:eastAsia="Calibri" w:hAnsi="Calibri" w:cs="Times New Roman"/>
        </w:rPr>
        <w:t xml:space="preserve">an </w:t>
      </w:r>
      <w:r w:rsidRPr="003709A7">
        <w:rPr>
          <w:rFonts w:ascii="Calibri" w:eastAsia="Calibri" w:hAnsi="Calibri" w:cs="Times New Roman"/>
        </w:rPr>
        <w:t xml:space="preserve">opportunity to build on trainings, supporting partnerships and other forms of </w:t>
      </w:r>
      <w:r>
        <w:rPr>
          <w:rFonts w:ascii="Calibri" w:eastAsia="Calibri" w:hAnsi="Calibri" w:cs="Times New Roman"/>
        </w:rPr>
        <w:t>assistance</w:t>
      </w:r>
      <w:r w:rsidRPr="003709A7">
        <w:rPr>
          <w:rFonts w:ascii="Calibri" w:eastAsia="Calibri" w:hAnsi="Calibri" w:cs="Times New Roman"/>
        </w:rPr>
        <w:t xml:space="preserve"> that enable officers to develop and apply practical skills in the workplace and effect systems changes that are encompassing of women’s gendered experience of the policing </w:t>
      </w:r>
      <w:r w:rsidRPr="00565A1A">
        <w:rPr>
          <w:rFonts w:ascii="Calibri" w:eastAsia="Calibri" w:hAnsi="Calibri" w:cs="Times New Roman"/>
        </w:rPr>
        <w:t>and justice system, and support greater equitable access. Insufficient effort has been given to training</w:t>
      </w:r>
      <w:r w:rsidR="00F308E7" w:rsidRPr="00565A1A">
        <w:rPr>
          <w:rFonts w:ascii="Calibri" w:eastAsia="Calibri" w:hAnsi="Calibri" w:cs="Times New Roman"/>
        </w:rPr>
        <w:t xml:space="preserve"> prosecution</w:t>
      </w:r>
      <w:r w:rsidRPr="00565A1A">
        <w:rPr>
          <w:rFonts w:ascii="Calibri" w:eastAsia="Calibri" w:hAnsi="Calibri" w:cs="Times New Roman"/>
        </w:rPr>
        <w:t xml:space="preserve"> lawyers, and supporting them to understand the gendered dimensions of particular crimes and the barriers women may experience in accessing and using the justice system.</w:t>
      </w:r>
      <w:r w:rsidRPr="003709A7">
        <w:rPr>
          <w:rFonts w:ascii="Calibri" w:eastAsia="Calibri" w:hAnsi="Calibri" w:cs="Times New Roman"/>
        </w:rPr>
        <w:t xml:space="preserve"> </w:t>
      </w:r>
    </w:p>
    <w:p w14:paraId="30DD170B" w14:textId="77777777" w:rsidR="000059AB" w:rsidRPr="003709A7" w:rsidRDefault="000059AB" w:rsidP="000059AB">
      <w:pPr>
        <w:spacing w:after="0" w:line="240" w:lineRule="auto"/>
        <w:jc w:val="both"/>
        <w:rPr>
          <w:rFonts w:ascii="Calibri" w:eastAsia="Calibri" w:hAnsi="Calibri" w:cs="Times New Roman"/>
        </w:rPr>
      </w:pPr>
    </w:p>
    <w:p w14:paraId="2CC9C675" w14:textId="77777777" w:rsidR="000059AB" w:rsidRPr="003709A7" w:rsidRDefault="000059AB" w:rsidP="005F3519">
      <w:pPr>
        <w:spacing w:after="100" w:line="240" w:lineRule="auto"/>
        <w:jc w:val="both"/>
        <w:rPr>
          <w:rFonts w:ascii="Calibri" w:eastAsia="Calibri" w:hAnsi="Calibri" w:cs="Times New Roman"/>
        </w:rPr>
      </w:pPr>
      <w:r>
        <w:rPr>
          <w:rFonts w:ascii="Calibri" w:eastAsia="Calibri" w:hAnsi="Calibri" w:cs="Times New Roman"/>
        </w:rPr>
        <w:t>SRBJS</w:t>
      </w:r>
      <w:r w:rsidRPr="003709A7">
        <w:rPr>
          <w:rFonts w:ascii="Calibri" w:eastAsia="Calibri" w:hAnsi="Calibri" w:cs="Times New Roman"/>
        </w:rPr>
        <w:t xml:space="preserve"> does not have a gender advis</w:t>
      </w:r>
      <w:r>
        <w:rPr>
          <w:rFonts w:ascii="Calibri" w:eastAsia="Calibri" w:hAnsi="Calibri" w:cs="Times New Roman"/>
        </w:rPr>
        <w:t>e</w:t>
      </w:r>
      <w:r w:rsidRPr="003709A7">
        <w:rPr>
          <w:rFonts w:ascii="Calibri" w:eastAsia="Calibri" w:hAnsi="Calibri" w:cs="Times New Roman"/>
        </w:rPr>
        <w:t xml:space="preserve">r or an allocated budget specified for gender. There is </w:t>
      </w:r>
      <w:r>
        <w:rPr>
          <w:rFonts w:ascii="Calibri" w:eastAsia="Calibri" w:hAnsi="Calibri" w:cs="Times New Roman"/>
        </w:rPr>
        <w:t xml:space="preserve">a </w:t>
      </w:r>
      <w:r w:rsidRPr="003709A7">
        <w:rPr>
          <w:rFonts w:ascii="Calibri" w:eastAsia="Calibri" w:hAnsi="Calibri" w:cs="Times New Roman"/>
        </w:rPr>
        <w:t xml:space="preserve">need to ensure the </w:t>
      </w:r>
      <w:r>
        <w:rPr>
          <w:rFonts w:ascii="Calibri" w:eastAsia="Calibri" w:hAnsi="Calibri" w:cs="Times New Roman"/>
        </w:rPr>
        <w:t>P</w:t>
      </w:r>
      <w:r w:rsidRPr="003709A7">
        <w:rPr>
          <w:rFonts w:ascii="Calibri" w:eastAsia="Calibri" w:hAnsi="Calibri" w:cs="Times New Roman"/>
        </w:rPr>
        <w:t>rogram’s gender component is supported by whole of program strategic analysis, reflection and strategy development</w:t>
      </w:r>
      <w:r>
        <w:rPr>
          <w:rFonts w:ascii="Calibri" w:eastAsia="Calibri" w:hAnsi="Calibri" w:cs="Times New Roman"/>
        </w:rPr>
        <w:t xml:space="preserve"> </w:t>
      </w:r>
      <w:r>
        <w:t>and to ensure gender is understood and owned by all advisers and fully embedded into all of their work.</w:t>
      </w:r>
      <w:r w:rsidRPr="003709A7">
        <w:rPr>
          <w:rFonts w:ascii="Calibri" w:eastAsia="Calibri" w:hAnsi="Calibri" w:cs="Times New Roman"/>
        </w:rPr>
        <w:t xml:space="preserve"> While the </w:t>
      </w:r>
      <w:r>
        <w:rPr>
          <w:rFonts w:ascii="Calibri" w:eastAsia="Calibri" w:hAnsi="Calibri" w:cs="Times New Roman"/>
        </w:rPr>
        <w:t>P</w:t>
      </w:r>
      <w:r w:rsidRPr="003709A7">
        <w:rPr>
          <w:rFonts w:ascii="Calibri" w:eastAsia="Calibri" w:hAnsi="Calibri" w:cs="Times New Roman"/>
        </w:rPr>
        <w:t xml:space="preserve">rogram has tried to address several systematic gender issues, there are several priority issues that require deeper attention and broader solutions, that could be supported by the stronger Australian influencing and placing of </w:t>
      </w:r>
      <w:proofErr w:type="spellStart"/>
      <w:r w:rsidRPr="003709A7">
        <w:rPr>
          <w:rFonts w:ascii="Calibri" w:eastAsia="Calibri" w:hAnsi="Calibri" w:cs="Times New Roman"/>
        </w:rPr>
        <w:t>conditionalities</w:t>
      </w:r>
      <w:proofErr w:type="spellEnd"/>
      <w:r w:rsidRPr="003709A7">
        <w:rPr>
          <w:rFonts w:ascii="Calibri" w:eastAsia="Calibri" w:hAnsi="Calibri" w:cs="Times New Roman"/>
        </w:rPr>
        <w:t>, strategic use of data, research, engagement and influencing of male advocates, enhanced cross-sector coordination and strategy development. These include:</w:t>
      </w:r>
    </w:p>
    <w:p w14:paraId="53CF3897" w14:textId="77777777" w:rsidR="000059AB" w:rsidRPr="003709A7" w:rsidRDefault="000059AB" w:rsidP="004E7C9F">
      <w:pPr>
        <w:numPr>
          <w:ilvl w:val="0"/>
          <w:numId w:val="4"/>
        </w:numPr>
        <w:spacing w:after="0" w:line="240" w:lineRule="auto"/>
        <w:ind w:left="425" w:right="96" w:hanging="425"/>
        <w:contextualSpacing/>
        <w:jc w:val="both"/>
      </w:pPr>
      <w:r w:rsidRPr="003709A7">
        <w:rPr>
          <w:rFonts w:ascii="Calibri" w:hAnsi="Calibri" w:cs="Calibri"/>
          <w:b/>
        </w:rPr>
        <w:t>Disproportionately high FPU Workload</w:t>
      </w:r>
      <w:r w:rsidRPr="003709A7">
        <w:rPr>
          <w:rFonts w:ascii="Calibri" w:hAnsi="Calibri" w:cs="Calibri"/>
          <w:vertAlign w:val="superscript"/>
        </w:rPr>
        <w:footnoteReference w:id="61"/>
      </w:r>
      <w:r w:rsidRPr="003709A7">
        <w:rPr>
          <w:rFonts w:ascii="Calibri" w:hAnsi="Calibri" w:cs="Calibri"/>
          <w:b/>
        </w:rPr>
        <w:t xml:space="preserve"> </w:t>
      </w:r>
      <w:r w:rsidRPr="003709A7">
        <w:rPr>
          <w:rFonts w:ascii="Calibri" w:hAnsi="Calibri" w:cs="Calibri"/>
        </w:rPr>
        <w:t xml:space="preserve">– Port </w:t>
      </w:r>
      <w:r w:rsidRPr="003709A7">
        <w:rPr>
          <w:noProof/>
          <w:lang w:val="en-US" w:eastAsia="en-AU"/>
        </w:rPr>
        <w:t>Vila FPU has the second largest offence load</w:t>
      </w:r>
      <w:r>
        <w:rPr>
          <w:noProof/>
          <w:lang w:val="en-US" w:eastAsia="en-AU"/>
        </w:rPr>
        <w:t xml:space="preserve"> of PV station</w:t>
      </w:r>
      <w:r w:rsidRPr="003709A7">
        <w:rPr>
          <w:noProof/>
          <w:lang w:val="en-US" w:eastAsia="en-AU"/>
        </w:rPr>
        <w:t>, carrying 3,361 offences, 13% of the overall offence load</w:t>
      </w:r>
      <w:r w:rsidRPr="003709A7">
        <w:rPr>
          <w:noProof/>
          <w:vertAlign w:val="superscript"/>
          <w:lang w:val="en-US" w:eastAsia="en-AU"/>
        </w:rPr>
        <w:footnoteReference w:id="62"/>
      </w:r>
      <w:r w:rsidRPr="003709A7">
        <w:rPr>
          <w:noProof/>
          <w:lang w:val="en-US" w:eastAsia="en-AU"/>
        </w:rPr>
        <w:t>.This figure reflects the high proportion of the caseload carried by the FPU, which is currently staffed by four officers</w:t>
      </w:r>
      <w:r>
        <w:rPr>
          <w:rStyle w:val="FootnoteReference"/>
          <w:noProof/>
          <w:lang w:val="en-US" w:eastAsia="en-AU"/>
        </w:rPr>
        <w:footnoteReference w:id="63"/>
      </w:r>
      <w:r w:rsidRPr="003709A7">
        <w:rPr>
          <w:noProof/>
          <w:lang w:val="en-US" w:eastAsia="en-AU"/>
        </w:rPr>
        <w:t xml:space="preserve"> (out of its set staffing allocation of 12). FPU is </w:t>
      </w:r>
      <w:r>
        <w:rPr>
          <w:noProof/>
          <w:lang w:val="en-US" w:eastAsia="en-AU"/>
        </w:rPr>
        <w:t xml:space="preserve">currently </w:t>
      </w:r>
      <w:r w:rsidRPr="003709A7">
        <w:rPr>
          <w:noProof/>
          <w:lang w:val="en-US" w:eastAsia="en-AU"/>
        </w:rPr>
        <w:t>staffed solely by women, with some stakeholders reporting concern that FSV can be seen as a women’s issue that is not sufficiently resourced or prioritised</w:t>
      </w:r>
      <w:r w:rsidRPr="003709A7">
        <w:rPr>
          <w:noProof/>
          <w:vertAlign w:val="superscript"/>
          <w:lang w:val="en-US" w:eastAsia="en-AU"/>
        </w:rPr>
        <w:footnoteReference w:id="64"/>
      </w:r>
      <w:r w:rsidRPr="003709A7">
        <w:rPr>
          <w:noProof/>
          <w:lang w:val="en-US" w:eastAsia="en-AU"/>
        </w:rPr>
        <w:t>.</w:t>
      </w:r>
    </w:p>
    <w:p w14:paraId="4FBADAA3" w14:textId="77777777" w:rsidR="000059AB" w:rsidRPr="003709A7" w:rsidRDefault="000059AB" w:rsidP="004E7C9F">
      <w:pPr>
        <w:numPr>
          <w:ilvl w:val="0"/>
          <w:numId w:val="4"/>
        </w:numPr>
        <w:spacing w:after="0" w:line="240" w:lineRule="auto"/>
        <w:ind w:left="425" w:right="96" w:hanging="425"/>
        <w:contextualSpacing/>
        <w:jc w:val="both"/>
      </w:pPr>
      <w:r w:rsidRPr="003709A7">
        <w:rPr>
          <w:b/>
        </w:rPr>
        <w:t xml:space="preserve">Women’s representation </w:t>
      </w:r>
      <w:r>
        <w:rPr>
          <w:b/>
        </w:rPr>
        <w:t xml:space="preserve">in </w:t>
      </w:r>
      <w:r w:rsidRPr="003709A7">
        <w:rPr>
          <w:b/>
        </w:rPr>
        <w:t>senior roles</w:t>
      </w:r>
      <w:r w:rsidRPr="003709A7">
        <w:t xml:space="preserve"> – Women’s </w:t>
      </w:r>
      <w:r w:rsidR="0020223E">
        <w:t xml:space="preserve">overall </w:t>
      </w:r>
      <w:r w:rsidRPr="003709A7">
        <w:t>representation in the VFP has increased marginally</w:t>
      </w:r>
      <w:r>
        <w:t>, since 2015</w:t>
      </w:r>
      <w:r w:rsidRPr="003709A7">
        <w:rPr>
          <w:vertAlign w:val="superscript"/>
        </w:rPr>
        <w:footnoteReference w:id="65"/>
      </w:r>
      <w:r>
        <w:t xml:space="preserve"> with a representation rate of 18% (117 women out of a 635 force). While this may be partially due to decreasing rates of male participation due to retirements (as the overall force strength has dropped from 684 to 635 since 2015), overall women’s representation is a high female percentage for the Pacific. Women’s holding of leadership roles in the VPF is at a dismal 0.31% (2 women out of a total of 635 VPF members hold senior roles - Inspector or above, and no women sit on the Executive) and at 1.7% of the female cohort (2/117). Women are also at 2.5% of the total leadership cohort of 81 (2/81). </w:t>
      </w:r>
      <w:r w:rsidRPr="003709A7">
        <w:t>Several of the recommendations made in the 2015 Evaluation of the Participation of Women in the VPF have not been implemented</w:t>
      </w:r>
      <w:r w:rsidRPr="003709A7">
        <w:rPr>
          <w:vertAlign w:val="superscript"/>
        </w:rPr>
        <w:footnoteReference w:id="66"/>
      </w:r>
      <w:r w:rsidRPr="003709A7">
        <w:t xml:space="preserve">. </w:t>
      </w:r>
      <w:r>
        <w:t>One of</w:t>
      </w:r>
      <w:r w:rsidRPr="003709A7">
        <w:t xml:space="preserve"> largest barrier</w:t>
      </w:r>
      <w:r>
        <w:t>s</w:t>
      </w:r>
      <w:r w:rsidRPr="003709A7">
        <w:t xml:space="preserve"> to women’s career development is reportedly their ability to access more specialised forms of training. WAN reported that while commanders mandated women’s participation in a range of trainings, their participation was effectively denied by HR. While </w:t>
      </w:r>
      <w:r>
        <w:t>SRBJS</w:t>
      </w:r>
      <w:r w:rsidRPr="003709A7">
        <w:t xml:space="preserve"> works directly with HR, it does not appear to be cognisant of this issue.</w:t>
      </w:r>
      <w:r>
        <w:t xml:space="preserve"> </w:t>
      </w:r>
    </w:p>
    <w:p w14:paraId="4E627AA0" w14:textId="77777777" w:rsidR="000059AB" w:rsidRDefault="000059AB" w:rsidP="004E7C9F">
      <w:pPr>
        <w:numPr>
          <w:ilvl w:val="0"/>
          <w:numId w:val="4"/>
        </w:numPr>
        <w:spacing w:after="0" w:line="240" w:lineRule="auto"/>
        <w:ind w:left="425" w:right="96" w:hanging="425"/>
        <w:contextualSpacing/>
        <w:jc w:val="both"/>
      </w:pPr>
      <w:r w:rsidRPr="003709A7">
        <w:rPr>
          <w:b/>
        </w:rPr>
        <w:t>Increasing gender equity of VPF recruits</w:t>
      </w:r>
      <w:r w:rsidRPr="003709A7">
        <w:t xml:space="preserve"> – </w:t>
      </w:r>
      <w:r>
        <w:t xml:space="preserve">The last intake of recruits had </w:t>
      </w:r>
      <w:r w:rsidRPr="009C6E0A">
        <w:t>just eight women out of 60 (13% women)</w:t>
      </w:r>
      <w:r w:rsidR="00675366">
        <w:t xml:space="preserve">, which may have been partially </w:t>
      </w:r>
      <w:r>
        <w:t xml:space="preserve">a result of restrictions placed on </w:t>
      </w:r>
      <w:r w:rsidR="00675366">
        <w:t xml:space="preserve">applicants’ </w:t>
      </w:r>
      <w:r w:rsidRPr="009C6E0A">
        <w:t xml:space="preserve">marriage and child status. This is the lowest representation of women in any of the intakes so far and below the </w:t>
      </w:r>
      <w:r>
        <w:t xml:space="preserve">VPF’s </w:t>
      </w:r>
      <w:r w:rsidRPr="009C6E0A">
        <w:t>target</w:t>
      </w:r>
      <w:r>
        <w:t xml:space="preserve"> </w:t>
      </w:r>
      <w:r w:rsidRPr="009C6E0A">
        <w:t>of 35%.</w:t>
      </w:r>
      <w:r>
        <w:t xml:space="preserve"> </w:t>
      </w:r>
      <w:r w:rsidR="005F3519">
        <w:t>The disappointing outcome on this occasion does not reflect the effort that advisers and DFAT made to advocate for changes to the formal regulations which impacted on selection, nor on past decisions of VPF which had increased female recruitment.  T</w:t>
      </w:r>
      <w:r w:rsidRPr="003709A7">
        <w:t xml:space="preserve">he </w:t>
      </w:r>
      <w:r w:rsidR="005F3519">
        <w:t>same regulations did not have the same impact on the selection of</w:t>
      </w:r>
      <w:r w:rsidRPr="003709A7">
        <w:t xml:space="preserve"> VMF recruits</w:t>
      </w:r>
      <w:r w:rsidR="005F3519">
        <w:t xml:space="preserve"> </w:t>
      </w:r>
      <w:r w:rsidR="00675366">
        <w:t>in 2019</w:t>
      </w:r>
      <w:r w:rsidRPr="003709A7">
        <w:t>.</w:t>
      </w:r>
    </w:p>
    <w:p w14:paraId="33073D0B" w14:textId="77777777" w:rsidR="000059AB" w:rsidRDefault="000059AB" w:rsidP="000059AB">
      <w:pPr>
        <w:spacing w:after="0" w:line="240" w:lineRule="auto"/>
        <w:ind w:right="96"/>
        <w:contextualSpacing/>
      </w:pPr>
    </w:p>
    <w:tbl>
      <w:tblPr>
        <w:tblStyle w:val="TableGrid"/>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shd w:val="clear" w:color="auto" w:fill="F3F5F7"/>
        <w:tblLook w:val="04A0" w:firstRow="1" w:lastRow="0" w:firstColumn="1" w:lastColumn="0" w:noHBand="0" w:noVBand="1"/>
      </w:tblPr>
      <w:tblGrid>
        <w:gridCol w:w="9016"/>
      </w:tblGrid>
      <w:tr w:rsidR="000059AB" w14:paraId="415F6FE0" w14:textId="77777777" w:rsidTr="009724CE">
        <w:tc>
          <w:tcPr>
            <w:tcW w:w="9016" w:type="dxa"/>
            <w:shd w:val="clear" w:color="auto" w:fill="F3F5F7"/>
          </w:tcPr>
          <w:p w14:paraId="37BD9E92" w14:textId="77777777" w:rsidR="000059AB" w:rsidRPr="005D4A89" w:rsidRDefault="000059AB" w:rsidP="009724CE">
            <w:pPr>
              <w:ind w:right="96"/>
              <w:contextualSpacing/>
              <w:rPr>
                <w:b/>
                <w:bCs/>
                <w:lang w:val="en-AU"/>
              </w:rPr>
            </w:pPr>
            <w:bookmarkStart w:id="41" w:name="_Hlk21698827"/>
            <w:r w:rsidRPr="005D4A89">
              <w:rPr>
                <w:b/>
                <w:bCs/>
                <w:lang w:val="en-AU"/>
              </w:rPr>
              <w:t xml:space="preserve">Recommendation </w:t>
            </w:r>
            <w:r w:rsidR="000B017A">
              <w:rPr>
                <w:b/>
                <w:bCs/>
                <w:lang w:val="en-AU"/>
              </w:rPr>
              <w:t>4</w:t>
            </w:r>
          </w:p>
          <w:bookmarkEnd w:id="41"/>
          <w:p w14:paraId="00791D23" w14:textId="77777777" w:rsidR="00F81DD3" w:rsidRPr="005F3519" w:rsidRDefault="00F81DD3" w:rsidP="005F3519">
            <w:pPr>
              <w:shd w:val="clear" w:color="auto" w:fill="F3F5F7"/>
              <w:tabs>
                <w:tab w:val="left" w:pos="5954"/>
              </w:tabs>
              <w:spacing w:after="100"/>
              <w:jc w:val="both"/>
              <w:rPr>
                <w:rFonts w:eastAsiaTheme="minorHAnsi"/>
                <w:lang w:val="en-GB"/>
              </w:rPr>
            </w:pPr>
            <w:r w:rsidRPr="00F81DD3">
              <w:rPr>
                <w:rFonts w:eastAsiaTheme="minorHAnsi"/>
                <w:lang w:val="en-GB"/>
              </w:rPr>
              <w:t>The Program should maintain its commitments and efforts to promote gender equality through its support of women’s networks, male gender advocates and important data collection and reporting disaggregated by gender, as well as the focus on family violence. While there is a strong external focus on gender through program activities and outcomes, greater attention could be paid to effectively progressing internal organisational agency gender issues.</w:t>
            </w:r>
          </w:p>
        </w:tc>
      </w:tr>
    </w:tbl>
    <w:p w14:paraId="0553CC02" w14:textId="77777777" w:rsidR="000059AB" w:rsidRDefault="000059AB" w:rsidP="000059AB">
      <w:pPr>
        <w:spacing w:after="0" w:line="240" w:lineRule="auto"/>
        <w:ind w:right="96"/>
        <w:contextualSpacing/>
      </w:pPr>
    </w:p>
    <w:p w14:paraId="7AC60951" w14:textId="77777777" w:rsidR="005F3519" w:rsidRPr="005F3519" w:rsidRDefault="005F3519" w:rsidP="005F3519">
      <w:pPr>
        <w:spacing w:after="0" w:line="240" w:lineRule="auto"/>
        <w:jc w:val="both"/>
        <w:rPr>
          <w:rFonts w:ascii="Calibri" w:eastAsia="Calibri" w:hAnsi="Calibri" w:cs="Times New Roman"/>
        </w:rPr>
      </w:pPr>
      <w:r>
        <w:rPr>
          <w:rFonts w:ascii="Calibri" w:eastAsia="Calibri" w:hAnsi="Calibri" w:cs="Times New Roman"/>
        </w:rPr>
        <w:t>The Program should c</w:t>
      </w:r>
      <w:r w:rsidRPr="005F3519">
        <w:rPr>
          <w:rFonts w:ascii="Calibri" w:eastAsia="Calibri" w:hAnsi="Calibri" w:cs="Times New Roman"/>
        </w:rPr>
        <w:t xml:space="preserve">ontinue to invest in targeted gender training (facilitated through local organisations such as VWC or WAN), and increase </w:t>
      </w:r>
      <w:r w:rsidR="00C70917">
        <w:rPr>
          <w:rFonts w:ascii="Calibri" w:eastAsia="Calibri" w:hAnsi="Calibri" w:cs="Times New Roman"/>
        </w:rPr>
        <w:t xml:space="preserve">its </w:t>
      </w:r>
      <w:r w:rsidRPr="005F3519">
        <w:rPr>
          <w:rFonts w:ascii="Calibri" w:eastAsia="Calibri" w:hAnsi="Calibri" w:cs="Times New Roman"/>
        </w:rPr>
        <w:t xml:space="preserve">focus on training of lawyers including prosecutors. </w:t>
      </w:r>
      <w:r>
        <w:rPr>
          <w:rFonts w:ascii="Calibri" w:eastAsia="Calibri" w:hAnsi="Calibri" w:cs="Times New Roman"/>
        </w:rPr>
        <w:t xml:space="preserve"> It could b</w:t>
      </w:r>
      <w:r w:rsidRPr="000B017A">
        <w:rPr>
          <w:rFonts w:ascii="Calibri" w:eastAsia="Calibri" w:hAnsi="Calibri" w:cs="Times New Roman"/>
        </w:rPr>
        <w:t>uild on initial training of VPF recruits and officers supporting the establishment of partnerships and more practical capacity development and mentoring processes that support skills development and practical application, such as by having officers accompanied to community visits and supported to address structural issues in the workplace.</w:t>
      </w:r>
      <w:r>
        <w:rPr>
          <w:rFonts w:ascii="Calibri" w:eastAsia="Calibri" w:hAnsi="Calibri" w:cs="Times New Roman"/>
        </w:rPr>
        <w:t xml:space="preserve"> The Program could</w:t>
      </w:r>
      <w:r w:rsidR="00C70917">
        <w:rPr>
          <w:rFonts w:ascii="Calibri" w:eastAsia="Calibri" w:hAnsi="Calibri" w:cs="Times New Roman"/>
        </w:rPr>
        <w:t xml:space="preserve"> also</w:t>
      </w:r>
      <w:r>
        <w:rPr>
          <w:rFonts w:ascii="Calibri" w:eastAsia="Calibri" w:hAnsi="Calibri" w:cs="Times New Roman"/>
        </w:rPr>
        <w:t xml:space="preserve"> i</w:t>
      </w:r>
      <w:r w:rsidRPr="000B017A">
        <w:rPr>
          <w:rFonts w:ascii="Calibri" w:eastAsia="Calibri" w:hAnsi="Calibri" w:cs="Times New Roman"/>
        </w:rPr>
        <w:t xml:space="preserve">nvest in the development of broader strategies and solutions to address deep-seated structural issues (i.e. FPU workload, women’s representation in senior roles, and gender equity of new recruits) including through the strategic use of data revealing internal gender inequalities, research, engagement and influencing of male advocates, enhanced cross-sector coordination and strategy development. </w:t>
      </w:r>
      <w:r>
        <w:rPr>
          <w:rFonts w:ascii="Calibri" w:eastAsia="Calibri" w:hAnsi="Calibri" w:cs="Times New Roman"/>
        </w:rPr>
        <w:t xml:space="preserve">  </w:t>
      </w:r>
    </w:p>
    <w:p w14:paraId="1A606928" w14:textId="77777777" w:rsidR="005F3519" w:rsidRDefault="005F3519" w:rsidP="00C75BD1">
      <w:pPr>
        <w:spacing w:after="0"/>
        <w:jc w:val="both"/>
        <w:rPr>
          <w:rFonts w:ascii="Calibri" w:eastAsia="Calibri" w:hAnsi="Calibri" w:cs="Times New Roman"/>
          <w:b/>
        </w:rPr>
      </w:pPr>
    </w:p>
    <w:p w14:paraId="7FAED967" w14:textId="77777777" w:rsidR="00C75BD1" w:rsidRPr="000C35F4" w:rsidRDefault="00C75BD1" w:rsidP="000C35F4">
      <w:pPr>
        <w:spacing w:after="0" w:line="240" w:lineRule="auto"/>
        <w:jc w:val="both"/>
        <w:rPr>
          <w:rFonts w:ascii="Calibri" w:eastAsia="Calibri" w:hAnsi="Calibri" w:cs="Times New Roman"/>
          <w:b/>
          <w:sz w:val="24"/>
          <w:szCs w:val="24"/>
        </w:rPr>
      </w:pPr>
      <w:r w:rsidRPr="000C35F4">
        <w:rPr>
          <w:rFonts w:ascii="Calibri" w:eastAsia="Calibri" w:hAnsi="Calibri" w:cs="Times New Roman"/>
          <w:b/>
          <w:sz w:val="24"/>
          <w:szCs w:val="24"/>
        </w:rPr>
        <w:t xml:space="preserve">Finding </w:t>
      </w:r>
      <w:r w:rsidR="000B017A" w:rsidRPr="000C35F4">
        <w:rPr>
          <w:rFonts w:ascii="Calibri" w:eastAsia="Calibri" w:hAnsi="Calibri" w:cs="Times New Roman"/>
          <w:b/>
          <w:sz w:val="24"/>
          <w:szCs w:val="24"/>
        </w:rPr>
        <w:t>5</w:t>
      </w:r>
      <w:r w:rsidRPr="000C35F4">
        <w:rPr>
          <w:rFonts w:ascii="Calibri" w:eastAsia="Calibri" w:hAnsi="Calibri" w:cs="Times New Roman"/>
          <w:b/>
          <w:sz w:val="24"/>
          <w:szCs w:val="24"/>
        </w:rPr>
        <w:t xml:space="preserve">: </w:t>
      </w:r>
      <w:r w:rsidR="00571ABE" w:rsidRPr="000C35F4">
        <w:rPr>
          <w:rFonts w:ascii="Calibri" w:eastAsia="Calibri" w:hAnsi="Calibri" w:cs="Times New Roman"/>
          <w:b/>
          <w:sz w:val="24"/>
          <w:szCs w:val="24"/>
        </w:rPr>
        <w:t>importance of c</w:t>
      </w:r>
      <w:r w:rsidRPr="000C35F4">
        <w:rPr>
          <w:rFonts w:ascii="Calibri" w:eastAsia="Calibri" w:hAnsi="Calibri" w:cs="Times New Roman"/>
          <w:b/>
          <w:sz w:val="24"/>
          <w:szCs w:val="24"/>
        </w:rPr>
        <w:t xml:space="preserve">ommunity </w:t>
      </w:r>
      <w:r w:rsidR="00571ABE" w:rsidRPr="000C35F4">
        <w:rPr>
          <w:rFonts w:ascii="Calibri" w:eastAsia="Calibri" w:hAnsi="Calibri" w:cs="Times New Roman"/>
          <w:b/>
          <w:sz w:val="24"/>
          <w:szCs w:val="24"/>
        </w:rPr>
        <w:t>level activities</w:t>
      </w:r>
    </w:p>
    <w:p w14:paraId="71D73542" w14:textId="77777777" w:rsidR="00C75BD1" w:rsidRPr="00F23B61" w:rsidRDefault="000C35F4" w:rsidP="00C75BD1">
      <w:pPr>
        <w:shd w:val="clear" w:color="auto" w:fill="F3F5F7"/>
        <w:spacing w:after="0" w:line="240" w:lineRule="auto"/>
        <w:jc w:val="both"/>
        <w:rPr>
          <w:rFonts w:cs="Times New Roman"/>
          <w:color w:val="44546A" w:themeColor="text2"/>
        </w:rPr>
      </w:pPr>
      <w:r>
        <w:rPr>
          <w:rFonts w:cs="Times New Roman"/>
          <w:color w:val="44546A" w:themeColor="text2"/>
        </w:rPr>
        <w:t>Early</w:t>
      </w:r>
      <w:r w:rsidR="003D0091">
        <w:rPr>
          <w:rFonts w:cs="Times New Roman"/>
          <w:color w:val="44546A" w:themeColor="text2"/>
        </w:rPr>
        <w:t xml:space="preserve"> evidence </w:t>
      </w:r>
      <w:r>
        <w:rPr>
          <w:rFonts w:cs="Times New Roman"/>
          <w:color w:val="44546A" w:themeColor="text2"/>
        </w:rPr>
        <w:t>suggests</w:t>
      </w:r>
      <w:r w:rsidR="003D0091">
        <w:rPr>
          <w:rFonts w:cs="Times New Roman"/>
          <w:color w:val="44546A" w:themeColor="text2"/>
        </w:rPr>
        <w:t xml:space="preserve"> that t</w:t>
      </w:r>
      <w:r w:rsidR="00C75BD1" w:rsidRPr="00F23B61">
        <w:rPr>
          <w:rFonts w:cs="Times New Roman"/>
          <w:color w:val="44546A" w:themeColor="text2"/>
        </w:rPr>
        <w:t xml:space="preserve">he Program’s efforts to engage at </w:t>
      </w:r>
      <w:r w:rsidR="00C75BD1" w:rsidRPr="00111466">
        <w:rPr>
          <w:rFonts w:cs="Times New Roman"/>
          <w:b/>
          <w:bCs/>
          <w:color w:val="44546A" w:themeColor="text2"/>
        </w:rPr>
        <w:t>community</w:t>
      </w:r>
      <w:r w:rsidR="00C75BD1" w:rsidRPr="00F23B61">
        <w:rPr>
          <w:rFonts w:cs="Times New Roman"/>
          <w:color w:val="44546A" w:themeColor="text2"/>
        </w:rPr>
        <w:t xml:space="preserve"> </w:t>
      </w:r>
      <w:r w:rsidR="00C75BD1" w:rsidRPr="00F23B61">
        <w:rPr>
          <w:rFonts w:cs="Times New Roman"/>
          <w:b/>
          <w:color w:val="44546A" w:themeColor="text2"/>
        </w:rPr>
        <w:t>level is having tangible impact</w:t>
      </w:r>
      <w:r w:rsidR="00C75BD1" w:rsidRPr="00F23B61">
        <w:rPr>
          <w:rFonts w:cs="Times New Roman"/>
          <w:color w:val="44546A" w:themeColor="text2"/>
        </w:rPr>
        <w:t xml:space="preserve">, including changing attitudes and behaviours particularly concerning violence against women. </w:t>
      </w:r>
      <w:r w:rsidR="00C75BD1" w:rsidRPr="00F23B61">
        <w:rPr>
          <w:rFonts w:cs="Times New Roman"/>
          <w:b/>
          <w:color w:val="44546A" w:themeColor="text2"/>
        </w:rPr>
        <w:t>Awareness and outreach activities are highly valued by communities</w:t>
      </w:r>
      <w:r w:rsidR="00C75BD1" w:rsidRPr="00F23B61">
        <w:rPr>
          <w:rFonts w:cs="Times New Roman"/>
          <w:color w:val="44546A" w:themeColor="text2"/>
        </w:rPr>
        <w:t xml:space="preserve"> who are seeking greater visibility and access to justice systems. While not able to operate at scale, these activities are critical to the “virtuous spiral” necessary for increasing demand and accountability for effective governance across the chain of justice.</w:t>
      </w:r>
    </w:p>
    <w:p w14:paraId="68231418" w14:textId="77777777" w:rsidR="00C75BD1" w:rsidRPr="00F23B61" w:rsidRDefault="00C75BD1" w:rsidP="00C75BD1">
      <w:pPr>
        <w:spacing w:after="0" w:line="240" w:lineRule="auto"/>
        <w:jc w:val="both"/>
        <w:rPr>
          <w:rFonts w:ascii="Calibri" w:eastAsia="Calibri" w:hAnsi="Calibri" w:cs="Times New Roman"/>
          <w:b/>
        </w:rPr>
      </w:pPr>
    </w:p>
    <w:p w14:paraId="24C6C4F2" w14:textId="77777777" w:rsidR="00C75BD1" w:rsidRPr="00F23B61" w:rsidRDefault="00C75BD1" w:rsidP="00C75BD1">
      <w:pPr>
        <w:spacing w:line="240" w:lineRule="auto"/>
        <w:jc w:val="both"/>
        <w:rPr>
          <w:rFonts w:ascii="Calibri" w:eastAsia="Calibri" w:hAnsi="Calibri" w:cs="Times New Roman"/>
        </w:rPr>
      </w:pPr>
      <w:r w:rsidRPr="00F23B61">
        <w:t>Vanuatu’s informal customary system is the means by which the majority of Ni-Vanuatu access justice. Vulnerable people including women, children and youth, particularly from remote and peri-urban areas, experience limited access to</w:t>
      </w:r>
      <w:r>
        <w:t xml:space="preserve"> formal</w:t>
      </w:r>
      <w:r w:rsidRPr="00F23B61">
        <w:t xml:space="preserve"> justice. There are also high levels of violence against women and children and non-responsiveness of the policing and justice system</w:t>
      </w:r>
      <w:r w:rsidRPr="00F23B61">
        <w:rPr>
          <w:vertAlign w:val="superscript"/>
        </w:rPr>
        <w:footnoteReference w:id="67"/>
      </w:r>
      <w:r w:rsidRPr="00F23B61">
        <w:t>. Community members engaged through the evaluation emphasised their high rates of FSV experience, reporting that violence was prevalent due to cultural beliefs and a prevailing lack of awareness that violence against women is a crime. They reinforced the critical need for a</w:t>
      </w:r>
      <w:r w:rsidRPr="00F23B61">
        <w:rPr>
          <w:rFonts w:ascii="Calibri" w:eastAsia="Calibri" w:hAnsi="Calibri" w:cs="Times New Roman"/>
        </w:rPr>
        <w:t xml:space="preserve">wareness raising, prevention and establishment of greater linkages between </w:t>
      </w:r>
      <w:r>
        <w:rPr>
          <w:rFonts w:ascii="Calibri" w:eastAsia="Calibri" w:hAnsi="Calibri" w:cs="Times New Roman"/>
        </w:rPr>
        <w:t xml:space="preserve">the </w:t>
      </w:r>
      <w:r w:rsidRPr="00F23B61">
        <w:rPr>
          <w:rFonts w:ascii="Calibri" w:eastAsia="Calibri" w:hAnsi="Calibri" w:cs="Times New Roman"/>
        </w:rPr>
        <w:t xml:space="preserve">formal and informal justice systems. Responding to high levels of need, </w:t>
      </w:r>
      <w:r w:rsidR="00AA6A3C">
        <w:rPr>
          <w:rFonts w:ascii="Calibri" w:eastAsia="Calibri" w:hAnsi="Calibri" w:cs="Times New Roman"/>
        </w:rPr>
        <w:t xml:space="preserve">focus group discussions indicated that </w:t>
      </w:r>
      <w:r w:rsidRPr="00F23B61">
        <w:rPr>
          <w:rFonts w:ascii="Calibri" w:eastAsia="Calibri" w:hAnsi="Calibri" w:cs="Times New Roman"/>
        </w:rPr>
        <w:t>community-based initiatives are highly valued and endorsed by participating communities.</w:t>
      </w:r>
    </w:p>
    <w:p w14:paraId="787E44CA" w14:textId="77777777" w:rsidR="00C75BD1" w:rsidRPr="00F23B61" w:rsidRDefault="00C75BD1" w:rsidP="00C75BD1">
      <w:pPr>
        <w:spacing w:line="240" w:lineRule="auto"/>
        <w:jc w:val="both"/>
        <w:rPr>
          <w:rFonts w:ascii="Calibri" w:eastAsia="Calibri" w:hAnsi="Calibri" w:cs="Times New Roman"/>
        </w:rPr>
      </w:pPr>
      <w:r w:rsidRPr="00F23B61">
        <w:rPr>
          <w:rFonts w:ascii="Calibri" w:eastAsia="Calibri" w:hAnsi="Calibri" w:cs="Times New Roman"/>
        </w:rPr>
        <w:t xml:space="preserve">The Program implements a range of community interventions through </w:t>
      </w:r>
      <w:r w:rsidRPr="009705CD">
        <w:rPr>
          <w:rFonts w:ascii="Calibri" w:eastAsia="Calibri" w:hAnsi="Calibri" w:cs="Times New Roman"/>
        </w:rPr>
        <w:t>CSO grants and community partnerships including: the AP/RC Pilot project</w:t>
      </w:r>
      <w:r w:rsidR="000476A4">
        <w:rPr>
          <w:rFonts w:ascii="Calibri" w:eastAsia="Calibri" w:hAnsi="Calibri" w:cs="Times New Roman"/>
        </w:rPr>
        <w:t>;</w:t>
      </w:r>
      <w:r w:rsidRPr="009705CD">
        <w:rPr>
          <w:rFonts w:ascii="Calibri" w:eastAsia="Calibri" w:hAnsi="Calibri" w:cs="Times New Roman"/>
        </w:rPr>
        <w:t xml:space="preserve"> </w:t>
      </w:r>
      <w:r w:rsidR="00AA6A3C">
        <w:rPr>
          <w:rFonts w:ascii="Calibri" w:eastAsia="Calibri" w:hAnsi="Calibri" w:cs="Times New Roman"/>
        </w:rPr>
        <w:t>community awareness raising sessions</w:t>
      </w:r>
      <w:r w:rsidR="006A0A83">
        <w:rPr>
          <w:rFonts w:ascii="Calibri" w:eastAsia="Calibri" w:hAnsi="Calibri" w:cs="Times New Roman"/>
        </w:rPr>
        <w:t xml:space="preserve"> (for </w:t>
      </w:r>
      <w:r w:rsidR="006A0A83" w:rsidRPr="00BC65FB">
        <w:rPr>
          <w:rFonts w:eastAsia="Times New Roman" w:cstheme="minorHAnsi"/>
          <w:color w:val="000000" w:themeColor="text1"/>
          <w:shd w:val="clear" w:color="auto" w:fill="FFFFFF"/>
        </w:rPr>
        <w:t>chiefs, community members, women, men and youth</w:t>
      </w:r>
      <w:r w:rsidR="006A0A83">
        <w:rPr>
          <w:rFonts w:eastAsia="Times New Roman" w:cstheme="minorHAnsi"/>
          <w:color w:val="000000" w:themeColor="text1"/>
          <w:shd w:val="clear" w:color="auto" w:fill="FFFFFF"/>
        </w:rPr>
        <w:t>)</w:t>
      </w:r>
      <w:r w:rsidR="00AA6A3C">
        <w:rPr>
          <w:rFonts w:ascii="Calibri" w:eastAsia="Calibri" w:hAnsi="Calibri" w:cs="Times New Roman"/>
        </w:rPr>
        <w:t xml:space="preserve"> in </w:t>
      </w:r>
      <w:proofErr w:type="spellStart"/>
      <w:r w:rsidR="00AA6A3C" w:rsidRPr="006A0A83">
        <w:rPr>
          <w:rFonts w:ascii="Calibri" w:eastAsia="Calibri" w:hAnsi="Calibri" w:cs="Times New Roman"/>
        </w:rPr>
        <w:t>Malekula</w:t>
      </w:r>
      <w:proofErr w:type="spellEnd"/>
      <w:r w:rsidR="00AA6A3C" w:rsidRPr="00AA6A3C">
        <w:rPr>
          <w:rFonts w:ascii="Calibri" w:eastAsia="Calibri" w:hAnsi="Calibri" w:cs="Times New Roman"/>
        </w:rPr>
        <w:t xml:space="preserve">, </w:t>
      </w:r>
      <w:proofErr w:type="spellStart"/>
      <w:r w:rsidR="00AA6A3C" w:rsidRPr="00AA6A3C">
        <w:rPr>
          <w:rFonts w:ascii="Calibri" w:eastAsia="Calibri" w:hAnsi="Calibri" w:cs="Times New Roman"/>
        </w:rPr>
        <w:t>Blacksands</w:t>
      </w:r>
      <w:proofErr w:type="spellEnd"/>
      <w:r w:rsidR="00AA6A3C" w:rsidRPr="00AA6A3C">
        <w:rPr>
          <w:rFonts w:ascii="Calibri" w:eastAsia="Calibri" w:hAnsi="Calibri" w:cs="Times New Roman"/>
        </w:rPr>
        <w:t>, and Santo</w:t>
      </w:r>
      <w:r w:rsidRPr="009705CD">
        <w:rPr>
          <w:rFonts w:ascii="Calibri" w:eastAsia="Calibri" w:hAnsi="Calibri" w:cs="Times New Roman"/>
        </w:rPr>
        <w:t xml:space="preserve"> </w:t>
      </w:r>
      <w:r w:rsidR="00AA6A3C" w:rsidRPr="00AA6A3C">
        <w:rPr>
          <w:rFonts w:ascii="Calibri" w:eastAsia="Calibri" w:hAnsi="Calibri" w:cs="Times New Roman"/>
        </w:rPr>
        <w:t>co-facilitat</w:t>
      </w:r>
      <w:r w:rsidR="00F63AA5">
        <w:rPr>
          <w:rFonts w:ascii="Calibri" w:eastAsia="Calibri" w:hAnsi="Calibri" w:cs="Times New Roman"/>
        </w:rPr>
        <w:t xml:space="preserve">ed by </w:t>
      </w:r>
      <w:r w:rsidR="006A0A83">
        <w:rPr>
          <w:rFonts w:ascii="Calibri" w:eastAsia="Calibri" w:hAnsi="Calibri" w:cs="Times New Roman"/>
        </w:rPr>
        <w:t>experts</w:t>
      </w:r>
      <w:r w:rsidR="00AA6A3C" w:rsidRPr="00AA6A3C">
        <w:rPr>
          <w:rFonts w:ascii="Calibri" w:eastAsia="Calibri" w:hAnsi="Calibri" w:cs="Times New Roman"/>
        </w:rPr>
        <w:t xml:space="preserve"> from across the sector such as </w:t>
      </w:r>
      <w:r w:rsidR="00AA6A3C" w:rsidRPr="009705CD">
        <w:rPr>
          <w:rFonts w:ascii="Calibri" w:eastAsia="Calibri" w:hAnsi="Calibri" w:cs="Times New Roman"/>
        </w:rPr>
        <w:t>OPP, SPD and VWC</w:t>
      </w:r>
      <w:r w:rsidR="00AA6A3C">
        <w:rPr>
          <w:rFonts w:ascii="Calibri" w:eastAsia="Calibri" w:hAnsi="Calibri" w:cs="Times New Roman"/>
        </w:rPr>
        <w:t xml:space="preserve">; </w:t>
      </w:r>
      <w:r w:rsidR="00AA6A3C" w:rsidRPr="00AA6A3C">
        <w:rPr>
          <w:rFonts w:ascii="Calibri" w:eastAsia="Calibri" w:hAnsi="Calibri" w:cs="Times New Roman"/>
        </w:rPr>
        <w:t>cross-sector workshops for youth</w:t>
      </w:r>
      <w:r w:rsidR="00AA6A3C">
        <w:rPr>
          <w:rFonts w:ascii="Calibri" w:eastAsia="Calibri" w:hAnsi="Calibri" w:cs="Times New Roman"/>
        </w:rPr>
        <w:t xml:space="preserve"> from </w:t>
      </w:r>
      <w:proofErr w:type="spellStart"/>
      <w:r w:rsidR="00AA6A3C" w:rsidRPr="00AA6A3C">
        <w:rPr>
          <w:rFonts w:ascii="Calibri" w:eastAsia="Calibri" w:hAnsi="Calibri" w:cs="Times New Roman"/>
        </w:rPr>
        <w:t>Whitesands</w:t>
      </w:r>
      <w:proofErr w:type="spellEnd"/>
      <w:r w:rsidR="00AA6A3C" w:rsidRPr="00AA6A3C">
        <w:rPr>
          <w:rFonts w:ascii="Calibri" w:eastAsia="Calibri" w:hAnsi="Calibri" w:cs="Times New Roman"/>
        </w:rPr>
        <w:t xml:space="preserve"> and Wan </w:t>
      </w:r>
      <w:proofErr w:type="spellStart"/>
      <w:r w:rsidR="00AA6A3C" w:rsidRPr="00AA6A3C">
        <w:rPr>
          <w:rFonts w:ascii="Calibri" w:eastAsia="Calibri" w:hAnsi="Calibri" w:cs="Times New Roman"/>
        </w:rPr>
        <w:t>Smolbag</w:t>
      </w:r>
      <w:proofErr w:type="spellEnd"/>
      <w:r w:rsidR="00AA6A3C" w:rsidRPr="00AA6A3C">
        <w:rPr>
          <w:rFonts w:ascii="Calibri" w:eastAsia="Calibri" w:hAnsi="Calibri" w:cs="Times New Roman"/>
        </w:rPr>
        <w:t xml:space="preserve"> Youth Centre</w:t>
      </w:r>
      <w:r w:rsidRPr="00F23B61">
        <w:rPr>
          <w:rFonts w:ascii="Calibri" w:eastAsia="Calibri" w:hAnsi="Calibri" w:cs="Times New Roman"/>
        </w:rPr>
        <w:t xml:space="preserve">; and disability projects (implemented by VSPD and </w:t>
      </w:r>
      <w:r>
        <w:rPr>
          <w:rFonts w:ascii="Calibri" w:eastAsia="Calibri" w:hAnsi="Calibri" w:cs="Times New Roman"/>
        </w:rPr>
        <w:t>Disabled Persons Organisations</w:t>
      </w:r>
      <w:r w:rsidR="000476A4">
        <w:rPr>
          <w:rFonts w:ascii="Calibri" w:eastAsia="Calibri" w:hAnsi="Calibri" w:cs="Times New Roman"/>
        </w:rPr>
        <w:t>,</w:t>
      </w:r>
      <w:r>
        <w:rPr>
          <w:rFonts w:ascii="Calibri" w:eastAsia="Calibri" w:hAnsi="Calibri" w:cs="Times New Roman"/>
        </w:rPr>
        <w:t xml:space="preserve"> </w:t>
      </w:r>
      <w:r w:rsidRPr="00F23B61">
        <w:rPr>
          <w:rFonts w:ascii="Calibri" w:eastAsia="Calibri" w:hAnsi="Calibri" w:cs="Times New Roman"/>
        </w:rPr>
        <w:t>DPO</w:t>
      </w:r>
      <w:r>
        <w:rPr>
          <w:rFonts w:ascii="Calibri" w:eastAsia="Calibri" w:hAnsi="Calibri" w:cs="Times New Roman"/>
        </w:rPr>
        <w:t>s</w:t>
      </w:r>
      <w:r w:rsidRPr="00F23B61">
        <w:rPr>
          <w:rFonts w:ascii="Calibri" w:eastAsia="Calibri" w:hAnsi="Calibri" w:cs="Times New Roman"/>
        </w:rPr>
        <w:t xml:space="preserve">). Community level FSV initiatives are resulting in positive changes including: raised awareness of FSV laws and services; opening of a dialogue within communities about FSV, prevention and changing of norms and behaviours; and increasing community knowledge of and links with formal policing and justice agencies and support services. </w:t>
      </w:r>
    </w:p>
    <w:p w14:paraId="1F21E129" w14:textId="77777777" w:rsidR="00C75BD1" w:rsidRDefault="00C75BD1" w:rsidP="00C75BD1">
      <w:pPr>
        <w:spacing w:line="240" w:lineRule="auto"/>
        <w:jc w:val="both"/>
      </w:pPr>
      <w:r w:rsidRPr="00F23B61">
        <w:rPr>
          <w:rFonts w:ascii="Calibri" w:eastAsia="Calibri" w:hAnsi="Calibri" w:cs="Times New Roman"/>
        </w:rPr>
        <w:t xml:space="preserve">Enhanced awareness of the </w:t>
      </w:r>
      <w:r w:rsidR="00C70917">
        <w:rPr>
          <w:rFonts w:ascii="Calibri" w:eastAsia="Calibri" w:hAnsi="Calibri" w:cs="Times New Roman"/>
        </w:rPr>
        <w:t>Family Protection Act (</w:t>
      </w:r>
      <w:r w:rsidRPr="00F23B61">
        <w:rPr>
          <w:rFonts w:ascii="Calibri" w:eastAsia="Calibri" w:hAnsi="Calibri" w:cs="Times New Roman"/>
        </w:rPr>
        <w:t>FPA</w:t>
      </w:r>
      <w:r w:rsidR="00C70917">
        <w:rPr>
          <w:rFonts w:ascii="Calibri" w:eastAsia="Calibri" w:hAnsi="Calibri" w:cs="Times New Roman"/>
        </w:rPr>
        <w:t>)</w:t>
      </w:r>
      <w:r w:rsidRPr="00F23B61">
        <w:rPr>
          <w:rFonts w:ascii="Calibri" w:eastAsia="Calibri" w:hAnsi="Calibri" w:cs="Times New Roman"/>
        </w:rPr>
        <w:t xml:space="preserve"> is resulting from structured awareness activities and information sessions, as well as the visibility of community activities. Several community members reported it was the first time that both women and men within their communities had received critical information about the FPA and learned that violence against women is a crime. The </w:t>
      </w:r>
      <w:r>
        <w:rPr>
          <w:rFonts w:ascii="Calibri" w:eastAsia="Calibri" w:hAnsi="Calibri" w:cs="Times New Roman"/>
        </w:rPr>
        <w:t>P</w:t>
      </w:r>
      <w:r w:rsidRPr="00F23B61">
        <w:rPr>
          <w:rFonts w:ascii="Calibri" w:eastAsia="Calibri" w:hAnsi="Calibri" w:cs="Times New Roman"/>
        </w:rPr>
        <w:t>rogram is appropriately and effectively targeting a range of different stakeholder groups in separate awareness raising sessions conducted by stakeholders with strong knowledge of the FPA and experience in the justice system. There is however, need to ensure more isolated women and people with disability are reached and supported to participate</w:t>
      </w:r>
      <w:r w:rsidR="006A0A83">
        <w:rPr>
          <w:rFonts w:ascii="Calibri" w:eastAsia="Calibri" w:hAnsi="Calibri" w:cs="Times New Roman"/>
        </w:rPr>
        <w:t xml:space="preserve">. </w:t>
      </w:r>
      <w:r w:rsidRPr="00F23B61">
        <w:rPr>
          <w:rFonts w:ascii="Calibri" w:eastAsia="Calibri" w:hAnsi="Calibri" w:cs="Times New Roman"/>
        </w:rPr>
        <w:t xml:space="preserve">These activities are garnering interest, with </w:t>
      </w:r>
      <w:r w:rsidRPr="00F23B61">
        <w:t>more community leaders requesting awareness workshops, and more people accessing the VWC to obtain legal information.</w:t>
      </w:r>
    </w:p>
    <w:p w14:paraId="71C7AB65" w14:textId="77777777" w:rsidR="00C75BD1" w:rsidRPr="0002431F" w:rsidRDefault="00C75BD1" w:rsidP="00C75BD1">
      <w:pPr>
        <w:spacing w:line="240" w:lineRule="auto"/>
        <w:jc w:val="both"/>
      </w:pPr>
      <w:r w:rsidRPr="0002431F">
        <w:rPr>
          <w:rFonts w:ascii="Calibri" w:eastAsia="Calibri" w:hAnsi="Calibri" w:cs="Times New Roman"/>
          <w:noProof/>
          <w:sz w:val="24"/>
          <w:szCs w:val="24"/>
          <w:lang w:eastAsia="en-AU"/>
        </w:rPr>
        <mc:AlternateContent>
          <mc:Choice Requires="wps">
            <w:drawing>
              <wp:anchor distT="45720" distB="45720" distL="114300" distR="114300" simplePos="0" relativeHeight="251709440" behindDoc="0" locked="0" layoutInCell="1" allowOverlap="1" wp14:anchorId="6914A7AB" wp14:editId="587147E0">
                <wp:simplePos x="0" y="0"/>
                <wp:positionH relativeFrom="column">
                  <wp:posOffset>3362325</wp:posOffset>
                </wp:positionH>
                <wp:positionV relativeFrom="paragraph">
                  <wp:posOffset>6985</wp:posOffset>
                </wp:positionV>
                <wp:extent cx="2341245" cy="2736850"/>
                <wp:effectExtent l="0" t="0" r="20955" b="25400"/>
                <wp:wrapSquare wrapText="bothSides"/>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1245" cy="2736850"/>
                        </a:xfrm>
                        <a:prstGeom prst="rect">
                          <a:avLst/>
                        </a:prstGeom>
                        <a:solidFill>
                          <a:srgbClr val="FFFFFF"/>
                        </a:solidFill>
                        <a:ln w="9525">
                          <a:solidFill>
                            <a:srgbClr val="44546A"/>
                          </a:solidFill>
                          <a:miter lim="800000"/>
                          <a:headEnd/>
                          <a:tailEnd/>
                        </a:ln>
                      </wps:spPr>
                      <wps:txbx>
                        <w:txbxContent>
                          <w:p w14:paraId="6AB8E09D" w14:textId="77777777" w:rsidR="00705D48" w:rsidRPr="00FB316F" w:rsidRDefault="00705D48" w:rsidP="00C75BD1">
                            <w:pPr>
                              <w:spacing w:after="0" w:line="240" w:lineRule="auto"/>
                              <w:rPr>
                                <w:i/>
                                <w:color w:val="44546A" w:themeColor="text2"/>
                              </w:rPr>
                            </w:pPr>
                            <w:r>
                              <w:rPr>
                                <w:i/>
                                <w:color w:val="44546A" w:themeColor="text2"/>
                              </w:rPr>
                              <w:t>’As part of the workshop we learned about domestic and sexual violence and the law. We</w:t>
                            </w:r>
                            <w:r w:rsidRPr="00FB316F">
                              <w:rPr>
                                <w:i/>
                                <w:color w:val="44546A" w:themeColor="text2"/>
                              </w:rPr>
                              <w:t xml:space="preserve"> had debates</w:t>
                            </w:r>
                            <w:r w:rsidRPr="00D35EA8">
                              <w:rPr>
                                <w:i/>
                                <w:color w:val="44546A" w:themeColor="text2"/>
                              </w:rPr>
                              <w:t xml:space="preserve"> </w:t>
                            </w:r>
                            <w:r w:rsidRPr="00FB316F">
                              <w:rPr>
                                <w:i/>
                                <w:color w:val="44546A" w:themeColor="text2"/>
                              </w:rPr>
                              <w:t>about women’s roles and rights with male youth.</w:t>
                            </w:r>
                            <w:r>
                              <w:rPr>
                                <w:i/>
                                <w:color w:val="44546A" w:themeColor="text2"/>
                              </w:rPr>
                              <w:t xml:space="preserve"> We then went on a “state justice” tour and visited the FPU, VWC and Magistrates’ Court. We finished at the corrections centre. </w:t>
                            </w:r>
                          </w:p>
                          <w:p w14:paraId="518DD388" w14:textId="77777777" w:rsidR="00705D48" w:rsidRPr="00FB316F" w:rsidRDefault="00705D48" w:rsidP="00C75BD1">
                            <w:pPr>
                              <w:spacing w:after="0" w:line="240" w:lineRule="auto"/>
                              <w:rPr>
                                <w:i/>
                                <w:color w:val="44546A" w:themeColor="text2"/>
                              </w:rPr>
                            </w:pPr>
                            <w:r w:rsidRPr="00FB316F">
                              <w:rPr>
                                <w:i/>
                                <w:color w:val="44546A" w:themeColor="text2"/>
                              </w:rPr>
                              <w:t xml:space="preserve">The </w:t>
                            </w:r>
                            <w:r>
                              <w:rPr>
                                <w:i/>
                                <w:color w:val="44546A" w:themeColor="text2"/>
                              </w:rPr>
                              <w:t>boys who break the law changed after meeting with detainees. Since returning s</w:t>
                            </w:r>
                            <w:r w:rsidRPr="00FB316F">
                              <w:rPr>
                                <w:i/>
                                <w:color w:val="44546A" w:themeColor="text2"/>
                              </w:rPr>
                              <w:t>ome of the men have changed and are being nicer to their wives</w:t>
                            </w:r>
                            <w:r>
                              <w:rPr>
                                <w:i/>
                                <w:color w:val="44546A" w:themeColor="text2"/>
                              </w:rPr>
                              <w:t xml:space="preserve"> and doing the dishes and cleaning’</w:t>
                            </w:r>
                          </w:p>
                          <w:p w14:paraId="48F8E2D8" w14:textId="77777777" w:rsidR="00705D48" w:rsidRPr="00F23B61" w:rsidRDefault="00705D48" w:rsidP="00C75BD1">
                            <w:pPr>
                              <w:ind w:left="360"/>
                              <w:rPr>
                                <w:i/>
                                <w:color w:val="44546A" w:themeColor="text2"/>
                              </w:rPr>
                            </w:pPr>
                            <w:r>
                              <w:rPr>
                                <w:i/>
                                <w:color w:val="44546A" w:themeColor="text2"/>
                              </w:rPr>
                              <w:t xml:space="preserve">          - </w:t>
                            </w:r>
                            <w:r w:rsidRPr="00F23B61">
                              <w:rPr>
                                <w:i/>
                                <w:color w:val="44546A" w:themeColor="text2"/>
                              </w:rPr>
                              <w:t>Female youth</w:t>
                            </w:r>
                          </w:p>
                          <w:p w14:paraId="0F235B87" w14:textId="77777777" w:rsidR="00705D48" w:rsidRDefault="00705D48" w:rsidP="00C75BD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14A7AB" id="Text Box 33" o:spid="_x0000_s1033" type="#_x0000_t202" style="position:absolute;left:0;text-align:left;margin-left:264.75pt;margin-top:.55pt;width:184.35pt;height:215.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" strokecolor="#44546a">
                <v:textbox>
                  <w:txbxContent>
                    <w:p w14:paraId="6AB8E09D" w14:textId="77777777" w:rsidR="00705D48" w:rsidRPr="00FB316F" w:rsidRDefault="00705D48" w:rsidP="00C75BD1">
                      <w:pPr>
                        <w:spacing w:after="0" w:line="240" w:lineRule="auto"/>
                        <w:rPr>
                          <w:i/>
                          <w:color w:val="44546A" w:themeColor="text2"/>
                        </w:rPr>
                      </w:pPr>
                      <w:r>
                        <w:rPr>
                          <w:i/>
                          <w:color w:val="44546A" w:themeColor="text2"/>
                        </w:rPr>
                        <w:t>’As part of the workshop we learned about domestic and sexual violence and the law. We</w:t>
                      </w:r>
                      <w:r w:rsidRPr="00FB316F">
                        <w:rPr>
                          <w:i/>
                          <w:color w:val="44546A" w:themeColor="text2"/>
                        </w:rPr>
                        <w:t xml:space="preserve"> had debates</w:t>
                      </w:r>
                      <w:r w:rsidRPr="00D35EA8">
                        <w:rPr>
                          <w:i/>
                          <w:color w:val="44546A" w:themeColor="text2"/>
                        </w:rPr>
                        <w:t xml:space="preserve"> </w:t>
                      </w:r>
                      <w:r w:rsidRPr="00FB316F">
                        <w:rPr>
                          <w:i/>
                          <w:color w:val="44546A" w:themeColor="text2"/>
                        </w:rPr>
                        <w:t>about women’s roles and rights with male youth.</w:t>
                      </w:r>
                      <w:r>
                        <w:rPr>
                          <w:i/>
                          <w:color w:val="44546A" w:themeColor="text2"/>
                        </w:rPr>
                        <w:t xml:space="preserve"> We then went on a “state justice” tour and visited the FPU, VWC and Magistrates’ Court. We finished at the corrections centre. </w:t>
                      </w:r>
                    </w:p>
                    <w:p w14:paraId="518DD388" w14:textId="77777777" w:rsidR="00705D48" w:rsidRPr="00FB316F" w:rsidRDefault="00705D48" w:rsidP="00C75BD1">
                      <w:pPr>
                        <w:spacing w:after="0" w:line="240" w:lineRule="auto"/>
                        <w:rPr>
                          <w:i/>
                          <w:color w:val="44546A" w:themeColor="text2"/>
                        </w:rPr>
                      </w:pPr>
                      <w:r w:rsidRPr="00FB316F">
                        <w:rPr>
                          <w:i/>
                          <w:color w:val="44546A" w:themeColor="text2"/>
                        </w:rPr>
                        <w:t xml:space="preserve">The </w:t>
                      </w:r>
                      <w:r>
                        <w:rPr>
                          <w:i/>
                          <w:color w:val="44546A" w:themeColor="text2"/>
                        </w:rPr>
                        <w:t>boys who break the law changed after meeting with detainees. Since returning s</w:t>
                      </w:r>
                      <w:r w:rsidRPr="00FB316F">
                        <w:rPr>
                          <w:i/>
                          <w:color w:val="44546A" w:themeColor="text2"/>
                        </w:rPr>
                        <w:t>ome of the men have changed and are being nicer to their wives</w:t>
                      </w:r>
                      <w:r>
                        <w:rPr>
                          <w:i/>
                          <w:color w:val="44546A" w:themeColor="text2"/>
                        </w:rPr>
                        <w:t xml:space="preserve"> and doing the dishes and cleaning’</w:t>
                      </w:r>
                    </w:p>
                    <w:p w14:paraId="48F8E2D8" w14:textId="77777777" w:rsidR="00705D48" w:rsidRPr="00F23B61" w:rsidRDefault="00705D48" w:rsidP="00C75BD1">
                      <w:pPr>
                        <w:ind w:left="360"/>
                        <w:rPr>
                          <w:i/>
                          <w:color w:val="44546A" w:themeColor="text2"/>
                        </w:rPr>
                      </w:pPr>
                      <w:r>
                        <w:rPr>
                          <w:i/>
                          <w:color w:val="44546A" w:themeColor="text2"/>
                        </w:rPr>
                        <w:t xml:space="preserve">          - </w:t>
                      </w:r>
                      <w:r w:rsidRPr="00F23B61">
                        <w:rPr>
                          <w:i/>
                          <w:color w:val="44546A" w:themeColor="text2"/>
                        </w:rPr>
                        <w:t>Female youth</w:t>
                      </w:r>
                    </w:p>
                    <w:p w14:paraId="0F235B87" w14:textId="77777777" w:rsidR="00705D48" w:rsidRDefault="00705D48" w:rsidP="00C75BD1"/>
                  </w:txbxContent>
                </v:textbox>
                <w10:wrap type="square"/>
              </v:shape>
            </w:pict>
          </mc:Fallback>
        </mc:AlternateContent>
      </w:r>
      <w:r w:rsidRPr="00F23B61">
        <w:rPr>
          <w:rFonts w:ascii="Calibri" w:eastAsia="Calibri" w:hAnsi="Calibri" w:cs="Times New Roman"/>
        </w:rPr>
        <w:t xml:space="preserve">There is evidence that community level initiatives are supporting prevention and changing behaviour. The AP Program has witnessed increased awareness of domestic crimes and </w:t>
      </w:r>
      <w:r>
        <w:rPr>
          <w:rFonts w:ascii="Calibri" w:eastAsia="Calibri" w:hAnsi="Calibri" w:cs="Times New Roman"/>
        </w:rPr>
        <w:t xml:space="preserve">surveys reported perceptions of a </w:t>
      </w:r>
      <w:r w:rsidRPr="00F23B61">
        <w:rPr>
          <w:rFonts w:ascii="Calibri" w:eastAsia="Calibri" w:hAnsi="Calibri" w:cs="Times New Roman"/>
        </w:rPr>
        <w:t xml:space="preserve">reduction </w:t>
      </w:r>
      <w:r>
        <w:rPr>
          <w:rFonts w:ascii="Calibri" w:eastAsia="Calibri" w:hAnsi="Calibri" w:cs="Times New Roman"/>
        </w:rPr>
        <w:t>in</w:t>
      </w:r>
      <w:r w:rsidRPr="00F23B61">
        <w:rPr>
          <w:rFonts w:ascii="Calibri" w:eastAsia="Calibri" w:hAnsi="Calibri" w:cs="Times New Roman"/>
        </w:rPr>
        <w:t xml:space="preserve"> </w:t>
      </w:r>
      <w:r>
        <w:rPr>
          <w:rFonts w:ascii="Calibri" w:eastAsia="Calibri" w:hAnsi="Calibri" w:cs="Times New Roman"/>
        </w:rPr>
        <w:t xml:space="preserve">the </w:t>
      </w:r>
      <w:r w:rsidRPr="00F23B61">
        <w:rPr>
          <w:rFonts w:ascii="Calibri" w:eastAsia="Calibri" w:hAnsi="Calibri" w:cs="Times New Roman"/>
        </w:rPr>
        <w:t>incidence of violence</w:t>
      </w:r>
      <w:r w:rsidRPr="00F23B61">
        <w:rPr>
          <w:rFonts w:ascii="Calibri" w:eastAsia="Calibri" w:hAnsi="Calibri" w:cs="Times New Roman"/>
          <w:vertAlign w:val="superscript"/>
        </w:rPr>
        <w:footnoteReference w:id="68"/>
      </w:r>
      <w:r w:rsidRPr="00F23B61">
        <w:rPr>
          <w:rFonts w:ascii="Calibri" w:eastAsia="Calibri" w:hAnsi="Calibri" w:cs="Times New Roman"/>
        </w:rPr>
        <w:t>. Initiatives are opening a dialogue within communities about FSV. Through the AP/RC Pilot, APs provide regular</w:t>
      </w:r>
      <w:r w:rsidR="00B87A99">
        <w:rPr>
          <w:rFonts w:ascii="Calibri" w:eastAsia="Calibri" w:hAnsi="Calibri" w:cs="Times New Roman"/>
        </w:rPr>
        <w:t xml:space="preserve"> </w:t>
      </w:r>
      <w:r w:rsidR="009705CD">
        <w:rPr>
          <w:rFonts w:ascii="Calibri" w:eastAsia="Calibri" w:hAnsi="Calibri" w:cs="Times New Roman"/>
        </w:rPr>
        <w:t>support</w:t>
      </w:r>
      <w:r w:rsidRPr="00F23B61">
        <w:rPr>
          <w:rFonts w:ascii="Calibri" w:eastAsia="Calibri" w:hAnsi="Calibri" w:cs="Times New Roman"/>
        </w:rPr>
        <w:t xml:space="preserve"> to families</w:t>
      </w:r>
      <w:r w:rsidR="009705CD">
        <w:rPr>
          <w:rFonts w:ascii="Calibri" w:eastAsia="Calibri" w:hAnsi="Calibri" w:cs="Times New Roman"/>
        </w:rPr>
        <w:t>, helping them</w:t>
      </w:r>
      <w:r w:rsidRPr="00F23B61">
        <w:rPr>
          <w:rFonts w:ascii="Calibri" w:eastAsia="Calibri" w:hAnsi="Calibri" w:cs="Times New Roman"/>
        </w:rPr>
        <w:t xml:space="preserve"> to discuss gender roles and communication patterns, supporting families to find alternatives to violence. </w:t>
      </w:r>
      <w:r w:rsidR="006A0A83">
        <w:rPr>
          <w:rFonts w:ascii="Calibri" w:eastAsia="Calibri" w:hAnsi="Calibri" w:cs="Times New Roman"/>
        </w:rPr>
        <w:t>Cross-sector a</w:t>
      </w:r>
      <w:r w:rsidRPr="00F23B61">
        <w:rPr>
          <w:rFonts w:ascii="Calibri" w:eastAsia="Calibri" w:hAnsi="Calibri" w:cs="Times New Roman"/>
        </w:rPr>
        <w:t>wareness workshop</w:t>
      </w:r>
      <w:r>
        <w:rPr>
          <w:rFonts w:ascii="Calibri" w:eastAsia="Calibri" w:hAnsi="Calibri" w:cs="Times New Roman"/>
        </w:rPr>
        <w:t>s</w:t>
      </w:r>
      <w:r w:rsidRPr="00F23B61">
        <w:rPr>
          <w:rFonts w:ascii="Calibri" w:eastAsia="Calibri" w:hAnsi="Calibri" w:cs="Times New Roman"/>
        </w:rPr>
        <w:t xml:space="preserve"> held for youth appear to be very effective, providing an excellent a mix of information, discussion and dialogue, and exposure to services. They enable young men and women to have structured and safe debates about gender roles, stereotypes and women’s rights. One female youth respondent reported learning and applying strategies in her communications with her partner to stop the escalation of his violence. Youth reported that some men had changed their treatment of their wives as a result of the workshop and that the role of the prison visit in the youth training seems to have had a positive effect in </w:t>
      </w:r>
      <w:r>
        <w:rPr>
          <w:rFonts w:ascii="Calibri" w:eastAsia="Calibri" w:hAnsi="Calibri" w:cs="Times New Roman"/>
        </w:rPr>
        <w:t>deterring</w:t>
      </w:r>
      <w:r w:rsidRPr="00F23B61">
        <w:rPr>
          <w:rFonts w:ascii="Calibri" w:eastAsia="Calibri" w:hAnsi="Calibri" w:cs="Times New Roman"/>
        </w:rPr>
        <w:t xml:space="preserve"> young men </w:t>
      </w:r>
      <w:r>
        <w:rPr>
          <w:rFonts w:ascii="Calibri" w:eastAsia="Calibri" w:hAnsi="Calibri" w:cs="Times New Roman"/>
        </w:rPr>
        <w:t>from committing offences</w:t>
      </w:r>
      <w:r w:rsidRPr="00F23B61">
        <w:rPr>
          <w:rFonts w:ascii="Calibri" w:eastAsia="Calibri" w:hAnsi="Calibri" w:cs="Times New Roman"/>
        </w:rPr>
        <w:t xml:space="preserve"> in some areas.</w:t>
      </w:r>
      <w:r>
        <w:rPr>
          <w:rFonts w:ascii="Calibri" w:eastAsia="Calibri" w:hAnsi="Calibri" w:cs="Times New Roman"/>
        </w:rPr>
        <w:t xml:space="preserve"> </w:t>
      </w:r>
    </w:p>
    <w:p w14:paraId="1407492A" w14:textId="77777777" w:rsidR="00C75BD1" w:rsidRPr="00F23B61" w:rsidRDefault="00C75BD1" w:rsidP="00C75BD1">
      <w:pPr>
        <w:spacing w:line="240" w:lineRule="auto"/>
        <w:jc w:val="both"/>
        <w:rPr>
          <w:rFonts w:ascii="Calibri" w:eastAsia="Calibri" w:hAnsi="Calibri" w:cs="Times New Roman"/>
        </w:rPr>
      </w:pPr>
      <w:r w:rsidRPr="00F23B61">
        <w:t>At these early stages, the value and benefit of the AP program appear</w:t>
      </w:r>
      <w:r w:rsidR="00C70917">
        <w:t>s</w:t>
      </w:r>
      <w:r w:rsidRPr="00F23B61">
        <w:t xml:space="preserve"> to lie in prevention and </w:t>
      </w:r>
      <w:r w:rsidR="00C70917">
        <w:t>influencing the</w:t>
      </w:r>
      <w:r w:rsidRPr="00F23B61">
        <w:t xml:space="preserve"> community to commit less violence. It has had a broader effect on crime and misbehaviour in addition to domestic violence, as youths are afraid to swear at APs and engage in other problem behaviour given the threat of being reported to police. The threat that police will come if an order is breached is causing the community to respect the order. Having the police office</w:t>
      </w:r>
      <w:r>
        <w:t>r</w:t>
      </w:r>
      <w:r w:rsidRPr="00F23B61">
        <w:t xml:space="preserve"> visit the community regularly reinforces this. The associated six</w:t>
      </w:r>
      <w:r>
        <w:t>-</w:t>
      </w:r>
      <w:r w:rsidRPr="00F23B61">
        <w:t xml:space="preserve">weekly police visits are a critical element to support the APs and make a police presence visible in communities, of benefit in itself. </w:t>
      </w:r>
    </w:p>
    <w:p w14:paraId="768E9351" w14:textId="77777777" w:rsidR="00EE06E8" w:rsidRPr="00F23B61" w:rsidRDefault="00C75BD1" w:rsidP="00C75BD1">
      <w:pPr>
        <w:spacing w:line="240" w:lineRule="auto"/>
        <w:jc w:val="both"/>
      </w:pPr>
      <w:r w:rsidRPr="00F23B61">
        <w:t>These community level projects represent small pockets of practice, and have not been implemented at scale. The continued success of these initiatives is likely to be linked with quality of services and support women receive if they access the formal justice system. For example, if women are encouraged to make reports and police do not follow up, this could undermine the impact of the initiatives. It is also unlikely that</w:t>
      </w:r>
      <w:r w:rsidR="006A0A83">
        <w:t xml:space="preserve"> week long</w:t>
      </w:r>
      <w:r w:rsidR="00EE06E8">
        <w:t xml:space="preserve"> youth</w:t>
      </w:r>
      <w:r w:rsidR="006A0A83">
        <w:t xml:space="preserve"> cross-sector workshops</w:t>
      </w:r>
      <w:r w:rsidR="00EE06E8">
        <w:t xml:space="preserve"> </w:t>
      </w:r>
      <w:r w:rsidRPr="00F23B61">
        <w:t xml:space="preserve">will affect far reaching and sustained behaviour change. While projects have seen good outcomes for both women and men, to deepen impact, </w:t>
      </w:r>
      <w:r w:rsidRPr="00EE06E8">
        <w:t>the Program needs to work in a more consistent way with specific communities over the longer term, and raise greater awareness amongst men</w:t>
      </w:r>
      <w:r w:rsidR="00EE06E8" w:rsidRPr="00EE06E8">
        <w:t>, working beyond awareness on attitude and behaviour change</w:t>
      </w:r>
      <w:r w:rsidRPr="00EE06E8">
        <w:t>. Participating communities pointed to the need for the Program to better engage chiefs</w:t>
      </w:r>
      <w:r w:rsidR="00EE06E8" w:rsidRPr="00EE06E8">
        <w:rPr>
          <w:rStyle w:val="FootnoteReference"/>
        </w:rPr>
        <w:footnoteReference w:id="69"/>
      </w:r>
      <w:r w:rsidRPr="00EE06E8">
        <w:t>, so that they can work directly with offenders and better link in and support initiatives. Complementing youth</w:t>
      </w:r>
      <w:r w:rsidRPr="00F23B61">
        <w:t xml:space="preserve"> awareness initiatives with the AP program element would also make it more effective and sustainable.</w:t>
      </w:r>
    </w:p>
    <w:p w14:paraId="56B67A11" w14:textId="77777777" w:rsidR="00C75BD1" w:rsidRPr="00F23B61" w:rsidRDefault="00C75BD1" w:rsidP="00C75BD1">
      <w:pPr>
        <w:spacing w:line="240" w:lineRule="auto"/>
        <w:jc w:val="both"/>
        <w:rPr>
          <w:rFonts w:ascii="Calibri" w:eastAsia="Calibri" w:hAnsi="Calibri" w:cs="Times New Roman"/>
        </w:rPr>
      </w:pPr>
      <w:r w:rsidRPr="00F23B61">
        <w:rPr>
          <w:rFonts w:ascii="Calibri" w:eastAsia="Calibri" w:hAnsi="Calibri" w:cs="Times New Roman"/>
        </w:rPr>
        <w:t xml:space="preserve">Formal policing and justice elements and community level initiatives have been well integrated within </w:t>
      </w:r>
      <w:r w:rsidR="00EB5EF1">
        <w:rPr>
          <w:rFonts w:ascii="Calibri" w:eastAsia="Calibri" w:hAnsi="Calibri" w:cs="Times New Roman"/>
        </w:rPr>
        <w:t>the Program</w:t>
      </w:r>
      <w:r w:rsidRPr="00F23B61">
        <w:rPr>
          <w:rFonts w:ascii="Calibri" w:eastAsia="Calibri" w:hAnsi="Calibri" w:cs="Times New Roman"/>
        </w:rPr>
        <w:t xml:space="preserve">. The Program has bought key policing and justice partners to the community and has also linked community members with the formal system through exposure visits and referrals. The youth tour to the justice services and the VWC has been particularly helpful for women, who now know where to go for help. </w:t>
      </w:r>
      <w:r w:rsidRPr="00F23B61">
        <w:t>Police involvement in the AP program is highly effective in linking police and community, and is perceived as such by both sides; community are willing to say very positive things about the police in this context, while still noting that police response to incidents is weak</w:t>
      </w:r>
      <w:r w:rsidRPr="00F23B61">
        <w:rPr>
          <w:rFonts w:ascii="Calibri" w:eastAsia="Calibri" w:hAnsi="Calibri" w:cs="Times New Roman"/>
        </w:rPr>
        <w:t>. Effective implementation of the FPA requires this increasing demand and enhanced links with policing and justice agencies to be matched by community trust and confidence in the system.</w:t>
      </w:r>
    </w:p>
    <w:p w14:paraId="3175D0E4" w14:textId="77777777" w:rsidR="00C75BD1" w:rsidRPr="00F23B61" w:rsidRDefault="00C75BD1" w:rsidP="00C75BD1">
      <w:pPr>
        <w:spacing w:line="240" w:lineRule="auto"/>
        <w:jc w:val="both"/>
      </w:pPr>
      <w:r w:rsidRPr="00F23B61">
        <w:t xml:space="preserve">As outlined in Finding </w:t>
      </w:r>
      <w:r w:rsidR="009705CD">
        <w:t>7</w:t>
      </w:r>
      <w:r w:rsidRPr="00F23B61">
        <w:t xml:space="preserve">, the EOPOs are at a very high level and there is no data available to comprehensively assess the </w:t>
      </w:r>
      <w:r>
        <w:t>P</w:t>
      </w:r>
      <w:r w:rsidRPr="00F23B61">
        <w:t xml:space="preserve">rogram’s achievement of these. Community perceptions surveys of the </w:t>
      </w:r>
      <w:r>
        <w:t>police</w:t>
      </w:r>
      <w:r w:rsidRPr="00F23B61">
        <w:t xml:space="preserve"> and justice system have not been carried out in Vanuatu </w:t>
      </w:r>
      <w:r>
        <w:t xml:space="preserve">since the last Community Police Perceptions Survey in 2011 </w:t>
      </w:r>
      <w:r w:rsidRPr="00F23B61">
        <w:t>as they have been in other countries in the Pacific. The last national survey carried out in relation to FSV in Vanuatu was in 2011</w:t>
      </w:r>
      <w:r w:rsidRPr="00F23B61">
        <w:rPr>
          <w:vertAlign w:val="superscript"/>
        </w:rPr>
        <w:footnoteReference w:id="70"/>
      </w:r>
      <w:r w:rsidRPr="00F23B61">
        <w:t xml:space="preserve">. Data obtained regarding behaviour change as part of this evaluation is anecdotal and only a small sample size was used. As the project expands and deepens its community level work, it would benefit from introducing mechanisms to monitor changes in awareness and behaviour, community experience and levels of confidence and trust in the formal justice system and deepen understanding of how FSV is being responded to in communities, through both the informal and formal systems. </w:t>
      </w:r>
    </w:p>
    <w:p w14:paraId="0FDB9831" w14:textId="77777777" w:rsidR="00C75BD1" w:rsidRPr="00F20A41" w:rsidRDefault="00C70917" w:rsidP="00C75BD1">
      <w:pPr>
        <w:spacing w:line="240" w:lineRule="auto"/>
        <w:jc w:val="both"/>
      </w:pPr>
      <w:r>
        <w:rPr>
          <w:rFonts w:ascii="Calibri" w:eastAsia="Calibri" w:hAnsi="Calibri" w:cs="Times New Roman"/>
        </w:rPr>
        <w:t>The Program</w:t>
      </w:r>
      <w:r w:rsidR="00C75BD1" w:rsidRPr="00F23B61">
        <w:rPr>
          <w:rFonts w:ascii="Calibri" w:eastAsia="Calibri" w:hAnsi="Calibri" w:cs="Times New Roman"/>
        </w:rPr>
        <w:t xml:space="preserve"> has a strong focus on women and youth. </w:t>
      </w:r>
      <w:r w:rsidR="00C75BD1">
        <w:rPr>
          <w:rFonts w:ascii="Calibri" w:eastAsia="Calibri" w:hAnsi="Calibri" w:cs="Times New Roman"/>
        </w:rPr>
        <w:t xml:space="preserve">People with disability are also a vulnerable group that the Program seeks to support. </w:t>
      </w:r>
      <w:r w:rsidR="00C75BD1" w:rsidRPr="00F23B61">
        <w:t xml:space="preserve">Girls and young </w:t>
      </w:r>
      <w:r w:rsidR="00C75BD1" w:rsidRPr="00F23B61">
        <w:rPr>
          <w:rFonts w:ascii="Calibri" w:eastAsia="Calibri" w:hAnsi="Calibri" w:cs="Times New Roman"/>
        </w:rPr>
        <w:t xml:space="preserve">women with disabilities are at the greatest risk of sexual violence, and face up to </w:t>
      </w:r>
      <w:r w:rsidR="00C75BD1">
        <w:rPr>
          <w:rFonts w:ascii="Calibri" w:eastAsia="Calibri" w:hAnsi="Calibri" w:cs="Times New Roman"/>
        </w:rPr>
        <w:t>ten</w:t>
      </w:r>
      <w:r w:rsidR="00C75BD1" w:rsidRPr="00F23B61">
        <w:rPr>
          <w:rFonts w:ascii="Calibri" w:eastAsia="Calibri" w:hAnsi="Calibri" w:cs="Times New Roman"/>
        </w:rPr>
        <w:t xml:space="preserve"> times more </w:t>
      </w:r>
      <w:hyperlink r:id="rId28" w:tgtFrame="_self" w:history="1">
        <w:r w:rsidR="00C75BD1" w:rsidRPr="00F23B61">
          <w:rPr>
            <w:rFonts w:ascii="Calibri" w:eastAsia="Calibri" w:hAnsi="Calibri" w:cs="Times New Roman"/>
          </w:rPr>
          <w:t>gender-based violence</w:t>
        </w:r>
      </w:hyperlink>
      <w:r w:rsidR="00C75BD1" w:rsidRPr="00F23B61">
        <w:t xml:space="preserve"> than those without disabilities</w:t>
      </w:r>
      <w:r w:rsidR="00C75BD1" w:rsidRPr="00F23B61">
        <w:rPr>
          <w:vertAlign w:val="superscript"/>
        </w:rPr>
        <w:footnoteReference w:id="71"/>
      </w:r>
      <w:r w:rsidR="00C75BD1" w:rsidRPr="00F23B61">
        <w:t xml:space="preserve">. The </w:t>
      </w:r>
      <w:r w:rsidR="00C75BD1">
        <w:t>SRBJS</w:t>
      </w:r>
      <w:r w:rsidR="00C75BD1" w:rsidRPr="00F23B61">
        <w:t xml:space="preserve"> design document strongly and appropriately incorporates disability inclusion. As outlined in detail </w:t>
      </w:r>
      <w:r w:rsidR="00C75BD1" w:rsidRPr="00B87A99">
        <w:t xml:space="preserve">under </w:t>
      </w:r>
      <w:r w:rsidR="00B87A99" w:rsidRPr="00B87A99">
        <w:t>F</w:t>
      </w:r>
      <w:r w:rsidR="00C75BD1" w:rsidRPr="00B87A99">
        <w:t xml:space="preserve">inding </w:t>
      </w:r>
      <w:r w:rsidR="00B87A99">
        <w:t>18</w:t>
      </w:r>
      <w:r w:rsidR="00C75BD1" w:rsidRPr="00F23B61">
        <w:t>, the Program has played a significant role in advancing disability inclusion more broadly across Vanuatu</w:t>
      </w:r>
      <w:r w:rsidR="009705CD">
        <w:t xml:space="preserve"> through support to the Disability Desk</w:t>
      </w:r>
      <w:r w:rsidR="00C75BD1" w:rsidRPr="00F23B61">
        <w:t xml:space="preserve"> </w:t>
      </w:r>
      <w:r w:rsidR="009705CD">
        <w:t xml:space="preserve">within the MJCS </w:t>
      </w:r>
      <w:r w:rsidR="00C75BD1" w:rsidRPr="00F23B61">
        <w:t>and strengthening disability focused NGO</w:t>
      </w:r>
      <w:r w:rsidR="00C75BD1">
        <w:t>,</w:t>
      </w:r>
      <w:r w:rsidR="00C75BD1" w:rsidRPr="00F23B61">
        <w:t xml:space="preserve"> VSPD. </w:t>
      </w:r>
      <w:r w:rsidR="00F20A41">
        <w:t>While this</w:t>
      </w:r>
      <w:r w:rsidR="00C75BD1" w:rsidRPr="00F23B61">
        <w:t xml:space="preserve"> work has been foundational</w:t>
      </w:r>
      <w:r w:rsidR="00F20A41">
        <w:t xml:space="preserve"> and appropriate, it has not yet </w:t>
      </w:r>
      <w:r w:rsidR="00C75BD1" w:rsidRPr="00F23B61">
        <w:t>resulted in strong program linkages with</w:t>
      </w:r>
      <w:r w:rsidR="00F20A41">
        <w:t xml:space="preserve"> the policing and justice work carried out within communit</w:t>
      </w:r>
      <w:r>
        <w:t>ies</w:t>
      </w:r>
      <w:r w:rsidR="00F20A41">
        <w:t xml:space="preserve"> supported through the Program. </w:t>
      </w:r>
      <w:r w:rsidR="00C75BD1" w:rsidRPr="00F23B61">
        <w:t>It is envisaged tha</w:t>
      </w:r>
      <w:r w:rsidR="003A6A2F">
        <w:t>t support to the Disability Desk and VSPD</w:t>
      </w:r>
      <w:r w:rsidR="00C75BD1" w:rsidRPr="00F23B61">
        <w:t xml:space="preserve"> will support disability inclusion at the community level in the longer term, as disability inclusion committees are established across six provinces that link with stationed police officers. There is </w:t>
      </w:r>
      <w:r w:rsidR="00C75BD1">
        <w:t xml:space="preserve">a </w:t>
      </w:r>
      <w:r w:rsidR="00C75BD1" w:rsidRPr="00F23B61">
        <w:t xml:space="preserve">need to bring this work more sharply into the </w:t>
      </w:r>
      <w:r w:rsidR="00C75BD1" w:rsidRPr="00F23B61">
        <w:rPr>
          <w:rFonts w:ascii="Calibri" w:eastAsia="Calibri" w:hAnsi="Calibri" w:cs="Times New Roman"/>
        </w:rPr>
        <w:t xml:space="preserve">focus in the </w:t>
      </w:r>
      <w:r>
        <w:rPr>
          <w:rFonts w:ascii="Calibri" w:eastAsia="Calibri" w:hAnsi="Calibri" w:cs="Times New Roman"/>
        </w:rPr>
        <w:t>next</w:t>
      </w:r>
      <w:r w:rsidR="00C75BD1" w:rsidRPr="00F23B61">
        <w:rPr>
          <w:rFonts w:ascii="Calibri" w:eastAsia="Calibri" w:hAnsi="Calibri" w:cs="Times New Roman"/>
        </w:rPr>
        <w:t xml:space="preserve"> phase and ensure strong engagement by Vanuatu’s national DPO - </w:t>
      </w:r>
      <w:r w:rsidR="00C75BD1" w:rsidRPr="00F23B61">
        <w:t xml:space="preserve">Disability Promotion and Advocacy Association (DPA), to ensure all </w:t>
      </w:r>
      <w:r w:rsidR="00C75BD1">
        <w:t>SRBJS</w:t>
      </w:r>
      <w:r w:rsidR="00C75BD1" w:rsidRPr="00F23B61">
        <w:t>’s community level initiatives appropriate</w:t>
      </w:r>
      <w:r w:rsidR="00C75BD1">
        <w:t>ly</w:t>
      </w:r>
      <w:r w:rsidR="00C75BD1" w:rsidRPr="00F23B61">
        <w:t xml:space="preserve"> engage people with disability. Training for APs/RCs should also integrate disability content and equip APs/RCs with the knowledge and skills to effectively engage and respond to people with disability who experience FSV.</w:t>
      </w:r>
    </w:p>
    <w:p w14:paraId="766A4FB6" w14:textId="77777777" w:rsidR="00C75BD1" w:rsidRPr="00F23B61" w:rsidRDefault="00C75BD1" w:rsidP="00C75BD1">
      <w:pPr>
        <w:spacing w:after="0" w:line="240" w:lineRule="auto"/>
        <w:jc w:val="both"/>
        <w:rPr>
          <w:rFonts w:ascii="Calibri" w:eastAsia="Calibri" w:hAnsi="Calibri" w:cs="Times New Roman"/>
        </w:rPr>
      </w:pPr>
      <w:r w:rsidRPr="00F23B61">
        <w:rPr>
          <w:rFonts w:ascii="Calibri" w:eastAsia="Calibri" w:hAnsi="Calibri" w:cs="Times New Roman"/>
        </w:rPr>
        <w:t xml:space="preserve">Due to the early indications of success of these activities, there is a strong case to continue and extend </w:t>
      </w:r>
      <w:r w:rsidRPr="00B87A99">
        <w:rPr>
          <w:rFonts w:ascii="Calibri" w:eastAsia="Calibri" w:hAnsi="Calibri" w:cs="Times New Roman"/>
        </w:rPr>
        <w:t xml:space="preserve">community level engagement. </w:t>
      </w:r>
      <w:r w:rsidR="000C35F4">
        <w:rPr>
          <w:rFonts w:ascii="Calibri" w:eastAsia="Calibri" w:hAnsi="Calibri" w:cs="Times New Roman"/>
        </w:rPr>
        <w:t xml:space="preserve"> </w:t>
      </w:r>
      <w:r w:rsidRPr="00B87A99">
        <w:rPr>
          <w:rFonts w:ascii="Calibri" w:eastAsia="Calibri" w:hAnsi="Calibri" w:cs="Times New Roman"/>
        </w:rPr>
        <w:t>There</w:t>
      </w:r>
      <w:r w:rsidRPr="00F23B61">
        <w:rPr>
          <w:rFonts w:ascii="Calibri" w:eastAsia="Calibri" w:hAnsi="Calibri" w:cs="Times New Roman"/>
        </w:rPr>
        <w:t xml:space="preserve"> is a relatively small level of financial investment directed to community level initiatives compared with investment in the formal </w:t>
      </w:r>
      <w:r w:rsidRPr="004E53F7">
        <w:rPr>
          <w:rFonts w:ascii="Calibri" w:eastAsia="Calibri" w:hAnsi="Calibri" w:cs="Times New Roman"/>
        </w:rPr>
        <w:t xml:space="preserve">justice system. Care should be given to ensuring that community-focused work is not diminished in favour of </w:t>
      </w:r>
      <w:r w:rsidR="00C70917">
        <w:rPr>
          <w:rFonts w:ascii="Calibri" w:eastAsia="Calibri" w:hAnsi="Calibri" w:cs="Times New Roman"/>
        </w:rPr>
        <w:t>other more institutional and formal</w:t>
      </w:r>
      <w:r w:rsidRPr="00F23B61">
        <w:rPr>
          <w:rFonts w:ascii="Calibri" w:eastAsia="Calibri" w:hAnsi="Calibri" w:cs="Times New Roman"/>
        </w:rPr>
        <w:t xml:space="preserve"> elements of the Program. Consideration will also need to be given to balancing the weigh</w:t>
      </w:r>
      <w:r w:rsidR="00EB5EF1">
        <w:rPr>
          <w:rFonts w:ascii="Calibri" w:eastAsia="Calibri" w:hAnsi="Calibri" w:cs="Times New Roman"/>
        </w:rPr>
        <w:t>t</w:t>
      </w:r>
      <w:r w:rsidRPr="00F23B61">
        <w:rPr>
          <w:rFonts w:ascii="Calibri" w:eastAsia="Calibri" w:hAnsi="Calibri" w:cs="Times New Roman"/>
        </w:rPr>
        <w:t xml:space="preserve"> of investment between extending and deepening change in the communities already engaged and expanding activities to reach new communities.</w:t>
      </w:r>
    </w:p>
    <w:p w14:paraId="6780F6FF" w14:textId="77777777" w:rsidR="00C75BD1" w:rsidRPr="00F23B61" w:rsidRDefault="00C75BD1" w:rsidP="00C75BD1">
      <w:pPr>
        <w:spacing w:after="0" w:line="240" w:lineRule="auto"/>
        <w:jc w:val="both"/>
        <w:rPr>
          <w:rFonts w:ascii="Calibri" w:eastAsia="Calibri" w:hAnsi="Calibri" w:cs="Times New Roman"/>
        </w:rPr>
      </w:pPr>
    </w:p>
    <w:tbl>
      <w:tblPr>
        <w:tblStyle w:val="TableGrid"/>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9016"/>
      </w:tblGrid>
      <w:tr w:rsidR="00C75BD1" w:rsidRPr="00F23B61" w14:paraId="0ED273EB" w14:textId="77777777" w:rsidTr="009724CE">
        <w:tc>
          <w:tcPr>
            <w:tcW w:w="9016" w:type="dxa"/>
            <w:shd w:val="clear" w:color="auto" w:fill="F3F5F7"/>
          </w:tcPr>
          <w:p w14:paraId="59907478" w14:textId="77777777" w:rsidR="00C75BD1" w:rsidRPr="00F23B61" w:rsidRDefault="00C75BD1" w:rsidP="009724CE">
            <w:pPr>
              <w:shd w:val="clear" w:color="auto" w:fill="F3F5F7"/>
              <w:tabs>
                <w:tab w:val="left" w:pos="5954"/>
              </w:tabs>
              <w:rPr>
                <w:b/>
                <w:bCs/>
                <w:lang w:val="en-GB"/>
              </w:rPr>
            </w:pPr>
            <w:bookmarkStart w:id="43" w:name="_Hlk21698885"/>
            <w:r w:rsidRPr="00F23B61">
              <w:rPr>
                <w:b/>
                <w:bCs/>
                <w:lang w:val="en-GB"/>
              </w:rPr>
              <w:t xml:space="preserve">Recommendation </w:t>
            </w:r>
            <w:r w:rsidR="000B017A">
              <w:rPr>
                <w:b/>
                <w:bCs/>
                <w:lang w:val="en-GB"/>
              </w:rPr>
              <w:t>5</w:t>
            </w:r>
          </w:p>
          <w:bookmarkEnd w:id="43"/>
          <w:p w14:paraId="15D105A6" w14:textId="77777777" w:rsidR="00DD6C13" w:rsidRPr="00C70917" w:rsidRDefault="00DD6C13" w:rsidP="00C70917">
            <w:pPr>
              <w:shd w:val="clear" w:color="auto" w:fill="F3F5F7"/>
              <w:tabs>
                <w:tab w:val="left" w:pos="5954"/>
              </w:tabs>
              <w:spacing w:after="100"/>
              <w:jc w:val="both"/>
              <w:rPr>
                <w:lang w:val="en-GB"/>
              </w:rPr>
            </w:pPr>
            <w:r w:rsidRPr="00DD6C13">
              <w:rPr>
                <w:lang w:val="en-GB"/>
              </w:rPr>
              <w:t xml:space="preserve">The Program should continue to invest at the community level and should ensure that government agencies are engaged in reflecting on the feedback from communities in planning and delivering their services.  Efforts should be made to support the </w:t>
            </w:r>
            <w:proofErr w:type="spellStart"/>
            <w:r w:rsidRPr="00DD6C13">
              <w:rPr>
                <w:lang w:val="en-GB"/>
              </w:rPr>
              <w:t>GoV</w:t>
            </w:r>
            <w:proofErr w:type="spellEnd"/>
            <w:r w:rsidRPr="00DD6C13">
              <w:rPr>
                <w:lang w:val="en-GB"/>
              </w:rPr>
              <w:t xml:space="preserve"> to lead implementation and take this approach to scale.</w:t>
            </w:r>
          </w:p>
        </w:tc>
      </w:tr>
    </w:tbl>
    <w:p w14:paraId="3AB5C434" w14:textId="77777777" w:rsidR="00C70E58" w:rsidRDefault="00C70E58" w:rsidP="00A04479">
      <w:pPr>
        <w:spacing w:after="0"/>
        <w:jc w:val="both"/>
        <w:rPr>
          <w:rFonts w:ascii="Calibri" w:eastAsia="Calibri" w:hAnsi="Calibri" w:cs="Times New Roman"/>
          <w:b/>
        </w:rPr>
      </w:pPr>
    </w:p>
    <w:p w14:paraId="6A34E3D1" w14:textId="77777777" w:rsidR="00C70917" w:rsidRDefault="00C70917" w:rsidP="00C70917">
      <w:pPr>
        <w:spacing w:after="0" w:line="240" w:lineRule="auto"/>
        <w:jc w:val="both"/>
        <w:rPr>
          <w:rFonts w:ascii="Calibri" w:eastAsia="Calibri" w:hAnsi="Calibri" w:cs="Times New Roman"/>
          <w:b/>
        </w:rPr>
      </w:pPr>
      <w:r w:rsidRPr="00C70917">
        <w:rPr>
          <w:lang w:val="en-GB"/>
        </w:rPr>
        <w:t xml:space="preserve">The Program should </w:t>
      </w:r>
      <w:r w:rsidR="000C35F4">
        <w:rPr>
          <w:rFonts w:ascii="Calibri" w:eastAsia="Calibri" w:hAnsi="Calibri" w:cs="Times New Roman"/>
        </w:rPr>
        <w:t xml:space="preserve">consider further </w:t>
      </w:r>
      <w:r w:rsidRPr="00C70917">
        <w:rPr>
          <w:rFonts w:ascii="Calibri" w:eastAsia="Calibri" w:hAnsi="Calibri" w:cs="Times New Roman"/>
        </w:rPr>
        <w:t>support</w:t>
      </w:r>
      <w:r w:rsidR="000C35F4">
        <w:rPr>
          <w:rFonts w:ascii="Calibri" w:eastAsia="Calibri" w:hAnsi="Calibri" w:cs="Times New Roman"/>
        </w:rPr>
        <w:t xml:space="preserve"> to</w:t>
      </w:r>
      <w:r w:rsidRPr="00C70917">
        <w:rPr>
          <w:rFonts w:ascii="Calibri" w:eastAsia="Calibri" w:hAnsi="Calibri" w:cs="Times New Roman"/>
        </w:rPr>
        <w:t xml:space="preserve"> the Ministry of Justice and Community Services (MJCS) to implement the AP approach to the FPA and</w:t>
      </w:r>
      <w:r>
        <w:rPr>
          <w:rFonts w:ascii="Calibri" w:eastAsia="Calibri" w:hAnsi="Calibri" w:cs="Times New Roman"/>
        </w:rPr>
        <w:t xml:space="preserve"> </w:t>
      </w:r>
      <w:r w:rsidRPr="00C70917">
        <w:rPr>
          <w:rFonts w:ascii="Calibri" w:eastAsia="Calibri" w:hAnsi="Calibri" w:cs="Times New Roman"/>
        </w:rPr>
        <w:t xml:space="preserve">advocate for </w:t>
      </w:r>
      <w:r>
        <w:rPr>
          <w:rFonts w:ascii="Calibri" w:eastAsia="Calibri" w:hAnsi="Calibri" w:cs="Times New Roman"/>
        </w:rPr>
        <w:t xml:space="preserve">further </w:t>
      </w:r>
      <w:r w:rsidRPr="00C70917">
        <w:rPr>
          <w:rFonts w:ascii="Calibri" w:eastAsia="Calibri" w:hAnsi="Calibri" w:cs="Times New Roman"/>
        </w:rPr>
        <w:t xml:space="preserve">government funding for implementation. </w:t>
      </w:r>
      <w:r w:rsidRPr="00565A1A">
        <w:rPr>
          <w:rFonts w:ascii="Calibri" w:eastAsia="Calibri" w:hAnsi="Calibri" w:cs="Times New Roman"/>
        </w:rPr>
        <w:t xml:space="preserve">Key partnerships with organisations for people with disability, and women’s organisations, </w:t>
      </w:r>
      <w:r>
        <w:rPr>
          <w:rFonts w:ascii="Calibri" w:eastAsia="Calibri" w:hAnsi="Calibri" w:cs="Times New Roman"/>
        </w:rPr>
        <w:t>are integral to the success of the approach</w:t>
      </w:r>
      <w:r w:rsidR="000C35F4">
        <w:rPr>
          <w:rFonts w:ascii="Calibri" w:eastAsia="Calibri" w:hAnsi="Calibri" w:cs="Times New Roman"/>
        </w:rPr>
        <w:t xml:space="preserve"> and should continue</w:t>
      </w:r>
      <w:r>
        <w:rPr>
          <w:rFonts w:ascii="Calibri" w:eastAsia="Calibri" w:hAnsi="Calibri" w:cs="Times New Roman"/>
        </w:rPr>
        <w:t>. Further m</w:t>
      </w:r>
      <w:r w:rsidRPr="00C75BD1">
        <w:rPr>
          <w:rFonts w:ascii="Calibri" w:eastAsia="Calibri" w:hAnsi="Calibri" w:cs="Times New Roman"/>
        </w:rPr>
        <w:t xml:space="preserve">echanisms </w:t>
      </w:r>
      <w:r w:rsidR="000C35F4">
        <w:rPr>
          <w:rFonts w:ascii="Calibri" w:eastAsia="Calibri" w:hAnsi="Calibri" w:cs="Times New Roman"/>
        </w:rPr>
        <w:t>c</w:t>
      </w:r>
      <w:r w:rsidRPr="00C75BD1">
        <w:rPr>
          <w:rFonts w:ascii="Calibri" w:eastAsia="Calibri" w:hAnsi="Calibri" w:cs="Times New Roman"/>
        </w:rPr>
        <w:t>ould be developed to monitor changes in awareness and behaviour, community experience and levels of confidence and trust in the formal justice system and deepen understanding of how FSV is being responded to in communities, through both the informal and formal systems</w:t>
      </w:r>
      <w:r>
        <w:rPr>
          <w:rFonts w:ascii="Calibri" w:eastAsia="Calibri" w:hAnsi="Calibri" w:cs="Times New Roman"/>
        </w:rPr>
        <w:t xml:space="preserve">. </w:t>
      </w:r>
      <w:r w:rsidR="000C35F4">
        <w:rPr>
          <w:rFonts w:ascii="Calibri" w:eastAsia="Calibri" w:hAnsi="Calibri" w:cs="Times New Roman"/>
        </w:rPr>
        <w:t xml:space="preserve"> </w:t>
      </w:r>
    </w:p>
    <w:p w14:paraId="0A14BC78" w14:textId="77777777" w:rsidR="00C70917" w:rsidRDefault="00C70917" w:rsidP="00A04479">
      <w:pPr>
        <w:spacing w:after="0"/>
        <w:jc w:val="both"/>
        <w:rPr>
          <w:rFonts w:ascii="Calibri" w:eastAsia="Calibri" w:hAnsi="Calibri" w:cs="Times New Roman"/>
          <w:b/>
        </w:rPr>
      </w:pPr>
    </w:p>
    <w:p w14:paraId="588EFE84" w14:textId="77777777" w:rsidR="00C70E58" w:rsidRPr="000C35F4" w:rsidRDefault="00C70E58" w:rsidP="000C35F4">
      <w:pPr>
        <w:spacing w:after="0" w:line="240" w:lineRule="auto"/>
        <w:jc w:val="both"/>
        <w:rPr>
          <w:rFonts w:ascii="Calibri" w:eastAsia="Calibri" w:hAnsi="Calibri" w:cs="Times New Roman"/>
          <w:b/>
          <w:sz w:val="24"/>
          <w:szCs w:val="24"/>
        </w:rPr>
      </w:pPr>
      <w:r w:rsidRPr="00321B3E">
        <w:rPr>
          <w:rFonts w:ascii="Calibri" w:eastAsia="Calibri" w:hAnsi="Calibri" w:cs="Times New Roman"/>
          <w:b/>
          <w:sz w:val="24"/>
          <w:szCs w:val="24"/>
        </w:rPr>
        <w:t xml:space="preserve">Finding </w:t>
      </w:r>
      <w:r w:rsidR="000059AB" w:rsidRPr="00321B3E">
        <w:rPr>
          <w:rFonts w:ascii="Calibri" w:eastAsia="Calibri" w:hAnsi="Calibri" w:cs="Times New Roman"/>
          <w:b/>
          <w:sz w:val="24"/>
          <w:szCs w:val="24"/>
        </w:rPr>
        <w:t>6</w:t>
      </w:r>
      <w:r w:rsidRPr="00321B3E">
        <w:rPr>
          <w:rFonts w:ascii="Calibri" w:eastAsia="Calibri" w:hAnsi="Calibri" w:cs="Times New Roman"/>
          <w:b/>
          <w:sz w:val="24"/>
          <w:szCs w:val="24"/>
        </w:rPr>
        <w:t xml:space="preserve">: </w:t>
      </w:r>
      <w:r w:rsidR="00571ABE" w:rsidRPr="00321B3E">
        <w:rPr>
          <w:rFonts w:ascii="Calibri" w:eastAsia="Calibri" w:hAnsi="Calibri" w:cs="Times New Roman"/>
          <w:b/>
          <w:sz w:val="24"/>
          <w:szCs w:val="24"/>
        </w:rPr>
        <w:t>consistent approach to capacity development</w:t>
      </w:r>
    </w:p>
    <w:p w14:paraId="00C6ED44" w14:textId="77777777" w:rsidR="00321B3E" w:rsidRDefault="00C70E58" w:rsidP="000C35F4">
      <w:pPr>
        <w:shd w:val="clear" w:color="auto" w:fill="F3F5F7"/>
        <w:spacing w:after="0" w:line="240" w:lineRule="auto"/>
        <w:jc w:val="both"/>
        <w:rPr>
          <w:rFonts w:cs="Times New Roman"/>
          <w:color w:val="44546A" w:themeColor="text2"/>
        </w:rPr>
      </w:pPr>
      <w:r w:rsidRPr="000C35F4">
        <w:rPr>
          <w:rFonts w:cs="Times New Roman"/>
          <w:color w:val="44546A" w:themeColor="text2"/>
        </w:rPr>
        <w:t xml:space="preserve">There are a </w:t>
      </w:r>
      <w:r w:rsidRPr="000C35F4">
        <w:rPr>
          <w:rFonts w:cs="Times New Roman"/>
          <w:b/>
          <w:bCs/>
          <w:color w:val="44546A" w:themeColor="text2"/>
        </w:rPr>
        <w:t>wide range of approaches</w:t>
      </w:r>
      <w:r w:rsidRPr="000C35F4">
        <w:rPr>
          <w:rFonts w:cs="Times New Roman"/>
          <w:color w:val="44546A" w:themeColor="text2"/>
        </w:rPr>
        <w:t xml:space="preserve"> and practices for capacity development across the Program. Assistance model with </w:t>
      </w:r>
      <w:r w:rsidRPr="000C35F4">
        <w:rPr>
          <w:rFonts w:cs="Times New Roman"/>
          <w:b/>
          <w:bCs/>
          <w:color w:val="44546A" w:themeColor="text2"/>
        </w:rPr>
        <w:t>less clear pathways to local ownership</w:t>
      </w:r>
      <w:r w:rsidRPr="000C35F4">
        <w:rPr>
          <w:rFonts w:cs="Times New Roman"/>
          <w:color w:val="44546A" w:themeColor="text2"/>
        </w:rPr>
        <w:t xml:space="preserve"> and sustainability.</w:t>
      </w:r>
      <w:r w:rsidR="00321B3E">
        <w:rPr>
          <w:rFonts w:cs="Times New Roman"/>
          <w:color w:val="44546A" w:themeColor="text2"/>
        </w:rPr>
        <w:t xml:space="preserve"> </w:t>
      </w:r>
      <w:r w:rsidR="00321B3E" w:rsidRPr="00321B3E">
        <w:rPr>
          <w:rFonts w:cs="Times New Roman"/>
          <w:color w:val="44546A" w:themeColor="text2"/>
        </w:rPr>
        <w:t xml:space="preserve">Some parts of the Program </w:t>
      </w:r>
      <w:r w:rsidR="00321B3E" w:rsidRPr="00321B3E">
        <w:rPr>
          <w:rFonts w:cs="Times New Roman"/>
          <w:b/>
          <w:color w:val="44546A" w:themeColor="text2"/>
        </w:rPr>
        <w:t>demonstrate good practice</w:t>
      </w:r>
      <w:r w:rsidR="00321B3E" w:rsidRPr="00321B3E">
        <w:rPr>
          <w:rFonts w:cs="Times New Roman"/>
          <w:color w:val="44546A" w:themeColor="text2"/>
        </w:rPr>
        <w:t xml:space="preserve"> and other parts of the Program rely on a more traditional approach with </w:t>
      </w:r>
      <w:r w:rsidR="00321B3E" w:rsidRPr="00321B3E">
        <w:rPr>
          <w:rFonts w:cs="Times New Roman"/>
          <w:b/>
          <w:color w:val="44546A" w:themeColor="text2"/>
        </w:rPr>
        <w:t>less clear pathways to local ownership</w:t>
      </w:r>
      <w:r w:rsidR="00321B3E" w:rsidRPr="00321B3E">
        <w:rPr>
          <w:rFonts w:cs="Times New Roman"/>
          <w:color w:val="44546A" w:themeColor="text2"/>
        </w:rPr>
        <w:t xml:space="preserve"> and sustainability</w:t>
      </w:r>
    </w:p>
    <w:p w14:paraId="6A88FEFA" w14:textId="77777777" w:rsidR="00C70E58" w:rsidRPr="00C70E58" w:rsidRDefault="00C70E58" w:rsidP="00C70E58">
      <w:pPr>
        <w:spacing w:after="0" w:line="240" w:lineRule="auto"/>
        <w:rPr>
          <w:rFonts w:cs="Times New Roman"/>
          <w:b/>
          <w:bCs/>
          <w:i/>
          <w:iCs/>
        </w:rPr>
      </w:pPr>
    </w:p>
    <w:p w14:paraId="24AA9C48" w14:textId="77777777" w:rsidR="00C70E58" w:rsidRPr="00C70E58" w:rsidRDefault="00C70E58" w:rsidP="00C70E58">
      <w:pPr>
        <w:spacing w:after="0" w:line="240" w:lineRule="auto"/>
        <w:jc w:val="both"/>
        <w:rPr>
          <w:rFonts w:cs="Times New Roman"/>
        </w:rPr>
      </w:pPr>
      <w:r w:rsidRPr="00C70E58">
        <w:rPr>
          <w:rFonts w:cs="Times New Roman"/>
        </w:rPr>
        <w:t xml:space="preserve">There are a range of approaches to capacity development evident across the Program, in theory and practice. The design and associated documents embed several theoretical approaches to capacity development, including: </w:t>
      </w:r>
    </w:p>
    <w:p w14:paraId="403A44D5" w14:textId="77777777" w:rsidR="00C70E58" w:rsidRPr="00C70E58" w:rsidRDefault="00C70E58" w:rsidP="004E7C9F">
      <w:pPr>
        <w:numPr>
          <w:ilvl w:val="0"/>
          <w:numId w:val="14"/>
        </w:numPr>
        <w:spacing w:after="0" w:line="240" w:lineRule="auto"/>
        <w:contextualSpacing/>
        <w:jc w:val="both"/>
        <w:rPr>
          <w:rFonts w:cs="Times New Roman"/>
        </w:rPr>
      </w:pPr>
      <w:r w:rsidRPr="00C70E58">
        <w:rPr>
          <w:rFonts w:cs="Times New Roman"/>
        </w:rPr>
        <w:t>The four levels “individual, organisational, institutional, sector levels”</w:t>
      </w:r>
      <w:r w:rsidRPr="00C70E58">
        <w:rPr>
          <w:rFonts w:cs="Times New Roman"/>
          <w:vertAlign w:val="superscript"/>
        </w:rPr>
        <w:footnoteReference w:id="72"/>
      </w:r>
      <w:r w:rsidRPr="00C70E58">
        <w:rPr>
          <w:rFonts w:cs="Times New Roman"/>
        </w:rPr>
        <w:t xml:space="preserve"> which is based on the idea of sustaining individual changes in behaviour to organisational support and institutional norms;</w:t>
      </w:r>
    </w:p>
    <w:p w14:paraId="166F6E95" w14:textId="77777777" w:rsidR="00C70E58" w:rsidRPr="00C70E58" w:rsidRDefault="00C70E58" w:rsidP="004E7C9F">
      <w:pPr>
        <w:numPr>
          <w:ilvl w:val="0"/>
          <w:numId w:val="14"/>
        </w:numPr>
        <w:spacing w:after="0" w:line="240" w:lineRule="auto"/>
        <w:contextualSpacing/>
        <w:jc w:val="both"/>
        <w:rPr>
          <w:rFonts w:cs="Times New Roman"/>
        </w:rPr>
      </w:pPr>
      <w:r w:rsidRPr="00C70E58">
        <w:rPr>
          <w:rFonts w:cs="Times New Roman"/>
        </w:rPr>
        <w:t>the “supply and demand” approach to good governance</w:t>
      </w:r>
      <w:r w:rsidR="004E53F7">
        <w:rPr>
          <w:rStyle w:val="FootnoteReference"/>
          <w:rFonts w:cs="Times New Roman"/>
        </w:rPr>
        <w:footnoteReference w:id="73"/>
      </w:r>
      <w:r w:rsidRPr="00C70E58">
        <w:rPr>
          <w:rFonts w:cs="Times New Roman"/>
        </w:rPr>
        <w:t>, which is based on the idea of sustaining capacity improvements by changing citizen expectations for the quality of services and using their electoral (political) pressure to ensure services continue;</w:t>
      </w:r>
    </w:p>
    <w:p w14:paraId="4BF1FD61" w14:textId="77777777" w:rsidR="00C70E58" w:rsidRPr="00C70E58" w:rsidRDefault="00C70E58" w:rsidP="004E7C9F">
      <w:pPr>
        <w:numPr>
          <w:ilvl w:val="0"/>
          <w:numId w:val="14"/>
        </w:numPr>
        <w:spacing w:after="0" w:line="240" w:lineRule="auto"/>
        <w:contextualSpacing/>
        <w:jc w:val="both"/>
        <w:rPr>
          <w:rFonts w:cs="Times New Roman"/>
        </w:rPr>
      </w:pPr>
      <w:proofErr w:type="gramStart"/>
      <w:r w:rsidRPr="00C70E58">
        <w:rPr>
          <w:rFonts w:cs="Times New Roman"/>
        </w:rPr>
        <w:t>taking</w:t>
      </w:r>
      <w:proofErr w:type="gramEnd"/>
      <w:r w:rsidRPr="00C70E58">
        <w:rPr>
          <w:rFonts w:cs="Times New Roman"/>
        </w:rPr>
        <w:t xml:space="preserve"> a “problem-driven iterative adaptive” (PDIA)</w:t>
      </w:r>
      <w:r w:rsidRPr="00C70E58">
        <w:rPr>
          <w:rFonts w:cs="Times New Roman"/>
          <w:vertAlign w:val="superscript"/>
        </w:rPr>
        <w:footnoteReference w:id="74"/>
      </w:r>
      <w:r w:rsidRPr="00C70E58">
        <w:rPr>
          <w:rFonts w:cs="Times New Roman"/>
        </w:rPr>
        <w:t xml:space="preserve"> approach </w:t>
      </w:r>
      <w:r w:rsidRPr="00C70E58">
        <w:rPr>
          <w:rFonts w:cs="Times New Roman"/>
          <w:vertAlign w:val="superscript"/>
        </w:rPr>
        <w:footnoteReference w:id="75"/>
      </w:r>
      <w:r w:rsidRPr="00C70E58">
        <w:rPr>
          <w:rFonts w:cs="Times New Roman"/>
        </w:rPr>
        <w:t>, based on the idea of supporting self-generating solutions from within the context, and ‘learning by doing’ and action research.</w:t>
      </w:r>
    </w:p>
    <w:p w14:paraId="1D92555F" w14:textId="77777777" w:rsidR="00C70E58" w:rsidRPr="00C70E58" w:rsidRDefault="00C70E58" w:rsidP="004E7C9F">
      <w:pPr>
        <w:numPr>
          <w:ilvl w:val="0"/>
          <w:numId w:val="14"/>
        </w:numPr>
        <w:spacing w:after="0" w:line="240" w:lineRule="auto"/>
        <w:contextualSpacing/>
        <w:jc w:val="both"/>
        <w:rPr>
          <w:rFonts w:cs="Times New Roman"/>
        </w:rPr>
      </w:pPr>
      <w:r w:rsidRPr="00C70E58">
        <w:rPr>
          <w:rFonts w:cs="Times New Roman"/>
        </w:rPr>
        <w:t xml:space="preserve">Adopting a “systems approach” </w:t>
      </w:r>
      <w:r w:rsidRPr="00C70E58">
        <w:rPr>
          <w:rFonts w:cs="Times New Roman"/>
          <w:vertAlign w:val="superscript"/>
        </w:rPr>
        <w:footnoteReference w:id="76"/>
      </w:r>
      <w:r w:rsidRPr="00C70E58">
        <w:rPr>
          <w:rFonts w:cs="Times New Roman"/>
        </w:rPr>
        <w:t xml:space="preserve"> based on the ideas of ‘’start anywhere go anywhere’’ that recognises that every capacity constraint (and improvement) operates in a more complex system and the pathway to change is not linear;</w:t>
      </w:r>
    </w:p>
    <w:p w14:paraId="11E1DCE7" w14:textId="77777777" w:rsidR="00C70E58" w:rsidRPr="00C70E58" w:rsidRDefault="00C70E58" w:rsidP="004E7C9F">
      <w:pPr>
        <w:numPr>
          <w:ilvl w:val="0"/>
          <w:numId w:val="14"/>
        </w:numPr>
        <w:spacing w:after="0" w:line="240" w:lineRule="auto"/>
        <w:contextualSpacing/>
        <w:jc w:val="both"/>
        <w:rPr>
          <w:rFonts w:cs="Times New Roman"/>
        </w:rPr>
      </w:pPr>
      <w:r w:rsidRPr="00C70E58">
        <w:rPr>
          <w:rFonts w:cs="Times New Roman"/>
        </w:rPr>
        <w:t>Taking a “thinking and working politically” approach based on the idea of seizing opportunities and momentum for change led by internal advocates, and developing unique local solutions, rather than imposing pre-determined external solutions;</w:t>
      </w:r>
    </w:p>
    <w:p w14:paraId="20E45705" w14:textId="77777777" w:rsidR="00C70E58" w:rsidRPr="00C70E58" w:rsidRDefault="00C70E58" w:rsidP="004E7C9F">
      <w:pPr>
        <w:numPr>
          <w:ilvl w:val="0"/>
          <w:numId w:val="14"/>
        </w:numPr>
        <w:spacing w:after="0" w:line="240" w:lineRule="auto"/>
        <w:contextualSpacing/>
        <w:jc w:val="both"/>
        <w:rPr>
          <w:rFonts w:cs="Times New Roman"/>
        </w:rPr>
      </w:pPr>
      <w:r w:rsidRPr="00C70E58">
        <w:rPr>
          <w:rFonts w:cs="Times New Roman"/>
        </w:rPr>
        <w:t>Being “outcomes and performance driven”</w:t>
      </w:r>
      <w:r w:rsidR="00DA632C">
        <w:rPr>
          <w:rStyle w:val="FootnoteReference"/>
          <w:rFonts w:cs="Times New Roman"/>
        </w:rPr>
        <w:footnoteReference w:id="77"/>
      </w:r>
      <w:r w:rsidRPr="00C70E58">
        <w:rPr>
          <w:rFonts w:cs="Times New Roman"/>
        </w:rPr>
        <w:t xml:space="preserve">, based on the idea of using a binding vision to motivate and guide activities and planning. </w:t>
      </w:r>
    </w:p>
    <w:p w14:paraId="72EB3122" w14:textId="77777777" w:rsidR="00C70E58" w:rsidRPr="00C70E58" w:rsidRDefault="00C70E58" w:rsidP="00C70E58">
      <w:pPr>
        <w:spacing w:after="0" w:line="240" w:lineRule="auto"/>
        <w:jc w:val="both"/>
        <w:rPr>
          <w:rFonts w:cs="Times New Roman"/>
        </w:rPr>
      </w:pPr>
      <w:r w:rsidRPr="00C70E58">
        <w:rPr>
          <w:rFonts w:cs="Times New Roman"/>
        </w:rPr>
        <w:t>In addition, the AFP have an internal approach to capacity building based on:</w:t>
      </w:r>
    </w:p>
    <w:p w14:paraId="43C8C8C8" w14:textId="77777777" w:rsidR="00C70E58" w:rsidRPr="00C70E58" w:rsidRDefault="00C70E58" w:rsidP="004E7C9F">
      <w:pPr>
        <w:numPr>
          <w:ilvl w:val="0"/>
          <w:numId w:val="14"/>
        </w:numPr>
        <w:spacing w:after="0" w:line="240" w:lineRule="auto"/>
        <w:contextualSpacing/>
        <w:jc w:val="both"/>
        <w:rPr>
          <w:rFonts w:cs="Times New Roman"/>
        </w:rPr>
      </w:pPr>
      <w:r w:rsidRPr="00C70E58">
        <w:rPr>
          <w:rFonts w:cs="Times New Roman"/>
        </w:rPr>
        <w:t>“</w:t>
      </w:r>
      <w:proofErr w:type="gramStart"/>
      <w:r w:rsidRPr="00C70E58">
        <w:rPr>
          <w:rFonts w:cs="Times New Roman"/>
        </w:rPr>
        <w:t>rules</w:t>
      </w:r>
      <w:proofErr w:type="gramEnd"/>
      <w:r w:rsidRPr="00C70E58">
        <w:rPr>
          <w:rFonts w:cs="Times New Roman"/>
        </w:rPr>
        <w:t>, tools and skills”</w:t>
      </w:r>
      <w:r w:rsidRPr="00C70E58">
        <w:rPr>
          <w:rFonts w:cs="Times New Roman"/>
          <w:vertAlign w:val="superscript"/>
        </w:rPr>
        <w:footnoteReference w:id="78"/>
      </w:r>
      <w:r w:rsidRPr="00C70E58">
        <w:rPr>
          <w:rFonts w:cs="Times New Roman"/>
        </w:rPr>
        <w:t xml:space="preserve"> based on a capability framework for ensu</w:t>
      </w:r>
      <w:r w:rsidR="000C35F4">
        <w:rPr>
          <w:rFonts w:cs="Times New Roman"/>
        </w:rPr>
        <w:t>r</w:t>
      </w:r>
      <w:r w:rsidRPr="00C70E58">
        <w:rPr>
          <w:rFonts w:cs="Times New Roman"/>
        </w:rPr>
        <w:t>ing services can be delivered.</w:t>
      </w:r>
    </w:p>
    <w:p w14:paraId="08CB7BFF" w14:textId="77777777" w:rsidR="00C70E58" w:rsidRPr="00C70E58" w:rsidRDefault="00C70E58" w:rsidP="00C70E58">
      <w:pPr>
        <w:spacing w:after="0" w:line="240" w:lineRule="auto"/>
        <w:jc w:val="both"/>
        <w:rPr>
          <w:rFonts w:cs="Times New Roman"/>
        </w:rPr>
      </w:pPr>
      <w:r w:rsidRPr="00C70E58">
        <w:rPr>
          <w:rFonts w:cs="Times New Roman"/>
        </w:rPr>
        <w:t>At the individual level, a familiar frame of reference for capacity building is the:</w:t>
      </w:r>
    </w:p>
    <w:p w14:paraId="0160A93A" w14:textId="77777777" w:rsidR="00C70E58" w:rsidRPr="00C70E58" w:rsidRDefault="00C70E58" w:rsidP="004E7C9F">
      <w:pPr>
        <w:numPr>
          <w:ilvl w:val="0"/>
          <w:numId w:val="14"/>
        </w:numPr>
        <w:spacing w:after="0" w:line="240" w:lineRule="auto"/>
        <w:contextualSpacing/>
        <w:jc w:val="both"/>
        <w:rPr>
          <w:rFonts w:cs="Times New Roman"/>
        </w:rPr>
      </w:pPr>
      <w:r w:rsidRPr="00C70E58">
        <w:rPr>
          <w:rFonts w:cs="Times New Roman"/>
        </w:rPr>
        <w:t xml:space="preserve">“Do -&gt; teach -&gt; support -&gt; mentor -&gt; monitor” progression </w:t>
      </w:r>
      <w:r w:rsidR="00DA632C">
        <w:rPr>
          <w:rStyle w:val="FootnoteReference"/>
          <w:rFonts w:cs="Times New Roman"/>
        </w:rPr>
        <w:footnoteReference w:id="79"/>
      </w:r>
      <w:r w:rsidRPr="00C70E58">
        <w:rPr>
          <w:rFonts w:cs="Times New Roman"/>
        </w:rPr>
        <w:t>which is based on a notion of ‘doing yourself out of a job’ by leaving skills behind when you withdraw.</w:t>
      </w:r>
    </w:p>
    <w:p w14:paraId="7448C366" w14:textId="77777777" w:rsidR="00C70E58" w:rsidRPr="00C70E58" w:rsidRDefault="00C70E58" w:rsidP="00C70E58">
      <w:pPr>
        <w:spacing w:after="0" w:line="240" w:lineRule="auto"/>
        <w:jc w:val="both"/>
        <w:rPr>
          <w:rFonts w:cs="Times New Roman"/>
        </w:rPr>
      </w:pPr>
    </w:p>
    <w:p w14:paraId="267D1C24" w14:textId="77777777" w:rsidR="00C70E58" w:rsidRPr="00C70E58" w:rsidRDefault="00C70E58" w:rsidP="00C70E58">
      <w:pPr>
        <w:spacing w:after="0" w:line="240" w:lineRule="auto"/>
        <w:jc w:val="both"/>
        <w:rPr>
          <w:rFonts w:cs="Times New Roman"/>
        </w:rPr>
      </w:pPr>
      <w:r w:rsidRPr="00C70E58">
        <w:rPr>
          <w:rFonts w:cs="Times New Roman"/>
        </w:rPr>
        <w:t>There is considerable evidence of effective practice against all of these approaches:</w:t>
      </w:r>
    </w:p>
    <w:tbl>
      <w:tblPr>
        <w:tblStyle w:val="TableGrid4"/>
        <w:tblW w:w="0" w:type="auto"/>
        <w:tblInd w:w="-5" w:type="dxa"/>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1843"/>
        <w:gridCol w:w="7088"/>
      </w:tblGrid>
      <w:tr w:rsidR="00C70E58" w:rsidRPr="00C70E58" w14:paraId="272EE4E7" w14:textId="77777777" w:rsidTr="00A0159B">
        <w:tc>
          <w:tcPr>
            <w:tcW w:w="1843" w:type="dxa"/>
          </w:tcPr>
          <w:p w14:paraId="28AD484D" w14:textId="77777777" w:rsidR="00C70E58" w:rsidRPr="00C70E58" w:rsidRDefault="00C70E58" w:rsidP="00C70E58">
            <w:pPr>
              <w:rPr>
                <w:b/>
                <w:color w:val="44546A" w:themeColor="text2"/>
              </w:rPr>
            </w:pPr>
            <w:r w:rsidRPr="00C70E58">
              <w:rPr>
                <w:b/>
                <w:color w:val="44546A" w:themeColor="text2"/>
              </w:rPr>
              <w:t>Conceptual framing</w:t>
            </w:r>
          </w:p>
        </w:tc>
        <w:tc>
          <w:tcPr>
            <w:tcW w:w="7088" w:type="dxa"/>
          </w:tcPr>
          <w:p w14:paraId="1ABB86CB" w14:textId="77777777" w:rsidR="00C70E58" w:rsidRPr="00C70E58" w:rsidRDefault="00C70E58" w:rsidP="00C70E58">
            <w:pPr>
              <w:rPr>
                <w:b/>
                <w:color w:val="44546A" w:themeColor="text2"/>
              </w:rPr>
            </w:pPr>
            <w:r w:rsidRPr="00C70E58">
              <w:rPr>
                <w:b/>
                <w:color w:val="44546A" w:themeColor="text2"/>
              </w:rPr>
              <w:t>Examples in practice</w:t>
            </w:r>
          </w:p>
        </w:tc>
      </w:tr>
      <w:tr w:rsidR="00C70E58" w:rsidRPr="00C70E58" w14:paraId="0E99C5CA" w14:textId="77777777" w:rsidTr="00A0159B">
        <w:tc>
          <w:tcPr>
            <w:tcW w:w="1843" w:type="dxa"/>
            <w:shd w:val="clear" w:color="auto" w:fill="8496B0" w:themeFill="text2" w:themeFillTint="99"/>
          </w:tcPr>
          <w:p w14:paraId="4D102C83" w14:textId="77777777" w:rsidR="00C70E58" w:rsidRPr="00C70E58" w:rsidRDefault="00C70E58" w:rsidP="00C70E58">
            <w:pPr>
              <w:rPr>
                <w:b/>
                <w:color w:val="FFFFFF" w:themeColor="background1"/>
              </w:rPr>
            </w:pPr>
            <w:r w:rsidRPr="00C70E58">
              <w:rPr>
                <w:b/>
                <w:color w:val="FFFFFF" w:themeColor="background1"/>
              </w:rPr>
              <w:t>The levels</w:t>
            </w:r>
          </w:p>
        </w:tc>
        <w:tc>
          <w:tcPr>
            <w:tcW w:w="7088" w:type="dxa"/>
          </w:tcPr>
          <w:p w14:paraId="00887915" w14:textId="77777777" w:rsidR="00C70E58" w:rsidRPr="00C70E58" w:rsidRDefault="00C70E58" w:rsidP="00C70E58">
            <w:pPr>
              <w:jc w:val="both"/>
            </w:pPr>
            <w:r w:rsidRPr="00C70E58">
              <w:t xml:space="preserve">The </w:t>
            </w:r>
            <w:r w:rsidR="001B7899">
              <w:t>P</w:t>
            </w:r>
            <w:r w:rsidRPr="00C70E58">
              <w:t xml:space="preserve">rogram has activities for individual </w:t>
            </w:r>
            <w:r w:rsidRPr="00DA632C">
              <w:t>training (</w:t>
            </w:r>
            <w:proofErr w:type="spellStart"/>
            <w:r w:rsidRPr="00DA632C">
              <w:t>eg</w:t>
            </w:r>
            <w:proofErr w:type="spellEnd"/>
            <w:r w:rsidR="00B64293" w:rsidRPr="00DA632C">
              <w:t xml:space="preserve"> Victorian</w:t>
            </w:r>
            <w:r w:rsidR="00B64293">
              <w:t xml:space="preserve"> Bar training for government lawyers</w:t>
            </w:r>
            <w:r w:rsidRPr="00C70E58">
              <w:t>), organisational support (</w:t>
            </w:r>
            <w:proofErr w:type="spellStart"/>
            <w:r w:rsidRPr="00C70E58">
              <w:t>eg</w:t>
            </w:r>
            <w:proofErr w:type="spellEnd"/>
            <w:r w:rsidRPr="00C70E58">
              <w:t xml:space="preserve"> CSU work on budgeting and planning); institutional norms (working relationships between police and prosecutors), and sector coordination (Finance, M&amp;E and HR networks). </w:t>
            </w:r>
          </w:p>
        </w:tc>
      </w:tr>
      <w:tr w:rsidR="00C70E58" w:rsidRPr="00C70E58" w14:paraId="0016CFBC" w14:textId="77777777" w:rsidTr="00A0159B">
        <w:tc>
          <w:tcPr>
            <w:tcW w:w="1843" w:type="dxa"/>
            <w:shd w:val="clear" w:color="auto" w:fill="8496B0" w:themeFill="text2" w:themeFillTint="99"/>
          </w:tcPr>
          <w:p w14:paraId="3C45A1D6" w14:textId="77777777" w:rsidR="00C70E58" w:rsidRPr="00C70E58" w:rsidRDefault="00C70E58" w:rsidP="00C70E58">
            <w:pPr>
              <w:rPr>
                <w:b/>
                <w:color w:val="FFFFFF" w:themeColor="background1"/>
              </w:rPr>
            </w:pPr>
            <w:r w:rsidRPr="00C70E58">
              <w:rPr>
                <w:b/>
                <w:color w:val="FFFFFF" w:themeColor="background1"/>
              </w:rPr>
              <w:t>Supply and demand</w:t>
            </w:r>
          </w:p>
        </w:tc>
        <w:tc>
          <w:tcPr>
            <w:tcW w:w="7088" w:type="dxa"/>
          </w:tcPr>
          <w:p w14:paraId="565E70B6" w14:textId="77777777" w:rsidR="00C70E58" w:rsidRPr="00C70E58" w:rsidRDefault="00C70E58" w:rsidP="00C70E58">
            <w:pPr>
              <w:jc w:val="both"/>
            </w:pPr>
            <w:r w:rsidRPr="00C70E58">
              <w:t>While the Program is focused primarily on improving government services</w:t>
            </w:r>
            <w:r w:rsidR="006937C5">
              <w:t xml:space="preserve"> (supply)</w:t>
            </w:r>
            <w:r w:rsidRPr="00C70E58">
              <w:t xml:space="preserve">, it has complementary activities on community awareness and engagement through the </w:t>
            </w:r>
            <w:r w:rsidR="00FF6E7F">
              <w:t>AP</w:t>
            </w:r>
            <w:r w:rsidRPr="00C70E58">
              <w:t xml:space="preserve"> Program and Community Outreach visits from legal teams</w:t>
            </w:r>
            <w:r w:rsidR="006937C5">
              <w:t xml:space="preserve"> (demand)</w:t>
            </w:r>
            <w:r w:rsidRPr="00C70E58">
              <w:t>.</w:t>
            </w:r>
          </w:p>
        </w:tc>
      </w:tr>
      <w:tr w:rsidR="00C70E58" w:rsidRPr="00C70E58" w14:paraId="58480BC9" w14:textId="77777777" w:rsidTr="00A0159B">
        <w:tc>
          <w:tcPr>
            <w:tcW w:w="1843" w:type="dxa"/>
            <w:shd w:val="clear" w:color="auto" w:fill="8496B0" w:themeFill="text2" w:themeFillTint="99"/>
          </w:tcPr>
          <w:p w14:paraId="062C1C11" w14:textId="77777777" w:rsidR="00C70E58" w:rsidRPr="00C70E58" w:rsidRDefault="00C70E58" w:rsidP="00C70E58">
            <w:pPr>
              <w:rPr>
                <w:b/>
                <w:color w:val="FFFFFF" w:themeColor="background1"/>
              </w:rPr>
            </w:pPr>
            <w:r w:rsidRPr="00C70E58">
              <w:rPr>
                <w:b/>
                <w:color w:val="FFFFFF" w:themeColor="background1"/>
              </w:rPr>
              <w:t>Problem driven iterative adaptation</w:t>
            </w:r>
          </w:p>
        </w:tc>
        <w:tc>
          <w:tcPr>
            <w:tcW w:w="7088" w:type="dxa"/>
          </w:tcPr>
          <w:p w14:paraId="653D7791" w14:textId="77777777" w:rsidR="00C70E58" w:rsidRPr="00C70E58" w:rsidRDefault="00C70E58" w:rsidP="00C70E58">
            <w:pPr>
              <w:jc w:val="both"/>
            </w:pPr>
            <w:r w:rsidRPr="00C70E58">
              <w:t xml:space="preserve">The Program has initiated several internal reviews of activities as action research </w:t>
            </w:r>
            <w:r w:rsidR="00720B4A">
              <w:t xml:space="preserve">which have </w:t>
            </w:r>
            <w:r w:rsidR="00720B4A" w:rsidRPr="00C70E58">
              <w:t>guid</w:t>
            </w:r>
            <w:r w:rsidR="00720B4A">
              <w:t>ed</w:t>
            </w:r>
            <w:r w:rsidRPr="00C70E58">
              <w:t xml:space="preserve"> future plans.</w:t>
            </w:r>
            <w:r w:rsidR="00720B4A">
              <w:t xml:space="preserve"> </w:t>
            </w:r>
            <w:r w:rsidRPr="00C70E58">
              <w:t>These include:</w:t>
            </w:r>
          </w:p>
          <w:p w14:paraId="0220D070" w14:textId="77777777" w:rsidR="00C70E58" w:rsidRPr="00C70E58" w:rsidRDefault="00C70E58" w:rsidP="004E7C9F">
            <w:pPr>
              <w:numPr>
                <w:ilvl w:val="0"/>
                <w:numId w:val="4"/>
              </w:numPr>
              <w:jc w:val="both"/>
            </w:pPr>
            <w:r w:rsidRPr="00C70E58">
              <w:t>Evaluation Report - PJSPV Support for Case and Data Management Systems and management response, 2015;</w:t>
            </w:r>
          </w:p>
          <w:p w14:paraId="3FE90306" w14:textId="77777777" w:rsidR="00C70E58" w:rsidRPr="00C70E58" w:rsidRDefault="00C70E58" w:rsidP="004E7C9F">
            <w:pPr>
              <w:numPr>
                <w:ilvl w:val="0"/>
                <w:numId w:val="4"/>
              </w:numPr>
              <w:jc w:val="both"/>
            </w:pPr>
            <w:r w:rsidRPr="00C70E58">
              <w:t>Review of SRBJ Grants Facility and management response, 2015;</w:t>
            </w:r>
          </w:p>
          <w:p w14:paraId="6925C8B5" w14:textId="77777777" w:rsidR="00C70E58" w:rsidRPr="00C70E58" w:rsidRDefault="00C70E58" w:rsidP="004E7C9F">
            <w:pPr>
              <w:numPr>
                <w:ilvl w:val="0"/>
                <w:numId w:val="4"/>
              </w:numPr>
              <w:jc w:val="both"/>
            </w:pPr>
            <w:r w:rsidRPr="00C70E58">
              <w:t>Women in Leadership Mentoring Program: Status Update, 2016;</w:t>
            </w:r>
          </w:p>
          <w:p w14:paraId="6991BC31" w14:textId="77777777" w:rsidR="00C70E58" w:rsidRPr="00C70E58" w:rsidRDefault="00C70E58" w:rsidP="004E7C9F">
            <w:pPr>
              <w:numPr>
                <w:ilvl w:val="0"/>
                <w:numId w:val="4"/>
              </w:numPr>
              <w:jc w:val="both"/>
            </w:pPr>
            <w:r w:rsidRPr="00C70E58">
              <w:t>Evaluation of program support for sector collaboration, 2016;</w:t>
            </w:r>
          </w:p>
          <w:p w14:paraId="16ED87FC" w14:textId="77777777" w:rsidR="00C70E58" w:rsidRPr="00C70E58" w:rsidRDefault="00C70E58" w:rsidP="004E7C9F">
            <w:pPr>
              <w:numPr>
                <w:ilvl w:val="0"/>
                <w:numId w:val="4"/>
              </w:numPr>
              <w:jc w:val="both"/>
            </w:pPr>
            <w:r w:rsidRPr="00C70E58">
              <w:t>Improving Service Delivery in Justice Institutions, Case Study: Improvement in Case Management in State Prosecutions Department, 2016;</w:t>
            </w:r>
          </w:p>
          <w:p w14:paraId="31867C67" w14:textId="77777777" w:rsidR="00C70E58" w:rsidRDefault="00C70E58" w:rsidP="004E7C9F">
            <w:pPr>
              <w:numPr>
                <w:ilvl w:val="0"/>
                <w:numId w:val="4"/>
              </w:numPr>
              <w:jc w:val="both"/>
            </w:pPr>
            <w:r w:rsidRPr="00C70E58">
              <w:t>Evaluation Report: Legal Advocacy Skills Development in the Public Sector, Vanuatu, 2016.</w:t>
            </w:r>
          </w:p>
          <w:p w14:paraId="0F5F5B8E" w14:textId="77777777" w:rsidR="00720B4A" w:rsidRPr="00C70E58" w:rsidRDefault="00720B4A" w:rsidP="00720B4A">
            <w:pPr>
              <w:ind w:left="76"/>
              <w:jc w:val="both"/>
            </w:pPr>
            <w:r>
              <w:t>All of these except the first Evaluation Report were carried out in the previous phase.</w:t>
            </w:r>
          </w:p>
        </w:tc>
      </w:tr>
      <w:tr w:rsidR="00C70E58" w:rsidRPr="00C70E58" w14:paraId="2E7D2294" w14:textId="77777777" w:rsidTr="00A0159B">
        <w:tc>
          <w:tcPr>
            <w:tcW w:w="1843" w:type="dxa"/>
            <w:shd w:val="clear" w:color="auto" w:fill="8496B0" w:themeFill="text2" w:themeFillTint="99"/>
          </w:tcPr>
          <w:p w14:paraId="5EF8F682" w14:textId="77777777" w:rsidR="00C70E58" w:rsidRPr="00C70E58" w:rsidRDefault="00C70E58" w:rsidP="00C70E58">
            <w:pPr>
              <w:rPr>
                <w:b/>
                <w:color w:val="FFFFFF" w:themeColor="background1"/>
              </w:rPr>
            </w:pPr>
            <w:r w:rsidRPr="00C70E58">
              <w:rPr>
                <w:b/>
                <w:color w:val="FFFFFF" w:themeColor="background1"/>
              </w:rPr>
              <w:t>Systems</w:t>
            </w:r>
          </w:p>
        </w:tc>
        <w:tc>
          <w:tcPr>
            <w:tcW w:w="7088" w:type="dxa"/>
          </w:tcPr>
          <w:p w14:paraId="1015C6ED" w14:textId="77777777" w:rsidR="00C70E58" w:rsidRPr="00C70E58" w:rsidRDefault="00C70E58" w:rsidP="00C70E58">
            <w:pPr>
              <w:jc w:val="both"/>
            </w:pPr>
            <w:r w:rsidRPr="00C70E58">
              <w:t>The ‘start anywhere, go everywhere’ model of the CD Strategy adopts this approach.</w:t>
            </w:r>
            <w:r w:rsidR="00B1646A">
              <w:t xml:space="preserve"> </w:t>
            </w:r>
            <w:r w:rsidRPr="00C70E58">
              <w:t>The work of the AFP Adviser in Santo initiating innovative one-off activities to stimulate changes in organisational culture and community relationships would be an example, where individual activities are not necessarily linked in a linear way to some grand plan.</w:t>
            </w:r>
            <w:r w:rsidRPr="00C70E58">
              <w:rPr>
                <w:vertAlign w:val="superscript"/>
              </w:rPr>
              <w:footnoteReference w:id="80"/>
            </w:r>
            <w:r w:rsidRPr="00C70E58">
              <w:t xml:space="preserve"> The subsequent efforts of the SANMA command to upgrade the training of VMF recruits to work as part of the one-force in Santo is an example of localised systems thinking and impact (which may or may not be attributed to the Program’s efforts).</w:t>
            </w:r>
          </w:p>
        </w:tc>
      </w:tr>
      <w:tr w:rsidR="00C70E58" w:rsidRPr="00C70E58" w14:paraId="5C36475C" w14:textId="77777777" w:rsidTr="00A0159B">
        <w:tc>
          <w:tcPr>
            <w:tcW w:w="1843" w:type="dxa"/>
            <w:shd w:val="clear" w:color="auto" w:fill="8496B0" w:themeFill="text2" w:themeFillTint="99"/>
          </w:tcPr>
          <w:p w14:paraId="11A44F40" w14:textId="77777777" w:rsidR="00C70E58" w:rsidRPr="00C70E58" w:rsidRDefault="00C70E58" w:rsidP="00C70E58">
            <w:pPr>
              <w:rPr>
                <w:b/>
                <w:color w:val="FFFFFF" w:themeColor="background1"/>
              </w:rPr>
            </w:pPr>
            <w:r w:rsidRPr="00C70E58">
              <w:rPr>
                <w:b/>
                <w:color w:val="FFFFFF" w:themeColor="background1"/>
              </w:rPr>
              <w:t>Thinking and Working Politically</w:t>
            </w:r>
          </w:p>
        </w:tc>
        <w:tc>
          <w:tcPr>
            <w:tcW w:w="7088" w:type="dxa"/>
          </w:tcPr>
          <w:p w14:paraId="678108AA" w14:textId="77777777" w:rsidR="00C70E58" w:rsidRPr="00C70E58" w:rsidRDefault="00C70E58" w:rsidP="00C70E58">
            <w:pPr>
              <w:jc w:val="both"/>
            </w:pPr>
            <w:r w:rsidRPr="00C70E58">
              <w:t>The responsiveness of the Program to the policy imperatives of the Step Up</w:t>
            </w:r>
            <w:r w:rsidR="000C35F4">
              <w:t>, the goals of the NSDP</w:t>
            </w:r>
            <w:r w:rsidRPr="00C70E58">
              <w:t xml:space="preserve"> and the </w:t>
            </w:r>
            <w:r w:rsidR="000C35F4">
              <w:t>commitment</w:t>
            </w:r>
            <w:r w:rsidRPr="00C70E58">
              <w:t xml:space="preserve"> of the</w:t>
            </w:r>
            <w:r w:rsidR="000C35F4">
              <w:t xml:space="preserve"> relevant</w:t>
            </w:r>
            <w:r w:rsidRPr="00C70E58">
              <w:t xml:space="preserve"> Minister to increase police numbers is a positive indication of TWP, </w:t>
            </w:r>
            <w:r w:rsidR="000C35F4">
              <w:t>and presents opportunities for further efforts that bring about long term change.</w:t>
            </w:r>
          </w:p>
        </w:tc>
      </w:tr>
      <w:tr w:rsidR="00C70E58" w:rsidRPr="00C70E58" w14:paraId="52B41D6C" w14:textId="77777777" w:rsidTr="00A0159B">
        <w:tc>
          <w:tcPr>
            <w:tcW w:w="1843" w:type="dxa"/>
            <w:shd w:val="clear" w:color="auto" w:fill="8496B0" w:themeFill="text2" w:themeFillTint="99"/>
          </w:tcPr>
          <w:p w14:paraId="295C79F4" w14:textId="77777777" w:rsidR="00C70E58" w:rsidRPr="00C70E58" w:rsidRDefault="00C70E58" w:rsidP="00C70E58">
            <w:pPr>
              <w:rPr>
                <w:b/>
                <w:color w:val="FFFFFF" w:themeColor="background1"/>
              </w:rPr>
            </w:pPr>
            <w:r w:rsidRPr="00C70E58">
              <w:rPr>
                <w:b/>
                <w:color w:val="FFFFFF" w:themeColor="background1"/>
              </w:rPr>
              <w:t>Outcomes focused</w:t>
            </w:r>
          </w:p>
        </w:tc>
        <w:tc>
          <w:tcPr>
            <w:tcW w:w="7088" w:type="dxa"/>
          </w:tcPr>
          <w:p w14:paraId="5BBF3DD6" w14:textId="77777777" w:rsidR="00C70E58" w:rsidRPr="00C70E58" w:rsidRDefault="00C70E58" w:rsidP="00C70E58">
            <w:pPr>
              <w:jc w:val="both"/>
            </w:pPr>
            <w:r w:rsidRPr="00C70E58">
              <w:t xml:space="preserve">Program implementers (Advisers) and counterparts consistently report that the emphasis in the design on prevention and responsiveness to </w:t>
            </w:r>
            <w:r w:rsidR="00C1156F">
              <w:t>FSV</w:t>
            </w:r>
            <w:r w:rsidRPr="00C70E58">
              <w:t xml:space="preserve"> was driving activities in different parts of the Program.</w:t>
            </w:r>
          </w:p>
        </w:tc>
      </w:tr>
      <w:tr w:rsidR="00C70E58" w:rsidRPr="00C70E58" w14:paraId="1BC20270" w14:textId="77777777" w:rsidTr="00A0159B">
        <w:tc>
          <w:tcPr>
            <w:tcW w:w="1843" w:type="dxa"/>
            <w:shd w:val="clear" w:color="auto" w:fill="8496B0" w:themeFill="text2" w:themeFillTint="99"/>
          </w:tcPr>
          <w:p w14:paraId="62D99A8A" w14:textId="77777777" w:rsidR="00C70E58" w:rsidRPr="00C70E58" w:rsidRDefault="00C70E58" w:rsidP="00C70E58">
            <w:pPr>
              <w:rPr>
                <w:b/>
                <w:color w:val="FFFFFF" w:themeColor="background1"/>
              </w:rPr>
            </w:pPr>
            <w:r w:rsidRPr="00C70E58">
              <w:rPr>
                <w:b/>
                <w:color w:val="FFFFFF" w:themeColor="background1"/>
              </w:rPr>
              <w:t>Rules, tools and skills</w:t>
            </w:r>
          </w:p>
        </w:tc>
        <w:tc>
          <w:tcPr>
            <w:tcW w:w="7088" w:type="dxa"/>
          </w:tcPr>
          <w:p w14:paraId="510A85F6" w14:textId="77777777" w:rsidR="00C70E58" w:rsidRPr="00C70E58" w:rsidRDefault="00C70E58" w:rsidP="00C70E58">
            <w:pPr>
              <w:jc w:val="both"/>
            </w:pPr>
            <w:r w:rsidRPr="00C70E58">
              <w:t>AFP advisers in particular refer to the internal training and models for rules, tools and skills that underpin their approach. The work within the General Duties section of P</w:t>
            </w:r>
            <w:r w:rsidR="009637CE">
              <w:t>ort Vila</w:t>
            </w:r>
            <w:r w:rsidRPr="00C70E58">
              <w:t xml:space="preserve"> Central Police </w:t>
            </w:r>
            <w:r w:rsidR="009637CE">
              <w:t>S</w:t>
            </w:r>
            <w:r w:rsidR="009637CE" w:rsidRPr="00C70E58">
              <w:t xml:space="preserve">tation </w:t>
            </w:r>
            <w:r w:rsidRPr="00C70E58">
              <w:t>is an example of supporting rules (through introduction of systems and management norms), tools (through vehicles and equipment), and skills (through training).</w:t>
            </w:r>
          </w:p>
        </w:tc>
      </w:tr>
      <w:tr w:rsidR="00C70E58" w:rsidRPr="00C70E58" w14:paraId="391BAD06" w14:textId="77777777" w:rsidTr="00A0159B">
        <w:tc>
          <w:tcPr>
            <w:tcW w:w="1843" w:type="dxa"/>
            <w:shd w:val="clear" w:color="auto" w:fill="8496B0" w:themeFill="text2" w:themeFillTint="99"/>
          </w:tcPr>
          <w:p w14:paraId="7CE454E1" w14:textId="77777777" w:rsidR="00C70E58" w:rsidRPr="00C70E58" w:rsidRDefault="00C70E58" w:rsidP="00C70E58">
            <w:pPr>
              <w:rPr>
                <w:b/>
                <w:color w:val="FFFFFF" w:themeColor="background1"/>
              </w:rPr>
            </w:pPr>
            <w:r w:rsidRPr="00C70E58">
              <w:rPr>
                <w:b/>
                <w:color w:val="FFFFFF" w:themeColor="background1"/>
              </w:rPr>
              <w:t>Do -&gt; monitor Progression</w:t>
            </w:r>
          </w:p>
        </w:tc>
        <w:tc>
          <w:tcPr>
            <w:tcW w:w="7088" w:type="dxa"/>
          </w:tcPr>
          <w:p w14:paraId="5E9945E8" w14:textId="77777777" w:rsidR="00C70E58" w:rsidRPr="00C70E58" w:rsidRDefault="00C70E58" w:rsidP="006937C5">
            <w:pPr>
              <w:jc w:val="both"/>
            </w:pPr>
            <w:r w:rsidRPr="00C70E58">
              <w:t>Much of the work of Advisers is supporting individual counterparts through workplace training and mentoring.</w:t>
            </w:r>
            <w:r w:rsidR="00B1646A">
              <w:t xml:space="preserve"> </w:t>
            </w:r>
            <w:r w:rsidRPr="00C70E58">
              <w:t xml:space="preserve">Two examples, the </w:t>
            </w:r>
            <w:r w:rsidR="006937C5">
              <w:t xml:space="preserve">Policing </w:t>
            </w:r>
            <w:r w:rsidRPr="00C70E58">
              <w:t xml:space="preserve">Adviser in the </w:t>
            </w:r>
            <w:r w:rsidR="003B68B3">
              <w:t>FPU</w:t>
            </w:r>
            <w:r w:rsidRPr="00C70E58">
              <w:t xml:space="preserve">, and the Legal Adviser in the </w:t>
            </w:r>
            <w:r w:rsidR="008F3F53">
              <w:t>PSO</w:t>
            </w:r>
            <w:r w:rsidRPr="00C70E58">
              <w:t>, have progressed in their support to the work units from ‘’doing’’ the work to supporting, supervising and monitoring the work of counterparts.</w:t>
            </w:r>
          </w:p>
        </w:tc>
      </w:tr>
    </w:tbl>
    <w:p w14:paraId="75C98D8D" w14:textId="77777777" w:rsidR="00C70E58" w:rsidRPr="00C70E58" w:rsidRDefault="00C70E58" w:rsidP="00C70E58">
      <w:pPr>
        <w:spacing w:after="0" w:line="240" w:lineRule="auto"/>
        <w:rPr>
          <w:rFonts w:cs="Times New Roman"/>
        </w:rPr>
      </w:pPr>
    </w:p>
    <w:p w14:paraId="50485A46" w14:textId="77777777" w:rsidR="00C70E58" w:rsidRPr="00C70E58" w:rsidRDefault="00C70E58" w:rsidP="00C70E58">
      <w:pPr>
        <w:spacing w:after="0" w:line="240" w:lineRule="auto"/>
        <w:rPr>
          <w:rFonts w:cs="Times New Roman"/>
          <w:b/>
          <w:bCs/>
          <w:i/>
          <w:iCs/>
        </w:rPr>
      </w:pPr>
      <w:r w:rsidRPr="00C70E58">
        <w:rPr>
          <w:rFonts w:cs="Times New Roman"/>
          <w:b/>
          <w:bCs/>
          <w:i/>
          <w:iCs/>
        </w:rPr>
        <w:t>Being overly complex has led to missed opportunities</w:t>
      </w:r>
    </w:p>
    <w:p w14:paraId="02BC199B" w14:textId="77777777" w:rsidR="00C70E58" w:rsidRPr="00C70E58" w:rsidRDefault="00C70E58" w:rsidP="00C70E58">
      <w:pPr>
        <w:spacing w:line="240" w:lineRule="auto"/>
        <w:jc w:val="both"/>
        <w:rPr>
          <w:rFonts w:cs="Times New Roman"/>
        </w:rPr>
      </w:pPr>
      <w:r w:rsidRPr="00C70E58">
        <w:rPr>
          <w:rFonts w:cs="Times New Roman"/>
        </w:rPr>
        <w:t>The Capacity Development Strategy developed for the Program</w:t>
      </w:r>
      <w:r w:rsidRPr="00C70E58">
        <w:rPr>
          <w:rFonts w:cs="Times New Roman"/>
          <w:vertAlign w:val="superscript"/>
        </w:rPr>
        <w:footnoteReference w:id="81"/>
      </w:r>
      <w:r w:rsidRPr="00C70E58">
        <w:rPr>
          <w:rFonts w:cs="Times New Roman"/>
        </w:rPr>
        <w:t xml:space="preserve"> provides a comprehensive framework and plan which utilises all of these concepts and practices. This strategy, while conceptually sound in many ways, </w:t>
      </w:r>
      <w:r w:rsidR="000C35F4">
        <w:rPr>
          <w:rFonts w:cs="Times New Roman"/>
        </w:rPr>
        <w:t>is</w:t>
      </w:r>
      <w:r w:rsidRPr="00C70E58">
        <w:rPr>
          <w:rFonts w:cs="Times New Roman"/>
        </w:rPr>
        <w:t xml:space="preserve"> </w:t>
      </w:r>
      <w:r w:rsidR="000C35F4">
        <w:rPr>
          <w:rFonts w:cs="Times New Roman"/>
        </w:rPr>
        <w:t>overly complicated for practical implementation</w:t>
      </w:r>
      <w:r w:rsidR="00A209F5">
        <w:rPr>
          <w:rFonts w:cs="Times New Roman"/>
        </w:rPr>
        <w:t>,</w:t>
      </w:r>
      <w:r w:rsidR="000C35F4">
        <w:rPr>
          <w:rFonts w:cs="Times New Roman"/>
        </w:rPr>
        <w:t xml:space="preserve"> and</w:t>
      </w:r>
      <w:r w:rsidR="00A209F5">
        <w:rPr>
          <w:rFonts w:cs="Times New Roman"/>
        </w:rPr>
        <w:t xml:space="preserve"> progress is</w:t>
      </w:r>
      <w:r w:rsidR="000C35F4">
        <w:rPr>
          <w:rFonts w:cs="Times New Roman"/>
        </w:rPr>
        <w:t xml:space="preserve"> </w:t>
      </w:r>
      <w:r w:rsidR="00A209F5">
        <w:rPr>
          <w:rFonts w:cs="Times New Roman"/>
        </w:rPr>
        <w:t>hard to monitor.</w:t>
      </w:r>
      <w:r w:rsidRPr="00C70E58">
        <w:rPr>
          <w:rFonts w:cs="Times New Roman"/>
          <w:vertAlign w:val="superscript"/>
        </w:rPr>
        <w:footnoteReference w:id="82"/>
      </w:r>
      <w:r w:rsidRPr="00C70E58">
        <w:rPr>
          <w:rFonts w:cs="Times New Roman"/>
        </w:rPr>
        <w:t xml:space="preserve"> In the words of one Adviser “</w:t>
      </w:r>
      <w:r w:rsidRPr="00C70E58">
        <w:rPr>
          <w:rFonts w:cs="Times New Roman"/>
          <w:i/>
          <w:iCs/>
        </w:rPr>
        <w:t>just keep it simple for us to use</w:t>
      </w:r>
      <w:r w:rsidRPr="00C70E58">
        <w:rPr>
          <w:rFonts w:cs="Times New Roman"/>
        </w:rPr>
        <w:t>” (Program Adviser).</w:t>
      </w:r>
      <w:r w:rsidR="00B1646A">
        <w:rPr>
          <w:rFonts w:cs="Times New Roman"/>
        </w:rPr>
        <w:t xml:space="preserve"> </w:t>
      </w:r>
      <w:r w:rsidRPr="00C70E58">
        <w:rPr>
          <w:rFonts w:cs="Times New Roman"/>
        </w:rPr>
        <w:t xml:space="preserve">A significant </w:t>
      </w:r>
      <w:r w:rsidR="00A209F5">
        <w:rPr>
          <w:rFonts w:cs="Times New Roman"/>
        </w:rPr>
        <w:t>challenge</w:t>
      </w:r>
      <w:r w:rsidRPr="00C70E58">
        <w:rPr>
          <w:rFonts w:cs="Times New Roman"/>
        </w:rPr>
        <w:t xml:space="preserve"> is that without common </w:t>
      </w:r>
      <w:r w:rsidR="00A209F5">
        <w:rPr>
          <w:rFonts w:cs="Times New Roman"/>
        </w:rPr>
        <w:t>approach</w:t>
      </w:r>
      <w:r w:rsidRPr="00C70E58">
        <w:rPr>
          <w:rFonts w:cs="Times New Roman"/>
        </w:rPr>
        <w:t xml:space="preserve"> management does not have a way to manage performance and opportunities may be being lost as a result.</w:t>
      </w:r>
      <w:r w:rsidR="00B1646A">
        <w:rPr>
          <w:rFonts w:cs="Times New Roman"/>
        </w:rPr>
        <w:t xml:space="preserve"> </w:t>
      </w:r>
      <w:r w:rsidRPr="00C70E58">
        <w:rPr>
          <w:rFonts w:cs="Times New Roman"/>
        </w:rPr>
        <w:t>Some example of opportunities</w:t>
      </w:r>
      <w:r w:rsidR="00A209F5">
        <w:rPr>
          <w:rFonts w:cs="Times New Roman"/>
        </w:rPr>
        <w:t xml:space="preserve"> to be taken</w:t>
      </w:r>
      <w:r w:rsidRPr="00C70E58">
        <w:rPr>
          <w:rFonts w:cs="Times New Roman"/>
        </w:rPr>
        <w:t xml:space="preserve"> from different perspectives include:</w:t>
      </w:r>
    </w:p>
    <w:tbl>
      <w:tblPr>
        <w:tblStyle w:val="TableGrid4"/>
        <w:tblW w:w="9072" w:type="dxa"/>
        <w:tblInd w:w="-5" w:type="dxa"/>
        <w:tblLook w:val="04A0" w:firstRow="1" w:lastRow="0" w:firstColumn="1" w:lastColumn="0" w:noHBand="0" w:noVBand="1"/>
      </w:tblPr>
      <w:tblGrid>
        <w:gridCol w:w="1843"/>
        <w:gridCol w:w="7229"/>
      </w:tblGrid>
      <w:tr w:rsidR="00C70E58" w:rsidRPr="00C70E58" w14:paraId="79F2B524" w14:textId="77777777" w:rsidTr="00A0159B">
        <w:tc>
          <w:tcPr>
            <w:tcW w:w="1843" w:type="dxa"/>
            <w:shd w:val="clear" w:color="auto" w:fill="8496B0" w:themeFill="text2" w:themeFillTint="99"/>
          </w:tcPr>
          <w:p w14:paraId="052F118D" w14:textId="77777777" w:rsidR="00C70E58" w:rsidRPr="00C70E58" w:rsidRDefault="00C70E58" w:rsidP="00C70E58">
            <w:pPr>
              <w:rPr>
                <w:b/>
                <w:color w:val="FFFFFF" w:themeColor="background1"/>
              </w:rPr>
            </w:pPr>
            <w:r w:rsidRPr="00C70E58">
              <w:rPr>
                <w:b/>
                <w:color w:val="FFFFFF" w:themeColor="background1"/>
              </w:rPr>
              <w:t>Supply and demand</w:t>
            </w:r>
          </w:p>
        </w:tc>
        <w:tc>
          <w:tcPr>
            <w:tcW w:w="7229" w:type="dxa"/>
          </w:tcPr>
          <w:p w14:paraId="79C0F137" w14:textId="77777777" w:rsidR="00C70E58" w:rsidRPr="00C70E58" w:rsidRDefault="00C70E58" w:rsidP="00222DE8">
            <w:pPr>
              <w:jc w:val="both"/>
            </w:pPr>
            <w:r w:rsidRPr="00C70E58">
              <w:t>The AP and Community Outreach activities have</w:t>
            </w:r>
            <w:r w:rsidR="00A209F5">
              <w:t xml:space="preserve"> </w:t>
            </w:r>
            <w:r w:rsidRPr="00C70E58">
              <w:t xml:space="preserve">demonstrated very strong interest and engagement from communities. This level of engagement does not appear to be understood by </w:t>
            </w:r>
            <w:proofErr w:type="spellStart"/>
            <w:r w:rsidRPr="00C70E58">
              <w:t>GoV</w:t>
            </w:r>
            <w:proofErr w:type="spellEnd"/>
            <w:r w:rsidRPr="00C70E58">
              <w:t xml:space="preserve"> in a manner which attracts political (</w:t>
            </w:r>
            <w:proofErr w:type="gramStart"/>
            <w:r w:rsidRPr="00C70E58">
              <w:t>both administrative, nor</w:t>
            </w:r>
            <w:proofErr w:type="gramEnd"/>
            <w:r w:rsidRPr="00C70E58">
              <w:t xml:space="preserve"> parliamentary) attention which might lead to more resources or commitments being made to extend and roll out the activities. There are many ways in which the voices of communities could be enhanced to reach policy and decision makers which may impact on improvement of services. This would </w:t>
            </w:r>
            <w:r w:rsidRPr="00C70E58">
              <w:rPr>
                <w:i/>
                <w:iCs/>
              </w:rPr>
              <w:t>include</w:t>
            </w:r>
            <w:r w:rsidRPr="00C70E58">
              <w:t xml:space="preserve"> the voice of the community and government demand back to the </w:t>
            </w:r>
            <w:proofErr w:type="spellStart"/>
            <w:r w:rsidRPr="00C70E58">
              <w:t>GoA</w:t>
            </w:r>
            <w:proofErr w:type="spellEnd"/>
            <w:r w:rsidRPr="00C70E58">
              <w:t xml:space="preserve"> that these activities should be </w:t>
            </w:r>
            <w:r w:rsidR="00222DE8">
              <w:t xml:space="preserve">increasingly </w:t>
            </w:r>
            <w:r w:rsidRPr="00C70E58">
              <w:t>prioritised and supported by the Program.</w:t>
            </w:r>
          </w:p>
        </w:tc>
      </w:tr>
      <w:tr w:rsidR="00C70E58" w:rsidRPr="00C70E58" w14:paraId="3D462802" w14:textId="77777777" w:rsidTr="00A0159B">
        <w:tc>
          <w:tcPr>
            <w:tcW w:w="1843" w:type="dxa"/>
            <w:shd w:val="clear" w:color="auto" w:fill="8496B0" w:themeFill="text2" w:themeFillTint="99"/>
          </w:tcPr>
          <w:p w14:paraId="6F1C25D4" w14:textId="77777777" w:rsidR="00C70E58" w:rsidRPr="00C70E58" w:rsidRDefault="00C70E58" w:rsidP="00C70E58">
            <w:pPr>
              <w:rPr>
                <w:b/>
                <w:color w:val="FFFFFF" w:themeColor="background1"/>
              </w:rPr>
            </w:pPr>
            <w:r w:rsidRPr="00C70E58">
              <w:rPr>
                <w:b/>
                <w:color w:val="FFFFFF" w:themeColor="background1"/>
              </w:rPr>
              <w:t>Thinking and Working Politically</w:t>
            </w:r>
          </w:p>
        </w:tc>
        <w:tc>
          <w:tcPr>
            <w:tcW w:w="7229" w:type="dxa"/>
          </w:tcPr>
          <w:p w14:paraId="25E42AAE" w14:textId="77777777" w:rsidR="00C70E58" w:rsidRPr="00C70E58" w:rsidRDefault="00C70E58" w:rsidP="00C70E58">
            <w:pPr>
              <w:jc w:val="both"/>
            </w:pPr>
            <w:r w:rsidRPr="00C70E58">
              <w:t xml:space="preserve">The training of new recruits being driven by the </w:t>
            </w:r>
            <w:r w:rsidR="00955ECF">
              <w:t>Ministry of Internal Affairs (</w:t>
            </w:r>
            <w:proofErr w:type="spellStart"/>
            <w:r w:rsidR="00D06080">
              <w:t>MoIA</w:t>
            </w:r>
            <w:proofErr w:type="spellEnd"/>
            <w:r w:rsidR="00955ECF">
              <w:t>)</w:t>
            </w:r>
            <w:r w:rsidRPr="00C70E58">
              <w:t xml:space="preserve"> and supported by the Step Up is a critical opportunity to identify operational and financing constraints across the policing system</w:t>
            </w:r>
            <w:r w:rsidR="00A209F5">
              <w:t xml:space="preserve">. Ongoing </w:t>
            </w:r>
            <w:r w:rsidRPr="00C70E58">
              <w:t>policy dialogue and engagement</w:t>
            </w:r>
            <w:r w:rsidR="00A209F5">
              <w:t xml:space="preserve"> could support better integration into the policing structure and ongoing budget planning.</w:t>
            </w:r>
          </w:p>
        </w:tc>
      </w:tr>
      <w:tr w:rsidR="00C70E58" w:rsidRPr="00C70E58" w14:paraId="0AFFDBCC" w14:textId="77777777" w:rsidTr="00A0159B">
        <w:tc>
          <w:tcPr>
            <w:tcW w:w="1843" w:type="dxa"/>
            <w:shd w:val="clear" w:color="auto" w:fill="8496B0" w:themeFill="text2" w:themeFillTint="99"/>
          </w:tcPr>
          <w:p w14:paraId="4779A38D" w14:textId="77777777" w:rsidR="00C70E58" w:rsidRPr="00C70E58" w:rsidRDefault="00C70E58" w:rsidP="00C70E58">
            <w:pPr>
              <w:rPr>
                <w:b/>
                <w:bCs/>
                <w:color w:val="FFFFFF" w:themeColor="background1"/>
              </w:rPr>
            </w:pPr>
            <w:r w:rsidRPr="00C70E58">
              <w:rPr>
                <w:b/>
                <w:color w:val="FFFFFF" w:themeColor="background1"/>
              </w:rPr>
              <w:t>Rules, tools and skills</w:t>
            </w:r>
          </w:p>
        </w:tc>
        <w:tc>
          <w:tcPr>
            <w:tcW w:w="7229" w:type="dxa"/>
          </w:tcPr>
          <w:p w14:paraId="2084355C" w14:textId="77777777" w:rsidR="00C70E58" w:rsidRPr="00C70E58" w:rsidRDefault="00C70E58" w:rsidP="00C70E58">
            <w:pPr>
              <w:jc w:val="both"/>
            </w:pPr>
            <w:r w:rsidRPr="00C70E58">
              <w:t>A simple analysis of the “capacity” of VPF units shows that ‘tools’ are widely lacking, as a basic capability framework</w:t>
            </w:r>
            <w:r w:rsidR="00B93D7E">
              <w:t>. S</w:t>
            </w:r>
            <w:r w:rsidRPr="00C70E58">
              <w:t xml:space="preserve">trategies for working with the </w:t>
            </w:r>
            <w:proofErr w:type="spellStart"/>
            <w:r w:rsidRPr="00C70E58">
              <w:t>GoV</w:t>
            </w:r>
            <w:proofErr w:type="spellEnd"/>
            <w:r w:rsidRPr="00C70E58">
              <w:t xml:space="preserve"> to overcome these constrain</w:t>
            </w:r>
            <w:r w:rsidR="00DF02F3">
              <w:t>t</w:t>
            </w:r>
            <w:r w:rsidRPr="00C70E58">
              <w:t xml:space="preserve">s </w:t>
            </w:r>
            <w:r w:rsidR="00B93D7E">
              <w:t xml:space="preserve">and </w:t>
            </w:r>
            <w:r w:rsidRPr="00C70E58">
              <w:t>to ensure the tools are available would be</w:t>
            </w:r>
            <w:r w:rsidR="00B1646A">
              <w:t xml:space="preserve"> </w:t>
            </w:r>
            <w:r w:rsidRPr="00C70E58">
              <w:t>fundamental if capacity is to be sustained. The problems of mobility (vehicles and fuel) is a maintenance and asset management problem which could be used as a policy condition for further support (including direct budget support) to drive internal change within this model.</w:t>
            </w:r>
          </w:p>
        </w:tc>
      </w:tr>
      <w:tr w:rsidR="00C70E58" w:rsidRPr="00C70E58" w14:paraId="4A0AA1FF" w14:textId="77777777" w:rsidTr="00A0159B">
        <w:tc>
          <w:tcPr>
            <w:tcW w:w="1843" w:type="dxa"/>
            <w:shd w:val="clear" w:color="auto" w:fill="8496B0" w:themeFill="text2" w:themeFillTint="99"/>
          </w:tcPr>
          <w:p w14:paraId="149FDEA1" w14:textId="77777777" w:rsidR="00C70E58" w:rsidRPr="00C70E58" w:rsidRDefault="00C70E58" w:rsidP="00C70E58">
            <w:pPr>
              <w:rPr>
                <w:b/>
                <w:color w:val="FFFFFF" w:themeColor="background1"/>
              </w:rPr>
            </w:pPr>
            <w:r w:rsidRPr="00C70E58">
              <w:rPr>
                <w:b/>
                <w:color w:val="FFFFFF" w:themeColor="background1"/>
              </w:rPr>
              <w:t>Do -&gt; Monitor progression</w:t>
            </w:r>
          </w:p>
        </w:tc>
        <w:tc>
          <w:tcPr>
            <w:tcW w:w="7229" w:type="dxa"/>
          </w:tcPr>
          <w:p w14:paraId="542C7ED5" w14:textId="77777777" w:rsidR="00C70E58" w:rsidRPr="00C70E58" w:rsidRDefault="00C70E58" w:rsidP="00C70E58">
            <w:pPr>
              <w:jc w:val="both"/>
            </w:pPr>
            <w:r w:rsidRPr="00C70E58">
              <w:t xml:space="preserve">While there are some Advisers who work themselves out of a job progressively, there are others who </w:t>
            </w:r>
            <w:r w:rsidR="00A209F5">
              <w:t xml:space="preserve">may </w:t>
            </w:r>
            <w:r w:rsidRPr="00C70E58">
              <w:t xml:space="preserve">continue to “do” too much, </w:t>
            </w:r>
            <w:r w:rsidR="00A209F5">
              <w:t>rather than step back and support their counterparts.</w:t>
            </w:r>
            <w:r w:rsidR="00B1646A">
              <w:t xml:space="preserve"> </w:t>
            </w:r>
            <w:r w:rsidRPr="00C70E58">
              <w:t xml:space="preserve">Monitoring across the </w:t>
            </w:r>
            <w:r w:rsidR="00A00FF9">
              <w:t>P</w:t>
            </w:r>
            <w:r w:rsidRPr="00C70E58">
              <w:t xml:space="preserve">rogram using this model would help identify where changes should be made and where support to Advisers to adjust their approaches could be provided. </w:t>
            </w:r>
          </w:p>
        </w:tc>
      </w:tr>
    </w:tbl>
    <w:p w14:paraId="14F58DB4" w14:textId="77777777" w:rsidR="00C70E58" w:rsidRPr="00C70E58" w:rsidRDefault="00C70E58" w:rsidP="00C70E58">
      <w:pPr>
        <w:spacing w:after="0" w:line="240" w:lineRule="auto"/>
        <w:rPr>
          <w:rFonts w:cs="Times New Roman"/>
        </w:rPr>
      </w:pPr>
    </w:p>
    <w:p w14:paraId="2B49F29B" w14:textId="77777777" w:rsidR="00C70E58" w:rsidRPr="00C70E58" w:rsidRDefault="00C70E58" w:rsidP="00C70E58">
      <w:pPr>
        <w:spacing w:line="240" w:lineRule="auto"/>
        <w:jc w:val="both"/>
        <w:rPr>
          <w:rFonts w:cs="Times New Roman"/>
        </w:rPr>
      </w:pPr>
      <w:r w:rsidRPr="00C70E58">
        <w:rPr>
          <w:rFonts w:cs="Times New Roman"/>
        </w:rPr>
        <w:t xml:space="preserve">A key reason for the </w:t>
      </w:r>
      <w:r w:rsidR="0042096B">
        <w:rPr>
          <w:rFonts w:cs="Times New Roman"/>
        </w:rPr>
        <w:t>complex</w:t>
      </w:r>
      <w:r w:rsidRPr="00C70E58">
        <w:rPr>
          <w:rFonts w:cs="Times New Roman"/>
        </w:rPr>
        <w:t xml:space="preserve"> </w:t>
      </w:r>
      <w:r w:rsidR="0042096B">
        <w:rPr>
          <w:rFonts w:cs="Times New Roman"/>
        </w:rPr>
        <w:t>approach</w:t>
      </w:r>
      <w:r w:rsidRPr="00C70E58">
        <w:rPr>
          <w:rFonts w:cs="Times New Roman"/>
        </w:rPr>
        <w:t xml:space="preserve"> to capacity development being evident is that at its core the </w:t>
      </w:r>
      <w:r w:rsidR="00E53220">
        <w:rPr>
          <w:rFonts w:cs="Times New Roman"/>
        </w:rPr>
        <w:t>P</w:t>
      </w:r>
      <w:r w:rsidRPr="00C70E58">
        <w:rPr>
          <w:rFonts w:cs="Times New Roman"/>
        </w:rPr>
        <w:t xml:space="preserve">rogram </w:t>
      </w:r>
      <w:r w:rsidR="006D62E1">
        <w:rPr>
          <w:rFonts w:cs="Times New Roman"/>
        </w:rPr>
        <w:t xml:space="preserve">is </w:t>
      </w:r>
      <w:r w:rsidRPr="00C70E58">
        <w:rPr>
          <w:rFonts w:cs="Times New Roman"/>
        </w:rPr>
        <w:t xml:space="preserve">heavily dependent on the Technical Assistance (or Adviser) modality. </w:t>
      </w:r>
      <w:r w:rsidR="00327EC3">
        <w:rPr>
          <w:rFonts w:cs="Times New Roman"/>
        </w:rPr>
        <w:t>T</w:t>
      </w:r>
      <w:r w:rsidRPr="00C70E58">
        <w:rPr>
          <w:rFonts w:cs="Times New Roman"/>
        </w:rPr>
        <w:t xml:space="preserve">he Program has </w:t>
      </w:r>
      <w:r w:rsidR="00AE29D5">
        <w:rPr>
          <w:rFonts w:cs="Times New Roman"/>
        </w:rPr>
        <w:t>made strong efforts</w:t>
      </w:r>
      <w:r w:rsidRPr="00C70E58">
        <w:rPr>
          <w:rFonts w:cs="Times New Roman"/>
        </w:rPr>
        <w:t xml:space="preserve"> </w:t>
      </w:r>
      <w:r w:rsidR="00AE29D5">
        <w:rPr>
          <w:rFonts w:cs="Times New Roman"/>
        </w:rPr>
        <w:t>to develop</w:t>
      </w:r>
      <w:r w:rsidRPr="00C70E58">
        <w:rPr>
          <w:rFonts w:cs="Times New Roman"/>
        </w:rPr>
        <w:t xml:space="preserve"> ‘strategies’ for capacity development</w:t>
      </w:r>
      <w:r w:rsidR="00AE29D5">
        <w:rPr>
          <w:rFonts w:cs="Times New Roman"/>
        </w:rPr>
        <w:t xml:space="preserve">, but </w:t>
      </w:r>
      <w:r w:rsidRPr="00C70E58">
        <w:rPr>
          <w:rFonts w:cs="Times New Roman"/>
        </w:rPr>
        <w:t xml:space="preserve">this has not fundamentally changed the </w:t>
      </w:r>
      <w:r w:rsidR="0042096B">
        <w:rPr>
          <w:rFonts w:cs="Times New Roman"/>
        </w:rPr>
        <w:t>underlying</w:t>
      </w:r>
      <w:r w:rsidRPr="00C70E58">
        <w:rPr>
          <w:rFonts w:cs="Times New Roman"/>
        </w:rPr>
        <w:t xml:space="preserve"> approach. There are two main things the </w:t>
      </w:r>
      <w:r w:rsidR="00E53220">
        <w:rPr>
          <w:rFonts w:cs="Times New Roman"/>
        </w:rPr>
        <w:t>P</w:t>
      </w:r>
      <w:r w:rsidRPr="00C70E58">
        <w:rPr>
          <w:rFonts w:cs="Times New Roman"/>
        </w:rPr>
        <w:t xml:space="preserve">rogram can do about this: </w:t>
      </w:r>
      <w:proofErr w:type="spellStart"/>
      <w:r w:rsidRPr="00C70E58">
        <w:rPr>
          <w:rFonts w:cs="Times New Roman"/>
        </w:rPr>
        <w:t>i</w:t>
      </w:r>
      <w:proofErr w:type="spellEnd"/>
      <w:r w:rsidRPr="00C70E58">
        <w:rPr>
          <w:rFonts w:cs="Times New Roman"/>
        </w:rPr>
        <w:t xml:space="preserve">) learn from the good practice within the TA modality evident in the </w:t>
      </w:r>
      <w:r w:rsidR="00E53220">
        <w:rPr>
          <w:rFonts w:cs="Times New Roman"/>
        </w:rPr>
        <w:t>P</w:t>
      </w:r>
      <w:r w:rsidRPr="00C70E58">
        <w:rPr>
          <w:rFonts w:cs="Times New Roman"/>
        </w:rPr>
        <w:t>rogram; and ii) explore the use of complementary and alternative modalities.</w:t>
      </w:r>
    </w:p>
    <w:p w14:paraId="4EECF156" w14:textId="77777777" w:rsidR="00C70E58" w:rsidRPr="00C70E58" w:rsidRDefault="00C70E58" w:rsidP="00C70E58">
      <w:pPr>
        <w:spacing w:after="0" w:line="240" w:lineRule="auto"/>
        <w:rPr>
          <w:rFonts w:cs="Times New Roman"/>
          <w:b/>
          <w:bCs/>
          <w:i/>
          <w:iCs/>
        </w:rPr>
      </w:pPr>
      <w:r w:rsidRPr="00C70E58">
        <w:rPr>
          <w:rFonts w:cs="Times New Roman"/>
          <w:b/>
          <w:bCs/>
          <w:i/>
          <w:iCs/>
        </w:rPr>
        <w:t>Good practice Technical Assistance</w:t>
      </w:r>
    </w:p>
    <w:p w14:paraId="72F33F97" w14:textId="77777777" w:rsidR="0042096B" w:rsidRDefault="00C70E58" w:rsidP="00C70E58">
      <w:pPr>
        <w:spacing w:line="240" w:lineRule="auto"/>
        <w:jc w:val="both"/>
        <w:rPr>
          <w:rFonts w:cs="Times New Roman"/>
        </w:rPr>
      </w:pPr>
      <w:r w:rsidRPr="00C70E58">
        <w:rPr>
          <w:rFonts w:cs="Times New Roman"/>
        </w:rPr>
        <w:t>The Program offers some excellent examples of technical assistance, seen from different perspectives</w:t>
      </w:r>
      <w:r w:rsidR="0042096B">
        <w:rPr>
          <w:rStyle w:val="FootnoteReference"/>
          <w:rFonts w:cs="Times New Roman"/>
        </w:rPr>
        <w:footnoteReference w:id="83"/>
      </w:r>
      <w:r w:rsidRPr="00C70E58">
        <w:rPr>
          <w:rFonts w:cs="Times New Roman"/>
        </w:rPr>
        <w:t>.</w:t>
      </w:r>
      <w:r w:rsidR="00B1646A">
        <w:rPr>
          <w:rFonts w:cs="Times New Roman"/>
        </w:rPr>
        <w:t xml:space="preserve"> </w:t>
      </w:r>
      <w:r w:rsidRPr="00C70E58">
        <w:rPr>
          <w:rFonts w:cs="Times New Roman"/>
        </w:rPr>
        <w:t>These demonstrate the power of TA to add value to a context and setting in a manner that stimulates and supports sustainable change.</w:t>
      </w:r>
      <w:r w:rsidR="0042096B">
        <w:rPr>
          <w:rFonts w:cs="Times New Roman"/>
        </w:rPr>
        <w:t xml:space="preserve">  This would include: TA as facilitator; TA as providing convening power; TA as broker and confidence builder; and TA as process consultant.    </w:t>
      </w:r>
      <w:r w:rsidR="0042096B" w:rsidRPr="00C70E58">
        <w:rPr>
          <w:rFonts w:cs="Times New Roman"/>
        </w:rPr>
        <w:t xml:space="preserve">The </w:t>
      </w:r>
      <w:r w:rsidR="0042096B">
        <w:rPr>
          <w:rFonts w:cs="Times New Roman"/>
        </w:rPr>
        <w:t>P</w:t>
      </w:r>
      <w:r w:rsidR="0042096B" w:rsidRPr="00C70E58">
        <w:rPr>
          <w:rFonts w:cs="Times New Roman"/>
        </w:rPr>
        <w:t>rogram also offers examples of traditional TA practice, which is not sustainable and at times can be seen to lead to further dependency</w:t>
      </w:r>
      <w:r w:rsidR="0042096B">
        <w:rPr>
          <w:rFonts w:cs="Times New Roman"/>
        </w:rPr>
        <w:t>: TA as providing a short-term technical fix; TA as capacity substitution; TA acting in line positions.</w:t>
      </w:r>
    </w:p>
    <w:p w14:paraId="78DB6B67" w14:textId="77777777" w:rsidR="00951581" w:rsidRPr="00C70E58" w:rsidRDefault="00C70E58" w:rsidP="00C70E58">
      <w:pPr>
        <w:spacing w:line="240" w:lineRule="auto"/>
        <w:jc w:val="both"/>
        <w:rPr>
          <w:rFonts w:cs="Times New Roman"/>
        </w:rPr>
      </w:pPr>
      <w:r w:rsidRPr="00C70E58">
        <w:rPr>
          <w:rFonts w:cs="Times New Roman"/>
        </w:rPr>
        <w:t>Technical Assistance</w:t>
      </w:r>
      <w:r w:rsidR="00327EC3">
        <w:rPr>
          <w:rFonts w:cs="Times New Roman"/>
        </w:rPr>
        <w:t xml:space="preserve"> accounts for a large proportion of the budget. </w:t>
      </w:r>
      <w:r w:rsidRPr="00C70E58">
        <w:rPr>
          <w:rFonts w:cs="Times New Roman"/>
        </w:rPr>
        <w:t>The analysis of current approaches to TA is consistent with the discussion on the additional implicit objective of the Program, to ensure an underlying operational capacity in policing and justice services, as some of the TA is clearly capacity substitution and providing short</w:t>
      </w:r>
      <w:r w:rsidR="00906A86">
        <w:rPr>
          <w:rFonts w:cs="Times New Roman"/>
        </w:rPr>
        <w:t>-</w:t>
      </w:r>
      <w:r w:rsidRPr="00C70E58">
        <w:rPr>
          <w:rFonts w:cs="Times New Roman"/>
        </w:rPr>
        <w:t xml:space="preserve">term technical solutions, while some is aimed at longer term capacity development. The role of AFP advisers in representing an Australian presence and the mutually agreed benefits of that could also be acknowledged beyond the operational and capacity building expectations of those Advisers. The </w:t>
      </w:r>
      <w:r w:rsidR="00E53220">
        <w:rPr>
          <w:rFonts w:cs="Times New Roman"/>
        </w:rPr>
        <w:t>P</w:t>
      </w:r>
      <w:r w:rsidRPr="00C70E58">
        <w:rPr>
          <w:rFonts w:cs="Times New Roman"/>
        </w:rPr>
        <w:t>rogram would benefit from a clearer articulation of the purpose and positioning of each TA position, and from a more straightforward method of reporting on the effectiveness of each position in relation to expected outcomes.</w:t>
      </w:r>
      <w:r w:rsidR="00B1646A">
        <w:rPr>
          <w:rFonts w:cs="Times New Roman"/>
        </w:rPr>
        <w:t xml:space="preserve"> </w:t>
      </w:r>
    </w:p>
    <w:p w14:paraId="14B44FD2" w14:textId="77777777" w:rsidR="00C70E58" w:rsidRPr="00C70E58" w:rsidRDefault="00C70E58" w:rsidP="00C70E58">
      <w:pPr>
        <w:spacing w:line="240" w:lineRule="auto"/>
        <w:jc w:val="both"/>
        <w:rPr>
          <w:rFonts w:cs="Times New Roman"/>
        </w:rPr>
      </w:pPr>
      <w:r w:rsidRPr="00C70E58">
        <w:rPr>
          <w:rFonts w:cs="Times New Roman"/>
        </w:rPr>
        <w:t xml:space="preserve">Overall, a lower reliance on TA as the modality should be </w:t>
      </w:r>
      <w:r w:rsidR="00AE29D5">
        <w:rPr>
          <w:rFonts w:cs="Times New Roman"/>
        </w:rPr>
        <w:t>considered</w:t>
      </w:r>
      <w:r w:rsidRPr="00C70E58">
        <w:rPr>
          <w:rFonts w:cs="Times New Roman"/>
        </w:rPr>
        <w:t xml:space="preserve"> for the future, which would free up considerable resources to support </w:t>
      </w:r>
      <w:proofErr w:type="spellStart"/>
      <w:r w:rsidRPr="00C70E58">
        <w:rPr>
          <w:rFonts w:cs="Times New Roman"/>
        </w:rPr>
        <w:t>GoV</w:t>
      </w:r>
      <w:proofErr w:type="spellEnd"/>
      <w:r w:rsidRPr="00C70E58">
        <w:rPr>
          <w:rFonts w:cs="Times New Roman"/>
        </w:rPr>
        <w:t xml:space="preserve"> requests for operational support in some areas, as well as ensure stronger ownership and responsibility for managing reform and change needed to address underlying constraints in the sector.</w:t>
      </w:r>
      <w:r w:rsidR="00B1646A">
        <w:rPr>
          <w:rFonts w:cs="Times New Roman"/>
        </w:rPr>
        <w:t xml:space="preserve"> </w:t>
      </w:r>
      <w:r w:rsidRPr="00C70E58">
        <w:rPr>
          <w:rFonts w:cs="Times New Roman"/>
        </w:rPr>
        <w:t>Such a</w:t>
      </w:r>
      <w:r w:rsidR="0042096B">
        <w:rPr>
          <w:rFonts w:cs="Times New Roman"/>
        </w:rPr>
        <w:t>n</w:t>
      </w:r>
      <w:r w:rsidRPr="00C70E58">
        <w:rPr>
          <w:rFonts w:cs="Times New Roman"/>
        </w:rPr>
        <w:t xml:space="preserve"> approach would require stronger policy dialogue from the </w:t>
      </w:r>
      <w:proofErr w:type="spellStart"/>
      <w:r w:rsidRPr="00C70E58">
        <w:rPr>
          <w:rFonts w:cs="Times New Roman"/>
        </w:rPr>
        <w:t>GoA</w:t>
      </w:r>
      <w:proofErr w:type="spellEnd"/>
      <w:r w:rsidRPr="00C70E58">
        <w:rPr>
          <w:rFonts w:cs="Times New Roman"/>
        </w:rPr>
        <w:t xml:space="preserve"> and more tools in the Cont</w:t>
      </w:r>
      <w:r w:rsidR="00DB00F8">
        <w:rPr>
          <w:rFonts w:cs="Times New Roman"/>
        </w:rPr>
        <w:t>r</w:t>
      </w:r>
      <w:r w:rsidRPr="00C70E58">
        <w:rPr>
          <w:rFonts w:cs="Times New Roman"/>
        </w:rPr>
        <w:t>actor’s and AFP toolkit for program implementation.</w:t>
      </w:r>
      <w:r w:rsidR="00B1646A">
        <w:rPr>
          <w:rFonts w:cs="Times New Roman"/>
        </w:rPr>
        <w:t xml:space="preserve"> </w:t>
      </w:r>
      <w:r w:rsidR="00AE29D5">
        <w:rPr>
          <w:rFonts w:cs="Times New Roman"/>
        </w:rPr>
        <w:t>More</w:t>
      </w:r>
      <w:r w:rsidRPr="00C70E58">
        <w:rPr>
          <w:rFonts w:cs="Times New Roman"/>
        </w:rPr>
        <w:t xml:space="preserve"> transparency about the operational budget available to the </w:t>
      </w:r>
      <w:proofErr w:type="spellStart"/>
      <w:r w:rsidRPr="00C70E58">
        <w:rPr>
          <w:rFonts w:cs="Times New Roman"/>
        </w:rPr>
        <w:t>GoV</w:t>
      </w:r>
      <w:proofErr w:type="spellEnd"/>
      <w:r w:rsidRPr="00C70E58">
        <w:rPr>
          <w:rFonts w:cs="Times New Roman"/>
        </w:rPr>
        <w:t xml:space="preserve"> for activity implementation, working alongside or complementary to TA </w:t>
      </w:r>
      <w:proofErr w:type="spellStart"/>
      <w:r w:rsidRPr="00C70E58">
        <w:rPr>
          <w:rFonts w:cs="Times New Roman"/>
        </w:rPr>
        <w:t>workplans</w:t>
      </w:r>
      <w:proofErr w:type="spellEnd"/>
      <w:r w:rsidRPr="00C70E58">
        <w:rPr>
          <w:rFonts w:cs="Times New Roman"/>
        </w:rPr>
        <w:t xml:space="preserve">, </w:t>
      </w:r>
      <w:r w:rsidR="00AE29D5">
        <w:rPr>
          <w:rFonts w:cs="Times New Roman"/>
        </w:rPr>
        <w:t>c</w:t>
      </w:r>
      <w:r w:rsidRPr="00C70E58">
        <w:rPr>
          <w:rFonts w:cs="Times New Roman"/>
        </w:rPr>
        <w:t>ould</w:t>
      </w:r>
      <w:r w:rsidR="00AE29D5">
        <w:rPr>
          <w:rFonts w:cs="Times New Roman"/>
        </w:rPr>
        <w:t xml:space="preserve"> also</w:t>
      </w:r>
      <w:r w:rsidRPr="00C70E58">
        <w:rPr>
          <w:rFonts w:cs="Times New Roman"/>
        </w:rPr>
        <w:t xml:space="preserve"> be instituted.</w:t>
      </w:r>
    </w:p>
    <w:p w14:paraId="6466F970" w14:textId="77777777" w:rsidR="00C70E58" w:rsidRPr="00C70E58" w:rsidRDefault="00C70E58" w:rsidP="00C70E58">
      <w:pPr>
        <w:pBdr>
          <w:top w:val="single" w:sz="4" w:space="1" w:color="auto"/>
          <w:left w:val="single" w:sz="4" w:space="0" w:color="auto"/>
          <w:bottom w:val="single" w:sz="4" w:space="1" w:color="auto"/>
          <w:right w:val="single" w:sz="4" w:space="4" w:color="auto"/>
        </w:pBdr>
        <w:shd w:val="clear" w:color="auto" w:fill="F3F5F7"/>
        <w:spacing w:after="0" w:line="240" w:lineRule="auto"/>
        <w:rPr>
          <w:rFonts w:cs="Times New Roman"/>
          <w:b/>
          <w:bCs/>
        </w:rPr>
      </w:pPr>
      <w:bookmarkStart w:id="44" w:name="_Hlk21698941"/>
      <w:r w:rsidRPr="00C70E58">
        <w:rPr>
          <w:rFonts w:cs="Times New Roman"/>
          <w:b/>
          <w:bCs/>
        </w:rPr>
        <w:t xml:space="preserve">Recommendations </w:t>
      </w:r>
      <w:r w:rsidR="000059AB">
        <w:rPr>
          <w:rFonts w:cs="Times New Roman"/>
          <w:b/>
          <w:bCs/>
        </w:rPr>
        <w:t>6</w:t>
      </w:r>
      <w:r w:rsidRPr="00C70E58">
        <w:rPr>
          <w:rFonts w:cs="Times New Roman"/>
          <w:b/>
          <w:bCs/>
        </w:rPr>
        <w:t>:</w:t>
      </w:r>
    </w:p>
    <w:p w14:paraId="5D7C28D5" w14:textId="77777777" w:rsidR="00C70E58" w:rsidRPr="00C70E58" w:rsidRDefault="00C70E58" w:rsidP="00C70E58">
      <w:pPr>
        <w:pBdr>
          <w:top w:val="single" w:sz="4" w:space="1" w:color="auto"/>
          <w:left w:val="single" w:sz="4" w:space="0" w:color="auto"/>
          <w:bottom w:val="single" w:sz="4" w:space="1" w:color="auto"/>
          <w:right w:val="single" w:sz="4" w:space="4" w:color="auto"/>
        </w:pBdr>
        <w:shd w:val="clear" w:color="auto" w:fill="F3F5F7"/>
        <w:spacing w:after="100" w:line="240" w:lineRule="auto"/>
        <w:rPr>
          <w:rFonts w:cs="Times New Roman"/>
          <w:b/>
          <w:bCs/>
        </w:rPr>
      </w:pPr>
      <w:r w:rsidRPr="00C70E58">
        <w:rPr>
          <w:rFonts w:cs="Times New Roman"/>
        </w:rPr>
        <w:t>One underlying strategy for Capacity Development should be selected as best linked to one key theory of change for the design. This could the problem driven iterative adaptation (PDIA) approach for capacity development linked to a sector wide approach of the design’s T</w:t>
      </w:r>
      <w:r w:rsidR="00954735">
        <w:rPr>
          <w:rFonts w:cs="Times New Roman"/>
        </w:rPr>
        <w:t>heory of Change</w:t>
      </w:r>
      <w:r w:rsidRPr="00C70E58">
        <w:rPr>
          <w:rFonts w:cs="Times New Roman"/>
          <w:vertAlign w:val="superscript"/>
        </w:rPr>
        <w:footnoteReference w:id="84"/>
      </w:r>
      <w:r w:rsidRPr="00C70E58">
        <w:rPr>
          <w:rFonts w:cs="Times New Roman"/>
        </w:rPr>
        <w:t>.</w:t>
      </w:r>
    </w:p>
    <w:bookmarkEnd w:id="44"/>
    <w:p w14:paraId="7F3769D6" w14:textId="77777777" w:rsidR="00AE29D5" w:rsidRPr="00C75BD1" w:rsidRDefault="00AE29D5" w:rsidP="00AE29D5">
      <w:pPr>
        <w:spacing w:line="240" w:lineRule="auto"/>
        <w:jc w:val="both"/>
        <w:rPr>
          <w:rFonts w:cs="Times New Roman"/>
        </w:rPr>
      </w:pPr>
      <w:r>
        <w:rPr>
          <w:rFonts w:cs="Times New Roman"/>
        </w:rPr>
        <w:t xml:space="preserve">Adoption of the PDIA approach to capacity development and program design would require some re-setting of implementation and reporting arrangements away from a traditional ‘program logic model’ but in fact better represents important aspects of the current operating model (such as flexible work plans, a flexible annual budget, changing priorities according to changing agency priorities and plans, and responding to changing counterparts and leadership priorities). </w:t>
      </w:r>
      <w:r w:rsidRPr="00565A1A">
        <w:rPr>
          <w:rFonts w:cs="Times New Roman"/>
        </w:rPr>
        <w:t xml:space="preserve">A ‘one team’ understanding of capacity development </w:t>
      </w:r>
      <w:r>
        <w:rPr>
          <w:rFonts w:cs="Times New Roman"/>
        </w:rPr>
        <w:t>would also</w:t>
      </w:r>
      <w:r w:rsidRPr="00565A1A">
        <w:rPr>
          <w:rFonts w:cs="Times New Roman"/>
        </w:rPr>
        <w:t xml:space="preserve"> allow for ease of reporting. </w:t>
      </w:r>
      <w:r>
        <w:rPr>
          <w:rFonts w:cs="Times New Roman"/>
        </w:rPr>
        <w:t xml:space="preserve">  </w:t>
      </w:r>
      <w:r w:rsidRPr="00C75BD1">
        <w:rPr>
          <w:rFonts w:cs="Times New Roman"/>
        </w:rPr>
        <w:t xml:space="preserve">Stronger efforts to move away from traditional TA models (Adviser with Counterparts) towards facilitation and empowerment models should be </w:t>
      </w:r>
      <w:r>
        <w:rPr>
          <w:rFonts w:cs="Times New Roman"/>
        </w:rPr>
        <w:t>considered further</w:t>
      </w:r>
      <w:r w:rsidRPr="00C75BD1">
        <w:rPr>
          <w:rFonts w:cs="Times New Roman"/>
        </w:rPr>
        <w:t xml:space="preserve"> and implementation arrangements to avoid reliance on long term TA.</w:t>
      </w:r>
      <w:r>
        <w:rPr>
          <w:rFonts w:cs="Times New Roman"/>
        </w:rPr>
        <w:t xml:space="preserve"> </w:t>
      </w:r>
      <w:r w:rsidRPr="00C75BD1">
        <w:rPr>
          <w:rFonts w:cs="Times New Roman"/>
        </w:rPr>
        <w:t xml:space="preserve">Alternative modalities </w:t>
      </w:r>
      <w:r>
        <w:rPr>
          <w:rFonts w:cs="Times New Roman"/>
        </w:rPr>
        <w:t>c</w:t>
      </w:r>
      <w:r w:rsidRPr="00C75BD1">
        <w:rPr>
          <w:rFonts w:cs="Times New Roman"/>
        </w:rPr>
        <w:t xml:space="preserve">ould be considered to enable stronger policy dialogue opportunities between </w:t>
      </w:r>
      <w:proofErr w:type="spellStart"/>
      <w:r w:rsidRPr="00C75BD1">
        <w:rPr>
          <w:rFonts w:cs="Times New Roman"/>
        </w:rPr>
        <w:t>GoA</w:t>
      </w:r>
      <w:proofErr w:type="spellEnd"/>
      <w:r w:rsidRPr="00C75BD1">
        <w:rPr>
          <w:rFonts w:cs="Times New Roman"/>
        </w:rPr>
        <w:t xml:space="preserve"> and </w:t>
      </w:r>
      <w:proofErr w:type="spellStart"/>
      <w:r w:rsidRPr="00C75BD1">
        <w:rPr>
          <w:rFonts w:cs="Times New Roman"/>
        </w:rPr>
        <w:t>GoV</w:t>
      </w:r>
      <w:proofErr w:type="spellEnd"/>
      <w:r w:rsidRPr="00C75BD1">
        <w:rPr>
          <w:rFonts w:cs="Times New Roman"/>
        </w:rPr>
        <w:t xml:space="preserve"> to progress key reforms and raise underlying constraints. </w:t>
      </w:r>
    </w:p>
    <w:p w14:paraId="0BE43D9E" w14:textId="77777777" w:rsidR="00E37847" w:rsidRPr="00DC35FF" w:rsidRDefault="00E37847" w:rsidP="00E37847">
      <w:pPr>
        <w:spacing w:after="0"/>
        <w:jc w:val="both"/>
        <w:rPr>
          <w:rFonts w:ascii="Calibri" w:eastAsia="Calibri" w:hAnsi="Calibri"/>
          <w:b/>
        </w:rPr>
      </w:pPr>
      <w:r w:rsidRPr="00E37847">
        <w:rPr>
          <w:rFonts w:ascii="Calibri" w:eastAsia="Calibri" w:hAnsi="Calibri" w:cs="Times New Roman"/>
          <w:b/>
        </w:rPr>
        <w:t xml:space="preserve">Finding </w:t>
      </w:r>
      <w:r w:rsidR="000059AB">
        <w:rPr>
          <w:rFonts w:ascii="Calibri" w:eastAsia="Calibri" w:hAnsi="Calibri" w:cs="Times New Roman"/>
          <w:b/>
        </w:rPr>
        <w:t>7</w:t>
      </w:r>
      <w:r w:rsidRPr="00E37847">
        <w:rPr>
          <w:rFonts w:ascii="Calibri" w:eastAsia="Calibri" w:hAnsi="Calibri" w:cs="Times New Roman"/>
          <w:b/>
        </w:rPr>
        <w:t xml:space="preserve">: </w:t>
      </w:r>
      <w:r w:rsidR="00571ABE">
        <w:rPr>
          <w:rFonts w:ascii="Calibri" w:eastAsia="Calibri" w:hAnsi="Calibri" w:cs="Times New Roman"/>
          <w:b/>
        </w:rPr>
        <w:t>aligning implementation arrangements to drive and report on results</w:t>
      </w:r>
    </w:p>
    <w:p w14:paraId="4E1C8813" w14:textId="77777777" w:rsidR="00E37847" w:rsidRPr="00E37847" w:rsidRDefault="00E37847" w:rsidP="00E37847">
      <w:pPr>
        <w:shd w:val="clear" w:color="auto" w:fill="F3F5F7"/>
        <w:spacing w:line="240" w:lineRule="auto"/>
        <w:jc w:val="both"/>
        <w:rPr>
          <w:color w:val="44546A" w:themeColor="text2"/>
        </w:rPr>
      </w:pPr>
      <w:r w:rsidRPr="00A428B3">
        <w:rPr>
          <w:color w:val="44546A" w:themeColor="text2"/>
        </w:rPr>
        <w:t xml:space="preserve">The </w:t>
      </w:r>
      <w:r w:rsidR="00B12A0B">
        <w:rPr>
          <w:color w:val="44546A" w:themeColor="text2"/>
        </w:rPr>
        <w:t>EOPOs</w:t>
      </w:r>
      <w:r w:rsidRPr="00A428B3">
        <w:rPr>
          <w:color w:val="44546A" w:themeColor="text2"/>
        </w:rPr>
        <w:t xml:space="preserve"> have </w:t>
      </w:r>
      <w:r w:rsidRPr="00A428B3">
        <w:rPr>
          <w:b/>
          <w:color w:val="44546A" w:themeColor="text2"/>
        </w:rPr>
        <w:t>driven performance towards a vision of results</w:t>
      </w:r>
      <w:r w:rsidRPr="00A428B3">
        <w:rPr>
          <w:color w:val="44546A" w:themeColor="text2"/>
        </w:rPr>
        <w:t xml:space="preserve"> through integrated systems thinking, </w:t>
      </w:r>
      <w:r w:rsidRPr="00A428B3">
        <w:rPr>
          <w:b/>
          <w:color w:val="44546A" w:themeColor="text2"/>
        </w:rPr>
        <w:t>but the implementation arrangements</w:t>
      </w:r>
      <w:r w:rsidRPr="00A428B3">
        <w:rPr>
          <w:color w:val="44546A" w:themeColor="text2"/>
        </w:rPr>
        <w:t xml:space="preserve"> (program logic, M&amp;E, annual planning and budget systems) </w:t>
      </w:r>
      <w:r w:rsidRPr="00A428B3">
        <w:rPr>
          <w:b/>
          <w:color w:val="44546A" w:themeColor="text2"/>
        </w:rPr>
        <w:t xml:space="preserve">are </w:t>
      </w:r>
      <w:r w:rsidR="008E0E95">
        <w:rPr>
          <w:b/>
          <w:color w:val="44546A" w:themeColor="text2"/>
        </w:rPr>
        <w:t xml:space="preserve">complex and </w:t>
      </w:r>
      <w:r w:rsidRPr="00A428B3">
        <w:rPr>
          <w:b/>
          <w:color w:val="44546A" w:themeColor="text2"/>
        </w:rPr>
        <w:t>not well aligned</w:t>
      </w:r>
      <w:r w:rsidRPr="00A428B3">
        <w:rPr>
          <w:color w:val="44546A" w:themeColor="text2"/>
        </w:rPr>
        <w:t>, and could be more efficient to manage</w:t>
      </w:r>
      <w:r w:rsidR="00CB4668">
        <w:rPr>
          <w:color w:val="44546A" w:themeColor="text2"/>
        </w:rPr>
        <w:t>.</w:t>
      </w:r>
    </w:p>
    <w:p w14:paraId="379D2B27" w14:textId="77777777" w:rsidR="00E37847" w:rsidRDefault="000D5983" w:rsidP="00E37847">
      <w:pPr>
        <w:spacing w:after="100" w:line="240" w:lineRule="auto"/>
        <w:jc w:val="both"/>
      </w:pPr>
      <w:r>
        <w:rPr>
          <w:rFonts w:cstheme="minorHAnsi"/>
        </w:rPr>
        <w:t>The program</w:t>
      </w:r>
      <w:r w:rsidR="009B53A7">
        <w:t xml:space="preserve"> </w:t>
      </w:r>
      <w:r>
        <w:t>logic of the design</w:t>
      </w:r>
      <w:r w:rsidR="00CB4668">
        <w:t>,</w:t>
      </w:r>
      <w:r w:rsidR="009B53A7">
        <w:t xml:space="preserve"> which include</w:t>
      </w:r>
      <w:r w:rsidR="00CB4668">
        <w:t>s</w:t>
      </w:r>
      <w:r w:rsidR="009B53A7">
        <w:t xml:space="preserve"> EOPOs and design structure</w:t>
      </w:r>
      <w:r w:rsidR="00CB4668">
        <w:t>,</w:t>
      </w:r>
      <w:r w:rsidR="009B53A7">
        <w:t xml:space="preserve"> is </w:t>
      </w:r>
      <w:r w:rsidR="009B53A7" w:rsidRPr="00A43A15">
        <w:t xml:space="preserve">featured in Figure </w:t>
      </w:r>
      <w:r w:rsidR="00327EC3">
        <w:t>7</w:t>
      </w:r>
      <w:r w:rsidR="009B53A7">
        <w:t xml:space="preserve"> below. </w:t>
      </w:r>
      <w:r w:rsidR="00E37847">
        <w:t xml:space="preserve">The EOPOs express a long-term vision for improving capacity, access and quality of services in policing, justice and community services. A distinctive feature of the statements is that they focus on the beneficiaries being women and children in particular, referencing the high incidence of </w:t>
      </w:r>
      <w:r w:rsidR="00CB4668">
        <w:t>FSV</w:t>
      </w:r>
      <w:r w:rsidR="00E37847">
        <w:t xml:space="preserve"> as a proportion of overall crime in Vanuatu. The EOPOs are also consciously integrated (not separating out police, justice and community agencies). These features of the EOPOs, and the way they have been communicated and used as a reference point by the Program has galvanised attention to the intended outcomes and results, rather than to the activities or outputs of the </w:t>
      </w:r>
      <w:r w:rsidR="00E53220">
        <w:t>P</w:t>
      </w:r>
      <w:r w:rsidR="00E37847">
        <w:t xml:space="preserve">rogram. These have come over time to represent the </w:t>
      </w:r>
      <w:r w:rsidR="0041736B">
        <w:t>“</w:t>
      </w:r>
      <w:r w:rsidR="00E37847">
        <w:t xml:space="preserve">vision’’ for the Program, rather than a statement of expected end states, as represented in the </w:t>
      </w:r>
      <w:r w:rsidR="00E53220">
        <w:t>p</w:t>
      </w:r>
      <w:r w:rsidR="00E37847">
        <w:t xml:space="preserve">rogram </w:t>
      </w:r>
      <w:r w:rsidR="00E53220">
        <w:t>l</w:t>
      </w:r>
      <w:r w:rsidR="00E37847">
        <w:t xml:space="preserve">ogic diagram as headings for </w:t>
      </w:r>
      <w:r w:rsidR="00CB4668">
        <w:t>IOs</w:t>
      </w:r>
      <w:r w:rsidR="00E37847">
        <w:t>.</w:t>
      </w:r>
      <w:r w:rsidR="00B1646A">
        <w:t xml:space="preserve"> </w:t>
      </w:r>
      <w:r w:rsidR="00E37847">
        <w:t xml:space="preserve"> </w:t>
      </w:r>
    </w:p>
    <w:p w14:paraId="238D4060" w14:textId="77777777" w:rsidR="00565A1A" w:rsidRPr="00894948" w:rsidRDefault="00E37847" w:rsidP="00E37847">
      <w:pPr>
        <w:spacing w:after="100" w:line="240" w:lineRule="auto"/>
        <w:jc w:val="both"/>
      </w:pPr>
      <w:r>
        <w:t xml:space="preserve">The </w:t>
      </w:r>
      <w:r w:rsidR="00CB4668">
        <w:t>IOs</w:t>
      </w:r>
      <w:r>
        <w:t xml:space="preserve"> of the program logic reinforce the integrated and systems nature of the thinking behind the design. They refer to sector-wide outcomes that would be evident through implementation, for example “</w:t>
      </w:r>
      <w:r w:rsidRPr="003C142C">
        <w:t xml:space="preserve">Police prosecutors and public sector lawyers are providing more professional and timely </w:t>
      </w:r>
      <w:r w:rsidRPr="00894948">
        <w:t>representation” or “Sector agencies and targeted non-state actors are responding more effectively to cases involving violence against women and children”. They do not refer to individual Agencies, or functions of the justice sector, but the collective results.</w:t>
      </w:r>
      <w:r w:rsidR="00B1646A" w:rsidRPr="00894948">
        <w:t xml:space="preserve"> </w:t>
      </w:r>
      <w:r w:rsidRPr="00894948">
        <w:t>While this can be viewed as positive, a downside is that these statements do not guide planning and implementation of the Program, are there is no direct accountability for their achievement. In many ways, they would be better regarded as a “set of indicators’’ of progress towards the EOPOs rather than IOs in themselves.</w:t>
      </w:r>
      <w:r w:rsidR="00B1646A" w:rsidRPr="00894948">
        <w:t xml:space="preserve"> </w:t>
      </w:r>
      <w:r w:rsidRPr="00894948">
        <w:t>For example, “IO 8: Targeted communities have greater trust and confidence in the VPF” is really a proxy indicator for EOPO 2 rather than a separate result of the Program’s activities.</w:t>
      </w:r>
      <w:r w:rsidR="00B1646A" w:rsidRPr="00894948">
        <w:t xml:space="preserve"> </w:t>
      </w:r>
      <w:r w:rsidRPr="00894948">
        <w:t>The program logic has no output level, or activity level, which means there are no tangible deliverables expected of the Program in its design.</w:t>
      </w:r>
    </w:p>
    <w:p w14:paraId="7CEB681B" w14:textId="77777777" w:rsidR="00565A1A" w:rsidRPr="00894948" w:rsidRDefault="00565A1A" w:rsidP="00565A1A">
      <w:pPr>
        <w:spacing w:after="100" w:line="240" w:lineRule="auto"/>
        <w:jc w:val="both"/>
      </w:pPr>
      <w:r w:rsidRPr="00894948">
        <w:t>Given this lack of guiding program design structure, it is not surprising that several approaches to implementation arrangements have been created:</w:t>
      </w:r>
    </w:p>
    <w:p w14:paraId="6E05CDB7" w14:textId="77777777" w:rsidR="00565A1A" w:rsidRPr="00894948" w:rsidRDefault="00565A1A" w:rsidP="004E7C9F">
      <w:pPr>
        <w:numPr>
          <w:ilvl w:val="0"/>
          <w:numId w:val="4"/>
        </w:numPr>
        <w:spacing w:after="0" w:line="240" w:lineRule="auto"/>
        <w:ind w:left="425" w:right="96" w:hanging="425"/>
        <w:contextualSpacing/>
        <w:jc w:val="both"/>
        <w:rPr>
          <w:rFonts w:ascii="Calibri" w:hAnsi="Calibri" w:cs="Calibri"/>
        </w:rPr>
      </w:pPr>
      <w:r w:rsidRPr="00894948">
        <w:rPr>
          <w:rFonts w:ascii="Calibri" w:hAnsi="Calibri" w:cs="Calibri"/>
        </w:rPr>
        <w:t>A budget structure, with Reimbursable Personnel costs (5 headings), Operational Costs (8 sub-categories), and Activity Costs against “component” headings by Policing (10 headings) and Justice (7 headings), and Cross Sectoral Strengthening activity costs (3 sub-categories);</w:t>
      </w:r>
    </w:p>
    <w:p w14:paraId="6FB1D3B3" w14:textId="77777777" w:rsidR="00565A1A" w:rsidRPr="00894948" w:rsidRDefault="00565A1A" w:rsidP="004E7C9F">
      <w:pPr>
        <w:numPr>
          <w:ilvl w:val="0"/>
          <w:numId w:val="4"/>
        </w:numPr>
        <w:spacing w:after="0" w:line="240" w:lineRule="auto"/>
        <w:ind w:left="425" w:right="96" w:hanging="425"/>
        <w:contextualSpacing/>
        <w:jc w:val="both"/>
        <w:rPr>
          <w:rFonts w:ascii="Calibri" w:hAnsi="Calibri" w:cs="Calibri"/>
        </w:rPr>
      </w:pPr>
      <w:r w:rsidRPr="00894948">
        <w:rPr>
          <w:rFonts w:ascii="Calibri" w:hAnsi="Calibri" w:cs="Calibri"/>
        </w:rPr>
        <w:t>An M&amp;E structure, with indicators against IOs and EOPOs, plus additional data collection and analysis processes for reporting (such as the “reach and coverage” tables);</w:t>
      </w:r>
    </w:p>
    <w:p w14:paraId="14135B5D" w14:textId="77777777" w:rsidR="00565A1A" w:rsidRPr="00894948" w:rsidRDefault="00565A1A" w:rsidP="004E7C9F">
      <w:pPr>
        <w:numPr>
          <w:ilvl w:val="0"/>
          <w:numId w:val="4"/>
        </w:numPr>
        <w:spacing w:after="0" w:line="240" w:lineRule="auto"/>
        <w:ind w:left="425" w:right="96" w:hanging="425"/>
        <w:contextualSpacing/>
        <w:jc w:val="both"/>
        <w:rPr>
          <w:rFonts w:ascii="Calibri" w:hAnsi="Calibri" w:cs="Calibri"/>
        </w:rPr>
      </w:pPr>
      <w:r w:rsidRPr="00894948">
        <w:rPr>
          <w:rFonts w:ascii="Calibri" w:hAnsi="Calibri" w:cs="Calibri"/>
        </w:rPr>
        <w:t>A capacity development framework, focused on the 5 “levels” (and additional approaches to be adopted);</w:t>
      </w:r>
    </w:p>
    <w:p w14:paraId="45A4B076" w14:textId="77777777" w:rsidR="00565A1A" w:rsidRPr="00894948" w:rsidRDefault="00565A1A" w:rsidP="004E7C9F">
      <w:pPr>
        <w:numPr>
          <w:ilvl w:val="0"/>
          <w:numId w:val="4"/>
        </w:numPr>
        <w:spacing w:line="240" w:lineRule="auto"/>
        <w:ind w:left="425" w:right="96" w:hanging="425"/>
        <w:jc w:val="both"/>
        <w:rPr>
          <w:rFonts w:ascii="Calibri" w:hAnsi="Calibri" w:cs="Calibri"/>
        </w:rPr>
      </w:pPr>
      <w:r w:rsidRPr="00894948">
        <w:rPr>
          <w:rFonts w:ascii="Calibri" w:hAnsi="Calibri" w:cs="Calibri"/>
        </w:rPr>
        <w:t xml:space="preserve">An annual </w:t>
      </w:r>
      <w:proofErr w:type="spellStart"/>
      <w:r w:rsidRPr="00894948">
        <w:rPr>
          <w:rFonts w:ascii="Calibri" w:hAnsi="Calibri" w:cs="Calibri"/>
        </w:rPr>
        <w:t>workplan</w:t>
      </w:r>
      <w:proofErr w:type="spellEnd"/>
      <w:r w:rsidRPr="00894948">
        <w:rPr>
          <w:rFonts w:ascii="Calibri" w:hAnsi="Calibri" w:cs="Calibri"/>
        </w:rPr>
        <w:t xml:space="preserve"> structure, with theme headings (14 themes</w:t>
      </w:r>
      <w:r w:rsidR="00283A04">
        <w:rPr>
          <w:rFonts w:ascii="Calibri" w:hAnsi="Calibri" w:cs="Calibri"/>
        </w:rPr>
        <w:t xml:space="preserve"> in 2019</w:t>
      </w:r>
      <w:r w:rsidRPr="00894948">
        <w:rPr>
          <w:rFonts w:ascii="Calibri" w:hAnsi="Calibri" w:cs="Calibri"/>
        </w:rPr>
        <w:t>), and outputs and milestones as deliverables.</w:t>
      </w:r>
    </w:p>
    <w:p w14:paraId="5A12891D" w14:textId="77777777" w:rsidR="009B53A7" w:rsidRDefault="009B53A7">
      <w:pPr>
        <w:sectPr w:rsidR="009B53A7" w:rsidSect="00E4189A">
          <w:pgSz w:w="11906" w:h="16838"/>
          <w:pgMar w:top="1440" w:right="1440" w:bottom="1440" w:left="1440" w:header="708" w:footer="708" w:gutter="0"/>
          <w:pgNumType w:start="1"/>
          <w:cols w:space="708"/>
          <w:titlePg/>
          <w:docGrid w:linePitch="360"/>
        </w:sectPr>
      </w:pPr>
    </w:p>
    <w:p w14:paraId="14230D1B" w14:textId="77777777" w:rsidR="009B53A7" w:rsidRPr="009B53A7" w:rsidRDefault="009B53A7" w:rsidP="009B53A7">
      <w:pPr>
        <w:rPr>
          <w:rFonts w:ascii="Calibri" w:eastAsia="Calibri" w:hAnsi="Calibri" w:cs="Times New Roman"/>
          <w:b/>
        </w:rPr>
      </w:pPr>
      <w:r w:rsidRPr="00B21E17">
        <w:rPr>
          <w:rFonts w:ascii="Calibri" w:eastAsia="Calibri" w:hAnsi="Calibri" w:cs="Times New Roman"/>
          <w:b/>
        </w:rPr>
        <w:t xml:space="preserve">Figure </w:t>
      </w:r>
      <w:r w:rsidR="00327EC3">
        <w:rPr>
          <w:rFonts w:ascii="Calibri" w:eastAsia="Calibri" w:hAnsi="Calibri" w:cs="Times New Roman"/>
          <w:b/>
        </w:rPr>
        <w:t>7</w:t>
      </w:r>
      <w:r w:rsidRPr="00B21E17">
        <w:rPr>
          <w:rFonts w:ascii="Calibri" w:eastAsia="Calibri" w:hAnsi="Calibri" w:cs="Times New Roman"/>
          <w:b/>
        </w:rPr>
        <w:t>: SRBJS Program Logic</w:t>
      </w:r>
    </w:p>
    <w:p w14:paraId="1FBA8A0B" w14:textId="77777777" w:rsidR="009B53A7" w:rsidRDefault="009B53A7" w:rsidP="009B53A7">
      <w:pPr>
        <w:rPr>
          <w:rFonts w:ascii="Calibri" w:eastAsia="Calibri" w:hAnsi="Calibri" w:cs="Times New Roman"/>
        </w:rPr>
        <w:sectPr w:rsidR="009B53A7" w:rsidSect="009B53A7">
          <w:pgSz w:w="16838" w:h="11906" w:orient="landscape"/>
          <w:pgMar w:top="1440" w:right="1440" w:bottom="1440" w:left="1440" w:header="709" w:footer="709" w:gutter="0"/>
          <w:cols w:space="708"/>
          <w:docGrid w:linePitch="360"/>
        </w:sectPr>
      </w:pPr>
      <w:r>
        <w:rPr>
          <w:noProof/>
          <w:lang w:eastAsia="en-AU"/>
        </w:rPr>
        <w:drawing>
          <wp:inline distT="0" distB="0" distL="0" distR="0" wp14:anchorId="0CDF46C7" wp14:editId="6CAAF112">
            <wp:extent cx="8863330" cy="4985397"/>
            <wp:effectExtent l="0" t="0" r="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63330" cy="4985397"/>
                    </a:xfrm>
                    <a:prstGeom prst="rect">
                      <a:avLst/>
                    </a:prstGeom>
                    <a:noFill/>
                  </pic:spPr>
                </pic:pic>
              </a:graphicData>
            </a:graphic>
          </wp:inline>
        </w:drawing>
      </w:r>
    </w:p>
    <w:p w14:paraId="524E9B8A" w14:textId="77777777" w:rsidR="00E37847" w:rsidRDefault="00E37847" w:rsidP="00E37847">
      <w:pPr>
        <w:spacing w:line="240" w:lineRule="auto"/>
        <w:jc w:val="both"/>
      </w:pPr>
      <w:r>
        <w:t xml:space="preserve">In addition, in the real-world setting, the </w:t>
      </w:r>
      <w:r w:rsidR="00E53220">
        <w:t>P</w:t>
      </w:r>
      <w:r>
        <w:t>rogram is directed towards 14 separate Agencies with 22 separate work units.</w:t>
      </w:r>
      <w:r w:rsidR="00B1646A">
        <w:t xml:space="preserve"> </w:t>
      </w:r>
      <w:r>
        <w:t xml:space="preserve">The </w:t>
      </w:r>
      <w:r w:rsidR="004341ED">
        <w:t>evaluation</w:t>
      </w:r>
      <w:r>
        <w:t xml:space="preserve"> team also analysed that the Program operates in 12 different modes (the categories for like-for-like financing and implementation the subject of analysis in Finding </w:t>
      </w:r>
      <w:r w:rsidR="009724CE">
        <w:t>3</w:t>
      </w:r>
      <w:r>
        <w:t>).</w:t>
      </w:r>
    </w:p>
    <w:p w14:paraId="2CB1EB47" w14:textId="77777777" w:rsidR="00E37847" w:rsidRPr="00894948" w:rsidRDefault="00E37847" w:rsidP="00875F69">
      <w:pPr>
        <w:spacing w:after="60" w:line="240" w:lineRule="auto"/>
        <w:jc w:val="both"/>
      </w:pPr>
      <w:r w:rsidRPr="00894948">
        <w:t xml:space="preserve">These different lenses with which to view the </w:t>
      </w:r>
      <w:r w:rsidR="00E53220" w:rsidRPr="00894948">
        <w:t>P</w:t>
      </w:r>
      <w:r w:rsidRPr="00894948">
        <w:t>rogram are not consistent with each other and make management and monitoring highly problematic. Some constraints of these implementation arrangements are:</w:t>
      </w:r>
    </w:p>
    <w:p w14:paraId="409BDD15" w14:textId="77777777" w:rsidR="00E37847" w:rsidRPr="00894948" w:rsidRDefault="00E37847" w:rsidP="004E7C9F">
      <w:pPr>
        <w:numPr>
          <w:ilvl w:val="0"/>
          <w:numId w:val="4"/>
        </w:numPr>
        <w:spacing w:after="0" w:line="240" w:lineRule="auto"/>
        <w:ind w:left="425" w:right="96" w:hanging="425"/>
        <w:contextualSpacing/>
        <w:jc w:val="both"/>
        <w:rPr>
          <w:rFonts w:ascii="Calibri" w:hAnsi="Calibri" w:cs="Calibri"/>
        </w:rPr>
      </w:pPr>
      <w:r w:rsidRPr="00894948">
        <w:rPr>
          <w:rFonts w:ascii="Calibri" w:hAnsi="Calibri" w:cs="Calibri"/>
        </w:rPr>
        <w:t>The EOPOs are at a very high, unattainable level, and there is no baseline and ability to monitor change over time using quantitative or qualitative data against standardised indicators at present.</w:t>
      </w:r>
      <w:r w:rsidRPr="00894948">
        <w:rPr>
          <w:rFonts w:ascii="Calibri" w:hAnsi="Calibri" w:cs="Calibri"/>
          <w:vertAlign w:val="superscript"/>
        </w:rPr>
        <w:footnoteReference w:id="85"/>
      </w:r>
      <w:r w:rsidRPr="00894948">
        <w:rPr>
          <w:rFonts w:ascii="Calibri" w:hAnsi="Calibri" w:cs="Calibri"/>
          <w:vertAlign w:val="superscript"/>
        </w:rPr>
        <w:t xml:space="preserve"> </w:t>
      </w:r>
      <w:r w:rsidRPr="00894948">
        <w:rPr>
          <w:rFonts w:ascii="Calibri" w:hAnsi="Calibri" w:cs="Calibri"/>
        </w:rPr>
        <w:t xml:space="preserve">This might be acceptable if the </w:t>
      </w:r>
      <w:r w:rsidR="0041736B" w:rsidRPr="00894948">
        <w:rPr>
          <w:rFonts w:ascii="Calibri" w:hAnsi="Calibri" w:cs="Calibri"/>
        </w:rPr>
        <w:t>IOs</w:t>
      </w:r>
      <w:r w:rsidRPr="00894948">
        <w:rPr>
          <w:rFonts w:ascii="Calibri" w:hAnsi="Calibri" w:cs="Calibri"/>
        </w:rPr>
        <w:t xml:space="preserve"> were a proxy or milestone towards the EOPOs, but because they are cross-sectoral indicators themselves, and they are not now being used as the main framework for gathering data about performance</w:t>
      </w:r>
      <w:r w:rsidRPr="00894948">
        <w:rPr>
          <w:rFonts w:ascii="Calibri" w:hAnsi="Calibri" w:cs="Calibri"/>
          <w:vertAlign w:val="superscript"/>
        </w:rPr>
        <w:footnoteReference w:id="86"/>
      </w:r>
      <w:r w:rsidRPr="00894948">
        <w:rPr>
          <w:rFonts w:ascii="Calibri" w:hAnsi="Calibri" w:cs="Calibri"/>
        </w:rPr>
        <w:t>, there is an absence of outcome or impact level monitoring data.</w:t>
      </w:r>
    </w:p>
    <w:p w14:paraId="367D43C0" w14:textId="77777777" w:rsidR="00E37847" w:rsidRPr="00C71CCC" w:rsidRDefault="00E37847" w:rsidP="004E7C9F">
      <w:pPr>
        <w:numPr>
          <w:ilvl w:val="0"/>
          <w:numId w:val="4"/>
        </w:numPr>
        <w:spacing w:after="0" w:line="240" w:lineRule="auto"/>
        <w:ind w:left="425" w:right="96" w:hanging="425"/>
        <w:contextualSpacing/>
        <w:jc w:val="both"/>
        <w:rPr>
          <w:rFonts w:ascii="Calibri" w:hAnsi="Calibri" w:cs="Calibri"/>
        </w:rPr>
      </w:pPr>
      <w:r w:rsidRPr="00894948">
        <w:rPr>
          <w:rFonts w:ascii="Calibri" w:hAnsi="Calibri" w:cs="Calibri"/>
        </w:rPr>
        <w:t>The budget is developed on the basis on cost categories, and does not use Activity Based Costing methods. This means that it is not</w:t>
      </w:r>
      <w:r w:rsidRPr="00C71CCC">
        <w:rPr>
          <w:rFonts w:ascii="Calibri" w:hAnsi="Calibri" w:cs="Calibri"/>
        </w:rPr>
        <w:t xml:space="preserve"> possible to tell how much money is allocated to specific outcome areas (or even outputs), as personnel is budgeted separately to activities.</w:t>
      </w:r>
      <w:r w:rsidR="00B1646A">
        <w:rPr>
          <w:rFonts w:ascii="Calibri" w:hAnsi="Calibri" w:cs="Calibri"/>
        </w:rPr>
        <w:t xml:space="preserve"> </w:t>
      </w:r>
      <w:r w:rsidRPr="00C71CCC">
        <w:rPr>
          <w:rFonts w:ascii="Calibri" w:hAnsi="Calibri" w:cs="Calibri"/>
        </w:rPr>
        <w:t xml:space="preserve">Moreover, the budgeted ‘’activities’’ are low level individual grants, not directly linked to any IOs (given the absence of any Outputs in the design program logic). The separate budget allocation to the AFP for the policing support compounds this difficulty, as the </w:t>
      </w:r>
      <w:r>
        <w:rPr>
          <w:rFonts w:ascii="Calibri" w:hAnsi="Calibri" w:cs="Calibri"/>
        </w:rPr>
        <w:t xml:space="preserve">overall </w:t>
      </w:r>
      <w:r w:rsidRPr="00C71CCC">
        <w:rPr>
          <w:rFonts w:ascii="Calibri" w:hAnsi="Calibri" w:cs="Calibri"/>
        </w:rPr>
        <w:t xml:space="preserve">personnel costs related to program </w:t>
      </w:r>
      <w:r>
        <w:rPr>
          <w:rFonts w:ascii="Calibri" w:hAnsi="Calibri" w:cs="Calibri"/>
        </w:rPr>
        <w:t>deliverables</w:t>
      </w:r>
      <w:r w:rsidRPr="00C71CCC">
        <w:rPr>
          <w:rFonts w:ascii="Calibri" w:hAnsi="Calibri" w:cs="Calibri"/>
        </w:rPr>
        <w:t xml:space="preserve"> are not available nor transparent to the </w:t>
      </w:r>
      <w:proofErr w:type="spellStart"/>
      <w:r w:rsidRPr="00C71CCC">
        <w:rPr>
          <w:rFonts w:ascii="Calibri" w:hAnsi="Calibri" w:cs="Calibri"/>
        </w:rPr>
        <w:t>GoV.</w:t>
      </w:r>
      <w:proofErr w:type="spellEnd"/>
    </w:p>
    <w:p w14:paraId="7E9CDD69" w14:textId="77777777" w:rsidR="00E37847" w:rsidRPr="00EA0AAB" w:rsidRDefault="00E37847" w:rsidP="004E7C9F">
      <w:pPr>
        <w:numPr>
          <w:ilvl w:val="0"/>
          <w:numId w:val="4"/>
        </w:numPr>
        <w:spacing w:line="240" w:lineRule="auto"/>
        <w:ind w:left="425" w:right="96" w:hanging="425"/>
        <w:jc w:val="both"/>
        <w:rPr>
          <w:rFonts w:ascii="Calibri" w:hAnsi="Calibri" w:cs="Calibri"/>
        </w:rPr>
      </w:pPr>
      <w:r w:rsidRPr="00EA0AAB">
        <w:rPr>
          <w:rFonts w:ascii="Calibri" w:hAnsi="Calibri" w:cs="Calibri"/>
        </w:rPr>
        <w:t xml:space="preserve">The annual </w:t>
      </w:r>
      <w:proofErr w:type="spellStart"/>
      <w:r w:rsidRPr="00EA0AAB">
        <w:rPr>
          <w:rFonts w:ascii="Calibri" w:hAnsi="Calibri" w:cs="Calibri"/>
        </w:rPr>
        <w:t>workplan</w:t>
      </w:r>
      <w:proofErr w:type="spellEnd"/>
      <w:r w:rsidRPr="00EA0AAB">
        <w:rPr>
          <w:rFonts w:ascii="Calibri" w:hAnsi="Calibri" w:cs="Calibri"/>
        </w:rPr>
        <w:t xml:space="preserve"> provides only very detailed milestones (deliverables) against theme headings which do not appear in the design program logic, so it is not possible to tell progress against the overall design, only progress on implementation on a yearly plan.</w:t>
      </w:r>
      <w:r w:rsidR="00B1646A">
        <w:rPr>
          <w:rFonts w:ascii="Calibri" w:hAnsi="Calibri" w:cs="Calibri"/>
        </w:rPr>
        <w:t xml:space="preserve"> </w:t>
      </w:r>
      <w:r w:rsidRPr="00EA0AAB">
        <w:rPr>
          <w:rFonts w:ascii="Calibri" w:hAnsi="Calibri" w:cs="Calibri"/>
        </w:rPr>
        <w:t xml:space="preserve">This annual </w:t>
      </w:r>
      <w:proofErr w:type="spellStart"/>
      <w:r w:rsidRPr="00EA0AAB">
        <w:rPr>
          <w:rFonts w:ascii="Calibri" w:hAnsi="Calibri" w:cs="Calibri"/>
        </w:rPr>
        <w:t>workplan</w:t>
      </w:r>
      <w:proofErr w:type="spellEnd"/>
      <w:r w:rsidRPr="00EA0AAB">
        <w:rPr>
          <w:rFonts w:ascii="Calibri" w:hAnsi="Calibri" w:cs="Calibri"/>
        </w:rPr>
        <w:t xml:space="preserve"> does not capture the breadth of ongoing work in the Program, as it only highlights the one-off milestones to be achieved that year, not the ongoing operational and capacity building support being provided to individuals, agencies and the sector.</w:t>
      </w:r>
    </w:p>
    <w:p w14:paraId="62E6FBFB" w14:textId="77777777" w:rsidR="00E37847" w:rsidRDefault="00E37847" w:rsidP="00E37847">
      <w:pPr>
        <w:spacing w:line="240" w:lineRule="auto"/>
        <w:jc w:val="both"/>
      </w:pPr>
      <w:r>
        <w:t xml:space="preserve">The complexity of the program logic and implementation arrangements may also have affected the working relationships between DFAT, the </w:t>
      </w:r>
      <w:proofErr w:type="spellStart"/>
      <w:r w:rsidR="00DF7536">
        <w:t>GoV</w:t>
      </w:r>
      <w:proofErr w:type="spellEnd"/>
      <w:r>
        <w:t xml:space="preserve">, the </w:t>
      </w:r>
      <w:r w:rsidR="00DF7536">
        <w:t xml:space="preserve">Managing </w:t>
      </w:r>
      <w:r>
        <w:t xml:space="preserve">Contractor and the AFP, as there are different understandings and expectations from the Program. The multiple ‘lenses’ with which to view the </w:t>
      </w:r>
      <w:r w:rsidR="00E53220">
        <w:t>P</w:t>
      </w:r>
      <w:r>
        <w:t>rogram has added to the transactions and time needed to review and approve documents and plans.</w:t>
      </w:r>
      <w:r w:rsidR="00B1646A">
        <w:t xml:space="preserve"> </w:t>
      </w:r>
      <w:r>
        <w:t xml:space="preserve">At the operational level, different </w:t>
      </w:r>
      <w:proofErr w:type="spellStart"/>
      <w:r>
        <w:t>GoV</w:t>
      </w:r>
      <w:proofErr w:type="spellEnd"/>
      <w:r>
        <w:t xml:space="preserve"> agencies interact with the Program in different ways. Advisers manage their workloads, relationships and plans in </w:t>
      </w:r>
      <w:r w:rsidR="00DF7536">
        <w:t xml:space="preserve">a </w:t>
      </w:r>
      <w:r>
        <w:t>different manner. While this creates responsiveness to local partners, it also allows for different quality and approach</w:t>
      </w:r>
      <w:r w:rsidR="00DF7536">
        <w:t>es</w:t>
      </w:r>
      <w:r>
        <w:t xml:space="preserve"> in implementation, and adds some inefficiency to management and reporting.</w:t>
      </w:r>
      <w:r w:rsidR="00B1646A">
        <w:t xml:space="preserve"> </w:t>
      </w:r>
    </w:p>
    <w:p w14:paraId="525DA952" w14:textId="77777777" w:rsidR="008E0E95" w:rsidRDefault="008E0E95" w:rsidP="00E37847">
      <w:pPr>
        <w:spacing w:line="240" w:lineRule="auto"/>
        <w:jc w:val="both"/>
      </w:pPr>
      <w:r>
        <w:t xml:space="preserve">Program governance has been driven by the hybrid implementation modality: with separate Program Management Groups for the justice sector and policing sector, </w:t>
      </w:r>
      <w:r w:rsidR="00237EB4">
        <w:t xml:space="preserve">in part </w:t>
      </w:r>
      <w:r>
        <w:t>relat</w:t>
      </w:r>
      <w:r w:rsidR="00237EB4">
        <w:t>ed</w:t>
      </w:r>
      <w:r>
        <w:t xml:space="preserve"> to the separate implementing partners (Contractor, and AFP</w:t>
      </w:r>
      <w:r w:rsidR="00237EB4">
        <w:t>/Contractor</w:t>
      </w:r>
      <w:r>
        <w:t>)</w:t>
      </w:r>
      <w:r w:rsidR="00237EB4">
        <w:t>, but also the different counterparts and program histories</w:t>
      </w:r>
      <w:r>
        <w:t xml:space="preserve">.  The separate management structures (AFP Commander leading AFP </w:t>
      </w:r>
      <w:r w:rsidR="00237EB4">
        <w:t xml:space="preserve">and other policing </w:t>
      </w:r>
      <w:r>
        <w:t>advisers, and Contractor Team Leader for Contractor Advisers) has created some misalignment and relationship tension where both Contracted and AFP Advisers work together.  The ‘Program Manager’ role within the Contractor is a coordinating and information sharing role, rather than a leading or directing role, resulting in a stronger implementation and decision</w:t>
      </w:r>
      <w:r w:rsidR="007B7CEA">
        <w:t>-</w:t>
      </w:r>
      <w:r>
        <w:t>making role for Post at times. Individuals and team have</w:t>
      </w:r>
      <w:r w:rsidR="007B7CEA">
        <w:t xml:space="preserve"> largely</w:t>
      </w:r>
      <w:r>
        <w:t xml:space="preserve"> worked to overcome </w:t>
      </w:r>
      <w:r w:rsidR="007B7CEA">
        <w:t>these challenges at the operational level.</w:t>
      </w:r>
      <w:r>
        <w:t xml:space="preserve"> </w:t>
      </w:r>
      <w:r w:rsidR="007B7CEA">
        <w:t>There are opportunities to streamline and simplify the management, reporting and accountability structures based on good practice and lessons learnt, and to embed a ‘partnership’ model with the Contractor leading on operational and management issues and Australian Government agencies (DFAT</w:t>
      </w:r>
      <w:r w:rsidR="00237EB4">
        <w:t>, AFP, ADF</w:t>
      </w:r>
      <w:r w:rsidR="007B7CEA">
        <w:t xml:space="preserve">) </w:t>
      </w:r>
      <w:r w:rsidR="00237EB4">
        <w:t xml:space="preserve">jointly agreeing </w:t>
      </w:r>
      <w:r w:rsidR="007B7CEA">
        <w:t>on policy issues within a Post-led WOG process.</w:t>
      </w:r>
    </w:p>
    <w:p w14:paraId="6E358029" w14:textId="77777777" w:rsidR="00565A1A" w:rsidRDefault="00E37847" w:rsidP="00E37847">
      <w:pPr>
        <w:spacing w:line="240" w:lineRule="auto"/>
        <w:jc w:val="both"/>
      </w:pPr>
      <w:r>
        <w:t>A significant part of the challenge that has given rise to the level of complexity and different design perspectives is that there is not an easy ‘fit’ between a program logic based on a linear diagram representation (used by DFAT standard templates and the Program) and some of the underlying ideas behind the design (the real theory of change).</w:t>
      </w:r>
      <w:r w:rsidR="00B1646A">
        <w:t xml:space="preserve"> </w:t>
      </w:r>
      <w:r>
        <w:t>For example, one key theory of change idea is expressed in the Capacity Development Strategy, that of ‘systems thinking’ to ‘start anywhere, go everywhere’, which is represented by a systems circular diagram.</w:t>
      </w:r>
      <w:r w:rsidR="00B1646A">
        <w:t xml:space="preserve"> </w:t>
      </w:r>
      <w:r>
        <w:t>Another example is the use of the “5 levels” of capacity, which sits alongside the program logic diagram, but is separate to the basic logic architecture.</w:t>
      </w:r>
      <w:r w:rsidR="00B1646A">
        <w:t xml:space="preserve"> </w:t>
      </w:r>
      <w:r>
        <w:t>An innovative representation of the core ideas of the design, once sifted and selected, could be more appropriate.</w:t>
      </w:r>
    </w:p>
    <w:p w14:paraId="158288C7" w14:textId="77777777" w:rsidR="00E37847" w:rsidRPr="00565A1A" w:rsidRDefault="00E37847" w:rsidP="00CA427C">
      <w:pPr>
        <w:spacing w:after="0" w:line="240" w:lineRule="auto"/>
        <w:rPr>
          <w:rFonts w:cstheme="minorHAnsi"/>
          <w:bCs/>
          <w:i/>
        </w:rPr>
      </w:pPr>
      <w:r w:rsidRPr="00565A1A">
        <w:rPr>
          <w:rFonts w:cstheme="minorHAnsi"/>
          <w:bCs/>
          <w:i/>
        </w:rPr>
        <w:t xml:space="preserve">Figure </w:t>
      </w:r>
      <w:r w:rsidR="00327EC3">
        <w:rPr>
          <w:rFonts w:cstheme="minorHAnsi"/>
          <w:bCs/>
          <w:i/>
        </w:rPr>
        <w:t>8</w:t>
      </w:r>
      <w:r w:rsidRPr="00565A1A">
        <w:rPr>
          <w:rFonts w:cstheme="minorHAnsi"/>
          <w:bCs/>
          <w:i/>
        </w:rPr>
        <w:t>: Capacity development tool to assist in planning and encourage a systemic approach</w:t>
      </w:r>
      <w:r w:rsidR="0041736B" w:rsidRPr="00565A1A">
        <w:rPr>
          <w:rStyle w:val="FootnoteReference"/>
          <w:rFonts w:cstheme="minorHAnsi"/>
          <w:bCs/>
          <w:i/>
        </w:rPr>
        <w:footnoteReference w:id="87"/>
      </w:r>
    </w:p>
    <w:p w14:paraId="4BC5F2B7" w14:textId="77777777" w:rsidR="0041736B" w:rsidRDefault="0041736B" w:rsidP="00E37847">
      <w:pPr>
        <w:spacing w:line="240" w:lineRule="auto"/>
        <w:rPr>
          <w:rFonts w:ascii="Arial-BoldMT" w:hAnsi="Arial-BoldMT" w:cs="Arial-BoldMT"/>
          <w:b/>
          <w:bCs/>
          <w:color w:val="215868"/>
          <w:sz w:val="18"/>
          <w:szCs w:val="18"/>
        </w:rPr>
      </w:pPr>
      <w:r w:rsidRPr="0041736B">
        <w:rPr>
          <w:noProof/>
          <w:lang w:eastAsia="en-AU"/>
        </w:rPr>
        <w:drawing>
          <wp:inline distT="0" distB="0" distL="0" distR="0" wp14:anchorId="74EF22E4" wp14:editId="151A7FA3">
            <wp:extent cx="5841108" cy="3490686"/>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41567" cy="3490960"/>
                    </a:xfrm>
                    <a:prstGeom prst="rect">
                      <a:avLst/>
                    </a:prstGeom>
                    <a:noFill/>
                    <a:ln>
                      <a:noFill/>
                    </a:ln>
                  </pic:spPr>
                </pic:pic>
              </a:graphicData>
            </a:graphic>
          </wp:inline>
        </w:drawing>
      </w:r>
    </w:p>
    <w:p w14:paraId="03FD27B5" w14:textId="77777777" w:rsidR="00E37847" w:rsidRDefault="00E37847" w:rsidP="00E37847">
      <w:pPr>
        <w:spacing w:line="240" w:lineRule="auto"/>
        <w:jc w:val="both"/>
      </w:pPr>
      <w:r>
        <w:t xml:space="preserve">All of the theories and approaches referred to in the design and associated documents have merit, and have relevance to the Program. However not all are necessary, and simplification of implementation architecture and stronger alignment would assist in greater transparency (to </w:t>
      </w:r>
      <w:proofErr w:type="spellStart"/>
      <w:r>
        <w:t>GoV</w:t>
      </w:r>
      <w:proofErr w:type="spellEnd"/>
      <w:r>
        <w:t xml:space="preserve"> as well as </w:t>
      </w:r>
      <w:proofErr w:type="spellStart"/>
      <w:r>
        <w:t>GoA</w:t>
      </w:r>
      <w:proofErr w:type="spellEnd"/>
      <w:r>
        <w:t>), accountability and efficiency in management.</w:t>
      </w:r>
      <w:r w:rsidR="00B1646A">
        <w:t xml:space="preserve"> </w:t>
      </w:r>
      <w:r>
        <w:t>In particular</w:t>
      </w:r>
      <w:r w:rsidR="00046963">
        <w:t>,</w:t>
      </w:r>
      <w:r>
        <w:t xml:space="preserve"> settling on one key underlying theory of change (how change will occur in this sector, context and setting), and identifying an output and component structure that aligns accountability for performance with real-world organisations and functions are two key ingredients for improved management and oversight.</w:t>
      </w:r>
    </w:p>
    <w:p w14:paraId="21E8FA56" w14:textId="77777777" w:rsidR="00E37847" w:rsidRPr="00C71CCC" w:rsidRDefault="00E37847" w:rsidP="00E37847">
      <w:pPr>
        <w:spacing w:after="0"/>
        <w:rPr>
          <w:b/>
          <w:bCs/>
          <w:i/>
          <w:iCs/>
        </w:rPr>
      </w:pPr>
      <w:r w:rsidRPr="0005233D">
        <w:rPr>
          <w:b/>
          <w:bCs/>
          <w:i/>
          <w:iCs/>
        </w:rPr>
        <w:t>Assessing quality and progress</w:t>
      </w:r>
    </w:p>
    <w:p w14:paraId="01D875D6" w14:textId="77777777" w:rsidR="00E37847" w:rsidRDefault="00E37847" w:rsidP="00E37847">
      <w:pPr>
        <w:spacing w:line="240" w:lineRule="auto"/>
        <w:jc w:val="both"/>
      </w:pPr>
      <w:r>
        <w:t>The evaluation team observed that the quality of Program inputs was generally high to very high.</w:t>
      </w:r>
      <w:r w:rsidR="00B1646A">
        <w:t xml:space="preserve"> </w:t>
      </w:r>
      <w:r>
        <w:t xml:space="preserve">This concerns the selection and approach of Advisers (both contracted and AFP deployed), and the management and allocation of funding for grants. Two areas of concern are apparent: the transparency and processes for allocation of funds for operational costs, particularly in policing; and management mechanisms for the overall team of Advisers across the </w:t>
      </w:r>
      <w:r w:rsidR="00E53220">
        <w:t>P</w:t>
      </w:r>
      <w:r>
        <w:t>rogram to work collectively.</w:t>
      </w:r>
      <w:r w:rsidR="00B1646A">
        <w:t xml:space="preserve">  </w:t>
      </w:r>
      <w:r>
        <w:t>Many Advisers were not aware of how internal Program decision</w:t>
      </w:r>
      <w:r w:rsidR="00046963">
        <w:t>s</w:t>
      </w:r>
      <w:r>
        <w:t xml:space="preserve"> were being made for allocation of operational support costs to different partner agencies and it was not apparent to the </w:t>
      </w:r>
      <w:r w:rsidR="004341ED">
        <w:t>evaluation</w:t>
      </w:r>
      <w:r>
        <w:t xml:space="preserve"> team what the processes were.</w:t>
      </w:r>
      <w:r w:rsidR="00B1646A">
        <w:t xml:space="preserve"> </w:t>
      </w:r>
      <w:proofErr w:type="spellStart"/>
      <w:r>
        <w:t>GoV</w:t>
      </w:r>
      <w:proofErr w:type="spellEnd"/>
      <w:r>
        <w:t xml:space="preserve"> counterparts raised in several discussions that they did not know total budgets available or have insight into how priorities were determined for funding allocation. Many requests were received and canvassed by the </w:t>
      </w:r>
      <w:r w:rsidR="00E53220">
        <w:t>evaluation</w:t>
      </w:r>
      <w:r>
        <w:t xml:space="preserve"> team, and reportedly to Program management and to DFAT directly, but no transparent processes are clear to the </w:t>
      </w:r>
      <w:proofErr w:type="spellStart"/>
      <w:r w:rsidR="00046963">
        <w:t>GoV</w:t>
      </w:r>
      <w:proofErr w:type="spellEnd"/>
      <w:r w:rsidR="00046963">
        <w:t xml:space="preserve"> </w:t>
      </w:r>
      <w:r>
        <w:t>on how resources are prioritised.</w:t>
      </w:r>
      <w:r w:rsidR="00B1646A">
        <w:t xml:space="preserve"> </w:t>
      </w:r>
      <w:r>
        <w:t>Several Advisers, DFAT officers, and counterparts gave examples of Advisers working in a less than team oriented or cooperative manner with others, although these were considered carefully and suggested as isolated examples rather than the norm.</w:t>
      </w:r>
      <w:r w:rsidR="00B1646A">
        <w:t xml:space="preserve"> </w:t>
      </w:r>
    </w:p>
    <w:p w14:paraId="682D35E2" w14:textId="77777777" w:rsidR="00E37847" w:rsidRPr="002C753E" w:rsidRDefault="00E37847" w:rsidP="00E37847">
      <w:pPr>
        <w:spacing w:line="240" w:lineRule="auto"/>
        <w:jc w:val="both"/>
        <w:rPr>
          <w:rFonts w:cs="Times New Roman"/>
        </w:rPr>
      </w:pPr>
      <w:r>
        <w:t>Given the lack of output and activity levels in the program logic</w:t>
      </w:r>
      <w:r w:rsidR="004277D2">
        <w:t xml:space="preserve"> (with the design providing that activities and ou</w:t>
      </w:r>
      <w:r w:rsidR="00816000">
        <w:t>t</w:t>
      </w:r>
      <w:r w:rsidR="004277D2">
        <w:t>puts be specified in the annual work planning process)</w:t>
      </w:r>
      <w:r>
        <w:t>, the Contractor reports on progress by percentage of expenditure against budget</w:t>
      </w:r>
      <w:r w:rsidR="00816000">
        <w:rPr>
          <w:rStyle w:val="FootnoteReference"/>
        </w:rPr>
        <w:footnoteReference w:id="88"/>
      </w:r>
      <w:r>
        <w:t>.</w:t>
      </w:r>
      <w:r w:rsidR="00B1646A">
        <w:t xml:space="preserve"> </w:t>
      </w:r>
      <w:r>
        <w:t xml:space="preserve">On that measure, management has been relatively efficient. </w:t>
      </w:r>
      <w:r w:rsidRPr="002C753E">
        <w:rPr>
          <w:rFonts w:cs="Times New Roman"/>
        </w:rPr>
        <w:t xml:space="preserve">Overall expenditure is 60% of the total budget of </w:t>
      </w:r>
      <w:proofErr w:type="gramStart"/>
      <w:r w:rsidRPr="002C753E">
        <w:rPr>
          <w:rFonts w:cs="Times New Roman"/>
        </w:rPr>
        <w:t>A$</w:t>
      </w:r>
      <w:proofErr w:type="gramEnd"/>
      <w:r w:rsidRPr="002C753E">
        <w:rPr>
          <w:rFonts w:cs="Times New Roman"/>
        </w:rPr>
        <w:t xml:space="preserve">20million at 62.5% completion of the </w:t>
      </w:r>
      <w:r w:rsidR="001777AE">
        <w:rPr>
          <w:rFonts w:cs="Times New Roman"/>
        </w:rPr>
        <w:t xml:space="preserve">time frame for the </w:t>
      </w:r>
      <w:r w:rsidR="00E53220">
        <w:rPr>
          <w:rFonts w:cs="Times New Roman"/>
        </w:rPr>
        <w:t>P</w:t>
      </w:r>
      <w:r w:rsidRPr="002C753E">
        <w:rPr>
          <w:rFonts w:cs="Times New Roman"/>
        </w:rPr>
        <w:t xml:space="preserve">rogram (at June 30, 2019). This is an excellent result in terms of the </w:t>
      </w:r>
      <w:r w:rsidR="00E53220">
        <w:rPr>
          <w:rFonts w:cs="Times New Roman"/>
        </w:rPr>
        <w:t>P</w:t>
      </w:r>
      <w:r w:rsidRPr="002C753E">
        <w:rPr>
          <w:rFonts w:cs="Times New Roman"/>
        </w:rPr>
        <w:t xml:space="preserve">rogram executing its budget. Budget allocations for the 2018-19 financial year were 100% expensed which was positive for both DFAT and the </w:t>
      </w:r>
      <w:r w:rsidR="00E53220">
        <w:rPr>
          <w:rFonts w:cs="Times New Roman"/>
        </w:rPr>
        <w:t>P</w:t>
      </w:r>
      <w:r w:rsidRPr="002C753E">
        <w:rPr>
          <w:rFonts w:cs="Times New Roman"/>
        </w:rPr>
        <w:t>rogram</w:t>
      </w:r>
      <w:r>
        <w:rPr>
          <w:rStyle w:val="FootnoteReference"/>
        </w:rPr>
        <w:footnoteReference w:id="89"/>
      </w:r>
      <w:r w:rsidRPr="002C753E">
        <w:rPr>
          <w:rFonts w:cs="Times New Roman"/>
        </w:rPr>
        <w:t>.</w:t>
      </w:r>
    </w:p>
    <w:p w14:paraId="29790036" w14:textId="77777777" w:rsidR="00E37847" w:rsidRPr="00BC65FB" w:rsidRDefault="00E37847" w:rsidP="00E37847">
      <w:pPr>
        <w:spacing w:before="100" w:beforeAutospacing="1" w:after="40" w:line="240" w:lineRule="auto"/>
        <w:jc w:val="center"/>
        <w:rPr>
          <w:i/>
          <w:iCs/>
          <w:noProof/>
          <w:color w:val="000000" w:themeColor="text1"/>
          <w:sz w:val="20"/>
          <w:szCs w:val="20"/>
          <w:lang w:eastAsia="en-AU"/>
        </w:rPr>
      </w:pPr>
      <w:r w:rsidRPr="00BC65FB">
        <w:rPr>
          <w:i/>
          <w:iCs/>
          <w:noProof/>
          <w:color w:val="000000" w:themeColor="text1"/>
          <w:sz w:val="20"/>
          <w:szCs w:val="20"/>
          <w:lang w:eastAsia="en-AU"/>
        </w:rPr>
        <w:t xml:space="preserve">Table </w:t>
      </w:r>
      <w:r w:rsidR="00321DDA">
        <w:rPr>
          <w:i/>
          <w:iCs/>
          <w:noProof/>
          <w:color w:val="000000" w:themeColor="text1"/>
          <w:sz w:val="20"/>
          <w:szCs w:val="20"/>
          <w:lang w:eastAsia="en-AU"/>
        </w:rPr>
        <w:t>3</w:t>
      </w:r>
      <w:r w:rsidRPr="00BC65FB">
        <w:rPr>
          <w:i/>
          <w:iCs/>
          <w:noProof/>
          <w:color w:val="000000" w:themeColor="text1"/>
          <w:sz w:val="20"/>
          <w:szCs w:val="20"/>
          <w:lang w:eastAsia="en-AU"/>
        </w:rPr>
        <w:t xml:space="preserve">: </w:t>
      </w:r>
      <w:r w:rsidR="00894948">
        <w:rPr>
          <w:i/>
          <w:iCs/>
          <w:noProof/>
          <w:color w:val="000000" w:themeColor="text1"/>
          <w:sz w:val="20"/>
          <w:szCs w:val="20"/>
          <w:lang w:eastAsia="en-AU"/>
        </w:rPr>
        <w:t xml:space="preserve">Life of </w:t>
      </w:r>
      <w:r w:rsidRPr="00BC65FB">
        <w:rPr>
          <w:rFonts w:eastAsia="Times New Roman" w:cs="Calibri"/>
          <w:i/>
          <w:iCs/>
          <w:color w:val="000000" w:themeColor="text1"/>
          <w:sz w:val="20"/>
          <w:szCs w:val="20"/>
          <w:lang w:eastAsia="en-AU"/>
        </w:rPr>
        <w:t>Contract % expenditure by theme</w:t>
      </w:r>
      <w:r w:rsidRPr="00BC65FB">
        <w:rPr>
          <w:rFonts w:cs="Calibri"/>
          <w:i/>
          <w:iCs/>
          <w:color w:val="000000" w:themeColor="text1"/>
          <w:sz w:val="20"/>
          <w:szCs w:val="20"/>
        </w:rPr>
        <w:t xml:space="preserve"> (</w:t>
      </w:r>
      <w:r w:rsidR="00894948">
        <w:rPr>
          <w:rFonts w:cs="Calibri"/>
          <w:i/>
          <w:iCs/>
          <w:color w:val="000000" w:themeColor="text1"/>
          <w:sz w:val="20"/>
          <w:szCs w:val="20"/>
        </w:rPr>
        <w:t xml:space="preserve">as of </w:t>
      </w:r>
      <w:r w:rsidRPr="00BC65FB">
        <w:rPr>
          <w:rFonts w:cs="Calibri"/>
          <w:i/>
          <w:iCs/>
          <w:color w:val="000000" w:themeColor="text1"/>
          <w:sz w:val="20"/>
          <w:szCs w:val="20"/>
        </w:rPr>
        <w:t>Ja</w:t>
      </w:r>
      <w:r w:rsidR="00894948">
        <w:rPr>
          <w:rFonts w:cs="Calibri"/>
          <w:i/>
          <w:iCs/>
          <w:color w:val="000000" w:themeColor="text1"/>
          <w:sz w:val="20"/>
          <w:szCs w:val="20"/>
        </w:rPr>
        <w:t>n</w:t>
      </w:r>
      <w:r w:rsidRPr="00BC65FB">
        <w:rPr>
          <w:rFonts w:cs="Calibri"/>
          <w:i/>
          <w:iCs/>
          <w:color w:val="000000" w:themeColor="text1"/>
          <w:sz w:val="20"/>
          <w:szCs w:val="20"/>
        </w:rPr>
        <w:t>–Jun 2019</w:t>
      </w:r>
      <w:r w:rsidR="00894948">
        <w:rPr>
          <w:rFonts w:cs="Calibri"/>
          <w:i/>
          <w:iCs/>
          <w:color w:val="000000" w:themeColor="text1"/>
          <w:sz w:val="20"/>
          <w:szCs w:val="20"/>
        </w:rPr>
        <w:t xml:space="preserve"> Report</w:t>
      </w:r>
      <w:r w:rsidRPr="00BC65FB">
        <w:rPr>
          <w:rFonts w:cs="Calibri"/>
          <w:i/>
          <w:iCs/>
          <w:color w:val="000000" w:themeColor="text1"/>
          <w:sz w:val="20"/>
          <w:szCs w:val="20"/>
        </w:rPr>
        <w:t>)</w:t>
      </w:r>
    </w:p>
    <w:tbl>
      <w:tblPr>
        <w:tblW w:w="4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0"/>
        <w:gridCol w:w="960"/>
      </w:tblGrid>
      <w:tr w:rsidR="00E37847" w:rsidRPr="00BC65FB" w14:paraId="2104C069" w14:textId="77777777" w:rsidTr="00A0159B">
        <w:trPr>
          <w:trHeight w:val="290"/>
          <w:jc w:val="center"/>
        </w:trPr>
        <w:tc>
          <w:tcPr>
            <w:tcW w:w="3540" w:type="dxa"/>
            <w:shd w:val="clear" w:color="auto" w:fill="B4C6E7"/>
            <w:noWrap/>
            <w:vAlign w:val="bottom"/>
          </w:tcPr>
          <w:p w14:paraId="2209F1AF" w14:textId="77777777" w:rsidR="00E37847" w:rsidRPr="00BC65FB" w:rsidRDefault="00E37847" w:rsidP="00A0159B">
            <w:pPr>
              <w:spacing w:before="100" w:beforeAutospacing="1" w:after="100" w:afterAutospacing="1" w:line="276" w:lineRule="auto"/>
              <w:jc w:val="center"/>
              <w:rPr>
                <w:rFonts w:ascii="Calibri" w:eastAsia="Times New Roman" w:hAnsi="Calibri" w:cs="Calibri"/>
                <w:b/>
                <w:bCs/>
                <w:color w:val="000000" w:themeColor="text1"/>
                <w:sz w:val="20"/>
                <w:szCs w:val="20"/>
                <w:lang w:eastAsia="en-AU"/>
              </w:rPr>
            </w:pPr>
            <w:r w:rsidRPr="00BC65FB">
              <w:rPr>
                <w:rFonts w:ascii="Calibri" w:eastAsia="Times New Roman" w:hAnsi="Calibri" w:cs="Calibri"/>
                <w:b/>
                <w:bCs/>
                <w:color w:val="000000" w:themeColor="text1"/>
                <w:sz w:val="20"/>
                <w:szCs w:val="20"/>
                <w:lang w:eastAsia="en-AU"/>
              </w:rPr>
              <w:t>Theme</w:t>
            </w:r>
          </w:p>
        </w:tc>
        <w:tc>
          <w:tcPr>
            <w:tcW w:w="960" w:type="dxa"/>
            <w:shd w:val="clear" w:color="auto" w:fill="B4C6E7"/>
            <w:noWrap/>
            <w:vAlign w:val="bottom"/>
          </w:tcPr>
          <w:p w14:paraId="728986C9" w14:textId="77777777" w:rsidR="00E37847" w:rsidRPr="00BC65FB" w:rsidRDefault="00E37847" w:rsidP="00A0159B">
            <w:pPr>
              <w:spacing w:before="100" w:beforeAutospacing="1" w:after="100" w:afterAutospacing="1" w:line="276" w:lineRule="auto"/>
              <w:jc w:val="center"/>
              <w:rPr>
                <w:rFonts w:ascii="Calibri" w:eastAsia="Times New Roman" w:hAnsi="Calibri" w:cs="Calibri"/>
                <w:b/>
                <w:bCs/>
                <w:color w:val="000000" w:themeColor="text1"/>
                <w:sz w:val="20"/>
                <w:szCs w:val="20"/>
                <w:lang w:eastAsia="en-AU"/>
              </w:rPr>
            </w:pPr>
            <w:r w:rsidRPr="00BC65FB">
              <w:rPr>
                <w:rFonts w:ascii="Calibri" w:eastAsia="Times New Roman" w:hAnsi="Calibri" w:cs="Calibri"/>
                <w:b/>
                <w:bCs/>
                <w:color w:val="000000" w:themeColor="text1"/>
                <w:sz w:val="20"/>
                <w:szCs w:val="20"/>
                <w:lang w:eastAsia="en-AU"/>
              </w:rPr>
              <w:t>%</w:t>
            </w:r>
          </w:p>
        </w:tc>
      </w:tr>
      <w:tr w:rsidR="00E37847" w:rsidRPr="00BC65FB" w14:paraId="599B330A" w14:textId="77777777" w:rsidTr="00A0159B">
        <w:trPr>
          <w:trHeight w:val="290"/>
          <w:jc w:val="center"/>
        </w:trPr>
        <w:tc>
          <w:tcPr>
            <w:tcW w:w="3540" w:type="dxa"/>
            <w:shd w:val="clear" w:color="auto" w:fill="auto"/>
            <w:noWrap/>
            <w:vAlign w:val="bottom"/>
            <w:hideMark/>
          </w:tcPr>
          <w:p w14:paraId="4E564B7E" w14:textId="77777777" w:rsidR="00E37847" w:rsidRPr="00BC65FB" w:rsidRDefault="00E37847" w:rsidP="00A0159B">
            <w:pPr>
              <w:spacing w:before="100" w:beforeAutospacing="1" w:after="100" w:afterAutospacing="1" w:line="276" w:lineRule="auto"/>
              <w:rPr>
                <w:rFonts w:ascii="Calibri" w:eastAsia="Times New Roman" w:hAnsi="Calibri" w:cs="Calibri"/>
                <w:color w:val="000000" w:themeColor="text1"/>
                <w:sz w:val="20"/>
                <w:szCs w:val="20"/>
                <w:lang w:eastAsia="en-AU"/>
              </w:rPr>
            </w:pPr>
            <w:r w:rsidRPr="00BC65FB">
              <w:rPr>
                <w:rFonts w:ascii="Calibri" w:eastAsia="Times New Roman" w:hAnsi="Calibri" w:cs="Calibri"/>
                <w:color w:val="000000" w:themeColor="text1"/>
                <w:sz w:val="20"/>
                <w:szCs w:val="20"/>
                <w:lang w:eastAsia="en-AU"/>
              </w:rPr>
              <w:t>Specified Personnel Costs</w:t>
            </w:r>
          </w:p>
        </w:tc>
        <w:tc>
          <w:tcPr>
            <w:tcW w:w="960" w:type="dxa"/>
            <w:shd w:val="clear" w:color="auto" w:fill="auto"/>
            <w:noWrap/>
            <w:vAlign w:val="bottom"/>
            <w:hideMark/>
          </w:tcPr>
          <w:p w14:paraId="5F9B0853" w14:textId="77777777" w:rsidR="00E37847" w:rsidRPr="00BC65FB" w:rsidRDefault="00E37847" w:rsidP="00A0159B">
            <w:pPr>
              <w:spacing w:before="100" w:beforeAutospacing="1" w:after="100" w:afterAutospacing="1" w:line="276" w:lineRule="auto"/>
              <w:jc w:val="center"/>
              <w:rPr>
                <w:rFonts w:ascii="Calibri" w:eastAsia="Times New Roman" w:hAnsi="Calibri" w:cs="Calibri"/>
                <w:color w:val="000000" w:themeColor="text1"/>
                <w:sz w:val="20"/>
                <w:szCs w:val="20"/>
                <w:lang w:eastAsia="en-AU"/>
              </w:rPr>
            </w:pPr>
            <w:r w:rsidRPr="00BC65FB">
              <w:rPr>
                <w:rFonts w:ascii="Calibri" w:eastAsia="Times New Roman" w:hAnsi="Calibri" w:cs="Calibri"/>
                <w:color w:val="000000" w:themeColor="text1"/>
                <w:sz w:val="20"/>
                <w:szCs w:val="20"/>
                <w:lang w:eastAsia="en-AU"/>
              </w:rPr>
              <w:t>66%</w:t>
            </w:r>
          </w:p>
        </w:tc>
      </w:tr>
      <w:tr w:rsidR="00E37847" w:rsidRPr="00BC65FB" w14:paraId="1FCA0867" w14:textId="77777777" w:rsidTr="00A0159B">
        <w:trPr>
          <w:trHeight w:val="290"/>
          <w:jc w:val="center"/>
        </w:trPr>
        <w:tc>
          <w:tcPr>
            <w:tcW w:w="3540" w:type="dxa"/>
            <w:shd w:val="clear" w:color="auto" w:fill="auto"/>
            <w:noWrap/>
            <w:vAlign w:val="bottom"/>
            <w:hideMark/>
          </w:tcPr>
          <w:p w14:paraId="3201ED23" w14:textId="77777777" w:rsidR="00E37847" w:rsidRPr="00BC65FB" w:rsidRDefault="00E37847" w:rsidP="00A0159B">
            <w:pPr>
              <w:spacing w:before="100" w:beforeAutospacing="1" w:after="100" w:afterAutospacing="1" w:line="276" w:lineRule="auto"/>
              <w:rPr>
                <w:rFonts w:ascii="Calibri" w:eastAsia="Times New Roman" w:hAnsi="Calibri" w:cs="Calibri"/>
                <w:color w:val="000000" w:themeColor="text1"/>
                <w:sz w:val="20"/>
                <w:szCs w:val="20"/>
                <w:lang w:eastAsia="en-AU"/>
              </w:rPr>
            </w:pPr>
            <w:r w:rsidRPr="00BC65FB">
              <w:rPr>
                <w:rFonts w:ascii="Calibri" w:eastAsia="Times New Roman" w:hAnsi="Calibri" w:cs="Calibri"/>
                <w:color w:val="000000" w:themeColor="text1"/>
                <w:sz w:val="20"/>
                <w:szCs w:val="20"/>
                <w:lang w:eastAsia="en-AU"/>
              </w:rPr>
              <w:t>Unspecified Personnel Costs</w:t>
            </w:r>
          </w:p>
        </w:tc>
        <w:tc>
          <w:tcPr>
            <w:tcW w:w="960" w:type="dxa"/>
            <w:shd w:val="clear" w:color="auto" w:fill="auto"/>
            <w:noWrap/>
            <w:vAlign w:val="bottom"/>
            <w:hideMark/>
          </w:tcPr>
          <w:p w14:paraId="0EF31DC7" w14:textId="77777777" w:rsidR="00E37847" w:rsidRPr="00BC65FB" w:rsidRDefault="00E37847" w:rsidP="00A0159B">
            <w:pPr>
              <w:spacing w:before="100" w:beforeAutospacing="1" w:after="100" w:afterAutospacing="1" w:line="276" w:lineRule="auto"/>
              <w:jc w:val="center"/>
              <w:rPr>
                <w:rFonts w:ascii="Calibri" w:eastAsia="Times New Roman" w:hAnsi="Calibri" w:cs="Calibri"/>
                <w:color w:val="000000" w:themeColor="text1"/>
                <w:sz w:val="20"/>
                <w:szCs w:val="20"/>
                <w:lang w:eastAsia="en-AU"/>
              </w:rPr>
            </w:pPr>
            <w:r w:rsidRPr="00BC65FB">
              <w:rPr>
                <w:rFonts w:ascii="Calibri" w:eastAsia="Times New Roman" w:hAnsi="Calibri" w:cs="Calibri"/>
                <w:color w:val="000000" w:themeColor="text1"/>
                <w:sz w:val="20"/>
                <w:szCs w:val="20"/>
                <w:lang w:eastAsia="en-AU"/>
              </w:rPr>
              <w:t>81%</w:t>
            </w:r>
          </w:p>
        </w:tc>
      </w:tr>
      <w:tr w:rsidR="00E37847" w:rsidRPr="00BC65FB" w14:paraId="20B1CC37" w14:textId="77777777" w:rsidTr="00A0159B">
        <w:trPr>
          <w:trHeight w:val="290"/>
          <w:jc w:val="center"/>
        </w:trPr>
        <w:tc>
          <w:tcPr>
            <w:tcW w:w="3540" w:type="dxa"/>
            <w:shd w:val="clear" w:color="auto" w:fill="auto"/>
            <w:noWrap/>
            <w:vAlign w:val="bottom"/>
            <w:hideMark/>
          </w:tcPr>
          <w:p w14:paraId="24B1183C" w14:textId="77777777" w:rsidR="00E37847" w:rsidRPr="00BC65FB" w:rsidRDefault="00E37847" w:rsidP="00A0159B">
            <w:pPr>
              <w:spacing w:before="100" w:beforeAutospacing="1" w:after="100" w:afterAutospacing="1" w:line="276" w:lineRule="auto"/>
              <w:rPr>
                <w:rFonts w:ascii="Calibri" w:eastAsia="Times New Roman" w:hAnsi="Calibri" w:cs="Calibri"/>
                <w:color w:val="000000" w:themeColor="text1"/>
                <w:sz w:val="20"/>
                <w:szCs w:val="20"/>
                <w:lang w:eastAsia="en-AU"/>
              </w:rPr>
            </w:pPr>
            <w:r w:rsidRPr="00BC65FB">
              <w:rPr>
                <w:rFonts w:ascii="Calibri" w:eastAsia="Times New Roman" w:hAnsi="Calibri" w:cs="Calibri"/>
                <w:color w:val="000000" w:themeColor="text1"/>
                <w:sz w:val="20"/>
                <w:szCs w:val="20"/>
                <w:lang w:eastAsia="en-AU"/>
              </w:rPr>
              <w:t>Adviser Support Costs</w:t>
            </w:r>
          </w:p>
        </w:tc>
        <w:tc>
          <w:tcPr>
            <w:tcW w:w="960" w:type="dxa"/>
            <w:shd w:val="clear" w:color="auto" w:fill="auto"/>
            <w:noWrap/>
            <w:vAlign w:val="bottom"/>
            <w:hideMark/>
          </w:tcPr>
          <w:p w14:paraId="38FB6DD8" w14:textId="77777777" w:rsidR="00E37847" w:rsidRPr="00BC65FB" w:rsidRDefault="00E37847" w:rsidP="00A0159B">
            <w:pPr>
              <w:spacing w:before="100" w:beforeAutospacing="1" w:after="100" w:afterAutospacing="1" w:line="276" w:lineRule="auto"/>
              <w:jc w:val="center"/>
              <w:rPr>
                <w:rFonts w:ascii="Calibri" w:eastAsia="Times New Roman" w:hAnsi="Calibri" w:cs="Calibri"/>
                <w:color w:val="000000" w:themeColor="text1"/>
                <w:sz w:val="20"/>
                <w:szCs w:val="20"/>
                <w:lang w:eastAsia="en-AU"/>
              </w:rPr>
            </w:pPr>
            <w:r w:rsidRPr="00BC65FB">
              <w:rPr>
                <w:rFonts w:ascii="Calibri" w:eastAsia="Times New Roman" w:hAnsi="Calibri" w:cs="Calibri"/>
                <w:color w:val="000000" w:themeColor="text1"/>
                <w:sz w:val="20"/>
                <w:szCs w:val="20"/>
                <w:lang w:eastAsia="en-AU"/>
              </w:rPr>
              <w:t>57%</w:t>
            </w:r>
          </w:p>
        </w:tc>
      </w:tr>
      <w:tr w:rsidR="00E37847" w:rsidRPr="00BC65FB" w14:paraId="3D03BC5B" w14:textId="77777777" w:rsidTr="00A0159B">
        <w:trPr>
          <w:trHeight w:val="290"/>
          <w:jc w:val="center"/>
        </w:trPr>
        <w:tc>
          <w:tcPr>
            <w:tcW w:w="3540" w:type="dxa"/>
            <w:shd w:val="clear" w:color="auto" w:fill="auto"/>
            <w:noWrap/>
            <w:vAlign w:val="bottom"/>
            <w:hideMark/>
          </w:tcPr>
          <w:p w14:paraId="5FF41E2A" w14:textId="77777777" w:rsidR="00E37847" w:rsidRPr="00BC65FB" w:rsidRDefault="00E37847" w:rsidP="00A0159B">
            <w:pPr>
              <w:spacing w:before="100" w:beforeAutospacing="1" w:after="100" w:afterAutospacing="1" w:line="276" w:lineRule="auto"/>
              <w:rPr>
                <w:rFonts w:ascii="Calibri" w:eastAsia="Times New Roman" w:hAnsi="Calibri" w:cs="Calibri"/>
                <w:color w:val="000000" w:themeColor="text1"/>
                <w:sz w:val="20"/>
                <w:szCs w:val="20"/>
                <w:lang w:eastAsia="en-AU"/>
              </w:rPr>
            </w:pPr>
            <w:r w:rsidRPr="00BC65FB">
              <w:rPr>
                <w:rFonts w:ascii="Calibri" w:eastAsia="Times New Roman" w:hAnsi="Calibri" w:cs="Calibri"/>
                <w:color w:val="000000" w:themeColor="text1"/>
                <w:sz w:val="20"/>
                <w:szCs w:val="20"/>
                <w:lang w:eastAsia="en-AU"/>
              </w:rPr>
              <w:t>Operational Costs</w:t>
            </w:r>
          </w:p>
        </w:tc>
        <w:tc>
          <w:tcPr>
            <w:tcW w:w="960" w:type="dxa"/>
            <w:shd w:val="clear" w:color="auto" w:fill="auto"/>
            <w:noWrap/>
            <w:vAlign w:val="bottom"/>
            <w:hideMark/>
          </w:tcPr>
          <w:p w14:paraId="33361656" w14:textId="77777777" w:rsidR="00E37847" w:rsidRPr="00BC65FB" w:rsidRDefault="00E37847" w:rsidP="00A0159B">
            <w:pPr>
              <w:spacing w:before="100" w:beforeAutospacing="1" w:after="100" w:afterAutospacing="1" w:line="276" w:lineRule="auto"/>
              <w:jc w:val="center"/>
              <w:rPr>
                <w:rFonts w:ascii="Calibri" w:eastAsia="Times New Roman" w:hAnsi="Calibri" w:cs="Calibri"/>
                <w:color w:val="000000" w:themeColor="text1"/>
                <w:sz w:val="20"/>
                <w:szCs w:val="20"/>
                <w:lang w:eastAsia="en-AU"/>
              </w:rPr>
            </w:pPr>
            <w:r w:rsidRPr="00BC65FB">
              <w:rPr>
                <w:rFonts w:ascii="Calibri" w:eastAsia="Times New Roman" w:hAnsi="Calibri" w:cs="Calibri"/>
                <w:color w:val="000000" w:themeColor="text1"/>
                <w:sz w:val="20"/>
                <w:szCs w:val="20"/>
                <w:lang w:eastAsia="en-AU"/>
              </w:rPr>
              <w:t>58%</w:t>
            </w:r>
          </w:p>
        </w:tc>
      </w:tr>
      <w:tr w:rsidR="00E37847" w:rsidRPr="00BC65FB" w14:paraId="57C89E75" w14:textId="77777777" w:rsidTr="00A0159B">
        <w:trPr>
          <w:trHeight w:val="300"/>
          <w:jc w:val="center"/>
        </w:trPr>
        <w:tc>
          <w:tcPr>
            <w:tcW w:w="3540" w:type="dxa"/>
            <w:shd w:val="clear" w:color="auto" w:fill="auto"/>
            <w:noWrap/>
            <w:vAlign w:val="bottom"/>
            <w:hideMark/>
          </w:tcPr>
          <w:p w14:paraId="535DC41A" w14:textId="77777777" w:rsidR="00E37847" w:rsidRPr="00BC65FB" w:rsidRDefault="00E37847" w:rsidP="00A0159B">
            <w:pPr>
              <w:spacing w:before="100" w:beforeAutospacing="1" w:after="100" w:afterAutospacing="1" w:line="276" w:lineRule="auto"/>
              <w:rPr>
                <w:rFonts w:ascii="Calibri" w:eastAsia="Times New Roman" w:hAnsi="Calibri" w:cs="Calibri"/>
                <w:color w:val="000000" w:themeColor="text1"/>
                <w:sz w:val="20"/>
                <w:szCs w:val="20"/>
                <w:lang w:eastAsia="en-AU"/>
              </w:rPr>
            </w:pPr>
            <w:r w:rsidRPr="00BC65FB">
              <w:rPr>
                <w:rFonts w:ascii="Calibri" w:eastAsia="Times New Roman" w:hAnsi="Calibri" w:cs="Calibri"/>
                <w:color w:val="000000" w:themeColor="text1"/>
                <w:sz w:val="20"/>
                <w:szCs w:val="20"/>
                <w:lang w:eastAsia="en-AU"/>
              </w:rPr>
              <w:t>Program Activity Costs</w:t>
            </w:r>
          </w:p>
        </w:tc>
        <w:tc>
          <w:tcPr>
            <w:tcW w:w="960" w:type="dxa"/>
            <w:shd w:val="clear" w:color="auto" w:fill="auto"/>
            <w:noWrap/>
            <w:vAlign w:val="bottom"/>
            <w:hideMark/>
          </w:tcPr>
          <w:p w14:paraId="4F38F981" w14:textId="77777777" w:rsidR="00E37847" w:rsidRPr="00BC65FB" w:rsidRDefault="00E37847" w:rsidP="00A0159B">
            <w:pPr>
              <w:spacing w:before="100" w:beforeAutospacing="1" w:after="100" w:afterAutospacing="1" w:line="276" w:lineRule="auto"/>
              <w:jc w:val="center"/>
              <w:rPr>
                <w:rFonts w:ascii="Calibri" w:eastAsia="Times New Roman" w:hAnsi="Calibri" w:cs="Calibri"/>
                <w:color w:val="000000" w:themeColor="text1"/>
                <w:sz w:val="20"/>
                <w:szCs w:val="20"/>
                <w:lang w:eastAsia="en-AU"/>
              </w:rPr>
            </w:pPr>
            <w:r w:rsidRPr="00BC65FB">
              <w:rPr>
                <w:rFonts w:ascii="Calibri" w:eastAsia="Times New Roman" w:hAnsi="Calibri" w:cs="Calibri"/>
                <w:color w:val="000000" w:themeColor="text1"/>
                <w:sz w:val="20"/>
                <w:szCs w:val="20"/>
                <w:lang w:eastAsia="en-AU"/>
              </w:rPr>
              <w:t>42%</w:t>
            </w:r>
          </w:p>
        </w:tc>
      </w:tr>
    </w:tbl>
    <w:p w14:paraId="4673CB1D" w14:textId="77777777" w:rsidR="00E37847" w:rsidRPr="0006202B" w:rsidRDefault="00E37847" w:rsidP="00E37847"/>
    <w:tbl>
      <w:tblPr>
        <w:tblStyle w:val="TableGrid"/>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shd w:val="clear" w:color="auto" w:fill="F3F5F7"/>
        <w:tblLook w:val="04A0" w:firstRow="1" w:lastRow="0" w:firstColumn="1" w:lastColumn="0" w:noHBand="0" w:noVBand="1"/>
      </w:tblPr>
      <w:tblGrid>
        <w:gridCol w:w="9016"/>
      </w:tblGrid>
      <w:tr w:rsidR="00E37847" w:rsidRPr="0006202B" w14:paraId="65847CD2" w14:textId="77777777" w:rsidTr="00A0159B">
        <w:tc>
          <w:tcPr>
            <w:tcW w:w="9016" w:type="dxa"/>
            <w:shd w:val="clear" w:color="auto" w:fill="F3F5F7"/>
          </w:tcPr>
          <w:p w14:paraId="634404DB" w14:textId="77777777" w:rsidR="00E37847" w:rsidRPr="0006202B" w:rsidRDefault="00E37847" w:rsidP="00A0159B">
            <w:pPr>
              <w:ind w:right="96"/>
              <w:contextualSpacing/>
              <w:rPr>
                <w:b/>
                <w:bCs/>
              </w:rPr>
            </w:pPr>
            <w:bookmarkStart w:id="45" w:name="_Hlk21698970"/>
            <w:r w:rsidRPr="0006202B">
              <w:rPr>
                <w:b/>
                <w:bCs/>
              </w:rPr>
              <w:t xml:space="preserve">Recommendation </w:t>
            </w:r>
            <w:r w:rsidR="00C75BD1">
              <w:rPr>
                <w:b/>
                <w:bCs/>
              </w:rPr>
              <w:t>7</w:t>
            </w:r>
          </w:p>
          <w:p w14:paraId="437B1FEC" w14:textId="77777777" w:rsidR="00E37847" w:rsidRPr="00362065" w:rsidRDefault="00E37847" w:rsidP="004C4BF1">
            <w:pPr>
              <w:shd w:val="clear" w:color="auto" w:fill="F3F5F7"/>
              <w:tabs>
                <w:tab w:val="left" w:pos="5954"/>
              </w:tabs>
              <w:spacing w:after="100"/>
              <w:jc w:val="both"/>
              <w:rPr>
                <w:lang w:val="en-GB"/>
              </w:rPr>
            </w:pPr>
            <w:r w:rsidRPr="0006202B">
              <w:rPr>
                <w:lang w:val="en-GB"/>
              </w:rPr>
              <w:t xml:space="preserve">A “reset” process for further adapting and updating the program management and implementation arrangements should be conducted in 2020 to prepare for implementation of the next </w:t>
            </w:r>
            <w:r w:rsidR="004C4BF1">
              <w:rPr>
                <w:lang w:val="en-GB"/>
              </w:rPr>
              <w:t>p</w:t>
            </w:r>
            <w:r w:rsidRPr="0006202B">
              <w:rPr>
                <w:lang w:val="en-GB"/>
              </w:rPr>
              <w:t>hase from 2021-2024. This is an opportunity to capture the ongoing adaptation and refinement that has occurred to date.</w:t>
            </w:r>
            <w:bookmarkEnd w:id="45"/>
          </w:p>
        </w:tc>
      </w:tr>
    </w:tbl>
    <w:p w14:paraId="26B56732" w14:textId="77777777" w:rsidR="009B53A7" w:rsidRDefault="009B53A7" w:rsidP="00F82815">
      <w:pPr>
        <w:spacing w:after="0"/>
        <w:jc w:val="both"/>
        <w:rPr>
          <w:rFonts w:ascii="Calibri" w:eastAsia="Calibri" w:hAnsi="Calibri" w:cs="Times New Roman"/>
          <w:b/>
        </w:rPr>
      </w:pPr>
      <w:bookmarkStart w:id="46" w:name="_Hlk20070803"/>
    </w:p>
    <w:p w14:paraId="1844BA04" w14:textId="77777777" w:rsidR="001777AE" w:rsidRDefault="001377D9" w:rsidP="001777AE">
      <w:pPr>
        <w:spacing w:line="240" w:lineRule="auto"/>
        <w:jc w:val="both"/>
      </w:pPr>
      <w:r w:rsidRPr="00BF08DA">
        <w:t xml:space="preserve">The existing EOPOs </w:t>
      </w:r>
      <w:r w:rsidR="00362065">
        <w:t>c</w:t>
      </w:r>
      <w:r w:rsidRPr="00BF08DA">
        <w:t>ould remain as the key focal vision for the Program to ensure efforts to bring about system changes that result in benefits for women and vulnerable people.</w:t>
      </w:r>
      <w:r w:rsidR="00362065">
        <w:t xml:space="preserve">  </w:t>
      </w:r>
      <w:r w:rsidRPr="0006202B">
        <w:t xml:space="preserve">An additional statement could be included in the program logic and M&amp;E of </w:t>
      </w:r>
      <w:r w:rsidR="004C4BF1">
        <w:t>“</w:t>
      </w:r>
      <w:r w:rsidR="00816000">
        <w:t xml:space="preserve">Help the </w:t>
      </w:r>
      <w:proofErr w:type="spellStart"/>
      <w:r w:rsidR="00816000">
        <w:t>GoV</w:t>
      </w:r>
      <w:proofErr w:type="spellEnd"/>
      <w:r w:rsidR="00816000">
        <w:t xml:space="preserve"> to build and maintain the </w:t>
      </w:r>
      <w:r w:rsidRPr="0006202B">
        <w:t>confidence of the public in safety and security”</w:t>
      </w:r>
      <w:r w:rsidR="00362065">
        <w:t>.  Monitoring and evaluation arrangements c</w:t>
      </w:r>
      <w:r w:rsidRPr="0006202B">
        <w:t>ould maintain the methods of the latest six-monthly report to capture steps taken, lessons learnt and progress towards EOPOs.</w:t>
      </w:r>
      <w:r w:rsidR="00362065">
        <w:t xml:space="preserve">  </w:t>
      </w:r>
      <w:r w:rsidRPr="0006202B">
        <w:t xml:space="preserve">Longitudinal studies on EOPOs </w:t>
      </w:r>
      <w:r w:rsidR="00362065">
        <w:t>c</w:t>
      </w:r>
      <w:r w:rsidRPr="0006202B">
        <w:t>ould be commissioned as separate pieces of research.</w:t>
      </w:r>
      <w:r>
        <w:t xml:space="preserve"> </w:t>
      </w:r>
      <w:r w:rsidRPr="0006202B">
        <w:t xml:space="preserve">This could be done across the whole of the </w:t>
      </w:r>
      <w:r>
        <w:t xml:space="preserve">Aid Investment Plan (AIP) </w:t>
      </w:r>
      <w:r w:rsidRPr="0006202B">
        <w:t xml:space="preserve">outcomes rather than program by program and in a manner that works with </w:t>
      </w:r>
      <w:proofErr w:type="spellStart"/>
      <w:r w:rsidRPr="0006202B">
        <w:t>GoV</w:t>
      </w:r>
      <w:proofErr w:type="spellEnd"/>
      <w:r w:rsidRPr="0006202B">
        <w:t xml:space="preserve"> systems. </w:t>
      </w:r>
      <w:r w:rsidR="00362065">
        <w:t xml:space="preserve"> </w:t>
      </w:r>
      <w:r w:rsidRPr="0006202B">
        <w:t xml:space="preserve">Budgeting, financial reporting, components (and Outputs instead of IOs) </w:t>
      </w:r>
      <w:r w:rsidR="00362065">
        <w:t>c</w:t>
      </w:r>
      <w:r w:rsidRPr="0006202B">
        <w:t>ould be aligned to management accountabilities.</w:t>
      </w:r>
      <w:r w:rsidR="00362065">
        <w:t xml:space="preserve"> </w:t>
      </w:r>
      <w:r w:rsidRPr="0006202B">
        <w:t xml:space="preserve">More transparent and joint decision-making processes for funding allocation for project activities </w:t>
      </w:r>
      <w:r w:rsidR="00362065">
        <w:t>c</w:t>
      </w:r>
      <w:r w:rsidRPr="0006202B">
        <w:t>ould be introduced as a pathway to working in partner systems.</w:t>
      </w:r>
      <w:r w:rsidR="00362065">
        <w:t xml:space="preserve"> </w:t>
      </w:r>
      <w:r w:rsidRPr="0006202B">
        <w:t>Clear partnership approaches</w:t>
      </w:r>
      <w:r w:rsidR="00671AE2">
        <w:t>, management structures</w:t>
      </w:r>
      <w:r w:rsidRPr="0006202B">
        <w:t xml:space="preserve"> and communication protocols between </w:t>
      </w:r>
      <w:r>
        <w:t xml:space="preserve">the </w:t>
      </w:r>
      <w:r w:rsidRPr="0006202B">
        <w:t xml:space="preserve">Contractor, AFP, DFAT Post and other parties </w:t>
      </w:r>
      <w:r w:rsidR="00362065">
        <w:t>c</w:t>
      </w:r>
      <w:r w:rsidRPr="0006202B">
        <w:t>ould be negotiated as part of the ‘reset’ for the next phase.</w:t>
      </w:r>
      <w:bookmarkEnd w:id="46"/>
    </w:p>
    <w:p w14:paraId="1FA0DE8E" w14:textId="77777777" w:rsidR="00E61B78" w:rsidRDefault="00E61B78" w:rsidP="001777AE">
      <w:pPr>
        <w:spacing w:line="240" w:lineRule="auto"/>
        <w:jc w:val="both"/>
      </w:pPr>
    </w:p>
    <w:p w14:paraId="7986C2C7" w14:textId="77777777" w:rsidR="00D76A5A" w:rsidRDefault="00D76A5A" w:rsidP="001777AE">
      <w:pPr>
        <w:spacing w:line="240" w:lineRule="auto"/>
        <w:jc w:val="both"/>
      </w:pPr>
      <w:r w:rsidRPr="00DA6415">
        <w:rPr>
          <w:rFonts w:ascii="Calibri" w:eastAsia="MS Gothic" w:hAnsi="Calibri" w:cs="Times New Roman"/>
          <w:b/>
          <w:bCs/>
          <w:color w:val="44546A" w:themeColor="text2"/>
          <w:sz w:val="40"/>
          <w:szCs w:val="40"/>
        </w:rPr>
        <w:t>Section 4: Conclusion</w:t>
      </w:r>
    </w:p>
    <w:p w14:paraId="41EB3A4A" w14:textId="77777777" w:rsidR="00AA1C86" w:rsidRDefault="00767C69" w:rsidP="001777AE">
      <w:pPr>
        <w:spacing w:line="240" w:lineRule="auto"/>
        <w:jc w:val="both"/>
      </w:pPr>
      <w:bookmarkStart w:id="47" w:name="_Hlk19788671"/>
      <w:bookmarkEnd w:id="29"/>
      <w:r>
        <w:t xml:space="preserve">This </w:t>
      </w:r>
      <w:r w:rsidR="006F1E98">
        <w:t xml:space="preserve">evaluation report highlights the key findings of a multi-method methodology for data collection and analysis of a complex and varied </w:t>
      </w:r>
      <w:r w:rsidR="006F1E98" w:rsidRPr="00AA1C86">
        <w:rPr>
          <w:rFonts w:ascii="Calibri" w:eastAsia="Calibri" w:hAnsi="Calibri" w:cs="Times New Roman"/>
        </w:rPr>
        <w:t>program</w:t>
      </w:r>
      <w:r w:rsidR="006F1E98">
        <w:t>.</w:t>
      </w:r>
      <w:r w:rsidR="00B1646A">
        <w:t xml:space="preserve"> </w:t>
      </w:r>
      <w:r w:rsidR="006F1E98">
        <w:t>The judgements formed by the team were generated through consideration of the data, immersion in the context, and application of comparative experience in other contexts.</w:t>
      </w:r>
      <w:r w:rsidR="00B1646A">
        <w:t xml:space="preserve"> </w:t>
      </w:r>
      <w:r w:rsidR="006F1E98">
        <w:t>Through a process of verification and revision through feedback from stakeholders, the evidence and discussion was strengthened.</w:t>
      </w:r>
      <w:r w:rsidR="00B1646A">
        <w:t xml:space="preserve"> </w:t>
      </w:r>
      <w:r w:rsidR="006F1E98">
        <w:t xml:space="preserve">The overall impression intended is that this </w:t>
      </w:r>
      <w:r w:rsidR="00A0711C">
        <w:t xml:space="preserve">is </w:t>
      </w:r>
      <w:r w:rsidR="006F1E98">
        <w:t>one of the most well</w:t>
      </w:r>
      <w:r w:rsidR="00AA1C86">
        <w:t>-</w:t>
      </w:r>
      <w:r w:rsidR="006F1E98">
        <w:t>performing development programs that the individuals on the evaluation team have seen</w:t>
      </w:r>
      <w:r w:rsidR="00AA1C86">
        <w:t>.</w:t>
      </w:r>
      <w:r w:rsidR="00B1646A">
        <w:t xml:space="preserve"> </w:t>
      </w:r>
      <w:r w:rsidR="00AA1C86">
        <w:t xml:space="preserve">This is particularly significant given the complexity of the sector and agencies involved, the constraints in the operating environment, and the inevitable challenges and tensions that were evident in implementation when working with multiple implementing partners with different underlying mandates and incentives. </w:t>
      </w:r>
      <w:r w:rsidR="006F1E98">
        <w:t xml:space="preserve">While the findings and recommendations appear to be far-reaching, the evaluation team acknowledges and expects that stakeholders will receive and respond to suggestions in the context of what is practical, timely and possible in </w:t>
      </w:r>
      <w:r w:rsidR="0048180E">
        <w:t xml:space="preserve">the </w:t>
      </w:r>
      <w:r w:rsidR="00AA1C86">
        <w:t xml:space="preserve">context of the day. They are intended to stimulate thought and consideration for how the </w:t>
      </w:r>
      <w:r w:rsidR="008A388F">
        <w:t>P</w:t>
      </w:r>
      <w:r w:rsidR="00AA1C86">
        <w:t>rogram may be improved even further in the short and medium term.</w:t>
      </w:r>
    </w:p>
    <w:p w14:paraId="7827F53B" w14:textId="77777777" w:rsidR="006F1E98" w:rsidRDefault="006F1E98" w:rsidP="00DB74A4">
      <w:pPr>
        <w:sectPr w:rsidR="006F1E98">
          <w:pgSz w:w="11906" w:h="16838"/>
          <w:pgMar w:top="1440" w:right="1440" w:bottom="1440" w:left="1440" w:header="708" w:footer="708" w:gutter="0"/>
          <w:cols w:space="708"/>
          <w:docGrid w:linePitch="360"/>
        </w:sectPr>
      </w:pPr>
    </w:p>
    <w:p w14:paraId="2FF7DC29" w14:textId="77777777" w:rsidR="00893528" w:rsidRDefault="00DA6415" w:rsidP="00DA6415">
      <w:pPr>
        <w:pBdr>
          <w:bottom w:val="single" w:sz="4" w:space="10" w:color="44546A" w:themeColor="text2"/>
        </w:pBdr>
        <w:spacing w:before="400" w:after="280" w:line="240" w:lineRule="auto"/>
        <w:outlineLvl w:val="1"/>
        <w:rPr>
          <w:rFonts w:ascii="Calibri" w:eastAsia="MS Gothic" w:hAnsi="Calibri" w:cs="Times New Roman"/>
          <w:b/>
          <w:bCs/>
          <w:color w:val="44546A" w:themeColor="text2"/>
          <w:sz w:val="40"/>
          <w:szCs w:val="40"/>
        </w:rPr>
      </w:pPr>
      <w:bookmarkStart w:id="48" w:name="_Toc25591526"/>
      <w:r w:rsidRPr="00DA6415">
        <w:rPr>
          <w:rFonts w:ascii="Calibri" w:eastAsia="MS Gothic" w:hAnsi="Calibri" w:cs="Times New Roman"/>
          <w:b/>
          <w:bCs/>
          <w:color w:val="44546A" w:themeColor="text2"/>
          <w:sz w:val="40"/>
          <w:szCs w:val="40"/>
        </w:rPr>
        <w:t xml:space="preserve">Section </w:t>
      </w:r>
      <w:r w:rsidR="00D76A5A">
        <w:rPr>
          <w:rFonts w:ascii="Calibri" w:eastAsia="MS Gothic" w:hAnsi="Calibri" w:cs="Times New Roman"/>
          <w:b/>
          <w:bCs/>
          <w:color w:val="44546A" w:themeColor="text2"/>
          <w:sz w:val="40"/>
          <w:szCs w:val="40"/>
        </w:rPr>
        <w:t>5</w:t>
      </w:r>
      <w:r w:rsidRPr="00DA6415">
        <w:rPr>
          <w:rFonts w:ascii="Calibri" w:eastAsia="MS Gothic" w:hAnsi="Calibri" w:cs="Times New Roman"/>
          <w:b/>
          <w:bCs/>
          <w:color w:val="44546A" w:themeColor="text2"/>
          <w:sz w:val="40"/>
          <w:szCs w:val="40"/>
        </w:rPr>
        <w:t xml:space="preserve">: </w:t>
      </w:r>
      <w:r w:rsidR="00D76A5A">
        <w:rPr>
          <w:rFonts w:ascii="Calibri" w:eastAsia="MS Gothic" w:hAnsi="Calibri" w:cs="Times New Roman"/>
          <w:b/>
          <w:bCs/>
          <w:color w:val="44546A" w:themeColor="text2"/>
          <w:sz w:val="40"/>
          <w:szCs w:val="40"/>
        </w:rPr>
        <w:t>Annexes</w:t>
      </w:r>
      <w:bookmarkEnd w:id="47"/>
      <w:bookmarkEnd w:id="48"/>
    </w:p>
    <w:p w14:paraId="52C5D0F5" w14:textId="77777777" w:rsidR="00E61D3C" w:rsidRPr="00110CF5" w:rsidRDefault="000D5983" w:rsidP="004E7C9F">
      <w:pPr>
        <w:numPr>
          <w:ilvl w:val="1"/>
          <w:numId w:val="8"/>
        </w:numPr>
        <w:spacing w:before="200" w:line="240" w:lineRule="auto"/>
        <w:outlineLvl w:val="1"/>
        <w:rPr>
          <w:rFonts w:eastAsia="Calibri" w:cstheme="minorHAnsi"/>
          <w:b/>
          <w:noProof/>
          <w:color w:val="44546A" w:themeColor="text2"/>
          <w:sz w:val="30"/>
          <w:szCs w:val="30"/>
          <w:lang w:eastAsia="en-AU"/>
        </w:rPr>
      </w:pPr>
      <w:bookmarkStart w:id="49" w:name="_Toc25591527"/>
      <w:r>
        <w:rPr>
          <w:rFonts w:eastAsia="Calibri" w:cstheme="minorHAnsi"/>
          <w:b/>
          <w:noProof/>
          <w:color w:val="44546A" w:themeColor="text2"/>
          <w:sz w:val="30"/>
          <w:szCs w:val="30"/>
          <w:lang w:eastAsia="en-AU"/>
        </w:rPr>
        <w:t>Detailed</w:t>
      </w:r>
      <w:r w:rsidR="00110CF5">
        <w:rPr>
          <w:rFonts w:eastAsia="Calibri" w:cstheme="minorHAnsi"/>
          <w:b/>
          <w:noProof/>
          <w:color w:val="44546A" w:themeColor="text2"/>
          <w:sz w:val="30"/>
          <w:szCs w:val="30"/>
          <w:lang w:eastAsia="en-AU"/>
        </w:rPr>
        <w:t xml:space="preserve"> assessment table</w:t>
      </w:r>
      <w:bookmarkEnd w:id="49"/>
    </w:p>
    <w:tbl>
      <w:tblPr>
        <w:tblStyle w:val="TableGrid"/>
        <w:tblW w:w="15026" w:type="dxa"/>
        <w:tblInd w:w="-289" w:type="dxa"/>
        <w:tblLayout w:type="fixed"/>
        <w:tblLook w:val="04A0" w:firstRow="1" w:lastRow="0" w:firstColumn="1" w:lastColumn="0" w:noHBand="0" w:noVBand="1"/>
      </w:tblPr>
      <w:tblGrid>
        <w:gridCol w:w="1418"/>
        <w:gridCol w:w="6379"/>
        <w:gridCol w:w="3686"/>
        <w:gridCol w:w="3543"/>
      </w:tblGrid>
      <w:tr w:rsidR="00B21E17" w14:paraId="55566D4F" w14:textId="77777777" w:rsidTr="00EC431E">
        <w:trPr>
          <w:tblHeader/>
        </w:trPr>
        <w:tc>
          <w:tcPr>
            <w:tcW w:w="1418" w:type="dxa"/>
            <w:shd w:val="clear" w:color="auto" w:fill="44546A" w:themeFill="text2"/>
          </w:tcPr>
          <w:p w14:paraId="09EE2C76" w14:textId="77777777" w:rsidR="00B21E17" w:rsidRPr="007255E3" w:rsidRDefault="00B21E17" w:rsidP="00EC431E">
            <w:pPr>
              <w:rPr>
                <w:b/>
                <w:color w:val="FFFFFF" w:themeColor="background1"/>
              </w:rPr>
            </w:pPr>
            <w:r w:rsidRPr="007255E3">
              <w:rPr>
                <w:b/>
                <w:color w:val="FFFFFF" w:themeColor="background1"/>
              </w:rPr>
              <w:t>Area</w:t>
            </w:r>
          </w:p>
        </w:tc>
        <w:tc>
          <w:tcPr>
            <w:tcW w:w="6379" w:type="dxa"/>
            <w:shd w:val="clear" w:color="auto" w:fill="44546A" w:themeFill="text2"/>
          </w:tcPr>
          <w:p w14:paraId="112C5C19" w14:textId="77777777" w:rsidR="00B21E17" w:rsidRPr="007255E3" w:rsidRDefault="00B21E17" w:rsidP="00EC431E">
            <w:pPr>
              <w:rPr>
                <w:b/>
                <w:color w:val="FFFFFF" w:themeColor="background1"/>
              </w:rPr>
            </w:pPr>
            <w:r w:rsidRPr="007255E3">
              <w:rPr>
                <w:b/>
                <w:color w:val="FFFFFF" w:themeColor="background1"/>
              </w:rPr>
              <w:t>Analysis</w:t>
            </w:r>
          </w:p>
        </w:tc>
        <w:tc>
          <w:tcPr>
            <w:tcW w:w="3686" w:type="dxa"/>
            <w:shd w:val="clear" w:color="auto" w:fill="44546A" w:themeFill="text2"/>
          </w:tcPr>
          <w:p w14:paraId="6DD5EB85" w14:textId="77777777" w:rsidR="00B21E17" w:rsidRPr="007255E3" w:rsidRDefault="00B21E17" w:rsidP="00EC431E">
            <w:pPr>
              <w:rPr>
                <w:b/>
                <w:color w:val="FFFFFF" w:themeColor="background1"/>
              </w:rPr>
            </w:pPr>
            <w:r w:rsidRPr="007255E3">
              <w:rPr>
                <w:b/>
                <w:color w:val="FFFFFF" w:themeColor="background1"/>
              </w:rPr>
              <w:t>Capacity building</w:t>
            </w:r>
          </w:p>
        </w:tc>
        <w:tc>
          <w:tcPr>
            <w:tcW w:w="3543" w:type="dxa"/>
            <w:shd w:val="clear" w:color="auto" w:fill="44546A" w:themeFill="text2"/>
          </w:tcPr>
          <w:p w14:paraId="42B92F3F" w14:textId="77777777" w:rsidR="00B21E17" w:rsidRPr="007255E3" w:rsidRDefault="00B21E17" w:rsidP="00EC431E">
            <w:pPr>
              <w:rPr>
                <w:b/>
                <w:color w:val="FFFFFF" w:themeColor="background1"/>
              </w:rPr>
            </w:pPr>
            <w:r w:rsidRPr="007255E3">
              <w:rPr>
                <w:b/>
                <w:color w:val="FFFFFF" w:themeColor="background1"/>
              </w:rPr>
              <w:t>Gender</w:t>
            </w:r>
            <w:r>
              <w:rPr>
                <w:b/>
                <w:color w:val="FFFFFF" w:themeColor="background1"/>
              </w:rPr>
              <w:t xml:space="preserve"> inclusion</w:t>
            </w:r>
          </w:p>
        </w:tc>
      </w:tr>
      <w:tr w:rsidR="00B21E17" w14:paraId="3F9FCB87" w14:textId="77777777" w:rsidTr="00EC431E">
        <w:trPr>
          <w:trHeight w:val="416"/>
        </w:trPr>
        <w:tc>
          <w:tcPr>
            <w:tcW w:w="1418" w:type="dxa"/>
            <w:shd w:val="clear" w:color="auto" w:fill="auto"/>
          </w:tcPr>
          <w:p w14:paraId="6FAC5F57" w14:textId="77777777" w:rsidR="00B21E17" w:rsidRPr="00706CFE" w:rsidRDefault="00B21E17" w:rsidP="004E7C9F">
            <w:pPr>
              <w:pStyle w:val="ListParagraph"/>
              <w:numPr>
                <w:ilvl w:val="0"/>
                <w:numId w:val="35"/>
              </w:numPr>
              <w:ind w:left="174" w:hanging="174"/>
              <w:rPr>
                <w:b/>
                <w:bCs/>
                <w:sz w:val="20"/>
                <w:szCs w:val="20"/>
              </w:rPr>
            </w:pPr>
            <w:r>
              <w:rPr>
                <w:b/>
                <w:bCs/>
                <w:sz w:val="20"/>
                <w:szCs w:val="20"/>
              </w:rPr>
              <w:t>VPF-</w:t>
            </w:r>
            <w:r w:rsidRPr="00706CFE">
              <w:rPr>
                <w:b/>
                <w:bCs/>
                <w:sz w:val="20"/>
                <w:szCs w:val="20"/>
              </w:rPr>
              <w:t>CID</w:t>
            </w:r>
          </w:p>
        </w:tc>
        <w:tc>
          <w:tcPr>
            <w:tcW w:w="6379" w:type="dxa"/>
            <w:shd w:val="clear" w:color="auto" w:fill="auto"/>
          </w:tcPr>
          <w:p w14:paraId="42D27F2C" w14:textId="77777777" w:rsidR="00B21E17" w:rsidRDefault="00B21E17" w:rsidP="004E7C9F">
            <w:pPr>
              <w:pStyle w:val="ListParagraph"/>
              <w:numPr>
                <w:ilvl w:val="0"/>
                <w:numId w:val="34"/>
              </w:numPr>
              <w:spacing w:after="40"/>
              <w:ind w:left="357" w:hanging="357"/>
              <w:contextualSpacing w:val="0"/>
              <w:rPr>
                <w:b/>
                <w:bCs/>
                <w:sz w:val="20"/>
                <w:szCs w:val="20"/>
              </w:rPr>
            </w:pPr>
            <w:r w:rsidRPr="00007A1C">
              <w:rPr>
                <w:b/>
                <w:bCs/>
                <w:sz w:val="20"/>
                <w:szCs w:val="20"/>
              </w:rPr>
              <w:t xml:space="preserve">Systemic analysis and reflection: </w:t>
            </w:r>
            <w:r w:rsidRPr="00007A1C">
              <w:rPr>
                <w:bCs/>
                <w:sz w:val="20"/>
                <w:szCs w:val="20"/>
              </w:rPr>
              <w:t>TA has instituted systematic participatory gap and problem identification</w:t>
            </w:r>
            <w:r w:rsidRPr="00007A1C">
              <w:rPr>
                <w:b/>
                <w:bCs/>
                <w:sz w:val="20"/>
                <w:szCs w:val="20"/>
              </w:rPr>
              <w:t xml:space="preserve"> </w:t>
            </w:r>
            <w:r w:rsidRPr="002013BB">
              <w:rPr>
                <w:bCs/>
                <w:sz w:val="20"/>
                <w:szCs w:val="20"/>
              </w:rPr>
              <w:t>and analysis sessions to identify areas of improvement.</w:t>
            </w:r>
          </w:p>
          <w:p w14:paraId="20658A7C" w14:textId="77777777" w:rsidR="00B21E17" w:rsidRPr="00007A1C" w:rsidRDefault="00B21E17" w:rsidP="004E7C9F">
            <w:pPr>
              <w:pStyle w:val="ListParagraph"/>
              <w:numPr>
                <w:ilvl w:val="0"/>
                <w:numId w:val="34"/>
              </w:numPr>
              <w:spacing w:after="40"/>
              <w:ind w:left="357" w:hanging="357"/>
              <w:contextualSpacing w:val="0"/>
              <w:rPr>
                <w:sz w:val="20"/>
                <w:szCs w:val="20"/>
              </w:rPr>
            </w:pPr>
            <w:r w:rsidRPr="00007A1C">
              <w:rPr>
                <w:b/>
                <w:sz w:val="20"/>
                <w:szCs w:val="20"/>
              </w:rPr>
              <w:t>Motivated staff</w:t>
            </w:r>
            <w:r w:rsidRPr="00007A1C">
              <w:rPr>
                <w:sz w:val="20"/>
                <w:szCs w:val="20"/>
              </w:rPr>
              <w:t xml:space="preserve">: </w:t>
            </w:r>
            <w:r>
              <w:rPr>
                <w:sz w:val="20"/>
                <w:szCs w:val="20"/>
              </w:rPr>
              <w:t>T</w:t>
            </w:r>
            <w:r w:rsidRPr="00007A1C">
              <w:rPr>
                <w:sz w:val="20"/>
                <w:szCs w:val="20"/>
              </w:rPr>
              <w:t>he TA advisor is seizing</w:t>
            </w:r>
            <w:r>
              <w:rPr>
                <w:sz w:val="20"/>
                <w:szCs w:val="20"/>
              </w:rPr>
              <w:t xml:space="preserve"> on the momentum</w:t>
            </w:r>
            <w:r w:rsidRPr="00007A1C">
              <w:rPr>
                <w:sz w:val="20"/>
                <w:szCs w:val="20"/>
              </w:rPr>
              <w:t xml:space="preserve"> </w:t>
            </w:r>
            <w:r>
              <w:rPr>
                <w:sz w:val="20"/>
                <w:szCs w:val="20"/>
              </w:rPr>
              <w:t xml:space="preserve">of </w:t>
            </w:r>
            <w:r w:rsidRPr="00007A1C">
              <w:rPr>
                <w:sz w:val="20"/>
                <w:szCs w:val="20"/>
              </w:rPr>
              <w:t>motivated staff</w:t>
            </w:r>
            <w:r>
              <w:rPr>
                <w:sz w:val="20"/>
                <w:szCs w:val="20"/>
              </w:rPr>
              <w:t xml:space="preserve">, working to achieve quick wins and </w:t>
            </w:r>
            <w:r w:rsidRPr="00007A1C">
              <w:rPr>
                <w:sz w:val="20"/>
                <w:szCs w:val="20"/>
              </w:rPr>
              <w:t xml:space="preserve">tangible improvements </w:t>
            </w:r>
            <w:r>
              <w:rPr>
                <w:sz w:val="20"/>
                <w:szCs w:val="20"/>
              </w:rPr>
              <w:t>such as the establishment of</w:t>
            </w:r>
            <w:r w:rsidRPr="00007A1C">
              <w:rPr>
                <w:sz w:val="20"/>
                <w:szCs w:val="20"/>
              </w:rPr>
              <w:t xml:space="preserve"> timeline </w:t>
            </w:r>
            <w:r>
              <w:rPr>
                <w:sz w:val="20"/>
                <w:szCs w:val="20"/>
              </w:rPr>
              <w:t>procedure).</w:t>
            </w:r>
          </w:p>
          <w:p w14:paraId="727E862B" w14:textId="77777777" w:rsidR="00B21E17" w:rsidRPr="002013BB" w:rsidRDefault="00B21E17" w:rsidP="004E7C9F">
            <w:pPr>
              <w:pStyle w:val="ListParagraph"/>
              <w:numPr>
                <w:ilvl w:val="0"/>
                <w:numId w:val="34"/>
              </w:numPr>
            </w:pPr>
            <w:r w:rsidRPr="002013BB">
              <w:rPr>
                <w:b/>
                <w:sz w:val="20"/>
                <w:szCs w:val="20"/>
              </w:rPr>
              <w:t>Improved quality of briefs</w:t>
            </w:r>
            <w:r>
              <w:rPr>
                <w:sz w:val="20"/>
                <w:szCs w:val="20"/>
              </w:rPr>
              <w:t xml:space="preserve">: Improvements in briefs by CID supported by the Program have led to </w:t>
            </w:r>
            <w:r w:rsidRPr="002013BB">
              <w:rPr>
                <w:sz w:val="20"/>
                <w:szCs w:val="20"/>
              </w:rPr>
              <w:t>better magistrate judgements</w:t>
            </w:r>
            <w:r>
              <w:rPr>
                <w:sz w:val="20"/>
                <w:szCs w:val="20"/>
              </w:rPr>
              <w:t>.</w:t>
            </w:r>
          </w:p>
          <w:p w14:paraId="7AEE18A1" w14:textId="77777777" w:rsidR="00B21E17" w:rsidRPr="00A76EC1" w:rsidRDefault="00B21E17" w:rsidP="004E7C9F">
            <w:pPr>
              <w:pStyle w:val="ListParagraph"/>
              <w:numPr>
                <w:ilvl w:val="0"/>
                <w:numId w:val="34"/>
              </w:numPr>
            </w:pPr>
            <w:r w:rsidRPr="00A76EC1">
              <w:rPr>
                <w:b/>
                <w:sz w:val="20"/>
                <w:szCs w:val="20"/>
              </w:rPr>
              <w:t>Use of CMS is a success story in the police</w:t>
            </w:r>
            <w:r>
              <w:rPr>
                <w:sz w:val="20"/>
                <w:szCs w:val="20"/>
              </w:rPr>
              <w:t xml:space="preserve">: PIMS/CMS is being used and embraced </w:t>
            </w:r>
            <w:r w:rsidRPr="00A76EC1">
              <w:rPr>
                <w:sz w:val="20"/>
                <w:szCs w:val="20"/>
              </w:rPr>
              <w:t>enthusiastic</w:t>
            </w:r>
            <w:r>
              <w:rPr>
                <w:sz w:val="20"/>
                <w:szCs w:val="20"/>
              </w:rPr>
              <w:t>ally for</w:t>
            </w:r>
            <w:r w:rsidRPr="00A76EC1">
              <w:rPr>
                <w:sz w:val="20"/>
                <w:szCs w:val="20"/>
              </w:rPr>
              <w:t xml:space="preserve"> reflection and learning</w:t>
            </w:r>
            <w:r>
              <w:rPr>
                <w:sz w:val="20"/>
                <w:szCs w:val="20"/>
              </w:rPr>
              <w:t>.</w:t>
            </w:r>
          </w:p>
          <w:p w14:paraId="1B33BFD1" w14:textId="77777777" w:rsidR="00B21E17" w:rsidRPr="006769E8" w:rsidRDefault="00B21E17" w:rsidP="004E7C9F">
            <w:pPr>
              <w:pStyle w:val="ListParagraph"/>
              <w:numPr>
                <w:ilvl w:val="0"/>
                <w:numId w:val="34"/>
              </w:numPr>
            </w:pPr>
            <w:r>
              <w:rPr>
                <w:b/>
                <w:sz w:val="20"/>
                <w:szCs w:val="20"/>
              </w:rPr>
              <w:t>A</w:t>
            </w:r>
            <w:r w:rsidRPr="00354E44">
              <w:rPr>
                <w:b/>
                <w:sz w:val="20"/>
                <w:szCs w:val="20"/>
              </w:rPr>
              <w:t>dvoca</w:t>
            </w:r>
            <w:r>
              <w:rPr>
                <w:b/>
                <w:sz w:val="20"/>
                <w:szCs w:val="20"/>
              </w:rPr>
              <w:t>cy</w:t>
            </w:r>
            <w:r w:rsidRPr="00354E44">
              <w:rPr>
                <w:b/>
                <w:sz w:val="20"/>
                <w:szCs w:val="20"/>
              </w:rPr>
              <w:t xml:space="preserve"> for effective resource management</w:t>
            </w:r>
            <w:r>
              <w:rPr>
                <w:sz w:val="20"/>
                <w:szCs w:val="20"/>
              </w:rPr>
              <w:t xml:space="preserve"> </w:t>
            </w:r>
            <w:r w:rsidRPr="00354E44">
              <w:rPr>
                <w:b/>
                <w:sz w:val="20"/>
                <w:szCs w:val="20"/>
              </w:rPr>
              <w:t>required</w:t>
            </w:r>
            <w:r>
              <w:rPr>
                <w:sz w:val="20"/>
                <w:szCs w:val="20"/>
              </w:rPr>
              <w:t xml:space="preserve">: officers are regularly pulled out to work on top level investigations, affecting workforce capacity. </w:t>
            </w:r>
          </w:p>
        </w:tc>
        <w:tc>
          <w:tcPr>
            <w:tcW w:w="3686" w:type="dxa"/>
            <w:shd w:val="clear" w:color="auto" w:fill="auto"/>
          </w:tcPr>
          <w:p w14:paraId="2B527AFC" w14:textId="77777777" w:rsidR="00B21E17" w:rsidRDefault="00B21E17" w:rsidP="004E7C9F">
            <w:pPr>
              <w:pStyle w:val="ListParagraph"/>
              <w:numPr>
                <w:ilvl w:val="0"/>
                <w:numId w:val="34"/>
              </w:numPr>
              <w:spacing w:after="40"/>
              <w:ind w:left="357" w:hanging="357"/>
              <w:contextualSpacing w:val="0"/>
              <w:rPr>
                <w:bCs/>
                <w:sz w:val="20"/>
                <w:szCs w:val="20"/>
              </w:rPr>
            </w:pPr>
            <w:r w:rsidRPr="008216CD">
              <w:rPr>
                <w:bCs/>
                <w:sz w:val="20"/>
                <w:szCs w:val="20"/>
              </w:rPr>
              <w:t xml:space="preserve">The Advisor is supporting collective participatory analysis, playing a facilitator role rather than external role, supporting ownership and local analysis capacity. </w:t>
            </w:r>
          </w:p>
          <w:p w14:paraId="1644E905" w14:textId="77777777" w:rsidR="00B21E17" w:rsidRPr="002915FE" w:rsidRDefault="00B21E17" w:rsidP="004E7C9F">
            <w:pPr>
              <w:pStyle w:val="ListParagraph"/>
              <w:numPr>
                <w:ilvl w:val="0"/>
                <w:numId w:val="34"/>
              </w:numPr>
              <w:spacing w:after="40"/>
              <w:ind w:left="357" w:hanging="357"/>
              <w:contextualSpacing w:val="0"/>
              <w:rPr>
                <w:bCs/>
                <w:sz w:val="20"/>
                <w:szCs w:val="20"/>
              </w:rPr>
            </w:pPr>
            <w:r w:rsidRPr="008216CD">
              <w:rPr>
                <w:sz w:val="20"/>
                <w:szCs w:val="20"/>
              </w:rPr>
              <w:t>The advisor is building individual capacity, but also working at a systems level, such as through establishing reflection processes that examin</w:t>
            </w:r>
            <w:r>
              <w:rPr>
                <w:sz w:val="20"/>
                <w:szCs w:val="20"/>
              </w:rPr>
              <w:t>e the</w:t>
            </w:r>
            <w:r w:rsidRPr="008216CD">
              <w:rPr>
                <w:sz w:val="20"/>
                <w:szCs w:val="20"/>
              </w:rPr>
              <w:t xml:space="preserve"> quality of investigation</w:t>
            </w:r>
            <w:r>
              <w:rPr>
                <w:sz w:val="20"/>
                <w:szCs w:val="20"/>
              </w:rPr>
              <w:t>s</w:t>
            </w:r>
            <w:r w:rsidRPr="008216CD">
              <w:rPr>
                <w:sz w:val="20"/>
                <w:szCs w:val="20"/>
              </w:rPr>
              <w:t xml:space="preserve"> </w:t>
            </w:r>
            <w:r>
              <w:rPr>
                <w:sz w:val="20"/>
                <w:szCs w:val="20"/>
              </w:rPr>
              <w:t>through use of</w:t>
            </w:r>
            <w:r w:rsidRPr="008216CD">
              <w:rPr>
                <w:sz w:val="20"/>
                <w:szCs w:val="20"/>
              </w:rPr>
              <w:t xml:space="preserve"> case studies.</w:t>
            </w:r>
          </w:p>
          <w:p w14:paraId="6CAC25A1" w14:textId="77777777" w:rsidR="00B21E17" w:rsidRPr="00110A95" w:rsidRDefault="00B21E17" w:rsidP="004E7C9F">
            <w:pPr>
              <w:pStyle w:val="ListParagraph"/>
              <w:numPr>
                <w:ilvl w:val="0"/>
                <w:numId w:val="34"/>
              </w:numPr>
              <w:spacing w:after="40"/>
              <w:ind w:left="357" w:hanging="357"/>
              <w:contextualSpacing w:val="0"/>
              <w:rPr>
                <w:bCs/>
                <w:sz w:val="20"/>
                <w:szCs w:val="20"/>
              </w:rPr>
            </w:pPr>
            <w:r>
              <w:rPr>
                <w:sz w:val="20"/>
                <w:szCs w:val="20"/>
              </w:rPr>
              <w:t>Support is connected across units, with CID integrated with CMS, GDs and OPP.</w:t>
            </w:r>
          </w:p>
        </w:tc>
        <w:tc>
          <w:tcPr>
            <w:tcW w:w="3543" w:type="dxa"/>
            <w:shd w:val="clear" w:color="auto" w:fill="auto"/>
          </w:tcPr>
          <w:p w14:paraId="232C6FE6" w14:textId="77777777" w:rsidR="00B21E17" w:rsidRDefault="00B21E17" w:rsidP="004E7C9F">
            <w:pPr>
              <w:pStyle w:val="ListParagraph"/>
              <w:numPr>
                <w:ilvl w:val="0"/>
                <w:numId w:val="34"/>
              </w:numPr>
              <w:ind w:right="34"/>
              <w:rPr>
                <w:sz w:val="20"/>
                <w:szCs w:val="20"/>
              </w:rPr>
            </w:pPr>
            <w:r>
              <w:rPr>
                <w:sz w:val="20"/>
                <w:szCs w:val="20"/>
              </w:rPr>
              <w:t>Strong promotion of female CID officers who are empowered as investigations.</w:t>
            </w:r>
          </w:p>
          <w:p w14:paraId="7ACD9F4C" w14:textId="77777777" w:rsidR="00B21E17" w:rsidRDefault="00B21E17" w:rsidP="004E7C9F">
            <w:pPr>
              <w:pStyle w:val="ListParagraph"/>
              <w:numPr>
                <w:ilvl w:val="0"/>
                <w:numId w:val="34"/>
              </w:numPr>
              <w:ind w:right="34"/>
              <w:rPr>
                <w:sz w:val="20"/>
                <w:szCs w:val="20"/>
              </w:rPr>
            </w:pPr>
            <w:r>
              <w:rPr>
                <w:sz w:val="20"/>
                <w:szCs w:val="20"/>
              </w:rPr>
              <w:t>Female TA advisor, acknowledged as having a positive and effective impact on gender within CID.</w:t>
            </w:r>
          </w:p>
          <w:p w14:paraId="3D651128" w14:textId="77777777" w:rsidR="00B21E17" w:rsidRDefault="00B21E17" w:rsidP="004E7C9F">
            <w:pPr>
              <w:pStyle w:val="ListParagraph"/>
              <w:numPr>
                <w:ilvl w:val="0"/>
                <w:numId w:val="34"/>
              </w:numPr>
              <w:ind w:right="34"/>
              <w:rPr>
                <w:sz w:val="20"/>
                <w:szCs w:val="20"/>
              </w:rPr>
            </w:pPr>
            <w:r>
              <w:rPr>
                <w:sz w:val="20"/>
                <w:szCs w:val="20"/>
              </w:rPr>
              <w:t>CID are focused on murder, and most FSV cases in Port Villa go through FPU which is heavily burdened. A lack of clarify provided on how CID officers integrated gender considerations into their work.</w:t>
            </w:r>
          </w:p>
          <w:p w14:paraId="695010C2" w14:textId="77777777" w:rsidR="00B21E17" w:rsidRPr="009361C4" w:rsidRDefault="00B21E17" w:rsidP="00EC431E">
            <w:pPr>
              <w:pStyle w:val="ListParagraph"/>
              <w:ind w:left="360" w:right="34"/>
              <w:rPr>
                <w:sz w:val="20"/>
                <w:szCs w:val="20"/>
              </w:rPr>
            </w:pPr>
          </w:p>
        </w:tc>
      </w:tr>
      <w:tr w:rsidR="00B21E17" w14:paraId="39E49386" w14:textId="77777777" w:rsidTr="00EC431E">
        <w:trPr>
          <w:trHeight w:val="416"/>
        </w:trPr>
        <w:tc>
          <w:tcPr>
            <w:tcW w:w="1418" w:type="dxa"/>
            <w:shd w:val="clear" w:color="auto" w:fill="auto"/>
          </w:tcPr>
          <w:p w14:paraId="704FC6D8" w14:textId="77777777" w:rsidR="00B21E17" w:rsidRPr="00706CFE" w:rsidRDefault="00B21E17" w:rsidP="004E7C9F">
            <w:pPr>
              <w:pStyle w:val="ListParagraph"/>
              <w:numPr>
                <w:ilvl w:val="0"/>
                <w:numId w:val="35"/>
              </w:numPr>
              <w:ind w:left="174" w:hanging="174"/>
              <w:rPr>
                <w:b/>
                <w:bCs/>
                <w:sz w:val="20"/>
                <w:szCs w:val="20"/>
              </w:rPr>
            </w:pPr>
            <w:r w:rsidRPr="0066399C">
              <w:rPr>
                <w:b/>
                <w:bCs/>
                <w:sz w:val="20"/>
                <w:szCs w:val="20"/>
              </w:rPr>
              <w:t>VPF-FPU</w:t>
            </w:r>
          </w:p>
        </w:tc>
        <w:tc>
          <w:tcPr>
            <w:tcW w:w="6379" w:type="dxa"/>
            <w:shd w:val="clear" w:color="auto" w:fill="auto"/>
          </w:tcPr>
          <w:p w14:paraId="3F8C2D47" w14:textId="77777777" w:rsidR="00B21E17" w:rsidRPr="003C0691" w:rsidRDefault="00B21E17" w:rsidP="004E7C9F">
            <w:pPr>
              <w:pStyle w:val="ListParagraph"/>
              <w:numPr>
                <w:ilvl w:val="0"/>
                <w:numId w:val="34"/>
              </w:numPr>
              <w:spacing w:after="40"/>
              <w:ind w:left="357" w:hanging="357"/>
              <w:contextualSpacing w:val="0"/>
              <w:rPr>
                <w:b/>
                <w:bCs/>
                <w:sz w:val="20"/>
                <w:szCs w:val="20"/>
              </w:rPr>
            </w:pPr>
            <w:r w:rsidRPr="00DD22F4">
              <w:rPr>
                <w:b/>
                <w:bCs/>
                <w:sz w:val="20"/>
                <w:szCs w:val="20"/>
              </w:rPr>
              <w:t xml:space="preserve">Successful outcomes: </w:t>
            </w:r>
            <w:r w:rsidRPr="00DD22F4">
              <w:rPr>
                <w:bCs/>
                <w:sz w:val="20"/>
                <w:szCs w:val="20"/>
              </w:rPr>
              <w:t>deals with more than 50% of overall cases going to court from whole VPF</w:t>
            </w:r>
            <w:r>
              <w:rPr>
                <w:bCs/>
                <w:sz w:val="20"/>
                <w:szCs w:val="20"/>
              </w:rPr>
              <w:t>, excellent at their job and well versed in legislation.</w:t>
            </w:r>
          </w:p>
          <w:p w14:paraId="7FB1CA57" w14:textId="77777777" w:rsidR="00B21E17" w:rsidRPr="009F5BB2" w:rsidRDefault="00B21E17" w:rsidP="004E7C9F">
            <w:pPr>
              <w:pStyle w:val="ListParagraph"/>
              <w:numPr>
                <w:ilvl w:val="0"/>
                <w:numId w:val="34"/>
              </w:numPr>
              <w:spacing w:after="40"/>
              <w:ind w:left="357" w:hanging="357"/>
              <w:contextualSpacing w:val="0"/>
              <w:rPr>
                <w:b/>
                <w:bCs/>
                <w:sz w:val="20"/>
                <w:szCs w:val="20"/>
              </w:rPr>
            </w:pPr>
            <w:r w:rsidRPr="003330F8">
              <w:rPr>
                <w:b/>
                <w:bCs/>
                <w:sz w:val="20"/>
                <w:szCs w:val="20"/>
              </w:rPr>
              <w:t>Over-burdened and under-resourced</w:t>
            </w:r>
            <w:r>
              <w:rPr>
                <w:bCs/>
                <w:sz w:val="20"/>
                <w:szCs w:val="20"/>
              </w:rPr>
              <w:t>: The caseload of FPU is high and the unit is understaffed, with only four staff out a workforce target allocation of 12.</w:t>
            </w:r>
          </w:p>
          <w:p w14:paraId="62AC6BBB" w14:textId="77777777" w:rsidR="00B21E17" w:rsidRPr="001724A1" w:rsidRDefault="00B21E17" w:rsidP="004E7C9F">
            <w:pPr>
              <w:pStyle w:val="ListParagraph"/>
              <w:numPr>
                <w:ilvl w:val="0"/>
                <w:numId w:val="34"/>
              </w:numPr>
              <w:spacing w:after="40"/>
              <w:ind w:left="357" w:hanging="357"/>
              <w:contextualSpacing w:val="0"/>
              <w:rPr>
                <w:b/>
                <w:bCs/>
                <w:sz w:val="20"/>
                <w:szCs w:val="20"/>
              </w:rPr>
            </w:pPr>
            <w:r w:rsidRPr="001724A1">
              <w:rPr>
                <w:b/>
                <w:bCs/>
                <w:sz w:val="20"/>
                <w:szCs w:val="20"/>
              </w:rPr>
              <w:t>PIMS enables investigative work</w:t>
            </w:r>
            <w:r>
              <w:rPr>
                <w:bCs/>
                <w:sz w:val="20"/>
                <w:szCs w:val="20"/>
              </w:rPr>
              <w:t xml:space="preserve">: The information management system makes it </w:t>
            </w:r>
            <w:r w:rsidRPr="001724A1">
              <w:rPr>
                <w:bCs/>
                <w:sz w:val="20"/>
                <w:szCs w:val="20"/>
              </w:rPr>
              <w:t>eas</w:t>
            </w:r>
            <w:r>
              <w:rPr>
                <w:bCs/>
                <w:sz w:val="20"/>
                <w:szCs w:val="20"/>
              </w:rPr>
              <w:t>i</w:t>
            </w:r>
            <w:r w:rsidRPr="001724A1">
              <w:rPr>
                <w:bCs/>
                <w:sz w:val="20"/>
                <w:szCs w:val="20"/>
              </w:rPr>
              <w:t>er to collect</w:t>
            </w:r>
            <w:r>
              <w:rPr>
                <w:bCs/>
                <w:sz w:val="20"/>
                <w:szCs w:val="20"/>
              </w:rPr>
              <w:t xml:space="preserve">, conduct </w:t>
            </w:r>
            <w:r w:rsidRPr="001724A1">
              <w:rPr>
                <w:bCs/>
                <w:sz w:val="20"/>
                <w:szCs w:val="20"/>
              </w:rPr>
              <w:t>investigation</w:t>
            </w:r>
            <w:r>
              <w:rPr>
                <w:bCs/>
                <w:sz w:val="20"/>
                <w:szCs w:val="20"/>
              </w:rPr>
              <w:t>s and</w:t>
            </w:r>
            <w:r w:rsidRPr="001724A1">
              <w:rPr>
                <w:bCs/>
                <w:sz w:val="20"/>
                <w:szCs w:val="20"/>
              </w:rPr>
              <w:t xml:space="preserve"> provide information to other stakeholders.</w:t>
            </w:r>
          </w:p>
          <w:p w14:paraId="0BADD627" w14:textId="77777777" w:rsidR="00B21E17" w:rsidRPr="003330F8" w:rsidRDefault="00B21E17" w:rsidP="004E7C9F">
            <w:pPr>
              <w:pStyle w:val="ListParagraph"/>
              <w:numPr>
                <w:ilvl w:val="0"/>
                <w:numId w:val="34"/>
              </w:numPr>
              <w:spacing w:after="40"/>
              <w:ind w:left="357" w:hanging="357"/>
              <w:contextualSpacing w:val="0"/>
              <w:rPr>
                <w:b/>
                <w:bCs/>
                <w:sz w:val="20"/>
                <w:szCs w:val="20"/>
              </w:rPr>
            </w:pPr>
            <w:proofErr w:type="spellStart"/>
            <w:r w:rsidRPr="003330F8">
              <w:rPr>
                <w:b/>
                <w:sz w:val="20"/>
                <w:szCs w:val="20"/>
              </w:rPr>
              <w:t>Legitimising</w:t>
            </w:r>
            <w:proofErr w:type="spellEnd"/>
            <w:r w:rsidRPr="003330F8">
              <w:rPr>
                <w:b/>
                <w:sz w:val="20"/>
                <w:szCs w:val="20"/>
              </w:rPr>
              <w:t xml:space="preserve"> and protection FPU: </w:t>
            </w:r>
            <w:r w:rsidRPr="003330F8">
              <w:rPr>
                <w:sz w:val="20"/>
                <w:szCs w:val="20"/>
              </w:rPr>
              <w:t>The Program brings political coverage to operate. The program could undertake greater efforts and apply political pressure to garner leadership support for the unit and its investigators.</w:t>
            </w:r>
          </w:p>
          <w:p w14:paraId="26FD5B41" w14:textId="77777777" w:rsidR="00B21E17" w:rsidRPr="00367E31" w:rsidRDefault="00B21E17" w:rsidP="004E7C9F">
            <w:pPr>
              <w:pStyle w:val="ListParagraph"/>
              <w:numPr>
                <w:ilvl w:val="0"/>
                <w:numId w:val="34"/>
              </w:numPr>
              <w:rPr>
                <w:sz w:val="20"/>
                <w:szCs w:val="20"/>
              </w:rPr>
            </w:pPr>
            <w:r w:rsidRPr="00C610AC">
              <w:rPr>
                <w:b/>
                <w:sz w:val="20"/>
                <w:szCs w:val="20"/>
              </w:rPr>
              <w:t>Changing of community perceptions</w:t>
            </w:r>
            <w:r>
              <w:rPr>
                <w:sz w:val="20"/>
                <w:szCs w:val="20"/>
              </w:rPr>
              <w:t xml:space="preserve">: </w:t>
            </w:r>
            <w:r w:rsidRPr="00350668">
              <w:rPr>
                <w:sz w:val="20"/>
                <w:szCs w:val="20"/>
              </w:rPr>
              <w:t xml:space="preserve">Trying to change community perceptions </w:t>
            </w:r>
            <w:r>
              <w:rPr>
                <w:sz w:val="20"/>
                <w:szCs w:val="20"/>
              </w:rPr>
              <w:t>by</w:t>
            </w:r>
            <w:r w:rsidRPr="00350668">
              <w:rPr>
                <w:sz w:val="20"/>
                <w:szCs w:val="20"/>
              </w:rPr>
              <w:t xml:space="preserve"> demonstrated deep interconnectedness with the </w:t>
            </w:r>
            <w:r>
              <w:rPr>
                <w:sz w:val="20"/>
                <w:szCs w:val="20"/>
              </w:rPr>
              <w:t>P</w:t>
            </w:r>
            <w:r w:rsidRPr="00350668">
              <w:rPr>
                <w:sz w:val="20"/>
                <w:szCs w:val="20"/>
              </w:rPr>
              <w:t>rogram and police</w:t>
            </w:r>
            <w:r>
              <w:rPr>
                <w:sz w:val="20"/>
                <w:szCs w:val="20"/>
              </w:rPr>
              <w:t>.</w:t>
            </w:r>
          </w:p>
        </w:tc>
        <w:tc>
          <w:tcPr>
            <w:tcW w:w="3686" w:type="dxa"/>
            <w:shd w:val="clear" w:color="auto" w:fill="auto"/>
          </w:tcPr>
          <w:p w14:paraId="60A29238" w14:textId="77777777" w:rsidR="00B21E17" w:rsidRDefault="00B21E17" w:rsidP="004E7C9F">
            <w:pPr>
              <w:pStyle w:val="ListParagraph"/>
              <w:numPr>
                <w:ilvl w:val="0"/>
                <w:numId w:val="34"/>
              </w:numPr>
              <w:spacing w:after="40"/>
              <w:ind w:left="357" w:hanging="357"/>
              <w:contextualSpacing w:val="0"/>
              <w:rPr>
                <w:bCs/>
                <w:sz w:val="20"/>
                <w:szCs w:val="20"/>
              </w:rPr>
            </w:pPr>
            <w:r w:rsidRPr="00883555">
              <w:rPr>
                <w:bCs/>
                <w:sz w:val="20"/>
                <w:szCs w:val="20"/>
              </w:rPr>
              <w:t>There is limited evidence that the Program is thinking and working politically</w:t>
            </w:r>
            <w:r>
              <w:rPr>
                <w:bCs/>
                <w:sz w:val="20"/>
                <w:szCs w:val="20"/>
              </w:rPr>
              <w:t xml:space="preserve"> to address issues associated with lack of resourcing and support. </w:t>
            </w:r>
          </w:p>
          <w:p w14:paraId="57D064BB" w14:textId="77777777" w:rsidR="00B21E17" w:rsidRPr="001724A1" w:rsidRDefault="00B21E17" w:rsidP="004E7C9F">
            <w:pPr>
              <w:pStyle w:val="ListParagraph"/>
              <w:numPr>
                <w:ilvl w:val="0"/>
                <w:numId w:val="34"/>
              </w:numPr>
              <w:spacing w:after="40"/>
              <w:ind w:left="357" w:hanging="357"/>
              <w:contextualSpacing w:val="0"/>
              <w:rPr>
                <w:bCs/>
                <w:sz w:val="20"/>
                <w:szCs w:val="20"/>
              </w:rPr>
            </w:pPr>
            <w:r>
              <w:rPr>
                <w:sz w:val="20"/>
                <w:szCs w:val="20"/>
              </w:rPr>
              <w:t>The</w:t>
            </w:r>
            <w:r w:rsidRPr="00C5407F">
              <w:rPr>
                <w:sz w:val="20"/>
                <w:szCs w:val="20"/>
              </w:rPr>
              <w:t xml:space="preserve"> advisor</w:t>
            </w:r>
            <w:r>
              <w:rPr>
                <w:sz w:val="20"/>
                <w:szCs w:val="20"/>
              </w:rPr>
              <w:t xml:space="preserve"> is</w:t>
            </w:r>
            <w:r w:rsidRPr="00C5407F">
              <w:rPr>
                <w:sz w:val="20"/>
                <w:szCs w:val="20"/>
              </w:rPr>
              <w:t xml:space="preserve"> </w:t>
            </w:r>
            <w:r>
              <w:rPr>
                <w:sz w:val="20"/>
                <w:szCs w:val="20"/>
              </w:rPr>
              <w:t xml:space="preserve">considering how to support the units to </w:t>
            </w:r>
            <w:r w:rsidRPr="00C5407F">
              <w:rPr>
                <w:sz w:val="20"/>
                <w:szCs w:val="20"/>
              </w:rPr>
              <w:t>work together</w:t>
            </w:r>
            <w:r>
              <w:rPr>
                <w:sz w:val="20"/>
                <w:szCs w:val="20"/>
              </w:rPr>
              <w:t xml:space="preserve"> and </w:t>
            </w:r>
            <w:r w:rsidRPr="00C610AC">
              <w:rPr>
                <w:sz w:val="20"/>
                <w:szCs w:val="20"/>
              </w:rPr>
              <w:t>create more awareness within the police force more generally (mentoring, coaching)</w:t>
            </w:r>
            <w:r>
              <w:rPr>
                <w:sz w:val="20"/>
                <w:szCs w:val="20"/>
              </w:rPr>
              <w:t xml:space="preserve">. For example, </w:t>
            </w:r>
            <w:r w:rsidRPr="001724A1">
              <w:rPr>
                <w:sz w:val="20"/>
                <w:szCs w:val="20"/>
              </w:rPr>
              <w:t>a junior GD office holding a case was mentored by FPU officers.</w:t>
            </w:r>
          </w:p>
          <w:p w14:paraId="70B53378" w14:textId="77777777" w:rsidR="00B21E17" w:rsidRPr="001724A1" w:rsidRDefault="00B21E17" w:rsidP="004E7C9F">
            <w:pPr>
              <w:pStyle w:val="ListParagraph"/>
              <w:numPr>
                <w:ilvl w:val="0"/>
                <w:numId w:val="34"/>
              </w:numPr>
              <w:spacing w:after="40"/>
              <w:ind w:left="357" w:hanging="357"/>
              <w:contextualSpacing w:val="0"/>
              <w:rPr>
                <w:bCs/>
                <w:sz w:val="20"/>
                <w:szCs w:val="20"/>
              </w:rPr>
            </w:pPr>
            <w:r w:rsidRPr="001724A1">
              <w:rPr>
                <w:sz w:val="20"/>
                <w:szCs w:val="20"/>
              </w:rPr>
              <w:t>Advisor also link</w:t>
            </w:r>
            <w:r>
              <w:rPr>
                <w:sz w:val="20"/>
                <w:szCs w:val="20"/>
              </w:rPr>
              <w:t>ed</w:t>
            </w:r>
            <w:r w:rsidRPr="001724A1">
              <w:rPr>
                <w:sz w:val="20"/>
                <w:szCs w:val="20"/>
              </w:rPr>
              <w:t xml:space="preserve"> </w:t>
            </w:r>
            <w:r>
              <w:rPr>
                <w:sz w:val="20"/>
                <w:szCs w:val="20"/>
              </w:rPr>
              <w:t xml:space="preserve">with GD to address issues affecting FPU who were often not working on critical cases due to a lack of triage. </w:t>
            </w:r>
          </w:p>
        </w:tc>
        <w:tc>
          <w:tcPr>
            <w:tcW w:w="3543" w:type="dxa"/>
            <w:shd w:val="clear" w:color="auto" w:fill="auto"/>
          </w:tcPr>
          <w:p w14:paraId="7284851E" w14:textId="77777777" w:rsidR="00B21E17" w:rsidRDefault="00B21E17" w:rsidP="004E7C9F">
            <w:pPr>
              <w:pStyle w:val="ListParagraph"/>
              <w:numPr>
                <w:ilvl w:val="0"/>
                <w:numId w:val="34"/>
              </w:numPr>
              <w:spacing w:after="40"/>
              <w:ind w:left="357" w:hanging="357"/>
              <w:contextualSpacing w:val="0"/>
              <w:rPr>
                <w:bCs/>
                <w:sz w:val="20"/>
                <w:szCs w:val="20"/>
              </w:rPr>
            </w:pPr>
            <w:r>
              <w:rPr>
                <w:bCs/>
                <w:sz w:val="20"/>
                <w:szCs w:val="20"/>
              </w:rPr>
              <w:t>External facing – the key unit dealing with investigations of FSV and early point of contact for vulnerable women.</w:t>
            </w:r>
          </w:p>
          <w:p w14:paraId="60F3B9EC" w14:textId="77777777" w:rsidR="00B21E17" w:rsidRDefault="00B21E17" w:rsidP="004E7C9F">
            <w:pPr>
              <w:pStyle w:val="ListParagraph"/>
              <w:numPr>
                <w:ilvl w:val="0"/>
                <w:numId w:val="34"/>
              </w:numPr>
              <w:spacing w:after="40"/>
              <w:ind w:left="357" w:hanging="357"/>
              <w:contextualSpacing w:val="0"/>
              <w:rPr>
                <w:bCs/>
                <w:sz w:val="20"/>
                <w:szCs w:val="20"/>
              </w:rPr>
            </w:pPr>
            <w:r>
              <w:rPr>
                <w:bCs/>
                <w:sz w:val="20"/>
                <w:szCs w:val="20"/>
              </w:rPr>
              <w:t xml:space="preserve">FSV can be considered a female issue and the FPU a ‘female’ unit, which reportedly leads to FPU being under-resourced and </w:t>
            </w:r>
            <w:proofErr w:type="spellStart"/>
            <w:r>
              <w:rPr>
                <w:bCs/>
                <w:sz w:val="20"/>
                <w:szCs w:val="20"/>
              </w:rPr>
              <w:t>prioritiesd</w:t>
            </w:r>
            <w:proofErr w:type="spellEnd"/>
            <w:r>
              <w:rPr>
                <w:bCs/>
                <w:sz w:val="20"/>
                <w:szCs w:val="20"/>
              </w:rPr>
              <w:t xml:space="preserve"> and not getting the traction and political support required.</w:t>
            </w:r>
          </w:p>
          <w:p w14:paraId="01306D7A" w14:textId="77777777" w:rsidR="00B21E17" w:rsidRPr="001642E5" w:rsidRDefault="00B21E17" w:rsidP="004E7C9F">
            <w:pPr>
              <w:pStyle w:val="ListParagraph"/>
              <w:numPr>
                <w:ilvl w:val="0"/>
                <w:numId w:val="34"/>
              </w:numPr>
              <w:spacing w:after="40"/>
              <w:ind w:left="357" w:hanging="357"/>
              <w:contextualSpacing w:val="0"/>
              <w:rPr>
                <w:sz w:val="20"/>
                <w:szCs w:val="20"/>
              </w:rPr>
            </w:pPr>
            <w:r w:rsidRPr="00883555">
              <w:rPr>
                <w:bCs/>
                <w:sz w:val="20"/>
                <w:szCs w:val="20"/>
              </w:rPr>
              <w:t>The previous head of FPU was a male gender advocate and is perceived to be more effective within VFP. Identifying and working with male advocates within Program.</w:t>
            </w:r>
          </w:p>
        </w:tc>
      </w:tr>
      <w:tr w:rsidR="00B21E17" w14:paraId="2EDA5790" w14:textId="77777777" w:rsidTr="00EC431E">
        <w:trPr>
          <w:trHeight w:val="557"/>
        </w:trPr>
        <w:tc>
          <w:tcPr>
            <w:tcW w:w="1418" w:type="dxa"/>
            <w:shd w:val="clear" w:color="auto" w:fill="auto"/>
          </w:tcPr>
          <w:p w14:paraId="10FC49FC" w14:textId="77777777" w:rsidR="00B21E17" w:rsidRPr="00812322" w:rsidRDefault="00B21E17" w:rsidP="004E7C9F">
            <w:pPr>
              <w:pStyle w:val="ListParagraph"/>
              <w:numPr>
                <w:ilvl w:val="0"/>
                <w:numId w:val="35"/>
              </w:numPr>
              <w:ind w:left="174" w:hanging="174"/>
              <w:rPr>
                <w:sz w:val="20"/>
                <w:szCs w:val="20"/>
              </w:rPr>
            </w:pPr>
            <w:r>
              <w:rPr>
                <w:b/>
                <w:bCs/>
                <w:sz w:val="20"/>
                <w:szCs w:val="20"/>
              </w:rPr>
              <w:t>VPF-PTC</w:t>
            </w:r>
            <w:r>
              <w:rPr>
                <w:sz w:val="20"/>
                <w:szCs w:val="20"/>
              </w:rPr>
              <w:t xml:space="preserve"> </w:t>
            </w:r>
          </w:p>
        </w:tc>
        <w:tc>
          <w:tcPr>
            <w:tcW w:w="6379" w:type="dxa"/>
            <w:shd w:val="clear" w:color="auto" w:fill="auto"/>
          </w:tcPr>
          <w:p w14:paraId="39AF005F" w14:textId="77777777" w:rsidR="00B21E17" w:rsidRPr="00684DA5" w:rsidRDefault="00B21E17" w:rsidP="004E7C9F">
            <w:pPr>
              <w:pStyle w:val="ListParagraph"/>
              <w:numPr>
                <w:ilvl w:val="0"/>
                <w:numId w:val="34"/>
              </w:numPr>
              <w:spacing w:after="40"/>
              <w:ind w:left="357" w:hanging="357"/>
              <w:contextualSpacing w:val="0"/>
              <w:rPr>
                <w:b/>
                <w:bCs/>
                <w:sz w:val="20"/>
                <w:szCs w:val="20"/>
              </w:rPr>
            </w:pPr>
            <w:r w:rsidRPr="00684DA5">
              <w:rPr>
                <w:b/>
                <w:bCs/>
                <w:sz w:val="20"/>
                <w:szCs w:val="20"/>
              </w:rPr>
              <w:t xml:space="preserve">Lack of strategic alignment: </w:t>
            </w:r>
            <w:r w:rsidRPr="00684DA5">
              <w:rPr>
                <w:bCs/>
                <w:sz w:val="20"/>
                <w:szCs w:val="20"/>
              </w:rPr>
              <w:t>Support to recruits is not taking place within a broader</w:t>
            </w:r>
            <w:r w:rsidR="00362065">
              <w:rPr>
                <w:bCs/>
                <w:sz w:val="20"/>
                <w:szCs w:val="20"/>
              </w:rPr>
              <w:t xml:space="preserve"> financing</w:t>
            </w:r>
            <w:r w:rsidRPr="00684DA5">
              <w:rPr>
                <w:bCs/>
                <w:sz w:val="20"/>
                <w:szCs w:val="20"/>
              </w:rPr>
              <w:t xml:space="preserve"> strategy which is a fundamental flaw </w:t>
            </w:r>
            <w:r w:rsidR="00362065">
              <w:rPr>
                <w:bCs/>
                <w:sz w:val="20"/>
                <w:szCs w:val="20"/>
              </w:rPr>
              <w:t>for sustainability of</w:t>
            </w:r>
            <w:r w:rsidRPr="00684DA5">
              <w:rPr>
                <w:bCs/>
                <w:sz w:val="20"/>
                <w:szCs w:val="20"/>
              </w:rPr>
              <w:t xml:space="preserve"> the </w:t>
            </w:r>
            <w:r w:rsidR="00362065">
              <w:rPr>
                <w:bCs/>
                <w:sz w:val="20"/>
                <w:szCs w:val="20"/>
              </w:rPr>
              <w:t>activities</w:t>
            </w:r>
            <w:r>
              <w:rPr>
                <w:bCs/>
                <w:sz w:val="20"/>
                <w:szCs w:val="20"/>
              </w:rPr>
              <w:t>.</w:t>
            </w:r>
          </w:p>
          <w:p w14:paraId="09ADFC5B" w14:textId="77777777" w:rsidR="00B21E17" w:rsidRPr="0080230F" w:rsidRDefault="00B21E17" w:rsidP="004E7C9F">
            <w:pPr>
              <w:pStyle w:val="ListParagraph"/>
              <w:numPr>
                <w:ilvl w:val="0"/>
                <w:numId w:val="34"/>
              </w:numPr>
              <w:spacing w:after="40"/>
              <w:ind w:left="357" w:hanging="357"/>
              <w:contextualSpacing w:val="0"/>
              <w:rPr>
                <w:b/>
                <w:bCs/>
                <w:sz w:val="20"/>
                <w:szCs w:val="20"/>
              </w:rPr>
            </w:pPr>
            <w:r w:rsidRPr="00684DA5">
              <w:rPr>
                <w:b/>
                <w:bCs/>
                <w:sz w:val="20"/>
                <w:szCs w:val="20"/>
              </w:rPr>
              <w:t>Positive and negative implications:</w:t>
            </w:r>
            <w:r>
              <w:rPr>
                <w:b/>
                <w:bCs/>
                <w:sz w:val="20"/>
                <w:szCs w:val="20"/>
              </w:rPr>
              <w:t xml:space="preserve"> </w:t>
            </w:r>
            <w:r w:rsidRPr="006C063A">
              <w:rPr>
                <w:bCs/>
                <w:sz w:val="20"/>
                <w:szCs w:val="20"/>
              </w:rPr>
              <w:t>There is now training course content</w:t>
            </w:r>
            <w:r>
              <w:rPr>
                <w:bCs/>
                <w:sz w:val="20"/>
                <w:szCs w:val="20"/>
              </w:rPr>
              <w:t xml:space="preserve"> and training in place (after several years with no training)</w:t>
            </w:r>
            <w:r w:rsidRPr="006C063A">
              <w:rPr>
                <w:bCs/>
                <w:sz w:val="20"/>
                <w:szCs w:val="20"/>
              </w:rPr>
              <w:t xml:space="preserve"> </w:t>
            </w:r>
            <w:r w:rsidR="00362065">
              <w:rPr>
                <w:bCs/>
                <w:sz w:val="20"/>
                <w:szCs w:val="20"/>
              </w:rPr>
              <w:t>however some</w:t>
            </w:r>
            <w:r>
              <w:rPr>
                <w:bCs/>
                <w:sz w:val="20"/>
                <w:szCs w:val="20"/>
              </w:rPr>
              <w:t xml:space="preserve"> concerns were raised about the quality of recruits. </w:t>
            </w:r>
          </w:p>
          <w:p w14:paraId="72B6D93E" w14:textId="77777777" w:rsidR="00B21E17" w:rsidRPr="00B847F5" w:rsidRDefault="00B21E17" w:rsidP="004E7C9F">
            <w:pPr>
              <w:pStyle w:val="ListParagraph"/>
              <w:numPr>
                <w:ilvl w:val="0"/>
                <w:numId w:val="34"/>
              </w:numPr>
              <w:rPr>
                <w:sz w:val="20"/>
                <w:szCs w:val="20"/>
              </w:rPr>
            </w:pPr>
            <w:r w:rsidRPr="0080230F">
              <w:rPr>
                <w:b/>
                <w:bCs/>
                <w:sz w:val="20"/>
                <w:szCs w:val="20"/>
              </w:rPr>
              <w:t>Lack of feedback loops to assess</w:t>
            </w:r>
            <w:r>
              <w:rPr>
                <w:b/>
                <w:bCs/>
                <w:sz w:val="20"/>
                <w:szCs w:val="20"/>
              </w:rPr>
              <w:t xml:space="preserve"> and improve the</w:t>
            </w:r>
            <w:r w:rsidRPr="0080230F">
              <w:rPr>
                <w:b/>
                <w:bCs/>
                <w:sz w:val="20"/>
                <w:szCs w:val="20"/>
              </w:rPr>
              <w:t xml:space="preserve"> quality of training</w:t>
            </w:r>
            <w:r>
              <w:rPr>
                <w:bCs/>
                <w:sz w:val="20"/>
                <w:szCs w:val="20"/>
              </w:rPr>
              <w:t>: While recruits keep a workbook, there are no other measures in place to assess the extent to which the training is equipping recruits.</w:t>
            </w:r>
          </w:p>
          <w:p w14:paraId="6BB9037A" w14:textId="77777777" w:rsidR="00B21E17" w:rsidRDefault="00B21E17" w:rsidP="004E7C9F">
            <w:pPr>
              <w:pStyle w:val="ListParagraph"/>
              <w:numPr>
                <w:ilvl w:val="0"/>
                <w:numId w:val="34"/>
              </w:numPr>
              <w:rPr>
                <w:sz w:val="20"/>
                <w:szCs w:val="20"/>
              </w:rPr>
            </w:pPr>
            <w:r w:rsidRPr="0080230F">
              <w:rPr>
                <w:b/>
                <w:sz w:val="20"/>
                <w:szCs w:val="20"/>
              </w:rPr>
              <w:t>Missed opportunity to link with the VMF</w:t>
            </w:r>
            <w:r>
              <w:rPr>
                <w:sz w:val="20"/>
                <w:szCs w:val="20"/>
              </w:rPr>
              <w:t xml:space="preserve">: more consideration could have been given to exploring the development of a higher quality integrated VPF / VMF training. </w:t>
            </w:r>
          </w:p>
          <w:p w14:paraId="33C74526" w14:textId="77777777" w:rsidR="00B21E17" w:rsidRPr="008323A7" w:rsidRDefault="00B21E17" w:rsidP="004E7C9F">
            <w:pPr>
              <w:pStyle w:val="ListParagraph"/>
              <w:numPr>
                <w:ilvl w:val="0"/>
                <w:numId w:val="34"/>
              </w:numPr>
              <w:spacing w:after="40"/>
              <w:ind w:left="357" w:hanging="357"/>
              <w:contextualSpacing w:val="0"/>
              <w:rPr>
                <w:b/>
                <w:bCs/>
                <w:sz w:val="20"/>
                <w:szCs w:val="20"/>
              </w:rPr>
            </w:pPr>
            <w:r w:rsidRPr="0080230F">
              <w:rPr>
                <w:b/>
                <w:bCs/>
                <w:sz w:val="20"/>
                <w:szCs w:val="20"/>
              </w:rPr>
              <w:t>Resourcing creating risks and affecting the wider Program:</w:t>
            </w:r>
            <w:r>
              <w:rPr>
                <w:bCs/>
                <w:sz w:val="20"/>
                <w:szCs w:val="20"/>
              </w:rPr>
              <w:t xml:space="preserve"> resources in this are</w:t>
            </w:r>
            <w:r w:rsidR="00362065">
              <w:rPr>
                <w:bCs/>
                <w:sz w:val="20"/>
                <w:szCs w:val="20"/>
              </w:rPr>
              <w:t>a</w:t>
            </w:r>
            <w:r>
              <w:rPr>
                <w:bCs/>
                <w:sz w:val="20"/>
                <w:szCs w:val="20"/>
              </w:rPr>
              <w:t xml:space="preserve"> divert</w:t>
            </w:r>
            <w:r w:rsidR="00362065">
              <w:rPr>
                <w:bCs/>
                <w:sz w:val="20"/>
                <w:szCs w:val="20"/>
              </w:rPr>
              <w:t xml:space="preserve"> attention</w:t>
            </w:r>
            <w:r>
              <w:rPr>
                <w:bCs/>
                <w:sz w:val="20"/>
                <w:szCs w:val="20"/>
              </w:rPr>
              <w:t xml:space="preserve"> from other </w:t>
            </w:r>
            <w:r w:rsidR="00362065">
              <w:rPr>
                <w:bCs/>
                <w:sz w:val="20"/>
                <w:szCs w:val="20"/>
              </w:rPr>
              <w:t>activities</w:t>
            </w:r>
            <w:r>
              <w:rPr>
                <w:bCs/>
                <w:sz w:val="20"/>
                <w:szCs w:val="20"/>
              </w:rPr>
              <w:t xml:space="preserve">, risks are not being addressed, and other advisors are not being strategically linked in on this issue. </w:t>
            </w:r>
          </w:p>
        </w:tc>
        <w:tc>
          <w:tcPr>
            <w:tcW w:w="3686" w:type="dxa"/>
            <w:shd w:val="clear" w:color="auto" w:fill="auto"/>
          </w:tcPr>
          <w:p w14:paraId="7EB496F2" w14:textId="77777777" w:rsidR="00B21E17" w:rsidRPr="00A15CE1" w:rsidRDefault="00B21E17" w:rsidP="004E7C9F">
            <w:pPr>
              <w:pStyle w:val="ListParagraph"/>
              <w:numPr>
                <w:ilvl w:val="0"/>
                <w:numId w:val="34"/>
              </w:numPr>
              <w:spacing w:after="40"/>
              <w:ind w:left="357" w:hanging="357"/>
              <w:contextualSpacing w:val="0"/>
              <w:rPr>
                <w:sz w:val="20"/>
                <w:szCs w:val="20"/>
              </w:rPr>
            </w:pPr>
            <w:r>
              <w:rPr>
                <w:sz w:val="20"/>
                <w:szCs w:val="20"/>
              </w:rPr>
              <w:t xml:space="preserve">The recruits training approach does </w:t>
            </w:r>
            <w:r w:rsidRPr="00A15CE1">
              <w:rPr>
                <w:sz w:val="20"/>
                <w:szCs w:val="20"/>
              </w:rPr>
              <w:t xml:space="preserve">not comprise a sustainability strategy. It is funded entirely by Australia and could not be run without the Program’s support, resulting in capacity substitution. </w:t>
            </w:r>
          </w:p>
          <w:p w14:paraId="710FC170" w14:textId="77777777" w:rsidR="00B21E17" w:rsidRDefault="00B21E17" w:rsidP="004E7C9F">
            <w:pPr>
              <w:pStyle w:val="ListParagraph"/>
              <w:numPr>
                <w:ilvl w:val="0"/>
                <w:numId w:val="34"/>
              </w:numPr>
              <w:spacing w:after="40"/>
              <w:ind w:left="357" w:hanging="357"/>
              <w:contextualSpacing w:val="0"/>
              <w:rPr>
                <w:sz w:val="20"/>
                <w:szCs w:val="20"/>
              </w:rPr>
            </w:pPr>
            <w:r>
              <w:rPr>
                <w:sz w:val="20"/>
                <w:szCs w:val="20"/>
              </w:rPr>
              <w:t xml:space="preserve">Conflicting information provided about the extent to which the Program has built the capacity of local trainers to run the training independently. </w:t>
            </w:r>
          </w:p>
          <w:p w14:paraId="047CEBE3" w14:textId="40D64365" w:rsidR="00B21E17" w:rsidRPr="00451FAB" w:rsidRDefault="00B21E17" w:rsidP="004E7C9F">
            <w:pPr>
              <w:pStyle w:val="ListParagraph"/>
              <w:numPr>
                <w:ilvl w:val="0"/>
                <w:numId w:val="34"/>
              </w:numPr>
              <w:spacing w:after="40"/>
              <w:ind w:left="357" w:hanging="357"/>
              <w:contextualSpacing w:val="0"/>
              <w:rPr>
                <w:sz w:val="20"/>
                <w:szCs w:val="20"/>
              </w:rPr>
            </w:pPr>
            <w:r>
              <w:rPr>
                <w:sz w:val="20"/>
                <w:szCs w:val="20"/>
              </w:rPr>
              <w:t>A</w:t>
            </w:r>
            <w:r w:rsidRPr="00451FAB">
              <w:rPr>
                <w:sz w:val="20"/>
                <w:szCs w:val="20"/>
              </w:rPr>
              <w:t xml:space="preserve">lternative forms of support could be drawn on to develop capacity and deliver the training Program </w:t>
            </w:r>
            <w:r w:rsidR="00362065">
              <w:rPr>
                <w:sz w:val="20"/>
                <w:szCs w:val="20"/>
              </w:rPr>
              <w:t xml:space="preserve">and develop stronger </w:t>
            </w:r>
            <w:r>
              <w:rPr>
                <w:sz w:val="20"/>
                <w:szCs w:val="20"/>
              </w:rPr>
              <w:t>links with AD</w:t>
            </w:r>
            <w:r w:rsidR="00362065">
              <w:rPr>
                <w:sz w:val="20"/>
                <w:szCs w:val="20"/>
              </w:rPr>
              <w:t>F training</w:t>
            </w:r>
          </w:p>
        </w:tc>
        <w:tc>
          <w:tcPr>
            <w:tcW w:w="3543" w:type="dxa"/>
            <w:shd w:val="clear" w:color="auto" w:fill="auto"/>
          </w:tcPr>
          <w:p w14:paraId="4772233B" w14:textId="77777777" w:rsidR="00B21E17" w:rsidRDefault="00B21E17" w:rsidP="004E7C9F">
            <w:pPr>
              <w:pStyle w:val="ListParagraph"/>
              <w:numPr>
                <w:ilvl w:val="0"/>
                <w:numId w:val="34"/>
              </w:numPr>
              <w:spacing w:after="40"/>
              <w:ind w:left="357" w:hanging="357"/>
              <w:contextualSpacing w:val="0"/>
              <w:rPr>
                <w:sz w:val="20"/>
                <w:szCs w:val="20"/>
              </w:rPr>
            </w:pPr>
            <w:r>
              <w:rPr>
                <w:sz w:val="20"/>
                <w:szCs w:val="20"/>
              </w:rPr>
              <w:t xml:space="preserve">A very small number of women in latest round of recruits due to selection criteria related to height, marriage and child status. The Program tried to advocate on this issue but was unsuccessful. </w:t>
            </w:r>
          </w:p>
          <w:p w14:paraId="00BE5804" w14:textId="77777777" w:rsidR="00B21E17" w:rsidRDefault="00B21E17" w:rsidP="004E7C9F">
            <w:pPr>
              <w:pStyle w:val="ListParagraph"/>
              <w:numPr>
                <w:ilvl w:val="0"/>
                <w:numId w:val="34"/>
              </w:numPr>
              <w:spacing w:after="40"/>
              <w:ind w:left="357" w:hanging="357"/>
              <w:contextualSpacing w:val="0"/>
              <w:rPr>
                <w:sz w:val="20"/>
                <w:szCs w:val="20"/>
              </w:rPr>
            </w:pPr>
            <w:r>
              <w:rPr>
                <w:sz w:val="20"/>
                <w:szCs w:val="20"/>
              </w:rPr>
              <w:t>The training content has a gender component, with</w:t>
            </w:r>
            <w:r w:rsidR="002C0080">
              <w:rPr>
                <w:sz w:val="20"/>
                <w:szCs w:val="20"/>
              </w:rPr>
              <w:t xml:space="preserve"> VWC and</w:t>
            </w:r>
            <w:r>
              <w:rPr>
                <w:sz w:val="20"/>
                <w:szCs w:val="20"/>
              </w:rPr>
              <w:t xml:space="preserve"> WAN providing some training on the FPA, though this session needs to be more extensive. </w:t>
            </w:r>
          </w:p>
          <w:p w14:paraId="2143532B" w14:textId="77777777" w:rsidR="00B21E17" w:rsidRPr="00451FAB" w:rsidRDefault="00B21E17" w:rsidP="004E7C9F">
            <w:pPr>
              <w:pStyle w:val="ListParagraph"/>
              <w:numPr>
                <w:ilvl w:val="0"/>
                <w:numId w:val="34"/>
              </w:numPr>
              <w:spacing w:after="40"/>
              <w:ind w:left="357" w:hanging="357"/>
              <w:contextualSpacing w:val="0"/>
              <w:rPr>
                <w:sz w:val="20"/>
                <w:szCs w:val="20"/>
              </w:rPr>
            </w:pPr>
            <w:r>
              <w:rPr>
                <w:sz w:val="20"/>
                <w:szCs w:val="20"/>
              </w:rPr>
              <w:t xml:space="preserve">A range of local gender expertise that could be drawn on to strengthen and extend the gender component of the training (such as VWC). </w:t>
            </w:r>
          </w:p>
        </w:tc>
      </w:tr>
      <w:tr w:rsidR="00B21E17" w14:paraId="7D03A258" w14:textId="77777777" w:rsidTr="00EC431E">
        <w:trPr>
          <w:trHeight w:val="6391"/>
        </w:trPr>
        <w:tc>
          <w:tcPr>
            <w:tcW w:w="1418" w:type="dxa"/>
            <w:shd w:val="clear" w:color="auto" w:fill="auto"/>
          </w:tcPr>
          <w:p w14:paraId="095E0479" w14:textId="77777777" w:rsidR="00B21E17" w:rsidRPr="0086421F" w:rsidRDefault="00B21E17" w:rsidP="004E7C9F">
            <w:pPr>
              <w:pStyle w:val="ListParagraph"/>
              <w:numPr>
                <w:ilvl w:val="0"/>
                <w:numId w:val="35"/>
              </w:numPr>
              <w:ind w:left="174" w:hanging="174"/>
              <w:rPr>
                <w:b/>
                <w:bCs/>
                <w:sz w:val="20"/>
                <w:szCs w:val="20"/>
              </w:rPr>
            </w:pPr>
            <w:r w:rsidRPr="0086421F">
              <w:rPr>
                <w:b/>
                <w:bCs/>
                <w:sz w:val="20"/>
                <w:szCs w:val="20"/>
              </w:rPr>
              <w:t>VPF</w:t>
            </w:r>
            <w:r>
              <w:rPr>
                <w:b/>
                <w:bCs/>
                <w:sz w:val="20"/>
                <w:szCs w:val="20"/>
              </w:rPr>
              <w:t>-GD</w:t>
            </w:r>
          </w:p>
        </w:tc>
        <w:tc>
          <w:tcPr>
            <w:tcW w:w="6379" w:type="dxa"/>
            <w:shd w:val="clear" w:color="auto" w:fill="auto"/>
          </w:tcPr>
          <w:p w14:paraId="76DE46EB" w14:textId="77777777" w:rsidR="00B21E17" w:rsidRDefault="00B21E17" w:rsidP="004E7C9F">
            <w:pPr>
              <w:pStyle w:val="ListParagraph"/>
              <w:numPr>
                <w:ilvl w:val="0"/>
                <w:numId w:val="34"/>
              </w:numPr>
              <w:rPr>
                <w:sz w:val="20"/>
                <w:szCs w:val="20"/>
              </w:rPr>
            </w:pPr>
            <w:r w:rsidRPr="00B54FE6">
              <w:rPr>
                <w:b/>
                <w:bCs/>
                <w:sz w:val="20"/>
                <w:szCs w:val="20"/>
              </w:rPr>
              <w:t>Significance of GD:</w:t>
            </w:r>
            <w:r w:rsidR="00B1646A">
              <w:rPr>
                <w:sz w:val="20"/>
                <w:szCs w:val="20"/>
              </w:rPr>
              <w:t xml:space="preserve"> </w:t>
            </w:r>
            <w:r>
              <w:rPr>
                <w:sz w:val="20"/>
                <w:szCs w:val="20"/>
              </w:rPr>
              <w:t>In the chain of justice, GD is the first point of contact for victims and offenders, so it has a very important role to play in the criminal justice system.</w:t>
            </w:r>
          </w:p>
          <w:p w14:paraId="4853AD54" w14:textId="77777777" w:rsidR="00B21E17" w:rsidRPr="00B54FE6" w:rsidRDefault="00B21E17" w:rsidP="00EC431E">
            <w:pPr>
              <w:pStyle w:val="ListParagraph"/>
              <w:spacing w:line="72" w:lineRule="auto"/>
              <w:ind w:left="357"/>
              <w:rPr>
                <w:sz w:val="20"/>
                <w:szCs w:val="20"/>
              </w:rPr>
            </w:pPr>
          </w:p>
          <w:p w14:paraId="4D2D4CCD" w14:textId="3042DBA2" w:rsidR="00B21E17" w:rsidRDefault="00B21E17" w:rsidP="004E7C9F">
            <w:pPr>
              <w:pStyle w:val="ListParagraph"/>
              <w:numPr>
                <w:ilvl w:val="0"/>
                <w:numId w:val="34"/>
              </w:numPr>
              <w:ind w:left="357" w:hanging="357"/>
              <w:rPr>
                <w:sz w:val="20"/>
                <w:szCs w:val="20"/>
              </w:rPr>
            </w:pPr>
            <w:r>
              <w:rPr>
                <w:b/>
                <w:bCs/>
                <w:sz w:val="20"/>
                <w:szCs w:val="20"/>
              </w:rPr>
              <w:t xml:space="preserve">Counterpart </w:t>
            </w:r>
            <w:r w:rsidRPr="00FF23F1">
              <w:rPr>
                <w:b/>
                <w:bCs/>
                <w:sz w:val="20"/>
                <w:szCs w:val="20"/>
              </w:rPr>
              <w:t>relationships:</w:t>
            </w:r>
            <w:r>
              <w:rPr>
                <w:sz w:val="20"/>
                <w:szCs w:val="20"/>
              </w:rPr>
              <w:t xml:space="preserve"> </w:t>
            </w:r>
            <w:r w:rsidRPr="00445376">
              <w:rPr>
                <w:sz w:val="20"/>
                <w:szCs w:val="20"/>
              </w:rPr>
              <w:t xml:space="preserve">TA is </w:t>
            </w:r>
            <w:r>
              <w:rPr>
                <w:sz w:val="20"/>
                <w:szCs w:val="20"/>
              </w:rPr>
              <w:t xml:space="preserve">very </w:t>
            </w:r>
            <w:r w:rsidRPr="00445376">
              <w:rPr>
                <w:sz w:val="20"/>
                <w:szCs w:val="20"/>
              </w:rPr>
              <w:t xml:space="preserve">well respected </w:t>
            </w:r>
            <w:r>
              <w:rPr>
                <w:sz w:val="20"/>
                <w:szCs w:val="20"/>
              </w:rPr>
              <w:t xml:space="preserve">and has strong relationships with </w:t>
            </w:r>
            <w:r w:rsidRPr="00445376">
              <w:rPr>
                <w:sz w:val="20"/>
                <w:szCs w:val="20"/>
              </w:rPr>
              <w:t>counterparts</w:t>
            </w:r>
            <w:r>
              <w:rPr>
                <w:sz w:val="20"/>
                <w:szCs w:val="20"/>
              </w:rPr>
              <w:t xml:space="preserve">, and can communicate well in </w:t>
            </w:r>
            <w:proofErr w:type="spellStart"/>
            <w:r>
              <w:rPr>
                <w:sz w:val="20"/>
                <w:szCs w:val="20"/>
              </w:rPr>
              <w:t>Bislama</w:t>
            </w:r>
            <w:proofErr w:type="spellEnd"/>
            <w:r>
              <w:rPr>
                <w:sz w:val="20"/>
                <w:szCs w:val="20"/>
              </w:rPr>
              <w:t>. TA makes attempts to build relationships outside of work and has been successful in establishing trust.</w:t>
            </w:r>
          </w:p>
          <w:p w14:paraId="5DE833C8" w14:textId="77777777" w:rsidR="00B21E17" w:rsidRDefault="00B21E17" w:rsidP="00EC431E">
            <w:pPr>
              <w:pStyle w:val="ListParagraph"/>
              <w:spacing w:line="72" w:lineRule="auto"/>
              <w:ind w:left="357"/>
              <w:rPr>
                <w:sz w:val="20"/>
                <w:szCs w:val="20"/>
              </w:rPr>
            </w:pPr>
          </w:p>
          <w:p w14:paraId="30175B4B" w14:textId="77777777" w:rsidR="00B21E17" w:rsidRDefault="00B21E17" w:rsidP="004E7C9F">
            <w:pPr>
              <w:pStyle w:val="ListParagraph"/>
              <w:numPr>
                <w:ilvl w:val="0"/>
                <w:numId w:val="34"/>
              </w:numPr>
              <w:ind w:left="357" w:hanging="357"/>
              <w:rPr>
                <w:sz w:val="20"/>
                <w:szCs w:val="20"/>
              </w:rPr>
            </w:pPr>
            <w:r>
              <w:rPr>
                <w:b/>
                <w:bCs/>
                <w:sz w:val="20"/>
                <w:szCs w:val="20"/>
              </w:rPr>
              <w:t>Program contribution to GD:</w:t>
            </w:r>
            <w:r>
              <w:rPr>
                <w:sz w:val="20"/>
                <w:szCs w:val="20"/>
              </w:rPr>
              <w:t xml:space="preserve"> TA</w:t>
            </w:r>
            <w:r w:rsidRPr="00445376">
              <w:rPr>
                <w:sz w:val="20"/>
                <w:szCs w:val="20"/>
              </w:rPr>
              <w:t xml:space="preserve"> has been able to secure practical progress </w:t>
            </w:r>
            <w:r>
              <w:rPr>
                <w:sz w:val="20"/>
                <w:szCs w:val="20"/>
              </w:rPr>
              <w:t xml:space="preserve">toward VPF service delivery </w:t>
            </w:r>
            <w:r w:rsidRPr="00445376">
              <w:rPr>
                <w:sz w:val="20"/>
                <w:szCs w:val="20"/>
              </w:rPr>
              <w:t xml:space="preserve">(e.g. </w:t>
            </w:r>
            <w:r>
              <w:rPr>
                <w:sz w:val="20"/>
                <w:szCs w:val="20"/>
              </w:rPr>
              <w:t>two</w:t>
            </w:r>
            <w:r w:rsidRPr="00445376">
              <w:rPr>
                <w:sz w:val="20"/>
                <w:szCs w:val="20"/>
              </w:rPr>
              <w:t xml:space="preserve"> program vehicles)</w:t>
            </w:r>
            <w:r>
              <w:rPr>
                <w:sz w:val="20"/>
                <w:szCs w:val="20"/>
              </w:rPr>
              <w:t>, though this may have made other capacity development work more difficult as training/mentoring appears to be less valued by leadership than mobility assets.</w:t>
            </w:r>
            <w:r w:rsidRPr="00445376">
              <w:rPr>
                <w:sz w:val="20"/>
                <w:szCs w:val="20"/>
              </w:rPr>
              <w:t xml:space="preserve"> </w:t>
            </w:r>
          </w:p>
          <w:p w14:paraId="0B162BB5" w14:textId="77777777" w:rsidR="00B21E17" w:rsidRDefault="00B21E17" w:rsidP="00EC431E">
            <w:pPr>
              <w:pStyle w:val="ListParagraph"/>
              <w:spacing w:line="72" w:lineRule="auto"/>
              <w:ind w:left="357"/>
              <w:rPr>
                <w:sz w:val="20"/>
                <w:szCs w:val="20"/>
              </w:rPr>
            </w:pPr>
          </w:p>
          <w:p w14:paraId="6C9781F6" w14:textId="77777777" w:rsidR="00B21E17" w:rsidRDefault="00B21E17" w:rsidP="004E7C9F">
            <w:pPr>
              <w:pStyle w:val="ListParagraph"/>
              <w:numPr>
                <w:ilvl w:val="0"/>
                <w:numId w:val="34"/>
              </w:numPr>
              <w:ind w:left="357" w:hanging="357"/>
              <w:rPr>
                <w:sz w:val="20"/>
                <w:szCs w:val="20"/>
              </w:rPr>
            </w:pPr>
            <w:r w:rsidRPr="001431D9">
              <w:rPr>
                <w:b/>
                <w:bCs/>
                <w:sz w:val="20"/>
                <w:szCs w:val="20"/>
              </w:rPr>
              <w:t>Operating context:</w:t>
            </w:r>
            <w:r>
              <w:rPr>
                <w:sz w:val="20"/>
                <w:szCs w:val="20"/>
              </w:rPr>
              <w:t xml:space="preserve"> Concerns over the structural integrity of Port Vila Central Station is </w:t>
            </w:r>
            <w:r w:rsidRPr="00445376">
              <w:rPr>
                <w:sz w:val="20"/>
                <w:szCs w:val="20"/>
              </w:rPr>
              <w:t>constraining the ability of TA to interact with counterparts, including in GD, as there is limited access to the building</w:t>
            </w:r>
            <w:r>
              <w:rPr>
                <w:sz w:val="20"/>
                <w:szCs w:val="20"/>
              </w:rPr>
              <w:t xml:space="preserve"> for reasons of workplace safety</w:t>
            </w:r>
            <w:r w:rsidRPr="00445376">
              <w:rPr>
                <w:sz w:val="20"/>
                <w:szCs w:val="20"/>
              </w:rPr>
              <w:t>.</w:t>
            </w:r>
            <w:r w:rsidR="00362065">
              <w:rPr>
                <w:sz w:val="20"/>
                <w:szCs w:val="20"/>
              </w:rPr>
              <w:t xml:space="preserve"> </w:t>
            </w:r>
            <w:r>
              <w:rPr>
                <w:sz w:val="20"/>
                <w:szCs w:val="20"/>
              </w:rPr>
              <w:t>Basic resourcing is inadequate at the Port Vila Central Station, including officers being unable to make outside calls due to the type of VOIP phones and limited budget.</w:t>
            </w:r>
          </w:p>
          <w:p w14:paraId="0B61B7F3" w14:textId="77777777" w:rsidR="00B21E17" w:rsidRDefault="00B21E17" w:rsidP="00EC431E">
            <w:pPr>
              <w:pStyle w:val="ListParagraph"/>
              <w:spacing w:line="72" w:lineRule="auto"/>
              <w:ind w:left="357"/>
              <w:rPr>
                <w:sz w:val="20"/>
                <w:szCs w:val="20"/>
              </w:rPr>
            </w:pPr>
          </w:p>
          <w:p w14:paraId="3EDAA93D" w14:textId="77777777" w:rsidR="00B21E17" w:rsidRPr="00626A0F" w:rsidRDefault="00B21E17" w:rsidP="004E7C9F">
            <w:pPr>
              <w:pStyle w:val="ListParagraph"/>
              <w:numPr>
                <w:ilvl w:val="0"/>
                <w:numId w:val="34"/>
              </w:numPr>
              <w:rPr>
                <w:sz w:val="20"/>
                <w:szCs w:val="20"/>
              </w:rPr>
            </w:pPr>
            <w:r w:rsidRPr="001431D9">
              <w:rPr>
                <w:b/>
                <w:bCs/>
                <w:sz w:val="20"/>
                <w:szCs w:val="20"/>
              </w:rPr>
              <w:t xml:space="preserve">Coordination </w:t>
            </w:r>
            <w:r>
              <w:rPr>
                <w:b/>
                <w:bCs/>
                <w:sz w:val="20"/>
                <w:szCs w:val="20"/>
              </w:rPr>
              <w:t>with other VPF units</w:t>
            </w:r>
            <w:r w:rsidRPr="001431D9">
              <w:rPr>
                <w:b/>
                <w:bCs/>
                <w:sz w:val="20"/>
                <w:szCs w:val="20"/>
              </w:rPr>
              <w:t>:</w:t>
            </w:r>
            <w:r w:rsidR="00B1646A">
              <w:rPr>
                <w:sz w:val="20"/>
                <w:szCs w:val="20"/>
              </w:rPr>
              <w:t xml:space="preserve"> </w:t>
            </w:r>
            <w:r>
              <w:rPr>
                <w:sz w:val="20"/>
                <w:szCs w:val="20"/>
              </w:rPr>
              <w:t>Support to GD appears</w:t>
            </w:r>
            <w:r w:rsidRPr="00445376">
              <w:rPr>
                <w:sz w:val="20"/>
                <w:szCs w:val="20"/>
              </w:rPr>
              <w:t xml:space="preserve"> to be operating in </w:t>
            </w:r>
            <w:r>
              <w:rPr>
                <w:sz w:val="20"/>
                <w:szCs w:val="20"/>
              </w:rPr>
              <w:t xml:space="preserve">a </w:t>
            </w:r>
            <w:proofErr w:type="spellStart"/>
            <w:r w:rsidRPr="00445376">
              <w:rPr>
                <w:sz w:val="20"/>
                <w:szCs w:val="20"/>
              </w:rPr>
              <w:t>siloed</w:t>
            </w:r>
            <w:proofErr w:type="spellEnd"/>
            <w:r w:rsidRPr="00445376">
              <w:rPr>
                <w:sz w:val="20"/>
                <w:szCs w:val="20"/>
              </w:rPr>
              <w:t xml:space="preserve"> </w:t>
            </w:r>
            <w:r>
              <w:rPr>
                <w:sz w:val="20"/>
                <w:szCs w:val="20"/>
              </w:rPr>
              <w:t>way. For example, further focus is needed to complete the feedback loop to the PTC. W</w:t>
            </w:r>
            <w:r w:rsidRPr="00445376">
              <w:rPr>
                <w:sz w:val="20"/>
                <w:szCs w:val="20"/>
              </w:rPr>
              <w:t xml:space="preserve">hile there is a </w:t>
            </w:r>
            <w:r>
              <w:rPr>
                <w:sz w:val="20"/>
                <w:szCs w:val="20"/>
              </w:rPr>
              <w:t xml:space="preserve">requirement for new recruits to complete a </w:t>
            </w:r>
            <w:r w:rsidRPr="00445376">
              <w:rPr>
                <w:sz w:val="20"/>
                <w:szCs w:val="20"/>
              </w:rPr>
              <w:t xml:space="preserve">workbook, </w:t>
            </w:r>
            <w:r>
              <w:rPr>
                <w:sz w:val="20"/>
                <w:szCs w:val="20"/>
              </w:rPr>
              <w:t xml:space="preserve">opportunities exist for </w:t>
            </w:r>
            <w:r w:rsidRPr="00445376">
              <w:rPr>
                <w:sz w:val="20"/>
                <w:szCs w:val="20"/>
              </w:rPr>
              <w:t xml:space="preserve">TA </w:t>
            </w:r>
            <w:r>
              <w:rPr>
                <w:sz w:val="20"/>
                <w:szCs w:val="20"/>
              </w:rPr>
              <w:t xml:space="preserve">evaluation and </w:t>
            </w:r>
            <w:r w:rsidRPr="00445376">
              <w:rPr>
                <w:sz w:val="20"/>
                <w:szCs w:val="20"/>
              </w:rPr>
              <w:t xml:space="preserve">feedback to the PTC on recruit quality and areas </w:t>
            </w:r>
            <w:r>
              <w:rPr>
                <w:sz w:val="20"/>
                <w:szCs w:val="20"/>
              </w:rPr>
              <w:t>of training that may require change (8 females and 22 male recruits were assigned to GD in January 2019, with 10 of these recruits based in Port Vila)</w:t>
            </w:r>
            <w:r w:rsidRPr="00445376">
              <w:rPr>
                <w:sz w:val="20"/>
                <w:szCs w:val="20"/>
              </w:rPr>
              <w:t>.</w:t>
            </w:r>
          </w:p>
        </w:tc>
        <w:tc>
          <w:tcPr>
            <w:tcW w:w="3686" w:type="dxa"/>
            <w:shd w:val="clear" w:color="auto" w:fill="auto"/>
          </w:tcPr>
          <w:p w14:paraId="659B5955" w14:textId="77777777" w:rsidR="00B21E17" w:rsidRDefault="00B21E17" w:rsidP="004E7C9F">
            <w:pPr>
              <w:pStyle w:val="ListParagraph"/>
              <w:numPr>
                <w:ilvl w:val="0"/>
                <w:numId w:val="34"/>
              </w:numPr>
              <w:rPr>
                <w:sz w:val="20"/>
                <w:szCs w:val="20"/>
              </w:rPr>
            </w:pPr>
            <w:r>
              <w:rPr>
                <w:sz w:val="20"/>
                <w:szCs w:val="20"/>
              </w:rPr>
              <w:t>It is difficult to train individuals in GD, as they are rostered on rotations and have limited time during work hours for training. TA is delivering training when possible.</w:t>
            </w:r>
          </w:p>
          <w:p w14:paraId="13BEF95C" w14:textId="77777777" w:rsidR="00B21E17" w:rsidRDefault="00B21E17" w:rsidP="00EC431E">
            <w:pPr>
              <w:pStyle w:val="ListParagraph"/>
              <w:spacing w:line="72" w:lineRule="auto"/>
              <w:ind w:left="357"/>
              <w:rPr>
                <w:sz w:val="20"/>
                <w:szCs w:val="20"/>
              </w:rPr>
            </w:pPr>
            <w:r>
              <w:rPr>
                <w:sz w:val="20"/>
                <w:szCs w:val="20"/>
              </w:rPr>
              <w:t xml:space="preserve"> </w:t>
            </w:r>
          </w:p>
          <w:p w14:paraId="2070EBFB" w14:textId="77777777" w:rsidR="00B21E17" w:rsidRDefault="00B21E17" w:rsidP="004E7C9F">
            <w:pPr>
              <w:pStyle w:val="ListParagraph"/>
              <w:numPr>
                <w:ilvl w:val="0"/>
                <w:numId w:val="34"/>
              </w:numPr>
              <w:rPr>
                <w:sz w:val="20"/>
                <w:szCs w:val="20"/>
              </w:rPr>
            </w:pPr>
            <w:r>
              <w:rPr>
                <w:sz w:val="20"/>
                <w:szCs w:val="20"/>
              </w:rPr>
              <w:t xml:space="preserve">A stronger focus on systems would assist in building capacity (e.g. people in custody are only released once TA checks the cells, rather than having systems in place to ensure that detention meets any legal requirements). </w:t>
            </w:r>
          </w:p>
          <w:p w14:paraId="2719C072" w14:textId="77777777" w:rsidR="00B21E17" w:rsidRDefault="00B21E17" w:rsidP="00EC431E">
            <w:pPr>
              <w:pStyle w:val="ListParagraph"/>
              <w:spacing w:line="72" w:lineRule="auto"/>
              <w:ind w:left="357"/>
              <w:rPr>
                <w:sz w:val="20"/>
                <w:szCs w:val="20"/>
              </w:rPr>
            </w:pPr>
          </w:p>
          <w:p w14:paraId="21F89B19" w14:textId="77777777" w:rsidR="00B21E17" w:rsidRDefault="00B21E17" w:rsidP="004E7C9F">
            <w:pPr>
              <w:pStyle w:val="ListParagraph"/>
              <w:numPr>
                <w:ilvl w:val="0"/>
                <w:numId w:val="34"/>
              </w:numPr>
              <w:rPr>
                <w:sz w:val="20"/>
                <w:szCs w:val="20"/>
              </w:rPr>
            </w:pPr>
            <w:r>
              <w:rPr>
                <w:sz w:val="20"/>
                <w:szCs w:val="20"/>
              </w:rPr>
              <w:t xml:space="preserve">While GD interest in PIMS is reportedly low, further support is needed to encourage and build the capacity of officers and management to use it to generate data for operational decision-making. </w:t>
            </w:r>
          </w:p>
          <w:p w14:paraId="5962E513" w14:textId="77777777" w:rsidR="00B21E17" w:rsidRPr="00812322" w:rsidRDefault="00B21E17" w:rsidP="00EC431E">
            <w:pPr>
              <w:rPr>
                <w:sz w:val="20"/>
                <w:szCs w:val="20"/>
              </w:rPr>
            </w:pPr>
          </w:p>
        </w:tc>
        <w:tc>
          <w:tcPr>
            <w:tcW w:w="3543" w:type="dxa"/>
            <w:shd w:val="clear" w:color="auto" w:fill="auto"/>
          </w:tcPr>
          <w:p w14:paraId="41FADF52" w14:textId="77777777" w:rsidR="00B21E17" w:rsidRDefault="00B21E17" w:rsidP="004E7C9F">
            <w:pPr>
              <w:pStyle w:val="ListParagraph"/>
              <w:numPr>
                <w:ilvl w:val="0"/>
                <w:numId w:val="34"/>
              </w:numPr>
              <w:rPr>
                <w:sz w:val="20"/>
                <w:szCs w:val="20"/>
              </w:rPr>
            </w:pPr>
            <w:r>
              <w:rPr>
                <w:sz w:val="20"/>
                <w:szCs w:val="20"/>
              </w:rPr>
              <w:t>There appears to be a limited conception within GD of how gender is to be addressed (both internally for female officers, and externally in the protection of women, children, youth and PWD under the EOPOs, though there is interest in conducting more community work).</w:t>
            </w:r>
          </w:p>
          <w:p w14:paraId="50562953" w14:textId="77777777" w:rsidR="00B21E17" w:rsidRDefault="00B21E17" w:rsidP="00EC431E">
            <w:pPr>
              <w:pStyle w:val="ListParagraph"/>
              <w:spacing w:line="72" w:lineRule="auto"/>
              <w:ind w:left="357"/>
              <w:rPr>
                <w:sz w:val="20"/>
                <w:szCs w:val="20"/>
              </w:rPr>
            </w:pPr>
          </w:p>
          <w:p w14:paraId="147C3B82" w14:textId="77777777" w:rsidR="00B21E17" w:rsidRPr="00812322" w:rsidRDefault="00B21E17" w:rsidP="004E7C9F">
            <w:pPr>
              <w:pStyle w:val="ListParagraph"/>
              <w:numPr>
                <w:ilvl w:val="0"/>
                <w:numId w:val="34"/>
              </w:numPr>
              <w:rPr>
                <w:sz w:val="20"/>
                <w:szCs w:val="20"/>
              </w:rPr>
            </w:pPr>
            <w:r>
              <w:rPr>
                <w:sz w:val="20"/>
                <w:szCs w:val="20"/>
              </w:rPr>
              <w:t xml:space="preserve">GD would benefit from further Program support on how the VPF can take a ‘whole of service’ approach to supporting vulnerable people, as the current thinking appears to be that all people are served equally by the VPF (without taking into account that not all people e.g. women and children can access the police equally). </w:t>
            </w:r>
          </w:p>
        </w:tc>
      </w:tr>
      <w:tr w:rsidR="00B21E17" w14:paraId="5D6FAF61" w14:textId="77777777" w:rsidTr="00EC431E">
        <w:trPr>
          <w:trHeight w:val="580"/>
        </w:trPr>
        <w:tc>
          <w:tcPr>
            <w:tcW w:w="1418" w:type="dxa"/>
            <w:shd w:val="clear" w:color="auto" w:fill="auto"/>
          </w:tcPr>
          <w:p w14:paraId="0F780C0C" w14:textId="77777777" w:rsidR="00B21E17" w:rsidRPr="00812322" w:rsidRDefault="00B21E17" w:rsidP="004E7C9F">
            <w:pPr>
              <w:pStyle w:val="ListParagraph"/>
              <w:numPr>
                <w:ilvl w:val="0"/>
                <w:numId w:val="35"/>
              </w:numPr>
              <w:ind w:left="174" w:hanging="174"/>
              <w:rPr>
                <w:sz w:val="20"/>
                <w:szCs w:val="20"/>
              </w:rPr>
            </w:pPr>
            <w:r w:rsidRPr="00706CFE">
              <w:rPr>
                <w:b/>
                <w:bCs/>
                <w:sz w:val="20"/>
                <w:szCs w:val="20"/>
              </w:rPr>
              <w:t>CSU</w:t>
            </w:r>
            <w:r w:rsidR="00DC135D">
              <w:rPr>
                <w:b/>
                <w:bCs/>
                <w:sz w:val="20"/>
                <w:szCs w:val="20"/>
              </w:rPr>
              <w:t xml:space="preserve"> in VPF</w:t>
            </w:r>
          </w:p>
        </w:tc>
        <w:tc>
          <w:tcPr>
            <w:tcW w:w="6379" w:type="dxa"/>
            <w:shd w:val="clear" w:color="auto" w:fill="auto"/>
          </w:tcPr>
          <w:p w14:paraId="0B72E86D" w14:textId="77777777" w:rsidR="00B21E17" w:rsidRDefault="00B21E17" w:rsidP="004E7C9F">
            <w:pPr>
              <w:pStyle w:val="ListParagraph"/>
              <w:numPr>
                <w:ilvl w:val="0"/>
                <w:numId w:val="34"/>
              </w:numPr>
              <w:spacing w:after="40"/>
              <w:ind w:left="357" w:hanging="357"/>
              <w:contextualSpacing w:val="0"/>
              <w:rPr>
                <w:bCs/>
                <w:sz w:val="20"/>
                <w:szCs w:val="20"/>
              </w:rPr>
            </w:pPr>
            <w:r w:rsidRPr="00B44DA9">
              <w:rPr>
                <w:b/>
                <w:bCs/>
                <w:sz w:val="20"/>
                <w:szCs w:val="20"/>
              </w:rPr>
              <w:t>Improvements in budget management:</w:t>
            </w:r>
            <w:r w:rsidRPr="00B44DA9">
              <w:rPr>
                <w:bCs/>
                <w:sz w:val="20"/>
                <w:szCs w:val="20"/>
              </w:rPr>
              <w:t xml:space="preserve"> </w:t>
            </w:r>
            <w:r>
              <w:rPr>
                <w:bCs/>
                <w:sz w:val="20"/>
                <w:szCs w:val="20"/>
              </w:rPr>
              <w:t>T</w:t>
            </w:r>
            <w:r w:rsidRPr="00B44DA9">
              <w:rPr>
                <w:bCs/>
                <w:sz w:val="20"/>
                <w:szCs w:val="20"/>
              </w:rPr>
              <w:t>here is typically a budget overspend</w:t>
            </w:r>
            <w:r>
              <w:rPr>
                <w:bCs/>
                <w:sz w:val="20"/>
                <w:szCs w:val="20"/>
              </w:rPr>
              <w:t>, while this year the budget was slightly exceeded in terms of personnel, the operational budget did not blow out.</w:t>
            </w:r>
          </w:p>
          <w:p w14:paraId="524B5CB0" w14:textId="77777777" w:rsidR="00B21E17" w:rsidRDefault="00B21E17" w:rsidP="004E7C9F">
            <w:pPr>
              <w:pStyle w:val="ListParagraph"/>
              <w:numPr>
                <w:ilvl w:val="0"/>
                <w:numId w:val="34"/>
              </w:numPr>
              <w:spacing w:after="40"/>
              <w:ind w:left="357" w:hanging="357"/>
              <w:contextualSpacing w:val="0"/>
              <w:rPr>
                <w:bCs/>
                <w:sz w:val="20"/>
                <w:szCs w:val="20"/>
              </w:rPr>
            </w:pPr>
            <w:r w:rsidRPr="00764D6F">
              <w:rPr>
                <w:b/>
                <w:bCs/>
                <w:sz w:val="20"/>
                <w:szCs w:val="20"/>
              </w:rPr>
              <w:t>Critical challenges</w:t>
            </w:r>
            <w:r>
              <w:rPr>
                <w:bCs/>
                <w:sz w:val="20"/>
                <w:szCs w:val="20"/>
              </w:rPr>
              <w:t xml:space="preserve">: There is no electronic HR system, the Leave Policy takes officers out of their roles for significant periods each year, loss of budget through claims against the state, and no system for training needs identification. </w:t>
            </w:r>
          </w:p>
          <w:p w14:paraId="302FA388" w14:textId="77777777" w:rsidR="00B21E17" w:rsidRDefault="00B21E17" w:rsidP="004E7C9F">
            <w:pPr>
              <w:pStyle w:val="ListParagraph"/>
              <w:numPr>
                <w:ilvl w:val="0"/>
                <w:numId w:val="34"/>
              </w:numPr>
              <w:spacing w:after="40"/>
              <w:ind w:left="357" w:hanging="357"/>
              <w:contextualSpacing w:val="0"/>
              <w:rPr>
                <w:bCs/>
                <w:sz w:val="20"/>
                <w:szCs w:val="20"/>
              </w:rPr>
            </w:pPr>
            <w:r w:rsidRPr="00997B09">
              <w:rPr>
                <w:b/>
                <w:bCs/>
                <w:sz w:val="20"/>
                <w:szCs w:val="20"/>
              </w:rPr>
              <w:t>Lack of appetite to address issues</w:t>
            </w:r>
            <w:r>
              <w:rPr>
                <w:bCs/>
                <w:sz w:val="20"/>
                <w:szCs w:val="20"/>
              </w:rPr>
              <w:t>: There is little a</w:t>
            </w:r>
            <w:r w:rsidRPr="00B44DA9">
              <w:rPr>
                <w:bCs/>
                <w:sz w:val="20"/>
                <w:szCs w:val="20"/>
              </w:rPr>
              <w:t xml:space="preserve">ppetite </w:t>
            </w:r>
            <w:r>
              <w:rPr>
                <w:bCs/>
                <w:sz w:val="20"/>
                <w:szCs w:val="20"/>
              </w:rPr>
              <w:t>among</w:t>
            </w:r>
            <w:r w:rsidRPr="00B44DA9">
              <w:rPr>
                <w:bCs/>
                <w:sz w:val="20"/>
                <w:szCs w:val="20"/>
              </w:rPr>
              <w:t xml:space="preserve"> senior leadership to</w:t>
            </w:r>
            <w:r>
              <w:rPr>
                <w:bCs/>
                <w:sz w:val="20"/>
                <w:szCs w:val="20"/>
              </w:rPr>
              <w:t xml:space="preserve"> address issues to improve functionality. While the Program has constituted good quality advisors and funds, it is not seeing a good level of reform. </w:t>
            </w:r>
          </w:p>
          <w:p w14:paraId="2EA158D9" w14:textId="77777777" w:rsidR="00B21E17" w:rsidRPr="009B4B9F" w:rsidRDefault="00B21E17" w:rsidP="004E7C9F">
            <w:pPr>
              <w:pStyle w:val="ListParagraph"/>
              <w:numPr>
                <w:ilvl w:val="0"/>
                <w:numId w:val="34"/>
              </w:numPr>
              <w:spacing w:after="40"/>
              <w:ind w:left="357" w:hanging="357"/>
              <w:contextualSpacing w:val="0"/>
              <w:rPr>
                <w:b/>
                <w:bCs/>
                <w:sz w:val="20"/>
                <w:szCs w:val="20"/>
              </w:rPr>
            </w:pPr>
            <w:r w:rsidRPr="009B4B9F">
              <w:rPr>
                <w:b/>
                <w:bCs/>
                <w:sz w:val="20"/>
                <w:szCs w:val="20"/>
              </w:rPr>
              <w:t xml:space="preserve">Changing context compounding pressures on CSU: </w:t>
            </w:r>
            <w:r w:rsidRPr="009B4B9F">
              <w:rPr>
                <w:bCs/>
                <w:sz w:val="20"/>
                <w:szCs w:val="20"/>
              </w:rPr>
              <w:t>Large loss of senior officers leaving</w:t>
            </w:r>
            <w:r>
              <w:rPr>
                <w:bCs/>
                <w:sz w:val="20"/>
                <w:szCs w:val="20"/>
              </w:rPr>
              <w:t xml:space="preserve">, and the </w:t>
            </w:r>
            <w:proofErr w:type="spellStart"/>
            <w:r w:rsidRPr="009B4B9F">
              <w:rPr>
                <w:bCs/>
                <w:sz w:val="20"/>
                <w:szCs w:val="20"/>
              </w:rPr>
              <w:t>decentralisation</w:t>
            </w:r>
            <w:proofErr w:type="spellEnd"/>
            <w:r w:rsidRPr="009B4B9F">
              <w:rPr>
                <w:bCs/>
                <w:sz w:val="20"/>
                <w:szCs w:val="20"/>
              </w:rPr>
              <w:t xml:space="preserve"> process</w:t>
            </w:r>
            <w:r>
              <w:rPr>
                <w:bCs/>
                <w:sz w:val="20"/>
                <w:szCs w:val="20"/>
              </w:rPr>
              <w:t xml:space="preserve"> and new recruits </w:t>
            </w:r>
            <w:r w:rsidRPr="009B4B9F">
              <w:rPr>
                <w:bCs/>
                <w:sz w:val="20"/>
                <w:szCs w:val="20"/>
              </w:rPr>
              <w:t xml:space="preserve">which will have a huge impact on resources. </w:t>
            </w:r>
          </w:p>
          <w:p w14:paraId="7EDA3866" w14:textId="77777777" w:rsidR="00B21E17" w:rsidRPr="009B4B9F" w:rsidRDefault="00B21E17" w:rsidP="004E7C9F">
            <w:pPr>
              <w:pStyle w:val="ListParagraph"/>
              <w:numPr>
                <w:ilvl w:val="0"/>
                <w:numId w:val="34"/>
              </w:numPr>
              <w:spacing w:after="40"/>
              <w:ind w:left="357" w:hanging="357"/>
              <w:contextualSpacing w:val="0"/>
              <w:rPr>
                <w:bCs/>
                <w:sz w:val="20"/>
                <w:szCs w:val="20"/>
              </w:rPr>
            </w:pPr>
            <w:proofErr w:type="spellStart"/>
            <w:r w:rsidRPr="00CF7BC2">
              <w:rPr>
                <w:b/>
                <w:sz w:val="20"/>
                <w:szCs w:val="20"/>
              </w:rPr>
              <w:t>Civilianisation</w:t>
            </w:r>
            <w:proofErr w:type="spellEnd"/>
            <w:r w:rsidRPr="00CF7BC2">
              <w:rPr>
                <w:b/>
                <w:sz w:val="20"/>
                <w:szCs w:val="20"/>
              </w:rPr>
              <w:t xml:space="preserve"> is in progress</w:t>
            </w:r>
            <w:r>
              <w:rPr>
                <w:sz w:val="20"/>
                <w:szCs w:val="20"/>
              </w:rPr>
              <w:t>: Policies and procedures are not followed and a lack of staff. Challenges relate to CSU standing, and the dynamic between sworn and unsworn.</w:t>
            </w:r>
            <w:r w:rsidR="00B1646A">
              <w:rPr>
                <w:sz w:val="20"/>
                <w:szCs w:val="20"/>
              </w:rPr>
              <w:t xml:space="preserve"> </w:t>
            </w:r>
            <w:r w:rsidRPr="0041067D">
              <w:rPr>
                <w:bCs/>
                <w:sz w:val="20"/>
                <w:szCs w:val="20"/>
              </w:rPr>
              <w:t>CSU is under-resourced and needs to be civilianized, while there has been some progress in this area, it is resisted internally.</w:t>
            </w:r>
          </w:p>
        </w:tc>
        <w:tc>
          <w:tcPr>
            <w:tcW w:w="3686" w:type="dxa"/>
            <w:shd w:val="clear" w:color="auto" w:fill="auto"/>
          </w:tcPr>
          <w:p w14:paraId="14B28A68" w14:textId="77777777" w:rsidR="00B21E17" w:rsidRDefault="00B21E17" w:rsidP="004E7C9F">
            <w:pPr>
              <w:pStyle w:val="ListParagraph"/>
              <w:numPr>
                <w:ilvl w:val="0"/>
                <w:numId w:val="34"/>
              </w:numPr>
              <w:spacing w:after="40"/>
              <w:ind w:left="357" w:hanging="357"/>
              <w:contextualSpacing w:val="0"/>
              <w:rPr>
                <w:sz w:val="20"/>
                <w:szCs w:val="20"/>
              </w:rPr>
            </w:pPr>
            <w:r>
              <w:rPr>
                <w:sz w:val="20"/>
                <w:szCs w:val="20"/>
              </w:rPr>
              <w:t xml:space="preserve">Individually focused capacity building focused on training staff. </w:t>
            </w:r>
          </w:p>
          <w:p w14:paraId="20747A3F" w14:textId="77777777" w:rsidR="00B21E17" w:rsidRDefault="00B21E17" w:rsidP="004E7C9F">
            <w:pPr>
              <w:pStyle w:val="ListParagraph"/>
              <w:numPr>
                <w:ilvl w:val="0"/>
                <w:numId w:val="34"/>
              </w:numPr>
              <w:spacing w:after="40"/>
              <w:ind w:left="357" w:hanging="357"/>
              <w:contextualSpacing w:val="0"/>
              <w:rPr>
                <w:sz w:val="20"/>
                <w:szCs w:val="20"/>
              </w:rPr>
            </w:pPr>
            <w:r>
              <w:rPr>
                <w:sz w:val="20"/>
                <w:szCs w:val="20"/>
              </w:rPr>
              <w:t xml:space="preserve">There is a lack of a system to assess and identify training needs, with officers attending training on an ad-hoc basis dependent on the types of training offered by donors. There is opportunity to institute a structured locally led training needs identification process which could enable the VPF to communicate training need to donors. </w:t>
            </w:r>
          </w:p>
          <w:p w14:paraId="2F827AC9" w14:textId="77777777" w:rsidR="00B21E17" w:rsidRPr="00A15CE1" w:rsidRDefault="00B21E17" w:rsidP="004E7C9F">
            <w:pPr>
              <w:pStyle w:val="ListParagraph"/>
              <w:numPr>
                <w:ilvl w:val="0"/>
                <w:numId w:val="34"/>
              </w:numPr>
              <w:spacing w:after="40"/>
              <w:ind w:left="357" w:hanging="357"/>
              <w:contextualSpacing w:val="0"/>
              <w:rPr>
                <w:sz w:val="20"/>
                <w:szCs w:val="20"/>
              </w:rPr>
            </w:pPr>
            <w:r>
              <w:rPr>
                <w:sz w:val="20"/>
                <w:szCs w:val="20"/>
              </w:rPr>
              <w:t xml:space="preserve">Have made attempts to work at the </w:t>
            </w:r>
            <w:proofErr w:type="spellStart"/>
            <w:r>
              <w:rPr>
                <w:sz w:val="20"/>
                <w:szCs w:val="20"/>
              </w:rPr>
              <w:t>organisational</w:t>
            </w:r>
            <w:proofErr w:type="spellEnd"/>
            <w:r>
              <w:rPr>
                <w:sz w:val="20"/>
                <w:szCs w:val="20"/>
              </w:rPr>
              <w:t xml:space="preserve"> level but without much success. The advisors have undertaken good analysis which has </w:t>
            </w:r>
            <w:r w:rsidRPr="00A15CE1">
              <w:rPr>
                <w:sz w:val="20"/>
                <w:szCs w:val="20"/>
              </w:rPr>
              <w:t>empowered the director to understand what is going on in the VPF related to finances.</w:t>
            </w:r>
          </w:p>
        </w:tc>
        <w:tc>
          <w:tcPr>
            <w:tcW w:w="3543" w:type="dxa"/>
            <w:shd w:val="clear" w:color="auto" w:fill="auto"/>
          </w:tcPr>
          <w:p w14:paraId="3BAD37D4" w14:textId="77777777" w:rsidR="00B21E17" w:rsidRDefault="00B21E17" w:rsidP="004E7C9F">
            <w:pPr>
              <w:pStyle w:val="ListParagraph"/>
              <w:numPr>
                <w:ilvl w:val="0"/>
                <w:numId w:val="34"/>
              </w:numPr>
              <w:spacing w:after="40"/>
              <w:ind w:left="357" w:hanging="357"/>
              <w:contextualSpacing w:val="0"/>
              <w:rPr>
                <w:sz w:val="20"/>
                <w:szCs w:val="20"/>
              </w:rPr>
            </w:pPr>
            <w:r>
              <w:rPr>
                <w:sz w:val="20"/>
                <w:szCs w:val="20"/>
              </w:rPr>
              <w:t xml:space="preserve">WAN identified the key blockage to career progression as the lack of opportunity to attend specialized training courses. While stated that while women’s participation in trainings was a directive by </w:t>
            </w:r>
            <w:proofErr w:type="gramStart"/>
            <w:r>
              <w:rPr>
                <w:sz w:val="20"/>
                <w:szCs w:val="20"/>
              </w:rPr>
              <w:t>commander’s</w:t>
            </w:r>
            <w:proofErr w:type="gramEnd"/>
            <w:r>
              <w:rPr>
                <w:sz w:val="20"/>
                <w:szCs w:val="20"/>
              </w:rPr>
              <w:t xml:space="preserve">, HR had overruled this decision, blocking women’s participation. The Program does not appear to be </w:t>
            </w:r>
            <w:proofErr w:type="spellStart"/>
            <w:r>
              <w:rPr>
                <w:sz w:val="20"/>
                <w:szCs w:val="20"/>
              </w:rPr>
              <w:t>cognisant</w:t>
            </w:r>
            <w:proofErr w:type="spellEnd"/>
            <w:r>
              <w:rPr>
                <w:sz w:val="20"/>
                <w:szCs w:val="20"/>
              </w:rPr>
              <w:t xml:space="preserve"> of this issue and actively working with CSU to address barriers to women’s attendance. </w:t>
            </w:r>
          </w:p>
          <w:p w14:paraId="7F438C70" w14:textId="77777777" w:rsidR="00B21E17" w:rsidRPr="00812322" w:rsidRDefault="00B21E17" w:rsidP="004E7C9F">
            <w:pPr>
              <w:pStyle w:val="ListParagraph"/>
              <w:numPr>
                <w:ilvl w:val="0"/>
                <w:numId w:val="34"/>
              </w:numPr>
              <w:spacing w:after="40"/>
              <w:ind w:left="357" w:hanging="357"/>
              <w:contextualSpacing w:val="0"/>
              <w:rPr>
                <w:sz w:val="20"/>
                <w:szCs w:val="20"/>
              </w:rPr>
            </w:pPr>
            <w:r>
              <w:rPr>
                <w:sz w:val="20"/>
                <w:szCs w:val="20"/>
              </w:rPr>
              <w:t>Opportunities to strengthen gender-based budgeting.</w:t>
            </w:r>
          </w:p>
        </w:tc>
      </w:tr>
      <w:tr w:rsidR="00B21E17" w14:paraId="39F45265" w14:textId="77777777" w:rsidTr="00EC431E">
        <w:trPr>
          <w:trHeight w:val="583"/>
        </w:trPr>
        <w:tc>
          <w:tcPr>
            <w:tcW w:w="1418" w:type="dxa"/>
            <w:shd w:val="clear" w:color="auto" w:fill="auto"/>
          </w:tcPr>
          <w:p w14:paraId="20A7FE79" w14:textId="77777777" w:rsidR="00B21E17" w:rsidRPr="00EF10B6" w:rsidRDefault="00B21E17" w:rsidP="004E7C9F">
            <w:pPr>
              <w:pStyle w:val="ListParagraph"/>
              <w:numPr>
                <w:ilvl w:val="0"/>
                <w:numId w:val="35"/>
              </w:numPr>
              <w:ind w:left="174" w:hanging="174"/>
              <w:rPr>
                <w:b/>
                <w:bCs/>
                <w:sz w:val="20"/>
                <w:szCs w:val="20"/>
              </w:rPr>
            </w:pPr>
            <w:r>
              <w:rPr>
                <w:b/>
                <w:bCs/>
                <w:sz w:val="20"/>
                <w:szCs w:val="20"/>
              </w:rPr>
              <w:t>PSU</w:t>
            </w:r>
          </w:p>
          <w:p w14:paraId="67DA2073" w14:textId="77777777" w:rsidR="00B21E17" w:rsidRPr="0056788A" w:rsidRDefault="00B21E17" w:rsidP="00EC431E">
            <w:pPr>
              <w:pStyle w:val="ListParagraph"/>
              <w:ind w:left="324"/>
              <w:rPr>
                <w:sz w:val="20"/>
                <w:szCs w:val="20"/>
              </w:rPr>
            </w:pPr>
          </w:p>
        </w:tc>
        <w:tc>
          <w:tcPr>
            <w:tcW w:w="6379" w:type="dxa"/>
            <w:shd w:val="clear" w:color="auto" w:fill="auto"/>
          </w:tcPr>
          <w:p w14:paraId="361BDA55" w14:textId="77777777" w:rsidR="00B21E17" w:rsidRPr="00E25A69" w:rsidRDefault="00B21E17" w:rsidP="004E7C9F">
            <w:pPr>
              <w:pStyle w:val="ListParagraph"/>
              <w:numPr>
                <w:ilvl w:val="0"/>
                <w:numId w:val="34"/>
              </w:numPr>
              <w:rPr>
                <w:sz w:val="20"/>
                <w:szCs w:val="20"/>
              </w:rPr>
            </w:pPr>
            <w:r w:rsidRPr="00E25A69">
              <w:rPr>
                <w:b/>
                <w:bCs/>
                <w:sz w:val="20"/>
                <w:szCs w:val="20"/>
              </w:rPr>
              <w:t>Significance of PSU:</w:t>
            </w:r>
            <w:r w:rsidR="00B1646A">
              <w:rPr>
                <w:sz w:val="20"/>
                <w:szCs w:val="20"/>
              </w:rPr>
              <w:t xml:space="preserve"> </w:t>
            </w:r>
            <w:r w:rsidRPr="00E25A69">
              <w:rPr>
                <w:sz w:val="20"/>
                <w:szCs w:val="20"/>
              </w:rPr>
              <w:t>The PSU is crucial to police accountability</w:t>
            </w:r>
            <w:r>
              <w:rPr>
                <w:sz w:val="20"/>
                <w:szCs w:val="20"/>
              </w:rPr>
              <w:t xml:space="preserve">. PSU </w:t>
            </w:r>
            <w:r w:rsidRPr="00E25A69">
              <w:rPr>
                <w:sz w:val="20"/>
                <w:szCs w:val="20"/>
              </w:rPr>
              <w:t xml:space="preserve">officers investigate allegations of </w:t>
            </w:r>
            <w:r>
              <w:rPr>
                <w:sz w:val="20"/>
                <w:szCs w:val="20"/>
              </w:rPr>
              <w:t xml:space="preserve">police </w:t>
            </w:r>
            <w:r w:rsidRPr="00E25A69">
              <w:rPr>
                <w:sz w:val="20"/>
                <w:szCs w:val="20"/>
              </w:rPr>
              <w:t>misconduct</w:t>
            </w:r>
            <w:r>
              <w:rPr>
                <w:sz w:val="20"/>
                <w:szCs w:val="20"/>
              </w:rPr>
              <w:t xml:space="preserve"> and disciplinary matters, and report directly to the VPF Commissioner on the findings.</w:t>
            </w:r>
            <w:r w:rsidR="00B1646A">
              <w:rPr>
                <w:sz w:val="20"/>
                <w:szCs w:val="20"/>
              </w:rPr>
              <w:t xml:space="preserve"> </w:t>
            </w:r>
          </w:p>
          <w:p w14:paraId="6593C0B3" w14:textId="77777777" w:rsidR="00B21E17" w:rsidRDefault="00B21E17" w:rsidP="00EC431E">
            <w:pPr>
              <w:pStyle w:val="ListParagraph"/>
              <w:spacing w:line="72" w:lineRule="auto"/>
              <w:ind w:left="357"/>
              <w:rPr>
                <w:sz w:val="20"/>
                <w:szCs w:val="20"/>
              </w:rPr>
            </w:pPr>
          </w:p>
          <w:p w14:paraId="70547A5A" w14:textId="77777777" w:rsidR="00B21E17" w:rsidRDefault="00B21E17" w:rsidP="004E7C9F">
            <w:pPr>
              <w:pStyle w:val="ListParagraph"/>
              <w:numPr>
                <w:ilvl w:val="0"/>
                <w:numId w:val="34"/>
              </w:numPr>
              <w:ind w:left="357" w:hanging="357"/>
              <w:rPr>
                <w:sz w:val="20"/>
                <w:szCs w:val="20"/>
              </w:rPr>
            </w:pPr>
            <w:r>
              <w:rPr>
                <w:b/>
                <w:bCs/>
                <w:sz w:val="20"/>
                <w:szCs w:val="20"/>
              </w:rPr>
              <w:t xml:space="preserve">Counterpart </w:t>
            </w:r>
            <w:r w:rsidRPr="00FF23F1">
              <w:rPr>
                <w:b/>
                <w:bCs/>
                <w:sz w:val="20"/>
                <w:szCs w:val="20"/>
              </w:rPr>
              <w:t>relationships:</w:t>
            </w:r>
            <w:r>
              <w:rPr>
                <w:sz w:val="20"/>
                <w:szCs w:val="20"/>
              </w:rPr>
              <w:t xml:space="preserve"> </w:t>
            </w:r>
            <w:r w:rsidRPr="00445376">
              <w:rPr>
                <w:sz w:val="20"/>
                <w:szCs w:val="20"/>
              </w:rPr>
              <w:t xml:space="preserve">TA </w:t>
            </w:r>
            <w:r>
              <w:rPr>
                <w:sz w:val="20"/>
                <w:szCs w:val="20"/>
              </w:rPr>
              <w:t xml:space="preserve">has a good relationship with PSU leadership and staff, though the TA’s time is divided between the PSU and PTC, which has limited the focus on professional standards. </w:t>
            </w:r>
          </w:p>
          <w:p w14:paraId="73E6BB0A" w14:textId="77777777" w:rsidR="00B21E17" w:rsidRDefault="00B21E17" w:rsidP="00EC431E">
            <w:pPr>
              <w:pStyle w:val="ListParagraph"/>
              <w:spacing w:line="72" w:lineRule="auto"/>
              <w:ind w:left="357"/>
              <w:rPr>
                <w:sz w:val="20"/>
                <w:szCs w:val="20"/>
              </w:rPr>
            </w:pPr>
          </w:p>
          <w:p w14:paraId="75A261A5" w14:textId="77777777" w:rsidR="00B21E17" w:rsidRPr="006F4B7C" w:rsidRDefault="00B21E17" w:rsidP="004E7C9F">
            <w:pPr>
              <w:pStyle w:val="ListParagraph"/>
              <w:numPr>
                <w:ilvl w:val="0"/>
                <w:numId w:val="34"/>
              </w:numPr>
              <w:rPr>
                <w:sz w:val="20"/>
                <w:szCs w:val="20"/>
              </w:rPr>
            </w:pPr>
            <w:r w:rsidRPr="006F4B7C">
              <w:rPr>
                <w:b/>
                <w:bCs/>
                <w:sz w:val="20"/>
                <w:szCs w:val="20"/>
              </w:rPr>
              <w:t>Current functions:</w:t>
            </w:r>
            <w:r w:rsidR="00B1646A">
              <w:rPr>
                <w:b/>
                <w:bCs/>
                <w:sz w:val="20"/>
                <w:szCs w:val="20"/>
              </w:rPr>
              <w:t xml:space="preserve"> </w:t>
            </w:r>
            <w:r w:rsidRPr="006F4B7C">
              <w:rPr>
                <w:sz w:val="20"/>
                <w:szCs w:val="20"/>
              </w:rPr>
              <w:t>PSU officers are investigati</w:t>
            </w:r>
            <w:r>
              <w:rPr>
                <w:sz w:val="20"/>
                <w:szCs w:val="20"/>
              </w:rPr>
              <w:t>ng</w:t>
            </w:r>
            <w:r w:rsidRPr="006F4B7C">
              <w:rPr>
                <w:sz w:val="20"/>
                <w:szCs w:val="20"/>
              </w:rPr>
              <w:t xml:space="preserve"> allegations </w:t>
            </w:r>
            <w:r>
              <w:rPr>
                <w:sz w:val="20"/>
                <w:szCs w:val="20"/>
              </w:rPr>
              <w:t>against police</w:t>
            </w:r>
            <w:r w:rsidRPr="006F4B7C">
              <w:rPr>
                <w:sz w:val="20"/>
                <w:szCs w:val="20"/>
              </w:rPr>
              <w:t xml:space="preserve"> in Port Vila</w:t>
            </w:r>
            <w:r>
              <w:rPr>
                <w:sz w:val="20"/>
                <w:szCs w:val="20"/>
              </w:rPr>
              <w:t xml:space="preserve"> and other islands</w:t>
            </w:r>
            <w:r w:rsidRPr="006F4B7C">
              <w:rPr>
                <w:sz w:val="20"/>
                <w:szCs w:val="20"/>
              </w:rPr>
              <w:t xml:space="preserve">, as well as </w:t>
            </w:r>
            <w:r>
              <w:rPr>
                <w:sz w:val="20"/>
                <w:szCs w:val="20"/>
              </w:rPr>
              <w:t>raising awareness about the work of the PSU in the</w:t>
            </w:r>
            <w:r w:rsidRPr="006F4B7C">
              <w:rPr>
                <w:sz w:val="20"/>
                <w:szCs w:val="20"/>
              </w:rPr>
              <w:t xml:space="preserve"> communit</w:t>
            </w:r>
            <w:r>
              <w:rPr>
                <w:sz w:val="20"/>
                <w:szCs w:val="20"/>
              </w:rPr>
              <w:t>y</w:t>
            </w:r>
            <w:r w:rsidRPr="006F4B7C">
              <w:rPr>
                <w:sz w:val="20"/>
                <w:szCs w:val="20"/>
              </w:rPr>
              <w:t>, with oversight from TA. The</w:t>
            </w:r>
            <w:r>
              <w:rPr>
                <w:sz w:val="20"/>
                <w:szCs w:val="20"/>
              </w:rPr>
              <w:t xml:space="preserve"> Unit is</w:t>
            </w:r>
            <w:r w:rsidRPr="006F4B7C">
              <w:rPr>
                <w:sz w:val="20"/>
                <w:szCs w:val="20"/>
              </w:rPr>
              <w:t xml:space="preserve"> investigating high profile cases despite pressures </w:t>
            </w:r>
            <w:r>
              <w:rPr>
                <w:sz w:val="20"/>
                <w:szCs w:val="20"/>
              </w:rPr>
              <w:t xml:space="preserve">and personal risks, </w:t>
            </w:r>
            <w:r w:rsidRPr="006F4B7C">
              <w:rPr>
                <w:sz w:val="20"/>
                <w:szCs w:val="20"/>
              </w:rPr>
              <w:t xml:space="preserve">and providing </w:t>
            </w:r>
            <w:r>
              <w:rPr>
                <w:sz w:val="20"/>
                <w:szCs w:val="20"/>
              </w:rPr>
              <w:t xml:space="preserve">the </w:t>
            </w:r>
            <w:r w:rsidRPr="006F4B7C">
              <w:rPr>
                <w:sz w:val="20"/>
                <w:szCs w:val="20"/>
              </w:rPr>
              <w:t xml:space="preserve">results to </w:t>
            </w:r>
            <w:r>
              <w:rPr>
                <w:sz w:val="20"/>
                <w:szCs w:val="20"/>
              </w:rPr>
              <w:t xml:space="preserve">VPF </w:t>
            </w:r>
            <w:r w:rsidRPr="006F4B7C">
              <w:rPr>
                <w:sz w:val="20"/>
                <w:szCs w:val="20"/>
              </w:rPr>
              <w:t>leadership.</w:t>
            </w:r>
            <w:r w:rsidRPr="00A03D14">
              <w:rPr>
                <w:sz w:val="20"/>
                <w:szCs w:val="20"/>
              </w:rPr>
              <w:t xml:space="preserve"> </w:t>
            </w:r>
          </w:p>
          <w:p w14:paraId="7188F03F" w14:textId="77777777" w:rsidR="00B21E17" w:rsidRDefault="00B21E17" w:rsidP="00EC431E">
            <w:pPr>
              <w:pStyle w:val="ListParagraph"/>
              <w:spacing w:line="72" w:lineRule="auto"/>
              <w:ind w:left="357"/>
              <w:rPr>
                <w:sz w:val="20"/>
                <w:szCs w:val="20"/>
              </w:rPr>
            </w:pPr>
          </w:p>
          <w:p w14:paraId="2D75A416" w14:textId="77777777" w:rsidR="00B21E17" w:rsidRPr="00580DA0" w:rsidRDefault="00B21E17" w:rsidP="004E7C9F">
            <w:pPr>
              <w:pStyle w:val="ListParagraph"/>
              <w:numPr>
                <w:ilvl w:val="0"/>
                <w:numId w:val="34"/>
              </w:numPr>
              <w:rPr>
                <w:sz w:val="20"/>
                <w:szCs w:val="20"/>
              </w:rPr>
            </w:pPr>
            <w:r w:rsidRPr="00580DA0">
              <w:rPr>
                <w:b/>
                <w:bCs/>
                <w:sz w:val="20"/>
                <w:szCs w:val="20"/>
              </w:rPr>
              <w:t>Operating context:</w:t>
            </w:r>
            <w:r w:rsidR="00B1646A">
              <w:rPr>
                <w:sz w:val="20"/>
                <w:szCs w:val="20"/>
              </w:rPr>
              <w:t xml:space="preserve"> </w:t>
            </w:r>
            <w:r w:rsidRPr="00580DA0">
              <w:rPr>
                <w:sz w:val="20"/>
                <w:szCs w:val="20"/>
              </w:rPr>
              <w:t xml:space="preserve">The Program is providing TA and required funding for the PSU, without which the Unit would “collapse”. The PSU is clearly not sustainable. However, the Unit is still functioning, matters are taken forward and raised at senior levels, and sanctions are being imposed. Ongoing </w:t>
            </w:r>
            <w:proofErr w:type="spellStart"/>
            <w:r w:rsidRPr="00580DA0">
              <w:rPr>
                <w:sz w:val="20"/>
                <w:szCs w:val="20"/>
              </w:rPr>
              <w:t>GoA</w:t>
            </w:r>
            <w:proofErr w:type="spellEnd"/>
            <w:r w:rsidRPr="00580DA0">
              <w:rPr>
                <w:sz w:val="20"/>
                <w:szCs w:val="20"/>
              </w:rPr>
              <w:t xml:space="preserve"> support is important as this gives the PSU political coverage and legitimacy</w:t>
            </w:r>
            <w:r>
              <w:rPr>
                <w:sz w:val="20"/>
                <w:szCs w:val="20"/>
              </w:rPr>
              <w:t xml:space="preserve"> for its highly sensitive work</w:t>
            </w:r>
            <w:r w:rsidRPr="00580DA0">
              <w:rPr>
                <w:sz w:val="20"/>
                <w:szCs w:val="20"/>
              </w:rPr>
              <w:t>.</w:t>
            </w:r>
          </w:p>
          <w:p w14:paraId="1524BBEF" w14:textId="77777777" w:rsidR="00B21E17" w:rsidRDefault="00B21E17" w:rsidP="00EC431E">
            <w:pPr>
              <w:pStyle w:val="ListParagraph"/>
              <w:spacing w:line="72" w:lineRule="auto"/>
              <w:ind w:left="357"/>
              <w:rPr>
                <w:sz w:val="20"/>
                <w:szCs w:val="20"/>
              </w:rPr>
            </w:pPr>
          </w:p>
          <w:p w14:paraId="3D4A6E6E" w14:textId="77777777" w:rsidR="00B21E17" w:rsidRPr="007D48A9" w:rsidRDefault="00B21E17" w:rsidP="004E7C9F">
            <w:pPr>
              <w:pStyle w:val="ListParagraph"/>
              <w:numPr>
                <w:ilvl w:val="0"/>
                <w:numId w:val="34"/>
              </w:numPr>
              <w:rPr>
                <w:sz w:val="20"/>
                <w:szCs w:val="20"/>
              </w:rPr>
            </w:pPr>
            <w:r w:rsidRPr="00A03D14">
              <w:rPr>
                <w:b/>
                <w:bCs/>
                <w:sz w:val="20"/>
                <w:szCs w:val="20"/>
              </w:rPr>
              <w:t xml:space="preserve">Possible future directions: </w:t>
            </w:r>
            <w:r w:rsidRPr="00A03D14">
              <w:rPr>
                <w:sz w:val="20"/>
                <w:szCs w:val="20"/>
              </w:rPr>
              <w:t>The PSU</w:t>
            </w:r>
            <w:r>
              <w:rPr>
                <w:sz w:val="20"/>
                <w:szCs w:val="20"/>
              </w:rPr>
              <w:t xml:space="preserve">’s work should not be regarded as </w:t>
            </w:r>
            <w:r w:rsidRPr="00A03D14">
              <w:rPr>
                <w:sz w:val="20"/>
                <w:szCs w:val="20"/>
              </w:rPr>
              <w:t xml:space="preserve">punitive, </w:t>
            </w:r>
            <w:r>
              <w:rPr>
                <w:sz w:val="20"/>
                <w:szCs w:val="20"/>
              </w:rPr>
              <w:t xml:space="preserve">as it </w:t>
            </w:r>
            <w:r w:rsidRPr="00A03D14">
              <w:rPr>
                <w:sz w:val="20"/>
                <w:szCs w:val="20"/>
              </w:rPr>
              <w:t xml:space="preserve">also represents a development opportunity </w:t>
            </w:r>
            <w:r>
              <w:rPr>
                <w:sz w:val="20"/>
                <w:szCs w:val="20"/>
              </w:rPr>
              <w:t>to</w:t>
            </w:r>
            <w:r w:rsidRPr="00A03D14">
              <w:rPr>
                <w:sz w:val="20"/>
                <w:szCs w:val="20"/>
              </w:rPr>
              <w:t xml:space="preserve"> conduct education, awareness, prevention work, and</w:t>
            </w:r>
            <w:r>
              <w:rPr>
                <w:sz w:val="20"/>
                <w:szCs w:val="20"/>
              </w:rPr>
              <w:t xml:space="preserve"> to</w:t>
            </w:r>
            <w:r w:rsidRPr="00A03D14">
              <w:rPr>
                <w:sz w:val="20"/>
                <w:szCs w:val="20"/>
              </w:rPr>
              <w:t xml:space="preserve"> develop policies and standards for changes in </w:t>
            </w:r>
            <w:proofErr w:type="spellStart"/>
            <w:r w:rsidRPr="00A03D14">
              <w:rPr>
                <w:sz w:val="20"/>
                <w:szCs w:val="20"/>
              </w:rPr>
              <w:t>behaviour</w:t>
            </w:r>
            <w:proofErr w:type="spellEnd"/>
            <w:r w:rsidRPr="00A03D14">
              <w:rPr>
                <w:sz w:val="20"/>
                <w:szCs w:val="20"/>
              </w:rPr>
              <w:t xml:space="preserve"> in the VPF. </w:t>
            </w:r>
            <w:r>
              <w:rPr>
                <w:sz w:val="20"/>
                <w:szCs w:val="20"/>
              </w:rPr>
              <w:t>For example, t</w:t>
            </w:r>
            <w:r>
              <w:rPr>
                <w:rFonts w:ascii="Calibri" w:hAnsi="Calibri" w:cs="Calibri"/>
                <w:sz w:val="20"/>
                <w:szCs w:val="20"/>
              </w:rPr>
              <w:t>here is a project underway within PSU to amend the Use of Force Policy to ensure it is fit for purpose with a particular focus on compliance.</w:t>
            </w:r>
          </w:p>
        </w:tc>
        <w:tc>
          <w:tcPr>
            <w:tcW w:w="3686" w:type="dxa"/>
            <w:shd w:val="clear" w:color="auto" w:fill="auto"/>
          </w:tcPr>
          <w:p w14:paraId="6B7B4B0C" w14:textId="77777777" w:rsidR="00B21E17" w:rsidRDefault="00B21E17" w:rsidP="004E7C9F">
            <w:pPr>
              <w:pStyle w:val="ListParagraph"/>
              <w:numPr>
                <w:ilvl w:val="0"/>
                <w:numId w:val="34"/>
              </w:numPr>
              <w:rPr>
                <w:sz w:val="20"/>
                <w:szCs w:val="20"/>
              </w:rPr>
            </w:pPr>
            <w:r>
              <w:rPr>
                <w:sz w:val="20"/>
                <w:szCs w:val="20"/>
              </w:rPr>
              <w:t xml:space="preserve">There does not appear to be a strong focus on capacity development in terms of how the PSU works with the rest of the VPF. </w:t>
            </w:r>
          </w:p>
          <w:p w14:paraId="73FB0A6F" w14:textId="77777777" w:rsidR="00B21E17" w:rsidRDefault="00B21E17" w:rsidP="00EC431E">
            <w:pPr>
              <w:pStyle w:val="ListParagraph"/>
              <w:spacing w:line="72" w:lineRule="auto"/>
              <w:ind w:left="357"/>
              <w:rPr>
                <w:sz w:val="20"/>
                <w:szCs w:val="20"/>
              </w:rPr>
            </w:pPr>
          </w:p>
          <w:p w14:paraId="00CC46EE" w14:textId="77777777" w:rsidR="00B21E17" w:rsidRDefault="00B21E17" w:rsidP="004E7C9F">
            <w:pPr>
              <w:pStyle w:val="ListParagraph"/>
              <w:numPr>
                <w:ilvl w:val="0"/>
                <w:numId w:val="34"/>
              </w:numPr>
              <w:rPr>
                <w:sz w:val="20"/>
                <w:szCs w:val="20"/>
              </w:rPr>
            </w:pPr>
            <w:r>
              <w:rPr>
                <w:sz w:val="20"/>
                <w:szCs w:val="20"/>
              </w:rPr>
              <w:t xml:space="preserve">A ‘thinking and working politically’ strategy is needed to join the Unit to the rest of the Program in a way that builds long term support for the professional standards function (a ‘whole of service’ approach). </w:t>
            </w:r>
          </w:p>
          <w:p w14:paraId="37C9BCA7" w14:textId="77777777" w:rsidR="00B21E17" w:rsidRDefault="00B21E17" w:rsidP="00EC431E">
            <w:pPr>
              <w:pStyle w:val="ListParagraph"/>
              <w:spacing w:line="72" w:lineRule="auto"/>
              <w:ind w:left="357"/>
              <w:rPr>
                <w:sz w:val="20"/>
                <w:szCs w:val="20"/>
              </w:rPr>
            </w:pPr>
          </w:p>
          <w:p w14:paraId="5157223E" w14:textId="77777777" w:rsidR="00B21E17" w:rsidRDefault="00B21E17" w:rsidP="004E7C9F">
            <w:pPr>
              <w:pStyle w:val="ListParagraph"/>
              <w:numPr>
                <w:ilvl w:val="0"/>
                <w:numId w:val="34"/>
              </w:numPr>
              <w:rPr>
                <w:sz w:val="20"/>
                <w:szCs w:val="20"/>
              </w:rPr>
            </w:pPr>
            <w:r w:rsidRPr="00866A25">
              <w:rPr>
                <w:sz w:val="20"/>
                <w:szCs w:val="20"/>
              </w:rPr>
              <w:t xml:space="preserve">Current support seems largely operational, not strategic. The Program will need to assist the PSU to develop a strategy for where </w:t>
            </w:r>
            <w:proofErr w:type="spellStart"/>
            <w:r w:rsidRPr="00866A25">
              <w:rPr>
                <w:sz w:val="20"/>
                <w:szCs w:val="20"/>
              </w:rPr>
              <w:t>GoA</w:t>
            </w:r>
            <w:proofErr w:type="spellEnd"/>
            <w:r w:rsidRPr="00866A25">
              <w:rPr>
                <w:sz w:val="20"/>
                <w:szCs w:val="20"/>
              </w:rPr>
              <w:t xml:space="preserve"> support is expected to take the Unit in the next phase.</w:t>
            </w:r>
          </w:p>
          <w:p w14:paraId="16C98615" w14:textId="77777777" w:rsidR="00B21E17" w:rsidRPr="00866A25" w:rsidRDefault="00B21E17" w:rsidP="00EC431E">
            <w:pPr>
              <w:pStyle w:val="ListParagraph"/>
              <w:spacing w:line="72" w:lineRule="auto"/>
              <w:ind w:left="357"/>
              <w:rPr>
                <w:sz w:val="20"/>
                <w:szCs w:val="20"/>
              </w:rPr>
            </w:pPr>
          </w:p>
          <w:p w14:paraId="4C299A23" w14:textId="77777777" w:rsidR="00B21E17" w:rsidRDefault="00B21E17" w:rsidP="004E7C9F">
            <w:pPr>
              <w:pStyle w:val="ListParagraph"/>
              <w:numPr>
                <w:ilvl w:val="0"/>
                <w:numId w:val="34"/>
              </w:numPr>
              <w:rPr>
                <w:sz w:val="20"/>
                <w:szCs w:val="20"/>
              </w:rPr>
            </w:pPr>
            <w:r>
              <w:rPr>
                <w:rFonts w:ascii="Calibri" w:hAnsi="Calibri" w:cs="Calibri"/>
                <w:sz w:val="20"/>
                <w:szCs w:val="20"/>
              </w:rPr>
              <w:t xml:space="preserve">A PSU office is planned for Northern Command, which will be an opportunity to tap into the cross-VPF capacity building approach being taken by the TA in Santo. </w:t>
            </w:r>
          </w:p>
          <w:p w14:paraId="730B07A1" w14:textId="77777777" w:rsidR="00B21E17" w:rsidRPr="00812322" w:rsidRDefault="00B21E17" w:rsidP="00EC431E">
            <w:pPr>
              <w:pStyle w:val="ListParagraph"/>
              <w:ind w:left="360"/>
              <w:rPr>
                <w:sz w:val="20"/>
                <w:szCs w:val="20"/>
              </w:rPr>
            </w:pPr>
          </w:p>
        </w:tc>
        <w:tc>
          <w:tcPr>
            <w:tcW w:w="3543" w:type="dxa"/>
            <w:shd w:val="clear" w:color="auto" w:fill="auto"/>
          </w:tcPr>
          <w:p w14:paraId="0930A04E" w14:textId="77777777" w:rsidR="00B21E17" w:rsidRDefault="00B21E17" w:rsidP="004E7C9F">
            <w:pPr>
              <w:pStyle w:val="ListParagraph"/>
              <w:numPr>
                <w:ilvl w:val="0"/>
                <w:numId w:val="34"/>
              </w:numPr>
              <w:rPr>
                <w:sz w:val="20"/>
                <w:szCs w:val="20"/>
              </w:rPr>
            </w:pPr>
            <w:r>
              <w:rPr>
                <w:sz w:val="20"/>
                <w:szCs w:val="20"/>
              </w:rPr>
              <w:t>At present, there are three male officers and one female officer in the PSU.</w:t>
            </w:r>
          </w:p>
          <w:p w14:paraId="29828AB5" w14:textId="77777777" w:rsidR="00B21E17" w:rsidRDefault="00B21E17" w:rsidP="00EC431E">
            <w:pPr>
              <w:pStyle w:val="ListParagraph"/>
              <w:spacing w:line="72" w:lineRule="auto"/>
              <w:ind w:left="357"/>
              <w:rPr>
                <w:sz w:val="20"/>
                <w:szCs w:val="20"/>
              </w:rPr>
            </w:pPr>
          </w:p>
          <w:p w14:paraId="10100857" w14:textId="77777777" w:rsidR="00B21E17" w:rsidRPr="004B23C3" w:rsidRDefault="00B21E17" w:rsidP="004E7C9F">
            <w:pPr>
              <w:pStyle w:val="ListParagraph"/>
              <w:numPr>
                <w:ilvl w:val="0"/>
                <w:numId w:val="34"/>
              </w:numPr>
              <w:rPr>
                <w:sz w:val="20"/>
                <w:szCs w:val="20"/>
              </w:rPr>
            </w:pPr>
            <w:r w:rsidRPr="004B23C3">
              <w:rPr>
                <w:sz w:val="20"/>
                <w:szCs w:val="20"/>
              </w:rPr>
              <w:t xml:space="preserve">Complaints against police officers are mostly from women, which reflects a male-dominated culture within the VPF and in society. </w:t>
            </w:r>
          </w:p>
          <w:p w14:paraId="521CA920" w14:textId="77777777" w:rsidR="00B21E17" w:rsidRPr="00185866" w:rsidRDefault="00B21E17" w:rsidP="00EC431E">
            <w:pPr>
              <w:pStyle w:val="ListParagraph"/>
              <w:spacing w:line="72" w:lineRule="auto"/>
              <w:ind w:left="357"/>
              <w:rPr>
                <w:sz w:val="20"/>
                <w:szCs w:val="20"/>
                <w:highlight w:val="yellow"/>
              </w:rPr>
            </w:pPr>
          </w:p>
          <w:p w14:paraId="30912152" w14:textId="77777777" w:rsidR="00B21E17" w:rsidRDefault="00B21E17" w:rsidP="004E7C9F">
            <w:pPr>
              <w:pStyle w:val="ListParagraph"/>
              <w:numPr>
                <w:ilvl w:val="0"/>
                <w:numId w:val="34"/>
              </w:numPr>
              <w:rPr>
                <w:sz w:val="20"/>
                <w:szCs w:val="20"/>
              </w:rPr>
            </w:pPr>
            <w:r>
              <w:rPr>
                <w:sz w:val="20"/>
                <w:szCs w:val="20"/>
              </w:rPr>
              <w:t xml:space="preserve">While work is being undertaken by the PSU internally to change the mindsets and </w:t>
            </w:r>
            <w:proofErr w:type="spellStart"/>
            <w:r>
              <w:rPr>
                <w:sz w:val="20"/>
                <w:szCs w:val="20"/>
              </w:rPr>
              <w:t>behaviour</w:t>
            </w:r>
            <w:proofErr w:type="spellEnd"/>
            <w:r>
              <w:rPr>
                <w:sz w:val="20"/>
                <w:szCs w:val="20"/>
              </w:rPr>
              <w:t xml:space="preserve"> of officers, it is not clear whether this extends to, or has had any impact upon, gender equality within the VPF and in the treatment of women in the community.</w:t>
            </w:r>
            <w:r w:rsidR="00B1646A">
              <w:rPr>
                <w:sz w:val="20"/>
                <w:szCs w:val="20"/>
              </w:rPr>
              <w:t xml:space="preserve"> </w:t>
            </w:r>
          </w:p>
          <w:p w14:paraId="4AB80175" w14:textId="77777777" w:rsidR="00B21E17" w:rsidRPr="00185866" w:rsidRDefault="00B21E17" w:rsidP="00EC431E">
            <w:pPr>
              <w:pStyle w:val="ListParagraph"/>
              <w:spacing w:line="72" w:lineRule="auto"/>
              <w:ind w:left="357"/>
              <w:rPr>
                <w:sz w:val="20"/>
                <w:szCs w:val="20"/>
              </w:rPr>
            </w:pPr>
          </w:p>
          <w:p w14:paraId="101CC7F7" w14:textId="77777777" w:rsidR="00B21E17" w:rsidRDefault="00B21E17" w:rsidP="004E7C9F">
            <w:pPr>
              <w:pStyle w:val="ListParagraph"/>
              <w:numPr>
                <w:ilvl w:val="0"/>
                <w:numId w:val="34"/>
              </w:numPr>
              <w:rPr>
                <w:sz w:val="20"/>
                <w:szCs w:val="20"/>
              </w:rPr>
            </w:pPr>
            <w:r>
              <w:rPr>
                <w:sz w:val="20"/>
                <w:szCs w:val="20"/>
              </w:rPr>
              <w:t xml:space="preserve">There does not appear to be a direct link between the PSU’s activities and the Program’s gender focus. </w:t>
            </w:r>
          </w:p>
          <w:p w14:paraId="3B2FF5C5" w14:textId="77777777" w:rsidR="00B21E17" w:rsidRPr="00CD3664" w:rsidRDefault="00B21E17" w:rsidP="00EC431E">
            <w:pPr>
              <w:pStyle w:val="ListParagraph"/>
              <w:ind w:left="360"/>
              <w:rPr>
                <w:sz w:val="20"/>
                <w:szCs w:val="20"/>
              </w:rPr>
            </w:pPr>
          </w:p>
        </w:tc>
      </w:tr>
      <w:tr w:rsidR="00B21E17" w14:paraId="63EF8990" w14:textId="77777777" w:rsidTr="00EC431E">
        <w:tc>
          <w:tcPr>
            <w:tcW w:w="1418" w:type="dxa"/>
            <w:shd w:val="clear" w:color="auto" w:fill="auto"/>
          </w:tcPr>
          <w:p w14:paraId="6D09BFA2" w14:textId="77777777" w:rsidR="00B21E17" w:rsidRPr="00883555" w:rsidRDefault="00B21E17" w:rsidP="004E7C9F">
            <w:pPr>
              <w:pStyle w:val="ListParagraph"/>
              <w:numPr>
                <w:ilvl w:val="0"/>
                <w:numId w:val="35"/>
              </w:numPr>
              <w:ind w:left="174" w:hanging="174"/>
              <w:rPr>
                <w:b/>
                <w:bCs/>
                <w:sz w:val="20"/>
                <w:szCs w:val="20"/>
              </w:rPr>
            </w:pPr>
            <w:r w:rsidRPr="00706CFE">
              <w:rPr>
                <w:b/>
                <w:bCs/>
                <w:sz w:val="20"/>
                <w:szCs w:val="20"/>
              </w:rPr>
              <w:t>Ministry of Internal Affairs</w:t>
            </w:r>
            <w:r w:rsidRPr="00883555">
              <w:rPr>
                <w:b/>
                <w:bCs/>
                <w:sz w:val="20"/>
                <w:szCs w:val="20"/>
              </w:rPr>
              <w:t xml:space="preserve"> </w:t>
            </w:r>
          </w:p>
        </w:tc>
        <w:tc>
          <w:tcPr>
            <w:tcW w:w="6379" w:type="dxa"/>
            <w:shd w:val="clear" w:color="auto" w:fill="auto"/>
          </w:tcPr>
          <w:p w14:paraId="2A09ACFA" w14:textId="77777777" w:rsidR="00B21E17" w:rsidRPr="00AD5F0E" w:rsidRDefault="00B21E17" w:rsidP="004E7C9F">
            <w:pPr>
              <w:pStyle w:val="ListParagraph"/>
              <w:numPr>
                <w:ilvl w:val="0"/>
                <w:numId w:val="34"/>
              </w:numPr>
              <w:spacing w:after="40"/>
              <w:ind w:left="357" w:hanging="357"/>
              <w:contextualSpacing w:val="0"/>
              <w:rPr>
                <w:sz w:val="20"/>
                <w:szCs w:val="20"/>
              </w:rPr>
            </w:pPr>
            <w:r w:rsidRPr="00AD5F0E">
              <w:rPr>
                <w:bCs/>
                <w:sz w:val="20"/>
                <w:szCs w:val="20"/>
              </w:rPr>
              <w:t xml:space="preserve">Political economy issue: The Program is not </w:t>
            </w:r>
            <w:r w:rsidR="002C0080">
              <w:rPr>
                <w:bCs/>
                <w:sz w:val="20"/>
                <w:szCs w:val="20"/>
              </w:rPr>
              <w:t xml:space="preserve">sufficiently </w:t>
            </w:r>
            <w:r w:rsidRPr="00AD5F0E">
              <w:rPr>
                <w:bCs/>
                <w:sz w:val="20"/>
                <w:szCs w:val="20"/>
              </w:rPr>
              <w:t xml:space="preserve">engaging with the </w:t>
            </w:r>
            <w:proofErr w:type="spellStart"/>
            <w:r w:rsidRPr="00AD5F0E">
              <w:rPr>
                <w:bCs/>
                <w:sz w:val="20"/>
                <w:szCs w:val="20"/>
              </w:rPr>
              <w:t>MoIA</w:t>
            </w:r>
            <w:proofErr w:type="spellEnd"/>
            <w:r w:rsidRPr="00AD5F0E">
              <w:rPr>
                <w:bCs/>
                <w:sz w:val="20"/>
                <w:szCs w:val="20"/>
              </w:rPr>
              <w:t xml:space="preserve"> which is a gap.</w:t>
            </w:r>
            <w:r w:rsidR="00B1646A">
              <w:rPr>
                <w:bCs/>
                <w:sz w:val="20"/>
                <w:szCs w:val="20"/>
              </w:rPr>
              <w:t xml:space="preserve"> </w:t>
            </w:r>
            <w:r w:rsidRPr="00AD5F0E">
              <w:rPr>
                <w:bCs/>
                <w:sz w:val="20"/>
                <w:szCs w:val="20"/>
              </w:rPr>
              <w:t xml:space="preserve">Only engage them when part of cross-sectoral activities. Connecting police to </w:t>
            </w:r>
            <w:proofErr w:type="spellStart"/>
            <w:r w:rsidRPr="00AD5F0E">
              <w:rPr>
                <w:bCs/>
                <w:sz w:val="20"/>
                <w:szCs w:val="20"/>
              </w:rPr>
              <w:t>MoIA</w:t>
            </w:r>
            <w:proofErr w:type="spellEnd"/>
            <w:r w:rsidRPr="00AD5F0E">
              <w:rPr>
                <w:bCs/>
                <w:sz w:val="20"/>
                <w:szCs w:val="20"/>
              </w:rPr>
              <w:t xml:space="preserve"> – where things play out but not directly engaged in the space or support to do role.</w:t>
            </w:r>
            <w:r w:rsidR="00B1646A">
              <w:rPr>
                <w:sz w:val="20"/>
                <w:szCs w:val="20"/>
              </w:rPr>
              <w:t xml:space="preserve"> </w:t>
            </w:r>
          </w:p>
        </w:tc>
        <w:tc>
          <w:tcPr>
            <w:tcW w:w="3686" w:type="dxa"/>
            <w:shd w:val="clear" w:color="auto" w:fill="auto"/>
          </w:tcPr>
          <w:p w14:paraId="503DC7DD" w14:textId="77777777" w:rsidR="00B21E17" w:rsidRDefault="00B21E17" w:rsidP="00EC431E"/>
        </w:tc>
        <w:tc>
          <w:tcPr>
            <w:tcW w:w="3543" w:type="dxa"/>
            <w:shd w:val="clear" w:color="auto" w:fill="auto"/>
          </w:tcPr>
          <w:p w14:paraId="6D294957" w14:textId="77777777" w:rsidR="00B21E17" w:rsidRDefault="00B21E17" w:rsidP="00EC431E">
            <w:pPr>
              <w:ind w:right="1735"/>
            </w:pPr>
          </w:p>
        </w:tc>
      </w:tr>
      <w:tr w:rsidR="00B21E17" w14:paraId="2A202483" w14:textId="77777777" w:rsidTr="00EC431E">
        <w:tc>
          <w:tcPr>
            <w:tcW w:w="1418" w:type="dxa"/>
            <w:shd w:val="clear" w:color="auto" w:fill="auto"/>
          </w:tcPr>
          <w:p w14:paraId="777D35FF" w14:textId="77777777" w:rsidR="00B21E17" w:rsidRPr="00883555" w:rsidRDefault="00B21E17" w:rsidP="004E7C9F">
            <w:pPr>
              <w:pStyle w:val="ListParagraph"/>
              <w:numPr>
                <w:ilvl w:val="0"/>
                <w:numId w:val="35"/>
              </w:numPr>
              <w:ind w:left="174" w:hanging="174"/>
              <w:rPr>
                <w:b/>
                <w:bCs/>
                <w:sz w:val="20"/>
                <w:szCs w:val="20"/>
              </w:rPr>
            </w:pPr>
            <w:r w:rsidRPr="00E25CF0">
              <w:rPr>
                <w:b/>
                <w:bCs/>
                <w:sz w:val="20"/>
                <w:szCs w:val="20"/>
              </w:rPr>
              <w:t>Northern Command</w:t>
            </w:r>
          </w:p>
        </w:tc>
        <w:tc>
          <w:tcPr>
            <w:tcW w:w="6379" w:type="dxa"/>
            <w:shd w:val="clear" w:color="auto" w:fill="auto"/>
          </w:tcPr>
          <w:p w14:paraId="198D6BEE" w14:textId="77777777" w:rsidR="00B21E17" w:rsidRPr="00FF32E5" w:rsidRDefault="00B21E17" w:rsidP="004E7C9F">
            <w:pPr>
              <w:pStyle w:val="ListParagraph"/>
              <w:numPr>
                <w:ilvl w:val="0"/>
                <w:numId w:val="34"/>
              </w:numPr>
              <w:rPr>
                <w:sz w:val="20"/>
                <w:szCs w:val="20"/>
              </w:rPr>
            </w:pPr>
            <w:r w:rsidRPr="00FF32E5">
              <w:rPr>
                <w:b/>
                <w:bCs/>
                <w:sz w:val="20"/>
                <w:szCs w:val="20"/>
              </w:rPr>
              <w:t>Significance of Northern Command:</w:t>
            </w:r>
            <w:r w:rsidR="00B1646A">
              <w:rPr>
                <w:b/>
                <w:bCs/>
                <w:sz w:val="20"/>
                <w:szCs w:val="20"/>
              </w:rPr>
              <w:t xml:space="preserve"> </w:t>
            </w:r>
            <w:r w:rsidRPr="00FF32E5">
              <w:rPr>
                <w:sz w:val="20"/>
                <w:szCs w:val="20"/>
              </w:rPr>
              <w:t xml:space="preserve">The Northern Command is reportedly operating well under strong leadership and is supportive of new initiatives such as the AP pilot and activities directed toward vulnerable groups. </w:t>
            </w:r>
          </w:p>
          <w:p w14:paraId="61723957" w14:textId="77777777" w:rsidR="00B21E17" w:rsidRPr="00FF32E5" w:rsidRDefault="00B21E17" w:rsidP="00EC431E">
            <w:pPr>
              <w:pStyle w:val="ListParagraph"/>
              <w:spacing w:line="72" w:lineRule="auto"/>
              <w:ind w:left="357"/>
              <w:rPr>
                <w:sz w:val="20"/>
                <w:szCs w:val="20"/>
              </w:rPr>
            </w:pPr>
          </w:p>
          <w:p w14:paraId="760E9B10" w14:textId="77777777" w:rsidR="00B21E17" w:rsidRPr="00FF32E5" w:rsidRDefault="00B21E17" w:rsidP="004E7C9F">
            <w:pPr>
              <w:pStyle w:val="ListParagraph"/>
              <w:numPr>
                <w:ilvl w:val="0"/>
                <w:numId w:val="34"/>
              </w:numPr>
              <w:rPr>
                <w:b/>
                <w:bCs/>
                <w:sz w:val="20"/>
                <w:szCs w:val="20"/>
              </w:rPr>
            </w:pPr>
            <w:r w:rsidRPr="00FF32E5">
              <w:rPr>
                <w:b/>
                <w:bCs/>
                <w:sz w:val="20"/>
                <w:szCs w:val="20"/>
              </w:rPr>
              <w:t xml:space="preserve">Counterpart relationships: </w:t>
            </w:r>
            <w:r w:rsidRPr="00FF32E5">
              <w:rPr>
                <w:sz w:val="20"/>
                <w:szCs w:val="20"/>
              </w:rPr>
              <w:t>Despite being new to the position, TA has established good relationships and is able to model female capability to male colleagues.</w:t>
            </w:r>
            <w:r w:rsidR="00B1646A">
              <w:rPr>
                <w:sz w:val="20"/>
                <w:szCs w:val="20"/>
              </w:rPr>
              <w:t xml:space="preserve"> </w:t>
            </w:r>
            <w:r w:rsidRPr="00FF32E5">
              <w:rPr>
                <w:sz w:val="20"/>
                <w:szCs w:val="20"/>
              </w:rPr>
              <w:t>TA is working across multiple units within the VPF in Santo, and as the sole TA in Northern Command, has the flexibility to do so. At this stage, no further TA is required as this might inhibit the current cross-unit approach.</w:t>
            </w:r>
          </w:p>
          <w:p w14:paraId="295FBA90" w14:textId="77777777" w:rsidR="00B21E17" w:rsidRPr="00FF32E5" w:rsidRDefault="00B21E17" w:rsidP="00EC431E">
            <w:pPr>
              <w:pStyle w:val="ListParagraph"/>
              <w:spacing w:line="72" w:lineRule="auto"/>
              <w:ind w:left="357"/>
              <w:rPr>
                <w:b/>
                <w:bCs/>
                <w:sz w:val="20"/>
                <w:szCs w:val="20"/>
              </w:rPr>
            </w:pPr>
          </w:p>
          <w:p w14:paraId="5884E2A1" w14:textId="77777777" w:rsidR="00B21E17" w:rsidRPr="00FF32E5" w:rsidRDefault="00B21E17" w:rsidP="004E7C9F">
            <w:pPr>
              <w:pStyle w:val="ListParagraph"/>
              <w:numPr>
                <w:ilvl w:val="0"/>
                <w:numId w:val="34"/>
              </w:numPr>
              <w:rPr>
                <w:b/>
                <w:bCs/>
                <w:sz w:val="20"/>
                <w:szCs w:val="20"/>
              </w:rPr>
            </w:pPr>
            <w:r w:rsidRPr="00FF32E5">
              <w:rPr>
                <w:b/>
                <w:bCs/>
                <w:sz w:val="20"/>
                <w:szCs w:val="20"/>
              </w:rPr>
              <w:t>Operating context:</w:t>
            </w:r>
            <w:r w:rsidRPr="00FF32E5">
              <w:rPr>
                <w:sz w:val="20"/>
                <w:szCs w:val="20"/>
              </w:rPr>
              <w:t xml:space="preserve"> The Northern Commander is acting in the role at this time, with some limitations (e.g. he cannot access the substantive Commander’s office and sits in a smaller room). However, this appears to be resulting in careful thought being given to succession planning, including as a result of the current leave policy.</w:t>
            </w:r>
          </w:p>
          <w:p w14:paraId="7CF71CCA" w14:textId="77777777" w:rsidR="00B21E17" w:rsidRPr="00FF32E5" w:rsidRDefault="00B21E17" w:rsidP="00EC431E">
            <w:pPr>
              <w:pStyle w:val="ListParagraph"/>
              <w:spacing w:line="72" w:lineRule="auto"/>
              <w:ind w:left="357"/>
              <w:rPr>
                <w:b/>
                <w:bCs/>
                <w:sz w:val="20"/>
                <w:szCs w:val="20"/>
              </w:rPr>
            </w:pPr>
          </w:p>
          <w:p w14:paraId="2F187D93" w14:textId="77777777" w:rsidR="00B21E17" w:rsidRPr="00FF32E5" w:rsidRDefault="00B21E17" w:rsidP="004E7C9F">
            <w:pPr>
              <w:pStyle w:val="ListParagraph"/>
              <w:numPr>
                <w:ilvl w:val="0"/>
                <w:numId w:val="34"/>
              </w:numPr>
              <w:rPr>
                <w:b/>
                <w:bCs/>
                <w:sz w:val="20"/>
                <w:szCs w:val="20"/>
              </w:rPr>
            </w:pPr>
            <w:r w:rsidRPr="00FF32E5">
              <w:rPr>
                <w:b/>
                <w:bCs/>
                <w:sz w:val="20"/>
                <w:szCs w:val="20"/>
              </w:rPr>
              <w:t xml:space="preserve">Problem-solving approaches: </w:t>
            </w:r>
            <w:r w:rsidRPr="00FF32E5">
              <w:rPr>
                <w:sz w:val="20"/>
                <w:szCs w:val="20"/>
              </w:rPr>
              <w:t xml:space="preserve">Joint training of VPF and VMF recruits (on police powers, arrests, </w:t>
            </w:r>
            <w:proofErr w:type="spellStart"/>
            <w:r w:rsidRPr="00FF32E5">
              <w:rPr>
                <w:sz w:val="20"/>
                <w:szCs w:val="20"/>
              </w:rPr>
              <w:t>etc</w:t>
            </w:r>
            <w:proofErr w:type="spellEnd"/>
            <w:r w:rsidRPr="00FF32E5">
              <w:rPr>
                <w:sz w:val="20"/>
                <w:szCs w:val="20"/>
              </w:rPr>
              <w:t xml:space="preserve">) is being conducted in Santo so that VMF recruits are </w:t>
            </w:r>
            <w:proofErr w:type="spellStart"/>
            <w:r w:rsidRPr="00FF32E5">
              <w:rPr>
                <w:sz w:val="20"/>
                <w:szCs w:val="20"/>
              </w:rPr>
              <w:t>utilised</w:t>
            </w:r>
            <w:proofErr w:type="spellEnd"/>
            <w:r w:rsidRPr="00FF32E5">
              <w:rPr>
                <w:sz w:val="20"/>
                <w:szCs w:val="20"/>
              </w:rPr>
              <w:t xml:space="preserve"> more effectively and their skills are put into practice rather than simply remaining redundant in the barracks. Efforts are made to evaluate the training.</w:t>
            </w:r>
          </w:p>
          <w:p w14:paraId="5996448C" w14:textId="77777777" w:rsidR="00B21E17" w:rsidRPr="00FF32E5" w:rsidRDefault="00B21E17" w:rsidP="00EC431E">
            <w:pPr>
              <w:pStyle w:val="ListParagraph"/>
              <w:spacing w:line="72" w:lineRule="auto"/>
              <w:ind w:left="357"/>
              <w:rPr>
                <w:b/>
                <w:bCs/>
                <w:sz w:val="20"/>
                <w:szCs w:val="20"/>
              </w:rPr>
            </w:pPr>
          </w:p>
          <w:p w14:paraId="74D08805" w14:textId="77777777" w:rsidR="00B21E17" w:rsidRPr="00FF32E5" w:rsidRDefault="00B21E17" w:rsidP="004E7C9F">
            <w:pPr>
              <w:pStyle w:val="ListParagraph"/>
              <w:numPr>
                <w:ilvl w:val="0"/>
                <w:numId w:val="34"/>
              </w:numPr>
              <w:rPr>
                <w:b/>
                <w:bCs/>
                <w:sz w:val="20"/>
                <w:szCs w:val="20"/>
              </w:rPr>
            </w:pPr>
            <w:r w:rsidRPr="00FF32E5">
              <w:rPr>
                <w:b/>
                <w:bCs/>
                <w:sz w:val="20"/>
                <w:szCs w:val="20"/>
              </w:rPr>
              <w:t>Constraints:</w:t>
            </w:r>
            <w:r w:rsidR="00B1646A">
              <w:rPr>
                <w:b/>
                <w:bCs/>
                <w:sz w:val="20"/>
                <w:szCs w:val="20"/>
              </w:rPr>
              <w:t xml:space="preserve"> </w:t>
            </w:r>
            <w:r w:rsidRPr="00FF32E5">
              <w:rPr>
                <w:sz w:val="20"/>
                <w:szCs w:val="20"/>
              </w:rPr>
              <w:t xml:space="preserve">In order to facilitate this support, the Program will need to keep responding to TA </w:t>
            </w:r>
            <w:proofErr w:type="spellStart"/>
            <w:r w:rsidRPr="00FF32E5">
              <w:rPr>
                <w:sz w:val="20"/>
                <w:szCs w:val="20"/>
              </w:rPr>
              <w:t>mobilisation</w:t>
            </w:r>
            <w:proofErr w:type="spellEnd"/>
            <w:r w:rsidRPr="00FF32E5">
              <w:rPr>
                <w:sz w:val="20"/>
                <w:szCs w:val="20"/>
              </w:rPr>
              <w:t xml:space="preserve"> and support needs, as well as providing access to funding for day-to-day needs</w:t>
            </w:r>
            <w:r w:rsidR="00362065">
              <w:rPr>
                <w:sz w:val="20"/>
                <w:szCs w:val="20"/>
              </w:rPr>
              <w:t xml:space="preserve">. </w:t>
            </w:r>
            <w:r w:rsidRPr="00FF32E5">
              <w:rPr>
                <w:sz w:val="20"/>
                <w:szCs w:val="20"/>
              </w:rPr>
              <w:t>It has not always been easy for TA to access funding.</w:t>
            </w:r>
            <w:r w:rsidR="00B1646A">
              <w:rPr>
                <w:sz w:val="20"/>
                <w:szCs w:val="20"/>
              </w:rPr>
              <w:t xml:space="preserve"> </w:t>
            </w:r>
            <w:r w:rsidRPr="00FF32E5">
              <w:rPr>
                <w:sz w:val="20"/>
                <w:szCs w:val="20"/>
              </w:rPr>
              <w:t>Workarounds by the TA, such as accessing AFP funds from regional programs, has occurred but more sustainable arrangements are needed for budget/funding, and are reportedly being put in place by the Program.</w:t>
            </w:r>
          </w:p>
        </w:tc>
        <w:tc>
          <w:tcPr>
            <w:tcW w:w="3686" w:type="dxa"/>
            <w:shd w:val="clear" w:color="auto" w:fill="auto"/>
          </w:tcPr>
          <w:p w14:paraId="7EFF2DDC" w14:textId="77777777" w:rsidR="00B21E17" w:rsidRPr="00385C3A" w:rsidRDefault="00B21E17" w:rsidP="004E7C9F">
            <w:pPr>
              <w:pStyle w:val="ListParagraph"/>
              <w:numPr>
                <w:ilvl w:val="0"/>
                <w:numId w:val="34"/>
              </w:numPr>
              <w:rPr>
                <w:sz w:val="20"/>
                <w:szCs w:val="20"/>
              </w:rPr>
            </w:pPr>
            <w:r w:rsidRPr="00385C3A">
              <w:rPr>
                <w:sz w:val="20"/>
                <w:szCs w:val="20"/>
              </w:rPr>
              <w:t>The TA model in the Northern Command should serve as the way in which capacity is built in other locations (especially outside Port Vila where it is possible to have less TA), with its focus on the ‘whole of service/</w:t>
            </w:r>
            <w:proofErr w:type="spellStart"/>
            <w:r w:rsidRPr="00385C3A">
              <w:rPr>
                <w:sz w:val="20"/>
                <w:szCs w:val="20"/>
              </w:rPr>
              <w:t>organisation</w:t>
            </w:r>
            <w:proofErr w:type="spellEnd"/>
            <w:r w:rsidRPr="00385C3A">
              <w:rPr>
                <w:sz w:val="20"/>
                <w:szCs w:val="20"/>
              </w:rPr>
              <w:t>’ priorities and supporting the VPF leadership within the Northern structure.</w:t>
            </w:r>
          </w:p>
          <w:p w14:paraId="1E8F4F7A" w14:textId="77777777" w:rsidR="00B21E17" w:rsidRPr="00385C3A" w:rsidRDefault="00B21E17" w:rsidP="00EC431E">
            <w:pPr>
              <w:pStyle w:val="ListParagraph"/>
              <w:spacing w:line="72" w:lineRule="auto"/>
              <w:ind w:left="357"/>
              <w:rPr>
                <w:sz w:val="20"/>
                <w:szCs w:val="20"/>
              </w:rPr>
            </w:pPr>
          </w:p>
          <w:p w14:paraId="7AE8CD37" w14:textId="77777777" w:rsidR="00B21E17" w:rsidRPr="00385C3A" w:rsidRDefault="00B21E17" w:rsidP="004E7C9F">
            <w:pPr>
              <w:pStyle w:val="ListParagraph"/>
              <w:numPr>
                <w:ilvl w:val="0"/>
                <w:numId w:val="34"/>
              </w:numPr>
              <w:rPr>
                <w:sz w:val="20"/>
                <w:szCs w:val="20"/>
              </w:rPr>
            </w:pPr>
            <w:r w:rsidRPr="00385C3A">
              <w:rPr>
                <w:sz w:val="20"/>
                <w:szCs w:val="20"/>
              </w:rPr>
              <w:t>With TA support, community engagement work (e.g. multi-purpose sports events, open day) is being undertaken, which represents a new approach in bringing civil society and community leaders into the arena of VPF capacity development and positively influencing perceptions of the VPF (it may be an appropriate site for future perception surveys or longitudinal studies).</w:t>
            </w:r>
          </w:p>
          <w:p w14:paraId="5015A546" w14:textId="77777777" w:rsidR="00B21E17" w:rsidRPr="00385C3A" w:rsidRDefault="00B21E17" w:rsidP="00EC431E">
            <w:pPr>
              <w:pStyle w:val="ListParagraph"/>
              <w:spacing w:line="72" w:lineRule="auto"/>
              <w:ind w:left="357"/>
              <w:rPr>
                <w:sz w:val="20"/>
                <w:szCs w:val="20"/>
              </w:rPr>
            </w:pPr>
          </w:p>
          <w:p w14:paraId="697256A7" w14:textId="77777777" w:rsidR="00B21E17" w:rsidRPr="00385C3A" w:rsidRDefault="00B21E17" w:rsidP="004E7C9F">
            <w:pPr>
              <w:pStyle w:val="ListParagraph"/>
              <w:numPr>
                <w:ilvl w:val="0"/>
                <w:numId w:val="34"/>
              </w:numPr>
              <w:rPr>
                <w:sz w:val="20"/>
                <w:szCs w:val="20"/>
              </w:rPr>
            </w:pPr>
            <w:r w:rsidRPr="00385C3A">
              <w:rPr>
                <w:sz w:val="20"/>
                <w:szCs w:val="20"/>
              </w:rPr>
              <w:t>The support is being provided by TA in a strategic way, looking at how systems operate together within the VPF (e.g. GD, FPU) and how TA can assist without doing the work and substituting capacity.</w:t>
            </w:r>
          </w:p>
          <w:p w14:paraId="627337E8" w14:textId="77777777" w:rsidR="00B21E17" w:rsidRPr="00385C3A" w:rsidRDefault="00B21E17" w:rsidP="00EC431E">
            <w:pPr>
              <w:rPr>
                <w:sz w:val="20"/>
                <w:szCs w:val="20"/>
              </w:rPr>
            </w:pPr>
          </w:p>
        </w:tc>
        <w:tc>
          <w:tcPr>
            <w:tcW w:w="3543" w:type="dxa"/>
            <w:shd w:val="clear" w:color="auto" w:fill="auto"/>
          </w:tcPr>
          <w:p w14:paraId="7934A70E" w14:textId="77777777" w:rsidR="00B21E17" w:rsidRPr="00385C3A" w:rsidRDefault="00B21E17" w:rsidP="004E7C9F">
            <w:pPr>
              <w:pStyle w:val="ListParagraph"/>
              <w:numPr>
                <w:ilvl w:val="0"/>
                <w:numId w:val="34"/>
              </w:numPr>
              <w:rPr>
                <w:bCs/>
                <w:sz w:val="20"/>
                <w:szCs w:val="20"/>
              </w:rPr>
            </w:pPr>
            <w:r w:rsidRPr="00385C3A">
              <w:rPr>
                <w:bCs/>
                <w:sz w:val="20"/>
                <w:szCs w:val="20"/>
              </w:rPr>
              <w:t xml:space="preserve">Female recruits, females in senior position – further data needed. </w:t>
            </w:r>
          </w:p>
          <w:p w14:paraId="73F9B3E0" w14:textId="77777777" w:rsidR="00B21E17" w:rsidRPr="00385C3A" w:rsidRDefault="00B21E17" w:rsidP="004E7C9F">
            <w:pPr>
              <w:pStyle w:val="ListParagraph"/>
              <w:numPr>
                <w:ilvl w:val="0"/>
                <w:numId w:val="34"/>
              </w:numPr>
              <w:rPr>
                <w:bCs/>
                <w:sz w:val="20"/>
                <w:szCs w:val="20"/>
              </w:rPr>
            </w:pPr>
            <w:r w:rsidRPr="00385C3A">
              <w:rPr>
                <w:bCs/>
                <w:sz w:val="20"/>
                <w:szCs w:val="20"/>
              </w:rPr>
              <w:t>Two females in prosecutions</w:t>
            </w:r>
          </w:p>
          <w:p w14:paraId="4D7698E0" w14:textId="77777777" w:rsidR="00B21E17" w:rsidRPr="00385C3A" w:rsidRDefault="00B21E17" w:rsidP="004E7C9F">
            <w:pPr>
              <w:pStyle w:val="ListParagraph"/>
              <w:numPr>
                <w:ilvl w:val="0"/>
                <w:numId w:val="34"/>
              </w:numPr>
              <w:rPr>
                <w:sz w:val="20"/>
                <w:szCs w:val="20"/>
              </w:rPr>
            </w:pPr>
            <w:r w:rsidRPr="00385C3A">
              <w:rPr>
                <w:bCs/>
                <w:sz w:val="20"/>
                <w:szCs w:val="20"/>
              </w:rPr>
              <w:t>Comes under AP program</w:t>
            </w:r>
          </w:p>
          <w:p w14:paraId="59D3B6FE" w14:textId="77777777" w:rsidR="00B21E17" w:rsidRPr="00385C3A" w:rsidRDefault="00B21E17" w:rsidP="00EC431E">
            <w:pPr>
              <w:pStyle w:val="ListParagraph"/>
              <w:ind w:left="360"/>
              <w:rPr>
                <w:sz w:val="20"/>
                <w:szCs w:val="20"/>
              </w:rPr>
            </w:pPr>
          </w:p>
        </w:tc>
      </w:tr>
      <w:tr w:rsidR="00B21E17" w14:paraId="63B8DBB4" w14:textId="77777777" w:rsidTr="00EC431E">
        <w:tc>
          <w:tcPr>
            <w:tcW w:w="1418" w:type="dxa"/>
            <w:shd w:val="clear" w:color="auto" w:fill="auto"/>
          </w:tcPr>
          <w:p w14:paraId="2E258132" w14:textId="77777777" w:rsidR="00B21E17" w:rsidRPr="00614274" w:rsidRDefault="00B21E17" w:rsidP="004E7C9F">
            <w:pPr>
              <w:pStyle w:val="ListParagraph"/>
              <w:numPr>
                <w:ilvl w:val="0"/>
                <w:numId w:val="35"/>
              </w:numPr>
              <w:ind w:left="174" w:hanging="174"/>
              <w:rPr>
                <w:b/>
                <w:bCs/>
                <w:sz w:val="20"/>
                <w:szCs w:val="20"/>
              </w:rPr>
            </w:pPr>
            <w:r>
              <w:rPr>
                <w:b/>
                <w:bCs/>
                <w:sz w:val="20"/>
                <w:szCs w:val="20"/>
              </w:rPr>
              <w:t>LRC</w:t>
            </w:r>
          </w:p>
          <w:p w14:paraId="6FDA1934" w14:textId="77777777" w:rsidR="00B21E17" w:rsidRPr="00614274" w:rsidRDefault="00B21E17" w:rsidP="00EC431E">
            <w:pPr>
              <w:ind w:left="142"/>
            </w:pPr>
          </w:p>
        </w:tc>
        <w:tc>
          <w:tcPr>
            <w:tcW w:w="6379" w:type="dxa"/>
            <w:shd w:val="clear" w:color="auto" w:fill="auto"/>
          </w:tcPr>
          <w:p w14:paraId="1D05C904" w14:textId="77777777" w:rsidR="00B21E17" w:rsidRPr="00FF32E5" w:rsidRDefault="00B21E17" w:rsidP="004E7C9F">
            <w:pPr>
              <w:pStyle w:val="ListParagraph"/>
              <w:numPr>
                <w:ilvl w:val="0"/>
                <w:numId w:val="34"/>
              </w:numPr>
              <w:rPr>
                <w:sz w:val="20"/>
                <w:szCs w:val="20"/>
              </w:rPr>
            </w:pPr>
            <w:r w:rsidRPr="00FF32E5">
              <w:rPr>
                <w:b/>
                <w:sz w:val="20"/>
                <w:szCs w:val="20"/>
              </w:rPr>
              <w:t>Gaps in capacity and engagement in the justice sector</w:t>
            </w:r>
            <w:r w:rsidRPr="00FF32E5">
              <w:rPr>
                <w:sz w:val="20"/>
                <w:szCs w:val="20"/>
              </w:rPr>
              <w:t>: there are areas of work the LRC should be performing as part of the justice sector which it currently does not have capacity to take on. However, given other needs across the sector, this is not a high priority for the Program.</w:t>
            </w:r>
          </w:p>
          <w:p w14:paraId="01FD724D" w14:textId="77777777" w:rsidR="00B21E17" w:rsidRPr="00FF32E5" w:rsidRDefault="00B21E17" w:rsidP="004E7C9F">
            <w:pPr>
              <w:pStyle w:val="ListParagraph"/>
              <w:numPr>
                <w:ilvl w:val="0"/>
                <w:numId w:val="34"/>
              </w:numPr>
              <w:rPr>
                <w:sz w:val="20"/>
                <w:szCs w:val="20"/>
              </w:rPr>
            </w:pPr>
            <w:r w:rsidRPr="00FF32E5">
              <w:rPr>
                <w:b/>
                <w:sz w:val="20"/>
                <w:szCs w:val="20"/>
              </w:rPr>
              <w:t>There are links to the LRC</w:t>
            </w:r>
            <w:r w:rsidRPr="00FF32E5">
              <w:rPr>
                <w:sz w:val="20"/>
                <w:szCs w:val="20"/>
              </w:rPr>
              <w:t>: It is important for PSU (ombudsmen) as it is giving oversight, and for the Disability Desk in terms of oversight. In the long run it needs to be brought into the Program.</w:t>
            </w:r>
          </w:p>
          <w:p w14:paraId="7316B143" w14:textId="77777777" w:rsidR="00B21E17" w:rsidRPr="00FF32E5" w:rsidRDefault="00B21E17" w:rsidP="004E7C9F">
            <w:pPr>
              <w:pStyle w:val="ListParagraph"/>
              <w:numPr>
                <w:ilvl w:val="0"/>
                <w:numId w:val="34"/>
              </w:numPr>
              <w:rPr>
                <w:sz w:val="20"/>
                <w:szCs w:val="20"/>
              </w:rPr>
            </w:pPr>
            <w:r w:rsidRPr="00FF32E5">
              <w:rPr>
                <w:b/>
                <w:sz w:val="20"/>
                <w:szCs w:val="20"/>
              </w:rPr>
              <w:t>Opportunities to link and leverage</w:t>
            </w:r>
            <w:r w:rsidRPr="00FF32E5">
              <w:rPr>
                <w:sz w:val="20"/>
                <w:szCs w:val="20"/>
              </w:rPr>
              <w:t>: DFAT could explore avenues to leverage other regional programs and work cross-</w:t>
            </w:r>
            <w:proofErr w:type="spellStart"/>
            <w:r w:rsidRPr="00FF32E5">
              <w:rPr>
                <w:sz w:val="20"/>
                <w:szCs w:val="20"/>
              </w:rPr>
              <w:t>sectorally</w:t>
            </w:r>
            <w:proofErr w:type="spellEnd"/>
            <w:r w:rsidRPr="00FF32E5">
              <w:rPr>
                <w:sz w:val="20"/>
                <w:szCs w:val="20"/>
              </w:rPr>
              <w:t xml:space="preserve"> more broadly. It could also look into working at a policy level on adoption and trafficking.</w:t>
            </w:r>
          </w:p>
        </w:tc>
        <w:tc>
          <w:tcPr>
            <w:tcW w:w="3686" w:type="dxa"/>
            <w:shd w:val="clear" w:color="auto" w:fill="auto"/>
          </w:tcPr>
          <w:p w14:paraId="489B4782" w14:textId="77777777" w:rsidR="00B21E17" w:rsidRPr="00FF32E5" w:rsidRDefault="00B21E17" w:rsidP="00EC431E"/>
        </w:tc>
        <w:tc>
          <w:tcPr>
            <w:tcW w:w="3543" w:type="dxa"/>
            <w:shd w:val="clear" w:color="auto" w:fill="auto"/>
          </w:tcPr>
          <w:p w14:paraId="081333DA" w14:textId="77777777" w:rsidR="00B21E17" w:rsidRPr="00FF32E5" w:rsidRDefault="00B21E17" w:rsidP="00EC431E">
            <w:pPr>
              <w:ind w:right="1735"/>
            </w:pPr>
          </w:p>
        </w:tc>
      </w:tr>
      <w:tr w:rsidR="00B21E17" w14:paraId="16E43032" w14:textId="77777777" w:rsidTr="00EC431E">
        <w:tc>
          <w:tcPr>
            <w:tcW w:w="1418" w:type="dxa"/>
            <w:shd w:val="clear" w:color="auto" w:fill="auto"/>
          </w:tcPr>
          <w:p w14:paraId="45D17A5B" w14:textId="77777777" w:rsidR="00B21E17" w:rsidRDefault="00B21E17" w:rsidP="004E7C9F">
            <w:pPr>
              <w:pStyle w:val="ListParagraph"/>
              <w:numPr>
                <w:ilvl w:val="0"/>
                <w:numId w:val="35"/>
              </w:numPr>
              <w:ind w:left="174" w:hanging="174"/>
              <w:rPr>
                <w:b/>
                <w:bCs/>
                <w:sz w:val="20"/>
                <w:szCs w:val="20"/>
              </w:rPr>
            </w:pPr>
          </w:p>
          <w:p w14:paraId="104FD977" w14:textId="77777777" w:rsidR="00B21E17" w:rsidRPr="0066399C" w:rsidRDefault="00B21E17" w:rsidP="00EC431E">
            <w:pPr>
              <w:rPr>
                <w:b/>
                <w:bCs/>
                <w:sz w:val="20"/>
                <w:szCs w:val="20"/>
              </w:rPr>
            </w:pPr>
            <w:r w:rsidRPr="0066399C">
              <w:rPr>
                <w:b/>
                <w:bCs/>
                <w:sz w:val="20"/>
                <w:szCs w:val="20"/>
              </w:rPr>
              <w:t xml:space="preserve">CSU (within the </w:t>
            </w:r>
            <w:proofErr w:type="spellStart"/>
            <w:r w:rsidRPr="0066399C">
              <w:rPr>
                <w:b/>
                <w:bCs/>
                <w:sz w:val="20"/>
                <w:szCs w:val="20"/>
              </w:rPr>
              <w:t>MoJ</w:t>
            </w:r>
            <w:proofErr w:type="spellEnd"/>
            <w:r w:rsidRPr="0066399C">
              <w:rPr>
                <w:b/>
                <w:bCs/>
                <w:sz w:val="20"/>
                <w:szCs w:val="20"/>
              </w:rPr>
              <w:t xml:space="preserve"> and community services) </w:t>
            </w:r>
          </w:p>
        </w:tc>
        <w:tc>
          <w:tcPr>
            <w:tcW w:w="6379" w:type="dxa"/>
            <w:shd w:val="clear" w:color="auto" w:fill="auto"/>
          </w:tcPr>
          <w:p w14:paraId="62566CFD" w14:textId="77777777" w:rsidR="00B21E17" w:rsidRPr="00FF32E5" w:rsidRDefault="00B21E17" w:rsidP="004E7C9F">
            <w:pPr>
              <w:pStyle w:val="ListParagraph"/>
              <w:numPr>
                <w:ilvl w:val="0"/>
                <w:numId w:val="34"/>
              </w:numPr>
              <w:rPr>
                <w:sz w:val="20"/>
                <w:szCs w:val="20"/>
              </w:rPr>
            </w:pPr>
            <w:r w:rsidRPr="00FF32E5">
              <w:rPr>
                <w:b/>
                <w:sz w:val="20"/>
                <w:szCs w:val="20"/>
              </w:rPr>
              <w:t>Strong cross-system collaboration</w:t>
            </w:r>
            <w:r w:rsidRPr="00FF32E5">
              <w:rPr>
                <w:sz w:val="20"/>
                <w:szCs w:val="20"/>
              </w:rPr>
              <w:t>: The work of the Program is excellent in supporting working groups, systems and development of technical and collaborative skills.</w:t>
            </w:r>
          </w:p>
          <w:p w14:paraId="28A0200C" w14:textId="77777777" w:rsidR="00B21E17" w:rsidRPr="00FF32E5" w:rsidRDefault="00B21E17" w:rsidP="004E7C9F">
            <w:pPr>
              <w:pStyle w:val="ListParagraph"/>
              <w:numPr>
                <w:ilvl w:val="0"/>
                <w:numId w:val="34"/>
              </w:numPr>
              <w:rPr>
                <w:sz w:val="20"/>
                <w:szCs w:val="20"/>
              </w:rPr>
            </w:pPr>
            <w:r w:rsidRPr="00FF32E5">
              <w:rPr>
                <w:b/>
                <w:sz w:val="20"/>
                <w:szCs w:val="20"/>
              </w:rPr>
              <w:t>Strengthened M&amp;E</w:t>
            </w:r>
            <w:r w:rsidRPr="00FF32E5">
              <w:rPr>
                <w:sz w:val="20"/>
                <w:szCs w:val="20"/>
              </w:rPr>
              <w:t xml:space="preserve">: Strengthened sector level M&amp;E framework and working group and improved access of </w:t>
            </w:r>
            <w:proofErr w:type="spellStart"/>
            <w:r w:rsidRPr="00FF32E5">
              <w:rPr>
                <w:sz w:val="20"/>
                <w:szCs w:val="20"/>
              </w:rPr>
              <w:t>MoJ</w:t>
            </w:r>
            <w:proofErr w:type="spellEnd"/>
            <w:r w:rsidRPr="00FF32E5">
              <w:rPr>
                <w:sz w:val="20"/>
                <w:szCs w:val="20"/>
              </w:rPr>
              <w:t xml:space="preserve"> to Program data.</w:t>
            </w:r>
          </w:p>
          <w:p w14:paraId="21FA22AF" w14:textId="77777777" w:rsidR="00B21E17" w:rsidRPr="00FF32E5" w:rsidRDefault="00B21E17" w:rsidP="004E7C9F">
            <w:pPr>
              <w:pStyle w:val="ListParagraph"/>
              <w:numPr>
                <w:ilvl w:val="0"/>
                <w:numId w:val="34"/>
              </w:numPr>
              <w:rPr>
                <w:sz w:val="20"/>
                <w:szCs w:val="20"/>
              </w:rPr>
            </w:pPr>
            <w:r w:rsidRPr="00FF32E5">
              <w:rPr>
                <w:b/>
                <w:sz w:val="20"/>
                <w:szCs w:val="20"/>
              </w:rPr>
              <w:t>Understaffed, vulnerable and dependent</w:t>
            </w:r>
            <w:r w:rsidRPr="00FF32E5">
              <w:rPr>
                <w:sz w:val="20"/>
                <w:szCs w:val="20"/>
              </w:rPr>
              <w:t>: There is a lack of human capital - understaffed and vulnerable to staff moving. They system is highly dependent on Program support and needs to shift to a greater level of ownership among the individuals involved.</w:t>
            </w:r>
          </w:p>
          <w:p w14:paraId="14116181" w14:textId="77777777" w:rsidR="00B21E17" w:rsidRPr="00FF32E5" w:rsidRDefault="00B21E17" w:rsidP="004E7C9F">
            <w:pPr>
              <w:pStyle w:val="ListParagraph"/>
              <w:numPr>
                <w:ilvl w:val="0"/>
                <w:numId w:val="34"/>
              </w:numPr>
              <w:rPr>
                <w:sz w:val="20"/>
                <w:szCs w:val="20"/>
              </w:rPr>
            </w:pPr>
            <w:r w:rsidRPr="00FF32E5">
              <w:rPr>
                <w:b/>
                <w:sz w:val="20"/>
                <w:szCs w:val="20"/>
              </w:rPr>
              <w:t>Engaged and committed staff:</w:t>
            </w:r>
            <w:r w:rsidRPr="00FF32E5">
              <w:rPr>
                <w:sz w:val="20"/>
                <w:szCs w:val="20"/>
              </w:rPr>
              <w:t xml:space="preserve"> </w:t>
            </w:r>
            <w:proofErr w:type="spellStart"/>
            <w:r w:rsidRPr="00FF32E5">
              <w:rPr>
                <w:sz w:val="20"/>
                <w:szCs w:val="20"/>
              </w:rPr>
              <w:t>MoJ</w:t>
            </w:r>
            <w:proofErr w:type="spellEnd"/>
            <w:r w:rsidRPr="00FF32E5">
              <w:rPr>
                <w:sz w:val="20"/>
                <w:szCs w:val="20"/>
              </w:rPr>
              <w:t xml:space="preserve"> staff are embracing and benefiting from the support, with advisors working well with individuals. </w:t>
            </w:r>
          </w:p>
        </w:tc>
        <w:tc>
          <w:tcPr>
            <w:tcW w:w="3686" w:type="dxa"/>
            <w:shd w:val="clear" w:color="auto" w:fill="auto"/>
          </w:tcPr>
          <w:p w14:paraId="79D641BD" w14:textId="77777777" w:rsidR="00B21E17" w:rsidRPr="00FF32E5" w:rsidRDefault="00B21E17" w:rsidP="004E7C9F">
            <w:pPr>
              <w:pStyle w:val="ListParagraph"/>
              <w:numPr>
                <w:ilvl w:val="0"/>
                <w:numId w:val="34"/>
              </w:numPr>
              <w:spacing w:after="40"/>
              <w:ind w:left="357" w:hanging="357"/>
              <w:contextualSpacing w:val="0"/>
              <w:rPr>
                <w:sz w:val="20"/>
                <w:szCs w:val="20"/>
              </w:rPr>
            </w:pPr>
            <w:r w:rsidRPr="00FF32E5">
              <w:rPr>
                <w:sz w:val="20"/>
                <w:szCs w:val="20"/>
              </w:rPr>
              <w:t>The Program is working well at the individual, systems and sector level</w:t>
            </w:r>
          </w:p>
          <w:p w14:paraId="2BA4F27D" w14:textId="77777777" w:rsidR="00B21E17" w:rsidRPr="00FF32E5" w:rsidRDefault="00B21E17" w:rsidP="004E7C9F">
            <w:pPr>
              <w:pStyle w:val="ListParagraph"/>
              <w:numPr>
                <w:ilvl w:val="0"/>
                <w:numId w:val="34"/>
              </w:numPr>
              <w:spacing w:after="40"/>
              <w:ind w:left="357" w:hanging="357"/>
              <w:contextualSpacing w:val="0"/>
              <w:rPr>
                <w:sz w:val="20"/>
                <w:szCs w:val="20"/>
              </w:rPr>
            </w:pPr>
            <w:r w:rsidRPr="00FF32E5">
              <w:rPr>
                <w:sz w:val="20"/>
                <w:szCs w:val="20"/>
              </w:rPr>
              <w:t>Gap with the Program not working politically to deal with the financing and institutional reform issues needed to sustain the work</w:t>
            </w:r>
          </w:p>
          <w:p w14:paraId="71F75E94" w14:textId="77777777" w:rsidR="00B21E17" w:rsidRPr="00FF32E5" w:rsidRDefault="00B21E17" w:rsidP="004E7C9F">
            <w:pPr>
              <w:pStyle w:val="ListParagraph"/>
              <w:numPr>
                <w:ilvl w:val="0"/>
                <w:numId w:val="34"/>
              </w:numPr>
              <w:spacing w:after="40"/>
              <w:ind w:left="357" w:hanging="357"/>
              <w:contextualSpacing w:val="0"/>
              <w:rPr>
                <w:sz w:val="20"/>
                <w:szCs w:val="20"/>
              </w:rPr>
            </w:pPr>
            <w:r w:rsidRPr="00FF32E5">
              <w:rPr>
                <w:sz w:val="20"/>
                <w:szCs w:val="20"/>
              </w:rPr>
              <w:t>Advisors working well and supporting individuals by listening and responding and not imposing (i.e. M&amp;E Advisor).</w:t>
            </w:r>
          </w:p>
          <w:p w14:paraId="39F4444F" w14:textId="77777777" w:rsidR="00B21E17" w:rsidRPr="00FF32E5" w:rsidRDefault="00B21E17" w:rsidP="00EC431E">
            <w:pPr>
              <w:spacing w:after="40"/>
              <w:rPr>
                <w:sz w:val="20"/>
                <w:szCs w:val="20"/>
              </w:rPr>
            </w:pPr>
          </w:p>
        </w:tc>
        <w:tc>
          <w:tcPr>
            <w:tcW w:w="3543" w:type="dxa"/>
            <w:shd w:val="clear" w:color="auto" w:fill="auto"/>
          </w:tcPr>
          <w:p w14:paraId="6AED5DF1" w14:textId="77777777" w:rsidR="00B21E17" w:rsidRPr="00FF32E5" w:rsidRDefault="00B21E17" w:rsidP="004E7C9F">
            <w:pPr>
              <w:pStyle w:val="ListParagraph"/>
              <w:numPr>
                <w:ilvl w:val="0"/>
                <w:numId w:val="34"/>
              </w:numPr>
              <w:spacing w:after="40"/>
              <w:ind w:left="357" w:hanging="357"/>
              <w:contextualSpacing w:val="0"/>
              <w:rPr>
                <w:sz w:val="20"/>
                <w:szCs w:val="20"/>
              </w:rPr>
            </w:pPr>
            <w:r w:rsidRPr="00FF32E5">
              <w:rPr>
                <w:sz w:val="20"/>
                <w:szCs w:val="20"/>
              </w:rPr>
              <w:t>There are four female staff in the unit which is led by a woman. This is a positive in terms of effectiveness of the team which is getting strong buy-in and engagement within the network, but also a negative as the CSU is not being resourced.</w:t>
            </w:r>
          </w:p>
          <w:p w14:paraId="2F39DF30" w14:textId="77777777" w:rsidR="00B21E17" w:rsidRPr="00FF32E5" w:rsidRDefault="00B21E17" w:rsidP="004E7C9F">
            <w:pPr>
              <w:pStyle w:val="ListParagraph"/>
              <w:numPr>
                <w:ilvl w:val="0"/>
                <w:numId w:val="34"/>
              </w:numPr>
              <w:spacing w:after="40"/>
              <w:ind w:left="357" w:hanging="357"/>
              <w:contextualSpacing w:val="0"/>
              <w:rPr>
                <w:sz w:val="20"/>
                <w:szCs w:val="20"/>
              </w:rPr>
            </w:pPr>
            <w:r w:rsidRPr="00FF32E5">
              <w:rPr>
                <w:sz w:val="20"/>
                <w:szCs w:val="20"/>
              </w:rPr>
              <w:t>CSU is commissioning an evaluation of the participation of women in the justice sector.</w:t>
            </w:r>
          </w:p>
          <w:p w14:paraId="5A33F8FF" w14:textId="77777777" w:rsidR="00B21E17" w:rsidRPr="00FF32E5" w:rsidRDefault="00B21E17" w:rsidP="00EC431E">
            <w:pPr>
              <w:pStyle w:val="ListParagraph"/>
              <w:spacing w:after="40"/>
              <w:ind w:left="357"/>
              <w:contextualSpacing w:val="0"/>
              <w:rPr>
                <w:sz w:val="20"/>
                <w:szCs w:val="20"/>
              </w:rPr>
            </w:pPr>
          </w:p>
        </w:tc>
      </w:tr>
      <w:tr w:rsidR="00B21E17" w14:paraId="7A008C45" w14:textId="77777777" w:rsidTr="00EC431E">
        <w:trPr>
          <w:trHeight w:val="1553"/>
        </w:trPr>
        <w:tc>
          <w:tcPr>
            <w:tcW w:w="1418" w:type="dxa"/>
            <w:shd w:val="clear" w:color="auto" w:fill="auto"/>
          </w:tcPr>
          <w:p w14:paraId="4B19B4AC" w14:textId="77777777" w:rsidR="00B21E17" w:rsidRPr="007B14F0" w:rsidRDefault="00B21E17" w:rsidP="004E7C9F">
            <w:pPr>
              <w:pStyle w:val="ListParagraph"/>
              <w:numPr>
                <w:ilvl w:val="0"/>
                <w:numId w:val="35"/>
              </w:numPr>
              <w:ind w:left="324" w:hanging="324"/>
              <w:rPr>
                <w:sz w:val="20"/>
                <w:szCs w:val="20"/>
              </w:rPr>
            </w:pPr>
          </w:p>
          <w:p w14:paraId="34350167" w14:textId="77777777" w:rsidR="00B21E17" w:rsidRPr="007B14F0" w:rsidRDefault="00B21E17" w:rsidP="00EC431E">
            <w:pPr>
              <w:rPr>
                <w:sz w:val="20"/>
                <w:szCs w:val="20"/>
              </w:rPr>
            </w:pPr>
            <w:r w:rsidRPr="007B14F0">
              <w:rPr>
                <w:b/>
                <w:bCs/>
                <w:sz w:val="20"/>
                <w:szCs w:val="20"/>
              </w:rPr>
              <w:t>Prosecutions</w:t>
            </w:r>
          </w:p>
          <w:p w14:paraId="70839ADE" w14:textId="77777777" w:rsidR="00B21E17" w:rsidRPr="007B14F0" w:rsidRDefault="00B21E17" w:rsidP="00EC431E">
            <w:pPr>
              <w:rPr>
                <w:sz w:val="20"/>
                <w:szCs w:val="20"/>
              </w:rPr>
            </w:pPr>
            <w:r w:rsidRPr="007B14F0">
              <w:rPr>
                <w:b/>
                <w:bCs/>
                <w:sz w:val="20"/>
                <w:szCs w:val="20"/>
              </w:rPr>
              <w:t xml:space="preserve"> (</w:t>
            </w:r>
            <w:r>
              <w:rPr>
                <w:b/>
                <w:bCs/>
                <w:sz w:val="20"/>
                <w:szCs w:val="20"/>
              </w:rPr>
              <w:t>SDP</w:t>
            </w:r>
            <w:r w:rsidRPr="007B14F0">
              <w:rPr>
                <w:b/>
                <w:bCs/>
                <w:sz w:val="20"/>
                <w:szCs w:val="20"/>
              </w:rPr>
              <w:t>)</w:t>
            </w:r>
            <w:r w:rsidRPr="007B14F0">
              <w:rPr>
                <w:sz w:val="20"/>
                <w:szCs w:val="20"/>
              </w:rPr>
              <w:t xml:space="preserve"> </w:t>
            </w:r>
          </w:p>
        </w:tc>
        <w:tc>
          <w:tcPr>
            <w:tcW w:w="6379" w:type="dxa"/>
            <w:shd w:val="clear" w:color="auto" w:fill="auto"/>
          </w:tcPr>
          <w:p w14:paraId="03D9174F" w14:textId="77777777" w:rsidR="00B21E17" w:rsidRPr="00FF32E5" w:rsidRDefault="00B21E17" w:rsidP="004E7C9F">
            <w:pPr>
              <w:pStyle w:val="ListParagraph"/>
              <w:numPr>
                <w:ilvl w:val="0"/>
                <w:numId w:val="34"/>
              </w:numPr>
              <w:rPr>
                <w:bCs/>
                <w:sz w:val="20"/>
                <w:szCs w:val="20"/>
              </w:rPr>
            </w:pPr>
            <w:r w:rsidRPr="00FF32E5">
              <w:rPr>
                <w:bCs/>
                <w:sz w:val="20"/>
                <w:szCs w:val="20"/>
              </w:rPr>
              <w:t xml:space="preserve">More information is required. Unclear what is happening in this area </w:t>
            </w:r>
          </w:p>
        </w:tc>
        <w:tc>
          <w:tcPr>
            <w:tcW w:w="3686" w:type="dxa"/>
            <w:shd w:val="clear" w:color="auto" w:fill="auto"/>
          </w:tcPr>
          <w:p w14:paraId="3A5FF177" w14:textId="77777777" w:rsidR="00B21E17" w:rsidRPr="00FF32E5" w:rsidRDefault="00B21E17" w:rsidP="00EC431E">
            <w:pPr>
              <w:tabs>
                <w:tab w:val="left" w:pos="2386"/>
              </w:tabs>
            </w:pPr>
          </w:p>
        </w:tc>
        <w:tc>
          <w:tcPr>
            <w:tcW w:w="3543" w:type="dxa"/>
            <w:shd w:val="clear" w:color="auto" w:fill="auto"/>
          </w:tcPr>
          <w:p w14:paraId="0DBF2BD0" w14:textId="77777777" w:rsidR="00B21E17" w:rsidRPr="00FF32E5" w:rsidRDefault="00B21E17" w:rsidP="00EC431E">
            <w:pPr>
              <w:ind w:right="1735"/>
            </w:pPr>
          </w:p>
        </w:tc>
      </w:tr>
      <w:tr w:rsidR="00B21E17" w14:paraId="270D0359" w14:textId="77777777" w:rsidTr="00EC431E">
        <w:trPr>
          <w:trHeight w:val="50"/>
        </w:trPr>
        <w:tc>
          <w:tcPr>
            <w:tcW w:w="1418" w:type="dxa"/>
            <w:shd w:val="clear" w:color="auto" w:fill="auto"/>
          </w:tcPr>
          <w:p w14:paraId="02123EBD" w14:textId="77777777" w:rsidR="00B21E17" w:rsidRPr="00335C62" w:rsidRDefault="00B21E17" w:rsidP="004E7C9F">
            <w:pPr>
              <w:pStyle w:val="ListParagraph"/>
              <w:numPr>
                <w:ilvl w:val="0"/>
                <w:numId w:val="35"/>
              </w:numPr>
              <w:ind w:left="314"/>
              <w:rPr>
                <w:b/>
                <w:bCs/>
                <w:sz w:val="20"/>
                <w:szCs w:val="20"/>
              </w:rPr>
            </w:pPr>
            <w:r w:rsidRPr="00335C62">
              <w:rPr>
                <w:b/>
                <w:bCs/>
                <w:sz w:val="20"/>
                <w:szCs w:val="20"/>
              </w:rPr>
              <w:t>Office of the Public Prosecutor (OPP)</w:t>
            </w:r>
          </w:p>
          <w:p w14:paraId="10FD7BF4" w14:textId="77777777" w:rsidR="00B21E17" w:rsidRDefault="00B21E17" w:rsidP="00EC431E"/>
        </w:tc>
        <w:tc>
          <w:tcPr>
            <w:tcW w:w="6379" w:type="dxa"/>
            <w:shd w:val="clear" w:color="auto" w:fill="auto"/>
          </w:tcPr>
          <w:p w14:paraId="67890852" w14:textId="77777777" w:rsidR="00B21E17" w:rsidRPr="00FF32E5" w:rsidRDefault="00B21E17" w:rsidP="004E7C9F">
            <w:pPr>
              <w:pStyle w:val="ListParagraph"/>
              <w:numPr>
                <w:ilvl w:val="0"/>
                <w:numId w:val="34"/>
              </w:numPr>
              <w:rPr>
                <w:sz w:val="20"/>
                <w:szCs w:val="20"/>
              </w:rPr>
            </w:pPr>
            <w:r w:rsidRPr="00FF32E5">
              <w:rPr>
                <w:b/>
                <w:bCs/>
                <w:sz w:val="20"/>
                <w:szCs w:val="20"/>
              </w:rPr>
              <w:t>Significance of OPP:</w:t>
            </w:r>
            <w:r w:rsidR="00B1646A">
              <w:rPr>
                <w:b/>
                <w:bCs/>
                <w:sz w:val="20"/>
                <w:szCs w:val="20"/>
              </w:rPr>
              <w:t xml:space="preserve"> </w:t>
            </w:r>
            <w:r w:rsidRPr="00FF32E5">
              <w:rPr>
                <w:sz w:val="20"/>
                <w:szCs w:val="20"/>
              </w:rPr>
              <w:t xml:space="preserve">The OPP is integral to the criminal justice system, contributing not only to the prosecution of family violence and offences against vulnerable people, but also prosecuting matters of national security (e.g. trafficking, transnational crime, money laundering, </w:t>
            </w:r>
            <w:proofErr w:type="gramStart"/>
            <w:r w:rsidRPr="00FF32E5">
              <w:rPr>
                <w:sz w:val="20"/>
                <w:szCs w:val="20"/>
              </w:rPr>
              <w:t>proceeds</w:t>
            </w:r>
            <w:proofErr w:type="gramEnd"/>
            <w:r w:rsidRPr="00FF32E5">
              <w:rPr>
                <w:sz w:val="20"/>
                <w:szCs w:val="20"/>
              </w:rPr>
              <w:t xml:space="preserve"> of crime recovery). It was formerly one of the weaker offices, but is now stronger. </w:t>
            </w:r>
          </w:p>
          <w:p w14:paraId="0F1129FA" w14:textId="77777777" w:rsidR="00B21E17" w:rsidRPr="00FF32E5" w:rsidRDefault="00B21E17" w:rsidP="00EC431E">
            <w:pPr>
              <w:pStyle w:val="ListParagraph"/>
              <w:spacing w:line="72" w:lineRule="auto"/>
              <w:ind w:left="357"/>
              <w:rPr>
                <w:sz w:val="20"/>
                <w:szCs w:val="20"/>
              </w:rPr>
            </w:pPr>
          </w:p>
          <w:p w14:paraId="20841CC9" w14:textId="77777777" w:rsidR="00B21E17" w:rsidRPr="00FF32E5" w:rsidRDefault="00B21E17" w:rsidP="004E7C9F">
            <w:pPr>
              <w:pStyle w:val="ListParagraph"/>
              <w:numPr>
                <w:ilvl w:val="0"/>
                <w:numId w:val="34"/>
              </w:numPr>
              <w:rPr>
                <w:sz w:val="20"/>
                <w:szCs w:val="20"/>
              </w:rPr>
            </w:pPr>
            <w:r w:rsidRPr="00FF32E5">
              <w:rPr>
                <w:b/>
                <w:bCs/>
                <w:sz w:val="20"/>
                <w:szCs w:val="20"/>
              </w:rPr>
              <w:t>Counterpart relationships:</w:t>
            </w:r>
            <w:r w:rsidR="00B1646A">
              <w:rPr>
                <w:b/>
                <w:bCs/>
                <w:sz w:val="20"/>
                <w:szCs w:val="20"/>
              </w:rPr>
              <w:t xml:space="preserve"> </w:t>
            </w:r>
            <w:r w:rsidRPr="00FF32E5">
              <w:rPr>
                <w:sz w:val="20"/>
                <w:szCs w:val="20"/>
              </w:rPr>
              <w:t>TA has established good relationships and the work is seen as having been helpful to the OPP, though the role is now at 30% of TA time (until new OPP TA is recruited) as the TA is engaged in the Program Coordinator (Justice) role. Stakeholder feedback (e.g. courts) suggests that the performance of prosecutors has been stronger over the course of the Program, including in addressing backlog cases.</w:t>
            </w:r>
            <w:r w:rsidRPr="00FF32E5">
              <w:rPr>
                <w:b/>
                <w:bCs/>
                <w:sz w:val="20"/>
                <w:szCs w:val="20"/>
              </w:rPr>
              <w:t xml:space="preserve"> </w:t>
            </w:r>
          </w:p>
          <w:p w14:paraId="07511102" w14:textId="77777777" w:rsidR="00B21E17" w:rsidRPr="00FF32E5" w:rsidRDefault="00B21E17" w:rsidP="00EC431E">
            <w:pPr>
              <w:pStyle w:val="ListParagraph"/>
              <w:spacing w:line="72" w:lineRule="auto"/>
              <w:ind w:left="357"/>
              <w:rPr>
                <w:sz w:val="20"/>
                <w:szCs w:val="20"/>
              </w:rPr>
            </w:pPr>
          </w:p>
          <w:p w14:paraId="4C061FDD" w14:textId="77777777" w:rsidR="00B21E17" w:rsidRPr="00FF32E5" w:rsidRDefault="00B21E17" w:rsidP="004E7C9F">
            <w:pPr>
              <w:pStyle w:val="ListParagraph"/>
              <w:numPr>
                <w:ilvl w:val="0"/>
                <w:numId w:val="34"/>
              </w:numPr>
              <w:rPr>
                <w:sz w:val="20"/>
                <w:szCs w:val="20"/>
              </w:rPr>
            </w:pPr>
            <w:r w:rsidRPr="00FF32E5">
              <w:rPr>
                <w:b/>
                <w:bCs/>
                <w:sz w:val="20"/>
                <w:szCs w:val="20"/>
              </w:rPr>
              <w:t>Operating context:</w:t>
            </w:r>
            <w:r w:rsidRPr="00FF32E5">
              <w:rPr>
                <w:sz w:val="20"/>
                <w:szCs w:val="20"/>
              </w:rPr>
              <w:t xml:space="preserve"> The term of employment of the Public Prosecutor (a Fijian national, formerly employed by the Commonwealth, now by </w:t>
            </w:r>
            <w:proofErr w:type="spellStart"/>
            <w:r w:rsidRPr="00FF32E5">
              <w:rPr>
                <w:sz w:val="20"/>
                <w:szCs w:val="20"/>
              </w:rPr>
              <w:t>GoV</w:t>
            </w:r>
            <w:proofErr w:type="spellEnd"/>
            <w:r w:rsidRPr="00FF32E5">
              <w:rPr>
                <w:sz w:val="20"/>
                <w:szCs w:val="20"/>
              </w:rPr>
              <w:t>) is coming to an end, generating uncertainty about the future of the office. It is important that this office remain independent into the future, given the nature of its work, including prosecution of high-profile political cases.</w:t>
            </w:r>
            <w:r w:rsidR="00B1646A">
              <w:rPr>
                <w:sz w:val="20"/>
                <w:szCs w:val="20"/>
              </w:rPr>
              <w:t xml:space="preserve"> </w:t>
            </w:r>
          </w:p>
          <w:p w14:paraId="22014C96" w14:textId="77777777" w:rsidR="00B21E17" w:rsidRPr="00FF32E5" w:rsidRDefault="00B21E17" w:rsidP="00EC431E">
            <w:pPr>
              <w:pStyle w:val="ListParagraph"/>
              <w:spacing w:line="72" w:lineRule="auto"/>
              <w:ind w:left="357"/>
              <w:rPr>
                <w:sz w:val="20"/>
                <w:szCs w:val="20"/>
              </w:rPr>
            </w:pPr>
          </w:p>
          <w:p w14:paraId="26E3CE2A" w14:textId="77777777" w:rsidR="00B21E17" w:rsidRPr="00FF32E5" w:rsidRDefault="00B21E17" w:rsidP="004E7C9F">
            <w:pPr>
              <w:pStyle w:val="ListParagraph"/>
              <w:numPr>
                <w:ilvl w:val="0"/>
                <w:numId w:val="34"/>
              </w:numPr>
              <w:rPr>
                <w:sz w:val="20"/>
                <w:szCs w:val="20"/>
              </w:rPr>
            </w:pPr>
            <w:r w:rsidRPr="00FF32E5">
              <w:rPr>
                <w:b/>
                <w:bCs/>
                <w:sz w:val="20"/>
                <w:szCs w:val="20"/>
              </w:rPr>
              <w:t>Cross-sectoral cooperation:</w:t>
            </w:r>
            <w:r w:rsidRPr="00FF32E5">
              <w:rPr>
                <w:sz w:val="20"/>
                <w:szCs w:val="20"/>
              </w:rPr>
              <w:t xml:space="preserve"> There appears to be good cooperation with other agencies (e.g. VPF, PSO, SPD), with joint trainings </w:t>
            </w:r>
            <w:proofErr w:type="spellStart"/>
            <w:r w:rsidRPr="00FF32E5">
              <w:rPr>
                <w:sz w:val="20"/>
                <w:szCs w:val="20"/>
              </w:rPr>
              <w:t>organised</w:t>
            </w:r>
            <w:proofErr w:type="spellEnd"/>
            <w:r w:rsidRPr="00FF32E5">
              <w:rPr>
                <w:sz w:val="20"/>
                <w:szCs w:val="20"/>
              </w:rPr>
              <w:t xml:space="preserve"> by TA and with other providers such as the Victorian Bar. However, the OPP and other agencies have an advantage over private lawyers, who do not receive as much support, and underperform in defending criminal matters. OPP works with VPF on crime scene investigations. </w:t>
            </w:r>
          </w:p>
          <w:p w14:paraId="0C68F987" w14:textId="77777777" w:rsidR="00B21E17" w:rsidRPr="00FF32E5" w:rsidRDefault="00B21E17" w:rsidP="00EC431E">
            <w:pPr>
              <w:pStyle w:val="ListParagraph"/>
              <w:spacing w:line="72" w:lineRule="auto"/>
              <w:ind w:left="357"/>
              <w:rPr>
                <w:sz w:val="20"/>
                <w:szCs w:val="20"/>
              </w:rPr>
            </w:pPr>
          </w:p>
          <w:p w14:paraId="32396279" w14:textId="77777777" w:rsidR="00B21E17" w:rsidRPr="00FF32E5" w:rsidRDefault="00B21E17" w:rsidP="004E7C9F">
            <w:pPr>
              <w:pStyle w:val="ListParagraph"/>
              <w:numPr>
                <w:ilvl w:val="0"/>
                <w:numId w:val="34"/>
              </w:numPr>
              <w:rPr>
                <w:sz w:val="20"/>
                <w:szCs w:val="20"/>
              </w:rPr>
            </w:pPr>
            <w:r w:rsidRPr="00FF32E5">
              <w:rPr>
                <w:b/>
                <w:bCs/>
                <w:sz w:val="20"/>
                <w:szCs w:val="20"/>
              </w:rPr>
              <w:t>Constraints:</w:t>
            </w:r>
            <w:r w:rsidRPr="00FF32E5">
              <w:rPr>
                <w:sz w:val="20"/>
                <w:szCs w:val="20"/>
              </w:rPr>
              <w:t xml:space="preserve"> The OPP recently received a large budgetary allocation for office expansion (the office is seeking to set up a Victim Support Centre). However, resourcing outside Port Vila appears to be weaker, with a small new office in Santo (staffed by only two prosecutors) which is not easy to locate, is not readily accessible to the public, and has limited space for private discussions. Service of summonses is a real problem in remote areas of the islands, which impacts upon the OPP’s work.</w:t>
            </w:r>
            <w:r w:rsidR="00B1646A">
              <w:rPr>
                <w:sz w:val="20"/>
                <w:szCs w:val="20"/>
              </w:rPr>
              <w:t xml:space="preserve"> </w:t>
            </w:r>
            <w:r w:rsidRPr="00FF32E5">
              <w:rPr>
                <w:sz w:val="20"/>
                <w:szCs w:val="20"/>
              </w:rPr>
              <w:t xml:space="preserve">The OPP has made important progress, though it is not all attributable to the Program (e.g. PP undertook an </w:t>
            </w:r>
            <w:proofErr w:type="spellStart"/>
            <w:r w:rsidRPr="00FF32E5">
              <w:rPr>
                <w:sz w:val="20"/>
                <w:szCs w:val="20"/>
              </w:rPr>
              <w:t>organisational</w:t>
            </w:r>
            <w:proofErr w:type="spellEnd"/>
            <w:r w:rsidRPr="00FF32E5">
              <w:rPr>
                <w:sz w:val="20"/>
                <w:szCs w:val="20"/>
              </w:rPr>
              <w:t xml:space="preserve"> review without Program support). </w:t>
            </w:r>
          </w:p>
        </w:tc>
        <w:tc>
          <w:tcPr>
            <w:tcW w:w="3686" w:type="dxa"/>
            <w:shd w:val="clear" w:color="auto" w:fill="auto"/>
          </w:tcPr>
          <w:p w14:paraId="5E8378CC" w14:textId="77777777" w:rsidR="00B21E17" w:rsidRPr="00FF32E5" w:rsidRDefault="00B21E17" w:rsidP="004E7C9F">
            <w:pPr>
              <w:pStyle w:val="ListParagraph"/>
              <w:numPr>
                <w:ilvl w:val="0"/>
                <w:numId w:val="34"/>
              </w:numPr>
              <w:rPr>
                <w:b/>
                <w:bCs/>
                <w:sz w:val="20"/>
                <w:szCs w:val="20"/>
              </w:rPr>
            </w:pPr>
            <w:r w:rsidRPr="00FF32E5">
              <w:rPr>
                <w:sz w:val="20"/>
                <w:szCs w:val="20"/>
              </w:rPr>
              <w:t>Capacity building appears to be mainly focused at an individual level through training and mentoring. Steps have been taken to build sustainable capacity and systems through the development of Prosecution Guidelines, a GBV manual, and a manual on vulnerable witnesses.</w:t>
            </w:r>
          </w:p>
          <w:p w14:paraId="74BE16D4" w14:textId="77777777" w:rsidR="00B21E17" w:rsidRPr="00FF32E5" w:rsidRDefault="00B21E17" w:rsidP="00EC431E">
            <w:pPr>
              <w:pStyle w:val="ListParagraph"/>
              <w:spacing w:line="72" w:lineRule="auto"/>
              <w:ind w:left="357"/>
              <w:rPr>
                <w:sz w:val="20"/>
                <w:szCs w:val="20"/>
              </w:rPr>
            </w:pPr>
          </w:p>
          <w:p w14:paraId="3B7EB25C" w14:textId="77777777" w:rsidR="00B21E17" w:rsidRPr="00FF32E5" w:rsidRDefault="00B21E17" w:rsidP="004E7C9F">
            <w:pPr>
              <w:pStyle w:val="ListParagraph"/>
              <w:numPr>
                <w:ilvl w:val="0"/>
                <w:numId w:val="34"/>
              </w:numPr>
              <w:rPr>
                <w:sz w:val="20"/>
                <w:szCs w:val="20"/>
              </w:rPr>
            </w:pPr>
            <w:r w:rsidRPr="00FF32E5">
              <w:rPr>
                <w:sz w:val="20"/>
                <w:szCs w:val="20"/>
              </w:rPr>
              <w:t>TA has been undertaking capacity substitution which</w:t>
            </w:r>
            <w:r w:rsidR="00362065">
              <w:rPr>
                <w:sz w:val="20"/>
                <w:szCs w:val="20"/>
              </w:rPr>
              <w:t xml:space="preserve"> has</w:t>
            </w:r>
            <w:r w:rsidRPr="00FF32E5">
              <w:rPr>
                <w:sz w:val="20"/>
                <w:szCs w:val="20"/>
              </w:rPr>
              <w:t xml:space="preserve"> involve</w:t>
            </w:r>
            <w:r w:rsidR="00362065">
              <w:rPr>
                <w:sz w:val="20"/>
                <w:szCs w:val="20"/>
              </w:rPr>
              <w:t>d</w:t>
            </w:r>
            <w:r w:rsidRPr="00FF32E5">
              <w:rPr>
                <w:sz w:val="20"/>
                <w:szCs w:val="20"/>
              </w:rPr>
              <w:t xml:space="preserve"> running some cases in court, especially to establish precedents. It is doubtful whether this will contribute to longer-term sustainability and is not generally regarded as good practice. </w:t>
            </w:r>
          </w:p>
          <w:p w14:paraId="068D4A45" w14:textId="77777777" w:rsidR="00B21E17" w:rsidRPr="00FF32E5" w:rsidRDefault="00B21E17" w:rsidP="00EC431E">
            <w:pPr>
              <w:pStyle w:val="ListParagraph"/>
              <w:spacing w:line="72" w:lineRule="auto"/>
              <w:ind w:left="357"/>
              <w:rPr>
                <w:sz w:val="20"/>
                <w:szCs w:val="20"/>
              </w:rPr>
            </w:pPr>
          </w:p>
          <w:p w14:paraId="7566DA2F" w14:textId="77777777" w:rsidR="00B21E17" w:rsidRPr="00FF32E5" w:rsidRDefault="00B21E17" w:rsidP="004E7C9F">
            <w:pPr>
              <w:pStyle w:val="ListParagraph"/>
              <w:numPr>
                <w:ilvl w:val="0"/>
                <w:numId w:val="34"/>
              </w:numPr>
              <w:rPr>
                <w:b/>
                <w:bCs/>
                <w:sz w:val="20"/>
                <w:szCs w:val="20"/>
              </w:rPr>
            </w:pPr>
            <w:r w:rsidRPr="00FF32E5">
              <w:rPr>
                <w:sz w:val="20"/>
                <w:szCs w:val="20"/>
              </w:rPr>
              <w:t xml:space="preserve">The OPP currently has two VPF officers from CID on </w:t>
            </w:r>
            <w:proofErr w:type="spellStart"/>
            <w:r w:rsidRPr="00FF32E5">
              <w:rPr>
                <w:sz w:val="20"/>
                <w:szCs w:val="20"/>
              </w:rPr>
              <w:t>secondment</w:t>
            </w:r>
            <w:proofErr w:type="spellEnd"/>
            <w:r w:rsidRPr="00FF32E5">
              <w:rPr>
                <w:sz w:val="20"/>
                <w:szCs w:val="20"/>
              </w:rPr>
              <w:t xml:space="preserve"> to assist with investigations on the Commission of Inquiry reports for Air Vanuatu and Vanuatu National Provident funds- Integrity and Commercial crime unit. This appears to have been an OPP-initiated development (not the Program). There may be lessons learned about this as a new business model for inter-agency cooperation. </w:t>
            </w:r>
            <w:r w:rsidRPr="00FF32E5">
              <w:rPr>
                <w:b/>
                <w:bCs/>
                <w:sz w:val="20"/>
                <w:szCs w:val="20"/>
              </w:rPr>
              <w:t xml:space="preserve"> </w:t>
            </w:r>
          </w:p>
          <w:p w14:paraId="05CD21DB" w14:textId="77777777" w:rsidR="00B21E17" w:rsidRPr="00FF32E5" w:rsidRDefault="00B21E17" w:rsidP="00EC431E">
            <w:pPr>
              <w:pStyle w:val="ListParagraph"/>
              <w:spacing w:line="72" w:lineRule="auto"/>
              <w:ind w:left="357"/>
              <w:rPr>
                <w:b/>
                <w:bCs/>
                <w:sz w:val="20"/>
                <w:szCs w:val="20"/>
              </w:rPr>
            </w:pPr>
          </w:p>
          <w:p w14:paraId="29988DE0" w14:textId="77777777" w:rsidR="00B21E17" w:rsidRPr="00FF32E5" w:rsidRDefault="00B21E17" w:rsidP="004E7C9F">
            <w:pPr>
              <w:pStyle w:val="ListParagraph"/>
              <w:numPr>
                <w:ilvl w:val="0"/>
                <w:numId w:val="34"/>
              </w:numPr>
              <w:rPr>
                <w:sz w:val="20"/>
                <w:szCs w:val="20"/>
              </w:rPr>
            </w:pPr>
            <w:r w:rsidRPr="00FF32E5">
              <w:rPr>
                <w:sz w:val="20"/>
                <w:szCs w:val="20"/>
              </w:rPr>
              <w:t>Counterparts need to be included, and lead, the JAM with advisers in a supporting role only.</w:t>
            </w:r>
          </w:p>
          <w:p w14:paraId="5C879082" w14:textId="77777777" w:rsidR="00B21E17" w:rsidRPr="00FF32E5" w:rsidRDefault="00B21E17" w:rsidP="00EC431E">
            <w:pPr>
              <w:pStyle w:val="ListParagraph"/>
              <w:ind w:left="360"/>
              <w:rPr>
                <w:sz w:val="20"/>
                <w:szCs w:val="20"/>
              </w:rPr>
            </w:pPr>
          </w:p>
        </w:tc>
        <w:tc>
          <w:tcPr>
            <w:tcW w:w="3543" w:type="dxa"/>
            <w:shd w:val="clear" w:color="auto" w:fill="auto"/>
          </w:tcPr>
          <w:p w14:paraId="57BFA5AA" w14:textId="77777777" w:rsidR="004B23C3" w:rsidRPr="004B23C3" w:rsidRDefault="00B21E17" w:rsidP="004E7C9F">
            <w:pPr>
              <w:pStyle w:val="ListParagraph"/>
              <w:numPr>
                <w:ilvl w:val="0"/>
                <w:numId w:val="34"/>
              </w:numPr>
              <w:rPr>
                <w:sz w:val="20"/>
                <w:szCs w:val="20"/>
              </w:rPr>
            </w:pPr>
            <w:r w:rsidRPr="004B23C3">
              <w:rPr>
                <w:bCs/>
                <w:sz w:val="20"/>
                <w:szCs w:val="20"/>
              </w:rPr>
              <w:t xml:space="preserve">The OPP appears to take the prosecution of family violence and sexual offences seriously (external gender lens). However, internally the gender focus is not as strong - there are 186 family violence matters dealt with by 4 females and 1 male prosecutor, and 36 serious crime matters (which are reportedly considered more important) are dealt with by four male prosecutors. </w:t>
            </w:r>
          </w:p>
          <w:p w14:paraId="6E434DCF" w14:textId="77777777" w:rsidR="00B21E17" w:rsidRPr="004B23C3" w:rsidRDefault="00B21E17" w:rsidP="004B23C3">
            <w:pPr>
              <w:pStyle w:val="ListParagraph"/>
              <w:ind w:left="360"/>
              <w:rPr>
                <w:sz w:val="20"/>
                <w:szCs w:val="20"/>
              </w:rPr>
            </w:pPr>
          </w:p>
        </w:tc>
      </w:tr>
      <w:tr w:rsidR="00B21E17" w14:paraId="1384B253" w14:textId="77777777" w:rsidTr="00B21E17">
        <w:tc>
          <w:tcPr>
            <w:tcW w:w="1418" w:type="dxa"/>
            <w:shd w:val="clear" w:color="auto" w:fill="auto"/>
          </w:tcPr>
          <w:p w14:paraId="39463EA1" w14:textId="77777777" w:rsidR="00B21E17" w:rsidRPr="00706CFE" w:rsidRDefault="00B21E17" w:rsidP="004E7C9F">
            <w:pPr>
              <w:pStyle w:val="ListParagraph"/>
              <w:numPr>
                <w:ilvl w:val="0"/>
                <w:numId w:val="35"/>
              </w:numPr>
              <w:ind w:left="324" w:hanging="324"/>
              <w:rPr>
                <w:b/>
                <w:bCs/>
                <w:sz w:val="20"/>
                <w:szCs w:val="20"/>
              </w:rPr>
            </w:pPr>
            <w:r>
              <w:rPr>
                <w:b/>
                <w:bCs/>
                <w:sz w:val="20"/>
                <w:szCs w:val="20"/>
              </w:rPr>
              <w:t>PSO (</w:t>
            </w:r>
            <w:r w:rsidRPr="00706CFE">
              <w:rPr>
                <w:b/>
                <w:bCs/>
                <w:sz w:val="20"/>
                <w:szCs w:val="20"/>
              </w:rPr>
              <w:t xml:space="preserve">Criminal </w:t>
            </w:r>
            <w:proofErr w:type="spellStart"/>
            <w:r w:rsidRPr="00706CFE">
              <w:rPr>
                <w:b/>
                <w:bCs/>
                <w:sz w:val="20"/>
                <w:szCs w:val="20"/>
              </w:rPr>
              <w:t>Defence</w:t>
            </w:r>
            <w:proofErr w:type="spellEnd"/>
            <w:r w:rsidRPr="00706CFE">
              <w:rPr>
                <w:b/>
                <w:bCs/>
                <w:sz w:val="20"/>
                <w:szCs w:val="20"/>
              </w:rPr>
              <w:t xml:space="preserve"> work</w:t>
            </w:r>
            <w:r>
              <w:rPr>
                <w:b/>
                <w:bCs/>
                <w:sz w:val="20"/>
                <w:szCs w:val="20"/>
              </w:rPr>
              <w:t>)</w:t>
            </w:r>
          </w:p>
          <w:p w14:paraId="56DD8366" w14:textId="77777777" w:rsidR="00B21E17" w:rsidRPr="00D519E9" w:rsidRDefault="00B21E17" w:rsidP="00EC431E">
            <w:pPr>
              <w:rPr>
                <w:sz w:val="20"/>
                <w:szCs w:val="20"/>
              </w:rPr>
            </w:pPr>
            <w:r>
              <w:rPr>
                <w:sz w:val="20"/>
                <w:szCs w:val="20"/>
              </w:rPr>
              <w:t xml:space="preserve"> </w:t>
            </w:r>
          </w:p>
        </w:tc>
        <w:tc>
          <w:tcPr>
            <w:tcW w:w="6379" w:type="dxa"/>
            <w:shd w:val="clear" w:color="auto" w:fill="auto"/>
          </w:tcPr>
          <w:p w14:paraId="0B06C2E3" w14:textId="77777777" w:rsidR="00B21E17" w:rsidRPr="00FF32E5" w:rsidRDefault="00B21E17" w:rsidP="004E7C9F">
            <w:pPr>
              <w:pStyle w:val="ListParagraph"/>
              <w:numPr>
                <w:ilvl w:val="0"/>
                <w:numId w:val="34"/>
              </w:numPr>
              <w:spacing w:after="60"/>
              <w:ind w:left="357" w:hanging="357"/>
              <w:contextualSpacing w:val="0"/>
              <w:rPr>
                <w:sz w:val="20"/>
                <w:szCs w:val="20"/>
              </w:rPr>
            </w:pPr>
            <w:r w:rsidRPr="00FF32E5">
              <w:rPr>
                <w:b/>
                <w:sz w:val="20"/>
                <w:szCs w:val="20"/>
              </w:rPr>
              <w:t>Good enabling environment</w:t>
            </w:r>
            <w:r w:rsidRPr="00FF32E5">
              <w:rPr>
                <w:sz w:val="20"/>
                <w:szCs w:val="20"/>
              </w:rPr>
              <w:t xml:space="preserve"> in Santo: PS has a specific policy of not allowing advisors to appear in court (good enabling environment)</w:t>
            </w:r>
          </w:p>
          <w:p w14:paraId="1D6F4859" w14:textId="77777777" w:rsidR="00B21E17" w:rsidRPr="00FF32E5" w:rsidRDefault="00B21E17" w:rsidP="004E7C9F">
            <w:pPr>
              <w:pStyle w:val="ListParagraph"/>
              <w:numPr>
                <w:ilvl w:val="0"/>
                <w:numId w:val="34"/>
              </w:numPr>
              <w:spacing w:after="60"/>
              <w:ind w:left="357" w:hanging="357"/>
              <w:contextualSpacing w:val="0"/>
              <w:rPr>
                <w:sz w:val="20"/>
                <w:szCs w:val="20"/>
              </w:rPr>
            </w:pPr>
            <w:r w:rsidRPr="00FF32E5">
              <w:rPr>
                <w:b/>
                <w:sz w:val="20"/>
                <w:szCs w:val="20"/>
              </w:rPr>
              <w:t>Positive links fostered through the JAM</w:t>
            </w:r>
            <w:r w:rsidRPr="00FF32E5">
              <w:rPr>
                <w:sz w:val="20"/>
                <w:szCs w:val="20"/>
              </w:rPr>
              <w:t>: PSO works with GD Advisor on custody issues.</w:t>
            </w:r>
          </w:p>
          <w:p w14:paraId="5137358E" w14:textId="77777777" w:rsidR="00B21E17" w:rsidRPr="00FF32E5" w:rsidRDefault="00B21E17" w:rsidP="004E7C9F">
            <w:pPr>
              <w:pStyle w:val="ListParagraph"/>
              <w:numPr>
                <w:ilvl w:val="0"/>
                <w:numId w:val="34"/>
              </w:numPr>
              <w:spacing w:after="60"/>
              <w:ind w:left="357" w:hanging="357"/>
              <w:contextualSpacing w:val="0"/>
              <w:rPr>
                <w:sz w:val="20"/>
                <w:szCs w:val="20"/>
              </w:rPr>
            </w:pPr>
            <w:r w:rsidRPr="00FF32E5">
              <w:rPr>
                <w:b/>
                <w:sz w:val="20"/>
                <w:szCs w:val="20"/>
              </w:rPr>
              <w:t>PSO office well regarded by partners:</w:t>
            </w:r>
            <w:r w:rsidRPr="00FF32E5">
              <w:rPr>
                <w:sz w:val="20"/>
                <w:szCs w:val="20"/>
              </w:rPr>
              <w:t xml:space="preserve"> the quality of lawyers has been strengthened, especially in Santo.</w:t>
            </w:r>
          </w:p>
          <w:p w14:paraId="4E0E5D67" w14:textId="77777777" w:rsidR="00B21E17" w:rsidRPr="00FF32E5" w:rsidRDefault="00B21E17" w:rsidP="004E7C9F">
            <w:pPr>
              <w:pStyle w:val="ListParagraph"/>
              <w:numPr>
                <w:ilvl w:val="0"/>
                <w:numId w:val="34"/>
              </w:numPr>
              <w:spacing w:after="60"/>
              <w:ind w:left="357" w:hanging="357"/>
              <w:contextualSpacing w:val="0"/>
              <w:rPr>
                <w:sz w:val="20"/>
                <w:szCs w:val="20"/>
              </w:rPr>
            </w:pPr>
            <w:r w:rsidRPr="00FF32E5">
              <w:rPr>
                <w:b/>
                <w:sz w:val="20"/>
                <w:szCs w:val="20"/>
              </w:rPr>
              <w:t>Support transition of the role to be more systems focused</w:t>
            </w:r>
            <w:r w:rsidRPr="00FF32E5">
              <w:rPr>
                <w:sz w:val="20"/>
                <w:szCs w:val="20"/>
              </w:rPr>
              <w:t xml:space="preserve">: it is recommended that the Program support a shift from individual to systems strengthening in recognition of high capacity of lawyers. </w:t>
            </w:r>
          </w:p>
          <w:p w14:paraId="182229F0" w14:textId="77777777" w:rsidR="00B21E17" w:rsidRPr="00FF32E5" w:rsidRDefault="00B21E17" w:rsidP="004E7C9F">
            <w:pPr>
              <w:pStyle w:val="ListParagraph"/>
              <w:numPr>
                <w:ilvl w:val="0"/>
                <w:numId w:val="34"/>
              </w:numPr>
              <w:spacing w:after="60"/>
              <w:ind w:left="357" w:hanging="357"/>
              <w:contextualSpacing w:val="0"/>
              <w:rPr>
                <w:sz w:val="20"/>
                <w:szCs w:val="20"/>
              </w:rPr>
            </w:pPr>
            <w:r w:rsidRPr="00FF32E5">
              <w:rPr>
                <w:b/>
                <w:sz w:val="20"/>
                <w:szCs w:val="20"/>
              </w:rPr>
              <w:t>Unintended outcome</w:t>
            </w:r>
            <w:r w:rsidRPr="00FF32E5">
              <w:rPr>
                <w:sz w:val="20"/>
                <w:szCs w:val="20"/>
              </w:rPr>
              <w:t xml:space="preserve">: not supporting bar association (used to do this and work with the private lawyers) with private lawyers reportedly now struggling to compete. </w:t>
            </w:r>
          </w:p>
        </w:tc>
        <w:tc>
          <w:tcPr>
            <w:tcW w:w="3686" w:type="dxa"/>
            <w:shd w:val="clear" w:color="auto" w:fill="auto"/>
          </w:tcPr>
          <w:p w14:paraId="71AF96C7" w14:textId="77777777" w:rsidR="00B21E17" w:rsidRPr="00FF32E5" w:rsidRDefault="00B21E17" w:rsidP="004E7C9F">
            <w:pPr>
              <w:pStyle w:val="ListParagraph"/>
              <w:numPr>
                <w:ilvl w:val="0"/>
                <w:numId w:val="34"/>
              </w:numPr>
              <w:spacing w:after="40"/>
              <w:ind w:left="357" w:hanging="357"/>
              <w:contextualSpacing w:val="0"/>
              <w:rPr>
                <w:sz w:val="20"/>
                <w:szCs w:val="20"/>
              </w:rPr>
            </w:pPr>
            <w:r w:rsidRPr="00FF32E5">
              <w:rPr>
                <w:sz w:val="20"/>
                <w:szCs w:val="20"/>
              </w:rPr>
              <w:t>Support is focused at Individual level, and appears to be more ad hoc and less strategic.</w:t>
            </w:r>
          </w:p>
          <w:p w14:paraId="78385224" w14:textId="77777777" w:rsidR="00B21E17" w:rsidRPr="00FF32E5" w:rsidRDefault="00B21E17" w:rsidP="004E7C9F">
            <w:pPr>
              <w:pStyle w:val="ListParagraph"/>
              <w:numPr>
                <w:ilvl w:val="0"/>
                <w:numId w:val="34"/>
              </w:numPr>
              <w:spacing w:after="40"/>
              <w:ind w:left="357" w:hanging="357"/>
              <w:contextualSpacing w:val="0"/>
              <w:rPr>
                <w:sz w:val="20"/>
                <w:szCs w:val="20"/>
              </w:rPr>
            </w:pPr>
            <w:r w:rsidRPr="00FF32E5">
              <w:rPr>
                <w:sz w:val="20"/>
                <w:szCs w:val="20"/>
              </w:rPr>
              <w:t xml:space="preserve">Previous advisor noted pulling back due to strong capacity, </w:t>
            </w:r>
            <w:r w:rsidR="00951581">
              <w:rPr>
                <w:sz w:val="20"/>
                <w:szCs w:val="20"/>
              </w:rPr>
              <w:t>current</w:t>
            </w:r>
            <w:r w:rsidRPr="00FF32E5">
              <w:rPr>
                <w:sz w:val="20"/>
                <w:szCs w:val="20"/>
              </w:rPr>
              <w:t xml:space="preserve"> advisor has adopted an individual capacity building approach </w:t>
            </w:r>
            <w:r w:rsidR="00951581">
              <w:rPr>
                <w:sz w:val="20"/>
                <w:szCs w:val="20"/>
              </w:rPr>
              <w:t xml:space="preserve"> </w:t>
            </w:r>
          </w:p>
          <w:p w14:paraId="23B4270A" w14:textId="77777777" w:rsidR="00B21E17" w:rsidRPr="00FF32E5" w:rsidRDefault="00B21E17" w:rsidP="004E7C9F">
            <w:pPr>
              <w:pStyle w:val="ListParagraph"/>
              <w:numPr>
                <w:ilvl w:val="0"/>
                <w:numId w:val="34"/>
              </w:numPr>
              <w:spacing w:after="40"/>
              <w:ind w:left="357" w:hanging="357"/>
              <w:contextualSpacing w:val="0"/>
              <w:rPr>
                <w:sz w:val="20"/>
                <w:szCs w:val="20"/>
              </w:rPr>
            </w:pPr>
            <w:r w:rsidRPr="00FF32E5">
              <w:rPr>
                <w:sz w:val="20"/>
                <w:szCs w:val="20"/>
              </w:rPr>
              <w:t>Previous advisor worked across the justice sector more broadly.</w:t>
            </w:r>
          </w:p>
          <w:p w14:paraId="514A7D21" w14:textId="77777777" w:rsidR="00B21E17" w:rsidRPr="00FF32E5" w:rsidRDefault="00B21E17" w:rsidP="00EC431E">
            <w:pPr>
              <w:pStyle w:val="ListParagraph"/>
              <w:spacing w:after="40"/>
              <w:ind w:left="357"/>
              <w:contextualSpacing w:val="0"/>
              <w:rPr>
                <w:sz w:val="20"/>
                <w:szCs w:val="20"/>
              </w:rPr>
            </w:pPr>
          </w:p>
        </w:tc>
        <w:tc>
          <w:tcPr>
            <w:tcW w:w="3543" w:type="dxa"/>
            <w:shd w:val="clear" w:color="auto" w:fill="auto"/>
          </w:tcPr>
          <w:p w14:paraId="31AF344E" w14:textId="77777777" w:rsidR="00B21E17" w:rsidRPr="00FF32E5" w:rsidRDefault="00B21E17" w:rsidP="004E7C9F">
            <w:pPr>
              <w:pStyle w:val="ListParagraph"/>
              <w:numPr>
                <w:ilvl w:val="0"/>
                <w:numId w:val="34"/>
              </w:numPr>
              <w:spacing w:after="40"/>
              <w:ind w:left="357" w:hanging="357"/>
              <w:contextualSpacing w:val="0"/>
              <w:rPr>
                <w:sz w:val="20"/>
                <w:szCs w:val="20"/>
              </w:rPr>
            </w:pPr>
            <w:r w:rsidRPr="00FF32E5">
              <w:rPr>
                <w:sz w:val="20"/>
                <w:szCs w:val="20"/>
              </w:rPr>
              <w:t xml:space="preserve">There is a high proportion of women working in office and a heavy caseload. </w:t>
            </w:r>
          </w:p>
          <w:p w14:paraId="29765B98" w14:textId="77777777" w:rsidR="00B21E17" w:rsidRPr="00FF32E5" w:rsidRDefault="00B21E17" w:rsidP="004E7C9F">
            <w:pPr>
              <w:pStyle w:val="ListParagraph"/>
              <w:numPr>
                <w:ilvl w:val="0"/>
                <w:numId w:val="34"/>
              </w:numPr>
              <w:spacing w:after="40"/>
              <w:ind w:left="357" w:hanging="357"/>
              <w:contextualSpacing w:val="0"/>
              <w:rPr>
                <w:sz w:val="20"/>
                <w:szCs w:val="20"/>
              </w:rPr>
            </w:pPr>
            <w:r w:rsidRPr="00FF32E5">
              <w:rPr>
                <w:sz w:val="20"/>
                <w:szCs w:val="20"/>
              </w:rPr>
              <w:t>This component ensures a holistic approach to gender as it also provides support to men and women, by providing access to strengthened legal support in the breach of protection orders including female clients.</w:t>
            </w:r>
          </w:p>
          <w:p w14:paraId="3CA4A618" w14:textId="77777777" w:rsidR="00B21E17" w:rsidRPr="00FF32E5" w:rsidRDefault="00B21E17" w:rsidP="00EC431E">
            <w:pPr>
              <w:pStyle w:val="ListParagraph"/>
              <w:ind w:left="360"/>
              <w:rPr>
                <w:sz w:val="20"/>
                <w:szCs w:val="20"/>
              </w:rPr>
            </w:pPr>
          </w:p>
        </w:tc>
      </w:tr>
      <w:tr w:rsidR="00B21E17" w14:paraId="351BC48C" w14:textId="77777777" w:rsidTr="00B21E17">
        <w:trPr>
          <w:trHeight w:val="561"/>
        </w:trPr>
        <w:tc>
          <w:tcPr>
            <w:tcW w:w="1418" w:type="dxa"/>
            <w:shd w:val="clear" w:color="auto" w:fill="auto"/>
          </w:tcPr>
          <w:p w14:paraId="64B9D831" w14:textId="77777777" w:rsidR="00B21E17" w:rsidRPr="005253E1" w:rsidRDefault="00B21E17" w:rsidP="004E7C9F">
            <w:pPr>
              <w:pStyle w:val="ListParagraph"/>
              <w:numPr>
                <w:ilvl w:val="0"/>
                <w:numId w:val="35"/>
              </w:numPr>
              <w:ind w:left="314"/>
              <w:rPr>
                <w:b/>
                <w:bCs/>
                <w:sz w:val="20"/>
                <w:szCs w:val="20"/>
              </w:rPr>
            </w:pPr>
            <w:r w:rsidRPr="005253E1">
              <w:rPr>
                <w:b/>
                <w:bCs/>
                <w:sz w:val="20"/>
                <w:szCs w:val="20"/>
              </w:rPr>
              <w:t>State Law Office (SLO)</w:t>
            </w:r>
          </w:p>
          <w:p w14:paraId="48A7B8ED" w14:textId="77777777" w:rsidR="00B21E17" w:rsidRPr="00D519E9" w:rsidRDefault="00B21E17" w:rsidP="00EC431E">
            <w:pPr>
              <w:rPr>
                <w:sz w:val="20"/>
                <w:szCs w:val="20"/>
              </w:rPr>
            </w:pPr>
            <w:r>
              <w:rPr>
                <w:sz w:val="20"/>
                <w:szCs w:val="20"/>
              </w:rPr>
              <w:t xml:space="preserve"> </w:t>
            </w:r>
          </w:p>
        </w:tc>
        <w:tc>
          <w:tcPr>
            <w:tcW w:w="6379" w:type="dxa"/>
            <w:shd w:val="clear" w:color="auto" w:fill="auto"/>
          </w:tcPr>
          <w:p w14:paraId="656E2FDE" w14:textId="77777777" w:rsidR="00B21E17" w:rsidRPr="00FF32E5" w:rsidRDefault="00B21E17" w:rsidP="004E7C9F">
            <w:pPr>
              <w:pStyle w:val="ListParagraph"/>
              <w:numPr>
                <w:ilvl w:val="0"/>
                <w:numId w:val="34"/>
              </w:numPr>
              <w:rPr>
                <w:sz w:val="20"/>
                <w:szCs w:val="20"/>
              </w:rPr>
            </w:pPr>
            <w:r w:rsidRPr="00FF32E5">
              <w:rPr>
                <w:b/>
                <w:bCs/>
                <w:sz w:val="20"/>
                <w:szCs w:val="20"/>
              </w:rPr>
              <w:t>Significance of SLO:</w:t>
            </w:r>
            <w:r w:rsidR="00B1646A">
              <w:rPr>
                <w:b/>
                <w:bCs/>
                <w:sz w:val="20"/>
                <w:szCs w:val="20"/>
              </w:rPr>
              <w:t xml:space="preserve"> </w:t>
            </w:r>
            <w:r w:rsidRPr="00FF32E5">
              <w:rPr>
                <w:sz w:val="20"/>
                <w:szCs w:val="20"/>
              </w:rPr>
              <w:t>The Attorney-General is head of the SLO and is supported by a Solicitor-General and Parliamentary Counsel. The SLO is an independent statutory body. Its principal function is to provide advice to, and represent the Government on, legal matters.</w:t>
            </w:r>
            <w:r w:rsidR="00B1646A">
              <w:rPr>
                <w:sz w:val="20"/>
                <w:szCs w:val="20"/>
              </w:rPr>
              <w:t xml:space="preserve"> </w:t>
            </w:r>
          </w:p>
          <w:p w14:paraId="4F2F3456" w14:textId="77777777" w:rsidR="00B21E17" w:rsidRPr="00FF32E5" w:rsidRDefault="00B21E17" w:rsidP="00EC431E">
            <w:pPr>
              <w:pStyle w:val="ListParagraph"/>
              <w:spacing w:line="72" w:lineRule="auto"/>
              <w:ind w:left="357"/>
              <w:rPr>
                <w:sz w:val="20"/>
                <w:szCs w:val="20"/>
              </w:rPr>
            </w:pPr>
          </w:p>
          <w:p w14:paraId="60F7952A" w14:textId="77777777" w:rsidR="00B21E17" w:rsidRPr="00FF32E5" w:rsidRDefault="00B21E17" w:rsidP="004E7C9F">
            <w:pPr>
              <w:pStyle w:val="ListParagraph"/>
              <w:numPr>
                <w:ilvl w:val="0"/>
                <w:numId w:val="34"/>
              </w:numPr>
              <w:rPr>
                <w:sz w:val="20"/>
                <w:szCs w:val="20"/>
              </w:rPr>
            </w:pPr>
            <w:r w:rsidRPr="00FF32E5">
              <w:rPr>
                <w:b/>
                <w:bCs/>
                <w:sz w:val="20"/>
                <w:szCs w:val="20"/>
              </w:rPr>
              <w:t>Relationship with the Program:</w:t>
            </w:r>
            <w:r w:rsidR="00B1646A">
              <w:rPr>
                <w:sz w:val="20"/>
                <w:szCs w:val="20"/>
              </w:rPr>
              <w:t xml:space="preserve"> </w:t>
            </w:r>
            <w:r w:rsidRPr="00FF32E5">
              <w:rPr>
                <w:sz w:val="20"/>
                <w:szCs w:val="20"/>
              </w:rPr>
              <w:t xml:space="preserve">The SLO also provides legislative drafting services to the </w:t>
            </w:r>
            <w:proofErr w:type="spellStart"/>
            <w:r w:rsidRPr="00FF32E5">
              <w:rPr>
                <w:sz w:val="20"/>
                <w:szCs w:val="20"/>
              </w:rPr>
              <w:t>GoV.</w:t>
            </w:r>
            <w:proofErr w:type="spellEnd"/>
            <w:r w:rsidRPr="00FF32E5">
              <w:rPr>
                <w:sz w:val="20"/>
                <w:szCs w:val="20"/>
              </w:rPr>
              <w:t xml:space="preserve"> As such, it has a critical role in the development of legislation relating to the EOPOs (e.g. legislation implementing </w:t>
            </w:r>
            <w:proofErr w:type="spellStart"/>
            <w:r w:rsidRPr="00FF32E5">
              <w:rPr>
                <w:sz w:val="20"/>
                <w:szCs w:val="20"/>
              </w:rPr>
              <w:t>GoV</w:t>
            </w:r>
            <w:proofErr w:type="spellEnd"/>
            <w:r w:rsidRPr="00FF32E5">
              <w:rPr>
                <w:sz w:val="20"/>
                <w:szCs w:val="20"/>
              </w:rPr>
              <w:t xml:space="preserve"> commitments under human rights treaties for PWD, women and children) and laws affecting national security.</w:t>
            </w:r>
            <w:r w:rsidR="00B1646A">
              <w:rPr>
                <w:sz w:val="20"/>
                <w:szCs w:val="20"/>
              </w:rPr>
              <w:t xml:space="preserve"> </w:t>
            </w:r>
            <w:r w:rsidRPr="00FF32E5">
              <w:rPr>
                <w:sz w:val="20"/>
                <w:szCs w:val="20"/>
              </w:rPr>
              <w:t xml:space="preserve">The SLO defends the </w:t>
            </w:r>
            <w:proofErr w:type="spellStart"/>
            <w:r w:rsidRPr="00FF32E5">
              <w:rPr>
                <w:sz w:val="20"/>
                <w:szCs w:val="20"/>
              </w:rPr>
              <w:t>GoV</w:t>
            </w:r>
            <w:proofErr w:type="spellEnd"/>
            <w:r w:rsidRPr="00FF32E5">
              <w:rPr>
                <w:sz w:val="20"/>
                <w:szCs w:val="20"/>
              </w:rPr>
              <w:t xml:space="preserve"> in court when compensation is sought in civil suits against VPF officers accused of serious misconduct (mainly false imprisonment, assaults).</w:t>
            </w:r>
          </w:p>
          <w:p w14:paraId="152268DE" w14:textId="77777777" w:rsidR="00B21E17" w:rsidRPr="00FF32E5" w:rsidRDefault="00B21E17" w:rsidP="00EC431E">
            <w:pPr>
              <w:pStyle w:val="ListParagraph"/>
              <w:ind w:left="360"/>
              <w:rPr>
                <w:b/>
                <w:bCs/>
                <w:sz w:val="20"/>
                <w:szCs w:val="20"/>
              </w:rPr>
            </w:pPr>
          </w:p>
          <w:p w14:paraId="641DC2BF" w14:textId="77777777" w:rsidR="00B21E17" w:rsidRPr="00FF32E5" w:rsidRDefault="00B21E17" w:rsidP="00EC431E">
            <w:pPr>
              <w:pStyle w:val="ListParagraph"/>
              <w:ind w:left="360"/>
            </w:pPr>
          </w:p>
        </w:tc>
        <w:tc>
          <w:tcPr>
            <w:tcW w:w="3686" w:type="dxa"/>
            <w:shd w:val="clear" w:color="auto" w:fill="auto"/>
          </w:tcPr>
          <w:p w14:paraId="64C4F8C5" w14:textId="77777777" w:rsidR="00B21E17" w:rsidRPr="00FF32E5" w:rsidRDefault="00B21E17" w:rsidP="004E7C9F">
            <w:pPr>
              <w:pStyle w:val="ListParagraph"/>
              <w:numPr>
                <w:ilvl w:val="0"/>
                <w:numId w:val="33"/>
              </w:numPr>
            </w:pPr>
            <w:r w:rsidRPr="00FF32E5">
              <w:rPr>
                <w:sz w:val="20"/>
                <w:szCs w:val="20"/>
              </w:rPr>
              <w:t>The SLO has been provided with training for its lawyers, though it has not been a central focus of the Program.</w:t>
            </w:r>
            <w:r w:rsidR="00B1646A">
              <w:rPr>
                <w:sz w:val="20"/>
                <w:szCs w:val="20"/>
              </w:rPr>
              <w:t xml:space="preserve"> </w:t>
            </w:r>
            <w:r w:rsidRPr="00FF32E5">
              <w:rPr>
                <w:sz w:val="20"/>
                <w:szCs w:val="20"/>
              </w:rPr>
              <w:t>It also received support in developing a performance assessment process relating to government lawyers’ pay scale.</w:t>
            </w:r>
          </w:p>
          <w:p w14:paraId="7388802B" w14:textId="77777777" w:rsidR="00B21E17" w:rsidRPr="00FF32E5" w:rsidRDefault="00B21E17" w:rsidP="00EC431E">
            <w:pPr>
              <w:pStyle w:val="ListParagraph"/>
              <w:spacing w:line="72" w:lineRule="auto"/>
              <w:ind w:left="357"/>
            </w:pPr>
          </w:p>
          <w:p w14:paraId="56A9F352" w14:textId="77777777" w:rsidR="00B21E17" w:rsidRPr="00FF32E5" w:rsidRDefault="00B21E17" w:rsidP="004E7C9F">
            <w:pPr>
              <w:pStyle w:val="ListParagraph"/>
              <w:numPr>
                <w:ilvl w:val="0"/>
                <w:numId w:val="33"/>
              </w:numPr>
            </w:pPr>
            <w:r w:rsidRPr="00FF32E5">
              <w:rPr>
                <w:sz w:val="20"/>
                <w:szCs w:val="20"/>
              </w:rPr>
              <w:t>The SLO may be a key partner in providing capacity building to the VPF – generating awareness of police responsibilities under the law and the consequences of failing to uphold standards.</w:t>
            </w:r>
          </w:p>
          <w:p w14:paraId="50E87AD0" w14:textId="77777777" w:rsidR="00B21E17" w:rsidRPr="00FF32E5" w:rsidRDefault="00B21E17" w:rsidP="00EC431E">
            <w:pPr>
              <w:pStyle w:val="ListParagraph"/>
              <w:spacing w:line="72" w:lineRule="auto"/>
              <w:ind w:left="357"/>
            </w:pPr>
          </w:p>
          <w:p w14:paraId="01BC583B" w14:textId="77777777" w:rsidR="00B21E17" w:rsidRPr="00FF32E5" w:rsidRDefault="00B21E17" w:rsidP="004E7C9F">
            <w:pPr>
              <w:pStyle w:val="ListParagraph"/>
              <w:numPr>
                <w:ilvl w:val="0"/>
                <w:numId w:val="33"/>
              </w:numPr>
            </w:pPr>
            <w:r w:rsidRPr="00FF32E5">
              <w:rPr>
                <w:sz w:val="20"/>
                <w:szCs w:val="20"/>
              </w:rPr>
              <w:t xml:space="preserve">The SLO requires assistance in legislative drafting, particularly long-term TA. This may come from the </w:t>
            </w:r>
            <w:proofErr w:type="spellStart"/>
            <w:r w:rsidRPr="00FF32E5">
              <w:rPr>
                <w:sz w:val="20"/>
                <w:szCs w:val="20"/>
              </w:rPr>
              <w:t>GoA</w:t>
            </w:r>
            <w:proofErr w:type="spellEnd"/>
            <w:r w:rsidRPr="00FF32E5">
              <w:rPr>
                <w:sz w:val="20"/>
                <w:szCs w:val="20"/>
              </w:rPr>
              <w:t xml:space="preserve"> (parliamentary counsel or individual TA) or another potential partner (e.g. Commonwealth, RRRT).</w:t>
            </w:r>
          </w:p>
        </w:tc>
        <w:tc>
          <w:tcPr>
            <w:tcW w:w="3543" w:type="dxa"/>
            <w:shd w:val="clear" w:color="auto" w:fill="auto"/>
          </w:tcPr>
          <w:p w14:paraId="31917AAB" w14:textId="77777777" w:rsidR="00B21E17" w:rsidRPr="00FF32E5" w:rsidRDefault="00B21E17" w:rsidP="004E7C9F">
            <w:pPr>
              <w:pStyle w:val="ListParagraph"/>
              <w:numPr>
                <w:ilvl w:val="0"/>
                <w:numId w:val="33"/>
              </w:numPr>
            </w:pPr>
            <w:r w:rsidRPr="00FF32E5">
              <w:rPr>
                <w:sz w:val="20"/>
                <w:szCs w:val="20"/>
              </w:rPr>
              <w:t>No information to report.</w:t>
            </w:r>
          </w:p>
        </w:tc>
      </w:tr>
      <w:tr w:rsidR="00B21E17" w14:paraId="324FF8B5" w14:textId="77777777" w:rsidTr="00B21E17">
        <w:tc>
          <w:tcPr>
            <w:tcW w:w="1418" w:type="dxa"/>
            <w:shd w:val="clear" w:color="auto" w:fill="auto"/>
          </w:tcPr>
          <w:p w14:paraId="054FF1D9" w14:textId="77777777" w:rsidR="00B21E17" w:rsidRPr="0064516E" w:rsidRDefault="00B21E17" w:rsidP="004E7C9F">
            <w:pPr>
              <w:pStyle w:val="ListParagraph"/>
              <w:numPr>
                <w:ilvl w:val="0"/>
                <w:numId w:val="35"/>
              </w:numPr>
              <w:ind w:left="324" w:hanging="324"/>
              <w:rPr>
                <w:b/>
                <w:bCs/>
                <w:sz w:val="20"/>
                <w:szCs w:val="20"/>
              </w:rPr>
            </w:pPr>
            <w:r w:rsidRPr="0064516E">
              <w:rPr>
                <w:b/>
                <w:bCs/>
                <w:sz w:val="20"/>
                <w:szCs w:val="20"/>
              </w:rPr>
              <w:t>Judiciary (Magistrates</w:t>
            </w:r>
            <w:r>
              <w:rPr>
                <w:b/>
                <w:bCs/>
                <w:sz w:val="20"/>
                <w:szCs w:val="20"/>
              </w:rPr>
              <w:t>’ and</w:t>
            </w:r>
            <w:r w:rsidRPr="0064516E">
              <w:rPr>
                <w:b/>
                <w:bCs/>
                <w:sz w:val="20"/>
                <w:szCs w:val="20"/>
              </w:rPr>
              <w:t xml:space="preserve"> Supreme Court)</w:t>
            </w:r>
          </w:p>
        </w:tc>
        <w:tc>
          <w:tcPr>
            <w:tcW w:w="6379" w:type="dxa"/>
            <w:shd w:val="clear" w:color="auto" w:fill="auto"/>
          </w:tcPr>
          <w:p w14:paraId="66FDD424" w14:textId="77777777" w:rsidR="00B21E17" w:rsidRPr="00FF32E5" w:rsidRDefault="00B21E17" w:rsidP="004E7C9F">
            <w:pPr>
              <w:pStyle w:val="ListParagraph"/>
              <w:numPr>
                <w:ilvl w:val="0"/>
                <w:numId w:val="33"/>
              </w:numPr>
              <w:rPr>
                <w:sz w:val="20"/>
                <w:szCs w:val="20"/>
              </w:rPr>
            </w:pPr>
            <w:r w:rsidRPr="00FF32E5">
              <w:rPr>
                <w:b/>
                <w:bCs/>
                <w:sz w:val="20"/>
                <w:szCs w:val="20"/>
              </w:rPr>
              <w:t>Significance of the Judiciary:</w:t>
            </w:r>
            <w:r w:rsidR="00B1646A">
              <w:rPr>
                <w:b/>
                <w:bCs/>
                <w:sz w:val="20"/>
                <w:szCs w:val="20"/>
              </w:rPr>
              <w:t xml:space="preserve"> </w:t>
            </w:r>
            <w:r w:rsidRPr="00FF32E5">
              <w:rPr>
                <w:sz w:val="20"/>
                <w:szCs w:val="20"/>
              </w:rPr>
              <w:t>The Judiciary is the final step in the chain of justice (apart from corrections) where family violence and all other criminal matters are resolved. It is critically important that cases are managed and resolved capably in the courts as this maintains the legitimacy of the system and builds upon the previous work by the VPF, SPD, OPP, PSO, SLO in bringing matters to court.</w:t>
            </w:r>
          </w:p>
          <w:p w14:paraId="32C05FC4" w14:textId="77777777" w:rsidR="00B21E17" w:rsidRPr="00FF32E5" w:rsidRDefault="00B21E17" w:rsidP="00EC431E">
            <w:pPr>
              <w:pStyle w:val="ListParagraph"/>
              <w:spacing w:line="72" w:lineRule="auto"/>
              <w:ind w:left="357"/>
              <w:rPr>
                <w:sz w:val="20"/>
                <w:szCs w:val="20"/>
              </w:rPr>
            </w:pPr>
          </w:p>
          <w:p w14:paraId="1926B141" w14:textId="77777777" w:rsidR="00B21E17" w:rsidRPr="00FF32E5" w:rsidRDefault="00B21E17" w:rsidP="004E7C9F">
            <w:pPr>
              <w:pStyle w:val="ListParagraph"/>
              <w:numPr>
                <w:ilvl w:val="0"/>
                <w:numId w:val="33"/>
              </w:numPr>
              <w:rPr>
                <w:sz w:val="20"/>
                <w:szCs w:val="20"/>
              </w:rPr>
            </w:pPr>
            <w:r w:rsidRPr="00FF32E5">
              <w:rPr>
                <w:b/>
                <w:bCs/>
                <w:sz w:val="20"/>
                <w:szCs w:val="20"/>
              </w:rPr>
              <w:t>Operating context</w:t>
            </w:r>
            <w:r w:rsidRPr="00FF32E5">
              <w:rPr>
                <w:sz w:val="20"/>
                <w:szCs w:val="20"/>
              </w:rPr>
              <w:t xml:space="preserve">: The Judiciary is very careful about maintaining its independence in Vanuatu and the Program has been rightly cautious in its engagement. The previous work of a Magistrates’ Court Adviser was discontinued, but Magistrates still require significant support. </w:t>
            </w:r>
          </w:p>
          <w:p w14:paraId="7C6AD64A" w14:textId="77777777" w:rsidR="00B21E17" w:rsidRPr="00FF32E5" w:rsidRDefault="00B21E17" w:rsidP="00EC431E">
            <w:pPr>
              <w:pStyle w:val="ListParagraph"/>
              <w:spacing w:line="72" w:lineRule="auto"/>
              <w:rPr>
                <w:sz w:val="20"/>
                <w:szCs w:val="20"/>
              </w:rPr>
            </w:pPr>
          </w:p>
          <w:p w14:paraId="29ABC042" w14:textId="77777777" w:rsidR="00B21E17" w:rsidRPr="00FF32E5" w:rsidRDefault="00B21E17" w:rsidP="004E7C9F">
            <w:pPr>
              <w:pStyle w:val="ListParagraph"/>
              <w:numPr>
                <w:ilvl w:val="0"/>
                <w:numId w:val="33"/>
              </w:numPr>
              <w:rPr>
                <w:b/>
                <w:bCs/>
                <w:sz w:val="20"/>
                <w:szCs w:val="20"/>
              </w:rPr>
            </w:pPr>
            <w:r w:rsidRPr="00FF32E5">
              <w:rPr>
                <w:b/>
                <w:bCs/>
                <w:sz w:val="20"/>
                <w:szCs w:val="20"/>
              </w:rPr>
              <w:t>Contribution to EOPOs:</w:t>
            </w:r>
            <w:r w:rsidR="00B1646A">
              <w:rPr>
                <w:b/>
                <w:bCs/>
                <w:sz w:val="20"/>
                <w:szCs w:val="20"/>
              </w:rPr>
              <w:t xml:space="preserve"> </w:t>
            </w:r>
            <w:r w:rsidRPr="00FF32E5">
              <w:rPr>
                <w:sz w:val="20"/>
                <w:szCs w:val="20"/>
              </w:rPr>
              <w:t>The courts are responsive to the needs of women and vulnerable groups.</w:t>
            </w:r>
            <w:r w:rsidR="00B1646A">
              <w:rPr>
                <w:sz w:val="20"/>
                <w:szCs w:val="20"/>
              </w:rPr>
              <w:t xml:space="preserve"> </w:t>
            </w:r>
            <w:r w:rsidRPr="00FF32E5">
              <w:rPr>
                <w:sz w:val="20"/>
                <w:szCs w:val="20"/>
              </w:rPr>
              <w:t>Anecdotally, up to 10 family violence matters are heard in the Magistrates’ Court in Santo every day and are given priority. The CMS data shows a clear growth in the number of civil protection orders sought in the Magistrates’ Court.</w:t>
            </w:r>
            <w:r w:rsidR="00B1646A">
              <w:rPr>
                <w:sz w:val="20"/>
                <w:szCs w:val="20"/>
              </w:rPr>
              <w:t xml:space="preserve"> </w:t>
            </w:r>
            <w:r w:rsidRPr="00FF32E5">
              <w:rPr>
                <w:sz w:val="20"/>
                <w:szCs w:val="20"/>
              </w:rPr>
              <w:t>The Chief Justice is highly supportive of the AP pilot and the focus of the Program.</w:t>
            </w:r>
          </w:p>
          <w:p w14:paraId="3CFB62B1" w14:textId="77777777" w:rsidR="00B21E17" w:rsidRPr="00FF32E5" w:rsidRDefault="00B21E17" w:rsidP="00EC431E">
            <w:pPr>
              <w:pStyle w:val="ListParagraph"/>
              <w:spacing w:line="72" w:lineRule="auto"/>
              <w:ind w:left="357"/>
              <w:rPr>
                <w:sz w:val="20"/>
                <w:szCs w:val="20"/>
              </w:rPr>
            </w:pPr>
          </w:p>
          <w:p w14:paraId="1305FB6B" w14:textId="77777777" w:rsidR="00B21E17" w:rsidRPr="00FF32E5" w:rsidRDefault="00B21E17" w:rsidP="004E7C9F">
            <w:pPr>
              <w:pStyle w:val="ListParagraph"/>
              <w:numPr>
                <w:ilvl w:val="0"/>
                <w:numId w:val="33"/>
              </w:numPr>
              <w:rPr>
                <w:sz w:val="20"/>
                <w:szCs w:val="20"/>
              </w:rPr>
            </w:pPr>
            <w:r w:rsidRPr="00FF32E5">
              <w:rPr>
                <w:b/>
                <w:bCs/>
                <w:sz w:val="20"/>
                <w:szCs w:val="20"/>
              </w:rPr>
              <w:t xml:space="preserve">Possible future directions: </w:t>
            </w:r>
            <w:r w:rsidRPr="00FF32E5">
              <w:rPr>
                <w:sz w:val="20"/>
                <w:szCs w:val="20"/>
              </w:rPr>
              <w:t xml:space="preserve">Possible avenues for support exist through NZ (seconded judge and PJSI program), as well as through the AP program (the need for Magistrates to be aware of the TPOs issued by APs). A long-term negotiation involving the building of a new Supreme Court is ongoing and may assist in finding avenues to support the Judiciary. The CMS is highly regarded and will require further Program support as it is increasingly used by magistrates and judges for management purposes. </w:t>
            </w:r>
          </w:p>
          <w:p w14:paraId="678AE68D" w14:textId="77777777" w:rsidR="00B21E17" w:rsidRPr="00FF32E5" w:rsidRDefault="00B21E17" w:rsidP="00EC431E">
            <w:pPr>
              <w:pStyle w:val="ListParagraph"/>
              <w:spacing w:line="72" w:lineRule="auto"/>
              <w:ind w:left="357"/>
              <w:rPr>
                <w:sz w:val="20"/>
                <w:szCs w:val="20"/>
              </w:rPr>
            </w:pPr>
          </w:p>
          <w:p w14:paraId="56BB8F48" w14:textId="77777777" w:rsidR="00B21E17" w:rsidRPr="00FF32E5" w:rsidRDefault="00B21E17" w:rsidP="004E7C9F">
            <w:pPr>
              <w:pStyle w:val="ListParagraph"/>
              <w:numPr>
                <w:ilvl w:val="0"/>
                <w:numId w:val="33"/>
              </w:numPr>
              <w:rPr>
                <w:sz w:val="20"/>
                <w:szCs w:val="20"/>
              </w:rPr>
            </w:pPr>
            <w:r w:rsidRPr="00FF32E5">
              <w:rPr>
                <w:b/>
                <w:bCs/>
                <w:sz w:val="20"/>
                <w:szCs w:val="20"/>
              </w:rPr>
              <w:t>Constraints:</w:t>
            </w:r>
            <w:r w:rsidR="00B1646A">
              <w:rPr>
                <w:b/>
                <w:bCs/>
                <w:sz w:val="20"/>
                <w:szCs w:val="20"/>
              </w:rPr>
              <w:t xml:space="preserve"> </w:t>
            </w:r>
            <w:r w:rsidRPr="00FF32E5">
              <w:rPr>
                <w:sz w:val="20"/>
                <w:szCs w:val="20"/>
              </w:rPr>
              <w:t>There are 10 Magistrates throughout Vanuatu, and those outside Port Vila (mainly women) feel that they have no avenues for career progression while male magistrates are allowed to stay in Port Vila. The Supreme Court has no permanent presence outside Port Vila but judges travel on circuit and, weather permitting, applications can be made from the islands using conferencing technology. Judges and magistrates are operating with outdated evidence and criminal procedure laws.</w:t>
            </w:r>
            <w:r w:rsidRPr="00FF32E5">
              <w:rPr>
                <w:b/>
                <w:bCs/>
                <w:sz w:val="20"/>
                <w:szCs w:val="20"/>
              </w:rPr>
              <w:t xml:space="preserve"> </w:t>
            </w:r>
          </w:p>
        </w:tc>
        <w:tc>
          <w:tcPr>
            <w:tcW w:w="3686" w:type="dxa"/>
            <w:shd w:val="clear" w:color="auto" w:fill="auto"/>
          </w:tcPr>
          <w:p w14:paraId="747491BF" w14:textId="77777777" w:rsidR="00B21E17" w:rsidRPr="00FF32E5" w:rsidRDefault="00B21E17" w:rsidP="004E7C9F">
            <w:pPr>
              <w:pStyle w:val="ListParagraph"/>
              <w:numPr>
                <w:ilvl w:val="0"/>
                <w:numId w:val="33"/>
              </w:numPr>
              <w:rPr>
                <w:sz w:val="20"/>
                <w:szCs w:val="20"/>
              </w:rPr>
            </w:pPr>
            <w:r w:rsidRPr="00FF32E5">
              <w:rPr>
                <w:sz w:val="20"/>
                <w:szCs w:val="20"/>
              </w:rPr>
              <w:t>Opportunities for capacity building are limited at this time due to concerns about judicial independence.</w:t>
            </w:r>
            <w:r w:rsidR="00B1646A">
              <w:rPr>
                <w:sz w:val="20"/>
                <w:szCs w:val="20"/>
              </w:rPr>
              <w:t xml:space="preserve"> </w:t>
            </w:r>
          </w:p>
          <w:p w14:paraId="37084F5D" w14:textId="77777777" w:rsidR="00B21E17" w:rsidRPr="00FF32E5" w:rsidRDefault="00B21E17" w:rsidP="00EC431E">
            <w:pPr>
              <w:pStyle w:val="ListParagraph"/>
              <w:spacing w:line="72" w:lineRule="auto"/>
              <w:ind w:left="357"/>
              <w:rPr>
                <w:sz w:val="20"/>
                <w:szCs w:val="20"/>
              </w:rPr>
            </w:pPr>
          </w:p>
          <w:p w14:paraId="54D969BE" w14:textId="77777777" w:rsidR="00B21E17" w:rsidRPr="00FF32E5" w:rsidRDefault="00B21E17" w:rsidP="004E7C9F">
            <w:pPr>
              <w:pStyle w:val="ListParagraph"/>
              <w:numPr>
                <w:ilvl w:val="0"/>
                <w:numId w:val="33"/>
              </w:numPr>
              <w:rPr>
                <w:sz w:val="20"/>
                <w:szCs w:val="20"/>
              </w:rPr>
            </w:pPr>
            <w:r w:rsidRPr="00FF32E5">
              <w:rPr>
                <w:sz w:val="20"/>
                <w:szCs w:val="20"/>
              </w:rPr>
              <w:t>The Program can only influence the quality of court work with the performance of government lawyers in court.</w:t>
            </w:r>
          </w:p>
        </w:tc>
        <w:tc>
          <w:tcPr>
            <w:tcW w:w="3543" w:type="dxa"/>
            <w:shd w:val="clear" w:color="auto" w:fill="auto"/>
          </w:tcPr>
          <w:p w14:paraId="33BA7863" w14:textId="77777777" w:rsidR="00B21E17" w:rsidRPr="00FF32E5" w:rsidRDefault="00B21E17" w:rsidP="004E7C9F">
            <w:pPr>
              <w:pStyle w:val="ListParagraph"/>
              <w:numPr>
                <w:ilvl w:val="0"/>
                <w:numId w:val="33"/>
              </w:numPr>
              <w:rPr>
                <w:sz w:val="20"/>
                <w:szCs w:val="20"/>
              </w:rPr>
            </w:pPr>
            <w:r w:rsidRPr="00FF32E5">
              <w:rPr>
                <w:sz w:val="20"/>
                <w:szCs w:val="20"/>
              </w:rPr>
              <w:t>There are 10 Magistrates across Vanuatu, with 5 (50%) being female Magistrates.</w:t>
            </w:r>
            <w:r w:rsidR="00B1646A">
              <w:rPr>
                <w:sz w:val="20"/>
                <w:szCs w:val="20"/>
              </w:rPr>
              <w:t xml:space="preserve"> </w:t>
            </w:r>
            <w:r w:rsidRPr="00FF32E5">
              <w:rPr>
                <w:sz w:val="20"/>
                <w:szCs w:val="20"/>
              </w:rPr>
              <w:t>They have limited prospects for promotion when they are based outside Port Vila, though the Acting Chief Magistrate is a woman (internal gender-related issues are significant for women).</w:t>
            </w:r>
          </w:p>
          <w:p w14:paraId="13A94A0E" w14:textId="77777777" w:rsidR="00B21E17" w:rsidRPr="00FF32E5" w:rsidRDefault="00B21E17" w:rsidP="00EC431E">
            <w:pPr>
              <w:pStyle w:val="ListParagraph"/>
              <w:spacing w:line="72" w:lineRule="auto"/>
              <w:ind w:left="357"/>
              <w:rPr>
                <w:sz w:val="20"/>
                <w:szCs w:val="20"/>
              </w:rPr>
            </w:pPr>
          </w:p>
          <w:p w14:paraId="608AB7A0" w14:textId="77777777" w:rsidR="00B21E17" w:rsidRPr="00FF32E5" w:rsidRDefault="00B21E17" w:rsidP="004E7C9F">
            <w:pPr>
              <w:pStyle w:val="ListParagraph"/>
              <w:numPr>
                <w:ilvl w:val="0"/>
                <w:numId w:val="33"/>
              </w:numPr>
              <w:rPr>
                <w:sz w:val="20"/>
                <w:szCs w:val="20"/>
              </w:rPr>
            </w:pPr>
            <w:r w:rsidRPr="00FF32E5">
              <w:rPr>
                <w:sz w:val="20"/>
                <w:szCs w:val="20"/>
              </w:rPr>
              <w:t>The Judiciary makes a significant contribution to the EOPOs.</w:t>
            </w:r>
          </w:p>
          <w:p w14:paraId="44B36C56" w14:textId="77777777" w:rsidR="00B21E17" w:rsidRPr="00FF32E5" w:rsidRDefault="00B21E17" w:rsidP="00EC431E">
            <w:pPr>
              <w:pStyle w:val="ListParagraph"/>
              <w:ind w:left="360"/>
              <w:rPr>
                <w:sz w:val="20"/>
                <w:szCs w:val="20"/>
              </w:rPr>
            </w:pPr>
          </w:p>
        </w:tc>
      </w:tr>
      <w:tr w:rsidR="00B21E17" w14:paraId="00D1B077" w14:textId="77777777" w:rsidTr="00B21E17">
        <w:trPr>
          <w:trHeight w:val="4407"/>
        </w:trPr>
        <w:tc>
          <w:tcPr>
            <w:tcW w:w="1418" w:type="dxa"/>
            <w:shd w:val="clear" w:color="auto" w:fill="auto"/>
          </w:tcPr>
          <w:p w14:paraId="41050CF3" w14:textId="77777777" w:rsidR="00B21E17" w:rsidRPr="00920187" w:rsidRDefault="00B21E17" w:rsidP="004E7C9F">
            <w:pPr>
              <w:pStyle w:val="ListParagraph"/>
              <w:numPr>
                <w:ilvl w:val="0"/>
                <w:numId w:val="35"/>
              </w:numPr>
              <w:ind w:left="314"/>
              <w:rPr>
                <w:b/>
                <w:bCs/>
                <w:sz w:val="20"/>
                <w:szCs w:val="20"/>
              </w:rPr>
            </w:pPr>
            <w:r>
              <w:rPr>
                <w:b/>
                <w:bCs/>
                <w:sz w:val="20"/>
                <w:szCs w:val="20"/>
              </w:rPr>
              <w:t xml:space="preserve">Office of the </w:t>
            </w:r>
            <w:r w:rsidRPr="00920187">
              <w:rPr>
                <w:b/>
                <w:bCs/>
                <w:sz w:val="20"/>
                <w:szCs w:val="20"/>
              </w:rPr>
              <w:t xml:space="preserve">Ombudsman </w:t>
            </w:r>
          </w:p>
        </w:tc>
        <w:tc>
          <w:tcPr>
            <w:tcW w:w="6379" w:type="dxa"/>
            <w:shd w:val="clear" w:color="auto" w:fill="auto"/>
          </w:tcPr>
          <w:p w14:paraId="79CE8DE8" w14:textId="77777777" w:rsidR="00B21E17" w:rsidRPr="00FF32E5" w:rsidRDefault="00B21E17" w:rsidP="004E7C9F">
            <w:pPr>
              <w:pStyle w:val="ListParagraph"/>
              <w:numPr>
                <w:ilvl w:val="0"/>
                <w:numId w:val="33"/>
              </w:numPr>
              <w:rPr>
                <w:sz w:val="20"/>
                <w:szCs w:val="20"/>
              </w:rPr>
            </w:pPr>
            <w:r w:rsidRPr="00FF32E5">
              <w:rPr>
                <w:b/>
                <w:bCs/>
                <w:sz w:val="20"/>
                <w:szCs w:val="20"/>
              </w:rPr>
              <w:t>Significance of the Ombudsman Office:</w:t>
            </w:r>
            <w:r w:rsidR="00B1646A">
              <w:rPr>
                <w:b/>
                <w:bCs/>
                <w:sz w:val="20"/>
                <w:szCs w:val="20"/>
              </w:rPr>
              <w:t xml:space="preserve"> </w:t>
            </w:r>
            <w:r w:rsidRPr="00FF32E5">
              <w:rPr>
                <w:sz w:val="20"/>
                <w:szCs w:val="20"/>
              </w:rPr>
              <w:t>A very significant agency in terms of integrity of the public service. Its function is to investigate, to resolve or report and or recommend prosecution, where relevant in relation to complaints concerning injustice or maladministration in the public service and breach of the Leadership Code.</w:t>
            </w:r>
          </w:p>
          <w:p w14:paraId="0426F000" w14:textId="77777777" w:rsidR="00B21E17" w:rsidRPr="00FF32E5" w:rsidRDefault="00B21E17" w:rsidP="00EC431E">
            <w:pPr>
              <w:pStyle w:val="ListParagraph"/>
              <w:spacing w:line="72" w:lineRule="auto"/>
              <w:ind w:left="357"/>
              <w:rPr>
                <w:sz w:val="20"/>
                <w:szCs w:val="20"/>
              </w:rPr>
            </w:pPr>
          </w:p>
          <w:p w14:paraId="64D1E712" w14:textId="77777777" w:rsidR="00B21E17" w:rsidRPr="00FF32E5" w:rsidRDefault="00B21E17" w:rsidP="004E7C9F">
            <w:pPr>
              <w:pStyle w:val="ListParagraph"/>
              <w:numPr>
                <w:ilvl w:val="0"/>
                <w:numId w:val="33"/>
              </w:numPr>
              <w:rPr>
                <w:sz w:val="20"/>
                <w:szCs w:val="20"/>
              </w:rPr>
            </w:pPr>
            <w:r w:rsidRPr="00FF32E5">
              <w:rPr>
                <w:b/>
                <w:bCs/>
                <w:sz w:val="20"/>
                <w:szCs w:val="20"/>
              </w:rPr>
              <w:t>Links to the Program:</w:t>
            </w:r>
            <w:r w:rsidR="00B1646A">
              <w:rPr>
                <w:sz w:val="20"/>
                <w:szCs w:val="20"/>
              </w:rPr>
              <w:t xml:space="preserve"> </w:t>
            </w:r>
            <w:r w:rsidRPr="00FF32E5">
              <w:rPr>
                <w:sz w:val="20"/>
                <w:szCs w:val="20"/>
              </w:rPr>
              <w:t>There has been limited support to the Office during the Program, but training was conducted by the Commonwealth Ombudsman (Australia) in 2017 on administrative investigations run with staff from the Vanuatu Ombudsman, Vanuatu Land Ombudsman, VPF PSU and Public Service Commission.</w:t>
            </w:r>
            <w:r w:rsidR="00B1646A">
              <w:rPr>
                <w:sz w:val="20"/>
                <w:szCs w:val="20"/>
              </w:rPr>
              <w:t xml:space="preserve"> </w:t>
            </w:r>
            <w:r w:rsidRPr="00FF32E5">
              <w:rPr>
                <w:sz w:val="20"/>
                <w:szCs w:val="20"/>
              </w:rPr>
              <w:t>It reportedly worked well and was good value for money with the Program funding travel, allowances and accommodation of the Commonwealth Ombudsman staff.</w:t>
            </w:r>
          </w:p>
          <w:p w14:paraId="639A8AC8" w14:textId="77777777" w:rsidR="00B21E17" w:rsidRPr="00FF32E5" w:rsidRDefault="00B21E17" w:rsidP="00EC431E">
            <w:pPr>
              <w:pStyle w:val="ListParagraph"/>
              <w:spacing w:line="72" w:lineRule="auto"/>
              <w:ind w:left="357"/>
              <w:rPr>
                <w:sz w:val="20"/>
                <w:szCs w:val="20"/>
              </w:rPr>
            </w:pPr>
          </w:p>
          <w:p w14:paraId="3ACB146A" w14:textId="77777777" w:rsidR="00B21E17" w:rsidRPr="00FF32E5" w:rsidRDefault="00B21E17" w:rsidP="004E7C9F">
            <w:pPr>
              <w:pStyle w:val="ListParagraph"/>
              <w:numPr>
                <w:ilvl w:val="0"/>
                <w:numId w:val="33"/>
              </w:numPr>
              <w:rPr>
                <w:sz w:val="20"/>
                <w:szCs w:val="20"/>
              </w:rPr>
            </w:pPr>
            <w:r w:rsidRPr="00FF32E5">
              <w:rPr>
                <w:b/>
                <w:bCs/>
                <w:sz w:val="20"/>
                <w:szCs w:val="20"/>
              </w:rPr>
              <w:t>Possible future direction:</w:t>
            </w:r>
            <w:r w:rsidR="00B1646A">
              <w:rPr>
                <w:b/>
                <w:bCs/>
                <w:sz w:val="20"/>
                <w:szCs w:val="20"/>
              </w:rPr>
              <w:t xml:space="preserve"> </w:t>
            </w:r>
            <w:r w:rsidRPr="00FF32E5">
              <w:rPr>
                <w:sz w:val="20"/>
                <w:szCs w:val="20"/>
              </w:rPr>
              <w:t>There is a partnership between the Office of the Vanuatu Ombudsman and the PSU, with the PSU sharing cases for review and oversight by the Vanuatu Ombudsman.</w:t>
            </w:r>
            <w:r w:rsidR="00B1646A">
              <w:rPr>
                <w:sz w:val="20"/>
                <w:szCs w:val="20"/>
              </w:rPr>
              <w:t xml:space="preserve"> </w:t>
            </w:r>
            <w:r w:rsidRPr="00FF32E5">
              <w:rPr>
                <w:sz w:val="20"/>
                <w:szCs w:val="20"/>
              </w:rPr>
              <w:t>This important accountability relationship should be further developed in future phases of the Program as part of support to the PSU.</w:t>
            </w:r>
          </w:p>
        </w:tc>
        <w:tc>
          <w:tcPr>
            <w:tcW w:w="3686" w:type="dxa"/>
            <w:shd w:val="clear" w:color="auto" w:fill="auto"/>
          </w:tcPr>
          <w:p w14:paraId="1BDB06B8" w14:textId="77777777" w:rsidR="00B21E17" w:rsidRPr="00FF32E5" w:rsidRDefault="00B21E17" w:rsidP="004E7C9F">
            <w:pPr>
              <w:pStyle w:val="ListParagraph"/>
              <w:numPr>
                <w:ilvl w:val="0"/>
                <w:numId w:val="33"/>
              </w:numPr>
              <w:rPr>
                <w:sz w:val="20"/>
                <w:szCs w:val="20"/>
              </w:rPr>
            </w:pPr>
            <w:r w:rsidRPr="00FF32E5">
              <w:rPr>
                <w:sz w:val="20"/>
                <w:szCs w:val="20"/>
              </w:rPr>
              <w:t>Apart from training by the Commonwealth Ombudsman (Australia), there is limited scope for capacity building at this stage in the Office of the Ombudsman (Vanuatu), though a request for TA has been recently made.</w:t>
            </w:r>
          </w:p>
        </w:tc>
        <w:tc>
          <w:tcPr>
            <w:tcW w:w="3543" w:type="dxa"/>
            <w:shd w:val="clear" w:color="auto" w:fill="auto"/>
          </w:tcPr>
          <w:p w14:paraId="3C9D7D03" w14:textId="77777777" w:rsidR="00B21E17" w:rsidRPr="00FF32E5" w:rsidRDefault="00B21E17" w:rsidP="004E7C9F">
            <w:pPr>
              <w:pStyle w:val="ListParagraph"/>
              <w:numPr>
                <w:ilvl w:val="0"/>
                <w:numId w:val="33"/>
              </w:numPr>
              <w:rPr>
                <w:sz w:val="20"/>
                <w:szCs w:val="20"/>
              </w:rPr>
            </w:pPr>
            <w:r w:rsidRPr="00FF32E5">
              <w:rPr>
                <w:sz w:val="20"/>
                <w:szCs w:val="20"/>
              </w:rPr>
              <w:t xml:space="preserve">No information to report. There does not appear to be a direct link between the Ombudsman and the Program in terms of service delivery to women, children, youth and people with disability. </w:t>
            </w:r>
          </w:p>
        </w:tc>
      </w:tr>
      <w:tr w:rsidR="00B21E17" w14:paraId="7036319A" w14:textId="77777777" w:rsidTr="00EC431E">
        <w:tc>
          <w:tcPr>
            <w:tcW w:w="1418" w:type="dxa"/>
            <w:shd w:val="clear" w:color="auto" w:fill="auto"/>
          </w:tcPr>
          <w:p w14:paraId="076B6694" w14:textId="77777777" w:rsidR="00B21E17" w:rsidRPr="007A2B89" w:rsidRDefault="00B21E17" w:rsidP="004E7C9F">
            <w:pPr>
              <w:pStyle w:val="ListParagraph"/>
              <w:numPr>
                <w:ilvl w:val="0"/>
                <w:numId w:val="35"/>
              </w:numPr>
              <w:ind w:left="314"/>
              <w:rPr>
                <w:b/>
                <w:bCs/>
                <w:sz w:val="20"/>
                <w:szCs w:val="20"/>
              </w:rPr>
            </w:pPr>
            <w:r w:rsidRPr="007A2B89">
              <w:rPr>
                <w:b/>
                <w:bCs/>
                <w:sz w:val="20"/>
                <w:szCs w:val="20"/>
              </w:rPr>
              <w:t xml:space="preserve">AP </w:t>
            </w:r>
            <w:r>
              <w:rPr>
                <w:b/>
                <w:bCs/>
                <w:sz w:val="20"/>
                <w:szCs w:val="20"/>
              </w:rPr>
              <w:t>Pilot</w:t>
            </w:r>
          </w:p>
        </w:tc>
        <w:tc>
          <w:tcPr>
            <w:tcW w:w="6379" w:type="dxa"/>
            <w:shd w:val="clear" w:color="auto" w:fill="auto"/>
          </w:tcPr>
          <w:p w14:paraId="3E4AE8B9" w14:textId="77777777" w:rsidR="00B21E17" w:rsidRDefault="00B21E17" w:rsidP="004E7C9F">
            <w:pPr>
              <w:pStyle w:val="ListParagraph"/>
              <w:numPr>
                <w:ilvl w:val="0"/>
                <w:numId w:val="33"/>
              </w:numPr>
              <w:rPr>
                <w:sz w:val="20"/>
                <w:szCs w:val="20"/>
              </w:rPr>
            </w:pPr>
            <w:r w:rsidRPr="007137F9">
              <w:rPr>
                <w:b/>
                <w:bCs/>
                <w:sz w:val="20"/>
                <w:szCs w:val="20"/>
              </w:rPr>
              <w:t xml:space="preserve">Significance of the AP pilot: </w:t>
            </w:r>
            <w:r w:rsidRPr="007137F9">
              <w:rPr>
                <w:sz w:val="20"/>
                <w:szCs w:val="20"/>
              </w:rPr>
              <w:t xml:space="preserve">The pilot is conceptually aligned with the </w:t>
            </w:r>
            <w:proofErr w:type="spellStart"/>
            <w:r w:rsidRPr="007137F9">
              <w:rPr>
                <w:sz w:val="20"/>
                <w:szCs w:val="20"/>
              </w:rPr>
              <w:t>GoV</w:t>
            </w:r>
            <w:proofErr w:type="spellEnd"/>
            <w:r w:rsidRPr="007137F9">
              <w:rPr>
                <w:sz w:val="20"/>
                <w:szCs w:val="20"/>
              </w:rPr>
              <w:t xml:space="preserve"> </w:t>
            </w:r>
            <w:proofErr w:type="spellStart"/>
            <w:r w:rsidRPr="007137F9">
              <w:rPr>
                <w:sz w:val="20"/>
                <w:szCs w:val="20"/>
              </w:rPr>
              <w:t>decentralisation</w:t>
            </w:r>
            <w:proofErr w:type="spellEnd"/>
            <w:r w:rsidRPr="007137F9">
              <w:rPr>
                <w:sz w:val="20"/>
                <w:szCs w:val="20"/>
              </w:rPr>
              <w:t xml:space="preserve"> policy and is directly linked to the Program’s EOPOs of improving service capacity, delivery and access of vulnerable persons. There is universal support for the pilot, including at </w:t>
            </w:r>
            <w:r>
              <w:rPr>
                <w:sz w:val="20"/>
                <w:szCs w:val="20"/>
              </w:rPr>
              <w:t>DG and</w:t>
            </w:r>
            <w:r w:rsidRPr="007137F9">
              <w:rPr>
                <w:sz w:val="20"/>
                <w:szCs w:val="20"/>
              </w:rPr>
              <w:t xml:space="preserve"> ministerial level </w:t>
            </w:r>
            <w:r>
              <w:rPr>
                <w:sz w:val="20"/>
                <w:szCs w:val="20"/>
              </w:rPr>
              <w:t xml:space="preserve">in the MJCS and </w:t>
            </w:r>
            <w:proofErr w:type="spellStart"/>
            <w:r>
              <w:rPr>
                <w:sz w:val="20"/>
                <w:szCs w:val="20"/>
              </w:rPr>
              <w:t>MoIA</w:t>
            </w:r>
            <w:proofErr w:type="spellEnd"/>
            <w:r>
              <w:rPr>
                <w:sz w:val="20"/>
                <w:szCs w:val="20"/>
              </w:rPr>
              <w:t>. This is one area of the Program that is exceeding expectations and is a very positive area of work. It has linked police to the justice system in communities.</w:t>
            </w:r>
          </w:p>
          <w:p w14:paraId="5ACEE5F2" w14:textId="77777777" w:rsidR="00B21E17" w:rsidRDefault="00B21E17" w:rsidP="00EC431E">
            <w:pPr>
              <w:pStyle w:val="ListParagraph"/>
              <w:spacing w:line="72" w:lineRule="auto"/>
              <w:ind w:left="357"/>
              <w:rPr>
                <w:sz w:val="20"/>
                <w:szCs w:val="20"/>
              </w:rPr>
            </w:pPr>
          </w:p>
          <w:p w14:paraId="74578F77" w14:textId="1E72D787" w:rsidR="00D605DC" w:rsidRPr="00D605DC" w:rsidRDefault="00B21E17" w:rsidP="00D605DC">
            <w:pPr>
              <w:pStyle w:val="ListParagraph"/>
              <w:numPr>
                <w:ilvl w:val="0"/>
                <w:numId w:val="33"/>
              </w:numPr>
              <w:rPr>
                <w:b/>
                <w:bCs/>
                <w:sz w:val="20"/>
                <w:szCs w:val="20"/>
              </w:rPr>
            </w:pPr>
            <w:r w:rsidRPr="007137F9">
              <w:rPr>
                <w:b/>
                <w:bCs/>
                <w:sz w:val="20"/>
                <w:szCs w:val="20"/>
              </w:rPr>
              <w:t>Operating context:</w:t>
            </w:r>
            <w:r w:rsidR="00B1646A">
              <w:rPr>
                <w:b/>
                <w:bCs/>
                <w:sz w:val="20"/>
                <w:szCs w:val="20"/>
              </w:rPr>
              <w:t xml:space="preserve"> </w:t>
            </w:r>
            <w:r>
              <w:rPr>
                <w:sz w:val="20"/>
                <w:szCs w:val="20"/>
              </w:rPr>
              <w:t xml:space="preserve">There is currently no </w:t>
            </w:r>
            <w:proofErr w:type="spellStart"/>
            <w:r>
              <w:rPr>
                <w:sz w:val="20"/>
                <w:szCs w:val="20"/>
              </w:rPr>
              <w:t>GoV</w:t>
            </w:r>
            <w:proofErr w:type="spellEnd"/>
            <w:r>
              <w:rPr>
                <w:sz w:val="20"/>
                <w:szCs w:val="20"/>
              </w:rPr>
              <w:t xml:space="preserve"> contribution for the pilot and the Program funds all awareness and police rotations.</w:t>
            </w:r>
            <w:r w:rsidR="00B1646A">
              <w:rPr>
                <w:sz w:val="20"/>
                <w:szCs w:val="20"/>
              </w:rPr>
              <w:t xml:space="preserve"> </w:t>
            </w:r>
            <w:r>
              <w:rPr>
                <w:sz w:val="20"/>
                <w:szCs w:val="20"/>
              </w:rPr>
              <w:t xml:space="preserve">It is not likely that responsibility will be transitioned to the MJCS or </w:t>
            </w:r>
            <w:proofErr w:type="spellStart"/>
            <w:r>
              <w:rPr>
                <w:sz w:val="20"/>
                <w:szCs w:val="20"/>
              </w:rPr>
              <w:t>GoV</w:t>
            </w:r>
            <w:proofErr w:type="spellEnd"/>
            <w:r>
              <w:rPr>
                <w:sz w:val="20"/>
                <w:szCs w:val="20"/>
              </w:rPr>
              <w:t xml:space="preserve"> at this stage. The pilot is more likely to be sustainable as it is not a test to see if this work is a good idea, but is a statutory requirement under the Family Protection Act 2008.</w:t>
            </w:r>
            <w:r w:rsidR="00B1646A">
              <w:rPr>
                <w:sz w:val="20"/>
                <w:szCs w:val="20"/>
              </w:rPr>
              <w:t xml:space="preserve"> </w:t>
            </w:r>
            <w:r>
              <w:rPr>
                <w:sz w:val="20"/>
                <w:szCs w:val="20"/>
              </w:rPr>
              <w:t xml:space="preserve">It has had to confront cultural and traditional governance norms, but has reportedly been successful in changing expectations of </w:t>
            </w:r>
            <w:proofErr w:type="spellStart"/>
            <w:r>
              <w:rPr>
                <w:sz w:val="20"/>
                <w:szCs w:val="20"/>
              </w:rPr>
              <w:t>behaviour</w:t>
            </w:r>
            <w:proofErr w:type="spellEnd"/>
            <w:r>
              <w:rPr>
                <w:sz w:val="20"/>
                <w:szCs w:val="20"/>
              </w:rPr>
              <w:t xml:space="preserve"> within communities. </w:t>
            </w:r>
          </w:p>
          <w:p w14:paraId="30F10453" w14:textId="0C52A771" w:rsidR="00B21E17" w:rsidRDefault="00B21E17" w:rsidP="004E7C9F">
            <w:pPr>
              <w:pStyle w:val="ListParagraph"/>
              <w:numPr>
                <w:ilvl w:val="0"/>
                <w:numId w:val="33"/>
              </w:numPr>
              <w:rPr>
                <w:sz w:val="20"/>
                <w:szCs w:val="20"/>
              </w:rPr>
            </w:pPr>
            <w:r w:rsidRPr="003225E9">
              <w:rPr>
                <w:b/>
                <w:bCs/>
                <w:sz w:val="20"/>
                <w:szCs w:val="20"/>
              </w:rPr>
              <w:t>Constraints:</w:t>
            </w:r>
            <w:r w:rsidR="00B1646A">
              <w:rPr>
                <w:sz w:val="20"/>
                <w:szCs w:val="20"/>
              </w:rPr>
              <w:t xml:space="preserve"> </w:t>
            </w:r>
            <w:r w:rsidRPr="003225E9">
              <w:rPr>
                <w:sz w:val="20"/>
                <w:szCs w:val="20"/>
              </w:rPr>
              <w:t xml:space="preserve"> DFAT’s approach to the pilot has been unnecessarily risk averse.</w:t>
            </w:r>
            <w:r w:rsidR="00B1646A">
              <w:rPr>
                <w:sz w:val="20"/>
                <w:szCs w:val="20"/>
              </w:rPr>
              <w:t xml:space="preserve"> </w:t>
            </w:r>
            <w:r w:rsidRPr="003225E9">
              <w:rPr>
                <w:sz w:val="20"/>
                <w:szCs w:val="20"/>
              </w:rPr>
              <w:t>It has now been six months since the pilot evaluation, and there has been insufficient dissemination of the findings</w:t>
            </w:r>
            <w:r w:rsidR="00F327EB">
              <w:rPr>
                <w:sz w:val="20"/>
                <w:szCs w:val="20"/>
              </w:rPr>
              <w:t>. A</w:t>
            </w:r>
            <w:r w:rsidR="002C0080">
              <w:rPr>
                <w:sz w:val="20"/>
                <w:szCs w:val="20"/>
              </w:rPr>
              <w:t>lthough DFAT have committed in principle to ongoing support for the pilot, it cannot commit funds until the next phase of VAPJP is contracted</w:t>
            </w:r>
            <w:proofErr w:type="gramStart"/>
            <w:r w:rsidR="002C0080">
              <w:rPr>
                <w:sz w:val="20"/>
                <w:szCs w:val="20"/>
              </w:rPr>
              <w:t>.</w:t>
            </w:r>
            <w:r w:rsidRPr="003225E9">
              <w:rPr>
                <w:sz w:val="20"/>
                <w:szCs w:val="20"/>
              </w:rPr>
              <w:t>.</w:t>
            </w:r>
            <w:proofErr w:type="gramEnd"/>
            <w:r w:rsidRPr="003225E9">
              <w:rPr>
                <w:sz w:val="20"/>
                <w:szCs w:val="20"/>
              </w:rPr>
              <w:t xml:space="preserve"> As a result, the Program is unable to </w:t>
            </w:r>
            <w:proofErr w:type="spellStart"/>
            <w:r w:rsidRPr="003225E9">
              <w:rPr>
                <w:sz w:val="20"/>
                <w:szCs w:val="20"/>
              </w:rPr>
              <w:t>capitalise</w:t>
            </w:r>
            <w:proofErr w:type="spellEnd"/>
            <w:r w:rsidRPr="003225E9">
              <w:rPr>
                <w:sz w:val="20"/>
                <w:szCs w:val="20"/>
              </w:rPr>
              <w:t xml:space="preserve"> on momentum</w:t>
            </w:r>
            <w:r>
              <w:rPr>
                <w:sz w:val="20"/>
                <w:szCs w:val="20"/>
              </w:rPr>
              <w:t>.</w:t>
            </w:r>
            <w:r w:rsidR="00B1646A">
              <w:rPr>
                <w:sz w:val="20"/>
                <w:szCs w:val="20"/>
              </w:rPr>
              <w:t xml:space="preserve"> </w:t>
            </w:r>
            <w:r>
              <w:rPr>
                <w:sz w:val="20"/>
                <w:szCs w:val="20"/>
              </w:rPr>
              <w:t xml:space="preserve">The pilot appears to have been more successful in Santo than Efate and the evaluation/ongoing reflection has generated likely reasons for this. </w:t>
            </w:r>
          </w:p>
          <w:p w14:paraId="293FAD49" w14:textId="77777777" w:rsidR="00B21E17" w:rsidRDefault="00B21E17" w:rsidP="00EC431E">
            <w:pPr>
              <w:pStyle w:val="ListParagraph"/>
              <w:spacing w:line="72" w:lineRule="auto"/>
              <w:ind w:left="357"/>
              <w:rPr>
                <w:sz w:val="20"/>
                <w:szCs w:val="20"/>
              </w:rPr>
            </w:pPr>
          </w:p>
          <w:p w14:paraId="0AE787CA" w14:textId="77777777" w:rsidR="00B21E17" w:rsidRPr="00B7043C" w:rsidRDefault="00B21E17" w:rsidP="004E7C9F">
            <w:pPr>
              <w:pStyle w:val="ListParagraph"/>
              <w:numPr>
                <w:ilvl w:val="0"/>
                <w:numId w:val="33"/>
              </w:numPr>
              <w:rPr>
                <w:sz w:val="20"/>
                <w:szCs w:val="20"/>
              </w:rPr>
            </w:pPr>
            <w:r>
              <w:rPr>
                <w:b/>
                <w:bCs/>
                <w:sz w:val="20"/>
                <w:szCs w:val="20"/>
              </w:rPr>
              <w:t>Possible future directions:</w:t>
            </w:r>
            <w:r>
              <w:rPr>
                <w:sz w:val="20"/>
                <w:szCs w:val="20"/>
              </w:rPr>
              <w:t xml:space="preserve"> The Program will have to deal with risks going forward (e.g. the voluntary nature of AP and RC roles, the overlap between these roles, and potential challenges from Chiefs and the </w:t>
            </w:r>
            <w:proofErr w:type="spellStart"/>
            <w:r>
              <w:rPr>
                <w:sz w:val="20"/>
                <w:szCs w:val="20"/>
              </w:rPr>
              <w:t>Malvatumauri</w:t>
            </w:r>
            <w:proofErr w:type="spellEnd"/>
            <w:r>
              <w:rPr>
                <w:sz w:val="20"/>
                <w:szCs w:val="20"/>
              </w:rPr>
              <w:t>). The pilot is expanding organically and there is a significant risk that the Program might not get that traction again in future if the pilot is discontinued.</w:t>
            </w:r>
          </w:p>
        </w:tc>
        <w:tc>
          <w:tcPr>
            <w:tcW w:w="3686" w:type="dxa"/>
            <w:shd w:val="clear" w:color="auto" w:fill="auto"/>
          </w:tcPr>
          <w:p w14:paraId="6FBC8374" w14:textId="1925C38C" w:rsidR="00705D48" w:rsidRDefault="00B21E17" w:rsidP="00705D48">
            <w:pPr>
              <w:pStyle w:val="ListParagraph"/>
              <w:numPr>
                <w:ilvl w:val="0"/>
                <w:numId w:val="33"/>
              </w:numPr>
              <w:spacing w:after="100"/>
              <w:ind w:left="357" w:hanging="357"/>
              <w:rPr>
                <w:sz w:val="20"/>
                <w:szCs w:val="20"/>
              </w:rPr>
            </w:pPr>
            <w:r>
              <w:rPr>
                <w:sz w:val="20"/>
                <w:szCs w:val="20"/>
              </w:rPr>
              <w:t>The APs were well-chosen and have been given the capacity to do their jobs well according to stakeholders and community interviewees. The capacity of police and their understanding of vulnerable persons is reportedly increasing.</w:t>
            </w:r>
          </w:p>
          <w:p w14:paraId="58CB8C87" w14:textId="77777777" w:rsidR="00705D48" w:rsidRPr="00705D48" w:rsidRDefault="00705D48" w:rsidP="00705D48">
            <w:pPr>
              <w:pStyle w:val="ListParagraph"/>
              <w:spacing w:line="72" w:lineRule="auto"/>
              <w:ind w:left="357"/>
              <w:rPr>
                <w:sz w:val="20"/>
                <w:szCs w:val="20"/>
              </w:rPr>
            </w:pPr>
          </w:p>
          <w:p w14:paraId="7741A405" w14:textId="77777777" w:rsidR="00705D48" w:rsidRPr="00705D48" w:rsidRDefault="00705D48" w:rsidP="00705D48">
            <w:pPr>
              <w:pStyle w:val="ListParagraph"/>
              <w:ind w:left="360"/>
              <w:rPr>
                <w:sz w:val="4"/>
                <w:szCs w:val="4"/>
              </w:rPr>
            </w:pPr>
          </w:p>
          <w:p w14:paraId="49D0708F" w14:textId="5C7AFC35" w:rsidR="00705D48" w:rsidRDefault="00705D48" w:rsidP="004E7C9F">
            <w:pPr>
              <w:pStyle w:val="ListParagraph"/>
              <w:numPr>
                <w:ilvl w:val="0"/>
                <w:numId w:val="33"/>
              </w:numPr>
              <w:rPr>
                <w:sz w:val="20"/>
                <w:szCs w:val="20"/>
              </w:rPr>
            </w:pPr>
            <w:r>
              <w:rPr>
                <w:sz w:val="20"/>
                <w:szCs w:val="20"/>
              </w:rPr>
              <w:t>Excellent capacity development training of APs who have a good understanding of FSV and how to work with female and male clients.</w:t>
            </w:r>
          </w:p>
          <w:p w14:paraId="11BA8459" w14:textId="77777777" w:rsidR="00B21E17" w:rsidRDefault="00B21E17" w:rsidP="00EC431E">
            <w:pPr>
              <w:pStyle w:val="ListParagraph"/>
              <w:spacing w:line="72" w:lineRule="auto"/>
              <w:ind w:left="357"/>
              <w:rPr>
                <w:sz w:val="20"/>
                <w:szCs w:val="20"/>
              </w:rPr>
            </w:pPr>
          </w:p>
          <w:p w14:paraId="3B7401DB" w14:textId="77777777" w:rsidR="00B21E17" w:rsidRDefault="00B21E17" w:rsidP="004E7C9F">
            <w:pPr>
              <w:pStyle w:val="ListParagraph"/>
              <w:numPr>
                <w:ilvl w:val="0"/>
                <w:numId w:val="33"/>
              </w:numPr>
              <w:rPr>
                <w:sz w:val="20"/>
                <w:szCs w:val="20"/>
              </w:rPr>
            </w:pPr>
            <w:r>
              <w:rPr>
                <w:sz w:val="20"/>
                <w:szCs w:val="20"/>
              </w:rPr>
              <w:t>Further development of systems is needed (e.g. making data on TPOs available to Magistrates, recording information on rotations and community approaches to APs).</w:t>
            </w:r>
          </w:p>
          <w:p w14:paraId="6C77F8E3" w14:textId="77777777" w:rsidR="00B21E17" w:rsidRDefault="00B21E17" w:rsidP="00EC431E">
            <w:pPr>
              <w:pStyle w:val="ListParagraph"/>
              <w:spacing w:line="72" w:lineRule="auto"/>
              <w:ind w:left="357"/>
              <w:rPr>
                <w:sz w:val="20"/>
                <w:szCs w:val="20"/>
              </w:rPr>
            </w:pPr>
          </w:p>
          <w:p w14:paraId="5193FD7F" w14:textId="77777777" w:rsidR="00B21E17" w:rsidRDefault="00B21E17" w:rsidP="004E7C9F">
            <w:pPr>
              <w:pStyle w:val="ListParagraph"/>
              <w:numPr>
                <w:ilvl w:val="0"/>
                <w:numId w:val="33"/>
              </w:numPr>
              <w:rPr>
                <w:sz w:val="20"/>
                <w:szCs w:val="20"/>
              </w:rPr>
            </w:pPr>
            <w:r>
              <w:rPr>
                <w:sz w:val="20"/>
                <w:szCs w:val="20"/>
              </w:rPr>
              <w:t xml:space="preserve">The pilot was run by the Program not by the </w:t>
            </w:r>
            <w:proofErr w:type="spellStart"/>
            <w:r>
              <w:rPr>
                <w:sz w:val="20"/>
                <w:szCs w:val="20"/>
              </w:rPr>
              <w:t>GoV</w:t>
            </w:r>
            <w:proofErr w:type="spellEnd"/>
            <w:r>
              <w:rPr>
                <w:sz w:val="20"/>
                <w:szCs w:val="20"/>
              </w:rPr>
              <w:t xml:space="preserve">, but had a high level of </w:t>
            </w:r>
            <w:proofErr w:type="spellStart"/>
            <w:r>
              <w:rPr>
                <w:sz w:val="20"/>
                <w:szCs w:val="20"/>
              </w:rPr>
              <w:t>GoV</w:t>
            </w:r>
            <w:proofErr w:type="spellEnd"/>
            <w:r>
              <w:rPr>
                <w:sz w:val="20"/>
                <w:szCs w:val="20"/>
              </w:rPr>
              <w:t xml:space="preserve"> engagement that may serve as a future resource to support expansion of the pilot.</w:t>
            </w:r>
          </w:p>
          <w:p w14:paraId="3570D3AB" w14:textId="77777777" w:rsidR="00B21E17" w:rsidRPr="00FA7DA8" w:rsidRDefault="00B21E17" w:rsidP="00EC431E">
            <w:pPr>
              <w:pStyle w:val="ListParagraph"/>
              <w:ind w:left="360"/>
              <w:rPr>
                <w:sz w:val="20"/>
                <w:szCs w:val="20"/>
              </w:rPr>
            </w:pPr>
          </w:p>
        </w:tc>
        <w:tc>
          <w:tcPr>
            <w:tcW w:w="3543" w:type="dxa"/>
            <w:shd w:val="clear" w:color="auto" w:fill="auto"/>
          </w:tcPr>
          <w:p w14:paraId="44751B7E" w14:textId="77777777" w:rsidR="00B21E17" w:rsidRDefault="00B21E17" w:rsidP="004E7C9F">
            <w:pPr>
              <w:pStyle w:val="ListParagraph"/>
              <w:numPr>
                <w:ilvl w:val="0"/>
                <w:numId w:val="33"/>
              </w:numPr>
              <w:rPr>
                <w:sz w:val="20"/>
                <w:szCs w:val="20"/>
              </w:rPr>
            </w:pPr>
            <w:r>
              <w:rPr>
                <w:sz w:val="20"/>
                <w:szCs w:val="20"/>
              </w:rPr>
              <w:t>The AP pilot has the EOPOs at its core and is highly effective in addressing the external aspects of gender, with women, children, youth and PWD as the key beneficiaries.</w:t>
            </w:r>
          </w:p>
          <w:p w14:paraId="5BAC787A" w14:textId="77777777" w:rsidR="00B21E17" w:rsidRDefault="00B21E17" w:rsidP="00EC431E">
            <w:pPr>
              <w:pStyle w:val="ListParagraph"/>
              <w:spacing w:line="72" w:lineRule="auto"/>
              <w:ind w:left="357"/>
              <w:rPr>
                <w:sz w:val="20"/>
                <w:szCs w:val="20"/>
              </w:rPr>
            </w:pPr>
          </w:p>
          <w:p w14:paraId="0296DA02" w14:textId="5B2B8A5C" w:rsidR="00705D48" w:rsidRPr="00705D48" w:rsidRDefault="00B21E17" w:rsidP="00705D48">
            <w:pPr>
              <w:pStyle w:val="ListParagraph"/>
              <w:numPr>
                <w:ilvl w:val="0"/>
                <w:numId w:val="33"/>
              </w:numPr>
              <w:rPr>
                <w:sz w:val="20"/>
                <w:szCs w:val="20"/>
              </w:rPr>
            </w:pPr>
            <w:r>
              <w:rPr>
                <w:sz w:val="20"/>
                <w:szCs w:val="20"/>
              </w:rPr>
              <w:t>There were 3 women and 9 men appointed as ACs and RCs.</w:t>
            </w:r>
            <w:r w:rsidR="00B1646A">
              <w:rPr>
                <w:sz w:val="20"/>
                <w:szCs w:val="20"/>
              </w:rPr>
              <w:t xml:space="preserve"> </w:t>
            </w:r>
            <w:r>
              <w:rPr>
                <w:sz w:val="20"/>
                <w:szCs w:val="20"/>
              </w:rPr>
              <w:t>Stakeholders called for both male and female APs and RCs in each community so that women affected by violence can approach a female AP/RC, and male APs can more effectively deal with male perpetrators</w:t>
            </w:r>
            <w:r w:rsidR="00705D48">
              <w:rPr>
                <w:sz w:val="20"/>
                <w:szCs w:val="20"/>
              </w:rPr>
              <w:t>.</w:t>
            </w:r>
            <w:r w:rsidR="00705D48" w:rsidRPr="00705D48">
              <w:rPr>
                <w:sz w:val="20"/>
                <w:szCs w:val="20"/>
              </w:rPr>
              <w:t xml:space="preserve"> </w:t>
            </w:r>
            <w:r w:rsidR="00705D48">
              <w:rPr>
                <w:sz w:val="20"/>
                <w:szCs w:val="20"/>
              </w:rPr>
              <w:t>A</w:t>
            </w:r>
            <w:r w:rsidR="00705D48" w:rsidRPr="00705D48">
              <w:rPr>
                <w:sz w:val="20"/>
                <w:szCs w:val="20"/>
              </w:rPr>
              <w:t xml:space="preserve"> female AP is required in each site to ensure women feel safe to make contact.</w:t>
            </w:r>
          </w:p>
        </w:tc>
      </w:tr>
      <w:tr w:rsidR="00B21E17" w14:paraId="4D38A4C0" w14:textId="77777777" w:rsidTr="00EC431E">
        <w:tc>
          <w:tcPr>
            <w:tcW w:w="1418" w:type="dxa"/>
            <w:shd w:val="clear" w:color="auto" w:fill="auto"/>
          </w:tcPr>
          <w:p w14:paraId="6A19C799" w14:textId="77777777" w:rsidR="00B21E17" w:rsidRDefault="00B21E17" w:rsidP="004E7C9F">
            <w:pPr>
              <w:pStyle w:val="ListParagraph"/>
              <w:numPr>
                <w:ilvl w:val="0"/>
                <w:numId w:val="35"/>
              </w:numPr>
              <w:ind w:left="324" w:hanging="324"/>
              <w:rPr>
                <w:b/>
                <w:bCs/>
                <w:sz w:val="20"/>
                <w:szCs w:val="20"/>
              </w:rPr>
            </w:pPr>
            <w:r w:rsidRPr="00230841">
              <w:rPr>
                <w:b/>
                <w:bCs/>
                <w:sz w:val="20"/>
                <w:szCs w:val="20"/>
              </w:rPr>
              <w:t>Disability</w:t>
            </w:r>
          </w:p>
          <w:p w14:paraId="7A0B23A7" w14:textId="77777777" w:rsidR="00B21E17" w:rsidRPr="00173F7A" w:rsidRDefault="00B21E17" w:rsidP="00EC431E">
            <w:pPr>
              <w:rPr>
                <w:b/>
                <w:bCs/>
                <w:sz w:val="20"/>
                <w:szCs w:val="20"/>
              </w:rPr>
            </w:pPr>
            <w:r>
              <w:rPr>
                <w:b/>
                <w:bCs/>
                <w:sz w:val="20"/>
                <w:szCs w:val="20"/>
              </w:rPr>
              <w:t>(</w:t>
            </w:r>
            <w:proofErr w:type="spellStart"/>
            <w:r>
              <w:rPr>
                <w:b/>
                <w:bCs/>
                <w:sz w:val="20"/>
                <w:szCs w:val="20"/>
              </w:rPr>
              <w:t>MoJ</w:t>
            </w:r>
            <w:proofErr w:type="spellEnd"/>
            <w:r>
              <w:rPr>
                <w:b/>
                <w:bCs/>
                <w:sz w:val="20"/>
                <w:szCs w:val="20"/>
              </w:rPr>
              <w:t xml:space="preserve"> Disability Desk)</w:t>
            </w:r>
          </w:p>
        </w:tc>
        <w:tc>
          <w:tcPr>
            <w:tcW w:w="6379" w:type="dxa"/>
            <w:shd w:val="clear" w:color="auto" w:fill="auto"/>
          </w:tcPr>
          <w:p w14:paraId="1863AD2A" w14:textId="77777777" w:rsidR="00B21E17" w:rsidRDefault="00B21E17" w:rsidP="004E7C9F">
            <w:pPr>
              <w:pStyle w:val="ListParagraph"/>
              <w:numPr>
                <w:ilvl w:val="0"/>
                <w:numId w:val="33"/>
              </w:numPr>
              <w:rPr>
                <w:sz w:val="20"/>
                <w:szCs w:val="20"/>
              </w:rPr>
            </w:pPr>
            <w:r w:rsidRPr="00445D8B">
              <w:rPr>
                <w:b/>
                <w:sz w:val="20"/>
                <w:szCs w:val="20"/>
              </w:rPr>
              <w:t>Development of national disability policy:</w:t>
            </w:r>
            <w:r>
              <w:rPr>
                <w:sz w:val="20"/>
                <w:szCs w:val="20"/>
              </w:rPr>
              <w:t xml:space="preserve"> T</w:t>
            </w:r>
            <w:r w:rsidRPr="00445D8B">
              <w:rPr>
                <w:sz w:val="20"/>
                <w:szCs w:val="20"/>
              </w:rPr>
              <w:t xml:space="preserve">he Program has played a significant and important role in advancing disability inclusion more broadly across Vanuatu </w:t>
            </w:r>
          </w:p>
          <w:p w14:paraId="42F6E286" w14:textId="77777777" w:rsidR="00B21E17" w:rsidRDefault="00B21E17" w:rsidP="004E7C9F">
            <w:pPr>
              <w:pStyle w:val="ListParagraph"/>
              <w:numPr>
                <w:ilvl w:val="0"/>
                <w:numId w:val="33"/>
              </w:numPr>
              <w:rPr>
                <w:sz w:val="20"/>
                <w:szCs w:val="20"/>
              </w:rPr>
            </w:pPr>
            <w:r w:rsidRPr="00445D8B">
              <w:rPr>
                <w:b/>
                <w:sz w:val="20"/>
                <w:szCs w:val="20"/>
              </w:rPr>
              <w:t>Participatory analysis undertaken to support justice work:</w:t>
            </w:r>
            <w:r w:rsidRPr="00445D8B">
              <w:rPr>
                <w:sz w:val="20"/>
                <w:szCs w:val="20"/>
              </w:rPr>
              <w:t xml:space="preserve"> As part of the implementation of its policy, the </w:t>
            </w:r>
            <w:proofErr w:type="spellStart"/>
            <w:r w:rsidRPr="00445D8B">
              <w:rPr>
                <w:sz w:val="20"/>
                <w:szCs w:val="20"/>
              </w:rPr>
              <w:t>MoJ</w:t>
            </w:r>
            <w:proofErr w:type="spellEnd"/>
            <w:r w:rsidRPr="00445D8B">
              <w:rPr>
                <w:sz w:val="20"/>
                <w:szCs w:val="20"/>
              </w:rPr>
              <w:t xml:space="preserve"> recently brought disability stakeholders together to conduct a participatory analysis which explored the barriers and opportunities within the justice sector.</w:t>
            </w:r>
          </w:p>
          <w:p w14:paraId="145D0659" w14:textId="77777777" w:rsidR="00B21E17" w:rsidRDefault="00B21E17" w:rsidP="004E7C9F">
            <w:pPr>
              <w:pStyle w:val="ListParagraph"/>
              <w:numPr>
                <w:ilvl w:val="0"/>
                <w:numId w:val="33"/>
              </w:numPr>
              <w:rPr>
                <w:sz w:val="20"/>
                <w:szCs w:val="20"/>
              </w:rPr>
            </w:pPr>
            <w:r w:rsidRPr="00445D8B">
              <w:rPr>
                <w:b/>
                <w:sz w:val="20"/>
                <w:szCs w:val="20"/>
              </w:rPr>
              <w:t>Increased momentum in disability</w:t>
            </w:r>
            <w:r>
              <w:rPr>
                <w:sz w:val="20"/>
                <w:szCs w:val="20"/>
              </w:rPr>
              <w:t xml:space="preserve">: The introduction of the new policy will see a focus on implementation in a range of areas, the program needs to ensure justice work gets taken forward and be mindful of the range of demands that are likely to be placed on the Disability Desk, VPSD, DPO and other </w:t>
            </w:r>
            <w:proofErr w:type="spellStart"/>
            <w:r>
              <w:rPr>
                <w:sz w:val="20"/>
                <w:szCs w:val="20"/>
              </w:rPr>
              <w:t>organisations</w:t>
            </w:r>
            <w:proofErr w:type="spellEnd"/>
            <w:r>
              <w:rPr>
                <w:sz w:val="20"/>
                <w:szCs w:val="20"/>
              </w:rPr>
              <w:t>.</w:t>
            </w:r>
          </w:p>
          <w:p w14:paraId="4FC94BBD" w14:textId="77777777" w:rsidR="00B21E17" w:rsidRDefault="00B21E17" w:rsidP="004E7C9F">
            <w:pPr>
              <w:pStyle w:val="ListParagraph"/>
              <w:numPr>
                <w:ilvl w:val="0"/>
                <w:numId w:val="33"/>
              </w:numPr>
              <w:rPr>
                <w:sz w:val="20"/>
                <w:szCs w:val="20"/>
              </w:rPr>
            </w:pPr>
            <w:r w:rsidRPr="00445D8B">
              <w:rPr>
                <w:b/>
                <w:sz w:val="20"/>
                <w:szCs w:val="20"/>
              </w:rPr>
              <w:t>Future focus:</w:t>
            </w:r>
            <w:r>
              <w:rPr>
                <w:sz w:val="20"/>
                <w:szCs w:val="20"/>
              </w:rPr>
              <w:t xml:space="preserve"> Disability needs to be brought more strongly into the program’s strategy, analysis and reporting as the focus shifts from policy to implementation.</w:t>
            </w:r>
          </w:p>
          <w:p w14:paraId="786B6F78" w14:textId="77777777" w:rsidR="00B21E17" w:rsidRPr="00FA663C" w:rsidRDefault="00B21E17" w:rsidP="004E7C9F">
            <w:pPr>
              <w:pStyle w:val="ListParagraph"/>
              <w:numPr>
                <w:ilvl w:val="0"/>
                <w:numId w:val="33"/>
              </w:numPr>
              <w:rPr>
                <w:sz w:val="20"/>
                <w:szCs w:val="20"/>
              </w:rPr>
            </w:pPr>
            <w:r w:rsidRPr="00FA663C">
              <w:rPr>
                <w:b/>
                <w:sz w:val="20"/>
                <w:szCs w:val="20"/>
              </w:rPr>
              <w:t>Shifting of advisor resources:</w:t>
            </w:r>
            <w:r>
              <w:rPr>
                <w:sz w:val="20"/>
                <w:szCs w:val="20"/>
              </w:rPr>
              <w:t xml:space="preserve"> The Advisor will shift from having a focus on disability inclusion to one of a broader inclusion advisor. This may have advantages (disability can be linked with gender work) and disadvantaged (as the focus on disability may be diminished).</w:t>
            </w:r>
          </w:p>
        </w:tc>
        <w:tc>
          <w:tcPr>
            <w:tcW w:w="3686" w:type="dxa"/>
            <w:shd w:val="clear" w:color="auto" w:fill="auto"/>
          </w:tcPr>
          <w:p w14:paraId="4CA03851" w14:textId="77777777" w:rsidR="00B21E17" w:rsidRDefault="00B21E17" w:rsidP="004E7C9F">
            <w:pPr>
              <w:pStyle w:val="ListParagraph"/>
              <w:numPr>
                <w:ilvl w:val="0"/>
                <w:numId w:val="33"/>
              </w:numPr>
              <w:rPr>
                <w:sz w:val="20"/>
                <w:szCs w:val="20"/>
              </w:rPr>
            </w:pPr>
            <w:r>
              <w:rPr>
                <w:sz w:val="20"/>
                <w:szCs w:val="20"/>
              </w:rPr>
              <w:t xml:space="preserve">The Advisor has contributed technical skills to support policy development, there has been a more limited focus on capacity building of </w:t>
            </w:r>
            <w:proofErr w:type="spellStart"/>
            <w:r>
              <w:rPr>
                <w:sz w:val="20"/>
                <w:szCs w:val="20"/>
              </w:rPr>
              <w:t>MoJ</w:t>
            </w:r>
            <w:proofErr w:type="spellEnd"/>
            <w:r>
              <w:rPr>
                <w:sz w:val="20"/>
                <w:szCs w:val="20"/>
              </w:rPr>
              <w:t xml:space="preserve"> staff.</w:t>
            </w:r>
          </w:p>
          <w:p w14:paraId="399D60A8" w14:textId="77777777" w:rsidR="00B21E17" w:rsidRPr="001332CA" w:rsidRDefault="00B21E17" w:rsidP="004E7C9F">
            <w:pPr>
              <w:pStyle w:val="ListParagraph"/>
              <w:numPr>
                <w:ilvl w:val="0"/>
                <w:numId w:val="33"/>
              </w:numPr>
              <w:rPr>
                <w:sz w:val="20"/>
                <w:szCs w:val="20"/>
              </w:rPr>
            </w:pPr>
            <w:r>
              <w:rPr>
                <w:sz w:val="20"/>
                <w:szCs w:val="20"/>
              </w:rPr>
              <w:t xml:space="preserve">There are opportunities to draw on the skills of the national DPO and VSPD in capacity development of the </w:t>
            </w:r>
            <w:proofErr w:type="spellStart"/>
            <w:r>
              <w:rPr>
                <w:sz w:val="20"/>
                <w:szCs w:val="20"/>
              </w:rPr>
              <w:t>MoJ</w:t>
            </w:r>
            <w:proofErr w:type="spellEnd"/>
            <w:r>
              <w:rPr>
                <w:sz w:val="20"/>
                <w:szCs w:val="20"/>
              </w:rPr>
              <w:t xml:space="preserve"> and other stakeholders to support implementation. Key considerations include: ensuring people with disability lead work if possible “nothing for us without us”; DPO members providing assistance need to be remunerated; the </w:t>
            </w:r>
            <w:proofErr w:type="spellStart"/>
            <w:r>
              <w:rPr>
                <w:sz w:val="20"/>
                <w:szCs w:val="20"/>
              </w:rPr>
              <w:t>MoJ</w:t>
            </w:r>
            <w:proofErr w:type="spellEnd"/>
            <w:r>
              <w:rPr>
                <w:sz w:val="20"/>
                <w:szCs w:val="20"/>
              </w:rPr>
              <w:t xml:space="preserve"> needs to understand how to work appropriately with DPOS (including accessible communications) and be mindful of demand and capacity constraints as demand for their services increases.</w:t>
            </w:r>
          </w:p>
        </w:tc>
        <w:tc>
          <w:tcPr>
            <w:tcW w:w="3543" w:type="dxa"/>
            <w:shd w:val="clear" w:color="auto" w:fill="auto"/>
          </w:tcPr>
          <w:p w14:paraId="6591CFB7" w14:textId="77777777" w:rsidR="00B21E17" w:rsidRDefault="00B21E17" w:rsidP="004E7C9F">
            <w:pPr>
              <w:pStyle w:val="ListParagraph"/>
              <w:numPr>
                <w:ilvl w:val="0"/>
                <w:numId w:val="33"/>
              </w:numPr>
              <w:rPr>
                <w:sz w:val="20"/>
                <w:szCs w:val="20"/>
              </w:rPr>
            </w:pPr>
            <w:r>
              <w:rPr>
                <w:sz w:val="20"/>
                <w:szCs w:val="20"/>
              </w:rPr>
              <w:t>Lack of clear articulation on the double vulnerability girls and women with disability face to FSV and bringing this into the Program’s focus given the EPOPs</w:t>
            </w:r>
          </w:p>
          <w:p w14:paraId="25DA92A6" w14:textId="59EE5D69" w:rsidR="00B21E17" w:rsidRPr="00F33A18" w:rsidRDefault="00B21E17" w:rsidP="00F327EB">
            <w:pPr>
              <w:pStyle w:val="ListParagraph"/>
              <w:numPr>
                <w:ilvl w:val="0"/>
                <w:numId w:val="33"/>
              </w:numPr>
              <w:rPr>
                <w:sz w:val="20"/>
                <w:szCs w:val="20"/>
              </w:rPr>
            </w:pPr>
            <w:proofErr w:type="spellStart"/>
            <w:r>
              <w:rPr>
                <w:sz w:val="20"/>
                <w:szCs w:val="20"/>
              </w:rPr>
              <w:t>MoJ</w:t>
            </w:r>
            <w:proofErr w:type="spellEnd"/>
            <w:r>
              <w:rPr>
                <w:sz w:val="20"/>
                <w:szCs w:val="20"/>
              </w:rPr>
              <w:t xml:space="preserve"> </w:t>
            </w:r>
            <w:r w:rsidR="00F327EB">
              <w:rPr>
                <w:sz w:val="20"/>
                <w:szCs w:val="20"/>
              </w:rPr>
              <w:t>and service providers do</w:t>
            </w:r>
            <w:r>
              <w:rPr>
                <w:sz w:val="20"/>
                <w:szCs w:val="20"/>
              </w:rPr>
              <w:t xml:space="preserve"> not yet have skills to make systems accessible for people with disability, several women have made complaints, with reports that they were provided different levels of support.</w:t>
            </w:r>
          </w:p>
        </w:tc>
      </w:tr>
      <w:tr w:rsidR="00B21E17" w14:paraId="37BA6EF9" w14:textId="77777777" w:rsidTr="00EC431E">
        <w:tc>
          <w:tcPr>
            <w:tcW w:w="1418" w:type="dxa"/>
            <w:shd w:val="clear" w:color="auto" w:fill="auto"/>
          </w:tcPr>
          <w:p w14:paraId="1115274E" w14:textId="77777777" w:rsidR="00B21E17" w:rsidRPr="00596442" w:rsidRDefault="00B21E17" w:rsidP="004E7C9F">
            <w:pPr>
              <w:pStyle w:val="ListParagraph"/>
              <w:numPr>
                <w:ilvl w:val="0"/>
                <w:numId w:val="35"/>
              </w:numPr>
              <w:ind w:left="324" w:hanging="324"/>
              <w:rPr>
                <w:b/>
                <w:bCs/>
                <w:sz w:val="20"/>
                <w:szCs w:val="20"/>
              </w:rPr>
            </w:pPr>
            <w:r w:rsidRPr="00596442">
              <w:rPr>
                <w:b/>
                <w:bCs/>
                <w:sz w:val="20"/>
                <w:szCs w:val="20"/>
              </w:rPr>
              <w:t xml:space="preserve">CMS </w:t>
            </w:r>
            <w:r>
              <w:rPr>
                <w:b/>
                <w:bCs/>
                <w:sz w:val="20"/>
                <w:szCs w:val="20"/>
              </w:rPr>
              <w:t xml:space="preserve">and PIMS </w:t>
            </w:r>
          </w:p>
        </w:tc>
        <w:tc>
          <w:tcPr>
            <w:tcW w:w="6379" w:type="dxa"/>
            <w:shd w:val="clear" w:color="auto" w:fill="auto"/>
          </w:tcPr>
          <w:p w14:paraId="73918EBC" w14:textId="77777777" w:rsidR="00B21E17" w:rsidRPr="0075165D" w:rsidRDefault="00B21E17" w:rsidP="004E7C9F">
            <w:pPr>
              <w:pStyle w:val="ListParagraph"/>
              <w:numPr>
                <w:ilvl w:val="0"/>
                <w:numId w:val="34"/>
              </w:numPr>
              <w:spacing w:after="60"/>
              <w:contextualSpacing w:val="0"/>
              <w:rPr>
                <w:b/>
                <w:sz w:val="20"/>
                <w:szCs w:val="20"/>
              </w:rPr>
            </w:pPr>
            <w:r>
              <w:rPr>
                <w:b/>
                <w:sz w:val="20"/>
                <w:szCs w:val="20"/>
              </w:rPr>
              <w:t>Gained traction and being used</w:t>
            </w:r>
            <w:r w:rsidRPr="0075165D">
              <w:rPr>
                <w:b/>
                <w:sz w:val="20"/>
                <w:szCs w:val="20"/>
              </w:rPr>
              <w:t xml:space="preserve">: </w:t>
            </w:r>
            <w:r w:rsidRPr="0075165D">
              <w:rPr>
                <w:sz w:val="20"/>
                <w:szCs w:val="20"/>
              </w:rPr>
              <w:t>PIMS and</w:t>
            </w:r>
            <w:r>
              <w:rPr>
                <w:b/>
                <w:sz w:val="20"/>
                <w:szCs w:val="20"/>
              </w:rPr>
              <w:t xml:space="preserve"> </w:t>
            </w:r>
            <w:r>
              <w:rPr>
                <w:sz w:val="20"/>
                <w:szCs w:val="20"/>
              </w:rPr>
              <w:t>CMS are</w:t>
            </w:r>
            <w:r w:rsidRPr="0075165D">
              <w:rPr>
                <w:sz w:val="20"/>
                <w:szCs w:val="20"/>
              </w:rPr>
              <w:t xml:space="preserve"> being used as intended by the full range of actors across the policing and justice system who are entering and mining core data sets. CMS has contributed to overall performance of the criminal justice sector</w:t>
            </w:r>
            <w:r>
              <w:rPr>
                <w:sz w:val="20"/>
                <w:szCs w:val="20"/>
              </w:rPr>
              <w:t>.</w:t>
            </w:r>
          </w:p>
          <w:p w14:paraId="321DB35D" w14:textId="77777777" w:rsidR="00B21E17" w:rsidRPr="0075165D" w:rsidRDefault="00B21E17" w:rsidP="004E7C9F">
            <w:pPr>
              <w:pStyle w:val="ListParagraph"/>
              <w:numPr>
                <w:ilvl w:val="0"/>
                <w:numId w:val="34"/>
              </w:numPr>
              <w:spacing w:after="60"/>
              <w:contextualSpacing w:val="0"/>
              <w:rPr>
                <w:b/>
                <w:sz w:val="20"/>
                <w:szCs w:val="20"/>
              </w:rPr>
            </w:pPr>
            <w:r w:rsidRPr="0075165D">
              <w:rPr>
                <w:b/>
                <w:sz w:val="20"/>
                <w:szCs w:val="20"/>
              </w:rPr>
              <w:t>Still improvements to be made</w:t>
            </w:r>
            <w:r w:rsidRPr="0075165D">
              <w:rPr>
                <w:sz w:val="20"/>
                <w:szCs w:val="20"/>
              </w:rPr>
              <w:t>: There are some issues with data completion and data quality (</w:t>
            </w:r>
            <w:proofErr w:type="spellStart"/>
            <w:r w:rsidRPr="0075165D">
              <w:rPr>
                <w:sz w:val="20"/>
                <w:szCs w:val="20"/>
              </w:rPr>
              <w:t>ie</w:t>
            </w:r>
            <w:proofErr w:type="spellEnd"/>
            <w:r w:rsidRPr="0075165D">
              <w:rPr>
                <w:sz w:val="20"/>
                <w:szCs w:val="20"/>
              </w:rPr>
              <w:t xml:space="preserve"> gender of offenders and gender of victims not good)</w:t>
            </w:r>
            <w:r>
              <w:rPr>
                <w:sz w:val="20"/>
                <w:szCs w:val="20"/>
              </w:rPr>
              <w:t xml:space="preserve">. </w:t>
            </w:r>
          </w:p>
          <w:p w14:paraId="3876D45F" w14:textId="77777777" w:rsidR="00B21E17" w:rsidRPr="0075165D" w:rsidRDefault="00B21E17" w:rsidP="004E7C9F">
            <w:pPr>
              <w:pStyle w:val="ListParagraph"/>
              <w:numPr>
                <w:ilvl w:val="0"/>
                <w:numId w:val="34"/>
              </w:numPr>
              <w:spacing w:after="60"/>
              <w:contextualSpacing w:val="0"/>
              <w:rPr>
                <w:b/>
                <w:sz w:val="20"/>
                <w:szCs w:val="20"/>
              </w:rPr>
            </w:pPr>
            <w:r w:rsidRPr="0075165D">
              <w:rPr>
                <w:b/>
                <w:sz w:val="20"/>
                <w:szCs w:val="20"/>
              </w:rPr>
              <w:t>Limited operational capability and sustainability:</w:t>
            </w:r>
            <w:r w:rsidRPr="0075165D">
              <w:rPr>
                <w:sz w:val="20"/>
                <w:szCs w:val="20"/>
              </w:rPr>
              <w:t xml:space="preserve"> There are challenges to the </w:t>
            </w:r>
            <w:proofErr w:type="spellStart"/>
            <w:r w:rsidRPr="0075165D">
              <w:rPr>
                <w:sz w:val="20"/>
                <w:szCs w:val="20"/>
              </w:rPr>
              <w:t>GoV’s</w:t>
            </w:r>
            <w:proofErr w:type="spellEnd"/>
            <w:r w:rsidRPr="0075165D">
              <w:rPr>
                <w:sz w:val="20"/>
                <w:szCs w:val="20"/>
              </w:rPr>
              <w:t xml:space="preserve"> ability to maintain the database, with only two current super-users and a lack of allocated financing to maintain IT infrastructure</w:t>
            </w:r>
            <w:r>
              <w:rPr>
                <w:sz w:val="20"/>
                <w:szCs w:val="20"/>
              </w:rPr>
              <w:t>.</w:t>
            </w:r>
          </w:p>
          <w:p w14:paraId="41BE1555" w14:textId="77777777" w:rsidR="00B21E17" w:rsidRDefault="00B21E17" w:rsidP="004E7C9F">
            <w:pPr>
              <w:pStyle w:val="ListParagraph"/>
              <w:numPr>
                <w:ilvl w:val="0"/>
                <w:numId w:val="34"/>
              </w:numPr>
              <w:spacing w:after="60"/>
              <w:contextualSpacing w:val="0"/>
              <w:rPr>
                <w:b/>
                <w:sz w:val="20"/>
                <w:szCs w:val="20"/>
              </w:rPr>
            </w:pPr>
            <w:r>
              <w:rPr>
                <w:b/>
                <w:sz w:val="20"/>
                <w:szCs w:val="20"/>
              </w:rPr>
              <w:t xml:space="preserve">Lack of perceived value and ownership by leaders: </w:t>
            </w:r>
            <w:r w:rsidRPr="0075165D">
              <w:rPr>
                <w:sz w:val="20"/>
                <w:szCs w:val="20"/>
              </w:rPr>
              <w:t>While some leadership see value, others are not consistently requesting and engaging with the data for program management purposes,</w:t>
            </w:r>
            <w:r w:rsidRPr="0075165D">
              <w:rPr>
                <w:b/>
                <w:sz w:val="20"/>
                <w:szCs w:val="20"/>
              </w:rPr>
              <w:t xml:space="preserve"> </w:t>
            </w:r>
          </w:p>
          <w:p w14:paraId="34452908" w14:textId="77777777" w:rsidR="00B21E17" w:rsidRPr="0075165D" w:rsidRDefault="00B21E17" w:rsidP="004E7C9F">
            <w:pPr>
              <w:pStyle w:val="ListParagraph"/>
              <w:numPr>
                <w:ilvl w:val="0"/>
                <w:numId w:val="34"/>
              </w:numPr>
              <w:spacing w:after="60"/>
              <w:contextualSpacing w:val="0"/>
              <w:rPr>
                <w:b/>
                <w:sz w:val="20"/>
                <w:szCs w:val="20"/>
              </w:rPr>
            </w:pPr>
            <w:r>
              <w:rPr>
                <w:b/>
                <w:sz w:val="20"/>
                <w:szCs w:val="20"/>
              </w:rPr>
              <w:t>Future directions</w:t>
            </w:r>
            <w:r w:rsidRPr="0075165D">
              <w:rPr>
                <w:sz w:val="20"/>
                <w:szCs w:val="20"/>
              </w:rPr>
              <w:t>: is important that the program pursues avenues to that support senior leadership to understand the benefits the systems have to offer for maximum benefit of the Program’s large investment and for sustainability.</w:t>
            </w:r>
          </w:p>
        </w:tc>
        <w:tc>
          <w:tcPr>
            <w:tcW w:w="3686" w:type="dxa"/>
            <w:shd w:val="clear" w:color="auto" w:fill="auto"/>
          </w:tcPr>
          <w:p w14:paraId="5C43F8DD" w14:textId="77777777" w:rsidR="00B21E17" w:rsidRDefault="00B21E17" w:rsidP="004E7C9F">
            <w:pPr>
              <w:pStyle w:val="ListParagraph"/>
              <w:numPr>
                <w:ilvl w:val="0"/>
                <w:numId w:val="33"/>
              </w:numPr>
              <w:rPr>
                <w:sz w:val="20"/>
                <w:szCs w:val="20"/>
              </w:rPr>
            </w:pPr>
            <w:r>
              <w:rPr>
                <w:sz w:val="20"/>
                <w:szCs w:val="20"/>
              </w:rPr>
              <w:t>Working at a systems level, and building the capacity of individuals to use the system, with the quality of super-users being key.</w:t>
            </w:r>
          </w:p>
          <w:p w14:paraId="36AF11C6" w14:textId="77777777" w:rsidR="00B21E17" w:rsidRDefault="00B21E17" w:rsidP="004E7C9F">
            <w:pPr>
              <w:pStyle w:val="ListParagraph"/>
              <w:numPr>
                <w:ilvl w:val="0"/>
                <w:numId w:val="33"/>
              </w:numPr>
              <w:rPr>
                <w:sz w:val="20"/>
                <w:szCs w:val="20"/>
              </w:rPr>
            </w:pPr>
            <w:r>
              <w:rPr>
                <w:sz w:val="20"/>
                <w:szCs w:val="20"/>
              </w:rPr>
              <w:t>Advisors are thinking politically, engaging different levels of the Program’s management and offering serval ideas for how the issue could be addressed. This has not been followed up on sufficiently by the Program’s management.</w:t>
            </w:r>
          </w:p>
          <w:p w14:paraId="7549AA73" w14:textId="77777777" w:rsidR="00B21E17" w:rsidRPr="0028285B" w:rsidRDefault="00B21E17" w:rsidP="00EC431E">
            <w:pPr>
              <w:rPr>
                <w:sz w:val="20"/>
                <w:szCs w:val="20"/>
              </w:rPr>
            </w:pPr>
          </w:p>
        </w:tc>
        <w:tc>
          <w:tcPr>
            <w:tcW w:w="3543" w:type="dxa"/>
            <w:shd w:val="clear" w:color="auto" w:fill="auto"/>
          </w:tcPr>
          <w:p w14:paraId="261CEF98" w14:textId="77777777" w:rsidR="00B21E17" w:rsidRDefault="00B21E17" w:rsidP="004E7C9F">
            <w:pPr>
              <w:pStyle w:val="ListParagraph"/>
              <w:numPr>
                <w:ilvl w:val="0"/>
                <w:numId w:val="33"/>
              </w:numPr>
              <w:rPr>
                <w:sz w:val="20"/>
                <w:szCs w:val="20"/>
              </w:rPr>
            </w:pPr>
            <w:r>
              <w:rPr>
                <w:sz w:val="20"/>
                <w:szCs w:val="20"/>
              </w:rPr>
              <w:t>Enables a range of data to support a gender analysis of access and quality of the justice sector</w:t>
            </w:r>
          </w:p>
          <w:p w14:paraId="3F2070C3" w14:textId="77777777" w:rsidR="00B21E17" w:rsidRDefault="00B21E17" w:rsidP="004E7C9F">
            <w:pPr>
              <w:pStyle w:val="ListParagraph"/>
              <w:numPr>
                <w:ilvl w:val="0"/>
                <w:numId w:val="33"/>
              </w:numPr>
              <w:rPr>
                <w:sz w:val="20"/>
                <w:szCs w:val="20"/>
              </w:rPr>
            </w:pPr>
            <w:r>
              <w:rPr>
                <w:sz w:val="20"/>
                <w:szCs w:val="20"/>
              </w:rPr>
              <w:t>Some lack of gendered data such as the gender of victims, and the outcomes of cases of offences related to morality and FSV.</w:t>
            </w:r>
          </w:p>
          <w:p w14:paraId="5A92BACF" w14:textId="77777777" w:rsidR="00B21E17" w:rsidRDefault="00B21E17" w:rsidP="004E7C9F">
            <w:pPr>
              <w:pStyle w:val="ListParagraph"/>
              <w:numPr>
                <w:ilvl w:val="0"/>
                <w:numId w:val="33"/>
              </w:numPr>
              <w:rPr>
                <w:sz w:val="20"/>
                <w:szCs w:val="20"/>
              </w:rPr>
            </w:pPr>
            <w:r>
              <w:rPr>
                <w:sz w:val="20"/>
                <w:szCs w:val="20"/>
              </w:rPr>
              <w:t xml:space="preserve">Data not being used at a Program level or by government to tell the gender story and inform gender programming. </w:t>
            </w:r>
          </w:p>
          <w:p w14:paraId="4A158C76" w14:textId="77777777" w:rsidR="00B21E17" w:rsidRPr="00FC5D67" w:rsidRDefault="00B21E17" w:rsidP="00EC431E">
            <w:pPr>
              <w:rPr>
                <w:sz w:val="20"/>
                <w:szCs w:val="20"/>
              </w:rPr>
            </w:pPr>
          </w:p>
        </w:tc>
      </w:tr>
      <w:tr w:rsidR="00B21E17" w14:paraId="36E68C60" w14:textId="77777777" w:rsidTr="00EC431E">
        <w:trPr>
          <w:trHeight w:val="816"/>
        </w:trPr>
        <w:tc>
          <w:tcPr>
            <w:tcW w:w="1418" w:type="dxa"/>
            <w:shd w:val="clear" w:color="auto" w:fill="FFFFFF" w:themeFill="background1"/>
          </w:tcPr>
          <w:p w14:paraId="064013B6" w14:textId="77777777" w:rsidR="00B21E17" w:rsidRDefault="00B21E17" w:rsidP="004E7C9F">
            <w:pPr>
              <w:pStyle w:val="ListParagraph"/>
              <w:numPr>
                <w:ilvl w:val="0"/>
                <w:numId w:val="35"/>
              </w:numPr>
              <w:ind w:left="324" w:hanging="324"/>
              <w:rPr>
                <w:b/>
                <w:bCs/>
                <w:sz w:val="20"/>
                <w:szCs w:val="20"/>
              </w:rPr>
            </w:pPr>
            <w:bookmarkStart w:id="50" w:name="_Hlk20339614"/>
          </w:p>
          <w:p w14:paraId="6340EB02" w14:textId="77777777" w:rsidR="00B21E17" w:rsidRPr="003D66BA" w:rsidRDefault="00B21E17" w:rsidP="00EC431E">
            <w:pPr>
              <w:rPr>
                <w:b/>
                <w:bCs/>
                <w:sz w:val="20"/>
                <w:szCs w:val="20"/>
              </w:rPr>
            </w:pPr>
            <w:r w:rsidRPr="003D66BA">
              <w:rPr>
                <w:b/>
                <w:bCs/>
                <w:sz w:val="20"/>
                <w:szCs w:val="20"/>
              </w:rPr>
              <w:t>Awareness raising</w:t>
            </w:r>
          </w:p>
        </w:tc>
        <w:tc>
          <w:tcPr>
            <w:tcW w:w="6379" w:type="dxa"/>
            <w:shd w:val="clear" w:color="auto" w:fill="FFFFFF" w:themeFill="background1"/>
          </w:tcPr>
          <w:p w14:paraId="4C8486EA" w14:textId="77777777" w:rsidR="00B21E17" w:rsidRPr="00742138" w:rsidRDefault="00B21E17" w:rsidP="004E7C9F">
            <w:pPr>
              <w:pStyle w:val="ListParagraph"/>
              <w:numPr>
                <w:ilvl w:val="0"/>
                <w:numId w:val="33"/>
              </w:numPr>
              <w:rPr>
                <w:sz w:val="20"/>
                <w:szCs w:val="20"/>
              </w:rPr>
            </w:pPr>
            <w:r w:rsidRPr="00742138">
              <w:rPr>
                <w:b/>
                <w:sz w:val="20"/>
                <w:szCs w:val="20"/>
              </w:rPr>
              <w:t>Creating access to justice agencies for community members</w:t>
            </w:r>
            <w:r w:rsidRPr="00742138">
              <w:rPr>
                <w:sz w:val="20"/>
                <w:szCs w:val="20"/>
              </w:rPr>
              <w:t xml:space="preserve">: </w:t>
            </w:r>
            <w:r w:rsidRPr="00742138">
              <w:rPr>
                <w:rFonts w:ascii="Calibri" w:eastAsia="Calibri" w:hAnsi="Calibri" w:cs="Times New Roman"/>
                <w:sz w:val="20"/>
                <w:szCs w:val="20"/>
              </w:rPr>
              <w:t xml:space="preserve">information sessions for different stakeholder groups </w:t>
            </w:r>
            <w:r>
              <w:rPr>
                <w:rFonts w:ascii="Calibri" w:eastAsia="Calibri" w:hAnsi="Calibri" w:cs="Times New Roman"/>
                <w:sz w:val="20"/>
                <w:szCs w:val="20"/>
              </w:rPr>
              <w:t xml:space="preserve">including women, men and chiefs in separate sessions </w:t>
            </w:r>
            <w:r w:rsidRPr="00742138">
              <w:rPr>
                <w:rFonts w:ascii="Calibri" w:eastAsia="Calibri" w:hAnsi="Calibri" w:cs="Times New Roman"/>
                <w:sz w:val="20"/>
                <w:szCs w:val="20"/>
              </w:rPr>
              <w:t>(delivered jointly by PPO, SDP and VWC).</w:t>
            </w:r>
          </w:p>
          <w:p w14:paraId="13389B06" w14:textId="77777777" w:rsidR="00B21E17" w:rsidRDefault="00B21E17" w:rsidP="004E7C9F">
            <w:pPr>
              <w:pStyle w:val="ListParagraph"/>
              <w:numPr>
                <w:ilvl w:val="0"/>
                <w:numId w:val="33"/>
              </w:numPr>
              <w:rPr>
                <w:sz w:val="20"/>
                <w:szCs w:val="20"/>
              </w:rPr>
            </w:pPr>
            <w:r w:rsidRPr="00742138">
              <w:rPr>
                <w:b/>
                <w:sz w:val="20"/>
                <w:szCs w:val="20"/>
              </w:rPr>
              <w:t>Spreading knowledge of the FPA</w:t>
            </w:r>
            <w:r>
              <w:rPr>
                <w:sz w:val="20"/>
                <w:szCs w:val="20"/>
              </w:rPr>
              <w:t>: the awareness is raising community understanding of the FPA and are learning for the first time that FSV is a crime.</w:t>
            </w:r>
          </w:p>
          <w:p w14:paraId="7D9FEAC0" w14:textId="77777777" w:rsidR="00B21E17" w:rsidRPr="00742138" w:rsidRDefault="00B21E17" w:rsidP="004E7C9F">
            <w:pPr>
              <w:pStyle w:val="ListParagraph"/>
              <w:numPr>
                <w:ilvl w:val="0"/>
                <w:numId w:val="33"/>
              </w:numPr>
              <w:rPr>
                <w:sz w:val="20"/>
                <w:szCs w:val="20"/>
              </w:rPr>
            </w:pPr>
            <w:r w:rsidRPr="00742138">
              <w:rPr>
                <w:b/>
                <w:sz w:val="20"/>
                <w:szCs w:val="20"/>
              </w:rPr>
              <w:t>Strengthened coordination required</w:t>
            </w:r>
            <w:r>
              <w:rPr>
                <w:sz w:val="20"/>
                <w:szCs w:val="20"/>
              </w:rPr>
              <w:t xml:space="preserve">: one key stakeholder commented that the training was disjoined as it was run by different </w:t>
            </w:r>
            <w:proofErr w:type="spellStart"/>
            <w:r>
              <w:rPr>
                <w:sz w:val="20"/>
                <w:szCs w:val="20"/>
              </w:rPr>
              <w:t>organisations</w:t>
            </w:r>
            <w:proofErr w:type="spellEnd"/>
            <w:r>
              <w:rPr>
                <w:sz w:val="20"/>
                <w:szCs w:val="20"/>
              </w:rPr>
              <w:t xml:space="preserve"> and needed to be better integrated and coordinated.</w:t>
            </w:r>
          </w:p>
        </w:tc>
        <w:tc>
          <w:tcPr>
            <w:tcW w:w="3686" w:type="dxa"/>
            <w:shd w:val="clear" w:color="auto" w:fill="FFFFFF" w:themeFill="background1"/>
          </w:tcPr>
          <w:p w14:paraId="7AFDC314" w14:textId="77777777" w:rsidR="00B21E17" w:rsidRPr="00FA7DA8" w:rsidRDefault="00B21E17" w:rsidP="004E7C9F">
            <w:pPr>
              <w:pStyle w:val="ListParagraph"/>
              <w:numPr>
                <w:ilvl w:val="0"/>
                <w:numId w:val="33"/>
              </w:numPr>
              <w:rPr>
                <w:sz w:val="20"/>
                <w:szCs w:val="20"/>
              </w:rPr>
            </w:pPr>
            <w:r>
              <w:rPr>
                <w:sz w:val="20"/>
                <w:szCs w:val="20"/>
              </w:rPr>
              <w:t xml:space="preserve">N/A as activities undertaken directly by </w:t>
            </w:r>
            <w:proofErr w:type="spellStart"/>
            <w:r>
              <w:rPr>
                <w:sz w:val="20"/>
                <w:szCs w:val="20"/>
              </w:rPr>
              <w:t>GoV</w:t>
            </w:r>
            <w:proofErr w:type="spellEnd"/>
            <w:r>
              <w:rPr>
                <w:sz w:val="20"/>
                <w:szCs w:val="20"/>
              </w:rPr>
              <w:t xml:space="preserve"> counterparts and partners</w:t>
            </w:r>
          </w:p>
        </w:tc>
        <w:tc>
          <w:tcPr>
            <w:tcW w:w="3543" w:type="dxa"/>
            <w:shd w:val="clear" w:color="auto" w:fill="FFFFFF" w:themeFill="background1"/>
          </w:tcPr>
          <w:p w14:paraId="7431D5DE" w14:textId="77777777" w:rsidR="00B21E17" w:rsidRPr="00FA7DA8" w:rsidRDefault="00B21E17" w:rsidP="004E7C9F">
            <w:pPr>
              <w:pStyle w:val="ListParagraph"/>
              <w:numPr>
                <w:ilvl w:val="0"/>
                <w:numId w:val="33"/>
              </w:numPr>
              <w:rPr>
                <w:sz w:val="20"/>
                <w:szCs w:val="20"/>
              </w:rPr>
            </w:pPr>
            <w:r>
              <w:rPr>
                <w:sz w:val="20"/>
                <w:szCs w:val="20"/>
              </w:rPr>
              <w:t>The program content is focus on women and women are directly engaged in awareness raising. The program needs to develop strategies to target women who may be more isolated in their homes as well as women and girls with disability.</w:t>
            </w:r>
          </w:p>
        </w:tc>
      </w:tr>
      <w:tr w:rsidR="00B21E17" w14:paraId="2144B325" w14:textId="77777777" w:rsidTr="00EC431E">
        <w:tc>
          <w:tcPr>
            <w:tcW w:w="1418" w:type="dxa"/>
            <w:shd w:val="clear" w:color="auto" w:fill="FFFFFF" w:themeFill="background1"/>
          </w:tcPr>
          <w:p w14:paraId="45A419EA" w14:textId="77777777" w:rsidR="00B21E17" w:rsidRPr="00230841" w:rsidRDefault="00B21E17" w:rsidP="004E7C9F">
            <w:pPr>
              <w:pStyle w:val="ListParagraph"/>
              <w:numPr>
                <w:ilvl w:val="0"/>
                <w:numId w:val="35"/>
              </w:numPr>
              <w:ind w:left="31" w:hanging="31"/>
              <w:rPr>
                <w:b/>
                <w:bCs/>
                <w:sz w:val="20"/>
                <w:szCs w:val="20"/>
              </w:rPr>
            </w:pPr>
            <w:r>
              <w:rPr>
                <w:b/>
                <w:bCs/>
                <w:sz w:val="20"/>
                <w:szCs w:val="20"/>
              </w:rPr>
              <w:t xml:space="preserve"> Community partnerships and grants (including</w:t>
            </w:r>
            <w:r w:rsidR="001D6CDD">
              <w:rPr>
                <w:b/>
                <w:bCs/>
                <w:sz w:val="20"/>
                <w:szCs w:val="20"/>
              </w:rPr>
              <w:t xml:space="preserve"> </w:t>
            </w:r>
            <w:proofErr w:type="spellStart"/>
            <w:r w:rsidR="001D6CDD" w:rsidRPr="001D6CDD">
              <w:rPr>
                <w:b/>
                <w:bCs/>
                <w:sz w:val="20"/>
                <w:szCs w:val="20"/>
              </w:rPr>
              <w:t>Malekula</w:t>
            </w:r>
            <w:proofErr w:type="spellEnd"/>
            <w:r w:rsidR="001D6CDD" w:rsidRPr="001D6CDD">
              <w:rPr>
                <w:b/>
                <w:bCs/>
                <w:sz w:val="20"/>
                <w:szCs w:val="20"/>
              </w:rPr>
              <w:t xml:space="preserve"> work </w:t>
            </w:r>
            <w:r w:rsidR="004B23C3">
              <w:rPr>
                <w:b/>
                <w:bCs/>
                <w:sz w:val="20"/>
                <w:szCs w:val="20"/>
              </w:rPr>
              <w:t>youth workshops</w:t>
            </w:r>
            <w:r>
              <w:rPr>
                <w:b/>
                <w:bCs/>
                <w:sz w:val="20"/>
                <w:szCs w:val="20"/>
              </w:rPr>
              <w:t>, disability and youth)</w:t>
            </w:r>
          </w:p>
        </w:tc>
        <w:tc>
          <w:tcPr>
            <w:tcW w:w="6379" w:type="dxa"/>
            <w:shd w:val="clear" w:color="auto" w:fill="FFFFFF" w:themeFill="background1"/>
          </w:tcPr>
          <w:p w14:paraId="4382F415" w14:textId="77777777" w:rsidR="00B21E17" w:rsidRDefault="00B21E17" w:rsidP="004E7C9F">
            <w:pPr>
              <w:pStyle w:val="ListParagraph"/>
              <w:numPr>
                <w:ilvl w:val="0"/>
                <w:numId w:val="33"/>
              </w:numPr>
              <w:rPr>
                <w:sz w:val="20"/>
                <w:szCs w:val="20"/>
              </w:rPr>
            </w:pPr>
            <w:r w:rsidRPr="000D6329">
              <w:rPr>
                <w:b/>
                <w:sz w:val="20"/>
                <w:szCs w:val="20"/>
              </w:rPr>
              <w:t>Opening a dialogue and changing norms</w:t>
            </w:r>
            <w:r>
              <w:rPr>
                <w:sz w:val="20"/>
                <w:szCs w:val="20"/>
              </w:rPr>
              <w:t xml:space="preserve">: Community projects are creating knowledge of the laws related to FSV, changing attitudes and in some cases are changing behavior. </w:t>
            </w:r>
          </w:p>
          <w:p w14:paraId="11DAADD0" w14:textId="77777777" w:rsidR="00B21E17" w:rsidRDefault="00B21E17" w:rsidP="004E7C9F">
            <w:pPr>
              <w:pStyle w:val="ListParagraph"/>
              <w:numPr>
                <w:ilvl w:val="0"/>
                <w:numId w:val="33"/>
              </w:numPr>
              <w:rPr>
                <w:sz w:val="20"/>
                <w:szCs w:val="20"/>
              </w:rPr>
            </w:pPr>
            <w:r w:rsidRPr="00677B92">
              <w:rPr>
                <w:b/>
                <w:sz w:val="20"/>
                <w:szCs w:val="20"/>
              </w:rPr>
              <w:t xml:space="preserve">Prevention and controlling </w:t>
            </w:r>
            <w:proofErr w:type="spellStart"/>
            <w:r w:rsidRPr="00677B92">
              <w:rPr>
                <w:b/>
                <w:sz w:val="20"/>
                <w:szCs w:val="20"/>
              </w:rPr>
              <w:t>behavio</w:t>
            </w:r>
            <w:r>
              <w:rPr>
                <w:b/>
                <w:sz w:val="20"/>
                <w:szCs w:val="20"/>
              </w:rPr>
              <w:t>u</w:t>
            </w:r>
            <w:r w:rsidRPr="00677B92">
              <w:rPr>
                <w:b/>
                <w:sz w:val="20"/>
                <w:szCs w:val="20"/>
              </w:rPr>
              <w:t>r</w:t>
            </w:r>
            <w:proofErr w:type="spellEnd"/>
            <w:r>
              <w:rPr>
                <w:sz w:val="20"/>
                <w:szCs w:val="20"/>
              </w:rPr>
              <w:t xml:space="preserve">: all programs are supporting prevention through a mix of practical strategies such as having youth visit prisons, strengthening police presence in communities, and having the AP as a legitimacy authority under the </w:t>
            </w:r>
            <w:proofErr w:type="spellStart"/>
            <w:r>
              <w:rPr>
                <w:sz w:val="20"/>
                <w:szCs w:val="20"/>
              </w:rPr>
              <w:t>MoJ</w:t>
            </w:r>
            <w:proofErr w:type="spellEnd"/>
            <w:r>
              <w:rPr>
                <w:sz w:val="20"/>
                <w:szCs w:val="20"/>
              </w:rPr>
              <w:t>.</w:t>
            </w:r>
          </w:p>
          <w:p w14:paraId="0D4AB26C" w14:textId="77777777" w:rsidR="00B21E17" w:rsidRDefault="00B21E17" w:rsidP="004E7C9F">
            <w:pPr>
              <w:pStyle w:val="ListParagraph"/>
              <w:numPr>
                <w:ilvl w:val="0"/>
                <w:numId w:val="33"/>
              </w:numPr>
              <w:rPr>
                <w:sz w:val="20"/>
                <w:szCs w:val="20"/>
              </w:rPr>
            </w:pPr>
            <w:r w:rsidRPr="000D6329">
              <w:rPr>
                <w:b/>
                <w:sz w:val="20"/>
                <w:szCs w:val="20"/>
              </w:rPr>
              <w:t>Unsustainable and dependent on the Program:</w:t>
            </w:r>
            <w:r>
              <w:rPr>
                <w:sz w:val="20"/>
                <w:szCs w:val="20"/>
              </w:rPr>
              <w:t xml:space="preserve"> the Program is funding all activities and needs to focus on ensuring resources are allocated from the government to ensure this critical work can be </w:t>
            </w:r>
            <w:r w:rsidR="004B23C3">
              <w:rPr>
                <w:sz w:val="20"/>
                <w:szCs w:val="20"/>
              </w:rPr>
              <w:t xml:space="preserve">sustained and </w:t>
            </w:r>
            <w:r>
              <w:rPr>
                <w:sz w:val="20"/>
                <w:szCs w:val="20"/>
              </w:rPr>
              <w:t>strengthened.</w:t>
            </w:r>
          </w:p>
          <w:p w14:paraId="05AB9302" w14:textId="77777777" w:rsidR="00B21E17" w:rsidRDefault="00B21E17" w:rsidP="004E7C9F">
            <w:pPr>
              <w:pStyle w:val="ListParagraph"/>
              <w:numPr>
                <w:ilvl w:val="0"/>
                <w:numId w:val="33"/>
              </w:numPr>
              <w:rPr>
                <w:sz w:val="20"/>
                <w:szCs w:val="20"/>
              </w:rPr>
            </w:pPr>
            <w:r w:rsidRPr="00677B92">
              <w:rPr>
                <w:b/>
                <w:sz w:val="20"/>
                <w:szCs w:val="20"/>
              </w:rPr>
              <w:t>Diminished resources to community work</w:t>
            </w:r>
            <w:r>
              <w:rPr>
                <w:sz w:val="20"/>
                <w:szCs w:val="20"/>
              </w:rPr>
              <w:t>: resources to community work are limited and need to be maintained and if possible increased.</w:t>
            </w:r>
          </w:p>
          <w:p w14:paraId="223368EE" w14:textId="77777777" w:rsidR="001D6CDD" w:rsidRPr="00B54610" w:rsidRDefault="004F4F52" w:rsidP="004E7C9F">
            <w:pPr>
              <w:pStyle w:val="ListParagraph"/>
              <w:numPr>
                <w:ilvl w:val="0"/>
                <w:numId w:val="33"/>
              </w:numPr>
              <w:rPr>
                <w:sz w:val="20"/>
                <w:szCs w:val="20"/>
              </w:rPr>
            </w:pPr>
            <w:r w:rsidRPr="004F4F52">
              <w:rPr>
                <w:b/>
                <w:sz w:val="20"/>
                <w:szCs w:val="20"/>
              </w:rPr>
              <w:t>Community grants</w:t>
            </w:r>
            <w:r>
              <w:rPr>
                <w:b/>
                <w:sz w:val="20"/>
                <w:szCs w:val="20"/>
              </w:rPr>
              <w:t xml:space="preserve"> supporting flexibility</w:t>
            </w:r>
            <w:r>
              <w:rPr>
                <w:sz w:val="20"/>
                <w:szCs w:val="20"/>
              </w:rPr>
              <w:t>: grants enable important work at the community level and provide flexibility to respond across the sector, however</w:t>
            </w:r>
            <w:r w:rsidR="00B54610">
              <w:rPr>
                <w:sz w:val="20"/>
                <w:szCs w:val="20"/>
              </w:rPr>
              <w:t xml:space="preserve"> challenges exist in relation to scalability and sustainability.</w:t>
            </w:r>
          </w:p>
        </w:tc>
        <w:tc>
          <w:tcPr>
            <w:tcW w:w="3686" w:type="dxa"/>
            <w:shd w:val="clear" w:color="auto" w:fill="FFFFFF" w:themeFill="background1"/>
          </w:tcPr>
          <w:p w14:paraId="294D2497" w14:textId="05D7821C" w:rsidR="00B21E17" w:rsidRPr="00FA7DA8" w:rsidRDefault="00705D48" w:rsidP="004E7C9F">
            <w:pPr>
              <w:pStyle w:val="ListParagraph"/>
              <w:numPr>
                <w:ilvl w:val="0"/>
                <w:numId w:val="33"/>
              </w:numPr>
              <w:rPr>
                <w:sz w:val="20"/>
                <w:szCs w:val="20"/>
              </w:rPr>
            </w:pPr>
            <w:r>
              <w:rPr>
                <w:sz w:val="20"/>
                <w:szCs w:val="20"/>
              </w:rPr>
              <w:t>Good multi-level approach to capacity building involving provision of information such as legislation, exposure to services and institutions and practical exercised such as discussion and debate.</w:t>
            </w:r>
          </w:p>
        </w:tc>
        <w:tc>
          <w:tcPr>
            <w:tcW w:w="3543" w:type="dxa"/>
            <w:shd w:val="clear" w:color="auto" w:fill="FFFFFF" w:themeFill="background1"/>
          </w:tcPr>
          <w:p w14:paraId="0F817C31" w14:textId="77777777" w:rsidR="00B21E17" w:rsidRDefault="00B21E17" w:rsidP="004E7C9F">
            <w:pPr>
              <w:pStyle w:val="ListParagraph"/>
              <w:numPr>
                <w:ilvl w:val="0"/>
                <w:numId w:val="33"/>
              </w:numPr>
              <w:rPr>
                <w:sz w:val="20"/>
                <w:szCs w:val="20"/>
              </w:rPr>
            </w:pPr>
            <w:r>
              <w:rPr>
                <w:sz w:val="20"/>
                <w:szCs w:val="20"/>
              </w:rPr>
              <w:t xml:space="preserve">Strong gender focus in terms of dealing with gender roles, communication and </w:t>
            </w:r>
            <w:proofErr w:type="spellStart"/>
            <w:r>
              <w:rPr>
                <w:sz w:val="20"/>
                <w:szCs w:val="20"/>
              </w:rPr>
              <w:t>behaviour</w:t>
            </w:r>
            <w:proofErr w:type="spellEnd"/>
            <w:r>
              <w:rPr>
                <w:sz w:val="20"/>
                <w:szCs w:val="20"/>
              </w:rPr>
              <w:t>.</w:t>
            </w:r>
          </w:p>
          <w:p w14:paraId="75861447" w14:textId="77777777" w:rsidR="00B21E17" w:rsidRDefault="00B21E17" w:rsidP="004E7C9F">
            <w:pPr>
              <w:pStyle w:val="ListParagraph"/>
              <w:numPr>
                <w:ilvl w:val="0"/>
                <w:numId w:val="33"/>
              </w:numPr>
              <w:rPr>
                <w:sz w:val="20"/>
                <w:szCs w:val="20"/>
              </w:rPr>
            </w:pPr>
            <w:r>
              <w:rPr>
                <w:sz w:val="20"/>
                <w:szCs w:val="20"/>
              </w:rPr>
              <w:t>Working with men as well as women – the work with men needs to be increased, as well as engagement of chiefs who are power holders.</w:t>
            </w:r>
          </w:p>
          <w:p w14:paraId="33C4D5A4" w14:textId="0E27D6A0" w:rsidR="00B21E17" w:rsidRPr="00FA7DA8" w:rsidRDefault="00B21E17" w:rsidP="00705D48">
            <w:pPr>
              <w:pStyle w:val="ListParagraph"/>
              <w:ind w:left="360"/>
              <w:rPr>
                <w:sz w:val="20"/>
                <w:szCs w:val="20"/>
              </w:rPr>
            </w:pPr>
          </w:p>
        </w:tc>
      </w:tr>
      <w:bookmarkEnd w:id="50"/>
      <w:tr w:rsidR="00B21E17" w14:paraId="7C971F4E" w14:textId="77777777" w:rsidTr="00EC431E">
        <w:tc>
          <w:tcPr>
            <w:tcW w:w="1418" w:type="dxa"/>
            <w:shd w:val="clear" w:color="auto" w:fill="auto"/>
          </w:tcPr>
          <w:p w14:paraId="63995F9E" w14:textId="77777777" w:rsidR="00B21E17" w:rsidRPr="00230841" w:rsidRDefault="00B21E17" w:rsidP="004E7C9F">
            <w:pPr>
              <w:pStyle w:val="ListParagraph"/>
              <w:numPr>
                <w:ilvl w:val="0"/>
                <w:numId w:val="35"/>
              </w:numPr>
              <w:ind w:left="324" w:hanging="324"/>
              <w:rPr>
                <w:b/>
                <w:bCs/>
                <w:sz w:val="20"/>
                <w:szCs w:val="20"/>
              </w:rPr>
            </w:pPr>
            <w:r>
              <w:rPr>
                <w:b/>
                <w:bCs/>
                <w:sz w:val="20"/>
                <w:szCs w:val="20"/>
              </w:rPr>
              <w:t xml:space="preserve">Infra-structure </w:t>
            </w:r>
          </w:p>
        </w:tc>
        <w:tc>
          <w:tcPr>
            <w:tcW w:w="6379" w:type="dxa"/>
            <w:shd w:val="clear" w:color="auto" w:fill="auto"/>
          </w:tcPr>
          <w:p w14:paraId="0DF60DB0" w14:textId="77777777" w:rsidR="00385C3A" w:rsidRDefault="00385C3A" w:rsidP="004E7C9F">
            <w:pPr>
              <w:pStyle w:val="ListParagraph"/>
              <w:numPr>
                <w:ilvl w:val="0"/>
                <w:numId w:val="33"/>
              </w:numPr>
              <w:rPr>
                <w:sz w:val="20"/>
                <w:szCs w:val="20"/>
              </w:rPr>
            </w:pPr>
            <w:r w:rsidRPr="00385C3A">
              <w:rPr>
                <w:b/>
                <w:bCs/>
                <w:sz w:val="20"/>
                <w:szCs w:val="20"/>
              </w:rPr>
              <w:t xml:space="preserve">Infrastructure funding has been </w:t>
            </w:r>
            <w:r>
              <w:rPr>
                <w:b/>
                <w:bCs/>
                <w:sz w:val="20"/>
                <w:szCs w:val="20"/>
              </w:rPr>
              <w:t xml:space="preserve">relatively </w:t>
            </w:r>
            <w:r w:rsidRPr="00385C3A">
              <w:rPr>
                <w:b/>
                <w:bCs/>
                <w:sz w:val="20"/>
                <w:szCs w:val="20"/>
              </w:rPr>
              <w:t>modest</w:t>
            </w:r>
            <w:r>
              <w:rPr>
                <w:sz w:val="20"/>
                <w:szCs w:val="20"/>
              </w:rPr>
              <w:t xml:space="preserve"> (Cook Barracks Fence, Vehicles, and </w:t>
            </w:r>
            <w:proofErr w:type="spellStart"/>
            <w:r>
              <w:rPr>
                <w:sz w:val="20"/>
                <w:szCs w:val="20"/>
              </w:rPr>
              <w:t>Malekula</w:t>
            </w:r>
            <w:proofErr w:type="spellEnd"/>
            <w:r>
              <w:rPr>
                <w:sz w:val="20"/>
                <w:szCs w:val="20"/>
              </w:rPr>
              <w:t xml:space="preserve"> Station, </w:t>
            </w:r>
            <w:proofErr w:type="spellStart"/>
            <w:r>
              <w:rPr>
                <w:sz w:val="20"/>
                <w:szCs w:val="20"/>
              </w:rPr>
              <w:t>Tanna</w:t>
            </w:r>
            <w:proofErr w:type="spellEnd"/>
            <w:r>
              <w:rPr>
                <w:sz w:val="20"/>
                <w:szCs w:val="20"/>
              </w:rPr>
              <w:t xml:space="preserve"> Courthouse, and justice sector infrastructure </w:t>
            </w:r>
            <w:r w:rsidR="0044180F">
              <w:rPr>
                <w:sz w:val="20"/>
                <w:szCs w:val="20"/>
              </w:rPr>
              <w:t xml:space="preserve">(including DPO) </w:t>
            </w:r>
            <w:r>
              <w:rPr>
                <w:sz w:val="20"/>
                <w:szCs w:val="20"/>
              </w:rPr>
              <w:t>upgrades have been the major activities).</w:t>
            </w:r>
          </w:p>
          <w:p w14:paraId="3377D1E2" w14:textId="0D5A4727" w:rsidR="00385C3A" w:rsidRPr="00385C3A" w:rsidRDefault="00385C3A" w:rsidP="00BF3D31">
            <w:pPr>
              <w:pStyle w:val="ListParagraph"/>
              <w:numPr>
                <w:ilvl w:val="0"/>
                <w:numId w:val="33"/>
              </w:numPr>
              <w:rPr>
                <w:sz w:val="20"/>
                <w:szCs w:val="20"/>
              </w:rPr>
            </w:pPr>
            <w:r w:rsidRPr="00385C3A">
              <w:rPr>
                <w:b/>
                <w:bCs/>
                <w:sz w:val="20"/>
                <w:szCs w:val="20"/>
              </w:rPr>
              <w:t>Maintenance and asset planning</w:t>
            </w:r>
            <w:r w:rsidRPr="00385C3A">
              <w:rPr>
                <w:sz w:val="20"/>
                <w:szCs w:val="20"/>
              </w:rPr>
              <w:t xml:space="preserve"> remain a significant gap in </w:t>
            </w:r>
            <w:proofErr w:type="spellStart"/>
            <w:r w:rsidRPr="00385C3A">
              <w:rPr>
                <w:sz w:val="20"/>
                <w:szCs w:val="20"/>
              </w:rPr>
              <w:t>GoV</w:t>
            </w:r>
            <w:proofErr w:type="spellEnd"/>
            <w:r w:rsidRPr="00385C3A">
              <w:rPr>
                <w:sz w:val="20"/>
                <w:szCs w:val="20"/>
              </w:rPr>
              <w:t xml:space="preserve"> capability and accountability. </w:t>
            </w:r>
            <w:r w:rsidRPr="00385C3A">
              <w:rPr>
                <w:b/>
                <w:bCs/>
                <w:sz w:val="20"/>
                <w:szCs w:val="20"/>
              </w:rPr>
              <w:t>Budget preparation and better PFM</w:t>
            </w:r>
            <w:r w:rsidRPr="00385C3A">
              <w:rPr>
                <w:sz w:val="20"/>
                <w:szCs w:val="20"/>
              </w:rPr>
              <w:t xml:space="preserve"> are keys to getting central agency commitment and financing for ongoing maintenance and infrastructure financing. There remains little internal momentum or appetite for tackling these challenges at agency level across the sector.</w:t>
            </w:r>
          </w:p>
          <w:p w14:paraId="16BBA6BE" w14:textId="4FE4662D" w:rsidR="0044180F" w:rsidRDefault="00385C3A" w:rsidP="004E7C9F">
            <w:pPr>
              <w:pStyle w:val="ListParagraph"/>
              <w:numPr>
                <w:ilvl w:val="0"/>
                <w:numId w:val="33"/>
              </w:numPr>
              <w:rPr>
                <w:sz w:val="20"/>
                <w:szCs w:val="20"/>
              </w:rPr>
            </w:pPr>
            <w:r>
              <w:rPr>
                <w:sz w:val="20"/>
                <w:szCs w:val="20"/>
              </w:rPr>
              <w:t xml:space="preserve">There has been </w:t>
            </w:r>
            <w:r w:rsidRPr="0044180F">
              <w:rPr>
                <w:b/>
                <w:bCs/>
                <w:sz w:val="20"/>
                <w:szCs w:val="20"/>
              </w:rPr>
              <w:t>ongoing policy dialogue</w:t>
            </w:r>
            <w:r>
              <w:rPr>
                <w:sz w:val="20"/>
                <w:szCs w:val="20"/>
              </w:rPr>
              <w:t xml:space="preserve"> between Post and </w:t>
            </w:r>
            <w:proofErr w:type="spellStart"/>
            <w:r>
              <w:rPr>
                <w:sz w:val="20"/>
                <w:szCs w:val="20"/>
              </w:rPr>
              <w:t>GoV</w:t>
            </w:r>
            <w:proofErr w:type="spellEnd"/>
            <w:r>
              <w:rPr>
                <w:sz w:val="20"/>
                <w:szCs w:val="20"/>
              </w:rPr>
              <w:t xml:space="preserve"> over financing and plans for</w:t>
            </w:r>
            <w:r w:rsidR="00534D61">
              <w:rPr>
                <w:sz w:val="20"/>
                <w:szCs w:val="20"/>
              </w:rPr>
              <w:t xml:space="preserve"> a new</w:t>
            </w:r>
            <w:r w:rsidR="00B50300">
              <w:rPr>
                <w:sz w:val="20"/>
                <w:szCs w:val="20"/>
              </w:rPr>
              <w:t xml:space="preserve"> </w:t>
            </w:r>
            <w:r w:rsidR="00534D61">
              <w:rPr>
                <w:sz w:val="20"/>
                <w:szCs w:val="20"/>
              </w:rPr>
              <w:t xml:space="preserve">Supreme </w:t>
            </w:r>
            <w:r>
              <w:rPr>
                <w:sz w:val="20"/>
                <w:szCs w:val="20"/>
              </w:rPr>
              <w:t xml:space="preserve">Court.  </w:t>
            </w:r>
            <w:proofErr w:type="spellStart"/>
            <w:r>
              <w:rPr>
                <w:sz w:val="20"/>
                <w:szCs w:val="20"/>
              </w:rPr>
              <w:t>GoA</w:t>
            </w:r>
            <w:proofErr w:type="spellEnd"/>
            <w:r>
              <w:rPr>
                <w:sz w:val="20"/>
                <w:szCs w:val="20"/>
              </w:rPr>
              <w:t xml:space="preserve"> has indicated strong support</w:t>
            </w:r>
            <w:r w:rsidR="0044180F">
              <w:rPr>
                <w:sz w:val="20"/>
                <w:szCs w:val="20"/>
              </w:rPr>
              <w:t xml:space="preserve"> to the </w:t>
            </w:r>
            <w:proofErr w:type="spellStart"/>
            <w:r w:rsidR="0044180F">
              <w:rPr>
                <w:sz w:val="20"/>
                <w:szCs w:val="20"/>
              </w:rPr>
              <w:t>GoV</w:t>
            </w:r>
            <w:proofErr w:type="spellEnd"/>
            <w:r w:rsidR="0044180F">
              <w:rPr>
                <w:sz w:val="20"/>
                <w:szCs w:val="20"/>
              </w:rPr>
              <w:t xml:space="preserve">, dependent on having appropriate, affordable and sustainable plans and approaches to the infrastructure so it is fit for purpose.  Post engagement on this issue has been at the highest level and well delivered.  </w:t>
            </w:r>
          </w:p>
          <w:p w14:paraId="37F8801F" w14:textId="06A54525" w:rsidR="00385C3A" w:rsidRDefault="0044180F" w:rsidP="00534D61">
            <w:pPr>
              <w:pStyle w:val="ListParagraph"/>
              <w:numPr>
                <w:ilvl w:val="0"/>
                <w:numId w:val="33"/>
              </w:numPr>
              <w:rPr>
                <w:sz w:val="20"/>
                <w:szCs w:val="20"/>
              </w:rPr>
            </w:pPr>
            <w:r>
              <w:rPr>
                <w:sz w:val="20"/>
                <w:szCs w:val="20"/>
              </w:rPr>
              <w:t xml:space="preserve">The program needs to </w:t>
            </w:r>
            <w:r w:rsidRPr="0044180F">
              <w:rPr>
                <w:b/>
                <w:bCs/>
                <w:sz w:val="20"/>
                <w:szCs w:val="20"/>
              </w:rPr>
              <w:t>monitor developments closely</w:t>
            </w:r>
            <w:r>
              <w:rPr>
                <w:sz w:val="20"/>
                <w:szCs w:val="20"/>
              </w:rPr>
              <w:t xml:space="preserve"> and be ready to </w:t>
            </w:r>
            <w:r w:rsidR="00534D61">
              <w:rPr>
                <w:sz w:val="20"/>
                <w:szCs w:val="20"/>
              </w:rPr>
              <w:t xml:space="preserve">assist Post to </w:t>
            </w:r>
            <w:r>
              <w:rPr>
                <w:sz w:val="20"/>
                <w:szCs w:val="20"/>
              </w:rPr>
              <w:t xml:space="preserve">deliver on this commitment if agreements are reached between Post and </w:t>
            </w:r>
            <w:proofErr w:type="spellStart"/>
            <w:r>
              <w:rPr>
                <w:sz w:val="20"/>
                <w:szCs w:val="20"/>
              </w:rPr>
              <w:t>GoV.</w:t>
            </w:r>
            <w:proofErr w:type="spellEnd"/>
          </w:p>
        </w:tc>
        <w:tc>
          <w:tcPr>
            <w:tcW w:w="3686" w:type="dxa"/>
            <w:shd w:val="clear" w:color="auto" w:fill="auto"/>
          </w:tcPr>
          <w:p w14:paraId="5357E879" w14:textId="77777777" w:rsidR="00B21E17" w:rsidRPr="00FA7DA8" w:rsidRDefault="0044180F" w:rsidP="0044180F">
            <w:pPr>
              <w:pStyle w:val="ListParagraph"/>
              <w:numPr>
                <w:ilvl w:val="0"/>
                <w:numId w:val="33"/>
              </w:numPr>
              <w:rPr>
                <w:sz w:val="20"/>
                <w:szCs w:val="20"/>
              </w:rPr>
            </w:pPr>
            <w:r>
              <w:rPr>
                <w:sz w:val="20"/>
                <w:szCs w:val="20"/>
              </w:rPr>
              <w:t>While the infrastructure itself has delivered capability, there is little evidence of efforts to address underlying infrastructure planning and asset management issues.</w:t>
            </w:r>
          </w:p>
        </w:tc>
        <w:tc>
          <w:tcPr>
            <w:tcW w:w="3543" w:type="dxa"/>
            <w:shd w:val="clear" w:color="auto" w:fill="auto"/>
          </w:tcPr>
          <w:p w14:paraId="6E7E412C" w14:textId="77777777" w:rsidR="00B21E17" w:rsidRPr="00FA7DA8" w:rsidRDefault="0044180F" w:rsidP="0044180F">
            <w:pPr>
              <w:pStyle w:val="ListParagraph"/>
              <w:numPr>
                <w:ilvl w:val="0"/>
                <w:numId w:val="33"/>
              </w:numPr>
              <w:rPr>
                <w:sz w:val="20"/>
                <w:szCs w:val="20"/>
              </w:rPr>
            </w:pPr>
            <w:r>
              <w:rPr>
                <w:sz w:val="20"/>
                <w:szCs w:val="20"/>
              </w:rPr>
              <w:t xml:space="preserve">Support for the Disability Peoples </w:t>
            </w:r>
            <w:proofErr w:type="spellStart"/>
            <w:r>
              <w:rPr>
                <w:sz w:val="20"/>
                <w:szCs w:val="20"/>
              </w:rPr>
              <w:t>Organisation</w:t>
            </w:r>
            <w:proofErr w:type="spellEnd"/>
            <w:r>
              <w:rPr>
                <w:sz w:val="20"/>
                <w:szCs w:val="20"/>
              </w:rPr>
              <w:t xml:space="preserve"> has contributed to gender outcomes, as has Australia’s longer term (but regionally funded) support for the VWC.  Issues of accessibility for women and children needs to continue to be factored into infrastructure planning.  The choices of infrastructure to be supported should be assessed for gender equitable impact and priority.</w:t>
            </w:r>
          </w:p>
        </w:tc>
      </w:tr>
    </w:tbl>
    <w:p w14:paraId="4C98E9F2" w14:textId="77777777" w:rsidR="00110CF5" w:rsidRDefault="00110CF5" w:rsidP="00CA07A0">
      <w:pPr>
        <w:jc w:val="both"/>
        <w:outlineLvl w:val="0"/>
        <w:rPr>
          <w:rFonts w:ascii="Calibri" w:hAnsi="Calibri" w:cs="Calibri"/>
          <w:bCs/>
        </w:rPr>
      </w:pPr>
    </w:p>
    <w:p w14:paraId="2153D76F" w14:textId="77777777" w:rsidR="00B21E17" w:rsidRDefault="00B21E17" w:rsidP="001C6AD2">
      <w:pPr>
        <w:rPr>
          <w:highlight w:val="yellow"/>
        </w:rPr>
      </w:pPr>
    </w:p>
    <w:p w14:paraId="287C9418" w14:textId="77777777" w:rsidR="00B21E17" w:rsidRDefault="00B21E17" w:rsidP="001C6AD2">
      <w:pPr>
        <w:rPr>
          <w:highlight w:val="yellow"/>
        </w:rPr>
        <w:sectPr w:rsidR="00B21E17" w:rsidSect="00B21E17">
          <w:pgSz w:w="16838" w:h="11906" w:orient="landscape"/>
          <w:pgMar w:top="1440" w:right="1440" w:bottom="1440" w:left="1440" w:header="709" w:footer="709" w:gutter="0"/>
          <w:cols w:space="708"/>
          <w:docGrid w:linePitch="360"/>
        </w:sectPr>
      </w:pPr>
    </w:p>
    <w:p w14:paraId="4E4A1D3B" w14:textId="77777777" w:rsidR="00CA07A0" w:rsidRPr="00CA07A0" w:rsidRDefault="00CA07A0" w:rsidP="004E7C9F">
      <w:pPr>
        <w:numPr>
          <w:ilvl w:val="1"/>
          <w:numId w:val="8"/>
        </w:numPr>
        <w:spacing w:before="200" w:line="240" w:lineRule="auto"/>
        <w:outlineLvl w:val="1"/>
        <w:rPr>
          <w:rFonts w:eastAsia="Calibri" w:cstheme="minorHAnsi"/>
          <w:b/>
          <w:noProof/>
          <w:color w:val="44546A" w:themeColor="text2"/>
          <w:sz w:val="30"/>
          <w:szCs w:val="30"/>
          <w:lang w:eastAsia="en-AU"/>
        </w:rPr>
      </w:pPr>
      <w:bookmarkStart w:id="51" w:name="_Toc25591528"/>
      <w:r w:rsidRPr="00CA07A0">
        <w:rPr>
          <w:rFonts w:eastAsia="Calibri" w:cstheme="minorHAnsi"/>
          <w:b/>
          <w:noProof/>
          <w:color w:val="44546A" w:themeColor="text2"/>
          <w:sz w:val="30"/>
          <w:szCs w:val="30"/>
          <w:lang w:eastAsia="en-AU"/>
        </w:rPr>
        <w:t>Official GoV Policing and justice data</w:t>
      </w:r>
      <w:bookmarkEnd w:id="51"/>
      <w:r w:rsidR="00B1646A">
        <w:rPr>
          <w:rFonts w:eastAsia="Times New Roman" w:cstheme="minorHAnsi"/>
          <w:b/>
          <w:noProof/>
          <w:color w:val="757575"/>
          <w:sz w:val="30"/>
          <w:szCs w:val="30"/>
          <w:lang w:eastAsia="en-AU"/>
        </w:rPr>
        <w:t xml:space="preserve"> </w:t>
      </w:r>
    </w:p>
    <w:p w14:paraId="0C504956" w14:textId="77777777" w:rsidR="00A124AF" w:rsidRPr="0058366E" w:rsidRDefault="00FA3DED" w:rsidP="00915FE8">
      <w:pPr>
        <w:spacing w:line="240" w:lineRule="auto"/>
        <w:jc w:val="both"/>
      </w:pPr>
      <w:r>
        <w:rPr>
          <w:rFonts w:ascii="Calibri" w:eastAsia="+mn-ea" w:hAnsi="Calibri" w:cs="+mn-cs"/>
          <w:color w:val="000000"/>
          <w:kern w:val="24"/>
          <w:lang w:val="en-US" w:eastAsia="en-AU"/>
        </w:rPr>
        <w:t>Th</w:t>
      </w:r>
      <w:r w:rsidR="00A124AF">
        <w:rPr>
          <w:rFonts w:ascii="Calibri" w:eastAsia="+mn-ea" w:hAnsi="Calibri" w:cs="+mn-cs"/>
          <w:color w:val="000000"/>
          <w:kern w:val="24"/>
          <w:lang w:val="en-US" w:eastAsia="en-AU"/>
        </w:rPr>
        <w:t>is annex presents official data</w:t>
      </w:r>
      <w:r w:rsidR="00915FE8">
        <w:rPr>
          <w:rFonts w:ascii="Calibri" w:eastAsia="+mn-ea" w:hAnsi="Calibri" w:cs="+mn-cs"/>
          <w:color w:val="000000"/>
          <w:kern w:val="24"/>
          <w:lang w:val="en-US" w:eastAsia="en-AU"/>
        </w:rPr>
        <w:t xml:space="preserve"> obtained through the CMS</w:t>
      </w:r>
      <w:r w:rsidR="00A124AF">
        <w:rPr>
          <w:rFonts w:ascii="Calibri" w:eastAsia="+mn-ea" w:hAnsi="Calibri" w:cs="+mn-cs"/>
          <w:color w:val="000000"/>
          <w:kern w:val="24"/>
          <w:lang w:val="en-US" w:eastAsia="en-AU"/>
        </w:rPr>
        <w:t xml:space="preserve"> provided by the </w:t>
      </w:r>
      <w:proofErr w:type="spellStart"/>
      <w:r w:rsidR="00A124AF">
        <w:rPr>
          <w:rFonts w:ascii="Calibri" w:eastAsia="+mn-ea" w:hAnsi="Calibri" w:cs="+mn-cs"/>
          <w:color w:val="000000"/>
          <w:kern w:val="24"/>
          <w:lang w:val="en-US" w:eastAsia="en-AU"/>
        </w:rPr>
        <w:t>GoV.</w:t>
      </w:r>
      <w:proofErr w:type="spellEnd"/>
      <w:r w:rsidR="00A124AF">
        <w:rPr>
          <w:rFonts w:ascii="Calibri" w:eastAsia="+mn-ea" w:hAnsi="Calibri" w:cs="+mn-cs"/>
          <w:color w:val="000000"/>
          <w:kern w:val="24"/>
          <w:lang w:val="en-US" w:eastAsia="en-AU"/>
        </w:rPr>
        <w:t xml:space="preserve"> A summary of volumes is provided in Table 1 below. </w:t>
      </w:r>
      <w:r w:rsidR="002C1E22" w:rsidRPr="002C1E22">
        <w:t xml:space="preserve">Those measures/results that demonstrate that case management systems have contributed to overall performance of the criminal justice sector have been highlighted </w:t>
      </w:r>
      <w:r w:rsidR="00A124AF">
        <w:t xml:space="preserve">in grey. </w:t>
      </w:r>
    </w:p>
    <w:p w14:paraId="7F1A271A" w14:textId="77777777" w:rsidR="00070A40" w:rsidRDefault="00070A40" w:rsidP="0058366E">
      <w:pPr>
        <w:rPr>
          <w:rFonts w:ascii="Calibri" w:eastAsia="+mn-ea" w:hAnsi="Calibri" w:cs="+mn-cs"/>
          <w:b/>
          <w:color w:val="000000"/>
          <w:kern w:val="24"/>
          <w:lang w:val="en-US" w:eastAsia="en-AU"/>
        </w:rPr>
      </w:pPr>
      <w:r w:rsidRPr="00070A40">
        <w:rPr>
          <w:rFonts w:ascii="Calibri" w:eastAsia="+mn-ea" w:hAnsi="Calibri" w:cs="+mn-cs"/>
          <w:b/>
          <w:color w:val="000000"/>
          <w:kern w:val="24"/>
          <w:lang w:val="en-US" w:eastAsia="en-AU"/>
        </w:rPr>
        <w:t xml:space="preserve">Table </w:t>
      </w:r>
      <w:r w:rsidR="00951581">
        <w:rPr>
          <w:rFonts w:ascii="Calibri" w:eastAsia="+mn-ea" w:hAnsi="Calibri" w:cs="+mn-cs"/>
          <w:b/>
          <w:color w:val="000000"/>
          <w:kern w:val="24"/>
          <w:lang w:val="en-US" w:eastAsia="en-AU"/>
        </w:rPr>
        <w:t>A</w:t>
      </w:r>
      <w:r w:rsidRPr="00070A40">
        <w:rPr>
          <w:rFonts w:ascii="Calibri" w:eastAsia="+mn-ea" w:hAnsi="Calibri" w:cs="+mn-cs"/>
          <w:b/>
          <w:color w:val="000000"/>
          <w:kern w:val="24"/>
          <w:lang w:val="en-US" w:eastAsia="en-AU"/>
        </w:rPr>
        <w:t xml:space="preserve">: </w:t>
      </w:r>
      <w:r>
        <w:rPr>
          <w:rFonts w:ascii="Calibri" w:eastAsia="+mn-ea" w:hAnsi="Calibri" w:cs="+mn-cs"/>
          <w:b/>
          <w:color w:val="000000"/>
          <w:kern w:val="24"/>
          <w:lang w:val="en-US" w:eastAsia="en-AU"/>
        </w:rPr>
        <w:t>Volumes: List of Policing and justice figures</w:t>
      </w:r>
    </w:p>
    <w:tbl>
      <w:tblPr>
        <w:tblStyle w:val="TableGrid"/>
        <w:tblW w:w="9209"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098"/>
        <w:gridCol w:w="3450"/>
        <w:gridCol w:w="1182"/>
        <w:gridCol w:w="3479"/>
      </w:tblGrid>
      <w:tr w:rsidR="002C1C35" w:rsidRPr="002C1C35" w14:paraId="2554E4C2" w14:textId="77777777" w:rsidTr="0078371A">
        <w:tc>
          <w:tcPr>
            <w:tcW w:w="4548" w:type="dxa"/>
            <w:gridSpan w:val="2"/>
          </w:tcPr>
          <w:p w14:paraId="295B1FDC" w14:textId="77777777" w:rsidR="002C1C35" w:rsidRPr="002C1C35" w:rsidRDefault="002C1C35" w:rsidP="0078371A">
            <w:pPr>
              <w:rPr>
                <w:rFonts w:eastAsia="Times New Roman" w:cstheme="minorHAnsi"/>
                <w:b/>
                <w:sz w:val="20"/>
                <w:szCs w:val="20"/>
                <w:lang w:eastAsia="en-AU"/>
              </w:rPr>
            </w:pPr>
            <w:r w:rsidRPr="002C1C35">
              <w:rPr>
                <w:rFonts w:eastAsia="+mn-ea" w:cstheme="minorHAnsi"/>
                <w:b/>
                <w:color w:val="44546A" w:themeColor="text2"/>
                <w:kern w:val="24"/>
                <w:sz w:val="20"/>
                <w:szCs w:val="20"/>
                <w:lang w:eastAsia="en-AU"/>
              </w:rPr>
              <w:t>VPF – 2015 to 2019 (estimated full year)</w:t>
            </w:r>
          </w:p>
        </w:tc>
        <w:tc>
          <w:tcPr>
            <w:tcW w:w="4661" w:type="dxa"/>
            <w:gridSpan w:val="2"/>
          </w:tcPr>
          <w:p w14:paraId="27E207E0" w14:textId="77777777" w:rsidR="002C1C35" w:rsidRPr="002C1C35" w:rsidRDefault="002C1C35" w:rsidP="0078371A">
            <w:pPr>
              <w:rPr>
                <w:rFonts w:eastAsia="+mn-ea" w:cstheme="minorHAnsi"/>
                <w:color w:val="000000"/>
                <w:kern w:val="24"/>
                <w:sz w:val="20"/>
                <w:szCs w:val="20"/>
                <w:lang w:eastAsia="en-AU"/>
              </w:rPr>
            </w:pPr>
            <w:r w:rsidRPr="002C1C35">
              <w:rPr>
                <w:rFonts w:eastAsia="+mn-ea" w:cstheme="minorHAnsi"/>
                <w:b/>
                <w:color w:val="44546A" w:themeColor="text2"/>
                <w:kern w:val="24"/>
                <w:sz w:val="20"/>
                <w:szCs w:val="20"/>
                <w:lang w:eastAsia="en-AU"/>
              </w:rPr>
              <w:t>Gender/Age</w:t>
            </w:r>
          </w:p>
        </w:tc>
      </w:tr>
      <w:tr w:rsidR="002C1C35" w:rsidRPr="002C1C35" w14:paraId="3D2364DF" w14:textId="77777777" w:rsidTr="0078371A">
        <w:tc>
          <w:tcPr>
            <w:tcW w:w="1098" w:type="dxa"/>
          </w:tcPr>
          <w:p w14:paraId="44D8ABC9" w14:textId="77777777" w:rsidR="002C1C35" w:rsidRPr="002C1C35" w:rsidRDefault="002C1C35" w:rsidP="0078371A">
            <w:pPr>
              <w:rPr>
                <w:rFonts w:eastAsia="+mn-ea" w:cstheme="minorHAnsi"/>
                <w:color w:val="000000"/>
                <w:kern w:val="24"/>
                <w:sz w:val="20"/>
                <w:szCs w:val="20"/>
                <w:lang w:eastAsia="en-AU"/>
              </w:rPr>
            </w:pPr>
            <w:r w:rsidRPr="002C1C35">
              <w:rPr>
                <w:rFonts w:eastAsia="+mn-ea" w:cstheme="minorHAnsi"/>
                <w:color w:val="000000"/>
                <w:kern w:val="24"/>
                <w:sz w:val="20"/>
                <w:szCs w:val="20"/>
                <w:lang w:eastAsia="en-AU"/>
              </w:rPr>
              <w:t>Figure 1</w:t>
            </w:r>
          </w:p>
        </w:tc>
        <w:tc>
          <w:tcPr>
            <w:tcW w:w="3450" w:type="dxa"/>
          </w:tcPr>
          <w:p w14:paraId="47431888" w14:textId="77777777" w:rsidR="002C1C35" w:rsidRPr="002C1C35" w:rsidRDefault="002C1C35" w:rsidP="0078371A">
            <w:pPr>
              <w:rPr>
                <w:rFonts w:eastAsiaTheme="minorHAnsi" w:cstheme="minorHAnsi"/>
                <w:bCs/>
                <w:sz w:val="20"/>
                <w:szCs w:val="20"/>
              </w:rPr>
            </w:pPr>
            <w:r w:rsidRPr="002C1C35">
              <w:rPr>
                <w:rFonts w:eastAsiaTheme="minorHAnsi" w:cstheme="minorHAnsi"/>
                <w:bCs/>
                <w:sz w:val="20"/>
                <w:szCs w:val="20"/>
              </w:rPr>
              <w:t>Incidents reported by province</w:t>
            </w:r>
          </w:p>
        </w:tc>
        <w:tc>
          <w:tcPr>
            <w:tcW w:w="1182" w:type="dxa"/>
          </w:tcPr>
          <w:p w14:paraId="7411036D" w14:textId="77777777" w:rsidR="002C1C35" w:rsidRPr="002C1C35" w:rsidRDefault="002C1C35" w:rsidP="0078371A">
            <w:pPr>
              <w:rPr>
                <w:rFonts w:cstheme="minorHAnsi"/>
                <w:sz w:val="20"/>
                <w:szCs w:val="20"/>
              </w:rPr>
            </w:pPr>
            <w:r w:rsidRPr="002C1C35">
              <w:rPr>
                <w:rFonts w:cstheme="minorHAnsi"/>
                <w:sz w:val="20"/>
                <w:szCs w:val="20"/>
              </w:rPr>
              <w:t>Figure 26</w:t>
            </w:r>
          </w:p>
        </w:tc>
        <w:tc>
          <w:tcPr>
            <w:tcW w:w="3479" w:type="dxa"/>
          </w:tcPr>
          <w:p w14:paraId="4BBD6DA0" w14:textId="77777777" w:rsidR="002C1C35" w:rsidRPr="002C1C35" w:rsidRDefault="002C1C35" w:rsidP="0078371A">
            <w:pPr>
              <w:rPr>
                <w:rFonts w:cstheme="minorHAnsi"/>
                <w:sz w:val="20"/>
                <w:szCs w:val="20"/>
              </w:rPr>
            </w:pPr>
            <w:r w:rsidRPr="002C1C35">
              <w:rPr>
                <w:rFonts w:cstheme="minorHAnsi"/>
                <w:sz w:val="20"/>
                <w:szCs w:val="20"/>
              </w:rPr>
              <w:t>VFP – Victim gender analysis since 2015</w:t>
            </w:r>
          </w:p>
        </w:tc>
      </w:tr>
      <w:tr w:rsidR="002C1C35" w:rsidRPr="002C1C35" w14:paraId="36EAFFC7" w14:textId="77777777" w:rsidTr="0078371A">
        <w:tc>
          <w:tcPr>
            <w:tcW w:w="1098" w:type="dxa"/>
          </w:tcPr>
          <w:p w14:paraId="11E19F5F" w14:textId="77777777" w:rsidR="002C1C35" w:rsidRPr="002C1C35" w:rsidRDefault="002C1C35" w:rsidP="0078371A">
            <w:pPr>
              <w:rPr>
                <w:rFonts w:cstheme="minorHAnsi"/>
                <w:sz w:val="20"/>
                <w:szCs w:val="20"/>
              </w:rPr>
            </w:pPr>
            <w:r w:rsidRPr="002C1C35">
              <w:rPr>
                <w:rFonts w:eastAsia="+mn-ea" w:cstheme="minorHAnsi"/>
                <w:color w:val="000000"/>
                <w:kern w:val="24"/>
                <w:sz w:val="20"/>
                <w:szCs w:val="20"/>
                <w:lang w:eastAsia="en-AU"/>
              </w:rPr>
              <w:t>Figure 2</w:t>
            </w:r>
          </w:p>
        </w:tc>
        <w:tc>
          <w:tcPr>
            <w:tcW w:w="3450" w:type="dxa"/>
          </w:tcPr>
          <w:p w14:paraId="17ABC99E" w14:textId="77777777" w:rsidR="002C1C35" w:rsidRPr="002C1C35" w:rsidRDefault="002C1C35" w:rsidP="0078371A">
            <w:pPr>
              <w:rPr>
                <w:rFonts w:eastAsiaTheme="minorHAnsi" w:cstheme="minorHAnsi"/>
                <w:bCs/>
                <w:sz w:val="20"/>
                <w:szCs w:val="20"/>
              </w:rPr>
            </w:pPr>
            <w:r w:rsidRPr="002C1C35">
              <w:rPr>
                <w:rFonts w:eastAsiaTheme="minorHAnsi" w:cstheme="minorHAnsi"/>
                <w:bCs/>
                <w:sz w:val="20"/>
                <w:szCs w:val="20"/>
              </w:rPr>
              <w:t>10-year trend (total reported incidents)</w:t>
            </w:r>
          </w:p>
        </w:tc>
        <w:tc>
          <w:tcPr>
            <w:tcW w:w="1182" w:type="dxa"/>
          </w:tcPr>
          <w:p w14:paraId="34627E87" w14:textId="77777777" w:rsidR="002C1C35" w:rsidRPr="002C1C35" w:rsidRDefault="002C1C35" w:rsidP="0078371A">
            <w:pPr>
              <w:rPr>
                <w:rFonts w:cstheme="minorHAnsi"/>
                <w:sz w:val="20"/>
                <w:szCs w:val="20"/>
              </w:rPr>
            </w:pPr>
            <w:r w:rsidRPr="002C1C35">
              <w:rPr>
                <w:rFonts w:cstheme="minorHAnsi"/>
                <w:sz w:val="20"/>
                <w:szCs w:val="20"/>
              </w:rPr>
              <w:t>Figure 27</w:t>
            </w:r>
          </w:p>
        </w:tc>
        <w:tc>
          <w:tcPr>
            <w:tcW w:w="3479" w:type="dxa"/>
          </w:tcPr>
          <w:p w14:paraId="419CC980" w14:textId="77777777" w:rsidR="002C1C35" w:rsidRPr="002C1C35" w:rsidRDefault="002C1C35" w:rsidP="0078371A">
            <w:pPr>
              <w:rPr>
                <w:rFonts w:cstheme="minorHAnsi"/>
                <w:sz w:val="20"/>
                <w:szCs w:val="20"/>
              </w:rPr>
            </w:pPr>
            <w:r w:rsidRPr="002C1C35">
              <w:rPr>
                <w:rFonts w:cstheme="minorHAnsi"/>
                <w:sz w:val="20"/>
                <w:szCs w:val="20"/>
              </w:rPr>
              <w:t>VFP – Victim gender analysis</w:t>
            </w:r>
          </w:p>
        </w:tc>
      </w:tr>
      <w:tr w:rsidR="002C1C35" w:rsidRPr="002C1C35" w14:paraId="4A97E47B" w14:textId="77777777" w:rsidTr="0078371A">
        <w:tc>
          <w:tcPr>
            <w:tcW w:w="1098" w:type="dxa"/>
          </w:tcPr>
          <w:p w14:paraId="70634BAF" w14:textId="77777777" w:rsidR="002C1C35" w:rsidRPr="002C1C35" w:rsidRDefault="002C1C35" w:rsidP="0078371A">
            <w:pPr>
              <w:rPr>
                <w:rFonts w:eastAsiaTheme="minorHAnsi" w:cstheme="minorHAnsi"/>
                <w:bCs/>
                <w:sz w:val="20"/>
                <w:szCs w:val="20"/>
              </w:rPr>
            </w:pPr>
            <w:r w:rsidRPr="002C1C35">
              <w:rPr>
                <w:rFonts w:eastAsiaTheme="minorHAnsi" w:cstheme="minorHAnsi"/>
                <w:bCs/>
                <w:sz w:val="20"/>
                <w:szCs w:val="20"/>
              </w:rPr>
              <w:t>Figure 3</w:t>
            </w:r>
          </w:p>
        </w:tc>
        <w:tc>
          <w:tcPr>
            <w:tcW w:w="3450" w:type="dxa"/>
          </w:tcPr>
          <w:p w14:paraId="2C5B62F9" w14:textId="77777777" w:rsidR="002C1C35" w:rsidRPr="002C1C35" w:rsidRDefault="002C1C35" w:rsidP="0078371A">
            <w:pPr>
              <w:rPr>
                <w:rFonts w:eastAsiaTheme="minorHAnsi" w:cstheme="minorHAnsi"/>
                <w:bCs/>
                <w:sz w:val="20"/>
                <w:szCs w:val="20"/>
              </w:rPr>
            </w:pPr>
            <w:r w:rsidRPr="002C1C35">
              <w:rPr>
                <w:rFonts w:eastAsiaTheme="minorHAnsi" w:cstheme="minorHAnsi"/>
                <w:bCs/>
                <w:sz w:val="20"/>
                <w:szCs w:val="20"/>
              </w:rPr>
              <w:t>Incidents under investigation versus closed</w:t>
            </w:r>
          </w:p>
        </w:tc>
        <w:tc>
          <w:tcPr>
            <w:tcW w:w="1182" w:type="dxa"/>
          </w:tcPr>
          <w:p w14:paraId="48F0C199" w14:textId="77777777" w:rsidR="002C1C35" w:rsidRPr="002C1C35" w:rsidRDefault="002C1C35" w:rsidP="0078371A">
            <w:pPr>
              <w:rPr>
                <w:rFonts w:cstheme="minorHAnsi"/>
                <w:sz w:val="20"/>
                <w:szCs w:val="20"/>
              </w:rPr>
            </w:pPr>
            <w:r w:rsidRPr="002C1C35">
              <w:rPr>
                <w:rFonts w:cstheme="minorHAnsi"/>
                <w:sz w:val="20"/>
                <w:szCs w:val="20"/>
              </w:rPr>
              <w:t>Figure 28</w:t>
            </w:r>
          </w:p>
        </w:tc>
        <w:tc>
          <w:tcPr>
            <w:tcW w:w="3479" w:type="dxa"/>
          </w:tcPr>
          <w:p w14:paraId="573FEDF0" w14:textId="77777777" w:rsidR="002C1C35" w:rsidRPr="002C1C35" w:rsidRDefault="002C1C35" w:rsidP="0078371A">
            <w:pPr>
              <w:rPr>
                <w:rFonts w:cstheme="minorHAnsi"/>
                <w:sz w:val="20"/>
                <w:szCs w:val="20"/>
              </w:rPr>
            </w:pPr>
            <w:r w:rsidRPr="002C1C35">
              <w:rPr>
                <w:rFonts w:cstheme="minorHAnsi"/>
                <w:sz w:val="20"/>
                <w:szCs w:val="20"/>
              </w:rPr>
              <w:t>VPF - Victim Age Profile – Offences against Morality</w:t>
            </w:r>
          </w:p>
        </w:tc>
      </w:tr>
      <w:tr w:rsidR="002C1C35" w:rsidRPr="002C1C35" w14:paraId="66152A26" w14:textId="77777777" w:rsidTr="0078371A">
        <w:tc>
          <w:tcPr>
            <w:tcW w:w="1098" w:type="dxa"/>
          </w:tcPr>
          <w:p w14:paraId="402529C9" w14:textId="77777777" w:rsidR="002C1C35" w:rsidRPr="002C1C35" w:rsidRDefault="002C1C35" w:rsidP="0078371A">
            <w:pPr>
              <w:rPr>
                <w:rFonts w:cstheme="minorHAnsi"/>
                <w:sz w:val="20"/>
                <w:szCs w:val="20"/>
              </w:rPr>
            </w:pPr>
            <w:r w:rsidRPr="002C1C35">
              <w:rPr>
                <w:rFonts w:eastAsia="+mn-ea" w:cstheme="minorHAnsi"/>
                <w:color w:val="000000"/>
                <w:kern w:val="24"/>
                <w:sz w:val="20"/>
                <w:szCs w:val="20"/>
                <w:lang w:eastAsia="en-AU"/>
              </w:rPr>
              <w:t>Figure 4</w:t>
            </w:r>
          </w:p>
        </w:tc>
        <w:tc>
          <w:tcPr>
            <w:tcW w:w="3450" w:type="dxa"/>
          </w:tcPr>
          <w:p w14:paraId="6CC0DB75" w14:textId="77777777" w:rsidR="002C1C35" w:rsidRPr="002C1C35" w:rsidRDefault="002C1C35" w:rsidP="0078371A">
            <w:pPr>
              <w:rPr>
                <w:rFonts w:eastAsiaTheme="minorHAnsi" w:cstheme="minorHAnsi"/>
                <w:bCs/>
                <w:sz w:val="20"/>
                <w:szCs w:val="20"/>
              </w:rPr>
            </w:pPr>
            <w:r w:rsidRPr="002C1C35">
              <w:rPr>
                <w:rFonts w:eastAsiaTheme="minorHAnsi" w:cstheme="minorHAnsi"/>
                <w:bCs/>
                <w:sz w:val="20"/>
                <w:szCs w:val="20"/>
              </w:rPr>
              <w:t>Days to enter incidents</w:t>
            </w:r>
          </w:p>
        </w:tc>
        <w:tc>
          <w:tcPr>
            <w:tcW w:w="1182" w:type="dxa"/>
          </w:tcPr>
          <w:p w14:paraId="3DB016BC" w14:textId="77777777" w:rsidR="002C1C35" w:rsidRPr="002C1C35" w:rsidRDefault="002C1C35" w:rsidP="0078371A">
            <w:pPr>
              <w:rPr>
                <w:rFonts w:cstheme="minorHAnsi"/>
                <w:sz w:val="20"/>
                <w:szCs w:val="20"/>
              </w:rPr>
            </w:pPr>
            <w:r w:rsidRPr="002C1C35">
              <w:rPr>
                <w:rFonts w:cstheme="minorHAnsi"/>
                <w:sz w:val="20"/>
                <w:szCs w:val="20"/>
              </w:rPr>
              <w:t>Figure 29</w:t>
            </w:r>
          </w:p>
        </w:tc>
        <w:tc>
          <w:tcPr>
            <w:tcW w:w="3479" w:type="dxa"/>
          </w:tcPr>
          <w:p w14:paraId="2764EE42" w14:textId="77777777" w:rsidR="002C1C35" w:rsidRPr="002C1C35" w:rsidRDefault="002C1C35" w:rsidP="0078371A">
            <w:pPr>
              <w:rPr>
                <w:rFonts w:cstheme="minorHAnsi"/>
                <w:sz w:val="20"/>
                <w:szCs w:val="20"/>
              </w:rPr>
            </w:pPr>
            <w:r w:rsidRPr="002C1C35">
              <w:rPr>
                <w:rFonts w:cstheme="minorHAnsi"/>
                <w:sz w:val="20"/>
                <w:szCs w:val="20"/>
              </w:rPr>
              <w:t>VPF - gender analysis of POI/Accused since 2015</w:t>
            </w:r>
          </w:p>
        </w:tc>
      </w:tr>
      <w:tr w:rsidR="002C1C35" w:rsidRPr="002C1C35" w14:paraId="3E90B290" w14:textId="77777777" w:rsidTr="0078371A">
        <w:tc>
          <w:tcPr>
            <w:tcW w:w="1098" w:type="dxa"/>
          </w:tcPr>
          <w:p w14:paraId="54FEDB48" w14:textId="77777777" w:rsidR="002C1C35" w:rsidRPr="002C1C35" w:rsidRDefault="002C1C35" w:rsidP="0078371A">
            <w:pPr>
              <w:rPr>
                <w:rFonts w:cstheme="minorHAnsi"/>
                <w:sz w:val="20"/>
                <w:szCs w:val="20"/>
              </w:rPr>
            </w:pPr>
            <w:r w:rsidRPr="002C1C35">
              <w:rPr>
                <w:rFonts w:eastAsia="+mn-ea" w:cstheme="minorHAnsi"/>
                <w:color w:val="000000"/>
                <w:kern w:val="24"/>
                <w:sz w:val="20"/>
                <w:szCs w:val="20"/>
                <w:lang w:eastAsia="en-AU"/>
              </w:rPr>
              <w:t>Figure 5</w:t>
            </w:r>
          </w:p>
        </w:tc>
        <w:tc>
          <w:tcPr>
            <w:tcW w:w="3450" w:type="dxa"/>
          </w:tcPr>
          <w:p w14:paraId="502F2D13" w14:textId="77777777" w:rsidR="002C1C35" w:rsidRPr="002C1C35" w:rsidRDefault="002C1C35" w:rsidP="0078371A">
            <w:pPr>
              <w:rPr>
                <w:rFonts w:eastAsiaTheme="minorHAnsi" w:cstheme="minorHAnsi"/>
                <w:bCs/>
                <w:sz w:val="20"/>
                <w:szCs w:val="20"/>
              </w:rPr>
            </w:pPr>
            <w:r w:rsidRPr="002C1C35">
              <w:rPr>
                <w:rFonts w:eastAsiaTheme="minorHAnsi" w:cstheme="minorHAnsi"/>
                <w:bCs/>
                <w:sz w:val="20"/>
                <w:szCs w:val="20"/>
              </w:rPr>
              <w:t>Top 10 offence categories by year</w:t>
            </w:r>
          </w:p>
        </w:tc>
        <w:tc>
          <w:tcPr>
            <w:tcW w:w="1182" w:type="dxa"/>
          </w:tcPr>
          <w:p w14:paraId="3CE11C87" w14:textId="77777777" w:rsidR="002C1C35" w:rsidRPr="002C1C35" w:rsidRDefault="002C1C35" w:rsidP="0078371A">
            <w:pPr>
              <w:rPr>
                <w:rFonts w:cstheme="minorHAnsi"/>
                <w:sz w:val="20"/>
                <w:szCs w:val="20"/>
              </w:rPr>
            </w:pPr>
            <w:r w:rsidRPr="002C1C35">
              <w:rPr>
                <w:rFonts w:cstheme="minorHAnsi"/>
                <w:sz w:val="20"/>
                <w:szCs w:val="20"/>
              </w:rPr>
              <w:t>Figure 30</w:t>
            </w:r>
          </w:p>
        </w:tc>
        <w:tc>
          <w:tcPr>
            <w:tcW w:w="3479" w:type="dxa"/>
          </w:tcPr>
          <w:p w14:paraId="23102CBA" w14:textId="77777777" w:rsidR="002C1C35" w:rsidRPr="002C1C35" w:rsidRDefault="002C1C35" w:rsidP="0078371A">
            <w:pPr>
              <w:rPr>
                <w:rFonts w:cstheme="minorHAnsi"/>
                <w:sz w:val="20"/>
                <w:szCs w:val="20"/>
              </w:rPr>
            </w:pPr>
            <w:r w:rsidRPr="002C1C35">
              <w:rPr>
                <w:rFonts w:cstheme="minorHAnsi"/>
                <w:sz w:val="20"/>
                <w:szCs w:val="20"/>
              </w:rPr>
              <w:t>Courts – Victim gender profile</w:t>
            </w:r>
          </w:p>
        </w:tc>
      </w:tr>
      <w:tr w:rsidR="002C1C35" w:rsidRPr="002C1C35" w14:paraId="2B35B066" w14:textId="77777777" w:rsidTr="0078371A">
        <w:tc>
          <w:tcPr>
            <w:tcW w:w="1098" w:type="dxa"/>
          </w:tcPr>
          <w:p w14:paraId="501F13BB" w14:textId="77777777" w:rsidR="002C1C35" w:rsidRPr="002C1C35" w:rsidRDefault="002C1C35" w:rsidP="0078371A">
            <w:pPr>
              <w:rPr>
                <w:rFonts w:cstheme="minorHAnsi"/>
                <w:sz w:val="20"/>
                <w:szCs w:val="20"/>
              </w:rPr>
            </w:pPr>
            <w:r w:rsidRPr="002C1C35">
              <w:rPr>
                <w:rFonts w:eastAsia="+mn-ea" w:cstheme="minorHAnsi"/>
                <w:color w:val="000000"/>
                <w:kern w:val="24"/>
                <w:sz w:val="20"/>
                <w:szCs w:val="20"/>
                <w:lang w:eastAsia="en-AU"/>
              </w:rPr>
              <w:t>Figure 6</w:t>
            </w:r>
          </w:p>
        </w:tc>
        <w:tc>
          <w:tcPr>
            <w:tcW w:w="3450" w:type="dxa"/>
          </w:tcPr>
          <w:p w14:paraId="5344C978" w14:textId="77777777" w:rsidR="002C1C35" w:rsidRPr="002C1C35" w:rsidRDefault="002C1C35" w:rsidP="0078371A">
            <w:pPr>
              <w:rPr>
                <w:rFonts w:eastAsiaTheme="minorHAnsi" w:cstheme="minorHAnsi"/>
                <w:bCs/>
                <w:sz w:val="20"/>
                <w:szCs w:val="20"/>
              </w:rPr>
            </w:pPr>
            <w:r w:rsidRPr="002C1C35">
              <w:rPr>
                <w:rFonts w:eastAsiaTheme="minorHAnsi" w:cstheme="minorHAnsi"/>
                <w:bCs/>
                <w:sz w:val="20"/>
                <w:szCs w:val="20"/>
              </w:rPr>
              <w:t>Offences reported by province</w:t>
            </w:r>
          </w:p>
        </w:tc>
        <w:tc>
          <w:tcPr>
            <w:tcW w:w="4661" w:type="dxa"/>
            <w:gridSpan w:val="2"/>
          </w:tcPr>
          <w:p w14:paraId="10F1E6F3" w14:textId="77777777" w:rsidR="002C1C35" w:rsidRPr="002C1C35" w:rsidRDefault="002C1C35" w:rsidP="0078371A">
            <w:pPr>
              <w:rPr>
                <w:rFonts w:cstheme="minorHAnsi"/>
                <w:bCs/>
                <w:sz w:val="20"/>
                <w:szCs w:val="20"/>
              </w:rPr>
            </w:pPr>
            <w:r w:rsidRPr="002C1C35">
              <w:rPr>
                <w:rFonts w:eastAsia="+mn-ea" w:cstheme="minorHAnsi"/>
                <w:b/>
                <w:color w:val="44546A" w:themeColor="text2"/>
                <w:kern w:val="24"/>
                <w:sz w:val="20"/>
                <w:szCs w:val="20"/>
                <w:lang w:eastAsia="en-AU"/>
              </w:rPr>
              <w:t>Outcomes</w:t>
            </w:r>
          </w:p>
        </w:tc>
      </w:tr>
      <w:tr w:rsidR="002C1C35" w:rsidRPr="002C1C35" w14:paraId="0F1FFDE0" w14:textId="77777777" w:rsidTr="0078371A">
        <w:trPr>
          <w:trHeight w:val="50"/>
        </w:trPr>
        <w:tc>
          <w:tcPr>
            <w:tcW w:w="1098" w:type="dxa"/>
          </w:tcPr>
          <w:p w14:paraId="45BD14C4" w14:textId="77777777" w:rsidR="002C1C35" w:rsidRPr="002C1C35" w:rsidRDefault="002C1C35" w:rsidP="0078371A">
            <w:pPr>
              <w:rPr>
                <w:rFonts w:cstheme="minorHAnsi"/>
                <w:sz w:val="20"/>
                <w:szCs w:val="20"/>
              </w:rPr>
            </w:pPr>
            <w:r w:rsidRPr="002C1C35">
              <w:rPr>
                <w:rFonts w:eastAsia="+mn-ea" w:cstheme="minorHAnsi"/>
                <w:color w:val="000000"/>
                <w:kern w:val="24"/>
                <w:sz w:val="20"/>
                <w:szCs w:val="20"/>
                <w:lang w:eastAsia="en-AU"/>
              </w:rPr>
              <w:t>Figure 7</w:t>
            </w:r>
          </w:p>
        </w:tc>
        <w:tc>
          <w:tcPr>
            <w:tcW w:w="3450" w:type="dxa"/>
          </w:tcPr>
          <w:p w14:paraId="01D289A2" w14:textId="77777777" w:rsidR="002C1C35" w:rsidRPr="002C1C35" w:rsidRDefault="002C1C35" w:rsidP="0078371A">
            <w:pPr>
              <w:rPr>
                <w:rFonts w:eastAsiaTheme="minorHAnsi" w:cstheme="minorHAnsi"/>
                <w:bCs/>
                <w:sz w:val="20"/>
                <w:szCs w:val="20"/>
              </w:rPr>
            </w:pPr>
            <w:r w:rsidRPr="002C1C35">
              <w:rPr>
                <w:rFonts w:eastAsiaTheme="minorHAnsi" w:cstheme="minorHAnsi"/>
                <w:bCs/>
                <w:sz w:val="20"/>
                <w:szCs w:val="20"/>
              </w:rPr>
              <w:t xml:space="preserve">Offences assigned to VPF Units </w:t>
            </w:r>
          </w:p>
        </w:tc>
        <w:tc>
          <w:tcPr>
            <w:tcW w:w="1182" w:type="dxa"/>
          </w:tcPr>
          <w:p w14:paraId="04F6CAF2" w14:textId="77777777" w:rsidR="002C1C35" w:rsidRPr="002C1C35" w:rsidRDefault="002C1C35" w:rsidP="0078371A">
            <w:pPr>
              <w:rPr>
                <w:rFonts w:cstheme="minorHAnsi"/>
                <w:bCs/>
                <w:sz w:val="20"/>
                <w:szCs w:val="20"/>
              </w:rPr>
            </w:pPr>
            <w:r w:rsidRPr="002C1C35">
              <w:rPr>
                <w:rFonts w:cstheme="minorHAnsi"/>
                <w:bCs/>
                <w:sz w:val="20"/>
                <w:szCs w:val="20"/>
              </w:rPr>
              <w:t>V</w:t>
            </w:r>
            <w:r w:rsidRPr="002C1C35">
              <w:rPr>
                <w:rFonts w:cstheme="minorHAnsi"/>
                <w:b/>
                <w:bCs/>
                <w:sz w:val="20"/>
                <w:szCs w:val="20"/>
              </w:rPr>
              <w:t>FP</w:t>
            </w:r>
          </w:p>
        </w:tc>
        <w:tc>
          <w:tcPr>
            <w:tcW w:w="3479" w:type="dxa"/>
          </w:tcPr>
          <w:p w14:paraId="0AD45726" w14:textId="77777777" w:rsidR="002C1C35" w:rsidRPr="002C1C35" w:rsidRDefault="002C1C35" w:rsidP="0078371A">
            <w:pPr>
              <w:rPr>
                <w:rFonts w:cstheme="minorHAnsi"/>
                <w:bCs/>
                <w:sz w:val="20"/>
                <w:szCs w:val="20"/>
              </w:rPr>
            </w:pPr>
          </w:p>
        </w:tc>
      </w:tr>
      <w:tr w:rsidR="002C1C35" w:rsidRPr="002C1C35" w14:paraId="71B57C50" w14:textId="77777777" w:rsidTr="0078371A">
        <w:trPr>
          <w:trHeight w:val="50"/>
        </w:trPr>
        <w:tc>
          <w:tcPr>
            <w:tcW w:w="1098" w:type="dxa"/>
          </w:tcPr>
          <w:p w14:paraId="595B43FB" w14:textId="77777777" w:rsidR="002C1C35" w:rsidRPr="002C1C35" w:rsidRDefault="002C1C35" w:rsidP="0078371A">
            <w:pPr>
              <w:rPr>
                <w:rFonts w:eastAsia="+mn-ea" w:cstheme="minorHAnsi"/>
                <w:color w:val="000000"/>
                <w:kern w:val="24"/>
                <w:sz w:val="20"/>
                <w:szCs w:val="20"/>
                <w:lang w:eastAsia="en-AU"/>
              </w:rPr>
            </w:pPr>
            <w:r w:rsidRPr="002C1C35">
              <w:rPr>
                <w:rFonts w:eastAsia="+mn-ea" w:cstheme="minorHAnsi"/>
                <w:color w:val="000000"/>
                <w:kern w:val="24"/>
                <w:sz w:val="20"/>
                <w:szCs w:val="20"/>
                <w:lang w:eastAsia="en-AU"/>
              </w:rPr>
              <w:t>Figure 8</w:t>
            </w:r>
          </w:p>
        </w:tc>
        <w:tc>
          <w:tcPr>
            <w:tcW w:w="3450" w:type="dxa"/>
          </w:tcPr>
          <w:p w14:paraId="1D4BE3AE" w14:textId="77777777" w:rsidR="002C1C35" w:rsidRPr="002C1C35" w:rsidRDefault="002C1C35" w:rsidP="0078371A">
            <w:pPr>
              <w:rPr>
                <w:rFonts w:cstheme="minorHAnsi"/>
                <w:bCs/>
                <w:sz w:val="20"/>
                <w:szCs w:val="20"/>
              </w:rPr>
            </w:pPr>
            <w:r w:rsidRPr="002C1C35">
              <w:rPr>
                <w:rFonts w:cstheme="minorHAnsi"/>
                <w:bCs/>
                <w:sz w:val="20"/>
                <w:szCs w:val="20"/>
              </w:rPr>
              <w:t>Offence load by unit over last 5 years</w:t>
            </w:r>
          </w:p>
        </w:tc>
        <w:tc>
          <w:tcPr>
            <w:tcW w:w="1182" w:type="dxa"/>
            <w:shd w:val="clear" w:color="auto" w:fill="F2F2F2" w:themeFill="background1" w:themeFillShade="F2"/>
          </w:tcPr>
          <w:p w14:paraId="036A487B" w14:textId="77777777" w:rsidR="002C1C35" w:rsidRPr="002C1C35" w:rsidRDefault="002C1C35" w:rsidP="0078371A">
            <w:pPr>
              <w:rPr>
                <w:rFonts w:cstheme="minorHAnsi"/>
                <w:sz w:val="20"/>
                <w:szCs w:val="20"/>
              </w:rPr>
            </w:pPr>
            <w:r w:rsidRPr="002C1C35">
              <w:rPr>
                <w:rFonts w:cstheme="minorHAnsi"/>
                <w:sz w:val="20"/>
                <w:szCs w:val="20"/>
              </w:rPr>
              <w:t>Figure 31</w:t>
            </w:r>
          </w:p>
        </w:tc>
        <w:tc>
          <w:tcPr>
            <w:tcW w:w="3479" w:type="dxa"/>
            <w:shd w:val="clear" w:color="auto" w:fill="F2F2F2" w:themeFill="background1" w:themeFillShade="F2"/>
          </w:tcPr>
          <w:p w14:paraId="1F6B47FD" w14:textId="77777777" w:rsidR="002C1C35" w:rsidRPr="002C1C35" w:rsidRDefault="002C1C35" w:rsidP="0078371A">
            <w:pPr>
              <w:rPr>
                <w:rFonts w:cstheme="minorHAnsi"/>
                <w:sz w:val="20"/>
                <w:szCs w:val="20"/>
              </w:rPr>
            </w:pPr>
            <w:r w:rsidRPr="002C1C35">
              <w:rPr>
                <w:rFonts w:cstheme="minorHAnsi"/>
                <w:sz w:val="20"/>
                <w:szCs w:val="20"/>
              </w:rPr>
              <w:t>Case files (3 key offences) submitted to Prosecution</w:t>
            </w:r>
          </w:p>
        </w:tc>
      </w:tr>
      <w:tr w:rsidR="002C1C35" w:rsidRPr="002C1C35" w14:paraId="2B879183" w14:textId="77777777" w:rsidTr="0078371A">
        <w:trPr>
          <w:trHeight w:val="50"/>
        </w:trPr>
        <w:tc>
          <w:tcPr>
            <w:tcW w:w="1098" w:type="dxa"/>
          </w:tcPr>
          <w:p w14:paraId="5A6F0D3C" w14:textId="77777777" w:rsidR="002C1C35" w:rsidRPr="002C1C35" w:rsidRDefault="002C1C35" w:rsidP="0078371A">
            <w:pPr>
              <w:rPr>
                <w:rFonts w:eastAsia="+mn-ea" w:cstheme="minorHAnsi"/>
                <w:color w:val="000000"/>
                <w:kern w:val="24"/>
                <w:sz w:val="20"/>
                <w:szCs w:val="20"/>
                <w:lang w:eastAsia="en-AU"/>
              </w:rPr>
            </w:pPr>
            <w:r w:rsidRPr="002C1C35">
              <w:rPr>
                <w:rFonts w:eastAsia="+mn-ea" w:cstheme="minorHAnsi"/>
                <w:color w:val="000000"/>
                <w:kern w:val="24"/>
                <w:sz w:val="20"/>
                <w:szCs w:val="20"/>
                <w:lang w:eastAsia="en-AU"/>
              </w:rPr>
              <w:t>Figure 9</w:t>
            </w:r>
          </w:p>
        </w:tc>
        <w:tc>
          <w:tcPr>
            <w:tcW w:w="3450" w:type="dxa"/>
          </w:tcPr>
          <w:p w14:paraId="715BA085" w14:textId="77777777" w:rsidR="002C1C35" w:rsidRPr="002C1C35" w:rsidRDefault="002C1C35" w:rsidP="0078371A">
            <w:pPr>
              <w:rPr>
                <w:rFonts w:cstheme="minorHAnsi"/>
                <w:bCs/>
                <w:sz w:val="20"/>
                <w:szCs w:val="20"/>
              </w:rPr>
            </w:pPr>
            <w:r w:rsidRPr="002C1C35">
              <w:rPr>
                <w:rFonts w:cstheme="minorHAnsi"/>
                <w:bCs/>
                <w:sz w:val="20"/>
                <w:szCs w:val="20"/>
              </w:rPr>
              <w:t>Offence load by unit over last 5 years - EFATE</w:t>
            </w:r>
          </w:p>
        </w:tc>
        <w:tc>
          <w:tcPr>
            <w:tcW w:w="1182" w:type="dxa"/>
            <w:shd w:val="clear" w:color="auto" w:fill="F2F2F2" w:themeFill="background1" w:themeFillShade="F2"/>
          </w:tcPr>
          <w:p w14:paraId="6329F378" w14:textId="77777777" w:rsidR="002C1C35" w:rsidRPr="002C1C35" w:rsidRDefault="002C1C35" w:rsidP="0078371A">
            <w:pPr>
              <w:rPr>
                <w:rFonts w:cstheme="minorHAnsi"/>
                <w:sz w:val="20"/>
                <w:szCs w:val="20"/>
              </w:rPr>
            </w:pPr>
            <w:r w:rsidRPr="002C1C35">
              <w:rPr>
                <w:rFonts w:cstheme="minorHAnsi"/>
                <w:sz w:val="20"/>
                <w:szCs w:val="20"/>
              </w:rPr>
              <w:t>Figure 32</w:t>
            </w:r>
          </w:p>
        </w:tc>
        <w:tc>
          <w:tcPr>
            <w:tcW w:w="3479" w:type="dxa"/>
            <w:shd w:val="clear" w:color="auto" w:fill="F2F2F2" w:themeFill="background1" w:themeFillShade="F2"/>
          </w:tcPr>
          <w:p w14:paraId="5B6E24D3" w14:textId="77777777" w:rsidR="002C1C35" w:rsidRPr="002C1C35" w:rsidRDefault="002C1C35" w:rsidP="0078371A">
            <w:pPr>
              <w:rPr>
                <w:rFonts w:cstheme="minorHAnsi"/>
                <w:sz w:val="20"/>
                <w:szCs w:val="20"/>
              </w:rPr>
            </w:pPr>
            <w:r w:rsidRPr="002C1C35">
              <w:rPr>
                <w:rFonts w:cstheme="minorHAnsi"/>
                <w:sz w:val="20"/>
                <w:szCs w:val="20"/>
              </w:rPr>
              <w:t>Total case files submitted to Prosecution</w:t>
            </w:r>
          </w:p>
        </w:tc>
      </w:tr>
      <w:tr w:rsidR="002C1C35" w:rsidRPr="002C1C35" w14:paraId="236D1063" w14:textId="77777777" w:rsidTr="0078371A">
        <w:trPr>
          <w:trHeight w:val="50"/>
        </w:trPr>
        <w:tc>
          <w:tcPr>
            <w:tcW w:w="1098" w:type="dxa"/>
          </w:tcPr>
          <w:p w14:paraId="0AE626C9" w14:textId="77777777" w:rsidR="002C1C35" w:rsidRPr="002C1C35" w:rsidRDefault="002C1C35" w:rsidP="0078371A">
            <w:pPr>
              <w:rPr>
                <w:rFonts w:eastAsia="+mn-ea" w:cstheme="minorHAnsi"/>
                <w:color w:val="000000"/>
                <w:kern w:val="24"/>
                <w:sz w:val="20"/>
                <w:szCs w:val="20"/>
                <w:lang w:eastAsia="en-AU"/>
              </w:rPr>
            </w:pPr>
            <w:r w:rsidRPr="002C1C35">
              <w:rPr>
                <w:rFonts w:eastAsia="+mn-ea" w:cstheme="minorHAnsi"/>
                <w:color w:val="000000"/>
                <w:kern w:val="24"/>
                <w:sz w:val="20"/>
                <w:szCs w:val="20"/>
                <w:lang w:eastAsia="en-AU"/>
              </w:rPr>
              <w:t>Figure 10</w:t>
            </w:r>
          </w:p>
        </w:tc>
        <w:tc>
          <w:tcPr>
            <w:tcW w:w="3450" w:type="dxa"/>
          </w:tcPr>
          <w:p w14:paraId="3A6A987B" w14:textId="77777777" w:rsidR="002C1C35" w:rsidRPr="002C1C35" w:rsidRDefault="002C1C35" w:rsidP="0078371A">
            <w:pPr>
              <w:rPr>
                <w:rFonts w:cstheme="minorHAnsi"/>
                <w:bCs/>
                <w:sz w:val="20"/>
                <w:szCs w:val="20"/>
              </w:rPr>
            </w:pPr>
            <w:r w:rsidRPr="002C1C35">
              <w:rPr>
                <w:rFonts w:cstheme="minorHAnsi"/>
                <w:bCs/>
                <w:sz w:val="20"/>
                <w:szCs w:val="20"/>
              </w:rPr>
              <w:t>VPF – Offences reported for the 3 key offence types</w:t>
            </w:r>
          </w:p>
        </w:tc>
        <w:tc>
          <w:tcPr>
            <w:tcW w:w="1182" w:type="dxa"/>
          </w:tcPr>
          <w:p w14:paraId="266867A6" w14:textId="77777777" w:rsidR="002C1C35" w:rsidRPr="002C1C35" w:rsidRDefault="002C1C35" w:rsidP="0078371A">
            <w:pPr>
              <w:rPr>
                <w:rFonts w:cstheme="minorHAnsi"/>
                <w:b/>
                <w:bCs/>
                <w:sz w:val="20"/>
                <w:szCs w:val="20"/>
              </w:rPr>
            </w:pPr>
            <w:r w:rsidRPr="002C1C35">
              <w:rPr>
                <w:rFonts w:cstheme="minorHAnsi"/>
                <w:b/>
                <w:bCs/>
                <w:sz w:val="20"/>
                <w:szCs w:val="20"/>
              </w:rPr>
              <w:t>Court</w:t>
            </w:r>
          </w:p>
        </w:tc>
        <w:tc>
          <w:tcPr>
            <w:tcW w:w="3479" w:type="dxa"/>
          </w:tcPr>
          <w:p w14:paraId="0E5D114B" w14:textId="77777777" w:rsidR="002C1C35" w:rsidRPr="002C1C35" w:rsidRDefault="002C1C35" w:rsidP="0078371A">
            <w:pPr>
              <w:rPr>
                <w:rFonts w:cstheme="minorHAnsi"/>
                <w:bCs/>
                <w:sz w:val="20"/>
                <w:szCs w:val="20"/>
              </w:rPr>
            </w:pPr>
          </w:p>
        </w:tc>
      </w:tr>
      <w:tr w:rsidR="002C1C35" w:rsidRPr="002C1C35" w14:paraId="20D7CFEE" w14:textId="77777777" w:rsidTr="0078371A">
        <w:tc>
          <w:tcPr>
            <w:tcW w:w="1098" w:type="dxa"/>
          </w:tcPr>
          <w:p w14:paraId="2A1A6AE7" w14:textId="77777777" w:rsidR="002C1C35" w:rsidRPr="002C1C35" w:rsidRDefault="002C1C35" w:rsidP="0078371A">
            <w:pPr>
              <w:rPr>
                <w:rFonts w:cstheme="minorHAnsi"/>
                <w:sz w:val="20"/>
                <w:szCs w:val="20"/>
              </w:rPr>
            </w:pPr>
            <w:r w:rsidRPr="002C1C35">
              <w:rPr>
                <w:rFonts w:eastAsia="+mn-ea" w:cstheme="minorHAnsi"/>
                <w:color w:val="000000"/>
                <w:kern w:val="24"/>
                <w:sz w:val="20"/>
                <w:szCs w:val="20"/>
                <w:lang w:eastAsia="en-AU"/>
              </w:rPr>
              <w:t>Figure 11</w:t>
            </w:r>
          </w:p>
        </w:tc>
        <w:tc>
          <w:tcPr>
            <w:tcW w:w="3450" w:type="dxa"/>
          </w:tcPr>
          <w:p w14:paraId="5283D797" w14:textId="77777777" w:rsidR="002C1C35" w:rsidRPr="002C1C35" w:rsidRDefault="002C1C35" w:rsidP="0078371A">
            <w:pPr>
              <w:rPr>
                <w:rFonts w:eastAsiaTheme="minorHAnsi" w:cstheme="minorHAnsi"/>
                <w:bCs/>
                <w:sz w:val="20"/>
                <w:szCs w:val="20"/>
              </w:rPr>
            </w:pPr>
            <w:r w:rsidRPr="002C1C35">
              <w:rPr>
                <w:rFonts w:eastAsiaTheme="minorHAnsi" w:cstheme="minorHAnsi"/>
                <w:bCs/>
                <w:sz w:val="20"/>
                <w:szCs w:val="20"/>
              </w:rPr>
              <w:t xml:space="preserve">#s and % shift in 3 key offence types </w:t>
            </w:r>
          </w:p>
        </w:tc>
        <w:tc>
          <w:tcPr>
            <w:tcW w:w="1182" w:type="dxa"/>
          </w:tcPr>
          <w:p w14:paraId="26F2941F" w14:textId="77777777" w:rsidR="002C1C35" w:rsidRPr="002C1C35" w:rsidRDefault="002C1C35" w:rsidP="0078371A">
            <w:pPr>
              <w:rPr>
                <w:rFonts w:cstheme="minorHAnsi"/>
                <w:sz w:val="20"/>
                <w:szCs w:val="20"/>
              </w:rPr>
            </w:pPr>
            <w:r w:rsidRPr="002C1C35">
              <w:rPr>
                <w:rFonts w:cstheme="minorHAnsi"/>
                <w:sz w:val="20"/>
                <w:szCs w:val="20"/>
              </w:rPr>
              <w:t>Figure 33</w:t>
            </w:r>
          </w:p>
        </w:tc>
        <w:tc>
          <w:tcPr>
            <w:tcW w:w="3479" w:type="dxa"/>
          </w:tcPr>
          <w:p w14:paraId="4329420D" w14:textId="77777777" w:rsidR="002C1C35" w:rsidRPr="002C1C35" w:rsidRDefault="002C1C35" w:rsidP="0078371A">
            <w:pPr>
              <w:rPr>
                <w:rFonts w:cstheme="minorHAnsi"/>
                <w:sz w:val="20"/>
                <w:szCs w:val="20"/>
              </w:rPr>
            </w:pPr>
            <w:r w:rsidRPr="002C1C35">
              <w:rPr>
                <w:noProof/>
                <w:sz w:val="20"/>
                <w:szCs w:val="20"/>
                <w:lang w:eastAsia="en-AU"/>
              </w:rPr>
              <w:t>Protection Orders – Magistrates’ Court – Outcomes (results)</w:t>
            </w:r>
          </w:p>
        </w:tc>
      </w:tr>
      <w:tr w:rsidR="002C1C35" w:rsidRPr="002C1C35" w14:paraId="1ABF33A0" w14:textId="77777777" w:rsidTr="0078371A">
        <w:tc>
          <w:tcPr>
            <w:tcW w:w="1098" w:type="dxa"/>
          </w:tcPr>
          <w:p w14:paraId="1250A3D2" w14:textId="77777777" w:rsidR="002C1C35" w:rsidRPr="002C1C35" w:rsidRDefault="002C1C35" w:rsidP="0078371A">
            <w:pPr>
              <w:rPr>
                <w:rFonts w:cstheme="minorHAnsi"/>
                <w:sz w:val="20"/>
                <w:szCs w:val="20"/>
              </w:rPr>
            </w:pPr>
            <w:r w:rsidRPr="002C1C35">
              <w:rPr>
                <w:rFonts w:eastAsia="+mn-ea" w:cstheme="minorHAnsi"/>
                <w:color w:val="000000"/>
                <w:kern w:val="24"/>
                <w:sz w:val="20"/>
                <w:szCs w:val="20"/>
                <w:lang w:eastAsia="en-AU"/>
              </w:rPr>
              <w:t>Figure 12</w:t>
            </w:r>
          </w:p>
        </w:tc>
        <w:tc>
          <w:tcPr>
            <w:tcW w:w="3450" w:type="dxa"/>
          </w:tcPr>
          <w:p w14:paraId="3AA97845" w14:textId="77777777" w:rsidR="002C1C35" w:rsidRPr="002C1C35" w:rsidRDefault="002C1C35" w:rsidP="0078371A">
            <w:pPr>
              <w:rPr>
                <w:rFonts w:eastAsiaTheme="minorHAnsi" w:cstheme="minorHAnsi"/>
                <w:bCs/>
                <w:sz w:val="20"/>
                <w:szCs w:val="20"/>
              </w:rPr>
            </w:pPr>
            <w:r w:rsidRPr="002C1C35">
              <w:rPr>
                <w:rFonts w:eastAsiaTheme="minorHAnsi" w:cstheme="minorHAnsi"/>
                <w:bCs/>
                <w:sz w:val="20"/>
                <w:szCs w:val="20"/>
              </w:rPr>
              <w:t xml:space="preserve">Average days to </w:t>
            </w:r>
            <w:proofErr w:type="spellStart"/>
            <w:r w:rsidRPr="002C1C35">
              <w:rPr>
                <w:rFonts w:eastAsiaTheme="minorHAnsi" w:cstheme="minorHAnsi"/>
                <w:bCs/>
                <w:sz w:val="20"/>
                <w:szCs w:val="20"/>
              </w:rPr>
              <w:t>finalise</w:t>
            </w:r>
            <w:proofErr w:type="spellEnd"/>
            <w:r w:rsidRPr="002C1C35">
              <w:rPr>
                <w:rFonts w:eastAsiaTheme="minorHAnsi" w:cstheme="minorHAnsi"/>
                <w:bCs/>
                <w:sz w:val="20"/>
                <w:szCs w:val="20"/>
              </w:rPr>
              <w:t xml:space="preserve"> investigation (and volume)</w:t>
            </w:r>
          </w:p>
        </w:tc>
        <w:tc>
          <w:tcPr>
            <w:tcW w:w="1182" w:type="dxa"/>
          </w:tcPr>
          <w:p w14:paraId="1277C5C3" w14:textId="77777777" w:rsidR="002C1C35" w:rsidRPr="002C1C35" w:rsidRDefault="002C1C35" w:rsidP="0078371A">
            <w:pPr>
              <w:rPr>
                <w:rFonts w:cstheme="minorHAnsi"/>
                <w:sz w:val="20"/>
                <w:szCs w:val="20"/>
              </w:rPr>
            </w:pPr>
            <w:r w:rsidRPr="002C1C35">
              <w:rPr>
                <w:rFonts w:cstheme="minorHAnsi"/>
                <w:sz w:val="20"/>
                <w:szCs w:val="20"/>
              </w:rPr>
              <w:t>Figure 34</w:t>
            </w:r>
          </w:p>
        </w:tc>
        <w:tc>
          <w:tcPr>
            <w:tcW w:w="3479" w:type="dxa"/>
          </w:tcPr>
          <w:p w14:paraId="17EA8363" w14:textId="77777777" w:rsidR="002C1C35" w:rsidRPr="002C1C35" w:rsidRDefault="002C1C35" w:rsidP="0078371A">
            <w:pPr>
              <w:rPr>
                <w:noProof/>
                <w:sz w:val="20"/>
                <w:szCs w:val="20"/>
                <w:lang w:eastAsia="en-AU"/>
              </w:rPr>
            </w:pPr>
            <w:r w:rsidRPr="002C1C35">
              <w:rPr>
                <w:noProof/>
                <w:sz w:val="20"/>
                <w:szCs w:val="20"/>
                <w:lang w:eastAsia="en-AU"/>
              </w:rPr>
              <w:t>Court Guilty outcomes – for the three offence types</w:t>
            </w:r>
          </w:p>
        </w:tc>
      </w:tr>
      <w:tr w:rsidR="002C1C35" w:rsidRPr="002C1C35" w14:paraId="2030E1AC" w14:textId="77777777" w:rsidTr="0078371A">
        <w:tc>
          <w:tcPr>
            <w:tcW w:w="1098" w:type="dxa"/>
          </w:tcPr>
          <w:p w14:paraId="342C3F9E" w14:textId="77777777" w:rsidR="002C1C35" w:rsidRPr="002C1C35" w:rsidRDefault="002C1C35" w:rsidP="0078371A">
            <w:pPr>
              <w:rPr>
                <w:rFonts w:eastAsia="+mn-ea" w:cstheme="minorHAnsi"/>
                <w:color w:val="000000"/>
                <w:kern w:val="24"/>
                <w:sz w:val="20"/>
                <w:szCs w:val="20"/>
                <w:lang w:eastAsia="en-AU"/>
              </w:rPr>
            </w:pPr>
            <w:r w:rsidRPr="002C1C35">
              <w:rPr>
                <w:rFonts w:eastAsia="+mn-ea" w:cstheme="minorHAnsi"/>
                <w:color w:val="000000"/>
                <w:kern w:val="24"/>
                <w:sz w:val="20"/>
                <w:szCs w:val="20"/>
                <w:lang w:eastAsia="en-AU"/>
              </w:rPr>
              <w:t>Figure 13</w:t>
            </w:r>
          </w:p>
        </w:tc>
        <w:tc>
          <w:tcPr>
            <w:tcW w:w="3450" w:type="dxa"/>
          </w:tcPr>
          <w:p w14:paraId="2091569C" w14:textId="77777777" w:rsidR="002C1C35" w:rsidRPr="002C1C35" w:rsidRDefault="002C1C35" w:rsidP="0078371A">
            <w:pPr>
              <w:rPr>
                <w:rFonts w:cstheme="minorHAnsi"/>
                <w:bCs/>
                <w:sz w:val="20"/>
                <w:szCs w:val="20"/>
              </w:rPr>
            </w:pPr>
            <w:r w:rsidRPr="002C1C35">
              <w:rPr>
                <w:rFonts w:eastAsiaTheme="minorHAnsi" w:cstheme="minorHAnsi"/>
                <w:bCs/>
                <w:sz w:val="20"/>
                <w:szCs w:val="20"/>
              </w:rPr>
              <w:t xml:space="preserve">Average days to </w:t>
            </w:r>
            <w:proofErr w:type="spellStart"/>
            <w:r w:rsidRPr="002C1C35">
              <w:rPr>
                <w:rFonts w:eastAsiaTheme="minorHAnsi" w:cstheme="minorHAnsi"/>
                <w:bCs/>
                <w:sz w:val="20"/>
                <w:szCs w:val="20"/>
              </w:rPr>
              <w:t>finalise</w:t>
            </w:r>
            <w:proofErr w:type="spellEnd"/>
            <w:r w:rsidRPr="002C1C35">
              <w:rPr>
                <w:rFonts w:eastAsiaTheme="minorHAnsi" w:cstheme="minorHAnsi"/>
                <w:bCs/>
                <w:sz w:val="20"/>
                <w:szCs w:val="20"/>
              </w:rPr>
              <w:t xml:space="preserve"> investigation of an offences and # closed</w:t>
            </w:r>
          </w:p>
        </w:tc>
        <w:tc>
          <w:tcPr>
            <w:tcW w:w="1182" w:type="dxa"/>
            <w:shd w:val="clear" w:color="auto" w:fill="F2F2F2" w:themeFill="background1" w:themeFillShade="F2"/>
          </w:tcPr>
          <w:p w14:paraId="02B459B8" w14:textId="77777777" w:rsidR="002C1C35" w:rsidRPr="002C1C35" w:rsidRDefault="002C1C35" w:rsidP="0078371A">
            <w:pPr>
              <w:rPr>
                <w:rFonts w:cstheme="minorHAnsi"/>
                <w:sz w:val="20"/>
                <w:szCs w:val="20"/>
              </w:rPr>
            </w:pPr>
            <w:r w:rsidRPr="002C1C35">
              <w:rPr>
                <w:rFonts w:cstheme="minorHAnsi"/>
                <w:sz w:val="20"/>
                <w:szCs w:val="20"/>
              </w:rPr>
              <w:t>Figure 35</w:t>
            </w:r>
          </w:p>
        </w:tc>
        <w:tc>
          <w:tcPr>
            <w:tcW w:w="3479" w:type="dxa"/>
            <w:shd w:val="clear" w:color="auto" w:fill="F2F2F2" w:themeFill="background1" w:themeFillShade="F2"/>
          </w:tcPr>
          <w:p w14:paraId="5BE2A06A" w14:textId="77777777" w:rsidR="002C1C35" w:rsidRPr="002C1C35" w:rsidRDefault="002C1C35" w:rsidP="0078371A">
            <w:pPr>
              <w:rPr>
                <w:rFonts w:cstheme="minorHAnsi"/>
                <w:sz w:val="20"/>
                <w:szCs w:val="20"/>
              </w:rPr>
            </w:pPr>
            <w:r w:rsidRPr="002C1C35">
              <w:rPr>
                <w:noProof/>
                <w:sz w:val="20"/>
                <w:szCs w:val="20"/>
                <w:lang w:eastAsia="en-AU"/>
              </w:rPr>
              <w:t>Tracking offences through the ‘system’ – 2019 YTD</w:t>
            </w:r>
          </w:p>
        </w:tc>
      </w:tr>
      <w:tr w:rsidR="002C1C35" w:rsidRPr="002C1C35" w14:paraId="153D4C2C" w14:textId="77777777" w:rsidTr="0078371A">
        <w:tc>
          <w:tcPr>
            <w:tcW w:w="4548" w:type="dxa"/>
            <w:gridSpan w:val="2"/>
          </w:tcPr>
          <w:p w14:paraId="0E4E41D4" w14:textId="77777777" w:rsidR="002C1C35" w:rsidRPr="002C1C35" w:rsidRDefault="002C1C35" w:rsidP="0078371A">
            <w:pPr>
              <w:rPr>
                <w:rFonts w:eastAsia="+mn-ea" w:cstheme="minorHAnsi"/>
                <w:b/>
                <w:color w:val="44546A" w:themeColor="text2"/>
                <w:kern w:val="24"/>
                <w:sz w:val="20"/>
                <w:szCs w:val="20"/>
                <w:lang w:eastAsia="en-AU"/>
              </w:rPr>
            </w:pPr>
            <w:r w:rsidRPr="002C1C35">
              <w:rPr>
                <w:rFonts w:eastAsia="+mn-ea" w:cstheme="minorHAnsi"/>
                <w:b/>
                <w:color w:val="44546A" w:themeColor="text2"/>
                <w:kern w:val="24"/>
                <w:sz w:val="20"/>
                <w:szCs w:val="20"/>
                <w:lang w:eastAsia="en-AU"/>
              </w:rPr>
              <w:t xml:space="preserve">Prosecution – 2016 to 2019 (estimated full year) </w:t>
            </w:r>
          </w:p>
        </w:tc>
        <w:tc>
          <w:tcPr>
            <w:tcW w:w="4661" w:type="dxa"/>
            <w:gridSpan w:val="2"/>
            <w:shd w:val="clear" w:color="auto" w:fill="FFFFFF" w:themeFill="background1"/>
          </w:tcPr>
          <w:p w14:paraId="6B401A49" w14:textId="77777777" w:rsidR="002C1C35" w:rsidRPr="002C1C35" w:rsidRDefault="002C1C35" w:rsidP="0078371A">
            <w:pPr>
              <w:rPr>
                <w:rFonts w:eastAsia="+mn-ea" w:cstheme="minorHAnsi"/>
                <w:color w:val="000000"/>
                <w:kern w:val="24"/>
                <w:sz w:val="20"/>
                <w:szCs w:val="20"/>
                <w:lang w:eastAsia="en-AU"/>
              </w:rPr>
            </w:pPr>
            <w:r w:rsidRPr="002C1C35">
              <w:rPr>
                <w:rFonts w:eastAsia="+mn-ea" w:cstheme="minorHAnsi"/>
                <w:b/>
                <w:color w:val="44546A" w:themeColor="text2"/>
                <w:kern w:val="24"/>
                <w:sz w:val="20"/>
                <w:szCs w:val="20"/>
                <w:lang w:eastAsia="en-AU"/>
              </w:rPr>
              <w:t>Timeliness</w:t>
            </w:r>
          </w:p>
        </w:tc>
      </w:tr>
      <w:tr w:rsidR="002C1C35" w:rsidRPr="002C1C35" w14:paraId="7802EDD3" w14:textId="77777777" w:rsidTr="0078371A">
        <w:tc>
          <w:tcPr>
            <w:tcW w:w="1098" w:type="dxa"/>
          </w:tcPr>
          <w:p w14:paraId="6B9FEBF4" w14:textId="77777777" w:rsidR="002C1C35" w:rsidRPr="002C1C35" w:rsidRDefault="002C1C35" w:rsidP="0078371A">
            <w:pPr>
              <w:rPr>
                <w:rFonts w:cstheme="minorHAnsi"/>
                <w:sz w:val="20"/>
                <w:szCs w:val="20"/>
              </w:rPr>
            </w:pPr>
            <w:bookmarkStart w:id="52" w:name="_Hlk19830637"/>
            <w:r w:rsidRPr="002C1C35">
              <w:rPr>
                <w:rFonts w:eastAsia="+mn-ea" w:cstheme="minorHAnsi"/>
                <w:color w:val="000000"/>
                <w:kern w:val="24"/>
                <w:sz w:val="20"/>
                <w:szCs w:val="20"/>
                <w:lang w:eastAsia="en-AU"/>
              </w:rPr>
              <w:t>Figure 14</w:t>
            </w:r>
          </w:p>
        </w:tc>
        <w:tc>
          <w:tcPr>
            <w:tcW w:w="3450" w:type="dxa"/>
          </w:tcPr>
          <w:p w14:paraId="712BE3C7" w14:textId="77777777" w:rsidR="002C1C35" w:rsidRPr="002C1C35" w:rsidRDefault="002C1C35" w:rsidP="0078371A">
            <w:pPr>
              <w:rPr>
                <w:rFonts w:eastAsiaTheme="minorHAnsi" w:cstheme="minorHAnsi"/>
                <w:bCs/>
                <w:sz w:val="20"/>
                <w:szCs w:val="20"/>
              </w:rPr>
            </w:pPr>
            <w:r w:rsidRPr="002C1C35">
              <w:rPr>
                <w:rFonts w:eastAsiaTheme="minorHAnsi" w:cstheme="minorHAnsi"/>
                <w:bCs/>
                <w:sz w:val="20"/>
                <w:szCs w:val="20"/>
              </w:rPr>
              <w:t>Total Cases registered by Office</w:t>
            </w:r>
          </w:p>
        </w:tc>
        <w:tc>
          <w:tcPr>
            <w:tcW w:w="1182" w:type="dxa"/>
          </w:tcPr>
          <w:p w14:paraId="3BCE381D" w14:textId="77777777" w:rsidR="002C1C35" w:rsidRPr="002C1C35" w:rsidRDefault="002C1C35" w:rsidP="0078371A">
            <w:pPr>
              <w:rPr>
                <w:rFonts w:eastAsia="+mn-ea" w:cstheme="minorHAnsi"/>
                <w:color w:val="000000"/>
                <w:kern w:val="24"/>
                <w:sz w:val="20"/>
                <w:szCs w:val="20"/>
                <w:lang w:eastAsia="en-AU"/>
              </w:rPr>
            </w:pPr>
            <w:r w:rsidRPr="002C1C35">
              <w:rPr>
                <w:rFonts w:eastAsia="+mn-ea" w:cstheme="minorHAnsi"/>
                <w:color w:val="000000"/>
                <w:kern w:val="24"/>
                <w:sz w:val="20"/>
                <w:szCs w:val="20"/>
                <w:lang w:eastAsia="en-AU"/>
              </w:rPr>
              <w:t>Figure 36</w:t>
            </w:r>
          </w:p>
        </w:tc>
        <w:tc>
          <w:tcPr>
            <w:tcW w:w="3479" w:type="dxa"/>
          </w:tcPr>
          <w:p w14:paraId="714B7CE2" w14:textId="77777777" w:rsidR="002C1C35" w:rsidRPr="002C1C35" w:rsidRDefault="002C1C35" w:rsidP="0078371A">
            <w:pPr>
              <w:rPr>
                <w:rFonts w:eastAsia="+mn-ea" w:cstheme="minorHAnsi"/>
                <w:color w:val="000000"/>
                <w:kern w:val="24"/>
                <w:sz w:val="20"/>
                <w:szCs w:val="20"/>
                <w:lang w:eastAsia="en-AU"/>
              </w:rPr>
            </w:pPr>
            <w:r w:rsidRPr="002C1C35">
              <w:rPr>
                <w:noProof/>
                <w:sz w:val="20"/>
                <w:szCs w:val="20"/>
                <w:lang w:eastAsia="en-AU"/>
              </w:rPr>
              <w:t>Protection orders – average days to finalise (days)</w:t>
            </w:r>
          </w:p>
        </w:tc>
      </w:tr>
      <w:tr w:rsidR="002C1C35" w:rsidRPr="002C1C35" w14:paraId="06786EC3" w14:textId="77777777" w:rsidTr="0078371A">
        <w:tc>
          <w:tcPr>
            <w:tcW w:w="1098" w:type="dxa"/>
          </w:tcPr>
          <w:p w14:paraId="236A9E15" w14:textId="77777777" w:rsidR="002C1C35" w:rsidRPr="002C1C35" w:rsidRDefault="002C1C35" w:rsidP="0078371A">
            <w:pPr>
              <w:rPr>
                <w:rFonts w:cstheme="minorHAnsi"/>
                <w:sz w:val="20"/>
                <w:szCs w:val="20"/>
              </w:rPr>
            </w:pPr>
            <w:r w:rsidRPr="002C1C35">
              <w:rPr>
                <w:rFonts w:eastAsia="+mn-ea" w:cstheme="minorHAnsi"/>
                <w:color w:val="000000"/>
                <w:kern w:val="24"/>
                <w:sz w:val="20"/>
                <w:szCs w:val="20"/>
                <w:lang w:eastAsia="en-AU"/>
              </w:rPr>
              <w:t>Figure 15</w:t>
            </w:r>
          </w:p>
        </w:tc>
        <w:tc>
          <w:tcPr>
            <w:tcW w:w="3450" w:type="dxa"/>
          </w:tcPr>
          <w:p w14:paraId="4C3F4ACB" w14:textId="77777777" w:rsidR="002C1C35" w:rsidRPr="002C1C35" w:rsidRDefault="002C1C35" w:rsidP="0078371A">
            <w:pPr>
              <w:rPr>
                <w:rFonts w:eastAsiaTheme="minorHAnsi" w:cstheme="minorHAnsi"/>
                <w:bCs/>
                <w:sz w:val="20"/>
                <w:szCs w:val="20"/>
              </w:rPr>
            </w:pPr>
            <w:r w:rsidRPr="002C1C35">
              <w:rPr>
                <w:rFonts w:eastAsiaTheme="minorHAnsi" w:cstheme="minorHAnsi"/>
                <w:bCs/>
                <w:sz w:val="20"/>
                <w:szCs w:val="20"/>
              </w:rPr>
              <w:t>Total cases registered by major location</w:t>
            </w:r>
          </w:p>
        </w:tc>
        <w:tc>
          <w:tcPr>
            <w:tcW w:w="1182" w:type="dxa"/>
          </w:tcPr>
          <w:p w14:paraId="33252C4F" w14:textId="77777777" w:rsidR="002C1C35" w:rsidRPr="002C1C35" w:rsidRDefault="002C1C35" w:rsidP="0078371A">
            <w:pPr>
              <w:rPr>
                <w:rFonts w:eastAsia="+mn-ea" w:cstheme="minorHAnsi"/>
                <w:color w:val="000000"/>
                <w:kern w:val="24"/>
                <w:sz w:val="20"/>
                <w:szCs w:val="20"/>
                <w:lang w:eastAsia="en-AU"/>
              </w:rPr>
            </w:pPr>
            <w:r w:rsidRPr="002C1C35">
              <w:rPr>
                <w:rFonts w:eastAsia="+mn-ea" w:cstheme="minorHAnsi"/>
                <w:color w:val="000000"/>
                <w:kern w:val="24"/>
                <w:sz w:val="20"/>
                <w:szCs w:val="20"/>
                <w:lang w:eastAsia="en-AU"/>
              </w:rPr>
              <w:t>Figure 37</w:t>
            </w:r>
          </w:p>
        </w:tc>
        <w:tc>
          <w:tcPr>
            <w:tcW w:w="3479" w:type="dxa"/>
          </w:tcPr>
          <w:p w14:paraId="34218F04" w14:textId="77777777" w:rsidR="002C1C35" w:rsidRPr="002C1C35" w:rsidRDefault="002C1C35" w:rsidP="0078371A">
            <w:pPr>
              <w:rPr>
                <w:rFonts w:eastAsia="+mn-ea" w:cstheme="minorHAnsi"/>
                <w:color w:val="000000"/>
                <w:kern w:val="24"/>
                <w:sz w:val="20"/>
                <w:szCs w:val="20"/>
              </w:rPr>
            </w:pPr>
            <w:r w:rsidRPr="002C1C35">
              <w:rPr>
                <w:noProof/>
                <w:sz w:val="20"/>
                <w:szCs w:val="20"/>
                <w:lang w:eastAsia="en-AU"/>
              </w:rPr>
              <w:t>Average days from Date of Offence to Decision at Court</w:t>
            </w:r>
          </w:p>
        </w:tc>
      </w:tr>
      <w:tr w:rsidR="002C1C35" w:rsidRPr="002C1C35" w14:paraId="4D0F44DE" w14:textId="77777777" w:rsidTr="0078371A">
        <w:tc>
          <w:tcPr>
            <w:tcW w:w="1098" w:type="dxa"/>
          </w:tcPr>
          <w:p w14:paraId="553DEE4E" w14:textId="77777777" w:rsidR="002C1C35" w:rsidRPr="002C1C35" w:rsidRDefault="002C1C35" w:rsidP="0078371A">
            <w:pPr>
              <w:rPr>
                <w:rFonts w:eastAsia="+mn-ea" w:cstheme="minorHAnsi"/>
                <w:color w:val="000000"/>
                <w:kern w:val="24"/>
                <w:sz w:val="20"/>
                <w:szCs w:val="20"/>
                <w:lang w:eastAsia="en-AU"/>
              </w:rPr>
            </w:pPr>
            <w:r w:rsidRPr="002C1C35">
              <w:rPr>
                <w:rFonts w:eastAsia="+mn-ea" w:cstheme="minorHAnsi"/>
                <w:color w:val="000000"/>
                <w:kern w:val="24"/>
                <w:sz w:val="20"/>
                <w:szCs w:val="20"/>
                <w:lang w:eastAsia="en-AU"/>
              </w:rPr>
              <w:t>Figure 16</w:t>
            </w:r>
          </w:p>
        </w:tc>
        <w:tc>
          <w:tcPr>
            <w:tcW w:w="3450" w:type="dxa"/>
          </w:tcPr>
          <w:p w14:paraId="43EBFA68" w14:textId="77777777" w:rsidR="002C1C35" w:rsidRPr="002C1C35" w:rsidRDefault="002C1C35" w:rsidP="0078371A">
            <w:pPr>
              <w:rPr>
                <w:rFonts w:cstheme="minorHAnsi"/>
                <w:bCs/>
                <w:sz w:val="20"/>
                <w:szCs w:val="20"/>
              </w:rPr>
            </w:pPr>
            <w:r w:rsidRPr="002C1C35">
              <w:rPr>
                <w:rFonts w:cstheme="minorHAnsi"/>
                <w:bCs/>
                <w:sz w:val="20"/>
                <w:szCs w:val="20"/>
              </w:rPr>
              <w:t>OPP Offences registered</w:t>
            </w:r>
          </w:p>
        </w:tc>
        <w:tc>
          <w:tcPr>
            <w:tcW w:w="1182" w:type="dxa"/>
          </w:tcPr>
          <w:p w14:paraId="4EF239FA" w14:textId="77777777" w:rsidR="002C1C35" w:rsidRPr="002C1C35" w:rsidRDefault="002C1C35" w:rsidP="0078371A">
            <w:pPr>
              <w:rPr>
                <w:rFonts w:eastAsia="+mn-ea" w:cstheme="minorHAnsi"/>
                <w:color w:val="000000"/>
                <w:kern w:val="24"/>
                <w:sz w:val="20"/>
                <w:szCs w:val="20"/>
                <w:lang w:eastAsia="en-AU"/>
              </w:rPr>
            </w:pPr>
            <w:r w:rsidRPr="002C1C35">
              <w:rPr>
                <w:rFonts w:eastAsia="+mn-ea" w:cstheme="minorHAnsi"/>
                <w:color w:val="000000"/>
                <w:kern w:val="24"/>
                <w:sz w:val="20"/>
                <w:szCs w:val="20"/>
                <w:lang w:eastAsia="en-AU"/>
              </w:rPr>
              <w:t>Figure 38</w:t>
            </w:r>
          </w:p>
        </w:tc>
        <w:tc>
          <w:tcPr>
            <w:tcW w:w="3479" w:type="dxa"/>
          </w:tcPr>
          <w:p w14:paraId="3DA70FA0" w14:textId="77777777" w:rsidR="002C1C35" w:rsidRPr="002C1C35" w:rsidRDefault="002C1C35" w:rsidP="0078371A">
            <w:pPr>
              <w:rPr>
                <w:rFonts w:eastAsia="+mn-ea" w:cstheme="minorHAnsi"/>
                <w:color w:val="000000"/>
                <w:kern w:val="24"/>
                <w:sz w:val="20"/>
                <w:szCs w:val="20"/>
                <w:lang w:eastAsia="en-AU"/>
              </w:rPr>
            </w:pPr>
            <w:r w:rsidRPr="002C1C35">
              <w:rPr>
                <w:noProof/>
                <w:sz w:val="20"/>
                <w:szCs w:val="20"/>
                <w:lang w:eastAsia="en-AU"/>
              </w:rPr>
              <w:t>Number of offences finalised</w:t>
            </w:r>
          </w:p>
        </w:tc>
      </w:tr>
      <w:tr w:rsidR="002C1C35" w:rsidRPr="002C1C35" w14:paraId="7450BA5D" w14:textId="77777777" w:rsidTr="0078371A">
        <w:tc>
          <w:tcPr>
            <w:tcW w:w="1098" w:type="dxa"/>
          </w:tcPr>
          <w:p w14:paraId="5DD1C706" w14:textId="77777777" w:rsidR="002C1C35" w:rsidRPr="002C1C35" w:rsidRDefault="002C1C35" w:rsidP="0078371A">
            <w:pPr>
              <w:rPr>
                <w:rFonts w:eastAsia="+mn-ea" w:cstheme="minorHAnsi"/>
                <w:color w:val="000000"/>
                <w:kern w:val="24"/>
                <w:sz w:val="20"/>
                <w:szCs w:val="20"/>
                <w:lang w:eastAsia="en-AU"/>
              </w:rPr>
            </w:pPr>
            <w:r w:rsidRPr="002C1C35">
              <w:rPr>
                <w:rFonts w:eastAsia="+mn-ea" w:cstheme="minorHAnsi"/>
                <w:color w:val="000000"/>
                <w:kern w:val="24"/>
                <w:sz w:val="20"/>
                <w:szCs w:val="20"/>
                <w:lang w:eastAsia="en-AU"/>
              </w:rPr>
              <w:t>Figure 17</w:t>
            </w:r>
          </w:p>
        </w:tc>
        <w:tc>
          <w:tcPr>
            <w:tcW w:w="3450" w:type="dxa"/>
          </w:tcPr>
          <w:p w14:paraId="53CD0ADE" w14:textId="77777777" w:rsidR="002C1C35" w:rsidRPr="002C1C35" w:rsidRDefault="002C1C35" w:rsidP="0078371A">
            <w:pPr>
              <w:rPr>
                <w:rFonts w:eastAsiaTheme="minorHAnsi" w:cstheme="minorHAnsi"/>
                <w:bCs/>
                <w:sz w:val="20"/>
                <w:szCs w:val="20"/>
              </w:rPr>
            </w:pPr>
            <w:r w:rsidRPr="002C1C35">
              <w:rPr>
                <w:rFonts w:eastAsiaTheme="minorHAnsi" w:cstheme="minorHAnsi"/>
                <w:bCs/>
                <w:sz w:val="20"/>
                <w:szCs w:val="20"/>
              </w:rPr>
              <w:t>SPD Offences registered b</w:t>
            </w:r>
          </w:p>
        </w:tc>
        <w:tc>
          <w:tcPr>
            <w:tcW w:w="1182" w:type="dxa"/>
          </w:tcPr>
          <w:p w14:paraId="7C26D0BE" w14:textId="77777777" w:rsidR="002C1C35" w:rsidRPr="002C1C35" w:rsidRDefault="002C1C35" w:rsidP="0078371A">
            <w:pPr>
              <w:rPr>
                <w:rFonts w:eastAsia="+mn-ea" w:cstheme="minorHAnsi"/>
                <w:color w:val="000000"/>
                <w:kern w:val="24"/>
                <w:sz w:val="20"/>
                <w:szCs w:val="20"/>
                <w:lang w:eastAsia="en-AU"/>
              </w:rPr>
            </w:pPr>
          </w:p>
        </w:tc>
        <w:tc>
          <w:tcPr>
            <w:tcW w:w="3479" w:type="dxa"/>
          </w:tcPr>
          <w:p w14:paraId="78231104" w14:textId="77777777" w:rsidR="002C1C35" w:rsidRPr="002C1C35" w:rsidRDefault="002C1C35" w:rsidP="0078371A">
            <w:pPr>
              <w:rPr>
                <w:rFonts w:eastAsia="+mn-ea" w:cstheme="minorHAnsi"/>
                <w:color w:val="000000"/>
                <w:kern w:val="24"/>
                <w:sz w:val="20"/>
                <w:szCs w:val="20"/>
                <w:lang w:eastAsia="en-AU"/>
              </w:rPr>
            </w:pPr>
          </w:p>
        </w:tc>
      </w:tr>
      <w:tr w:rsidR="002C1C35" w:rsidRPr="002C1C35" w14:paraId="31BCD76F" w14:textId="77777777" w:rsidTr="0078371A">
        <w:tc>
          <w:tcPr>
            <w:tcW w:w="4548" w:type="dxa"/>
            <w:gridSpan w:val="2"/>
          </w:tcPr>
          <w:p w14:paraId="580A81FC" w14:textId="77777777" w:rsidR="002C1C35" w:rsidRPr="002C1C35" w:rsidRDefault="002C1C35" w:rsidP="0078371A">
            <w:pPr>
              <w:rPr>
                <w:rFonts w:eastAsia="Times New Roman" w:cstheme="minorHAnsi"/>
                <w:sz w:val="20"/>
                <w:szCs w:val="20"/>
                <w:lang w:eastAsia="en-AU"/>
              </w:rPr>
            </w:pPr>
            <w:r w:rsidRPr="002C1C35">
              <w:rPr>
                <w:rFonts w:eastAsia="+mn-ea" w:cstheme="minorHAnsi"/>
                <w:b/>
                <w:color w:val="44546A" w:themeColor="text2"/>
                <w:kern w:val="24"/>
                <w:sz w:val="20"/>
                <w:szCs w:val="20"/>
                <w:lang w:eastAsia="en-AU"/>
              </w:rPr>
              <w:t>Court – 2016 to 2019 (estimated full year)</w:t>
            </w:r>
          </w:p>
        </w:tc>
        <w:tc>
          <w:tcPr>
            <w:tcW w:w="1182" w:type="dxa"/>
          </w:tcPr>
          <w:p w14:paraId="262998A9" w14:textId="77777777" w:rsidR="002C1C35" w:rsidRPr="002C1C35" w:rsidRDefault="002C1C35" w:rsidP="0078371A">
            <w:pPr>
              <w:rPr>
                <w:rFonts w:eastAsia="+mn-ea" w:cstheme="minorHAnsi"/>
                <w:color w:val="000000"/>
                <w:kern w:val="24"/>
                <w:sz w:val="20"/>
                <w:szCs w:val="20"/>
                <w:lang w:eastAsia="en-AU"/>
              </w:rPr>
            </w:pPr>
          </w:p>
        </w:tc>
        <w:tc>
          <w:tcPr>
            <w:tcW w:w="3479" w:type="dxa"/>
          </w:tcPr>
          <w:p w14:paraId="24D24564" w14:textId="77777777" w:rsidR="002C1C35" w:rsidRPr="002C1C35" w:rsidRDefault="002C1C35" w:rsidP="0078371A">
            <w:pPr>
              <w:rPr>
                <w:rFonts w:eastAsia="+mn-ea" w:cstheme="minorHAnsi"/>
                <w:color w:val="000000"/>
                <w:kern w:val="24"/>
                <w:sz w:val="20"/>
                <w:szCs w:val="20"/>
                <w:lang w:eastAsia="en-AU"/>
              </w:rPr>
            </w:pPr>
          </w:p>
        </w:tc>
      </w:tr>
      <w:bookmarkEnd w:id="52"/>
      <w:tr w:rsidR="002C1C35" w:rsidRPr="002C1C35" w14:paraId="4958A976" w14:textId="77777777" w:rsidTr="0078371A">
        <w:tc>
          <w:tcPr>
            <w:tcW w:w="1098" w:type="dxa"/>
          </w:tcPr>
          <w:p w14:paraId="34A18974" w14:textId="77777777" w:rsidR="002C1C35" w:rsidRPr="002C1C35" w:rsidRDefault="002C1C35" w:rsidP="0078371A">
            <w:pPr>
              <w:rPr>
                <w:rFonts w:cstheme="minorHAnsi"/>
                <w:sz w:val="20"/>
                <w:szCs w:val="20"/>
              </w:rPr>
            </w:pPr>
            <w:r w:rsidRPr="002C1C35">
              <w:rPr>
                <w:rFonts w:eastAsia="+mn-ea" w:cstheme="minorHAnsi"/>
                <w:color w:val="000000"/>
                <w:kern w:val="24"/>
                <w:sz w:val="20"/>
                <w:szCs w:val="20"/>
                <w:lang w:eastAsia="en-AU"/>
              </w:rPr>
              <w:t>Figure 18</w:t>
            </w:r>
          </w:p>
        </w:tc>
        <w:tc>
          <w:tcPr>
            <w:tcW w:w="3450" w:type="dxa"/>
          </w:tcPr>
          <w:p w14:paraId="3422EF99" w14:textId="77777777" w:rsidR="002C1C35" w:rsidRPr="002C1C35" w:rsidRDefault="002C1C35" w:rsidP="0078371A">
            <w:pPr>
              <w:rPr>
                <w:rFonts w:eastAsia="+mn-ea" w:cstheme="minorHAnsi"/>
                <w:color w:val="000000"/>
                <w:kern w:val="24"/>
                <w:sz w:val="20"/>
                <w:szCs w:val="20"/>
              </w:rPr>
            </w:pPr>
            <w:r w:rsidRPr="002C1C35">
              <w:rPr>
                <w:rFonts w:eastAsia="+mn-ea" w:cstheme="minorHAnsi"/>
                <w:color w:val="000000"/>
                <w:kern w:val="24"/>
                <w:sz w:val="20"/>
                <w:szCs w:val="20"/>
                <w:lang w:eastAsia="en-AU"/>
              </w:rPr>
              <w:t xml:space="preserve">Criminal - Magistrates’ Court </w:t>
            </w:r>
          </w:p>
        </w:tc>
        <w:tc>
          <w:tcPr>
            <w:tcW w:w="1182" w:type="dxa"/>
          </w:tcPr>
          <w:p w14:paraId="3B4E8CDC" w14:textId="77777777" w:rsidR="002C1C35" w:rsidRPr="002C1C35" w:rsidRDefault="002C1C35" w:rsidP="0078371A">
            <w:pPr>
              <w:rPr>
                <w:rFonts w:eastAsia="+mn-ea" w:cstheme="minorHAnsi"/>
                <w:color w:val="000000"/>
                <w:kern w:val="24"/>
                <w:sz w:val="20"/>
                <w:szCs w:val="20"/>
                <w:lang w:eastAsia="en-AU"/>
              </w:rPr>
            </w:pPr>
          </w:p>
        </w:tc>
        <w:tc>
          <w:tcPr>
            <w:tcW w:w="3479" w:type="dxa"/>
          </w:tcPr>
          <w:p w14:paraId="4F7EAA50" w14:textId="77777777" w:rsidR="002C1C35" w:rsidRPr="002C1C35" w:rsidRDefault="002C1C35" w:rsidP="0078371A">
            <w:pPr>
              <w:rPr>
                <w:rFonts w:eastAsia="+mn-ea" w:cstheme="minorHAnsi"/>
                <w:color w:val="000000"/>
                <w:kern w:val="24"/>
                <w:sz w:val="20"/>
                <w:szCs w:val="20"/>
                <w:lang w:eastAsia="en-AU"/>
              </w:rPr>
            </w:pPr>
          </w:p>
        </w:tc>
      </w:tr>
      <w:tr w:rsidR="002C1C35" w:rsidRPr="002C1C35" w14:paraId="68F4E92E" w14:textId="77777777" w:rsidTr="0078371A">
        <w:tc>
          <w:tcPr>
            <w:tcW w:w="1098" w:type="dxa"/>
          </w:tcPr>
          <w:p w14:paraId="6969EB02" w14:textId="77777777" w:rsidR="002C1C35" w:rsidRPr="002C1C35" w:rsidRDefault="002C1C35" w:rsidP="0078371A">
            <w:pPr>
              <w:rPr>
                <w:rFonts w:cstheme="minorHAnsi"/>
                <w:sz w:val="20"/>
                <w:szCs w:val="20"/>
              </w:rPr>
            </w:pPr>
            <w:r w:rsidRPr="002C1C35">
              <w:rPr>
                <w:rFonts w:eastAsia="+mn-ea" w:cstheme="minorHAnsi"/>
                <w:color w:val="000000"/>
                <w:kern w:val="24"/>
                <w:sz w:val="20"/>
                <w:szCs w:val="20"/>
                <w:lang w:eastAsia="en-AU"/>
              </w:rPr>
              <w:t>Figure 19</w:t>
            </w:r>
          </w:p>
        </w:tc>
        <w:tc>
          <w:tcPr>
            <w:tcW w:w="3450" w:type="dxa"/>
          </w:tcPr>
          <w:p w14:paraId="1F698F15" w14:textId="77777777" w:rsidR="002C1C35" w:rsidRPr="002C1C35" w:rsidRDefault="002C1C35" w:rsidP="0078371A">
            <w:pPr>
              <w:rPr>
                <w:rFonts w:eastAsia="+mn-ea" w:cstheme="minorHAnsi"/>
                <w:color w:val="000000"/>
                <w:kern w:val="24"/>
                <w:sz w:val="20"/>
                <w:szCs w:val="20"/>
              </w:rPr>
            </w:pPr>
            <w:r w:rsidRPr="002C1C35">
              <w:rPr>
                <w:rFonts w:eastAsia="+mn-ea" w:cstheme="minorHAnsi"/>
                <w:color w:val="000000"/>
                <w:kern w:val="24"/>
                <w:sz w:val="20"/>
                <w:szCs w:val="20"/>
                <w:lang w:eastAsia="en-AU"/>
              </w:rPr>
              <w:t>Protection Orders - Magistrates’ Court</w:t>
            </w:r>
          </w:p>
        </w:tc>
        <w:tc>
          <w:tcPr>
            <w:tcW w:w="1182" w:type="dxa"/>
          </w:tcPr>
          <w:p w14:paraId="2FA2ECED" w14:textId="77777777" w:rsidR="002C1C35" w:rsidRPr="002C1C35" w:rsidRDefault="002C1C35" w:rsidP="0078371A">
            <w:pPr>
              <w:rPr>
                <w:rFonts w:eastAsia="+mn-ea" w:cstheme="minorHAnsi"/>
                <w:color w:val="000000"/>
                <w:kern w:val="24"/>
                <w:sz w:val="20"/>
                <w:szCs w:val="20"/>
                <w:lang w:eastAsia="en-AU"/>
              </w:rPr>
            </w:pPr>
          </w:p>
        </w:tc>
        <w:tc>
          <w:tcPr>
            <w:tcW w:w="3479" w:type="dxa"/>
          </w:tcPr>
          <w:p w14:paraId="186800D7" w14:textId="77777777" w:rsidR="002C1C35" w:rsidRPr="002C1C35" w:rsidRDefault="002C1C35" w:rsidP="0078371A">
            <w:pPr>
              <w:rPr>
                <w:rFonts w:eastAsia="+mn-ea" w:cstheme="minorHAnsi"/>
                <w:color w:val="000000"/>
                <w:kern w:val="24"/>
                <w:sz w:val="20"/>
                <w:szCs w:val="20"/>
                <w:lang w:eastAsia="en-AU"/>
              </w:rPr>
            </w:pPr>
          </w:p>
        </w:tc>
      </w:tr>
      <w:tr w:rsidR="002C1C35" w:rsidRPr="002C1C35" w14:paraId="4C991D04" w14:textId="77777777" w:rsidTr="0078371A">
        <w:tc>
          <w:tcPr>
            <w:tcW w:w="1098" w:type="dxa"/>
          </w:tcPr>
          <w:p w14:paraId="16A288F1" w14:textId="77777777" w:rsidR="002C1C35" w:rsidRPr="002C1C35" w:rsidRDefault="002C1C35" w:rsidP="0078371A">
            <w:pPr>
              <w:rPr>
                <w:rFonts w:eastAsia="+mn-ea" w:cstheme="minorHAnsi"/>
                <w:color w:val="000000"/>
                <w:kern w:val="24"/>
                <w:sz w:val="20"/>
                <w:szCs w:val="20"/>
                <w:lang w:eastAsia="en-AU"/>
              </w:rPr>
            </w:pPr>
            <w:r w:rsidRPr="002C1C35">
              <w:rPr>
                <w:rFonts w:eastAsia="+mn-ea" w:cstheme="minorHAnsi"/>
                <w:color w:val="000000"/>
                <w:kern w:val="24"/>
                <w:sz w:val="20"/>
                <w:szCs w:val="20"/>
                <w:lang w:eastAsia="en-AU"/>
              </w:rPr>
              <w:t>Figure 20</w:t>
            </w:r>
          </w:p>
        </w:tc>
        <w:tc>
          <w:tcPr>
            <w:tcW w:w="3450" w:type="dxa"/>
          </w:tcPr>
          <w:p w14:paraId="746C495C" w14:textId="77777777" w:rsidR="002C1C35" w:rsidRPr="002C1C35" w:rsidRDefault="002C1C35" w:rsidP="0078371A">
            <w:pPr>
              <w:rPr>
                <w:rFonts w:eastAsia="+mn-ea" w:cstheme="minorHAnsi"/>
                <w:color w:val="000000"/>
                <w:kern w:val="24"/>
                <w:sz w:val="20"/>
                <w:szCs w:val="20"/>
              </w:rPr>
            </w:pPr>
            <w:r w:rsidRPr="002C1C35">
              <w:rPr>
                <w:rFonts w:eastAsia="+mn-ea" w:cstheme="minorHAnsi"/>
                <w:color w:val="000000"/>
                <w:kern w:val="24"/>
                <w:sz w:val="20"/>
                <w:szCs w:val="20"/>
                <w:lang w:eastAsia="en-AU"/>
              </w:rPr>
              <w:t>Preliminary Investigation -</w:t>
            </w:r>
            <w:r>
              <w:rPr>
                <w:rFonts w:eastAsia="+mn-ea" w:cstheme="minorHAnsi"/>
                <w:color w:val="000000"/>
                <w:kern w:val="24"/>
                <w:sz w:val="20"/>
                <w:szCs w:val="20"/>
                <w:lang w:eastAsia="en-AU"/>
              </w:rPr>
              <w:t xml:space="preserve"> </w:t>
            </w:r>
            <w:r w:rsidRPr="002C1C35">
              <w:rPr>
                <w:rFonts w:eastAsia="+mn-ea" w:cstheme="minorHAnsi"/>
                <w:color w:val="000000"/>
                <w:kern w:val="24"/>
                <w:sz w:val="20"/>
                <w:szCs w:val="20"/>
                <w:lang w:eastAsia="en-AU"/>
              </w:rPr>
              <w:t>Magistrates’ Court</w:t>
            </w:r>
          </w:p>
        </w:tc>
        <w:tc>
          <w:tcPr>
            <w:tcW w:w="1182" w:type="dxa"/>
          </w:tcPr>
          <w:p w14:paraId="79473705" w14:textId="77777777" w:rsidR="002C1C35" w:rsidRPr="002C1C35" w:rsidRDefault="002C1C35" w:rsidP="0078371A">
            <w:pPr>
              <w:rPr>
                <w:rFonts w:eastAsia="+mn-ea" w:cstheme="minorHAnsi"/>
                <w:color w:val="000000"/>
                <w:kern w:val="24"/>
                <w:sz w:val="20"/>
                <w:szCs w:val="20"/>
                <w:lang w:eastAsia="en-AU"/>
              </w:rPr>
            </w:pPr>
          </w:p>
        </w:tc>
        <w:tc>
          <w:tcPr>
            <w:tcW w:w="3479" w:type="dxa"/>
          </w:tcPr>
          <w:p w14:paraId="3C16AA89" w14:textId="77777777" w:rsidR="002C1C35" w:rsidRPr="002C1C35" w:rsidRDefault="002C1C35" w:rsidP="0078371A">
            <w:pPr>
              <w:rPr>
                <w:rFonts w:eastAsia="+mn-ea" w:cstheme="minorHAnsi"/>
                <w:color w:val="000000"/>
                <w:kern w:val="24"/>
                <w:sz w:val="20"/>
                <w:szCs w:val="20"/>
                <w:lang w:eastAsia="en-AU"/>
              </w:rPr>
            </w:pPr>
          </w:p>
        </w:tc>
      </w:tr>
      <w:tr w:rsidR="002C1C35" w:rsidRPr="002C1C35" w14:paraId="2A297CAA" w14:textId="77777777" w:rsidTr="0078371A">
        <w:tc>
          <w:tcPr>
            <w:tcW w:w="1098" w:type="dxa"/>
          </w:tcPr>
          <w:p w14:paraId="28FAF4BA" w14:textId="77777777" w:rsidR="002C1C35" w:rsidRPr="002C1C35" w:rsidRDefault="002C1C35" w:rsidP="0078371A">
            <w:pPr>
              <w:rPr>
                <w:rFonts w:cstheme="minorHAnsi"/>
                <w:sz w:val="20"/>
                <w:szCs w:val="20"/>
              </w:rPr>
            </w:pPr>
            <w:r w:rsidRPr="002C1C35">
              <w:rPr>
                <w:rFonts w:eastAsia="+mn-ea" w:cstheme="minorHAnsi"/>
                <w:color w:val="000000"/>
                <w:kern w:val="24"/>
                <w:sz w:val="20"/>
                <w:szCs w:val="20"/>
                <w:lang w:eastAsia="en-AU"/>
              </w:rPr>
              <w:t>Figure 21</w:t>
            </w:r>
          </w:p>
        </w:tc>
        <w:tc>
          <w:tcPr>
            <w:tcW w:w="3450" w:type="dxa"/>
          </w:tcPr>
          <w:p w14:paraId="3E8B47FB" w14:textId="77777777" w:rsidR="002C1C35" w:rsidRPr="002C1C35" w:rsidRDefault="002C1C35" w:rsidP="0078371A">
            <w:pPr>
              <w:rPr>
                <w:rFonts w:eastAsia="+mn-ea" w:cstheme="minorHAnsi"/>
                <w:color w:val="000000"/>
                <w:kern w:val="24"/>
                <w:sz w:val="20"/>
                <w:szCs w:val="20"/>
              </w:rPr>
            </w:pPr>
            <w:r w:rsidRPr="002C1C35">
              <w:rPr>
                <w:rFonts w:eastAsia="+mn-ea" w:cstheme="minorHAnsi"/>
                <w:color w:val="000000"/>
                <w:kern w:val="24"/>
                <w:sz w:val="20"/>
                <w:szCs w:val="20"/>
                <w:lang w:eastAsia="en-AU"/>
              </w:rPr>
              <w:t xml:space="preserve">Criminal - Supreme Court </w:t>
            </w:r>
          </w:p>
        </w:tc>
        <w:tc>
          <w:tcPr>
            <w:tcW w:w="1182" w:type="dxa"/>
          </w:tcPr>
          <w:p w14:paraId="00553BCF" w14:textId="77777777" w:rsidR="002C1C35" w:rsidRPr="002C1C35" w:rsidRDefault="002C1C35" w:rsidP="0078371A">
            <w:pPr>
              <w:rPr>
                <w:rFonts w:eastAsia="+mn-ea" w:cstheme="minorHAnsi"/>
                <w:color w:val="000000"/>
                <w:kern w:val="24"/>
                <w:sz w:val="20"/>
                <w:szCs w:val="20"/>
                <w:lang w:eastAsia="en-AU"/>
              </w:rPr>
            </w:pPr>
          </w:p>
        </w:tc>
        <w:tc>
          <w:tcPr>
            <w:tcW w:w="3479" w:type="dxa"/>
          </w:tcPr>
          <w:p w14:paraId="60E41C95" w14:textId="77777777" w:rsidR="002C1C35" w:rsidRPr="002C1C35" w:rsidRDefault="002C1C35" w:rsidP="0078371A">
            <w:pPr>
              <w:rPr>
                <w:rFonts w:eastAsia="+mn-ea" w:cstheme="minorHAnsi"/>
                <w:color w:val="000000"/>
                <w:kern w:val="24"/>
                <w:sz w:val="20"/>
                <w:szCs w:val="20"/>
                <w:lang w:eastAsia="en-AU"/>
              </w:rPr>
            </w:pPr>
          </w:p>
        </w:tc>
      </w:tr>
      <w:tr w:rsidR="002C1C35" w:rsidRPr="002C1C35" w14:paraId="4BDAE821" w14:textId="77777777" w:rsidTr="0078371A">
        <w:tc>
          <w:tcPr>
            <w:tcW w:w="1098" w:type="dxa"/>
          </w:tcPr>
          <w:p w14:paraId="14A04347" w14:textId="77777777" w:rsidR="002C1C35" w:rsidRPr="002C1C35" w:rsidRDefault="002C1C35" w:rsidP="0078371A">
            <w:pPr>
              <w:rPr>
                <w:rFonts w:cstheme="minorHAnsi"/>
                <w:sz w:val="20"/>
                <w:szCs w:val="20"/>
              </w:rPr>
            </w:pPr>
            <w:r w:rsidRPr="002C1C35">
              <w:rPr>
                <w:rFonts w:eastAsia="+mn-ea" w:cstheme="minorHAnsi"/>
                <w:color w:val="000000"/>
                <w:kern w:val="24"/>
                <w:sz w:val="20"/>
                <w:szCs w:val="20"/>
                <w:lang w:eastAsia="en-AU"/>
              </w:rPr>
              <w:t>Figure 22</w:t>
            </w:r>
          </w:p>
        </w:tc>
        <w:tc>
          <w:tcPr>
            <w:tcW w:w="3450" w:type="dxa"/>
          </w:tcPr>
          <w:p w14:paraId="6341B323" w14:textId="77777777" w:rsidR="002C1C35" w:rsidRPr="002C1C35" w:rsidRDefault="002C1C35" w:rsidP="0078371A">
            <w:pPr>
              <w:rPr>
                <w:rFonts w:eastAsia="+mn-ea" w:cstheme="minorHAnsi"/>
                <w:color w:val="000000"/>
                <w:kern w:val="24"/>
                <w:sz w:val="20"/>
                <w:szCs w:val="20"/>
              </w:rPr>
            </w:pPr>
            <w:r w:rsidRPr="002C1C35">
              <w:rPr>
                <w:rFonts w:eastAsia="+mn-ea" w:cstheme="minorHAnsi"/>
                <w:color w:val="000000"/>
                <w:kern w:val="24"/>
                <w:sz w:val="20"/>
                <w:szCs w:val="20"/>
                <w:lang w:eastAsia="en-AU"/>
              </w:rPr>
              <w:t xml:space="preserve">Criminal - Island Court </w:t>
            </w:r>
          </w:p>
        </w:tc>
        <w:tc>
          <w:tcPr>
            <w:tcW w:w="1182" w:type="dxa"/>
          </w:tcPr>
          <w:p w14:paraId="6A823654" w14:textId="77777777" w:rsidR="002C1C35" w:rsidRPr="002C1C35" w:rsidRDefault="002C1C35" w:rsidP="0078371A">
            <w:pPr>
              <w:rPr>
                <w:rFonts w:eastAsia="+mn-ea" w:cstheme="minorHAnsi"/>
                <w:color w:val="000000"/>
                <w:kern w:val="24"/>
                <w:sz w:val="20"/>
                <w:szCs w:val="20"/>
                <w:lang w:eastAsia="en-AU"/>
              </w:rPr>
            </w:pPr>
          </w:p>
        </w:tc>
        <w:tc>
          <w:tcPr>
            <w:tcW w:w="3479" w:type="dxa"/>
          </w:tcPr>
          <w:p w14:paraId="206B34F2" w14:textId="77777777" w:rsidR="002C1C35" w:rsidRPr="002C1C35" w:rsidRDefault="002C1C35" w:rsidP="0078371A">
            <w:pPr>
              <w:rPr>
                <w:rFonts w:eastAsia="+mn-ea" w:cstheme="minorHAnsi"/>
                <w:color w:val="000000"/>
                <w:kern w:val="24"/>
                <w:sz w:val="20"/>
                <w:szCs w:val="20"/>
                <w:lang w:eastAsia="en-AU"/>
              </w:rPr>
            </w:pPr>
          </w:p>
        </w:tc>
      </w:tr>
      <w:tr w:rsidR="002C1C35" w:rsidRPr="002C1C35" w14:paraId="65F6EEAD" w14:textId="77777777" w:rsidTr="0078371A">
        <w:tc>
          <w:tcPr>
            <w:tcW w:w="1098" w:type="dxa"/>
          </w:tcPr>
          <w:p w14:paraId="28080704" w14:textId="77777777" w:rsidR="002C1C35" w:rsidRPr="002C1C35" w:rsidRDefault="002C1C35" w:rsidP="0078371A">
            <w:pPr>
              <w:rPr>
                <w:rFonts w:eastAsia="+mn-ea" w:cstheme="minorHAnsi"/>
                <w:color w:val="000000"/>
                <w:kern w:val="24"/>
                <w:sz w:val="20"/>
                <w:szCs w:val="20"/>
                <w:lang w:eastAsia="en-AU"/>
              </w:rPr>
            </w:pPr>
            <w:r w:rsidRPr="002C1C35">
              <w:rPr>
                <w:rFonts w:eastAsia="+mn-ea" w:cstheme="minorHAnsi"/>
                <w:color w:val="000000"/>
                <w:kern w:val="24"/>
                <w:sz w:val="20"/>
                <w:szCs w:val="20"/>
                <w:lang w:eastAsia="en-AU"/>
              </w:rPr>
              <w:t>Figure 23</w:t>
            </w:r>
          </w:p>
        </w:tc>
        <w:tc>
          <w:tcPr>
            <w:tcW w:w="3450" w:type="dxa"/>
          </w:tcPr>
          <w:p w14:paraId="5701F3CD" w14:textId="77777777" w:rsidR="002C1C35" w:rsidRPr="002C1C35" w:rsidRDefault="002C1C35" w:rsidP="0078371A">
            <w:pPr>
              <w:rPr>
                <w:rFonts w:eastAsia="+mn-ea" w:cstheme="minorHAnsi"/>
                <w:color w:val="000000"/>
                <w:kern w:val="24"/>
                <w:sz w:val="20"/>
                <w:szCs w:val="20"/>
              </w:rPr>
            </w:pPr>
            <w:r w:rsidRPr="002C1C35">
              <w:rPr>
                <w:rFonts w:eastAsia="+mn-ea" w:cstheme="minorHAnsi"/>
                <w:color w:val="000000"/>
                <w:kern w:val="24"/>
                <w:sz w:val="20"/>
                <w:szCs w:val="20"/>
                <w:lang w:eastAsia="en-AU"/>
              </w:rPr>
              <w:t xml:space="preserve">Total volumes </w:t>
            </w:r>
          </w:p>
        </w:tc>
        <w:tc>
          <w:tcPr>
            <w:tcW w:w="1182" w:type="dxa"/>
          </w:tcPr>
          <w:p w14:paraId="00F2E707" w14:textId="77777777" w:rsidR="002C1C35" w:rsidRPr="002C1C35" w:rsidRDefault="002C1C35" w:rsidP="0078371A">
            <w:pPr>
              <w:rPr>
                <w:rFonts w:eastAsia="+mn-ea" w:cstheme="minorHAnsi"/>
                <w:color w:val="000000"/>
                <w:kern w:val="24"/>
                <w:sz w:val="20"/>
                <w:szCs w:val="20"/>
                <w:lang w:eastAsia="en-AU"/>
              </w:rPr>
            </w:pPr>
          </w:p>
        </w:tc>
        <w:tc>
          <w:tcPr>
            <w:tcW w:w="3479" w:type="dxa"/>
          </w:tcPr>
          <w:p w14:paraId="0195AC12" w14:textId="77777777" w:rsidR="002C1C35" w:rsidRPr="002C1C35" w:rsidRDefault="002C1C35" w:rsidP="0078371A">
            <w:pPr>
              <w:rPr>
                <w:rFonts w:eastAsia="+mn-ea" w:cstheme="minorHAnsi"/>
                <w:color w:val="000000"/>
                <w:kern w:val="24"/>
                <w:sz w:val="20"/>
                <w:szCs w:val="20"/>
                <w:lang w:eastAsia="en-AU"/>
              </w:rPr>
            </w:pPr>
          </w:p>
        </w:tc>
      </w:tr>
      <w:tr w:rsidR="002C1C35" w:rsidRPr="002C1C35" w14:paraId="45B36AF7" w14:textId="77777777" w:rsidTr="0078371A">
        <w:tc>
          <w:tcPr>
            <w:tcW w:w="1098" w:type="dxa"/>
          </w:tcPr>
          <w:p w14:paraId="4D2F5AC4" w14:textId="77777777" w:rsidR="002C1C35" w:rsidRPr="002C1C35" w:rsidRDefault="002C1C35" w:rsidP="0078371A">
            <w:pPr>
              <w:rPr>
                <w:rFonts w:cstheme="minorHAnsi"/>
                <w:sz w:val="20"/>
                <w:szCs w:val="20"/>
              </w:rPr>
            </w:pPr>
            <w:r w:rsidRPr="002C1C35">
              <w:rPr>
                <w:rFonts w:eastAsia="+mn-ea" w:cstheme="minorHAnsi"/>
                <w:color w:val="000000"/>
                <w:kern w:val="24"/>
                <w:sz w:val="20"/>
                <w:szCs w:val="20"/>
                <w:lang w:eastAsia="en-AU"/>
              </w:rPr>
              <w:t>Figure 24</w:t>
            </w:r>
          </w:p>
        </w:tc>
        <w:tc>
          <w:tcPr>
            <w:tcW w:w="3450" w:type="dxa"/>
          </w:tcPr>
          <w:p w14:paraId="2CBA02B9" w14:textId="77777777" w:rsidR="002C1C35" w:rsidRPr="002C1C35" w:rsidRDefault="002C1C35" w:rsidP="0078371A">
            <w:pPr>
              <w:rPr>
                <w:rFonts w:eastAsia="+mn-ea" w:cstheme="minorHAnsi"/>
                <w:color w:val="000000"/>
                <w:kern w:val="24"/>
                <w:sz w:val="20"/>
                <w:szCs w:val="20"/>
                <w:lang w:eastAsia="en-AU"/>
              </w:rPr>
            </w:pPr>
            <w:r w:rsidRPr="002C1C35">
              <w:rPr>
                <w:rFonts w:eastAsia="+mn-ea" w:cstheme="minorHAnsi"/>
                <w:color w:val="000000"/>
                <w:kern w:val="24"/>
                <w:sz w:val="20"/>
                <w:szCs w:val="20"/>
                <w:lang w:eastAsia="en-AU"/>
              </w:rPr>
              <w:t>4 year annual % shift – case volumes</w:t>
            </w:r>
          </w:p>
        </w:tc>
        <w:tc>
          <w:tcPr>
            <w:tcW w:w="1182" w:type="dxa"/>
          </w:tcPr>
          <w:p w14:paraId="77072DCC" w14:textId="77777777" w:rsidR="002C1C35" w:rsidRPr="002C1C35" w:rsidRDefault="002C1C35" w:rsidP="0078371A">
            <w:pPr>
              <w:rPr>
                <w:rFonts w:eastAsia="+mn-ea" w:cstheme="minorHAnsi"/>
                <w:color w:val="000000"/>
                <w:kern w:val="24"/>
                <w:sz w:val="20"/>
                <w:szCs w:val="20"/>
                <w:lang w:eastAsia="en-AU"/>
              </w:rPr>
            </w:pPr>
          </w:p>
        </w:tc>
        <w:tc>
          <w:tcPr>
            <w:tcW w:w="3479" w:type="dxa"/>
          </w:tcPr>
          <w:p w14:paraId="6974ECF5" w14:textId="77777777" w:rsidR="002C1C35" w:rsidRPr="002C1C35" w:rsidRDefault="002C1C35" w:rsidP="0078371A">
            <w:pPr>
              <w:rPr>
                <w:rFonts w:eastAsia="+mn-ea" w:cstheme="minorHAnsi"/>
                <w:color w:val="000000"/>
                <w:kern w:val="24"/>
                <w:sz w:val="20"/>
                <w:szCs w:val="20"/>
                <w:lang w:eastAsia="en-AU"/>
              </w:rPr>
            </w:pPr>
          </w:p>
        </w:tc>
      </w:tr>
      <w:tr w:rsidR="002C1C35" w:rsidRPr="002C1C35" w14:paraId="542DC95D" w14:textId="77777777" w:rsidTr="0078371A">
        <w:tc>
          <w:tcPr>
            <w:tcW w:w="1098" w:type="dxa"/>
          </w:tcPr>
          <w:p w14:paraId="0F1B5828" w14:textId="77777777" w:rsidR="002C1C35" w:rsidRPr="002C1C35" w:rsidRDefault="002C1C35" w:rsidP="0078371A">
            <w:pPr>
              <w:rPr>
                <w:rFonts w:cstheme="minorHAnsi"/>
                <w:sz w:val="20"/>
                <w:szCs w:val="20"/>
              </w:rPr>
            </w:pPr>
            <w:r w:rsidRPr="002C1C35">
              <w:rPr>
                <w:rFonts w:eastAsia="+mn-ea" w:cstheme="minorHAnsi"/>
                <w:color w:val="000000"/>
                <w:kern w:val="24"/>
                <w:sz w:val="20"/>
                <w:szCs w:val="20"/>
                <w:lang w:eastAsia="en-AU"/>
              </w:rPr>
              <w:t>Figure 25</w:t>
            </w:r>
          </w:p>
        </w:tc>
        <w:tc>
          <w:tcPr>
            <w:tcW w:w="3450" w:type="dxa"/>
          </w:tcPr>
          <w:p w14:paraId="2711A284" w14:textId="77777777" w:rsidR="002C1C35" w:rsidRPr="002C1C35" w:rsidRDefault="002C1C35" w:rsidP="0078371A">
            <w:pPr>
              <w:rPr>
                <w:rFonts w:eastAsia="+mn-ea" w:cstheme="minorHAnsi"/>
                <w:color w:val="000000"/>
                <w:kern w:val="24"/>
                <w:sz w:val="20"/>
                <w:szCs w:val="20"/>
                <w:lang w:eastAsia="en-AU"/>
              </w:rPr>
            </w:pPr>
            <w:r w:rsidRPr="002C1C35">
              <w:rPr>
                <w:rFonts w:eastAsia="+mn-ea" w:cstheme="minorHAnsi"/>
                <w:color w:val="000000"/>
                <w:kern w:val="24"/>
                <w:sz w:val="20"/>
                <w:szCs w:val="20"/>
                <w:lang w:eastAsia="en-AU"/>
              </w:rPr>
              <w:t xml:space="preserve">Magistrates’ Court – key locations – Criminal and Protection Orders </w:t>
            </w:r>
          </w:p>
        </w:tc>
        <w:tc>
          <w:tcPr>
            <w:tcW w:w="1182" w:type="dxa"/>
          </w:tcPr>
          <w:p w14:paraId="6A946D54" w14:textId="77777777" w:rsidR="002C1C35" w:rsidRPr="002C1C35" w:rsidRDefault="002C1C35" w:rsidP="0078371A">
            <w:pPr>
              <w:rPr>
                <w:rFonts w:eastAsia="+mn-ea" w:cstheme="minorHAnsi"/>
                <w:color w:val="000000"/>
                <w:kern w:val="24"/>
                <w:sz w:val="20"/>
                <w:szCs w:val="20"/>
                <w:lang w:eastAsia="en-AU"/>
              </w:rPr>
            </w:pPr>
          </w:p>
        </w:tc>
        <w:tc>
          <w:tcPr>
            <w:tcW w:w="3479" w:type="dxa"/>
          </w:tcPr>
          <w:p w14:paraId="5B332560" w14:textId="77777777" w:rsidR="002C1C35" w:rsidRPr="002C1C35" w:rsidRDefault="002C1C35" w:rsidP="0078371A">
            <w:pPr>
              <w:rPr>
                <w:rFonts w:eastAsia="+mn-ea" w:cstheme="minorHAnsi"/>
                <w:color w:val="000000"/>
                <w:kern w:val="24"/>
                <w:sz w:val="20"/>
                <w:szCs w:val="20"/>
                <w:lang w:eastAsia="en-AU"/>
              </w:rPr>
            </w:pPr>
          </w:p>
        </w:tc>
      </w:tr>
    </w:tbl>
    <w:p w14:paraId="7B92C76E" w14:textId="77777777" w:rsidR="002C1C35" w:rsidRDefault="002C1C35" w:rsidP="0058366E">
      <w:pPr>
        <w:rPr>
          <w:rFonts w:ascii="Calibri" w:eastAsia="+mn-ea" w:hAnsi="Calibri" w:cs="+mn-cs"/>
          <w:b/>
          <w:color w:val="000000"/>
          <w:kern w:val="24"/>
          <w:lang w:val="en-US" w:eastAsia="en-AU"/>
        </w:rPr>
      </w:pPr>
    </w:p>
    <w:p w14:paraId="48F9AE36" w14:textId="77777777" w:rsidR="002C1C35" w:rsidRPr="00070A40" w:rsidRDefault="002C1C35" w:rsidP="0058366E">
      <w:pPr>
        <w:rPr>
          <w:rFonts w:ascii="Calibri" w:eastAsia="+mn-ea" w:hAnsi="Calibri" w:cs="+mn-cs"/>
          <w:b/>
          <w:color w:val="000000"/>
          <w:kern w:val="24"/>
          <w:lang w:val="en-US" w:eastAsia="en-AU"/>
        </w:rPr>
      </w:pPr>
      <w:r>
        <w:rPr>
          <w:rFonts w:ascii="Calibri" w:eastAsia="+mn-ea" w:hAnsi="Calibri" w:cs="+mn-cs"/>
          <w:b/>
          <w:color w:val="000000"/>
          <w:kern w:val="24"/>
          <w:lang w:val="en-US" w:eastAsia="en-AU"/>
        </w:rPr>
        <w:br w:type="page"/>
      </w:r>
    </w:p>
    <w:p w14:paraId="2D9D3325" w14:textId="77777777" w:rsidR="00CA07A0" w:rsidRPr="00CC152F" w:rsidRDefault="00CA07A0" w:rsidP="00661EA0">
      <w:pPr>
        <w:rPr>
          <w:b/>
          <w:noProof/>
          <w:color w:val="44546A" w:themeColor="text2"/>
          <w:lang w:eastAsia="en-AU"/>
        </w:rPr>
      </w:pPr>
      <w:r w:rsidRPr="00CC152F">
        <w:rPr>
          <w:b/>
          <w:noProof/>
          <w:color w:val="44546A" w:themeColor="text2"/>
          <w:lang w:eastAsia="en-AU"/>
        </w:rPr>
        <w:t>VPF</w:t>
      </w:r>
    </w:p>
    <w:p w14:paraId="02BFF101" w14:textId="77777777" w:rsidR="00CA07A0" w:rsidRPr="00CC152F" w:rsidRDefault="00CA07A0" w:rsidP="00CC152F">
      <w:pPr>
        <w:spacing w:after="0"/>
        <w:rPr>
          <w:b/>
          <w:noProof/>
          <w:lang w:eastAsia="en-AU"/>
        </w:rPr>
      </w:pPr>
      <w:r w:rsidRPr="00CC152F">
        <w:rPr>
          <w:b/>
          <w:noProof/>
          <w:lang w:eastAsia="en-AU"/>
        </w:rPr>
        <w:t>Figure 1: Incidents Reported VPF</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170"/>
      </w:tblGrid>
      <w:tr w:rsidR="00CA07A0" w:rsidRPr="00CA07A0" w14:paraId="4B1A0733" w14:textId="77777777" w:rsidTr="00DF7BD2">
        <w:tc>
          <w:tcPr>
            <w:tcW w:w="846" w:type="dxa"/>
          </w:tcPr>
          <w:p w14:paraId="188D6FAF" w14:textId="77777777" w:rsidR="00CA07A0" w:rsidRPr="00CA07A0" w:rsidRDefault="00CA07A0" w:rsidP="00661EA0">
            <w:pPr>
              <w:rPr>
                <w:rFonts w:eastAsia="Calibri" w:cstheme="minorHAnsi"/>
                <w:noProof/>
                <w:sz w:val="30"/>
                <w:szCs w:val="30"/>
                <w:lang w:eastAsia="en-AU"/>
              </w:rPr>
            </w:pPr>
            <w:r w:rsidRPr="00CA07A0">
              <w:rPr>
                <w:rFonts w:eastAsia="Calibri" w:cstheme="minorHAnsi"/>
                <w:noProof/>
                <w:color w:val="757575"/>
                <w:sz w:val="30"/>
                <w:szCs w:val="30"/>
                <w:lang w:eastAsia="en-AU"/>
              </w:rPr>
              <mc:AlternateContent>
                <mc:Choice Requires="wpg">
                  <w:drawing>
                    <wp:anchor distT="0" distB="0" distL="114300" distR="114300" simplePos="0" relativeHeight="251663360" behindDoc="0" locked="0" layoutInCell="1" allowOverlap="1" wp14:anchorId="349F5EF7" wp14:editId="610AFFE5">
                      <wp:simplePos x="0" y="0"/>
                      <wp:positionH relativeFrom="column">
                        <wp:posOffset>-23102</wp:posOffset>
                      </wp:positionH>
                      <wp:positionV relativeFrom="paragraph">
                        <wp:posOffset>46884</wp:posOffset>
                      </wp:positionV>
                      <wp:extent cx="372080" cy="508774"/>
                      <wp:effectExtent l="19050" t="19050" r="28575" b="24765"/>
                      <wp:wrapNone/>
                      <wp:docPr id="1" name="Group 9"/>
                      <wp:cNvGraphicFramePr/>
                      <a:graphic xmlns:a="http://schemas.openxmlformats.org/drawingml/2006/main">
                        <a:graphicData uri="http://schemas.microsoft.com/office/word/2010/wordprocessingGroup">
                          <wpg:wgp>
                            <wpg:cNvGrpSpPr/>
                            <wpg:grpSpPr>
                              <a:xfrm>
                                <a:off x="0" y="0"/>
                                <a:ext cx="372080" cy="508774"/>
                                <a:chOff x="0" y="0"/>
                                <a:chExt cx="609600" cy="1282700"/>
                              </a:xfrm>
                            </wpg:grpSpPr>
                            <wps:wsp>
                              <wps:cNvPr id="2" name="Rectangle 2"/>
                              <wps:cNvSpPr/>
                              <wps:spPr>
                                <a:xfrm>
                                  <a:off x="0" y="0"/>
                                  <a:ext cx="609600" cy="1282700"/>
                                </a:xfrm>
                                <a:prstGeom prst="rect">
                                  <a:avLst/>
                                </a:prstGeom>
                                <a:solidFill>
                                  <a:sysClr val="window" lastClr="FFFFFF"/>
                                </a:solidFill>
                                <a:ln w="38100" cap="flat" cmpd="sng" algn="ctr">
                                  <a:solidFill>
                                    <a:srgbClr val="4472C4">
                                      <a:shade val="50000"/>
                                    </a:srgbClr>
                                  </a:solidFill>
                                  <a:prstDash val="solid"/>
                                  <a:miter lim="800000"/>
                                </a:ln>
                                <a:effectLst/>
                              </wps:spPr>
                              <wps:bodyPr rtlCol="0" anchor="ctr"/>
                            </wps:wsp>
                            <wps:wsp>
                              <wps:cNvPr id="3" name="Oval 3"/>
                              <wps:cNvSpPr/>
                              <wps:spPr>
                                <a:xfrm>
                                  <a:off x="127000" y="101600"/>
                                  <a:ext cx="342900" cy="317500"/>
                                </a:xfrm>
                                <a:prstGeom prst="ellipse">
                                  <a:avLst/>
                                </a:prstGeom>
                                <a:solidFill>
                                  <a:sysClr val="window" lastClr="FFFFFF"/>
                                </a:solidFill>
                                <a:ln w="12700" cap="flat" cmpd="sng" algn="ctr">
                                  <a:solidFill>
                                    <a:srgbClr val="4472C4">
                                      <a:shade val="50000"/>
                                    </a:srgbClr>
                                  </a:solidFill>
                                  <a:prstDash val="solid"/>
                                  <a:miter lim="800000"/>
                                </a:ln>
                                <a:effectLst/>
                              </wps:spPr>
                              <wps:bodyPr rtlCol="0" anchor="ctr"/>
                            </wps:wsp>
                            <wps:wsp>
                              <wps:cNvPr id="4" name="Oval 4"/>
                              <wps:cNvSpPr/>
                              <wps:spPr>
                                <a:xfrm>
                                  <a:off x="127000" y="495300"/>
                                  <a:ext cx="342900" cy="317500"/>
                                </a:xfrm>
                                <a:prstGeom prst="ellipse">
                                  <a:avLst/>
                                </a:prstGeom>
                                <a:solidFill>
                                  <a:srgbClr val="FFFF00"/>
                                </a:solidFill>
                                <a:ln w="12700" cap="flat" cmpd="sng" algn="ctr">
                                  <a:solidFill>
                                    <a:srgbClr val="4472C4">
                                      <a:shade val="50000"/>
                                    </a:srgbClr>
                                  </a:solidFill>
                                  <a:prstDash val="solid"/>
                                  <a:miter lim="800000"/>
                                </a:ln>
                                <a:effectLst/>
                              </wps:spPr>
                              <wps:bodyPr rtlCol="0" anchor="ctr"/>
                            </wps:wsp>
                            <wps:wsp>
                              <wps:cNvPr id="6" name="Oval 6"/>
                              <wps:cNvSpPr/>
                              <wps:spPr>
                                <a:xfrm>
                                  <a:off x="127000" y="889000"/>
                                  <a:ext cx="342900" cy="317500"/>
                                </a:xfrm>
                                <a:prstGeom prst="ellipse">
                                  <a:avLst/>
                                </a:prstGeom>
                                <a:solidFill>
                                  <a:sysClr val="window" lastClr="FFFFFF"/>
                                </a:solidFill>
                                <a:ln w="12700" cap="flat" cmpd="sng" algn="ctr">
                                  <a:solidFill>
                                    <a:srgbClr val="4472C4">
                                      <a:shade val="50000"/>
                                    </a:srgbClr>
                                  </a:solidFill>
                                  <a:prstDash val="solid"/>
                                  <a:miter lim="800000"/>
                                </a:ln>
                                <a:effectLst/>
                              </wps:spPr>
                              <wps:bodyPr rtlCol="0" anchor="ct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D8E9A01" id="Group 9" o:spid="_x0000_s1026" style="position:absolute;margin-left:-1.8pt;margin-top:3.7pt;width:29.3pt;height:40.05pt;z-index:251663360;mso-width-relative:margin;mso-height-relative:margin" coordsize="6096,12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">
                      <v:rect id="Rectangle 2" o:spid="_x0000_s1027" style="position:absolute;width:6096;height:12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" fillcolor="window" strokecolor="#2f528f" strokeweight="3pt"/>
                      <v:oval id="Oval 3" o:spid="_x0000_s1028" style="position:absolute;left:1270;top:1016;width:342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" fillcolor="window" strokecolor="#2f528f" strokeweight="1pt">
                        <v:stroke joinstyle="miter"/>
                      </v:oval>
                      <v:oval id="Oval 4" o:spid="_x0000_s1029" style="position:absolute;left:1270;top:4953;width:342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" fillcolor="yellow" strokecolor="#2f528f" strokeweight="1pt">
                        <v:stroke joinstyle="miter"/>
                      </v:oval>
                      <v:oval id="Oval 6" o:spid="_x0000_s1030" style="position:absolute;left:1270;top:8890;width:342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" fillcolor="window" strokecolor="#2f528f" strokeweight="1pt">
                        <v:stroke joinstyle="miter"/>
                      </v:oval>
                    </v:group>
                  </w:pict>
                </mc:Fallback>
              </mc:AlternateContent>
            </w:r>
          </w:p>
        </w:tc>
        <w:tc>
          <w:tcPr>
            <w:tcW w:w="8170" w:type="dxa"/>
          </w:tcPr>
          <w:p w14:paraId="05024886" w14:textId="77777777" w:rsidR="00CD2401" w:rsidRDefault="00CA07A0" w:rsidP="00661EA0">
            <w:pPr>
              <w:rPr>
                <w:noProof/>
                <w:sz w:val="30"/>
                <w:szCs w:val="30"/>
                <w:lang w:eastAsia="en-AU"/>
              </w:rPr>
            </w:pPr>
            <w:r w:rsidRPr="00CA07A0">
              <w:rPr>
                <w:noProof/>
                <w:lang w:val="en-US" w:eastAsia="en-AU"/>
              </w:rPr>
              <w:t>A clear drop in incidents reported in 2017, followed by visible growth in 2018, while drop again in 2019 incident entries is of concern</w:t>
            </w:r>
            <w:r w:rsidRPr="00CA07A0">
              <w:rPr>
                <w:noProof/>
                <w:sz w:val="30"/>
                <w:szCs w:val="30"/>
                <w:lang w:eastAsia="en-AU"/>
              </w:rPr>
              <w:t xml:space="preserve"> </w:t>
            </w:r>
          </w:p>
          <w:p w14:paraId="43A4ECC9" w14:textId="77777777" w:rsidR="00CD2401" w:rsidRDefault="00CD2401" w:rsidP="00661EA0">
            <w:pPr>
              <w:rPr>
                <w:noProof/>
                <w:sz w:val="10"/>
                <w:szCs w:val="10"/>
                <w:lang w:eastAsia="en-AU"/>
              </w:rPr>
            </w:pPr>
          </w:p>
          <w:p w14:paraId="291CA606" w14:textId="77777777" w:rsidR="00CC152F" w:rsidRPr="00CD2401" w:rsidRDefault="00CC152F" w:rsidP="00661EA0">
            <w:pPr>
              <w:rPr>
                <w:noProof/>
                <w:sz w:val="10"/>
                <w:szCs w:val="10"/>
                <w:lang w:eastAsia="en-AU"/>
              </w:rPr>
            </w:pPr>
          </w:p>
        </w:tc>
      </w:tr>
    </w:tbl>
    <w:p w14:paraId="40931342" w14:textId="77777777" w:rsidR="00CA07A0" w:rsidRPr="00CA07A0" w:rsidRDefault="00CA07A0" w:rsidP="00661EA0">
      <w:pPr>
        <w:rPr>
          <w:rFonts w:eastAsia="Calibri" w:cstheme="minorHAnsi"/>
          <w:noProof/>
          <w:sz w:val="2"/>
          <w:szCs w:val="2"/>
          <w:lang w:eastAsia="en-AU"/>
        </w:rPr>
      </w:pPr>
    </w:p>
    <w:p w14:paraId="65569BBF" w14:textId="77777777" w:rsidR="00CA07A0" w:rsidRPr="00CA07A0" w:rsidRDefault="00CA07A0" w:rsidP="00661EA0">
      <w:pPr>
        <w:rPr>
          <w:noProof/>
          <w:lang w:eastAsia="en-AU"/>
        </w:rPr>
      </w:pPr>
      <w:r w:rsidRPr="00CA07A0">
        <w:rPr>
          <w:noProof/>
          <w:lang w:eastAsia="en-AU"/>
        </w:rPr>
        <w:drawing>
          <wp:inline distT="0" distB="0" distL="0" distR="0" wp14:anchorId="7E07F00B" wp14:editId="1190DFDE">
            <wp:extent cx="5731510" cy="3484064"/>
            <wp:effectExtent l="0" t="0" r="2540" b="2540"/>
            <wp:docPr id="5" name="Picture 4">
              <a:extLst xmlns:a="http://schemas.openxmlformats.org/drawingml/2006/main">
                <a:ext uri="{FF2B5EF4-FFF2-40B4-BE49-F238E27FC236}">
                  <a16:creationId xmlns:a16="http://schemas.microsoft.com/office/drawing/2014/main" id="{C3F93A56-6BCD-1B47-85C8-02D79C99D4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C3F93A56-6BCD-1B47-85C8-02D79C99D4A8}"/>
                        </a:ext>
                      </a:extLst>
                    </pic:cNvPr>
                    <pic:cNvPicPr>
                      <a:picLocks noChangeAspect="1"/>
                    </pic:cNvPicPr>
                  </pic:nvPicPr>
                  <pic:blipFill>
                    <a:blip r:embed="rId31"/>
                    <a:stretch>
                      <a:fillRect/>
                    </a:stretch>
                  </pic:blipFill>
                  <pic:spPr>
                    <a:xfrm>
                      <a:off x="0" y="0"/>
                      <a:ext cx="5731510" cy="3484064"/>
                    </a:xfrm>
                    <a:prstGeom prst="rect">
                      <a:avLst/>
                    </a:prstGeom>
                  </pic:spPr>
                </pic:pic>
              </a:graphicData>
            </a:graphic>
          </wp:inline>
        </w:drawing>
      </w:r>
    </w:p>
    <w:p w14:paraId="46A1E73F" w14:textId="77777777" w:rsidR="00CA07A0" w:rsidRPr="00CC152F" w:rsidRDefault="00CA07A0" w:rsidP="00CC152F">
      <w:pPr>
        <w:spacing w:after="0"/>
        <w:rPr>
          <w:b/>
          <w:noProof/>
          <w:lang w:eastAsia="en-AU"/>
        </w:rPr>
      </w:pPr>
      <w:r w:rsidRPr="00CC152F">
        <w:rPr>
          <w:b/>
          <w:noProof/>
          <w:lang w:eastAsia="en-AU"/>
        </w:rPr>
        <w:t>Figure 2: 10 year trend – Incident entries - VPF</w:t>
      </w:r>
    </w:p>
    <w:tbl>
      <w:tblPr>
        <w:tblStyle w:val="TableGrid1"/>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8"/>
        <w:gridCol w:w="7603"/>
      </w:tblGrid>
      <w:tr w:rsidR="00CA07A0" w:rsidRPr="00CA07A0" w14:paraId="76F91DF7" w14:textId="77777777" w:rsidTr="00DF7BD2">
        <w:tc>
          <w:tcPr>
            <w:tcW w:w="998" w:type="dxa"/>
          </w:tcPr>
          <w:p w14:paraId="4C313533" w14:textId="77777777" w:rsidR="00CA07A0" w:rsidRPr="00CA07A0" w:rsidRDefault="00CA07A0" w:rsidP="00661EA0">
            <w:pPr>
              <w:rPr>
                <w:rFonts w:eastAsia="Calibri" w:cstheme="minorHAnsi"/>
                <w:noProof/>
                <w:sz w:val="30"/>
                <w:szCs w:val="30"/>
                <w:lang w:eastAsia="en-AU"/>
              </w:rPr>
            </w:pPr>
            <w:r w:rsidRPr="00CA07A0">
              <w:rPr>
                <w:rFonts w:eastAsia="Calibri" w:cstheme="minorHAnsi"/>
                <w:noProof/>
                <w:sz w:val="30"/>
                <w:szCs w:val="30"/>
                <w:lang w:eastAsia="en-AU"/>
              </w:rPr>
              <mc:AlternateContent>
                <mc:Choice Requires="wpg">
                  <w:drawing>
                    <wp:anchor distT="0" distB="0" distL="114300" distR="114300" simplePos="0" relativeHeight="251664384" behindDoc="0" locked="0" layoutInCell="1" allowOverlap="1" wp14:anchorId="7DE90383" wp14:editId="6F38BDCF">
                      <wp:simplePos x="0" y="0"/>
                      <wp:positionH relativeFrom="column">
                        <wp:posOffset>5436</wp:posOffset>
                      </wp:positionH>
                      <wp:positionV relativeFrom="paragraph">
                        <wp:posOffset>6388</wp:posOffset>
                      </wp:positionV>
                      <wp:extent cx="403794" cy="535932"/>
                      <wp:effectExtent l="19050" t="19050" r="15875" b="17145"/>
                      <wp:wrapNone/>
                      <wp:docPr id="23" name="Group 6"/>
                      <wp:cNvGraphicFramePr/>
                      <a:graphic xmlns:a="http://schemas.openxmlformats.org/drawingml/2006/main">
                        <a:graphicData uri="http://schemas.microsoft.com/office/word/2010/wordprocessingGroup">
                          <wpg:wgp>
                            <wpg:cNvGrpSpPr/>
                            <wpg:grpSpPr>
                              <a:xfrm>
                                <a:off x="0" y="0"/>
                                <a:ext cx="403794" cy="535932"/>
                                <a:chOff x="0" y="0"/>
                                <a:chExt cx="609600" cy="1282700"/>
                              </a:xfrm>
                            </wpg:grpSpPr>
                            <wps:wsp>
                              <wps:cNvPr id="24" name="Rectangle 24"/>
                              <wps:cNvSpPr/>
                              <wps:spPr>
                                <a:xfrm>
                                  <a:off x="0" y="0"/>
                                  <a:ext cx="609600" cy="1282700"/>
                                </a:xfrm>
                                <a:prstGeom prst="rect">
                                  <a:avLst/>
                                </a:prstGeom>
                                <a:solidFill>
                                  <a:sysClr val="window" lastClr="FFFFFF"/>
                                </a:solidFill>
                                <a:ln w="38100" cap="flat" cmpd="sng" algn="ctr">
                                  <a:solidFill>
                                    <a:srgbClr val="4472C4">
                                      <a:shade val="50000"/>
                                    </a:srgbClr>
                                  </a:solidFill>
                                  <a:prstDash val="solid"/>
                                  <a:miter lim="800000"/>
                                </a:ln>
                                <a:effectLst/>
                              </wps:spPr>
                              <wps:bodyPr rtlCol="0" anchor="ctr"/>
                            </wps:wsp>
                            <wps:wsp>
                              <wps:cNvPr id="25" name="Oval 25"/>
                              <wps:cNvSpPr/>
                              <wps:spPr>
                                <a:xfrm>
                                  <a:off x="127000" y="101600"/>
                                  <a:ext cx="342900" cy="317500"/>
                                </a:xfrm>
                                <a:prstGeom prst="ellipse">
                                  <a:avLst/>
                                </a:prstGeom>
                                <a:solidFill>
                                  <a:sysClr val="window" lastClr="FFFFFF"/>
                                </a:solidFill>
                                <a:ln w="12700" cap="flat" cmpd="sng" algn="ctr">
                                  <a:solidFill>
                                    <a:srgbClr val="4472C4">
                                      <a:shade val="50000"/>
                                    </a:srgbClr>
                                  </a:solidFill>
                                  <a:prstDash val="solid"/>
                                  <a:miter lim="800000"/>
                                </a:ln>
                                <a:effectLst/>
                              </wps:spPr>
                              <wps:bodyPr rtlCol="0" anchor="ctr"/>
                            </wps:wsp>
                            <wps:wsp>
                              <wps:cNvPr id="26" name="Oval 26"/>
                              <wps:cNvSpPr/>
                              <wps:spPr>
                                <a:xfrm>
                                  <a:off x="127000" y="495300"/>
                                  <a:ext cx="342900" cy="317500"/>
                                </a:xfrm>
                                <a:prstGeom prst="ellipse">
                                  <a:avLst/>
                                </a:prstGeom>
                                <a:solidFill>
                                  <a:sysClr val="window" lastClr="FFFFFF"/>
                                </a:solidFill>
                                <a:ln w="12700" cap="flat" cmpd="sng" algn="ctr">
                                  <a:solidFill>
                                    <a:srgbClr val="4472C4">
                                      <a:shade val="50000"/>
                                    </a:srgbClr>
                                  </a:solidFill>
                                  <a:prstDash val="solid"/>
                                  <a:miter lim="800000"/>
                                </a:ln>
                                <a:effectLst/>
                              </wps:spPr>
                              <wps:bodyPr rtlCol="0" anchor="ctr"/>
                            </wps:wsp>
                            <wps:wsp>
                              <wps:cNvPr id="27" name="Oval 27"/>
                              <wps:cNvSpPr/>
                              <wps:spPr>
                                <a:xfrm>
                                  <a:off x="127000" y="889000"/>
                                  <a:ext cx="342900" cy="317500"/>
                                </a:xfrm>
                                <a:prstGeom prst="ellipse">
                                  <a:avLst/>
                                </a:prstGeom>
                                <a:solidFill>
                                  <a:srgbClr val="00B050"/>
                                </a:solidFill>
                                <a:ln w="12700" cap="flat" cmpd="sng" algn="ctr">
                                  <a:solidFill>
                                    <a:srgbClr val="4472C4">
                                      <a:shade val="50000"/>
                                    </a:srgbClr>
                                  </a:solidFill>
                                  <a:prstDash val="solid"/>
                                  <a:miter lim="800000"/>
                                </a:ln>
                                <a:effectLst/>
                              </wps:spPr>
                              <wps:bodyPr rtlCol="0" anchor="ct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6A9864E" id="Group 6" o:spid="_x0000_s1026" style="position:absolute;margin-left:.45pt;margin-top:.5pt;width:31.8pt;height:42.2pt;z-index:251664384;mso-width-relative:margin;mso-height-relative:margin" coordsize="6096,12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">
                      <v:rect id="Rectangle 24" o:spid="_x0000_s1027" style="position:absolute;width:6096;height:12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" fillcolor="window" strokecolor="#2f528f" strokeweight="3pt"/>
                      <v:oval id="Oval 25" o:spid="_x0000_s1028" style="position:absolute;left:1270;top:1016;width:342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" fillcolor="window" strokecolor="#2f528f" strokeweight="1pt">
                        <v:stroke joinstyle="miter"/>
                      </v:oval>
                      <v:oval id="Oval 26" o:spid="_x0000_s1029" style="position:absolute;left:1270;top:4953;width:342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" fillcolor="window" strokecolor="#2f528f" strokeweight="1pt">
                        <v:stroke joinstyle="miter"/>
                      </v:oval>
                      <v:oval id="Oval 27" o:spid="_x0000_s1030" style="position:absolute;left:1270;top:8890;width:342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" fillcolor="#00b050" strokecolor="#2f528f" strokeweight="1pt">
                        <v:stroke joinstyle="miter"/>
                      </v:oval>
                    </v:group>
                  </w:pict>
                </mc:Fallback>
              </mc:AlternateContent>
            </w:r>
          </w:p>
        </w:tc>
        <w:tc>
          <w:tcPr>
            <w:tcW w:w="7603" w:type="dxa"/>
          </w:tcPr>
          <w:p w14:paraId="16D2D326" w14:textId="77777777" w:rsidR="00CA07A0" w:rsidRDefault="00CA07A0" w:rsidP="00661EA0">
            <w:pPr>
              <w:rPr>
                <w:noProof/>
                <w:lang w:val="en-US" w:eastAsia="en-AU"/>
              </w:rPr>
            </w:pPr>
            <w:r w:rsidRPr="00224BC8">
              <w:rPr>
                <w:noProof/>
                <w:lang w:val="en-US" w:eastAsia="en-AU"/>
              </w:rPr>
              <w:t>Visible jump/improvement in total Reported Incidents since the introduction of PIMS in 2015 – a positive reflection in the use/up-take of PIMS</w:t>
            </w:r>
          </w:p>
          <w:p w14:paraId="30FB28AE" w14:textId="77777777" w:rsidR="00224BC8" w:rsidRDefault="00224BC8" w:rsidP="00661EA0">
            <w:pPr>
              <w:rPr>
                <w:noProof/>
                <w:lang w:eastAsia="en-AU"/>
              </w:rPr>
            </w:pPr>
          </w:p>
          <w:p w14:paraId="2E5466D1" w14:textId="77777777" w:rsidR="00CC152F" w:rsidRPr="00CC152F" w:rsidRDefault="00CC152F" w:rsidP="00661EA0">
            <w:pPr>
              <w:rPr>
                <w:noProof/>
                <w:sz w:val="10"/>
                <w:szCs w:val="10"/>
                <w:lang w:eastAsia="en-AU"/>
              </w:rPr>
            </w:pPr>
          </w:p>
        </w:tc>
      </w:tr>
    </w:tbl>
    <w:p w14:paraId="4DFF75DB" w14:textId="77777777" w:rsidR="00CA07A0" w:rsidRPr="00CA07A0" w:rsidRDefault="00CA07A0" w:rsidP="00661EA0">
      <w:pPr>
        <w:rPr>
          <w:lang w:eastAsia="en-AU"/>
        </w:rPr>
      </w:pPr>
      <w:r w:rsidRPr="00CA07A0">
        <w:rPr>
          <w:noProof/>
          <w:lang w:eastAsia="en-AU"/>
        </w:rPr>
        <w:drawing>
          <wp:inline distT="0" distB="0" distL="0" distR="0" wp14:anchorId="6ED6ACE7" wp14:editId="3CB3F9C0">
            <wp:extent cx="5724250" cy="2843196"/>
            <wp:effectExtent l="0" t="0" r="0" b="0"/>
            <wp:docPr id="12" name="Picture 1">
              <a:extLst xmlns:a="http://schemas.openxmlformats.org/drawingml/2006/main">
                <a:ext uri="{FF2B5EF4-FFF2-40B4-BE49-F238E27FC236}">
                  <a16:creationId xmlns:a16="http://schemas.microsoft.com/office/drawing/2014/main" id="{3E94D415-5E23-584B-9206-60C6CED993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3E94D415-5E23-584B-9206-60C6CED993E0}"/>
                        </a:ext>
                      </a:extLst>
                    </pic:cNvPr>
                    <pic:cNvPicPr>
                      <a:picLocks noChangeAspect="1"/>
                    </pic:cNvPicPr>
                  </pic:nvPicPr>
                  <pic:blipFill>
                    <a:blip r:embed="rId32"/>
                    <a:stretch>
                      <a:fillRect/>
                    </a:stretch>
                  </pic:blipFill>
                  <pic:spPr>
                    <a:xfrm>
                      <a:off x="0" y="0"/>
                      <a:ext cx="5769015" cy="2865430"/>
                    </a:xfrm>
                    <a:prstGeom prst="rect">
                      <a:avLst/>
                    </a:prstGeom>
                  </pic:spPr>
                </pic:pic>
              </a:graphicData>
            </a:graphic>
          </wp:inline>
        </w:drawing>
      </w:r>
    </w:p>
    <w:p w14:paraId="5C592667" w14:textId="77777777" w:rsidR="00CD2401" w:rsidRDefault="00CD2401" w:rsidP="00661EA0">
      <w:pPr>
        <w:rPr>
          <w:noProof/>
          <w:lang w:eastAsia="en-AU"/>
        </w:rPr>
      </w:pPr>
    </w:p>
    <w:p w14:paraId="63232112" w14:textId="77777777" w:rsidR="00CA07A0" w:rsidRPr="00CC152F" w:rsidRDefault="00CA07A0" w:rsidP="00CC152F">
      <w:pPr>
        <w:spacing w:after="0"/>
        <w:rPr>
          <w:b/>
          <w:noProof/>
          <w:lang w:eastAsia="en-AU"/>
        </w:rPr>
      </w:pPr>
      <w:r w:rsidRPr="00CC152F">
        <w:rPr>
          <w:b/>
          <w:noProof/>
          <w:lang w:eastAsia="en-AU"/>
        </w:rPr>
        <w:t>Figure 3: VPF Incident – Under Investigation versus finalised</w:t>
      </w:r>
    </w:p>
    <w:tbl>
      <w:tblPr>
        <w:tblStyle w:val="TableGrid1"/>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8"/>
        <w:gridCol w:w="7603"/>
      </w:tblGrid>
      <w:tr w:rsidR="00CA07A0" w:rsidRPr="00CA07A0" w14:paraId="060E41EE" w14:textId="77777777" w:rsidTr="00DF7BD2">
        <w:tc>
          <w:tcPr>
            <w:tcW w:w="998" w:type="dxa"/>
          </w:tcPr>
          <w:p w14:paraId="55B89FB5" w14:textId="77777777" w:rsidR="00CA07A0" w:rsidRPr="00CA07A0" w:rsidRDefault="00CA07A0" w:rsidP="00661EA0">
            <w:pPr>
              <w:rPr>
                <w:rFonts w:eastAsia="Calibri" w:cstheme="minorHAnsi"/>
                <w:noProof/>
                <w:color w:val="44546A" w:themeColor="text2"/>
                <w:sz w:val="30"/>
                <w:szCs w:val="30"/>
                <w:lang w:eastAsia="en-AU"/>
              </w:rPr>
            </w:pPr>
            <w:r w:rsidRPr="00CA07A0">
              <w:rPr>
                <w:rFonts w:eastAsia="Calibri" w:cstheme="minorHAnsi"/>
                <w:noProof/>
                <w:color w:val="44546A" w:themeColor="text2"/>
                <w:sz w:val="30"/>
                <w:szCs w:val="30"/>
                <w:lang w:eastAsia="en-AU"/>
              </w:rPr>
              <mc:AlternateContent>
                <mc:Choice Requires="wpg">
                  <w:drawing>
                    <wp:anchor distT="0" distB="0" distL="114300" distR="114300" simplePos="0" relativeHeight="251665408" behindDoc="0" locked="0" layoutInCell="1" allowOverlap="1" wp14:anchorId="5F8120E0" wp14:editId="77D72151">
                      <wp:simplePos x="0" y="0"/>
                      <wp:positionH relativeFrom="column">
                        <wp:posOffset>5436</wp:posOffset>
                      </wp:positionH>
                      <wp:positionV relativeFrom="paragraph">
                        <wp:posOffset>6388</wp:posOffset>
                      </wp:positionV>
                      <wp:extent cx="403794" cy="535932"/>
                      <wp:effectExtent l="19050" t="19050" r="15875" b="17145"/>
                      <wp:wrapNone/>
                      <wp:docPr id="28" name="Group 6"/>
                      <wp:cNvGraphicFramePr/>
                      <a:graphic xmlns:a="http://schemas.openxmlformats.org/drawingml/2006/main">
                        <a:graphicData uri="http://schemas.microsoft.com/office/word/2010/wordprocessingGroup">
                          <wpg:wgp>
                            <wpg:cNvGrpSpPr/>
                            <wpg:grpSpPr>
                              <a:xfrm>
                                <a:off x="0" y="0"/>
                                <a:ext cx="403794" cy="535932"/>
                                <a:chOff x="0" y="0"/>
                                <a:chExt cx="609600" cy="1282700"/>
                              </a:xfrm>
                            </wpg:grpSpPr>
                            <wps:wsp>
                              <wps:cNvPr id="29" name="Rectangle 29"/>
                              <wps:cNvSpPr/>
                              <wps:spPr>
                                <a:xfrm>
                                  <a:off x="0" y="0"/>
                                  <a:ext cx="609600" cy="1282700"/>
                                </a:xfrm>
                                <a:prstGeom prst="rect">
                                  <a:avLst/>
                                </a:prstGeom>
                                <a:solidFill>
                                  <a:sysClr val="window" lastClr="FFFFFF"/>
                                </a:solidFill>
                                <a:ln w="38100" cap="flat" cmpd="sng" algn="ctr">
                                  <a:solidFill>
                                    <a:srgbClr val="4472C4">
                                      <a:shade val="50000"/>
                                    </a:srgbClr>
                                  </a:solidFill>
                                  <a:prstDash val="solid"/>
                                  <a:miter lim="800000"/>
                                </a:ln>
                                <a:effectLst/>
                              </wps:spPr>
                              <wps:bodyPr rtlCol="0" anchor="ctr"/>
                            </wps:wsp>
                            <wps:wsp>
                              <wps:cNvPr id="30" name="Oval 30"/>
                              <wps:cNvSpPr/>
                              <wps:spPr>
                                <a:xfrm>
                                  <a:off x="127000" y="101600"/>
                                  <a:ext cx="342900" cy="317500"/>
                                </a:xfrm>
                                <a:prstGeom prst="ellipse">
                                  <a:avLst/>
                                </a:prstGeom>
                                <a:solidFill>
                                  <a:sysClr val="window" lastClr="FFFFFF"/>
                                </a:solidFill>
                                <a:ln w="12700" cap="flat" cmpd="sng" algn="ctr">
                                  <a:solidFill>
                                    <a:srgbClr val="4472C4">
                                      <a:shade val="50000"/>
                                    </a:srgbClr>
                                  </a:solidFill>
                                  <a:prstDash val="solid"/>
                                  <a:miter lim="800000"/>
                                </a:ln>
                                <a:effectLst/>
                              </wps:spPr>
                              <wps:bodyPr rtlCol="0" anchor="ctr"/>
                            </wps:wsp>
                            <wps:wsp>
                              <wps:cNvPr id="31" name="Oval 31"/>
                              <wps:cNvSpPr/>
                              <wps:spPr>
                                <a:xfrm>
                                  <a:off x="127000" y="495300"/>
                                  <a:ext cx="342900" cy="317500"/>
                                </a:xfrm>
                                <a:prstGeom prst="ellipse">
                                  <a:avLst/>
                                </a:prstGeom>
                                <a:solidFill>
                                  <a:sysClr val="window" lastClr="FFFFFF"/>
                                </a:solidFill>
                                <a:ln w="12700" cap="flat" cmpd="sng" algn="ctr">
                                  <a:solidFill>
                                    <a:srgbClr val="4472C4">
                                      <a:shade val="50000"/>
                                    </a:srgbClr>
                                  </a:solidFill>
                                  <a:prstDash val="solid"/>
                                  <a:miter lim="800000"/>
                                </a:ln>
                                <a:effectLst/>
                              </wps:spPr>
                              <wps:bodyPr rtlCol="0" anchor="ctr"/>
                            </wps:wsp>
                            <wps:wsp>
                              <wps:cNvPr id="32" name="Oval 32"/>
                              <wps:cNvSpPr/>
                              <wps:spPr>
                                <a:xfrm>
                                  <a:off x="127000" y="889000"/>
                                  <a:ext cx="342900" cy="317500"/>
                                </a:xfrm>
                                <a:prstGeom prst="ellipse">
                                  <a:avLst/>
                                </a:prstGeom>
                                <a:solidFill>
                                  <a:srgbClr val="00B050"/>
                                </a:solidFill>
                                <a:ln w="12700" cap="flat" cmpd="sng" algn="ctr">
                                  <a:solidFill>
                                    <a:srgbClr val="4472C4">
                                      <a:shade val="50000"/>
                                    </a:srgbClr>
                                  </a:solidFill>
                                  <a:prstDash val="solid"/>
                                  <a:miter lim="800000"/>
                                </a:ln>
                                <a:effectLst/>
                              </wps:spPr>
                              <wps:bodyPr rtlCol="0" anchor="ct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5CE2419" id="Group 6" o:spid="_x0000_s1026" style="position:absolute;margin-left:.45pt;margin-top:.5pt;width:31.8pt;height:42.2pt;z-index:251665408;mso-width-relative:margin;mso-height-relative:margin" coordsize="6096,12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">
                      <v:rect id="Rectangle 29" o:spid="_x0000_s1027" style="position:absolute;width:6096;height:12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" fillcolor="window" strokecolor="#2f528f" strokeweight="3pt"/>
                      <v:oval id="Oval 30" o:spid="_x0000_s1028" style="position:absolute;left:1270;top:1016;width:342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" fillcolor="window" strokecolor="#2f528f" strokeweight="1pt">
                        <v:stroke joinstyle="miter"/>
                      </v:oval>
                      <v:oval id="Oval 31" o:spid="_x0000_s1029" style="position:absolute;left:1270;top:4953;width:342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" fillcolor="window" strokecolor="#2f528f" strokeweight="1pt">
                        <v:stroke joinstyle="miter"/>
                      </v:oval>
                      <v:oval id="Oval 32" o:spid="_x0000_s1030" style="position:absolute;left:1270;top:8890;width:342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" fillcolor="#00b050" strokecolor="#2f528f" strokeweight="1pt">
                        <v:stroke joinstyle="miter"/>
                      </v:oval>
                    </v:group>
                  </w:pict>
                </mc:Fallback>
              </mc:AlternateContent>
            </w:r>
          </w:p>
        </w:tc>
        <w:tc>
          <w:tcPr>
            <w:tcW w:w="7603" w:type="dxa"/>
          </w:tcPr>
          <w:p w14:paraId="26D3B95F" w14:textId="77777777" w:rsidR="00CA07A0" w:rsidRDefault="00CA07A0" w:rsidP="00CC152F">
            <w:pPr>
              <w:spacing w:before="100"/>
              <w:rPr>
                <w:noProof/>
                <w:lang w:val="en-US" w:eastAsia="en-AU"/>
              </w:rPr>
            </w:pPr>
            <w:r w:rsidRPr="00224BC8">
              <w:rPr>
                <w:noProof/>
                <w:lang w:val="en-US" w:eastAsia="en-AU"/>
              </w:rPr>
              <w:t>Visible shift in # of cases being finalized as part of the VPF/AFP Clean-up activity of old incidents (a legacy of the former CRIMS system) – substantial improvement</w:t>
            </w:r>
          </w:p>
          <w:p w14:paraId="237B4A74" w14:textId="77777777" w:rsidR="00224BC8" w:rsidRPr="00224BC8" w:rsidRDefault="00224BC8" w:rsidP="00661EA0">
            <w:pPr>
              <w:rPr>
                <w:noProof/>
                <w:lang w:val="en-US" w:eastAsia="en-AU"/>
              </w:rPr>
            </w:pPr>
          </w:p>
          <w:p w14:paraId="4BE40EEB" w14:textId="77777777" w:rsidR="00CA07A0" w:rsidRPr="00CA07A0" w:rsidRDefault="00CA07A0" w:rsidP="00661EA0">
            <w:pPr>
              <w:rPr>
                <w:rFonts w:eastAsia="Calibri" w:cstheme="minorHAnsi"/>
                <w:noProof/>
                <w:sz w:val="2"/>
                <w:szCs w:val="2"/>
                <w:lang w:val="en-US" w:eastAsia="en-AU"/>
              </w:rPr>
            </w:pPr>
          </w:p>
          <w:p w14:paraId="071D31DB" w14:textId="77777777" w:rsidR="00CA07A0" w:rsidRPr="00CA07A0" w:rsidRDefault="00CA07A0" w:rsidP="00661EA0">
            <w:pPr>
              <w:rPr>
                <w:rFonts w:eastAsia="Calibri" w:cstheme="minorHAnsi"/>
                <w:noProof/>
                <w:sz w:val="2"/>
                <w:szCs w:val="2"/>
                <w:lang w:val="en-US" w:eastAsia="en-AU"/>
              </w:rPr>
            </w:pPr>
          </w:p>
        </w:tc>
      </w:tr>
    </w:tbl>
    <w:p w14:paraId="6C03F0BE" w14:textId="77777777" w:rsidR="00CA07A0" w:rsidRPr="00CA07A0" w:rsidRDefault="00CA07A0" w:rsidP="00661EA0">
      <w:pPr>
        <w:rPr>
          <w:lang w:eastAsia="en-AU"/>
        </w:rPr>
      </w:pPr>
      <w:r w:rsidRPr="00CA07A0">
        <w:rPr>
          <w:noProof/>
          <w:lang w:eastAsia="en-AU"/>
        </w:rPr>
        <w:drawing>
          <wp:inline distT="0" distB="0" distL="0" distR="0" wp14:anchorId="13260881" wp14:editId="3520FBE1">
            <wp:extent cx="5642610" cy="3571717"/>
            <wp:effectExtent l="0" t="0" r="0" b="0"/>
            <wp:docPr id="48" name="Picture 1">
              <a:extLst xmlns:a="http://schemas.openxmlformats.org/drawingml/2006/main">
                <a:ext uri="{FF2B5EF4-FFF2-40B4-BE49-F238E27FC236}">
                  <a16:creationId xmlns:a16="http://schemas.microsoft.com/office/drawing/2014/main" id="{A896C267-49C5-0D49-878D-757088248E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A896C267-49C5-0D49-878D-757088248ECC}"/>
                        </a:ext>
                      </a:extLst>
                    </pic:cNvPr>
                    <pic:cNvPicPr>
                      <a:picLocks noChangeAspect="1"/>
                    </pic:cNvPicPr>
                  </pic:nvPicPr>
                  <pic:blipFill>
                    <a:blip r:embed="rId33"/>
                    <a:stretch>
                      <a:fillRect/>
                    </a:stretch>
                  </pic:blipFill>
                  <pic:spPr>
                    <a:xfrm>
                      <a:off x="0" y="0"/>
                      <a:ext cx="5647821" cy="3575015"/>
                    </a:xfrm>
                    <a:prstGeom prst="rect">
                      <a:avLst/>
                    </a:prstGeom>
                  </pic:spPr>
                </pic:pic>
              </a:graphicData>
            </a:graphic>
          </wp:inline>
        </w:drawing>
      </w:r>
    </w:p>
    <w:p w14:paraId="6E37AC72" w14:textId="77777777" w:rsidR="00CD2401" w:rsidRDefault="00CD2401" w:rsidP="00661EA0">
      <w:pPr>
        <w:rPr>
          <w:b/>
          <w:noProof/>
          <w:lang w:eastAsia="en-AU"/>
        </w:rPr>
      </w:pPr>
    </w:p>
    <w:p w14:paraId="68DF8254" w14:textId="77777777" w:rsidR="00CA07A0" w:rsidRPr="00CD2401" w:rsidRDefault="00CA07A0" w:rsidP="00CC152F">
      <w:pPr>
        <w:spacing w:after="0"/>
        <w:rPr>
          <w:b/>
          <w:noProof/>
          <w:lang w:eastAsia="en-AU"/>
        </w:rPr>
      </w:pPr>
      <w:r w:rsidRPr="00CD2401">
        <w:rPr>
          <w:b/>
          <w:noProof/>
          <w:lang w:eastAsia="en-AU"/>
        </w:rPr>
        <w:t xml:space="preserve">Figure 4: Days to enter incident into PIMS </w:t>
      </w:r>
    </w:p>
    <w:tbl>
      <w:tblPr>
        <w:tblStyle w:val="TableGrid1"/>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6"/>
        <w:gridCol w:w="7603"/>
      </w:tblGrid>
      <w:tr w:rsidR="00CA07A0" w:rsidRPr="00CA07A0" w14:paraId="4051739E" w14:textId="77777777" w:rsidTr="00DF7BD2">
        <w:trPr>
          <w:trHeight w:val="251"/>
        </w:trPr>
        <w:tc>
          <w:tcPr>
            <w:tcW w:w="856" w:type="dxa"/>
          </w:tcPr>
          <w:p w14:paraId="6197C687" w14:textId="77777777" w:rsidR="00CA07A0" w:rsidRPr="00CA07A0" w:rsidRDefault="00CA07A0" w:rsidP="00661EA0">
            <w:pPr>
              <w:rPr>
                <w:rFonts w:eastAsia="Calibri" w:cstheme="minorHAnsi"/>
                <w:noProof/>
                <w:color w:val="44546A" w:themeColor="text2"/>
                <w:sz w:val="30"/>
                <w:szCs w:val="30"/>
                <w:lang w:eastAsia="en-AU"/>
              </w:rPr>
            </w:pPr>
            <w:r w:rsidRPr="00CA07A0">
              <w:rPr>
                <w:rFonts w:eastAsia="Calibri" w:cstheme="minorHAnsi"/>
                <w:noProof/>
                <w:color w:val="44546A" w:themeColor="text2"/>
                <w:sz w:val="30"/>
                <w:szCs w:val="30"/>
                <w:lang w:eastAsia="en-AU"/>
              </w:rPr>
              <mc:AlternateContent>
                <mc:Choice Requires="wpg">
                  <w:drawing>
                    <wp:anchor distT="0" distB="0" distL="114300" distR="114300" simplePos="0" relativeHeight="251666432" behindDoc="0" locked="0" layoutInCell="1" allowOverlap="1" wp14:anchorId="4D6BB75C" wp14:editId="38662F58">
                      <wp:simplePos x="0" y="0"/>
                      <wp:positionH relativeFrom="column">
                        <wp:posOffset>5436</wp:posOffset>
                      </wp:positionH>
                      <wp:positionV relativeFrom="paragraph">
                        <wp:posOffset>6388</wp:posOffset>
                      </wp:positionV>
                      <wp:extent cx="403794" cy="535932"/>
                      <wp:effectExtent l="19050" t="19050" r="15875" b="17145"/>
                      <wp:wrapNone/>
                      <wp:docPr id="7" name="Group 6"/>
                      <wp:cNvGraphicFramePr/>
                      <a:graphic xmlns:a="http://schemas.openxmlformats.org/drawingml/2006/main">
                        <a:graphicData uri="http://schemas.microsoft.com/office/word/2010/wordprocessingGroup">
                          <wpg:wgp>
                            <wpg:cNvGrpSpPr/>
                            <wpg:grpSpPr>
                              <a:xfrm>
                                <a:off x="0" y="0"/>
                                <a:ext cx="403794" cy="535932"/>
                                <a:chOff x="0" y="0"/>
                                <a:chExt cx="609600" cy="1282700"/>
                              </a:xfrm>
                            </wpg:grpSpPr>
                            <wps:wsp>
                              <wps:cNvPr id="8" name="Rectangle 8"/>
                              <wps:cNvSpPr/>
                              <wps:spPr>
                                <a:xfrm>
                                  <a:off x="0" y="0"/>
                                  <a:ext cx="609600" cy="1282700"/>
                                </a:xfrm>
                                <a:prstGeom prst="rect">
                                  <a:avLst/>
                                </a:prstGeom>
                                <a:solidFill>
                                  <a:sysClr val="window" lastClr="FFFFFF"/>
                                </a:solidFill>
                                <a:ln w="38100" cap="flat" cmpd="sng" algn="ctr">
                                  <a:solidFill>
                                    <a:srgbClr val="4472C4">
                                      <a:shade val="50000"/>
                                    </a:srgbClr>
                                  </a:solidFill>
                                  <a:prstDash val="solid"/>
                                  <a:miter lim="800000"/>
                                </a:ln>
                                <a:effectLst/>
                              </wps:spPr>
                              <wps:bodyPr rtlCol="0" anchor="ctr"/>
                            </wps:wsp>
                            <wps:wsp>
                              <wps:cNvPr id="9" name="Oval 9"/>
                              <wps:cNvSpPr/>
                              <wps:spPr>
                                <a:xfrm>
                                  <a:off x="127000" y="101600"/>
                                  <a:ext cx="342900" cy="317500"/>
                                </a:xfrm>
                                <a:prstGeom prst="ellipse">
                                  <a:avLst/>
                                </a:prstGeom>
                                <a:solidFill>
                                  <a:sysClr val="window" lastClr="FFFFFF"/>
                                </a:solidFill>
                                <a:ln w="12700" cap="flat" cmpd="sng" algn="ctr">
                                  <a:solidFill>
                                    <a:srgbClr val="4472C4">
                                      <a:shade val="50000"/>
                                    </a:srgbClr>
                                  </a:solidFill>
                                  <a:prstDash val="solid"/>
                                  <a:miter lim="800000"/>
                                </a:ln>
                                <a:effectLst/>
                              </wps:spPr>
                              <wps:bodyPr rtlCol="0" anchor="ctr"/>
                            </wps:wsp>
                            <wps:wsp>
                              <wps:cNvPr id="10" name="Oval 10"/>
                              <wps:cNvSpPr/>
                              <wps:spPr>
                                <a:xfrm>
                                  <a:off x="127000" y="495300"/>
                                  <a:ext cx="342900" cy="317500"/>
                                </a:xfrm>
                                <a:prstGeom prst="ellipse">
                                  <a:avLst/>
                                </a:prstGeom>
                                <a:solidFill>
                                  <a:sysClr val="window" lastClr="FFFFFF"/>
                                </a:solidFill>
                                <a:ln w="12700" cap="flat" cmpd="sng" algn="ctr">
                                  <a:solidFill>
                                    <a:srgbClr val="4472C4">
                                      <a:shade val="50000"/>
                                    </a:srgbClr>
                                  </a:solidFill>
                                  <a:prstDash val="solid"/>
                                  <a:miter lim="800000"/>
                                </a:ln>
                                <a:effectLst/>
                              </wps:spPr>
                              <wps:bodyPr rtlCol="0" anchor="ctr"/>
                            </wps:wsp>
                            <wps:wsp>
                              <wps:cNvPr id="11" name="Oval 11"/>
                              <wps:cNvSpPr/>
                              <wps:spPr>
                                <a:xfrm>
                                  <a:off x="127000" y="889000"/>
                                  <a:ext cx="342900" cy="317500"/>
                                </a:xfrm>
                                <a:prstGeom prst="ellipse">
                                  <a:avLst/>
                                </a:prstGeom>
                                <a:solidFill>
                                  <a:srgbClr val="00B050"/>
                                </a:solidFill>
                                <a:ln w="12700" cap="flat" cmpd="sng" algn="ctr">
                                  <a:solidFill>
                                    <a:srgbClr val="4472C4">
                                      <a:shade val="50000"/>
                                    </a:srgbClr>
                                  </a:solidFill>
                                  <a:prstDash val="solid"/>
                                  <a:miter lim="800000"/>
                                </a:ln>
                                <a:effectLst/>
                              </wps:spPr>
                              <wps:bodyPr rtlCol="0" anchor="ct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95BA833" id="Group 6" o:spid="_x0000_s1026" style="position:absolute;margin-left:.45pt;margin-top:.5pt;width:31.8pt;height:42.2pt;z-index:251666432;mso-width-relative:margin;mso-height-relative:margin" coordsize="6096,12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">
                      <v:rect id="Rectangle 8" o:spid="_x0000_s1027" style="position:absolute;width:6096;height:12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" fillcolor="window" strokecolor="#2f528f" strokeweight="3pt"/>
                      <v:oval id="Oval 9" o:spid="_x0000_s1028" style="position:absolute;left:1270;top:1016;width:342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" fillcolor="window" strokecolor="#2f528f" strokeweight="1pt">
                        <v:stroke joinstyle="miter"/>
                      </v:oval>
                      <v:oval id="Oval 10" o:spid="_x0000_s1029" style="position:absolute;left:1270;top:4953;width:342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" fillcolor="window" strokecolor="#2f528f" strokeweight="1pt">
                        <v:stroke joinstyle="miter"/>
                      </v:oval>
                      <v:oval id="Oval 11" o:spid="_x0000_s1030" style="position:absolute;left:1270;top:8890;width:342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" fillcolor="#00b050" strokecolor="#2f528f" strokeweight="1pt">
                        <v:stroke joinstyle="miter"/>
                      </v:oval>
                    </v:group>
                  </w:pict>
                </mc:Fallback>
              </mc:AlternateContent>
            </w:r>
          </w:p>
        </w:tc>
        <w:tc>
          <w:tcPr>
            <w:tcW w:w="7603" w:type="dxa"/>
          </w:tcPr>
          <w:p w14:paraId="16A8061B" w14:textId="77777777" w:rsidR="00CA07A0" w:rsidRDefault="00CA07A0" w:rsidP="00661EA0">
            <w:pPr>
              <w:rPr>
                <w:noProof/>
                <w:lang w:val="en-US" w:eastAsia="en-AU"/>
              </w:rPr>
            </w:pPr>
            <w:r w:rsidRPr="00224BC8">
              <w:rPr>
                <w:noProof/>
                <w:lang w:val="en-US" w:eastAsia="en-AU"/>
              </w:rPr>
              <w:t>Visible shift/reduction in time taken to enter incident reported into PIMS – now within 1 day at Port Vila station – 3 out of 4 times</w:t>
            </w:r>
          </w:p>
          <w:p w14:paraId="46FF0436" w14:textId="77777777" w:rsidR="008B3F16" w:rsidRPr="008B3F16" w:rsidRDefault="008B3F16" w:rsidP="00661EA0">
            <w:pPr>
              <w:rPr>
                <w:noProof/>
                <w:lang w:val="en-US" w:eastAsia="en-AU"/>
              </w:rPr>
            </w:pPr>
          </w:p>
        </w:tc>
      </w:tr>
    </w:tbl>
    <w:p w14:paraId="0FCD52BD" w14:textId="77777777" w:rsidR="00CA07A0" w:rsidRPr="00CA07A0" w:rsidRDefault="00CA07A0" w:rsidP="00661EA0">
      <w:pPr>
        <w:rPr>
          <w:lang w:eastAsia="en-AU"/>
        </w:rPr>
      </w:pPr>
      <w:r w:rsidRPr="00CA07A0">
        <w:rPr>
          <w:noProof/>
          <w:lang w:eastAsia="en-AU"/>
        </w:rPr>
        <w:drawing>
          <wp:inline distT="0" distB="0" distL="0" distR="0" wp14:anchorId="43332487" wp14:editId="1C0D158E">
            <wp:extent cx="5212080" cy="3303270"/>
            <wp:effectExtent l="0" t="0" r="7620" b="0"/>
            <wp:docPr id="49" name="Picture 3">
              <a:extLst xmlns:a="http://schemas.openxmlformats.org/drawingml/2006/main">
                <a:ext uri="{FF2B5EF4-FFF2-40B4-BE49-F238E27FC236}">
                  <a16:creationId xmlns:a16="http://schemas.microsoft.com/office/drawing/2014/main" id="{5DDC66D1-6E0D-8E49-9BE1-FBACFB5B11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5DDC66D1-6E0D-8E49-9BE1-FBACFB5B11F1}"/>
                        </a:ext>
                      </a:extLst>
                    </pic:cNvPr>
                    <pic:cNvPicPr>
                      <a:picLocks noChangeAspect="1"/>
                    </pic:cNvPicPr>
                  </pic:nvPicPr>
                  <pic:blipFill>
                    <a:blip r:embed="rId34"/>
                    <a:stretch>
                      <a:fillRect/>
                    </a:stretch>
                  </pic:blipFill>
                  <pic:spPr>
                    <a:xfrm>
                      <a:off x="0" y="0"/>
                      <a:ext cx="5221211" cy="3309057"/>
                    </a:xfrm>
                    <a:prstGeom prst="rect">
                      <a:avLst/>
                    </a:prstGeom>
                  </pic:spPr>
                </pic:pic>
              </a:graphicData>
            </a:graphic>
          </wp:inline>
        </w:drawing>
      </w:r>
    </w:p>
    <w:p w14:paraId="52EBC412" w14:textId="77777777" w:rsidR="00CA07A0" w:rsidRPr="00CD2401" w:rsidRDefault="00CA07A0" w:rsidP="00CC152F">
      <w:pPr>
        <w:spacing w:after="0"/>
        <w:rPr>
          <w:b/>
          <w:noProof/>
          <w:lang w:eastAsia="en-AU"/>
        </w:rPr>
      </w:pPr>
      <w:r w:rsidRPr="00CD2401">
        <w:rPr>
          <w:b/>
          <w:noProof/>
          <w:lang w:eastAsia="en-AU"/>
        </w:rPr>
        <w:t>Figure 5: Top 10 Offence categories</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170"/>
      </w:tblGrid>
      <w:tr w:rsidR="00CA07A0" w:rsidRPr="00CA07A0" w14:paraId="664FDDDD" w14:textId="77777777" w:rsidTr="00DF7BD2">
        <w:tc>
          <w:tcPr>
            <w:tcW w:w="846" w:type="dxa"/>
          </w:tcPr>
          <w:p w14:paraId="39CDD535" w14:textId="77777777" w:rsidR="00CA07A0" w:rsidRPr="00CA07A0" w:rsidRDefault="00CA07A0" w:rsidP="00661EA0">
            <w:pPr>
              <w:rPr>
                <w:rFonts w:eastAsia="Calibri" w:cstheme="minorHAnsi"/>
                <w:noProof/>
                <w:color w:val="44546A" w:themeColor="text2"/>
                <w:sz w:val="30"/>
                <w:szCs w:val="30"/>
                <w:lang w:eastAsia="en-AU"/>
              </w:rPr>
            </w:pPr>
            <w:r w:rsidRPr="00CA07A0">
              <w:rPr>
                <w:rFonts w:eastAsia="Calibri" w:cstheme="minorHAnsi"/>
                <w:noProof/>
                <w:color w:val="757575"/>
                <w:sz w:val="30"/>
                <w:szCs w:val="30"/>
                <w:lang w:eastAsia="en-AU"/>
              </w:rPr>
              <mc:AlternateContent>
                <mc:Choice Requires="wpg">
                  <w:drawing>
                    <wp:anchor distT="0" distB="0" distL="114300" distR="114300" simplePos="0" relativeHeight="251667456" behindDoc="0" locked="0" layoutInCell="1" allowOverlap="1" wp14:anchorId="3D009924" wp14:editId="5AFFC887">
                      <wp:simplePos x="0" y="0"/>
                      <wp:positionH relativeFrom="column">
                        <wp:posOffset>-23102</wp:posOffset>
                      </wp:positionH>
                      <wp:positionV relativeFrom="paragraph">
                        <wp:posOffset>46884</wp:posOffset>
                      </wp:positionV>
                      <wp:extent cx="372080" cy="508774"/>
                      <wp:effectExtent l="19050" t="19050" r="28575" b="24765"/>
                      <wp:wrapNone/>
                      <wp:docPr id="50" name="Group 9"/>
                      <wp:cNvGraphicFramePr/>
                      <a:graphic xmlns:a="http://schemas.openxmlformats.org/drawingml/2006/main">
                        <a:graphicData uri="http://schemas.microsoft.com/office/word/2010/wordprocessingGroup">
                          <wpg:wgp>
                            <wpg:cNvGrpSpPr/>
                            <wpg:grpSpPr>
                              <a:xfrm>
                                <a:off x="0" y="0"/>
                                <a:ext cx="372080" cy="508774"/>
                                <a:chOff x="0" y="0"/>
                                <a:chExt cx="609600" cy="1282700"/>
                              </a:xfrm>
                            </wpg:grpSpPr>
                            <wps:wsp>
                              <wps:cNvPr id="51" name="Rectangle 51"/>
                              <wps:cNvSpPr/>
                              <wps:spPr>
                                <a:xfrm>
                                  <a:off x="0" y="0"/>
                                  <a:ext cx="609600" cy="1282700"/>
                                </a:xfrm>
                                <a:prstGeom prst="rect">
                                  <a:avLst/>
                                </a:prstGeom>
                                <a:solidFill>
                                  <a:sysClr val="window" lastClr="FFFFFF"/>
                                </a:solidFill>
                                <a:ln w="38100" cap="flat" cmpd="sng" algn="ctr">
                                  <a:solidFill>
                                    <a:srgbClr val="4472C4">
                                      <a:shade val="50000"/>
                                    </a:srgbClr>
                                  </a:solidFill>
                                  <a:prstDash val="solid"/>
                                  <a:miter lim="800000"/>
                                </a:ln>
                                <a:effectLst/>
                              </wps:spPr>
                              <wps:bodyPr rtlCol="0" anchor="ctr"/>
                            </wps:wsp>
                            <wps:wsp>
                              <wps:cNvPr id="52" name="Oval 52"/>
                              <wps:cNvSpPr/>
                              <wps:spPr>
                                <a:xfrm>
                                  <a:off x="127000" y="101600"/>
                                  <a:ext cx="342900" cy="317500"/>
                                </a:xfrm>
                                <a:prstGeom prst="ellipse">
                                  <a:avLst/>
                                </a:prstGeom>
                                <a:solidFill>
                                  <a:sysClr val="window" lastClr="FFFFFF"/>
                                </a:solidFill>
                                <a:ln w="12700" cap="flat" cmpd="sng" algn="ctr">
                                  <a:solidFill>
                                    <a:srgbClr val="4472C4">
                                      <a:shade val="50000"/>
                                    </a:srgbClr>
                                  </a:solidFill>
                                  <a:prstDash val="solid"/>
                                  <a:miter lim="800000"/>
                                </a:ln>
                                <a:effectLst/>
                              </wps:spPr>
                              <wps:bodyPr rtlCol="0" anchor="ctr"/>
                            </wps:wsp>
                            <wps:wsp>
                              <wps:cNvPr id="53" name="Oval 53"/>
                              <wps:cNvSpPr/>
                              <wps:spPr>
                                <a:xfrm>
                                  <a:off x="127000" y="495300"/>
                                  <a:ext cx="342900" cy="317500"/>
                                </a:xfrm>
                                <a:prstGeom prst="ellipse">
                                  <a:avLst/>
                                </a:prstGeom>
                                <a:solidFill>
                                  <a:srgbClr val="FFFF00"/>
                                </a:solidFill>
                                <a:ln w="12700" cap="flat" cmpd="sng" algn="ctr">
                                  <a:solidFill>
                                    <a:srgbClr val="4472C4">
                                      <a:shade val="50000"/>
                                    </a:srgbClr>
                                  </a:solidFill>
                                  <a:prstDash val="solid"/>
                                  <a:miter lim="800000"/>
                                </a:ln>
                                <a:effectLst/>
                              </wps:spPr>
                              <wps:bodyPr rtlCol="0" anchor="ctr"/>
                            </wps:wsp>
                            <wps:wsp>
                              <wps:cNvPr id="54" name="Oval 54"/>
                              <wps:cNvSpPr/>
                              <wps:spPr>
                                <a:xfrm>
                                  <a:off x="127000" y="889000"/>
                                  <a:ext cx="342900" cy="317500"/>
                                </a:xfrm>
                                <a:prstGeom prst="ellipse">
                                  <a:avLst/>
                                </a:prstGeom>
                                <a:solidFill>
                                  <a:sysClr val="window" lastClr="FFFFFF"/>
                                </a:solidFill>
                                <a:ln w="12700" cap="flat" cmpd="sng" algn="ctr">
                                  <a:solidFill>
                                    <a:srgbClr val="4472C4">
                                      <a:shade val="50000"/>
                                    </a:srgbClr>
                                  </a:solidFill>
                                  <a:prstDash val="solid"/>
                                  <a:miter lim="800000"/>
                                </a:ln>
                                <a:effectLst/>
                              </wps:spPr>
                              <wps:bodyPr rtlCol="0" anchor="ct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5F2F30C" id="Group 9" o:spid="_x0000_s1026" style="position:absolute;margin-left:-1.8pt;margin-top:3.7pt;width:29.3pt;height:40.05pt;z-index:251667456;mso-width-relative:margin;mso-height-relative:margin" coordsize="6096,12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">
                      <v:rect id="Rectangle 51" o:spid="_x0000_s1027" style="position:absolute;width:6096;height:12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" fillcolor="window" strokecolor="#2f528f" strokeweight="3pt"/>
                      <v:oval id="Oval 52" o:spid="_x0000_s1028" style="position:absolute;left:1270;top:1016;width:342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" fillcolor="window" strokecolor="#2f528f" strokeweight="1pt">
                        <v:stroke joinstyle="miter"/>
                      </v:oval>
                      <v:oval id="Oval 53" o:spid="_x0000_s1029" style="position:absolute;left:1270;top:4953;width:342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" fillcolor="yellow" strokecolor="#2f528f" strokeweight="1pt">
                        <v:stroke joinstyle="miter"/>
                      </v:oval>
                      <v:oval id="Oval 54" o:spid="_x0000_s1030" style="position:absolute;left:1270;top:8890;width:342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" fillcolor="window" strokecolor="#2f528f" strokeweight="1pt">
                        <v:stroke joinstyle="miter"/>
                      </v:oval>
                    </v:group>
                  </w:pict>
                </mc:Fallback>
              </mc:AlternateContent>
            </w:r>
          </w:p>
        </w:tc>
        <w:tc>
          <w:tcPr>
            <w:tcW w:w="8170" w:type="dxa"/>
          </w:tcPr>
          <w:p w14:paraId="287936F6" w14:textId="77777777" w:rsidR="00CA07A0" w:rsidRPr="00CA07A0" w:rsidRDefault="00CA07A0" w:rsidP="00661EA0">
            <w:pPr>
              <w:rPr>
                <w:noProof/>
                <w:lang w:val="en-US" w:eastAsia="en-AU"/>
              </w:rPr>
            </w:pPr>
            <w:r w:rsidRPr="00CA07A0">
              <w:rPr>
                <w:noProof/>
                <w:lang w:val="en-US" w:eastAsia="en-AU"/>
              </w:rPr>
              <w:t>Actual offences reported – versus the overall incident – has varied over the last four years – now averaging only 1.5 offences per incident – versus 2 in 2015 and earlier. This maybe a reflection of more prudent charging by VPF officers</w:t>
            </w:r>
          </w:p>
          <w:p w14:paraId="4D3E33A3" w14:textId="77777777" w:rsidR="00CA07A0" w:rsidRPr="008B3F16" w:rsidRDefault="00CA07A0" w:rsidP="00661EA0">
            <w:pPr>
              <w:rPr>
                <w:sz w:val="10"/>
                <w:szCs w:val="10"/>
                <w:lang w:eastAsia="en-AU"/>
              </w:rPr>
            </w:pPr>
          </w:p>
        </w:tc>
      </w:tr>
    </w:tbl>
    <w:p w14:paraId="20FF4579" w14:textId="77777777" w:rsidR="00CA07A0" w:rsidRPr="00CA07A0" w:rsidRDefault="00CA07A0" w:rsidP="00661EA0">
      <w:pPr>
        <w:rPr>
          <w:noProof/>
          <w:lang w:eastAsia="en-AU"/>
        </w:rPr>
      </w:pPr>
      <w:r w:rsidRPr="00CA07A0">
        <w:rPr>
          <w:noProof/>
          <w:lang w:eastAsia="en-AU"/>
        </w:rPr>
        <w:drawing>
          <wp:inline distT="0" distB="0" distL="0" distR="0" wp14:anchorId="21BCC3B4" wp14:editId="61AC9001">
            <wp:extent cx="5731510" cy="3743325"/>
            <wp:effectExtent l="0" t="0" r="2540" b="9525"/>
            <wp:docPr id="55" name="Picture 1">
              <a:extLst xmlns:a="http://schemas.openxmlformats.org/drawingml/2006/main">
                <a:ext uri="{FF2B5EF4-FFF2-40B4-BE49-F238E27FC236}">
                  <a16:creationId xmlns:a16="http://schemas.microsoft.com/office/drawing/2014/main" id="{18B692D2-75D9-8244-8A2B-B274A78ADF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18B692D2-75D9-8244-8A2B-B274A78ADFA8}"/>
                        </a:ext>
                      </a:extLst>
                    </pic:cNvPr>
                    <pic:cNvPicPr>
                      <a:picLocks noChangeAspect="1"/>
                    </pic:cNvPicPr>
                  </pic:nvPicPr>
                  <pic:blipFill>
                    <a:blip r:embed="rId21"/>
                    <a:stretch>
                      <a:fillRect/>
                    </a:stretch>
                  </pic:blipFill>
                  <pic:spPr>
                    <a:xfrm>
                      <a:off x="0" y="0"/>
                      <a:ext cx="5731510" cy="3743325"/>
                    </a:xfrm>
                    <a:prstGeom prst="rect">
                      <a:avLst/>
                    </a:prstGeom>
                  </pic:spPr>
                </pic:pic>
              </a:graphicData>
            </a:graphic>
          </wp:inline>
        </w:drawing>
      </w:r>
    </w:p>
    <w:p w14:paraId="7C18F2CB" w14:textId="77777777" w:rsidR="00CA07A0" w:rsidRPr="00CD2401" w:rsidRDefault="00CA07A0" w:rsidP="00CC152F">
      <w:pPr>
        <w:spacing w:after="0"/>
        <w:rPr>
          <w:b/>
          <w:noProof/>
          <w:lang w:eastAsia="en-AU"/>
        </w:rPr>
      </w:pPr>
      <w:r w:rsidRPr="00CD2401">
        <w:rPr>
          <w:b/>
          <w:noProof/>
          <w:lang w:eastAsia="en-AU"/>
        </w:rPr>
        <w:t>Figure 6: Offence reported by province</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CA07A0" w:rsidRPr="00CA07A0" w14:paraId="78600518" w14:textId="77777777" w:rsidTr="009D4CDA">
        <w:tc>
          <w:tcPr>
            <w:tcW w:w="9016" w:type="dxa"/>
          </w:tcPr>
          <w:p w14:paraId="64274CA8" w14:textId="77777777" w:rsidR="00CA07A0" w:rsidRPr="00CA07A0" w:rsidRDefault="00CA07A0" w:rsidP="00661EA0">
            <w:pPr>
              <w:rPr>
                <w:lang w:val="en-US" w:eastAsia="en-AU"/>
              </w:rPr>
            </w:pPr>
            <w:r w:rsidRPr="00CA07A0">
              <w:rPr>
                <w:lang w:val="en-US" w:eastAsia="en-AU"/>
              </w:rPr>
              <w:t>Actual offences reported – versus the overall incident – has varied over the last four years – now averaging only 1.5 offences per incident – versus 2 in 2015 and earlier. This maybe a reflection of more prudent charging by VPF officers</w:t>
            </w:r>
          </w:p>
          <w:p w14:paraId="52B4AD0F" w14:textId="77777777" w:rsidR="00CA07A0" w:rsidRPr="00CA07A0" w:rsidRDefault="00CA07A0" w:rsidP="00661EA0">
            <w:pPr>
              <w:rPr>
                <w:sz w:val="10"/>
                <w:szCs w:val="10"/>
                <w:lang w:eastAsia="en-AU"/>
              </w:rPr>
            </w:pPr>
          </w:p>
        </w:tc>
      </w:tr>
    </w:tbl>
    <w:p w14:paraId="16B05219" w14:textId="77777777" w:rsidR="00CA07A0" w:rsidRPr="00CA07A0" w:rsidRDefault="00CA07A0" w:rsidP="00661EA0">
      <w:pPr>
        <w:rPr>
          <w:lang w:eastAsia="en-AU"/>
        </w:rPr>
      </w:pPr>
      <w:r w:rsidRPr="00CA07A0">
        <w:rPr>
          <w:noProof/>
          <w:lang w:eastAsia="en-AU"/>
        </w:rPr>
        <w:drawing>
          <wp:inline distT="0" distB="0" distL="0" distR="0" wp14:anchorId="341D585F" wp14:editId="64D3FE77">
            <wp:extent cx="5354327" cy="3286125"/>
            <wp:effectExtent l="0" t="0" r="0" b="0"/>
            <wp:docPr id="56" name="Picture 1">
              <a:extLst xmlns:a="http://schemas.openxmlformats.org/drawingml/2006/main">
                <a:ext uri="{FF2B5EF4-FFF2-40B4-BE49-F238E27FC236}">
                  <a16:creationId xmlns:a16="http://schemas.microsoft.com/office/drawing/2014/main" id="{F761D58B-9DAE-A740-9559-541E5EC59B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761D58B-9DAE-A740-9559-541E5EC59BBD}"/>
                        </a:ext>
                      </a:extLst>
                    </pic:cNvPr>
                    <pic:cNvPicPr>
                      <a:picLocks noChangeAspect="1"/>
                    </pic:cNvPicPr>
                  </pic:nvPicPr>
                  <pic:blipFill>
                    <a:blip r:embed="rId35"/>
                    <a:stretch>
                      <a:fillRect/>
                    </a:stretch>
                  </pic:blipFill>
                  <pic:spPr>
                    <a:xfrm>
                      <a:off x="0" y="0"/>
                      <a:ext cx="5362389" cy="3291073"/>
                    </a:xfrm>
                    <a:prstGeom prst="rect">
                      <a:avLst/>
                    </a:prstGeom>
                  </pic:spPr>
                </pic:pic>
              </a:graphicData>
            </a:graphic>
          </wp:inline>
        </w:drawing>
      </w:r>
    </w:p>
    <w:p w14:paraId="054A3D9C" w14:textId="77777777" w:rsidR="00CA07A0" w:rsidRPr="00CD2401" w:rsidRDefault="00CA07A0" w:rsidP="00CC152F">
      <w:pPr>
        <w:spacing w:after="0"/>
        <w:rPr>
          <w:b/>
          <w:noProof/>
          <w:lang w:eastAsia="en-AU"/>
        </w:rPr>
      </w:pPr>
      <w:r w:rsidRPr="00CD2401">
        <w:rPr>
          <w:b/>
          <w:noProof/>
          <w:lang w:eastAsia="en-AU"/>
        </w:rPr>
        <w:t>Figure 7: Offences assigned to VPF Units over last five years</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170"/>
      </w:tblGrid>
      <w:tr w:rsidR="00CA07A0" w:rsidRPr="00CA07A0" w14:paraId="6E790F9B" w14:textId="77777777" w:rsidTr="00DF7BD2">
        <w:tc>
          <w:tcPr>
            <w:tcW w:w="846" w:type="dxa"/>
          </w:tcPr>
          <w:p w14:paraId="0C2A49D0" w14:textId="77777777" w:rsidR="00CA07A0" w:rsidRPr="00CA07A0" w:rsidRDefault="00CA07A0" w:rsidP="00661EA0">
            <w:pPr>
              <w:rPr>
                <w:rFonts w:eastAsia="Calibri" w:cstheme="minorHAnsi"/>
                <w:noProof/>
                <w:color w:val="44546A" w:themeColor="text2"/>
                <w:sz w:val="30"/>
                <w:szCs w:val="30"/>
                <w:lang w:eastAsia="en-AU"/>
              </w:rPr>
            </w:pPr>
            <w:r w:rsidRPr="00CA07A0">
              <w:rPr>
                <w:rFonts w:eastAsia="Calibri" w:cstheme="minorHAnsi"/>
                <w:noProof/>
                <w:color w:val="757575"/>
                <w:sz w:val="30"/>
                <w:szCs w:val="30"/>
                <w:lang w:eastAsia="en-AU"/>
              </w:rPr>
              <mc:AlternateContent>
                <mc:Choice Requires="wpg">
                  <w:drawing>
                    <wp:anchor distT="0" distB="0" distL="114300" distR="114300" simplePos="0" relativeHeight="251668480" behindDoc="0" locked="0" layoutInCell="1" allowOverlap="1" wp14:anchorId="33D5FFC9" wp14:editId="33C292B8">
                      <wp:simplePos x="0" y="0"/>
                      <wp:positionH relativeFrom="column">
                        <wp:posOffset>-23102</wp:posOffset>
                      </wp:positionH>
                      <wp:positionV relativeFrom="paragraph">
                        <wp:posOffset>46884</wp:posOffset>
                      </wp:positionV>
                      <wp:extent cx="372080" cy="508774"/>
                      <wp:effectExtent l="19050" t="19050" r="28575" b="24765"/>
                      <wp:wrapNone/>
                      <wp:docPr id="62" name="Group 9"/>
                      <wp:cNvGraphicFramePr/>
                      <a:graphic xmlns:a="http://schemas.openxmlformats.org/drawingml/2006/main">
                        <a:graphicData uri="http://schemas.microsoft.com/office/word/2010/wordprocessingGroup">
                          <wpg:wgp>
                            <wpg:cNvGrpSpPr/>
                            <wpg:grpSpPr>
                              <a:xfrm>
                                <a:off x="0" y="0"/>
                                <a:ext cx="372080" cy="508774"/>
                                <a:chOff x="0" y="0"/>
                                <a:chExt cx="609600" cy="1282700"/>
                              </a:xfrm>
                            </wpg:grpSpPr>
                            <wps:wsp>
                              <wps:cNvPr id="63" name="Rectangle 63"/>
                              <wps:cNvSpPr/>
                              <wps:spPr>
                                <a:xfrm>
                                  <a:off x="0" y="0"/>
                                  <a:ext cx="609600" cy="1282700"/>
                                </a:xfrm>
                                <a:prstGeom prst="rect">
                                  <a:avLst/>
                                </a:prstGeom>
                                <a:solidFill>
                                  <a:sysClr val="window" lastClr="FFFFFF"/>
                                </a:solidFill>
                                <a:ln w="38100" cap="flat" cmpd="sng" algn="ctr">
                                  <a:solidFill>
                                    <a:srgbClr val="4472C4">
                                      <a:shade val="50000"/>
                                    </a:srgbClr>
                                  </a:solidFill>
                                  <a:prstDash val="solid"/>
                                  <a:miter lim="800000"/>
                                </a:ln>
                                <a:effectLst/>
                              </wps:spPr>
                              <wps:bodyPr rtlCol="0" anchor="ctr"/>
                            </wps:wsp>
                            <wps:wsp>
                              <wps:cNvPr id="64" name="Oval 64"/>
                              <wps:cNvSpPr/>
                              <wps:spPr>
                                <a:xfrm>
                                  <a:off x="127000" y="101600"/>
                                  <a:ext cx="342900" cy="317500"/>
                                </a:xfrm>
                                <a:prstGeom prst="ellipse">
                                  <a:avLst/>
                                </a:prstGeom>
                                <a:solidFill>
                                  <a:sysClr val="window" lastClr="FFFFFF"/>
                                </a:solidFill>
                                <a:ln w="12700" cap="flat" cmpd="sng" algn="ctr">
                                  <a:solidFill>
                                    <a:srgbClr val="4472C4">
                                      <a:shade val="50000"/>
                                    </a:srgbClr>
                                  </a:solidFill>
                                  <a:prstDash val="solid"/>
                                  <a:miter lim="800000"/>
                                </a:ln>
                                <a:effectLst/>
                              </wps:spPr>
                              <wps:bodyPr rtlCol="0" anchor="ctr"/>
                            </wps:wsp>
                            <wps:wsp>
                              <wps:cNvPr id="65" name="Oval 65"/>
                              <wps:cNvSpPr/>
                              <wps:spPr>
                                <a:xfrm>
                                  <a:off x="127000" y="495300"/>
                                  <a:ext cx="342900" cy="317500"/>
                                </a:xfrm>
                                <a:prstGeom prst="ellipse">
                                  <a:avLst/>
                                </a:prstGeom>
                                <a:solidFill>
                                  <a:srgbClr val="FFFF00"/>
                                </a:solidFill>
                                <a:ln w="12700" cap="flat" cmpd="sng" algn="ctr">
                                  <a:solidFill>
                                    <a:srgbClr val="4472C4">
                                      <a:shade val="50000"/>
                                    </a:srgbClr>
                                  </a:solidFill>
                                  <a:prstDash val="solid"/>
                                  <a:miter lim="800000"/>
                                </a:ln>
                                <a:effectLst/>
                              </wps:spPr>
                              <wps:bodyPr rtlCol="0" anchor="ctr"/>
                            </wps:wsp>
                            <wps:wsp>
                              <wps:cNvPr id="66" name="Oval 66"/>
                              <wps:cNvSpPr/>
                              <wps:spPr>
                                <a:xfrm>
                                  <a:off x="127000" y="889000"/>
                                  <a:ext cx="342900" cy="317500"/>
                                </a:xfrm>
                                <a:prstGeom prst="ellipse">
                                  <a:avLst/>
                                </a:prstGeom>
                                <a:solidFill>
                                  <a:sysClr val="window" lastClr="FFFFFF"/>
                                </a:solidFill>
                                <a:ln w="12700" cap="flat" cmpd="sng" algn="ctr">
                                  <a:solidFill>
                                    <a:srgbClr val="4472C4">
                                      <a:shade val="50000"/>
                                    </a:srgbClr>
                                  </a:solidFill>
                                  <a:prstDash val="solid"/>
                                  <a:miter lim="800000"/>
                                </a:ln>
                                <a:effectLst/>
                              </wps:spPr>
                              <wps:bodyPr rtlCol="0" anchor="ct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F598770" id="Group 9" o:spid="_x0000_s1026" style="position:absolute;margin-left:-1.8pt;margin-top:3.7pt;width:29.3pt;height:40.05pt;z-index:251668480;mso-width-relative:margin;mso-height-relative:margin" coordsize="6096,12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">
                      <v:rect id="Rectangle 63" o:spid="_x0000_s1027" style="position:absolute;width:6096;height:12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" fillcolor="window" strokecolor="#2f528f" strokeweight="3pt"/>
                      <v:oval id="Oval 64" o:spid="_x0000_s1028" style="position:absolute;left:1270;top:1016;width:342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" fillcolor="window" strokecolor="#2f528f" strokeweight="1pt">
                        <v:stroke joinstyle="miter"/>
                      </v:oval>
                      <v:oval id="Oval 65" o:spid="_x0000_s1029" style="position:absolute;left:1270;top:4953;width:342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" fillcolor="yellow" strokecolor="#2f528f" strokeweight="1pt">
                        <v:stroke joinstyle="miter"/>
                      </v:oval>
                      <v:oval id="Oval 66" o:spid="_x0000_s1030" style="position:absolute;left:1270;top:8890;width:342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" fillcolor="window" strokecolor="#2f528f" strokeweight="1pt">
                        <v:stroke joinstyle="miter"/>
                      </v:oval>
                    </v:group>
                  </w:pict>
                </mc:Fallback>
              </mc:AlternateContent>
            </w:r>
          </w:p>
        </w:tc>
        <w:tc>
          <w:tcPr>
            <w:tcW w:w="8170" w:type="dxa"/>
          </w:tcPr>
          <w:p w14:paraId="4D5E769F" w14:textId="77777777" w:rsidR="00CA07A0" w:rsidRPr="00CA07A0" w:rsidRDefault="00CA07A0" w:rsidP="00661EA0">
            <w:pPr>
              <w:rPr>
                <w:noProof/>
                <w:lang w:val="en-US" w:eastAsia="en-AU"/>
              </w:rPr>
            </w:pPr>
            <w:r w:rsidRPr="00CA07A0">
              <w:rPr>
                <w:noProof/>
                <w:lang w:val="en-US" w:eastAsia="en-AU"/>
              </w:rPr>
              <w:t>Visible workload on the Family Protection Unit in Port Vila as measured by offences assigned to officers. Not shown here is Open offences, and again reflects the high workload on the Port Vila FPU</w:t>
            </w:r>
          </w:p>
          <w:p w14:paraId="3BF9853B" w14:textId="77777777" w:rsidR="00CA07A0" w:rsidRPr="008B3F16" w:rsidRDefault="00CA07A0" w:rsidP="00661EA0">
            <w:pPr>
              <w:rPr>
                <w:sz w:val="10"/>
                <w:szCs w:val="10"/>
                <w:lang w:eastAsia="en-AU"/>
              </w:rPr>
            </w:pPr>
          </w:p>
        </w:tc>
      </w:tr>
    </w:tbl>
    <w:p w14:paraId="3558B215" w14:textId="77777777" w:rsidR="00CA07A0" w:rsidRPr="00CA07A0" w:rsidRDefault="00CA07A0" w:rsidP="00661EA0">
      <w:pPr>
        <w:rPr>
          <w:lang w:eastAsia="en-AU"/>
        </w:rPr>
      </w:pPr>
      <w:r w:rsidRPr="00CA07A0">
        <w:rPr>
          <w:noProof/>
          <w:lang w:eastAsia="en-AU"/>
        </w:rPr>
        <w:drawing>
          <wp:inline distT="0" distB="0" distL="0" distR="0" wp14:anchorId="4A83685F" wp14:editId="2E47E1F3">
            <wp:extent cx="5731510" cy="3740150"/>
            <wp:effectExtent l="0" t="0" r="2540" b="0"/>
            <wp:docPr id="67" name="Picture 2">
              <a:extLst xmlns:a="http://schemas.openxmlformats.org/drawingml/2006/main">
                <a:ext uri="{FF2B5EF4-FFF2-40B4-BE49-F238E27FC236}">
                  <a16:creationId xmlns:a16="http://schemas.microsoft.com/office/drawing/2014/main" id="{A44AF2CC-A788-D34B-9774-D7E20DF207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A44AF2CC-A788-D34B-9774-D7E20DF2079D}"/>
                        </a:ext>
                      </a:extLst>
                    </pic:cNvPr>
                    <pic:cNvPicPr>
                      <a:picLocks noChangeAspect="1"/>
                    </pic:cNvPicPr>
                  </pic:nvPicPr>
                  <pic:blipFill>
                    <a:blip r:embed="rId36"/>
                    <a:stretch>
                      <a:fillRect/>
                    </a:stretch>
                  </pic:blipFill>
                  <pic:spPr>
                    <a:xfrm>
                      <a:off x="0" y="0"/>
                      <a:ext cx="5731510" cy="3740150"/>
                    </a:xfrm>
                    <a:prstGeom prst="rect">
                      <a:avLst/>
                    </a:prstGeom>
                  </pic:spPr>
                </pic:pic>
              </a:graphicData>
            </a:graphic>
          </wp:inline>
        </w:drawing>
      </w:r>
    </w:p>
    <w:p w14:paraId="26B4A460" w14:textId="77777777" w:rsidR="00CA07A0" w:rsidRPr="00CD2401" w:rsidRDefault="00CA07A0" w:rsidP="00CC152F">
      <w:pPr>
        <w:spacing w:after="0"/>
        <w:rPr>
          <w:b/>
          <w:noProof/>
          <w:lang w:eastAsia="en-AU"/>
        </w:rPr>
      </w:pPr>
      <w:r w:rsidRPr="00CD2401">
        <w:rPr>
          <w:b/>
          <w:noProof/>
          <w:lang w:eastAsia="en-AU"/>
        </w:rPr>
        <w:t>Figure 8: Offence load by Unit over last 5 years</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CA07A0" w:rsidRPr="00CA07A0" w14:paraId="29BCFD3B" w14:textId="77777777" w:rsidTr="009D4CDA">
        <w:tc>
          <w:tcPr>
            <w:tcW w:w="9016" w:type="dxa"/>
          </w:tcPr>
          <w:p w14:paraId="7B12BB0E" w14:textId="77777777" w:rsidR="00CA07A0" w:rsidRPr="00CA07A0" w:rsidRDefault="00CA07A0" w:rsidP="00661EA0">
            <w:pPr>
              <w:rPr>
                <w:lang w:val="en-US" w:eastAsia="en-AU"/>
              </w:rPr>
            </w:pPr>
            <w:r w:rsidRPr="00CA07A0">
              <w:rPr>
                <w:lang w:val="en-US" w:eastAsia="en-AU"/>
              </w:rPr>
              <w:t>Visible workload on the Family Protection Unit in Port Vila as measured by offences assigned to officers</w:t>
            </w:r>
          </w:p>
          <w:p w14:paraId="189F1388" w14:textId="77777777" w:rsidR="00CA07A0" w:rsidRPr="00CA07A0" w:rsidRDefault="00CA07A0" w:rsidP="00661EA0">
            <w:pPr>
              <w:rPr>
                <w:sz w:val="10"/>
                <w:szCs w:val="10"/>
                <w:lang w:eastAsia="en-AU"/>
              </w:rPr>
            </w:pPr>
          </w:p>
        </w:tc>
      </w:tr>
    </w:tbl>
    <w:p w14:paraId="524B9C72" w14:textId="77777777" w:rsidR="00CA07A0" w:rsidRPr="00CA07A0" w:rsidRDefault="00CA07A0" w:rsidP="00661EA0">
      <w:pPr>
        <w:rPr>
          <w:lang w:eastAsia="en-AU"/>
        </w:rPr>
      </w:pPr>
      <w:r w:rsidRPr="00CA07A0">
        <w:rPr>
          <w:noProof/>
          <w:lang w:eastAsia="en-AU"/>
        </w:rPr>
        <w:drawing>
          <wp:inline distT="0" distB="0" distL="0" distR="0" wp14:anchorId="16B3EE2A" wp14:editId="0FC46E4B">
            <wp:extent cx="5291486" cy="3453009"/>
            <wp:effectExtent l="0" t="0" r="4445" b="0"/>
            <wp:docPr id="68" name="Picture 1">
              <a:extLst xmlns:a="http://schemas.openxmlformats.org/drawingml/2006/main">
                <a:ext uri="{FF2B5EF4-FFF2-40B4-BE49-F238E27FC236}">
                  <a16:creationId xmlns:a16="http://schemas.microsoft.com/office/drawing/2014/main" id="{219F9A70-7A76-774E-9E20-005214E126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19F9A70-7A76-774E-9E20-005214E126B8}"/>
                        </a:ext>
                      </a:extLst>
                    </pic:cNvPr>
                    <pic:cNvPicPr>
                      <a:picLocks noChangeAspect="1"/>
                    </pic:cNvPicPr>
                  </pic:nvPicPr>
                  <pic:blipFill>
                    <a:blip r:embed="rId37"/>
                    <a:stretch>
                      <a:fillRect/>
                    </a:stretch>
                  </pic:blipFill>
                  <pic:spPr>
                    <a:xfrm>
                      <a:off x="0" y="0"/>
                      <a:ext cx="5298593" cy="3457647"/>
                    </a:xfrm>
                    <a:prstGeom prst="rect">
                      <a:avLst/>
                    </a:prstGeom>
                  </pic:spPr>
                </pic:pic>
              </a:graphicData>
            </a:graphic>
          </wp:inline>
        </w:drawing>
      </w:r>
    </w:p>
    <w:p w14:paraId="39BD9D5A" w14:textId="77777777" w:rsidR="00CA07A0" w:rsidRPr="00CD2401" w:rsidRDefault="00CA07A0" w:rsidP="00CC152F">
      <w:pPr>
        <w:spacing w:after="0"/>
        <w:rPr>
          <w:b/>
          <w:noProof/>
          <w:lang w:eastAsia="en-AU"/>
        </w:rPr>
      </w:pPr>
      <w:r w:rsidRPr="00CD2401">
        <w:rPr>
          <w:b/>
          <w:noProof/>
          <w:lang w:eastAsia="en-AU"/>
        </w:rPr>
        <w:t>Figure 9: Offence load by Unit over last 5 years - EFATE</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CA07A0" w:rsidRPr="00CA07A0" w14:paraId="7717D18B" w14:textId="77777777" w:rsidTr="009D4CDA">
        <w:tc>
          <w:tcPr>
            <w:tcW w:w="9016" w:type="dxa"/>
          </w:tcPr>
          <w:p w14:paraId="3A4A5AAA" w14:textId="77777777" w:rsidR="00CA07A0" w:rsidRPr="00CA07A0" w:rsidRDefault="00CA07A0" w:rsidP="00661EA0">
            <w:pPr>
              <w:rPr>
                <w:lang w:val="en-US" w:eastAsia="en-AU"/>
              </w:rPr>
            </w:pPr>
            <w:r w:rsidRPr="00CA07A0">
              <w:rPr>
                <w:lang w:val="en-US" w:eastAsia="en-AU"/>
              </w:rPr>
              <w:t>Over 1 in 5 offences are assigned and subsequently dealt with by the Family Protection Unit within Efate</w:t>
            </w:r>
          </w:p>
          <w:p w14:paraId="518504D9" w14:textId="77777777" w:rsidR="00CA07A0" w:rsidRPr="00CA07A0" w:rsidRDefault="00CA07A0" w:rsidP="00661EA0">
            <w:pPr>
              <w:rPr>
                <w:sz w:val="10"/>
                <w:szCs w:val="10"/>
                <w:lang w:eastAsia="en-AU"/>
              </w:rPr>
            </w:pPr>
          </w:p>
        </w:tc>
      </w:tr>
    </w:tbl>
    <w:p w14:paraId="67CEC418" w14:textId="77777777" w:rsidR="00CA07A0" w:rsidRPr="00CA07A0" w:rsidRDefault="00CA07A0" w:rsidP="00661EA0">
      <w:pPr>
        <w:rPr>
          <w:lang w:eastAsia="en-AU"/>
        </w:rPr>
      </w:pPr>
      <w:r w:rsidRPr="00CA07A0">
        <w:rPr>
          <w:noProof/>
          <w:lang w:eastAsia="en-AU"/>
        </w:rPr>
        <w:drawing>
          <wp:inline distT="0" distB="0" distL="0" distR="0" wp14:anchorId="7DC7ED16" wp14:editId="79DF6DE2">
            <wp:extent cx="5286375" cy="3449673"/>
            <wp:effectExtent l="0" t="0" r="0" b="0"/>
            <wp:docPr id="13" name="Picture 6">
              <a:extLst xmlns:a="http://schemas.openxmlformats.org/drawingml/2006/main">
                <a:ext uri="{FF2B5EF4-FFF2-40B4-BE49-F238E27FC236}">
                  <a16:creationId xmlns:a16="http://schemas.microsoft.com/office/drawing/2014/main" id="{D63539FF-9F50-074D-909E-91865A093F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D63539FF-9F50-074D-909E-91865A093F8F}"/>
                        </a:ext>
                      </a:extLst>
                    </pic:cNvPr>
                    <pic:cNvPicPr>
                      <a:picLocks noChangeAspect="1"/>
                    </pic:cNvPicPr>
                  </pic:nvPicPr>
                  <pic:blipFill>
                    <a:blip r:embed="rId38"/>
                    <a:stretch>
                      <a:fillRect/>
                    </a:stretch>
                  </pic:blipFill>
                  <pic:spPr>
                    <a:xfrm>
                      <a:off x="0" y="0"/>
                      <a:ext cx="5288436" cy="3451018"/>
                    </a:xfrm>
                    <a:prstGeom prst="rect">
                      <a:avLst/>
                    </a:prstGeom>
                  </pic:spPr>
                </pic:pic>
              </a:graphicData>
            </a:graphic>
          </wp:inline>
        </w:drawing>
      </w:r>
    </w:p>
    <w:p w14:paraId="0245BDA4" w14:textId="77777777" w:rsidR="00CA07A0" w:rsidRPr="00CD2401" w:rsidRDefault="00CA07A0" w:rsidP="00CC152F">
      <w:pPr>
        <w:spacing w:after="0"/>
        <w:rPr>
          <w:b/>
          <w:noProof/>
          <w:lang w:eastAsia="en-AU"/>
        </w:rPr>
      </w:pPr>
      <w:r w:rsidRPr="00CD2401">
        <w:rPr>
          <w:b/>
          <w:noProof/>
          <w:lang w:eastAsia="en-AU"/>
        </w:rPr>
        <w:t>Figure 10: VPF – Offences reported for three key offence types</w:t>
      </w:r>
    </w:p>
    <w:tbl>
      <w:tblPr>
        <w:tblStyle w:val="TableGrid1"/>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6"/>
        <w:gridCol w:w="7603"/>
      </w:tblGrid>
      <w:tr w:rsidR="00CA07A0" w:rsidRPr="00CA07A0" w14:paraId="7F8A6863" w14:textId="77777777" w:rsidTr="00B44E09">
        <w:trPr>
          <w:trHeight w:val="251"/>
        </w:trPr>
        <w:tc>
          <w:tcPr>
            <w:tcW w:w="856" w:type="dxa"/>
          </w:tcPr>
          <w:p w14:paraId="4888E5CA" w14:textId="77777777" w:rsidR="00CA07A0" w:rsidRPr="00CA07A0" w:rsidRDefault="00CA07A0" w:rsidP="00661EA0">
            <w:pPr>
              <w:rPr>
                <w:rFonts w:eastAsia="Calibri" w:cstheme="minorHAnsi"/>
                <w:noProof/>
                <w:color w:val="44546A" w:themeColor="text2"/>
                <w:sz w:val="30"/>
                <w:szCs w:val="30"/>
                <w:lang w:eastAsia="en-AU"/>
              </w:rPr>
            </w:pPr>
            <w:r w:rsidRPr="00CA07A0">
              <w:rPr>
                <w:rFonts w:eastAsia="Calibri" w:cstheme="minorHAnsi"/>
                <w:noProof/>
                <w:color w:val="44546A" w:themeColor="text2"/>
                <w:sz w:val="30"/>
                <w:szCs w:val="30"/>
                <w:lang w:eastAsia="en-AU"/>
              </w:rPr>
              <mc:AlternateContent>
                <mc:Choice Requires="wpg">
                  <w:drawing>
                    <wp:anchor distT="0" distB="0" distL="114300" distR="114300" simplePos="0" relativeHeight="251669504" behindDoc="0" locked="0" layoutInCell="1" allowOverlap="1" wp14:anchorId="0B8771EA" wp14:editId="6629C664">
                      <wp:simplePos x="0" y="0"/>
                      <wp:positionH relativeFrom="column">
                        <wp:posOffset>5436</wp:posOffset>
                      </wp:positionH>
                      <wp:positionV relativeFrom="paragraph">
                        <wp:posOffset>6388</wp:posOffset>
                      </wp:positionV>
                      <wp:extent cx="403794" cy="535932"/>
                      <wp:effectExtent l="19050" t="19050" r="15875" b="17145"/>
                      <wp:wrapNone/>
                      <wp:docPr id="69" name="Group 6"/>
                      <wp:cNvGraphicFramePr/>
                      <a:graphic xmlns:a="http://schemas.openxmlformats.org/drawingml/2006/main">
                        <a:graphicData uri="http://schemas.microsoft.com/office/word/2010/wordprocessingGroup">
                          <wpg:wgp>
                            <wpg:cNvGrpSpPr/>
                            <wpg:grpSpPr>
                              <a:xfrm>
                                <a:off x="0" y="0"/>
                                <a:ext cx="403794" cy="535932"/>
                                <a:chOff x="0" y="0"/>
                                <a:chExt cx="609600" cy="1282700"/>
                              </a:xfrm>
                            </wpg:grpSpPr>
                            <wps:wsp>
                              <wps:cNvPr id="70" name="Rectangle 70"/>
                              <wps:cNvSpPr/>
                              <wps:spPr>
                                <a:xfrm>
                                  <a:off x="0" y="0"/>
                                  <a:ext cx="609600" cy="1282700"/>
                                </a:xfrm>
                                <a:prstGeom prst="rect">
                                  <a:avLst/>
                                </a:prstGeom>
                                <a:solidFill>
                                  <a:sysClr val="window" lastClr="FFFFFF"/>
                                </a:solidFill>
                                <a:ln w="38100" cap="flat" cmpd="sng" algn="ctr">
                                  <a:solidFill>
                                    <a:srgbClr val="4472C4">
                                      <a:shade val="50000"/>
                                    </a:srgbClr>
                                  </a:solidFill>
                                  <a:prstDash val="solid"/>
                                  <a:miter lim="800000"/>
                                </a:ln>
                                <a:effectLst/>
                              </wps:spPr>
                              <wps:bodyPr rtlCol="0" anchor="ctr"/>
                            </wps:wsp>
                            <wps:wsp>
                              <wps:cNvPr id="71" name="Oval 71"/>
                              <wps:cNvSpPr/>
                              <wps:spPr>
                                <a:xfrm>
                                  <a:off x="127000" y="101600"/>
                                  <a:ext cx="342900" cy="317500"/>
                                </a:xfrm>
                                <a:prstGeom prst="ellipse">
                                  <a:avLst/>
                                </a:prstGeom>
                                <a:solidFill>
                                  <a:sysClr val="window" lastClr="FFFFFF"/>
                                </a:solidFill>
                                <a:ln w="12700" cap="flat" cmpd="sng" algn="ctr">
                                  <a:solidFill>
                                    <a:srgbClr val="4472C4">
                                      <a:shade val="50000"/>
                                    </a:srgbClr>
                                  </a:solidFill>
                                  <a:prstDash val="solid"/>
                                  <a:miter lim="800000"/>
                                </a:ln>
                                <a:effectLst/>
                              </wps:spPr>
                              <wps:bodyPr rtlCol="0" anchor="ctr"/>
                            </wps:wsp>
                            <wps:wsp>
                              <wps:cNvPr id="72" name="Oval 72"/>
                              <wps:cNvSpPr/>
                              <wps:spPr>
                                <a:xfrm>
                                  <a:off x="127000" y="495300"/>
                                  <a:ext cx="342900" cy="317500"/>
                                </a:xfrm>
                                <a:prstGeom prst="ellipse">
                                  <a:avLst/>
                                </a:prstGeom>
                                <a:solidFill>
                                  <a:sysClr val="window" lastClr="FFFFFF"/>
                                </a:solidFill>
                                <a:ln w="12700" cap="flat" cmpd="sng" algn="ctr">
                                  <a:solidFill>
                                    <a:srgbClr val="4472C4">
                                      <a:shade val="50000"/>
                                    </a:srgbClr>
                                  </a:solidFill>
                                  <a:prstDash val="solid"/>
                                  <a:miter lim="800000"/>
                                </a:ln>
                                <a:effectLst/>
                              </wps:spPr>
                              <wps:bodyPr rtlCol="0" anchor="ctr"/>
                            </wps:wsp>
                            <wps:wsp>
                              <wps:cNvPr id="73" name="Oval 73"/>
                              <wps:cNvSpPr/>
                              <wps:spPr>
                                <a:xfrm>
                                  <a:off x="127000" y="889000"/>
                                  <a:ext cx="342900" cy="317500"/>
                                </a:xfrm>
                                <a:prstGeom prst="ellipse">
                                  <a:avLst/>
                                </a:prstGeom>
                                <a:solidFill>
                                  <a:srgbClr val="00B050"/>
                                </a:solidFill>
                                <a:ln w="12700" cap="flat" cmpd="sng" algn="ctr">
                                  <a:solidFill>
                                    <a:srgbClr val="4472C4">
                                      <a:shade val="50000"/>
                                    </a:srgbClr>
                                  </a:solidFill>
                                  <a:prstDash val="solid"/>
                                  <a:miter lim="800000"/>
                                </a:ln>
                                <a:effectLst/>
                              </wps:spPr>
                              <wps:bodyPr rtlCol="0" anchor="ct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2937BAF" id="Group 6" o:spid="_x0000_s1026" style="position:absolute;margin-left:.45pt;margin-top:.5pt;width:31.8pt;height:42.2pt;z-index:251669504;mso-width-relative:margin;mso-height-relative:margin" coordsize="6096,12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">
                      <v:rect id="Rectangle 70" o:spid="_x0000_s1027" style="position:absolute;width:6096;height:12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" fillcolor="window" strokecolor="#2f528f" strokeweight="3pt"/>
                      <v:oval id="Oval 71" o:spid="_x0000_s1028" style="position:absolute;left:1270;top:1016;width:342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" fillcolor="window" strokecolor="#2f528f" strokeweight="1pt">
                        <v:stroke joinstyle="miter"/>
                      </v:oval>
                      <v:oval id="Oval 72" o:spid="_x0000_s1029" style="position:absolute;left:1270;top:4953;width:342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" fillcolor="window" strokecolor="#2f528f" strokeweight="1pt">
                        <v:stroke joinstyle="miter"/>
                      </v:oval>
                      <v:oval id="Oval 73" o:spid="_x0000_s1030" style="position:absolute;left:1270;top:8890;width:342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" fillcolor="#00b050" strokecolor="#2f528f" strokeweight="1pt">
                        <v:stroke joinstyle="miter"/>
                      </v:oval>
                    </v:group>
                  </w:pict>
                </mc:Fallback>
              </mc:AlternateContent>
            </w:r>
          </w:p>
        </w:tc>
        <w:tc>
          <w:tcPr>
            <w:tcW w:w="7603" w:type="dxa"/>
          </w:tcPr>
          <w:p w14:paraId="46E44C7A" w14:textId="77777777" w:rsidR="00CA07A0" w:rsidRPr="00D63485" w:rsidRDefault="00CA07A0" w:rsidP="00661EA0">
            <w:pPr>
              <w:rPr>
                <w:noProof/>
                <w:lang w:val="en-US" w:eastAsia="en-AU"/>
              </w:rPr>
            </w:pPr>
            <w:r w:rsidRPr="00D63485">
              <w:rPr>
                <w:noProof/>
                <w:lang w:val="en-US" w:eastAsia="en-AU"/>
              </w:rPr>
              <w:t>Visible increase in Family Protection offences being reported to VPF, while substantial drop in Offences against the Person</w:t>
            </w:r>
          </w:p>
          <w:p w14:paraId="3F56C9D9" w14:textId="77777777" w:rsidR="00CA07A0" w:rsidRPr="00CA07A0" w:rsidRDefault="00CA07A0" w:rsidP="00661EA0">
            <w:pPr>
              <w:rPr>
                <w:noProof/>
                <w:lang w:val="en-US" w:eastAsia="en-AU"/>
              </w:rPr>
            </w:pPr>
          </w:p>
        </w:tc>
      </w:tr>
    </w:tbl>
    <w:p w14:paraId="7BD3A701" w14:textId="77777777" w:rsidR="00CA07A0" w:rsidRPr="00CA07A0" w:rsidRDefault="00CA07A0" w:rsidP="00661EA0">
      <w:pPr>
        <w:rPr>
          <w:lang w:eastAsia="en-AU"/>
        </w:rPr>
      </w:pPr>
      <w:r w:rsidRPr="00CA07A0">
        <w:rPr>
          <w:noProof/>
          <w:lang w:eastAsia="en-AU"/>
        </w:rPr>
        <w:drawing>
          <wp:inline distT="0" distB="0" distL="0" distR="0" wp14:anchorId="6BACE6DB" wp14:editId="63215B6A">
            <wp:extent cx="5417820" cy="3538450"/>
            <wp:effectExtent l="0" t="0" r="0" b="5080"/>
            <wp:docPr id="74" name="Picture 1">
              <a:extLst xmlns:a="http://schemas.openxmlformats.org/drawingml/2006/main">
                <a:ext uri="{FF2B5EF4-FFF2-40B4-BE49-F238E27FC236}">
                  <a16:creationId xmlns:a16="http://schemas.microsoft.com/office/drawing/2014/main" id="{A8C0DF03-6150-894B-81C9-5FED6058FA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A8C0DF03-6150-894B-81C9-5FED6058FAFB}"/>
                        </a:ext>
                      </a:extLst>
                    </pic:cNvPr>
                    <pic:cNvPicPr>
                      <a:picLocks noChangeAspect="1"/>
                    </pic:cNvPicPr>
                  </pic:nvPicPr>
                  <pic:blipFill>
                    <a:blip r:embed="rId39"/>
                    <a:stretch>
                      <a:fillRect/>
                    </a:stretch>
                  </pic:blipFill>
                  <pic:spPr>
                    <a:xfrm>
                      <a:off x="0" y="0"/>
                      <a:ext cx="5432965" cy="3548342"/>
                    </a:xfrm>
                    <a:prstGeom prst="rect">
                      <a:avLst/>
                    </a:prstGeom>
                  </pic:spPr>
                </pic:pic>
              </a:graphicData>
            </a:graphic>
          </wp:inline>
        </w:drawing>
      </w:r>
    </w:p>
    <w:p w14:paraId="01BADA1D" w14:textId="77777777" w:rsidR="00CA07A0" w:rsidRPr="00CA07A0" w:rsidRDefault="00CA07A0" w:rsidP="00661EA0">
      <w:pPr>
        <w:rPr>
          <w:lang w:eastAsia="en-AU"/>
        </w:rPr>
      </w:pPr>
    </w:p>
    <w:p w14:paraId="784E2AAD" w14:textId="77777777" w:rsidR="00CA07A0" w:rsidRPr="00CD2401" w:rsidRDefault="00CA07A0" w:rsidP="00CC152F">
      <w:pPr>
        <w:spacing w:after="0"/>
        <w:rPr>
          <w:b/>
          <w:noProof/>
          <w:lang w:eastAsia="en-AU"/>
        </w:rPr>
      </w:pPr>
      <w:r w:rsidRPr="00CD2401">
        <w:rPr>
          <w:b/>
          <w:noProof/>
          <w:lang w:eastAsia="en-AU"/>
        </w:rPr>
        <w:t>Figure 11: % shift in major offence types</w:t>
      </w:r>
    </w:p>
    <w:tbl>
      <w:tblPr>
        <w:tblStyle w:val="TableGrid1"/>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6"/>
        <w:gridCol w:w="7603"/>
      </w:tblGrid>
      <w:tr w:rsidR="00CA07A0" w:rsidRPr="00CA07A0" w14:paraId="5BA67D45" w14:textId="77777777" w:rsidTr="00B44E09">
        <w:trPr>
          <w:trHeight w:val="941"/>
        </w:trPr>
        <w:tc>
          <w:tcPr>
            <w:tcW w:w="856" w:type="dxa"/>
          </w:tcPr>
          <w:p w14:paraId="69C82C21" w14:textId="77777777" w:rsidR="00CA07A0" w:rsidRPr="00CA07A0" w:rsidRDefault="00CA07A0" w:rsidP="00661EA0">
            <w:pPr>
              <w:rPr>
                <w:rFonts w:eastAsia="Calibri" w:cstheme="minorHAnsi"/>
                <w:noProof/>
                <w:color w:val="44546A" w:themeColor="text2"/>
                <w:sz w:val="30"/>
                <w:szCs w:val="30"/>
                <w:lang w:eastAsia="en-AU"/>
              </w:rPr>
            </w:pPr>
            <w:r w:rsidRPr="00CA07A0">
              <w:rPr>
                <w:rFonts w:eastAsia="Calibri" w:cstheme="minorHAnsi"/>
                <w:noProof/>
                <w:color w:val="44546A" w:themeColor="text2"/>
                <w:sz w:val="30"/>
                <w:szCs w:val="30"/>
                <w:lang w:eastAsia="en-AU"/>
              </w:rPr>
              <mc:AlternateContent>
                <mc:Choice Requires="wpg">
                  <w:drawing>
                    <wp:anchor distT="0" distB="0" distL="114300" distR="114300" simplePos="0" relativeHeight="251670528" behindDoc="0" locked="0" layoutInCell="1" allowOverlap="1" wp14:anchorId="11BCD517" wp14:editId="14479632">
                      <wp:simplePos x="0" y="0"/>
                      <wp:positionH relativeFrom="column">
                        <wp:posOffset>5436</wp:posOffset>
                      </wp:positionH>
                      <wp:positionV relativeFrom="paragraph">
                        <wp:posOffset>6388</wp:posOffset>
                      </wp:positionV>
                      <wp:extent cx="403794" cy="535932"/>
                      <wp:effectExtent l="19050" t="19050" r="15875" b="17145"/>
                      <wp:wrapNone/>
                      <wp:docPr id="75" name="Group 6"/>
                      <wp:cNvGraphicFramePr/>
                      <a:graphic xmlns:a="http://schemas.openxmlformats.org/drawingml/2006/main">
                        <a:graphicData uri="http://schemas.microsoft.com/office/word/2010/wordprocessingGroup">
                          <wpg:wgp>
                            <wpg:cNvGrpSpPr/>
                            <wpg:grpSpPr>
                              <a:xfrm>
                                <a:off x="0" y="0"/>
                                <a:ext cx="403794" cy="535932"/>
                                <a:chOff x="0" y="0"/>
                                <a:chExt cx="609600" cy="1282700"/>
                              </a:xfrm>
                            </wpg:grpSpPr>
                            <wps:wsp>
                              <wps:cNvPr id="76" name="Rectangle 76"/>
                              <wps:cNvSpPr/>
                              <wps:spPr>
                                <a:xfrm>
                                  <a:off x="0" y="0"/>
                                  <a:ext cx="609600" cy="1282700"/>
                                </a:xfrm>
                                <a:prstGeom prst="rect">
                                  <a:avLst/>
                                </a:prstGeom>
                                <a:solidFill>
                                  <a:sysClr val="window" lastClr="FFFFFF"/>
                                </a:solidFill>
                                <a:ln w="38100" cap="flat" cmpd="sng" algn="ctr">
                                  <a:solidFill>
                                    <a:srgbClr val="4472C4">
                                      <a:shade val="50000"/>
                                    </a:srgbClr>
                                  </a:solidFill>
                                  <a:prstDash val="solid"/>
                                  <a:miter lim="800000"/>
                                </a:ln>
                                <a:effectLst/>
                              </wps:spPr>
                              <wps:bodyPr rtlCol="0" anchor="ctr"/>
                            </wps:wsp>
                            <wps:wsp>
                              <wps:cNvPr id="77" name="Oval 77"/>
                              <wps:cNvSpPr/>
                              <wps:spPr>
                                <a:xfrm>
                                  <a:off x="127000" y="101600"/>
                                  <a:ext cx="342900" cy="317500"/>
                                </a:xfrm>
                                <a:prstGeom prst="ellipse">
                                  <a:avLst/>
                                </a:prstGeom>
                                <a:solidFill>
                                  <a:sysClr val="window" lastClr="FFFFFF"/>
                                </a:solidFill>
                                <a:ln w="12700" cap="flat" cmpd="sng" algn="ctr">
                                  <a:solidFill>
                                    <a:srgbClr val="4472C4">
                                      <a:shade val="50000"/>
                                    </a:srgbClr>
                                  </a:solidFill>
                                  <a:prstDash val="solid"/>
                                  <a:miter lim="800000"/>
                                </a:ln>
                                <a:effectLst/>
                              </wps:spPr>
                              <wps:bodyPr rtlCol="0" anchor="ctr"/>
                            </wps:wsp>
                            <wps:wsp>
                              <wps:cNvPr id="78" name="Oval 78"/>
                              <wps:cNvSpPr/>
                              <wps:spPr>
                                <a:xfrm>
                                  <a:off x="127000" y="495300"/>
                                  <a:ext cx="342900" cy="317500"/>
                                </a:xfrm>
                                <a:prstGeom prst="ellipse">
                                  <a:avLst/>
                                </a:prstGeom>
                                <a:solidFill>
                                  <a:sysClr val="window" lastClr="FFFFFF"/>
                                </a:solidFill>
                                <a:ln w="12700" cap="flat" cmpd="sng" algn="ctr">
                                  <a:solidFill>
                                    <a:srgbClr val="4472C4">
                                      <a:shade val="50000"/>
                                    </a:srgbClr>
                                  </a:solidFill>
                                  <a:prstDash val="solid"/>
                                  <a:miter lim="800000"/>
                                </a:ln>
                                <a:effectLst/>
                              </wps:spPr>
                              <wps:bodyPr rtlCol="0" anchor="ctr"/>
                            </wps:wsp>
                            <wps:wsp>
                              <wps:cNvPr id="79" name="Oval 79"/>
                              <wps:cNvSpPr/>
                              <wps:spPr>
                                <a:xfrm>
                                  <a:off x="127000" y="889000"/>
                                  <a:ext cx="342900" cy="317500"/>
                                </a:xfrm>
                                <a:prstGeom prst="ellipse">
                                  <a:avLst/>
                                </a:prstGeom>
                                <a:solidFill>
                                  <a:srgbClr val="00B050"/>
                                </a:solidFill>
                                <a:ln w="12700" cap="flat" cmpd="sng" algn="ctr">
                                  <a:solidFill>
                                    <a:srgbClr val="4472C4">
                                      <a:shade val="50000"/>
                                    </a:srgbClr>
                                  </a:solidFill>
                                  <a:prstDash val="solid"/>
                                  <a:miter lim="800000"/>
                                </a:ln>
                                <a:effectLst/>
                              </wps:spPr>
                              <wps:bodyPr rtlCol="0" anchor="ct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03EF082" id="Group 6" o:spid="_x0000_s1026" style="position:absolute;margin-left:.45pt;margin-top:.5pt;width:31.8pt;height:42.2pt;z-index:251670528;mso-width-relative:margin;mso-height-relative:margin" coordsize="6096,12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">
                      <v:rect id="Rectangle 76" o:spid="_x0000_s1027" style="position:absolute;width:6096;height:12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" fillcolor="window" strokecolor="#2f528f" strokeweight="3pt"/>
                      <v:oval id="Oval 77" o:spid="_x0000_s1028" style="position:absolute;left:1270;top:1016;width:342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" fillcolor="window" strokecolor="#2f528f" strokeweight="1pt">
                        <v:stroke joinstyle="miter"/>
                      </v:oval>
                      <v:oval id="Oval 78" o:spid="_x0000_s1029" style="position:absolute;left:1270;top:4953;width:342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" fillcolor="window" strokecolor="#2f528f" strokeweight="1pt">
                        <v:stroke joinstyle="miter"/>
                      </v:oval>
                      <v:oval id="Oval 79" o:spid="_x0000_s1030" style="position:absolute;left:1270;top:8890;width:342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" fillcolor="#00b050" strokecolor="#2f528f" strokeweight="1pt">
                        <v:stroke joinstyle="miter"/>
                      </v:oval>
                    </v:group>
                  </w:pict>
                </mc:Fallback>
              </mc:AlternateContent>
            </w:r>
          </w:p>
        </w:tc>
        <w:tc>
          <w:tcPr>
            <w:tcW w:w="7603" w:type="dxa"/>
          </w:tcPr>
          <w:p w14:paraId="3F51D384" w14:textId="77777777" w:rsidR="00CA07A0" w:rsidRPr="00224BC8" w:rsidRDefault="00CA07A0" w:rsidP="00661EA0">
            <w:pPr>
              <w:rPr>
                <w:noProof/>
                <w:lang w:val="en-US" w:eastAsia="en-AU"/>
              </w:rPr>
            </w:pPr>
            <w:r w:rsidRPr="00224BC8">
              <w:rPr>
                <w:noProof/>
                <w:lang w:val="en-US" w:eastAsia="en-AU"/>
              </w:rPr>
              <w:t>In % terms – clear growth in Family Protection (Domestic Violence) offence type across all offences – now approaching 10%. Note: other offences may be of a DV nature but not currently being flagged consistently</w:t>
            </w:r>
          </w:p>
          <w:p w14:paraId="412C4D83" w14:textId="77777777" w:rsidR="00CA07A0" w:rsidRPr="008B3F16" w:rsidRDefault="00CA07A0" w:rsidP="00661EA0">
            <w:pPr>
              <w:rPr>
                <w:noProof/>
                <w:sz w:val="10"/>
                <w:szCs w:val="10"/>
                <w:lang w:val="en-US" w:eastAsia="en-AU"/>
              </w:rPr>
            </w:pPr>
          </w:p>
        </w:tc>
      </w:tr>
    </w:tbl>
    <w:p w14:paraId="1D20A260" w14:textId="77777777" w:rsidR="00CA07A0" w:rsidRPr="00CA07A0" w:rsidRDefault="00CA07A0" w:rsidP="00661EA0">
      <w:pPr>
        <w:rPr>
          <w:lang w:eastAsia="en-AU"/>
        </w:rPr>
      </w:pPr>
      <w:r w:rsidRPr="00CA07A0">
        <w:rPr>
          <w:noProof/>
          <w:lang w:eastAsia="en-AU"/>
        </w:rPr>
        <w:drawing>
          <wp:inline distT="0" distB="0" distL="0" distR="0" wp14:anchorId="1959B08B" wp14:editId="20D676B3">
            <wp:extent cx="5576920" cy="3503295"/>
            <wp:effectExtent l="0" t="0" r="5080" b="1905"/>
            <wp:docPr id="80" name="Picture 2">
              <a:extLst xmlns:a="http://schemas.openxmlformats.org/drawingml/2006/main">
                <a:ext uri="{FF2B5EF4-FFF2-40B4-BE49-F238E27FC236}">
                  <a16:creationId xmlns:a16="http://schemas.microsoft.com/office/drawing/2014/main" id="{662DBF04-D6A6-EF46-82FA-784FD24BBA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662DBF04-D6A6-EF46-82FA-784FD24BBA6B}"/>
                        </a:ext>
                      </a:extLst>
                    </pic:cNvPr>
                    <pic:cNvPicPr>
                      <a:picLocks noChangeAspect="1"/>
                    </pic:cNvPicPr>
                  </pic:nvPicPr>
                  <pic:blipFill>
                    <a:blip r:embed="rId40"/>
                    <a:stretch>
                      <a:fillRect/>
                    </a:stretch>
                  </pic:blipFill>
                  <pic:spPr>
                    <a:xfrm>
                      <a:off x="0" y="0"/>
                      <a:ext cx="5581171" cy="3505966"/>
                    </a:xfrm>
                    <a:prstGeom prst="rect">
                      <a:avLst/>
                    </a:prstGeom>
                  </pic:spPr>
                </pic:pic>
              </a:graphicData>
            </a:graphic>
          </wp:inline>
        </w:drawing>
      </w:r>
    </w:p>
    <w:p w14:paraId="0801FC58" w14:textId="77777777" w:rsidR="00CA07A0" w:rsidRPr="00CD2401" w:rsidRDefault="00CA07A0" w:rsidP="00CC152F">
      <w:pPr>
        <w:spacing w:after="0"/>
        <w:rPr>
          <w:b/>
          <w:noProof/>
          <w:lang w:eastAsia="en-AU"/>
        </w:rPr>
      </w:pPr>
      <w:r w:rsidRPr="00CD2401">
        <w:rPr>
          <w:b/>
          <w:noProof/>
          <w:lang w:eastAsia="en-AU"/>
        </w:rPr>
        <w:t>Figure 12: Average days to finalise investigation of an offence</w:t>
      </w:r>
    </w:p>
    <w:tbl>
      <w:tblPr>
        <w:tblStyle w:val="TableGrid1"/>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6"/>
        <w:gridCol w:w="7603"/>
      </w:tblGrid>
      <w:tr w:rsidR="00CA07A0" w:rsidRPr="00CA07A0" w14:paraId="3E645937" w14:textId="77777777" w:rsidTr="00B44E09">
        <w:trPr>
          <w:trHeight w:val="941"/>
        </w:trPr>
        <w:tc>
          <w:tcPr>
            <w:tcW w:w="856" w:type="dxa"/>
          </w:tcPr>
          <w:p w14:paraId="4F3A69AD" w14:textId="77777777" w:rsidR="00CA07A0" w:rsidRPr="00CA07A0" w:rsidRDefault="00CA07A0" w:rsidP="00661EA0">
            <w:pPr>
              <w:rPr>
                <w:rFonts w:eastAsia="Calibri" w:cstheme="minorHAnsi"/>
                <w:noProof/>
                <w:color w:val="44546A" w:themeColor="text2"/>
                <w:sz w:val="30"/>
                <w:szCs w:val="30"/>
                <w:lang w:eastAsia="en-AU"/>
              </w:rPr>
            </w:pPr>
            <w:r w:rsidRPr="00CA07A0">
              <w:rPr>
                <w:rFonts w:eastAsia="Calibri" w:cstheme="minorHAnsi"/>
                <w:noProof/>
                <w:color w:val="44546A" w:themeColor="text2"/>
                <w:sz w:val="30"/>
                <w:szCs w:val="30"/>
                <w:lang w:eastAsia="en-AU"/>
              </w:rPr>
              <mc:AlternateContent>
                <mc:Choice Requires="wpg">
                  <w:drawing>
                    <wp:anchor distT="0" distB="0" distL="114300" distR="114300" simplePos="0" relativeHeight="251671552" behindDoc="0" locked="0" layoutInCell="1" allowOverlap="1" wp14:anchorId="5E947F53" wp14:editId="01E58C3E">
                      <wp:simplePos x="0" y="0"/>
                      <wp:positionH relativeFrom="column">
                        <wp:posOffset>5080</wp:posOffset>
                      </wp:positionH>
                      <wp:positionV relativeFrom="paragraph">
                        <wp:posOffset>57785</wp:posOffset>
                      </wp:positionV>
                      <wp:extent cx="403794" cy="535932"/>
                      <wp:effectExtent l="19050" t="19050" r="15875" b="17145"/>
                      <wp:wrapNone/>
                      <wp:docPr id="81" name="Group 6"/>
                      <wp:cNvGraphicFramePr/>
                      <a:graphic xmlns:a="http://schemas.openxmlformats.org/drawingml/2006/main">
                        <a:graphicData uri="http://schemas.microsoft.com/office/word/2010/wordprocessingGroup">
                          <wpg:wgp>
                            <wpg:cNvGrpSpPr/>
                            <wpg:grpSpPr>
                              <a:xfrm>
                                <a:off x="0" y="0"/>
                                <a:ext cx="403794" cy="535932"/>
                                <a:chOff x="0" y="0"/>
                                <a:chExt cx="609600" cy="1282700"/>
                              </a:xfrm>
                            </wpg:grpSpPr>
                            <wps:wsp>
                              <wps:cNvPr id="82" name="Rectangle 82"/>
                              <wps:cNvSpPr/>
                              <wps:spPr>
                                <a:xfrm>
                                  <a:off x="0" y="0"/>
                                  <a:ext cx="609600" cy="1282700"/>
                                </a:xfrm>
                                <a:prstGeom prst="rect">
                                  <a:avLst/>
                                </a:prstGeom>
                                <a:solidFill>
                                  <a:sysClr val="window" lastClr="FFFFFF"/>
                                </a:solidFill>
                                <a:ln w="38100" cap="flat" cmpd="sng" algn="ctr">
                                  <a:solidFill>
                                    <a:srgbClr val="4472C4">
                                      <a:shade val="50000"/>
                                    </a:srgbClr>
                                  </a:solidFill>
                                  <a:prstDash val="solid"/>
                                  <a:miter lim="800000"/>
                                </a:ln>
                                <a:effectLst/>
                              </wps:spPr>
                              <wps:bodyPr rtlCol="0" anchor="ctr"/>
                            </wps:wsp>
                            <wps:wsp>
                              <wps:cNvPr id="83" name="Oval 83"/>
                              <wps:cNvSpPr/>
                              <wps:spPr>
                                <a:xfrm>
                                  <a:off x="127000" y="101600"/>
                                  <a:ext cx="342900" cy="317500"/>
                                </a:xfrm>
                                <a:prstGeom prst="ellipse">
                                  <a:avLst/>
                                </a:prstGeom>
                                <a:solidFill>
                                  <a:sysClr val="window" lastClr="FFFFFF"/>
                                </a:solidFill>
                                <a:ln w="12700" cap="flat" cmpd="sng" algn="ctr">
                                  <a:solidFill>
                                    <a:srgbClr val="4472C4">
                                      <a:shade val="50000"/>
                                    </a:srgbClr>
                                  </a:solidFill>
                                  <a:prstDash val="solid"/>
                                  <a:miter lim="800000"/>
                                </a:ln>
                                <a:effectLst/>
                              </wps:spPr>
                              <wps:bodyPr rtlCol="0" anchor="ctr"/>
                            </wps:wsp>
                            <wps:wsp>
                              <wps:cNvPr id="84" name="Oval 84"/>
                              <wps:cNvSpPr/>
                              <wps:spPr>
                                <a:xfrm>
                                  <a:off x="127000" y="495300"/>
                                  <a:ext cx="342900" cy="317500"/>
                                </a:xfrm>
                                <a:prstGeom prst="ellipse">
                                  <a:avLst/>
                                </a:prstGeom>
                                <a:solidFill>
                                  <a:sysClr val="window" lastClr="FFFFFF"/>
                                </a:solidFill>
                                <a:ln w="12700" cap="flat" cmpd="sng" algn="ctr">
                                  <a:solidFill>
                                    <a:srgbClr val="4472C4">
                                      <a:shade val="50000"/>
                                    </a:srgbClr>
                                  </a:solidFill>
                                  <a:prstDash val="solid"/>
                                  <a:miter lim="800000"/>
                                </a:ln>
                                <a:effectLst/>
                              </wps:spPr>
                              <wps:bodyPr rtlCol="0" anchor="ctr"/>
                            </wps:wsp>
                            <wps:wsp>
                              <wps:cNvPr id="85" name="Oval 85"/>
                              <wps:cNvSpPr/>
                              <wps:spPr>
                                <a:xfrm>
                                  <a:off x="127000" y="889000"/>
                                  <a:ext cx="342900" cy="317500"/>
                                </a:xfrm>
                                <a:prstGeom prst="ellipse">
                                  <a:avLst/>
                                </a:prstGeom>
                                <a:solidFill>
                                  <a:srgbClr val="00B050"/>
                                </a:solidFill>
                                <a:ln w="12700" cap="flat" cmpd="sng" algn="ctr">
                                  <a:solidFill>
                                    <a:srgbClr val="4472C4">
                                      <a:shade val="50000"/>
                                    </a:srgbClr>
                                  </a:solidFill>
                                  <a:prstDash val="solid"/>
                                  <a:miter lim="800000"/>
                                </a:ln>
                                <a:effectLst/>
                              </wps:spPr>
                              <wps:bodyPr rtlCol="0" anchor="ct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8AA2839" id="Group 6" o:spid="_x0000_s1026" style="position:absolute;margin-left:.4pt;margin-top:4.55pt;width:31.8pt;height:42.2pt;z-index:251671552;mso-width-relative:margin;mso-height-relative:margin" coordsize="6096,12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">
                      <v:rect id="Rectangle 82" o:spid="_x0000_s1027" style="position:absolute;width:6096;height:12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" fillcolor="window" strokecolor="#2f528f" strokeweight="3pt"/>
                      <v:oval id="Oval 83" o:spid="_x0000_s1028" style="position:absolute;left:1270;top:1016;width:342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" fillcolor="window" strokecolor="#2f528f" strokeweight="1pt">
                        <v:stroke joinstyle="miter"/>
                      </v:oval>
                      <v:oval id="Oval 84" o:spid="_x0000_s1029" style="position:absolute;left:1270;top:4953;width:342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" fillcolor="window" strokecolor="#2f528f" strokeweight="1pt">
                        <v:stroke joinstyle="miter"/>
                      </v:oval>
                      <v:oval id="Oval 85" o:spid="_x0000_s1030" style="position:absolute;left:1270;top:8890;width:342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" fillcolor="#00b050" strokecolor="#2f528f" strokeweight="1pt">
                        <v:stroke joinstyle="miter"/>
                      </v:oval>
                    </v:group>
                  </w:pict>
                </mc:Fallback>
              </mc:AlternateContent>
            </w:r>
          </w:p>
        </w:tc>
        <w:tc>
          <w:tcPr>
            <w:tcW w:w="7603" w:type="dxa"/>
          </w:tcPr>
          <w:p w14:paraId="0EF4E40C" w14:textId="77777777" w:rsidR="00CA07A0" w:rsidRPr="00224BC8" w:rsidRDefault="00CA07A0" w:rsidP="00661EA0">
            <w:pPr>
              <w:rPr>
                <w:noProof/>
                <w:lang w:val="en-US" w:eastAsia="en-AU"/>
              </w:rPr>
            </w:pPr>
            <w:r w:rsidRPr="00224BC8">
              <w:rPr>
                <w:noProof/>
                <w:lang w:val="en-US" w:eastAsia="en-AU"/>
              </w:rPr>
              <w:t>Visible decrease in time to finalize an investigation over the last 4 years reflecting the focus and attention being paid to investigation techniques. Also reflects the more active updating of records under PIMS versus in old system (CRIMS) where closing off investigations was very ad-hoc.</w:t>
            </w:r>
          </w:p>
          <w:p w14:paraId="63DD5DCC" w14:textId="77777777" w:rsidR="00CA07A0" w:rsidRPr="008B3F16" w:rsidRDefault="00CA07A0" w:rsidP="00661EA0">
            <w:pPr>
              <w:rPr>
                <w:noProof/>
                <w:sz w:val="10"/>
                <w:szCs w:val="10"/>
                <w:lang w:val="en-US" w:eastAsia="en-AU"/>
              </w:rPr>
            </w:pPr>
          </w:p>
        </w:tc>
      </w:tr>
    </w:tbl>
    <w:p w14:paraId="2ABF615B" w14:textId="77777777" w:rsidR="00CA07A0" w:rsidRPr="00CA07A0" w:rsidRDefault="00CA07A0" w:rsidP="00661EA0">
      <w:pPr>
        <w:rPr>
          <w:lang w:eastAsia="en-AU"/>
        </w:rPr>
      </w:pPr>
      <w:r w:rsidRPr="00CA07A0">
        <w:rPr>
          <w:noProof/>
          <w:lang w:eastAsia="en-AU"/>
        </w:rPr>
        <w:drawing>
          <wp:inline distT="0" distB="0" distL="0" distR="0" wp14:anchorId="5E41C804" wp14:editId="1CA322B7">
            <wp:extent cx="5285240" cy="3451860"/>
            <wp:effectExtent l="0" t="0" r="0" b="0"/>
            <wp:docPr id="87" name="Picture 1">
              <a:extLst xmlns:a="http://schemas.openxmlformats.org/drawingml/2006/main">
                <a:ext uri="{FF2B5EF4-FFF2-40B4-BE49-F238E27FC236}">
                  <a16:creationId xmlns:a16="http://schemas.microsoft.com/office/drawing/2014/main" id="{4457741B-78F9-634E-8E52-289E67E96E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457741B-78F9-634E-8E52-289E67E96E2D}"/>
                        </a:ext>
                      </a:extLst>
                    </pic:cNvPr>
                    <pic:cNvPicPr>
                      <a:picLocks noChangeAspect="1"/>
                    </pic:cNvPicPr>
                  </pic:nvPicPr>
                  <pic:blipFill>
                    <a:blip r:embed="rId41"/>
                    <a:stretch>
                      <a:fillRect/>
                    </a:stretch>
                  </pic:blipFill>
                  <pic:spPr>
                    <a:xfrm>
                      <a:off x="0" y="0"/>
                      <a:ext cx="5285240" cy="3451860"/>
                    </a:xfrm>
                    <a:prstGeom prst="rect">
                      <a:avLst/>
                    </a:prstGeom>
                  </pic:spPr>
                </pic:pic>
              </a:graphicData>
            </a:graphic>
          </wp:inline>
        </w:drawing>
      </w:r>
    </w:p>
    <w:p w14:paraId="0B06B9C0" w14:textId="77777777" w:rsidR="00CA07A0" w:rsidRPr="00CD2401" w:rsidRDefault="00CA07A0" w:rsidP="00CC152F">
      <w:pPr>
        <w:spacing w:after="0"/>
        <w:rPr>
          <w:b/>
          <w:noProof/>
          <w:lang w:eastAsia="en-AU"/>
        </w:rPr>
      </w:pPr>
      <w:r w:rsidRPr="00CD2401">
        <w:rPr>
          <w:b/>
          <w:noProof/>
          <w:lang w:eastAsia="en-AU"/>
        </w:rPr>
        <w:t>Figure 13: Average days to finalise investigation of an offence - and # closed</w:t>
      </w:r>
    </w:p>
    <w:tbl>
      <w:tblPr>
        <w:tblStyle w:val="TableGrid1"/>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6"/>
        <w:gridCol w:w="7603"/>
      </w:tblGrid>
      <w:tr w:rsidR="00CA07A0" w:rsidRPr="00CA07A0" w14:paraId="081BEEBD" w14:textId="77777777" w:rsidTr="00B44E09">
        <w:trPr>
          <w:trHeight w:val="941"/>
        </w:trPr>
        <w:tc>
          <w:tcPr>
            <w:tcW w:w="856" w:type="dxa"/>
          </w:tcPr>
          <w:p w14:paraId="1C10BE7D" w14:textId="77777777" w:rsidR="00CA07A0" w:rsidRPr="00CA07A0" w:rsidRDefault="00CA07A0" w:rsidP="00661EA0">
            <w:pPr>
              <w:rPr>
                <w:rFonts w:eastAsia="Calibri" w:cstheme="minorHAnsi"/>
                <w:noProof/>
                <w:color w:val="44546A" w:themeColor="text2"/>
                <w:sz w:val="30"/>
                <w:szCs w:val="30"/>
                <w:lang w:eastAsia="en-AU"/>
              </w:rPr>
            </w:pPr>
            <w:r w:rsidRPr="00CA07A0">
              <w:rPr>
                <w:rFonts w:eastAsia="Calibri" w:cstheme="minorHAnsi"/>
                <w:noProof/>
                <w:color w:val="44546A" w:themeColor="text2"/>
                <w:sz w:val="30"/>
                <w:szCs w:val="30"/>
                <w:lang w:eastAsia="en-AU"/>
              </w:rPr>
              <mc:AlternateContent>
                <mc:Choice Requires="wpg">
                  <w:drawing>
                    <wp:anchor distT="0" distB="0" distL="114300" distR="114300" simplePos="0" relativeHeight="251672576" behindDoc="0" locked="0" layoutInCell="1" allowOverlap="1" wp14:anchorId="3977881E" wp14:editId="39ADC53C">
                      <wp:simplePos x="0" y="0"/>
                      <wp:positionH relativeFrom="column">
                        <wp:posOffset>5436</wp:posOffset>
                      </wp:positionH>
                      <wp:positionV relativeFrom="paragraph">
                        <wp:posOffset>6388</wp:posOffset>
                      </wp:positionV>
                      <wp:extent cx="403794" cy="535932"/>
                      <wp:effectExtent l="19050" t="19050" r="15875" b="17145"/>
                      <wp:wrapNone/>
                      <wp:docPr id="88" name="Group 6"/>
                      <wp:cNvGraphicFramePr/>
                      <a:graphic xmlns:a="http://schemas.openxmlformats.org/drawingml/2006/main">
                        <a:graphicData uri="http://schemas.microsoft.com/office/word/2010/wordprocessingGroup">
                          <wpg:wgp>
                            <wpg:cNvGrpSpPr/>
                            <wpg:grpSpPr>
                              <a:xfrm>
                                <a:off x="0" y="0"/>
                                <a:ext cx="403794" cy="535932"/>
                                <a:chOff x="0" y="0"/>
                                <a:chExt cx="609600" cy="1282700"/>
                              </a:xfrm>
                            </wpg:grpSpPr>
                            <wps:wsp>
                              <wps:cNvPr id="89" name="Rectangle 89"/>
                              <wps:cNvSpPr/>
                              <wps:spPr>
                                <a:xfrm>
                                  <a:off x="0" y="0"/>
                                  <a:ext cx="609600" cy="1282700"/>
                                </a:xfrm>
                                <a:prstGeom prst="rect">
                                  <a:avLst/>
                                </a:prstGeom>
                                <a:solidFill>
                                  <a:sysClr val="window" lastClr="FFFFFF"/>
                                </a:solidFill>
                                <a:ln w="38100" cap="flat" cmpd="sng" algn="ctr">
                                  <a:solidFill>
                                    <a:srgbClr val="4472C4">
                                      <a:shade val="50000"/>
                                    </a:srgbClr>
                                  </a:solidFill>
                                  <a:prstDash val="solid"/>
                                  <a:miter lim="800000"/>
                                </a:ln>
                                <a:effectLst/>
                              </wps:spPr>
                              <wps:bodyPr rtlCol="0" anchor="ctr"/>
                            </wps:wsp>
                            <wps:wsp>
                              <wps:cNvPr id="90" name="Oval 90"/>
                              <wps:cNvSpPr/>
                              <wps:spPr>
                                <a:xfrm>
                                  <a:off x="127000" y="101600"/>
                                  <a:ext cx="342900" cy="317500"/>
                                </a:xfrm>
                                <a:prstGeom prst="ellipse">
                                  <a:avLst/>
                                </a:prstGeom>
                                <a:solidFill>
                                  <a:sysClr val="window" lastClr="FFFFFF"/>
                                </a:solidFill>
                                <a:ln w="12700" cap="flat" cmpd="sng" algn="ctr">
                                  <a:solidFill>
                                    <a:srgbClr val="4472C4">
                                      <a:shade val="50000"/>
                                    </a:srgbClr>
                                  </a:solidFill>
                                  <a:prstDash val="solid"/>
                                  <a:miter lim="800000"/>
                                </a:ln>
                                <a:effectLst/>
                              </wps:spPr>
                              <wps:bodyPr rtlCol="0" anchor="ctr"/>
                            </wps:wsp>
                            <wps:wsp>
                              <wps:cNvPr id="91" name="Oval 91"/>
                              <wps:cNvSpPr/>
                              <wps:spPr>
                                <a:xfrm>
                                  <a:off x="127000" y="495300"/>
                                  <a:ext cx="342900" cy="317500"/>
                                </a:xfrm>
                                <a:prstGeom prst="ellipse">
                                  <a:avLst/>
                                </a:prstGeom>
                                <a:solidFill>
                                  <a:sysClr val="window" lastClr="FFFFFF"/>
                                </a:solidFill>
                                <a:ln w="12700" cap="flat" cmpd="sng" algn="ctr">
                                  <a:solidFill>
                                    <a:srgbClr val="4472C4">
                                      <a:shade val="50000"/>
                                    </a:srgbClr>
                                  </a:solidFill>
                                  <a:prstDash val="solid"/>
                                  <a:miter lim="800000"/>
                                </a:ln>
                                <a:effectLst/>
                              </wps:spPr>
                              <wps:bodyPr rtlCol="0" anchor="ctr"/>
                            </wps:wsp>
                            <wps:wsp>
                              <wps:cNvPr id="92" name="Oval 92"/>
                              <wps:cNvSpPr/>
                              <wps:spPr>
                                <a:xfrm>
                                  <a:off x="127000" y="889000"/>
                                  <a:ext cx="342900" cy="317500"/>
                                </a:xfrm>
                                <a:prstGeom prst="ellipse">
                                  <a:avLst/>
                                </a:prstGeom>
                                <a:solidFill>
                                  <a:srgbClr val="00B050"/>
                                </a:solidFill>
                                <a:ln w="12700" cap="flat" cmpd="sng" algn="ctr">
                                  <a:solidFill>
                                    <a:srgbClr val="4472C4">
                                      <a:shade val="50000"/>
                                    </a:srgbClr>
                                  </a:solidFill>
                                  <a:prstDash val="solid"/>
                                  <a:miter lim="800000"/>
                                </a:ln>
                                <a:effectLst/>
                              </wps:spPr>
                              <wps:bodyPr rtlCol="0" anchor="ct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CE76665" id="Group 6" o:spid="_x0000_s1026" style="position:absolute;margin-left:.45pt;margin-top:.5pt;width:31.8pt;height:42.2pt;z-index:251672576;mso-width-relative:margin;mso-height-relative:margin" coordsize="6096,12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">
                      <v:rect id="Rectangle 89" o:spid="_x0000_s1027" style="position:absolute;width:6096;height:12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" fillcolor="window" strokecolor="#2f528f" strokeweight="3pt"/>
                      <v:oval id="Oval 90" o:spid="_x0000_s1028" style="position:absolute;left:1270;top:1016;width:342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" fillcolor="window" strokecolor="#2f528f" strokeweight="1pt">
                        <v:stroke joinstyle="miter"/>
                      </v:oval>
                      <v:oval id="Oval 91" o:spid="_x0000_s1029" style="position:absolute;left:1270;top:4953;width:342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" fillcolor="window" strokecolor="#2f528f" strokeweight="1pt">
                        <v:stroke joinstyle="miter"/>
                      </v:oval>
                      <v:oval id="Oval 92" o:spid="_x0000_s1030" style="position:absolute;left:1270;top:8890;width:342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" fillcolor="#00b050" strokecolor="#2f528f" strokeweight="1pt">
                        <v:stroke joinstyle="miter"/>
                      </v:oval>
                    </v:group>
                  </w:pict>
                </mc:Fallback>
              </mc:AlternateContent>
            </w:r>
          </w:p>
        </w:tc>
        <w:tc>
          <w:tcPr>
            <w:tcW w:w="7603" w:type="dxa"/>
          </w:tcPr>
          <w:p w14:paraId="49687CAE" w14:textId="77777777" w:rsidR="00CA07A0" w:rsidRPr="00224BC8" w:rsidRDefault="00CA07A0" w:rsidP="00661EA0">
            <w:pPr>
              <w:rPr>
                <w:noProof/>
                <w:lang w:val="en-US" w:eastAsia="en-AU"/>
              </w:rPr>
            </w:pPr>
            <w:r w:rsidRPr="00224BC8">
              <w:rPr>
                <w:noProof/>
                <w:lang w:val="en-US" w:eastAsia="en-AU"/>
              </w:rPr>
              <w:t>Visible decrease in time to finalize an investigation over the last 4 years reflecting the focus and attention being paid to investigation techniques. Note: also shows increasing #s of FP Act matters</w:t>
            </w:r>
          </w:p>
          <w:p w14:paraId="4883ECB0" w14:textId="77777777" w:rsidR="00CA07A0" w:rsidRPr="008B3F16" w:rsidRDefault="00CA07A0" w:rsidP="00661EA0">
            <w:pPr>
              <w:rPr>
                <w:noProof/>
                <w:sz w:val="10"/>
                <w:szCs w:val="10"/>
                <w:lang w:val="en-US" w:eastAsia="en-AU"/>
              </w:rPr>
            </w:pPr>
          </w:p>
        </w:tc>
      </w:tr>
    </w:tbl>
    <w:p w14:paraId="32A2711F" w14:textId="77777777" w:rsidR="00CA07A0" w:rsidRPr="00CA07A0" w:rsidRDefault="00CA07A0" w:rsidP="00661EA0">
      <w:pPr>
        <w:rPr>
          <w:lang w:eastAsia="en-AU"/>
        </w:rPr>
      </w:pPr>
      <w:r w:rsidRPr="00CA07A0">
        <w:rPr>
          <w:noProof/>
          <w:lang w:eastAsia="en-AU"/>
        </w:rPr>
        <w:drawing>
          <wp:inline distT="0" distB="0" distL="0" distR="0" wp14:anchorId="5A745C92" wp14:editId="3D103BB5">
            <wp:extent cx="5182180" cy="3384550"/>
            <wp:effectExtent l="0" t="0" r="0" b="6350"/>
            <wp:docPr id="94" name="Picture 1">
              <a:extLst xmlns:a="http://schemas.openxmlformats.org/drawingml/2006/main">
                <a:ext uri="{FF2B5EF4-FFF2-40B4-BE49-F238E27FC236}">
                  <a16:creationId xmlns:a16="http://schemas.microsoft.com/office/drawing/2014/main" id="{3933C167-ADE7-CA4B-BDA3-BB4CB19B11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3933C167-ADE7-CA4B-BDA3-BB4CB19B11D6}"/>
                        </a:ext>
                      </a:extLst>
                    </pic:cNvPr>
                    <pic:cNvPicPr>
                      <a:picLocks noChangeAspect="1"/>
                    </pic:cNvPicPr>
                  </pic:nvPicPr>
                  <pic:blipFill>
                    <a:blip r:embed="rId42"/>
                    <a:stretch>
                      <a:fillRect/>
                    </a:stretch>
                  </pic:blipFill>
                  <pic:spPr>
                    <a:xfrm>
                      <a:off x="0" y="0"/>
                      <a:ext cx="5188174" cy="3388465"/>
                    </a:xfrm>
                    <a:prstGeom prst="rect">
                      <a:avLst/>
                    </a:prstGeom>
                  </pic:spPr>
                </pic:pic>
              </a:graphicData>
            </a:graphic>
          </wp:inline>
        </w:drawing>
      </w:r>
    </w:p>
    <w:p w14:paraId="1CDA8F66" w14:textId="77777777" w:rsidR="00CA07A0" w:rsidRPr="00CD2401" w:rsidRDefault="00CA07A0" w:rsidP="00661EA0">
      <w:pPr>
        <w:rPr>
          <w:b/>
          <w:noProof/>
          <w:color w:val="44546A" w:themeColor="text2"/>
          <w:lang w:eastAsia="en-AU"/>
        </w:rPr>
      </w:pPr>
      <w:r w:rsidRPr="00CD2401">
        <w:rPr>
          <w:b/>
          <w:noProof/>
          <w:color w:val="44546A" w:themeColor="text2"/>
          <w:lang w:eastAsia="en-AU"/>
        </w:rPr>
        <w:t xml:space="preserve">PROSECUTION </w:t>
      </w:r>
    </w:p>
    <w:p w14:paraId="07BC0D6E" w14:textId="77777777" w:rsidR="00CA07A0" w:rsidRPr="00CD2401" w:rsidRDefault="00CA07A0" w:rsidP="00CC152F">
      <w:pPr>
        <w:spacing w:after="0"/>
        <w:rPr>
          <w:b/>
          <w:noProof/>
          <w:lang w:eastAsia="en-AU"/>
        </w:rPr>
      </w:pPr>
      <w:r w:rsidRPr="00CD2401">
        <w:rPr>
          <w:b/>
          <w:noProof/>
          <w:lang w:eastAsia="en-AU"/>
        </w:rPr>
        <w:t>Figure 14: Prosecution – cases registered</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170"/>
      </w:tblGrid>
      <w:tr w:rsidR="00CA07A0" w:rsidRPr="00CA07A0" w14:paraId="57D240F5" w14:textId="77777777" w:rsidTr="00B44E09">
        <w:tc>
          <w:tcPr>
            <w:tcW w:w="846" w:type="dxa"/>
          </w:tcPr>
          <w:p w14:paraId="545BF27A" w14:textId="77777777" w:rsidR="00CA07A0" w:rsidRPr="00CA07A0" w:rsidRDefault="00CA07A0" w:rsidP="00661EA0">
            <w:pPr>
              <w:rPr>
                <w:rFonts w:eastAsia="Calibri" w:cstheme="minorHAnsi"/>
                <w:noProof/>
                <w:color w:val="44546A" w:themeColor="text2"/>
                <w:sz w:val="30"/>
                <w:szCs w:val="30"/>
                <w:lang w:eastAsia="en-AU"/>
              </w:rPr>
            </w:pPr>
            <w:r w:rsidRPr="00CA07A0">
              <w:rPr>
                <w:rFonts w:eastAsia="Calibri" w:cstheme="minorHAnsi"/>
                <w:noProof/>
                <w:color w:val="757575"/>
                <w:sz w:val="30"/>
                <w:szCs w:val="30"/>
                <w:lang w:eastAsia="en-AU"/>
              </w:rPr>
              <mc:AlternateContent>
                <mc:Choice Requires="wpg">
                  <w:drawing>
                    <wp:anchor distT="0" distB="0" distL="114300" distR="114300" simplePos="0" relativeHeight="251673600" behindDoc="0" locked="0" layoutInCell="1" allowOverlap="1" wp14:anchorId="32CF7375" wp14:editId="5B8D2E23">
                      <wp:simplePos x="0" y="0"/>
                      <wp:positionH relativeFrom="column">
                        <wp:posOffset>-23102</wp:posOffset>
                      </wp:positionH>
                      <wp:positionV relativeFrom="paragraph">
                        <wp:posOffset>46884</wp:posOffset>
                      </wp:positionV>
                      <wp:extent cx="372080" cy="508774"/>
                      <wp:effectExtent l="19050" t="19050" r="28575" b="24765"/>
                      <wp:wrapNone/>
                      <wp:docPr id="95" name="Group 9"/>
                      <wp:cNvGraphicFramePr/>
                      <a:graphic xmlns:a="http://schemas.openxmlformats.org/drawingml/2006/main">
                        <a:graphicData uri="http://schemas.microsoft.com/office/word/2010/wordprocessingGroup">
                          <wpg:wgp>
                            <wpg:cNvGrpSpPr/>
                            <wpg:grpSpPr>
                              <a:xfrm>
                                <a:off x="0" y="0"/>
                                <a:ext cx="372080" cy="508774"/>
                                <a:chOff x="0" y="0"/>
                                <a:chExt cx="609600" cy="1282700"/>
                              </a:xfrm>
                            </wpg:grpSpPr>
                            <wps:wsp>
                              <wps:cNvPr id="96" name="Rectangle 96"/>
                              <wps:cNvSpPr/>
                              <wps:spPr>
                                <a:xfrm>
                                  <a:off x="0" y="0"/>
                                  <a:ext cx="609600" cy="1282700"/>
                                </a:xfrm>
                                <a:prstGeom prst="rect">
                                  <a:avLst/>
                                </a:prstGeom>
                                <a:solidFill>
                                  <a:sysClr val="window" lastClr="FFFFFF"/>
                                </a:solidFill>
                                <a:ln w="38100" cap="flat" cmpd="sng" algn="ctr">
                                  <a:solidFill>
                                    <a:srgbClr val="4472C4">
                                      <a:shade val="50000"/>
                                    </a:srgbClr>
                                  </a:solidFill>
                                  <a:prstDash val="solid"/>
                                  <a:miter lim="800000"/>
                                </a:ln>
                                <a:effectLst/>
                              </wps:spPr>
                              <wps:bodyPr rtlCol="0" anchor="ctr"/>
                            </wps:wsp>
                            <wps:wsp>
                              <wps:cNvPr id="97" name="Oval 97"/>
                              <wps:cNvSpPr/>
                              <wps:spPr>
                                <a:xfrm>
                                  <a:off x="127000" y="101600"/>
                                  <a:ext cx="342900" cy="317500"/>
                                </a:xfrm>
                                <a:prstGeom prst="ellipse">
                                  <a:avLst/>
                                </a:prstGeom>
                                <a:solidFill>
                                  <a:sysClr val="window" lastClr="FFFFFF"/>
                                </a:solidFill>
                                <a:ln w="12700" cap="flat" cmpd="sng" algn="ctr">
                                  <a:solidFill>
                                    <a:srgbClr val="4472C4">
                                      <a:shade val="50000"/>
                                    </a:srgbClr>
                                  </a:solidFill>
                                  <a:prstDash val="solid"/>
                                  <a:miter lim="800000"/>
                                </a:ln>
                                <a:effectLst/>
                              </wps:spPr>
                              <wps:bodyPr rtlCol="0" anchor="ctr"/>
                            </wps:wsp>
                            <wps:wsp>
                              <wps:cNvPr id="98" name="Oval 98"/>
                              <wps:cNvSpPr/>
                              <wps:spPr>
                                <a:xfrm>
                                  <a:off x="127000" y="495300"/>
                                  <a:ext cx="342900" cy="317500"/>
                                </a:xfrm>
                                <a:prstGeom prst="ellipse">
                                  <a:avLst/>
                                </a:prstGeom>
                                <a:solidFill>
                                  <a:srgbClr val="FFFF00"/>
                                </a:solidFill>
                                <a:ln w="12700" cap="flat" cmpd="sng" algn="ctr">
                                  <a:solidFill>
                                    <a:srgbClr val="4472C4">
                                      <a:shade val="50000"/>
                                    </a:srgbClr>
                                  </a:solidFill>
                                  <a:prstDash val="solid"/>
                                  <a:miter lim="800000"/>
                                </a:ln>
                                <a:effectLst/>
                              </wps:spPr>
                              <wps:bodyPr rtlCol="0" anchor="ctr"/>
                            </wps:wsp>
                            <wps:wsp>
                              <wps:cNvPr id="99" name="Oval 99"/>
                              <wps:cNvSpPr/>
                              <wps:spPr>
                                <a:xfrm>
                                  <a:off x="127000" y="889000"/>
                                  <a:ext cx="342900" cy="317500"/>
                                </a:xfrm>
                                <a:prstGeom prst="ellipse">
                                  <a:avLst/>
                                </a:prstGeom>
                                <a:solidFill>
                                  <a:sysClr val="window" lastClr="FFFFFF"/>
                                </a:solidFill>
                                <a:ln w="12700" cap="flat" cmpd="sng" algn="ctr">
                                  <a:solidFill>
                                    <a:srgbClr val="4472C4">
                                      <a:shade val="50000"/>
                                    </a:srgbClr>
                                  </a:solidFill>
                                  <a:prstDash val="solid"/>
                                  <a:miter lim="800000"/>
                                </a:ln>
                                <a:effectLst/>
                              </wps:spPr>
                              <wps:bodyPr rtlCol="0" anchor="ct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28925BE" id="Group 9" o:spid="_x0000_s1026" style="position:absolute;margin-left:-1.8pt;margin-top:3.7pt;width:29.3pt;height:40.05pt;z-index:251673600;mso-width-relative:margin;mso-height-relative:margin" coordsize="6096,12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">
                      <v:rect id="Rectangle 96" o:spid="_x0000_s1027" style="position:absolute;width:6096;height:12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" fillcolor="window" strokecolor="#2f528f" strokeweight="3pt"/>
                      <v:oval id="Oval 97" o:spid="_x0000_s1028" style="position:absolute;left:1270;top:1016;width:342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" fillcolor="window" strokecolor="#2f528f" strokeweight="1pt">
                        <v:stroke joinstyle="miter"/>
                      </v:oval>
                      <v:oval id="Oval 98" o:spid="_x0000_s1029" style="position:absolute;left:1270;top:4953;width:342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" fillcolor="yellow" strokecolor="#2f528f" strokeweight="1pt">
                        <v:stroke joinstyle="miter"/>
                      </v:oval>
                      <v:oval id="Oval 99" o:spid="_x0000_s1030" style="position:absolute;left:1270;top:8890;width:342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" fillcolor="window" strokecolor="#2f528f" strokeweight="1pt">
                        <v:stroke joinstyle="miter"/>
                      </v:oval>
                    </v:group>
                  </w:pict>
                </mc:Fallback>
              </mc:AlternateContent>
            </w:r>
          </w:p>
        </w:tc>
        <w:tc>
          <w:tcPr>
            <w:tcW w:w="8170" w:type="dxa"/>
          </w:tcPr>
          <w:p w14:paraId="66721107" w14:textId="77777777" w:rsidR="009A4E9F" w:rsidRPr="00224BC8" w:rsidRDefault="009A4E9F" w:rsidP="00661EA0">
            <w:pPr>
              <w:rPr>
                <w:noProof/>
                <w:lang w:val="en-US" w:eastAsia="en-AU"/>
              </w:rPr>
            </w:pPr>
            <w:r w:rsidRPr="009A4E9F">
              <w:rPr>
                <w:noProof/>
                <w:lang w:val="en-US" w:eastAsia="en-AU"/>
              </w:rPr>
              <w:t>Both offices (SPD and OPP) have seen significant variations in cases being registered. Reasons are varied, and location dependent, and being analyzed by their respective management.</w:t>
            </w:r>
          </w:p>
          <w:p w14:paraId="41042A29" w14:textId="77777777" w:rsidR="00CA07A0" w:rsidRPr="008B3F16" w:rsidRDefault="00CA07A0" w:rsidP="00661EA0">
            <w:pPr>
              <w:rPr>
                <w:sz w:val="10"/>
                <w:szCs w:val="10"/>
                <w:lang w:eastAsia="en-AU"/>
              </w:rPr>
            </w:pPr>
          </w:p>
        </w:tc>
      </w:tr>
    </w:tbl>
    <w:p w14:paraId="3812DD95" w14:textId="77777777" w:rsidR="00CA07A0" w:rsidRPr="009A4E9F" w:rsidRDefault="00CA07A0" w:rsidP="00661EA0">
      <w:pPr>
        <w:rPr>
          <w:sz w:val="2"/>
          <w:szCs w:val="2"/>
          <w:lang w:eastAsia="en-AU"/>
        </w:rPr>
      </w:pPr>
    </w:p>
    <w:p w14:paraId="46CB6A28" w14:textId="77777777" w:rsidR="009A4E9F" w:rsidRPr="00CA07A0" w:rsidRDefault="009A4E9F" w:rsidP="00661EA0">
      <w:pPr>
        <w:rPr>
          <w:lang w:eastAsia="en-AU"/>
        </w:rPr>
      </w:pPr>
      <w:r w:rsidRPr="009A4E9F">
        <w:rPr>
          <w:noProof/>
          <w:lang w:eastAsia="en-AU"/>
        </w:rPr>
        <w:drawing>
          <wp:inline distT="0" distB="0" distL="0" distR="0" wp14:anchorId="522FDE5D" wp14:editId="117273F9">
            <wp:extent cx="5583353" cy="3168000"/>
            <wp:effectExtent l="0" t="0" r="0" b="0"/>
            <wp:docPr id="221" name="Picture 1">
              <a:extLst xmlns:a="http://schemas.openxmlformats.org/drawingml/2006/main">
                <a:ext uri="{FF2B5EF4-FFF2-40B4-BE49-F238E27FC236}">
                  <a16:creationId xmlns:a16="http://schemas.microsoft.com/office/drawing/2014/main" id="{8872DC30-1362-AA4A-94E5-22623D21E2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8872DC30-1362-AA4A-94E5-22623D21E2F0}"/>
                        </a:ext>
                      </a:extLst>
                    </pic:cNvPr>
                    <pic:cNvPicPr>
                      <a:picLocks noChangeAspect="1"/>
                    </pic:cNvPicPr>
                  </pic:nvPicPr>
                  <pic:blipFill>
                    <a:blip r:embed="rId43"/>
                    <a:stretch>
                      <a:fillRect/>
                    </a:stretch>
                  </pic:blipFill>
                  <pic:spPr>
                    <a:xfrm>
                      <a:off x="0" y="0"/>
                      <a:ext cx="5587500" cy="3170353"/>
                    </a:xfrm>
                    <a:prstGeom prst="rect">
                      <a:avLst/>
                    </a:prstGeom>
                  </pic:spPr>
                </pic:pic>
              </a:graphicData>
            </a:graphic>
          </wp:inline>
        </w:drawing>
      </w:r>
    </w:p>
    <w:p w14:paraId="04B44FE2" w14:textId="77777777" w:rsidR="00CA07A0" w:rsidRPr="00CD2401" w:rsidRDefault="00CA07A0" w:rsidP="00CC152F">
      <w:pPr>
        <w:spacing w:after="0"/>
        <w:rPr>
          <w:b/>
          <w:noProof/>
          <w:lang w:eastAsia="en-AU"/>
        </w:rPr>
      </w:pPr>
      <w:r w:rsidRPr="00CD2401">
        <w:rPr>
          <w:b/>
          <w:noProof/>
          <w:lang w:eastAsia="en-AU"/>
        </w:rPr>
        <w:t>Figure 15: Prosecution – cases registered – by major location</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170"/>
      </w:tblGrid>
      <w:tr w:rsidR="00CA07A0" w:rsidRPr="00CA07A0" w14:paraId="1E56CC21" w14:textId="77777777" w:rsidTr="00DF7BD2">
        <w:tc>
          <w:tcPr>
            <w:tcW w:w="846" w:type="dxa"/>
          </w:tcPr>
          <w:p w14:paraId="1469524B" w14:textId="77777777" w:rsidR="00CA07A0" w:rsidRPr="00CA07A0" w:rsidRDefault="00CA07A0" w:rsidP="00661EA0">
            <w:pPr>
              <w:rPr>
                <w:rFonts w:eastAsia="Calibri" w:cstheme="minorHAnsi"/>
                <w:noProof/>
                <w:color w:val="44546A" w:themeColor="text2"/>
                <w:sz w:val="30"/>
                <w:szCs w:val="30"/>
                <w:lang w:eastAsia="en-AU"/>
              </w:rPr>
            </w:pPr>
            <w:r w:rsidRPr="00CA07A0">
              <w:rPr>
                <w:rFonts w:eastAsia="Calibri" w:cstheme="minorHAnsi"/>
                <w:noProof/>
                <w:color w:val="757575"/>
                <w:sz w:val="30"/>
                <w:szCs w:val="30"/>
                <w:lang w:eastAsia="en-AU"/>
              </w:rPr>
              <mc:AlternateContent>
                <mc:Choice Requires="wpg">
                  <w:drawing>
                    <wp:anchor distT="0" distB="0" distL="114300" distR="114300" simplePos="0" relativeHeight="251674624" behindDoc="0" locked="0" layoutInCell="1" allowOverlap="1" wp14:anchorId="6ED7D74B" wp14:editId="696B4F28">
                      <wp:simplePos x="0" y="0"/>
                      <wp:positionH relativeFrom="column">
                        <wp:posOffset>-5715</wp:posOffset>
                      </wp:positionH>
                      <wp:positionV relativeFrom="paragraph">
                        <wp:posOffset>82833</wp:posOffset>
                      </wp:positionV>
                      <wp:extent cx="372080" cy="508774"/>
                      <wp:effectExtent l="19050" t="19050" r="28575" b="24765"/>
                      <wp:wrapNone/>
                      <wp:docPr id="101" name="Group 9"/>
                      <wp:cNvGraphicFramePr/>
                      <a:graphic xmlns:a="http://schemas.openxmlformats.org/drawingml/2006/main">
                        <a:graphicData uri="http://schemas.microsoft.com/office/word/2010/wordprocessingGroup">
                          <wpg:wgp>
                            <wpg:cNvGrpSpPr/>
                            <wpg:grpSpPr>
                              <a:xfrm>
                                <a:off x="0" y="0"/>
                                <a:ext cx="372080" cy="508774"/>
                                <a:chOff x="0" y="0"/>
                                <a:chExt cx="609600" cy="1282700"/>
                              </a:xfrm>
                            </wpg:grpSpPr>
                            <wps:wsp>
                              <wps:cNvPr id="102" name="Rectangle 102"/>
                              <wps:cNvSpPr/>
                              <wps:spPr>
                                <a:xfrm>
                                  <a:off x="0" y="0"/>
                                  <a:ext cx="609600" cy="1282700"/>
                                </a:xfrm>
                                <a:prstGeom prst="rect">
                                  <a:avLst/>
                                </a:prstGeom>
                                <a:solidFill>
                                  <a:sysClr val="window" lastClr="FFFFFF"/>
                                </a:solidFill>
                                <a:ln w="38100" cap="flat" cmpd="sng" algn="ctr">
                                  <a:solidFill>
                                    <a:srgbClr val="4472C4">
                                      <a:shade val="50000"/>
                                    </a:srgbClr>
                                  </a:solidFill>
                                  <a:prstDash val="solid"/>
                                  <a:miter lim="800000"/>
                                </a:ln>
                                <a:effectLst/>
                              </wps:spPr>
                              <wps:bodyPr rtlCol="0" anchor="ctr"/>
                            </wps:wsp>
                            <wps:wsp>
                              <wps:cNvPr id="103" name="Oval 103"/>
                              <wps:cNvSpPr/>
                              <wps:spPr>
                                <a:xfrm>
                                  <a:off x="127000" y="101600"/>
                                  <a:ext cx="342900" cy="317500"/>
                                </a:xfrm>
                                <a:prstGeom prst="ellipse">
                                  <a:avLst/>
                                </a:prstGeom>
                                <a:solidFill>
                                  <a:sysClr val="window" lastClr="FFFFFF"/>
                                </a:solidFill>
                                <a:ln w="12700" cap="flat" cmpd="sng" algn="ctr">
                                  <a:solidFill>
                                    <a:srgbClr val="4472C4">
                                      <a:shade val="50000"/>
                                    </a:srgbClr>
                                  </a:solidFill>
                                  <a:prstDash val="solid"/>
                                  <a:miter lim="800000"/>
                                </a:ln>
                                <a:effectLst/>
                              </wps:spPr>
                              <wps:bodyPr rtlCol="0" anchor="ctr"/>
                            </wps:wsp>
                            <wps:wsp>
                              <wps:cNvPr id="104" name="Oval 104"/>
                              <wps:cNvSpPr/>
                              <wps:spPr>
                                <a:xfrm>
                                  <a:off x="127000" y="495300"/>
                                  <a:ext cx="342900" cy="317500"/>
                                </a:xfrm>
                                <a:prstGeom prst="ellipse">
                                  <a:avLst/>
                                </a:prstGeom>
                                <a:solidFill>
                                  <a:srgbClr val="FFFF00"/>
                                </a:solidFill>
                                <a:ln w="12700" cap="flat" cmpd="sng" algn="ctr">
                                  <a:solidFill>
                                    <a:srgbClr val="4472C4">
                                      <a:shade val="50000"/>
                                    </a:srgbClr>
                                  </a:solidFill>
                                  <a:prstDash val="solid"/>
                                  <a:miter lim="800000"/>
                                </a:ln>
                                <a:effectLst/>
                              </wps:spPr>
                              <wps:bodyPr rtlCol="0" anchor="ctr"/>
                            </wps:wsp>
                            <wps:wsp>
                              <wps:cNvPr id="105" name="Oval 105"/>
                              <wps:cNvSpPr/>
                              <wps:spPr>
                                <a:xfrm>
                                  <a:off x="127000" y="889000"/>
                                  <a:ext cx="342900" cy="317500"/>
                                </a:xfrm>
                                <a:prstGeom prst="ellipse">
                                  <a:avLst/>
                                </a:prstGeom>
                                <a:solidFill>
                                  <a:sysClr val="window" lastClr="FFFFFF"/>
                                </a:solidFill>
                                <a:ln w="12700" cap="flat" cmpd="sng" algn="ctr">
                                  <a:solidFill>
                                    <a:srgbClr val="4472C4">
                                      <a:shade val="50000"/>
                                    </a:srgbClr>
                                  </a:solidFill>
                                  <a:prstDash val="solid"/>
                                  <a:miter lim="800000"/>
                                </a:ln>
                                <a:effectLst/>
                              </wps:spPr>
                              <wps:bodyPr rtlCol="0" anchor="ct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5F71F2A" id="Group 9" o:spid="_x0000_s1026" style="position:absolute;margin-left:-.45pt;margin-top:6.5pt;width:29.3pt;height:40.05pt;z-index:251674624;mso-width-relative:margin;mso-height-relative:margin" coordsize="6096,12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">
                      <v:rect id="Rectangle 102" o:spid="_x0000_s1027" style="position:absolute;width:6096;height:12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" fillcolor="window" strokecolor="#2f528f" strokeweight="3pt"/>
                      <v:oval id="Oval 103" o:spid="_x0000_s1028" style="position:absolute;left:1270;top:1016;width:342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" fillcolor="window" strokecolor="#2f528f" strokeweight="1pt">
                        <v:stroke joinstyle="miter"/>
                      </v:oval>
                      <v:oval id="Oval 104" o:spid="_x0000_s1029" style="position:absolute;left:1270;top:4953;width:342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" fillcolor="yellow" strokecolor="#2f528f" strokeweight="1pt">
                        <v:stroke joinstyle="miter"/>
                      </v:oval>
                      <v:oval id="Oval 105" o:spid="_x0000_s1030" style="position:absolute;left:1270;top:8890;width:342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" fillcolor="window" strokecolor="#2f528f" strokeweight="1pt">
                        <v:stroke joinstyle="miter"/>
                      </v:oval>
                    </v:group>
                  </w:pict>
                </mc:Fallback>
              </mc:AlternateContent>
            </w:r>
          </w:p>
        </w:tc>
        <w:tc>
          <w:tcPr>
            <w:tcW w:w="8170" w:type="dxa"/>
          </w:tcPr>
          <w:p w14:paraId="2786BBC6" w14:textId="77777777" w:rsidR="00556C00" w:rsidRPr="00556C00" w:rsidRDefault="00556C00" w:rsidP="00556C00">
            <w:pPr>
              <w:rPr>
                <w:rFonts w:eastAsia="Calibri" w:cstheme="minorHAnsi"/>
                <w:noProof/>
                <w:lang w:eastAsia="en-AU"/>
              </w:rPr>
            </w:pPr>
            <w:r w:rsidRPr="00556C00">
              <w:rPr>
                <w:rFonts w:eastAsia="Calibri" w:cstheme="minorHAnsi"/>
                <w:noProof/>
                <w:lang w:val="en-US" w:eastAsia="en-AU"/>
              </w:rPr>
              <w:t>During 2018, there was a significant shift/redirect of cases between SPD Port Vila to OPP Port Vila. In 2019, OPP Port Vila has returned to 2017 levels, while SPD Port Vila continues to reduce. This situation is currently being reviewed by management.</w:t>
            </w:r>
          </w:p>
          <w:p w14:paraId="76DE5B11" w14:textId="77777777" w:rsidR="00556C00" w:rsidRPr="00556C00" w:rsidRDefault="00556C00" w:rsidP="00661EA0">
            <w:pPr>
              <w:rPr>
                <w:rFonts w:eastAsia="Calibri" w:cstheme="minorHAnsi"/>
                <w:noProof/>
                <w:lang w:eastAsia="en-AU"/>
              </w:rPr>
            </w:pPr>
            <w:r w:rsidRPr="00556C00">
              <w:rPr>
                <w:rFonts w:eastAsia="Calibri" w:cstheme="minorHAnsi"/>
                <w:noProof/>
                <w:lang w:val="en-US" w:eastAsia="en-AU"/>
              </w:rPr>
              <w:t xml:space="preserve">SPD Santo registered many outstanding cases. </w:t>
            </w:r>
          </w:p>
          <w:p w14:paraId="4B588799" w14:textId="77777777" w:rsidR="00CA07A0" w:rsidRPr="008B3F16" w:rsidRDefault="00CA07A0" w:rsidP="00661EA0">
            <w:pPr>
              <w:rPr>
                <w:sz w:val="10"/>
                <w:szCs w:val="10"/>
                <w:lang w:eastAsia="en-AU"/>
              </w:rPr>
            </w:pPr>
          </w:p>
        </w:tc>
      </w:tr>
    </w:tbl>
    <w:p w14:paraId="02E1D5C6" w14:textId="77777777" w:rsidR="00CA07A0" w:rsidRPr="00CA07A0" w:rsidRDefault="00CA07A0" w:rsidP="00661EA0">
      <w:pPr>
        <w:rPr>
          <w:lang w:eastAsia="en-AU"/>
        </w:rPr>
      </w:pPr>
      <w:r w:rsidRPr="00CA07A0">
        <w:rPr>
          <w:noProof/>
          <w:lang w:eastAsia="en-AU"/>
        </w:rPr>
        <w:drawing>
          <wp:inline distT="0" distB="0" distL="0" distR="0" wp14:anchorId="54C8958F" wp14:editId="2E1E7B99">
            <wp:extent cx="5918556" cy="3528000"/>
            <wp:effectExtent l="0" t="0" r="6350" b="0"/>
            <wp:docPr id="106" name="Picture 1">
              <a:extLst xmlns:a="http://schemas.openxmlformats.org/drawingml/2006/main">
                <a:ext uri="{FF2B5EF4-FFF2-40B4-BE49-F238E27FC236}">
                  <a16:creationId xmlns:a16="http://schemas.microsoft.com/office/drawing/2014/main" id="{00B5E881-17A1-0F43-9F99-FF7CB6D137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0B5E881-17A1-0F43-9F99-FF7CB6D137DA}"/>
                        </a:ext>
                      </a:extLst>
                    </pic:cNvPr>
                    <pic:cNvPicPr>
                      <a:picLocks noChangeAspect="1"/>
                    </pic:cNvPicPr>
                  </pic:nvPicPr>
                  <pic:blipFill>
                    <a:blip r:embed="rId44"/>
                    <a:stretch>
                      <a:fillRect/>
                    </a:stretch>
                  </pic:blipFill>
                  <pic:spPr>
                    <a:xfrm>
                      <a:off x="0" y="0"/>
                      <a:ext cx="5932848" cy="3536519"/>
                    </a:xfrm>
                    <a:prstGeom prst="rect">
                      <a:avLst/>
                    </a:prstGeom>
                  </pic:spPr>
                </pic:pic>
              </a:graphicData>
            </a:graphic>
          </wp:inline>
        </w:drawing>
      </w:r>
    </w:p>
    <w:p w14:paraId="2CD2C0DB" w14:textId="77777777" w:rsidR="00CA07A0" w:rsidRPr="00CD2401" w:rsidRDefault="00CA07A0" w:rsidP="00CC152F">
      <w:pPr>
        <w:spacing w:after="0"/>
        <w:rPr>
          <w:b/>
          <w:noProof/>
          <w:lang w:eastAsia="en-AU"/>
        </w:rPr>
      </w:pPr>
      <w:bookmarkStart w:id="53" w:name="_Hlk20154602"/>
      <w:r w:rsidRPr="00CD2401">
        <w:rPr>
          <w:b/>
          <w:noProof/>
          <w:lang w:eastAsia="en-AU"/>
        </w:rPr>
        <w:t>Figure 16: OPP – offences registered</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CA07A0" w:rsidRPr="00CA07A0" w14:paraId="69909725" w14:textId="77777777" w:rsidTr="009D4CDA">
        <w:tc>
          <w:tcPr>
            <w:tcW w:w="9016" w:type="dxa"/>
          </w:tcPr>
          <w:bookmarkEnd w:id="53"/>
          <w:p w14:paraId="2C3D66AE" w14:textId="77777777" w:rsidR="00CA07A0" w:rsidRPr="00933F29" w:rsidRDefault="00933F29" w:rsidP="00661EA0">
            <w:pPr>
              <w:rPr>
                <w:lang w:eastAsia="en-AU"/>
              </w:rPr>
            </w:pPr>
            <w:r w:rsidRPr="00933F29">
              <w:rPr>
                <w:lang w:val="en-US" w:eastAsia="en-AU"/>
              </w:rPr>
              <w:t>2018 saw a general increase as a result of taking on more cases from SPD – especially in Port Vila. Volumes are now more aligned to 2017 levels.</w:t>
            </w:r>
          </w:p>
          <w:p w14:paraId="4A98F8E0" w14:textId="77777777" w:rsidR="00CA07A0" w:rsidRPr="00CA07A0" w:rsidRDefault="00CA07A0" w:rsidP="00661EA0">
            <w:pPr>
              <w:rPr>
                <w:sz w:val="10"/>
                <w:szCs w:val="10"/>
                <w:lang w:eastAsia="en-AU"/>
              </w:rPr>
            </w:pPr>
          </w:p>
        </w:tc>
      </w:tr>
    </w:tbl>
    <w:p w14:paraId="6B034440" w14:textId="77777777" w:rsidR="00CD2401" w:rsidRDefault="00933F29" w:rsidP="00661EA0">
      <w:pPr>
        <w:rPr>
          <w:b/>
          <w:noProof/>
          <w:lang w:eastAsia="en-AU"/>
        </w:rPr>
      </w:pPr>
      <w:r w:rsidRPr="00933F29">
        <w:rPr>
          <w:b/>
          <w:noProof/>
          <w:lang w:eastAsia="en-AU"/>
        </w:rPr>
        <w:drawing>
          <wp:inline distT="0" distB="0" distL="0" distR="0" wp14:anchorId="62785E98" wp14:editId="3ED1C808">
            <wp:extent cx="6319209" cy="3427200"/>
            <wp:effectExtent l="0" t="0" r="5715" b="1905"/>
            <wp:docPr id="223" name="Picture 1">
              <a:extLst xmlns:a="http://schemas.openxmlformats.org/drawingml/2006/main">
                <a:ext uri="{FF2B5EF4-FFF2-40B4-BE49-F238E27FC236}">
                  <a16:creationId xmlns:a16="http://schemas.microsoft.com/office/drawing/2014/main" id="{50BA3760-EFD2-2F47-9E66-4CF4E5978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50BA3760-EFD2-2F47-9E66-4CF4E5978D05}"/>
                        </a:ext>
                      </a:extLst>
                    </pic:cNvPr>
                    <pic:cNvPicPr>
                      <a:picLocks noChangeAspect="1"/>
                    </pic:cNvPicPr>
                  </pic:nvPicPr>
                  <pic:blipFill>
                    <a:blip r:embed="rId22"/>
                    <a:stretch>
                      <a:fillRect/>
                    </a:stretch>
                  </pic:blipFill>
                  <pic:spPr>
                    <a:xfrm>
                      <a:off x="0" y="0"/>
                      <a:ext cx="6337317" cy="3437021"/>
                    </a:xfrm>
                    <a:prstGeom prst="rect">
                      <a:avLst/>
                    </a:prstGeom>
                  </pic:spPr>
                </pic:pic>
              </a:graphicData>
            </a:graphic>
          </wp:inline>
        </w:drawing>
      </w:r>
    </w:p>
    <w:p w14:paraId="775E34F9" w14:textId="77777777" w:rsidR="00CA07A0" w:rsidRPr="00CD2401" w:rsidRDefault="00CA07A0" w:rsidP="00CC152F">
      <w:pPr>
        <w:spacing w:after="0"/>
        <w:rPr>
          <w:b/>
          <w:noProof/>
          <w:lang w:eastAsia="en-AU"/>
        </w:rPr>
      </w:pPr>
      <w:r w:rsidRPr="00CD2401">
        <w:rPr>
          <w:b/>
          <w:noProof/>
          <w:lang w:eastAsia="en-AU"/>
        </w:rPr>
        <w:t>Figure 17: SDP – offences registered</w:t>
      </w:r>
    </w:p>
    <w:p w14:paraId="742319AF" w14:textId="77777777" w:rsidR="00244282" w:rsidRPr="00CA07A0" w:rsidRDefault="00244282" w:rsidP="00661EA0">
      <w:pPr>
        <w:rPr>
          <w:lang w:eastAsia="en-AU"/>
        </w:rPr>
      </w:pPr>
      <w:r w:rsidRPr="00244282">
        <w:rPr>
          <w:lang w:val="en-US" w:eastAsia="en-AU"/>
        </w:rPr>
        <w:t xml:space="preserve">SPD were not recording offences consistently in 2016, and have been excluded. Clear growth, matching the VPF results, for growth in Family Protection Act matters. </w:t>
      </w:r>
    </w:p>
    <w:p w14:paraId="019D37B4" w14:textId="77777777" w:rsidR="00CA07A0" w:rsidRPr="00CA07A0" w:rsidRDefault="00244282" w:rsidP="00661EA0">
      <w:pPr>
        <w:rPr>
          <w:lang w:eastAsia="en-AU"/>
        </w:rPr>
      </w:pPr>
      <w:r w:rsidRPr="00244282">
        <w:rPr>
          <w:noProof/>
          <w:lang w:eastAsia="en-AU"/>
        </w:rPr>
        <w:drawing>
          <wp:inline distT="0" distB="0" distL="0" distR="0" wp14:anchorId="10F3BA71" wp14:editId="71444B3A">
            <wp:extent cx="5731510" cy="3737610"/>
            <wp:effectExtent l="0" t="0" r="2540" b="0"/>
            <wp:docPr id="224" name="Picture 1">
              <a:extLst xmlns:a="http://schemas.openxmlformats.org/drawingml/2006/main">
                <a:ext uri="{FF2B5EF4-FFF2-40B4-BE49-F238E27FC236}">
                  <a16:creationId xmlns:a16="http://schemas.microsoft.com/office/drawing/2014/main" id="{1C1FA8E4-FB1E-4343-B2B1-9E097D8CB1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1C1FA8E4-FB1E-4343-B2B1-9E097D8CB153}"/>
                        </a:ext>
                      </a:extLst>
                    </pic:cNvPr>
                    <pic:cNvPicPr>
                      <a:picLocks noChangeAspect="1"/>
                    </pic:cNvPicPr>
                  </pic:nvPicPr>
                  <pic:blipFill>
                    <a:blip r:embed="rId23"/>
                    <a:stretch>
                      <a:fillRect/>
                    </a:stretch>
                  </pic:blipFill>
                  <pic:spPr>
                    <a:xfrm>
                      <a:off x="0" y="0"/>
                      <a:ext cx="5731510" cy="3737610"/>
                    </a:xfrm>
                    <a:prstGeom prst="rect">
                      <a:avLst/>
                    </a:prstGeom>
                  </pic:spPr>
                </pic:pic>
              </a:graphicData>
            </a:graphic>
          </wp:inline>
        </w:drawing>
      </w:r>
    </w:p>
    <w:p w14:paraId="076EA1E0" w14:textId="77777777" w:rsidR="00CA07A0" w:rsidRPr="00CD2401" w:rsidRDefault="00CA07A0" w:rsidP="00661EA0">
      <w:pPr>
        <w:rPr>
          <w:b/>
          <w:noProof/>
          <w:color w:val="44546A" w:themeColor="text2"/>
          <w:lang w:eastAsia="en-AU"/>
        </w:rPr>
      </w:pPr>
      <w:r w:rsidRPr="00CD2401">
        <w:rPr>
          <w:b/>
          <w:noProof/>
          <w:color w:val="44546A" w:themeColor="text2"/>
          <w:lang w:eastAsia="en-AU"/>
        </w:rPr>
        <w:t>COURTS</w:t>
      </w:r>
    </w:p>
    <w:p w14:paraId="3A44CBAB" w14:textId="77777777" w:rsidR="00CA07A0" w:rsidRPr="00CD2401" w:rsidRDefault="00CA07A0" w:rsidP="00CC152F">
      <w:pPr>
        <w:spacing w:after="0"/>
        <w:rPr>
          <w:b/>
          <w:noProof/>
          <w:lang w:eastAsia="en-AU"/>
        </w:rPr>
      </w:pPr>
      <w:r w:rsidRPr="00CD2401">
        <w:rPr>
          <w:b/>
          <w:noProof/>
          <w:lang w:eastAsia="en-AU"/>
        </w:rPr>
        <w:t>Figure 18: Criminal – Magistrates</w:t>
      </w:r>
      <w:r w:rsidR="00E46D09">
        <w:rPr>
          <w:b/>
          <w:noProof/>
          <w:lang w:eastAsia="en-AU"/>
        </w:rPr>
        <w:t>’</w:t>
      </w:r>
      <w:r w:rsidRPr="00CD2401">
        <w:rPr>
          <w:b/>
          <w:noProof/>
          <w:lang w:eastAsia="en-AU"/>
        </w:rPr>
        <w:t xml:space="preserve"> Court</w:t>
      </w:r>
    </w:p>
    <w:p w14:paraId="7C46346C" w14:textId="77777777" w:rsidR="00CA07A0" w:rsidRPr="00CA07A0" w:rsidRDefault="00A24833" w:rsidP="00661EA0">
      <w:pPr>
        <w:rPr>
          <w:lang w:eastAsia="en-AU"/>
        </w:rPr>
      </w:pPr>
      <w:r w:rsidRPr="00A24833">
        <w:rPr>
          <w:noProof/>
          <w:lang w:eastAsia="en-AU"/>
        </w:rPr>
        <w:drawing>
          <wp:inline distT="0" distB="0" distL="0" distR="0" wp14:anchorId="6406E987" wp14:editId="7839CAD0">
            <wp:extent cx="5421507" cy="3537854"/>
            <wp:effectExtent l="0" t="0" r="8255" b="5715"/>
            <wp:docPr id="36" name="Picture 3">
              <a:extLst xmlns:a="http://schemas.openxmlformats.org/drawingml/2006/main">
                <a:ext uri="{FF2B5EF4-FFF2-40B4-BE49-F238E27FC236}">
                  <a16:creationId xmlns:a16="http://schemas.microsoft.com/office/drawing/2014/main" id="{AA334600-634B-6C4F-B74D-D511600327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AA334600-634B-6C4F-B74D-D511600327B4}"/>
                        </a:ext>
                      </a:extLst>
                    </pic:cNvPr>
                    <pic:cNvPicPr>
                      <a:picLocks noChangeAspect="1"/>
                    </pic:cNvPicPr>
                  </pic:nvPicPr>
                  <pic:blipFill>
                    <a:blip r:embed="rId45"/>
                    <a:stretch>
                      <a:fillRect/>
                    </a:stretch>
                  </pic:blipFill>
                  <pic:spPr>
                    <a:xfrm>
                      <a:off x="0" y="0"/>
                      <a:ext cx="5440397" cy="3550181"/>
                    </a:xfrm>
                    <a:prstGeom prst="rect">
                      <a:avLst/>
                    </a:prstGeom>
                  </pic:spPr>
                </pic:pic>
              </a:graphicData>
            </a:graphic>
          </wp:inline>
        </w:drawing>
      </w:r>
    </w:p>
    <w:p w14:paraId="2C561EE7" w14:textId="77777777" w:rsidR="00244282" w:rsidRDefault="00244282">
      <w:pPr>
        <w:rPr>
          <w:b/>
          <w:noProof/>
          <w:lang w:eastAsia="en-AU"/>
        </w:rPr>
      </w:pPr>
      <w:r>
        <w:rPr>
          <w:b/>
          <w:noProof/>
          <w:lang w:eastAsia="en-AU"/>
        </w:rPr>
        <w:br w:type="page"/>
      </w:r>
    </w:p>
    <w:p w14:paraId="7EEC4D92" w14:textId="77777777" w:rsidR="00CA07A0" w:rsidRPr="00632016" w:rsidRDefault="00CA07A0" w:rsidP="00CC152F">
      <w:pPr>
        <w:spacing w:after="0"/>
        <w:rPr>
          <w:b/>
          <w:noProof/>
          <w:lang w:eastAsia="en-AU"/>
        </w:rPr>
      </w:pPr>
      <w:r w:rsidRPr="00632016">
        <w:rPr>
          <w:b/>
          <w:noProof/>
          <w:lang w:eastAsia="en-AU"/>
        </w:rPr>
        <w:t xml:space="preserve">Figure 19: </w:t>
      </w:r>
      <w:bookmarkStart w:id="54" w:name="_Hlk20155732"/>
      <w:r w:rsidRPr="00632016">
        <w:rPr>
          <w:b/>
          <w:noProof/>
          <w:lang w:eastAsia="en-AU"/>
        </w:rPr>
        <w:t>Protection Orders – Magistrates</w:t>
      </w:r>
      <w:r w:rsidR="00E46D09">
        <w:rPr>
          <w:b/>
          <w:noProof/>
          <w:lang w:eastAsia="en-AU"/>
        </w:rPr>
        <w:t>’</w:t>
      </w:r>
      <w:r w:rsidRPr="00632016">
        <w:rPr>
          <w:b/>
          <w:noProof/>
          <w:lang w:eastAsia="en-AU"/>
        </w:rPr>
        <w:t xml:space="preserve"> Court</w:t>
      </w:r>
      <w:bookmarkEnd w:id="54"/>
    </w:p>
    <w:tbl>
      <w:tblPr>
        <w:tblStyle w:val="TableGrid1"/>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6"/>
        <w:gridCol w:w="7603"/>
      </w:tblGrid>
      <w:tr w:rsidR="00CA07A0" w:rsidRPr="00CA07A0" w14:paraId="671D0428" w14:textId="77777777" w:rsidTr="00DF7BD2">
        <w:trPr>
          <w:trHeight w:val="941"/>
        </w:trPr>
        <w:tc>
          <w:tcPr>
            <w:tcW w:w="856" w:type="dxa"/>
          </w:tcPr>
          <w:p w14:paraId="4A68C915" w14:textId="77777777" w:rsidR="00CA07A0" w:rsidRPr="00CA07A0" w:rsidRDefault="00CA07A0" w:rsidP="00661EA0">
            <w:pPr>
              <w:rPr>
                <w:rFonts w:eastAsia="Calibri" w:cstheme="minorHAnsi"/>
                <w:noProof/>
                <w:color w:val="44546A" w:themeColor="text2"/>
                <w:sz w:val="30"/>
                <w:szCs w:val="30"/>
                <w:lang w:eastAsia="en-AU"/>
              </w:rPr>
            </w:pPr>
            <w:r w:rsidRPr="00CA07A0">
              <w:rPr>
                <w:rFonts w:eastAsia="Calibri" w:cstheme="minorHAnsi"/>
                <w:noProof/>
                <w:color w:val="44546A" w:themeColor="text2"/>
                <w:sz w:val="30"/>
                <w:szCs w:val="30"/>
                <w:lang w:eastAsia="en-AU"/>
              </w:rPr>
              <mc:AlternateContent>
                <mc:Choice Requires="wpg">
                  <w:drawing>
                    <wp:anchor distT="0" distB="0" distL="114300" distR="114300" simplePos="0" relativeHeight="251676672" behindDoc="0" locked="0" layoutInCell="1" allowOverlap="1" wp14:anchorId="5C26878B" wp14:editId="4D2AD49C">
                      <wp:simplePos x="0" y="0"/>
                      <wp:positionH relativeFrom="column">
                        <wp:posOffset>5436</wp:posOffset>
                      </wp:positionH>
                      <wp:positionV relativeFrom="paragraph">
                        <wp:posOffset>6388</wp:posOffset>
                      </wp:positionV>
                      <wp:extent cx="403794" cy="535932"/>
                      <wp:effectExtent l="19050" t="19050" r="15875" b="17145"/>
                      <wp:wrapNone/>
                      <wp:docPr id="115" name="Group 6"/>
                      <wp:cNvGraphicFramePr/>
                      <a:graphic xmlns:a="http://schemas.openxmlformats.org/drawingml/2006/main">
                        <a:graphicData uri="http://schemas.microsoft.com/office/word/2010/wordprocessingGroup">
                          <wpg:wgp>
                            <wpg:cNvGrpSpPr/>
                            <wpg:grpSpPr>
                              <a:xfrm>
                                <a:off x="0" y="0"/>
                                <a:ext cx="403794" cy="535932"/>
                                <a:chOff x="0" y="0"/>
                                <a:chExt cx="609600" cy="1282700"/>
                              </a:xfrm>
                            </wpg:grpSpPr>
                            <wps:wsp>
                              <wps:cNvPr id="116" name="Rectangle 116"/>
                              <wps:cNvSpPr/>
                              <wps:spPr>
                                <a:xfrm>
                                  <a:off x="0" y="0"/>
                                  <a:ext cx="609600" cy="1282700"/>
                                </a:xfrm>
                                <a:prstGeom prst="rect">
                                  <a:avLst/>
                                </a:prstGeom>
                                <a:solidFill>
                                  <a:sysClr val="window" lastClr="FFFFFF"/>
                                </a:solidFill>
                                <a:ln w="38100" cap="flat" cmpd="sng" algn="ctr">
                                  <a:solidFill>
                                    <a:srgbClr val="4472C4">
                                      <a:shade val="50000"/>
                                    </a:srgbClr>
                                  </a:solidFill>
                                  <a:prstDash val="solid"/>
                                  <a:miter lim="800000"/>
                                </a:ln>
                                <a:effectLst/>
                              </wps:spPr>
                              <wps:bodyPr rtlCol="0" anchor="ctr"/>
                            </wps:wsp>
                            <wps:wsp>
                              <wps:cNvPr id="117" name="Oval 117"/>
                              <wps:cNvSpPr/>
                              <wps:spPr>
                                <a:xfrm>
                                  <a:off x="127000" y="101600"/>
                                  <a:ext cx="342900" cy="317500"/>
                                </a:xfrm>
                                <a:prstGeom prst="ellipse">
                                  <a:avLst/>
                                </a:prstGeom>
                                <a:solidFill>
                                  <a:sysClr val="window" lastClr="FFFFFF"/>
                                </a:solidFill>
                                <a:ln w="12700" cap="flat" cmpd="sng" algn="ctr">
                                  <a:solidFill>
                                    <a:srgbClr val="4472C4">
                                      <a:shade val="50000"/>
                                    </a:srgbClr>
                                  </a:solidFill>
                                  <a:prstDash val="solid"/>
                                  <a:miter lim="800000"/>
                                </a:ln>
                                <a:effectLst/>
                              </wps:spPr>
                              <wps:bodyPr rtlCol="0" anchor="ctr"/>
                            </wps:wsp>
                            <wps:wsp>
                              <wps:cNvPr id="118" name="Oval 118"/>
                              <wps:cNvSpPr/>
                              <wps:spPr>
                                <a:xfrm>
                                  <a:off x="127000" y="495300"/>
                                  <a:ext cx="342900" cy="317500"/>
                                </a:xfrm>
                                <a:prstGeom prst="ellipse">
                                  <a:avLst/>
                                </a:prstGeom>
                                <a:solidFill>
                                  <a:sysClr val="window" lastClr="FFFFFF"/>
                                </a:solidFill>
                                <a:ln w="12700" cap="flat" cmpd="sng" algn="ctr">
                                  <a:solidFill>
                                    <a:srgbClr val="4472C4">
                                      <a:shade val="50000"/>
                                    </a:srgbClr>
                                  </a:solidFill>
                                  <a:prstDash val="solid"/>
                                  <a:miter lim="800000"/>
                                </a:ln>
                                <a:effectLst/>
                              </wps:spPr>
                              <wps:bodyPr rtlCol="0" anchor="ctr"/>
                            </wps:wsp>
                            <wps:wsp>
                              <wps:cNvPr id="119" name="Oval 119"/>
                              <wps:cNvSpPr/>
                              <wps:spPr>
                                <a:xfrm>
                                  <a:off x="127000" y="889000"/>
                                  <a:ext cx="342900" cy="317500"/>
                                </a:xfrm>
                                <a:prstGeom prst="ellipse">
                                  <a:avLst/>
                                </a:prstGeom>
                                <a:solidFill>
                                  <a:srgbClr val="00B050"/>
                                </a:solidFill>
                                <a:ln w="12700" cap="flat" cmpd="sng" algn="ctr">
                                  <a:solidFill>
                                    <a:srgbClr val="4472C4">
                                      <a:shade val="50000"/>
                                    </a:srgbClr>
                                  </a:solidFill>
                                  <a:prstDash val="solid"/>
                                  <a:miter lim="800000"/>
                                </a:ln>
                                <a:effectLst/>
                              </wps:spPr>
                              <wps:bodyPr rtlCol="0" anchor="ct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7808AB6" id="Group 6" o:spid="_x0000_s1026" style="position:absolute;margin-left:.45pt;margin-top:.5pt;width:31.8pt;height:42.2pt;z-index:251676672;mso-width-relative:margin;mso-height-relative:margin" coordsize="6096,12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">
                      <v:rect id="Rectangle 116" o:spid="_x0000_s1027" style="position:absolute;width:6096;height:12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" fillcolor="window" strokecolor="#2f528f" strokeweight="3pt"/>
                      <v:oval id="Oval 117" o:spid="_x0000_s1028" style="position:absolute;left:1270;top:1016;width:342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" fillcolor="window" strokecolor="#2f528f" strokeweight="1pt">
                        <v:stroke joinstyle="miter"/>
                      </v:oval>
                      <v:oval id="Oval 118" o:spid="_x0000_s1029" style="position:absolute;left:1270;top:4953;width:342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" fillcolor="window" strokecolor="#2f528f" strokeweight="1pt">
                        <v:stroke joinstyle="miter"/>
                      </v:oval>
                      <v:oval id="Oval 119" o:spid="_x0000_s1030" style="position:absolute;left:1270;top:8890;width:342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" fillcolor="#00b050" strokecolor="#2f528f" strokeweight="1pt">
                        <v:stroke joinstyle="miter"/>
                      </v:oval>
                    </v:group>
                  </w:pict>
                </mc:Fallback>
              </mc:AlternateContent>
            </w:r>
          </w:p>
        </w:tc>
        <w:tc>
          <w:tcPr>
            <w:tcW w:w="7603" w:type="dxa"/>
          </w:tcPr>
          <w:p w14:paraId="30F70BF6" w14:textId="77777777" w:rsidR="00CA07A0" w:rsidRDefault="00CA07A0" w:rsidP="00CC152F">
            <w:pPr>
              <w:spacing w:before="100"/>
              <w:rPr>
                <w:noProof/>
                <w:lang w:val="en-US" w:eastAsia="en-AU"/>
              </w:rPr>
            </w:pPr>
            <w:bookmarkStart w:id="55" w:name="_Hlk20155698"/>
            <w:r w:rsidRPr="00D63485">
              <w:rPr>
                <w:noProof/>
                <w:lang w:val="en-US" w:eastAsia="en-AU"/>
              </w:rPr>
              <w:t>Visible increase in the two main locations over the 4 years, and nationally, averaging 10% growth per year – this is a significant and sustained growth</w:t>
            </w:r>
          </w:p>
          <w:bookmarkEnd w:id="55"/>
          <w:p w14:paraId="1092B456" w14:textId="77777777" w:rsidR="00CA07A0" w:rsidRPr="00CA07A0" w:rsidRDefault="00CA07A0" w:rsidP="00661EA0">
            <w:pPr>
              <w:rPr>
                <w:noProof/>
                <w:lang w:val="en-US" w:eastAsia="en-AU"/>
              </w:rPr>
            </w:pPr>
          </w:p>
        </w:tc>
      </w:tr>
    </w:tbl>
    <w:p w14:paraId="5F356638" w14:textId="77777777" w:rsidR="00CA07A0" w:rsidRPr="00CA07A0" w:rsidRDefault="00A24833" w:rsidP="00661EA0">
      <w:pPr>
        <w:rPr>
          <w:lang w:eastAsia="en-AU"/>
        </w:rPr>
      </w:pPr>
      <w:r w:rsidRPr="00A24833">
        <w:rPr>
          <w:noProof/>
          <w:lang w:eastAsia="en-AU"/>
        </w:rPr>
        <w:drawing>
          <wp:inline distT="0" distB="0" distL="0" distR="0" wp14:anchorId="7F2B3AD6" wp14:editId="387D1F99">
            <wp:extent cx="5769569" cy="3764986"/>
            <wp:effectExtent l="0" t="0" r="3175" b="6985"/>
            <wp:docPr id="37" name="Picture 9">
              <a:extLst xmlns:a="http://schemas.openxmlformats.org/drawingml/2006/main">
                <a:ext uri="{FF2B5EF4-FFF2-40B4-BE49-F238E27FC236}">
                  <a16:creationId xmlns:a16="http://schemas.microsoft.com/office/drawing/2014/main" id="{945CA2A0-E72E-B14A-A450-ABDFA9C846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945CA2A0-E72E-B14A-A450-ABDFA9C846DB}"/>
                        </a:ext>
                      </a:extLst>
                    </pic:cNvPr>
                    <pic:cNvPicPr>
                      <a:picLocks noChangeAspect="1"/>
                    </pic:cNvPicPr>
                  </pic:nvPicPr>
                  <pic:blipFill>
                    <a:blip r:embed="rId46"/>
                    <a:stretch>
                      <a:fillRect/>
                    </a:stretch>
                  </pic:blipFill>
                  <pic:spPr>
                    <a:xfrm>
                      <a:off x="0" y="0"/>
                      <a:ext cx="5784454" cy="3774699"/>
                    </a:xfrm>
                    <a:prstGeom prst="rect">
                      <a:avLst/>
                    </a:prstGeom>
                  </pic:spPr>
                </pic:pic>
              </a:graphicData>
            </a:graphic>
          </wp:inline>
        </w:drawing>
      </w:r>
    </w:p>
    <w:p w14:paraId="1E9F5D92" w14:textId="77777777" w:rsidR="00CA07A0" w:rsidRPr="00632016" w:rsidRDefault="00CA07A0" w:rsidP="00CC152F">
      <w:pPr>
        <w:spacing w:after="0"/>
        <w:rPr>
          <w:b/>
          <w:noProof/>
          <w:lang w:eastAsia="en-AU"/>
        </w:rPr>
      </w:pPr>
      <w:r w:rsidRPr="00632016">
        <w:rPr>
          <w:b/>
          <w:noProof/>
          <w:lang w:eastAsia="en-AU"/>
        </w:rPr>
        <w:t>Figure 20: Preliminary Investigation – Magistrates</w:t>
      </w:r>
      <w:r w:rsidR="00E46D09">
        <w:rPr>
          <w:b/>
          <w:noProof/>
          <w:lang w:eastAsia="en-AU"/>
        </w:rPr>
        <w:t>’</w:t>
      </w:r>
      <w:r w:rsidRPr="00632016">
        <w:rPr>
          <w:b/>
          <w:noProof/>
          <w:lang w:eastAsia="en-AU"/>
        </w:rPr>
        <w:t xml:space="preserve"> Court</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170"/>
      </w:tblGrid>
      <w:tr w:rsidR="00CA07A0" w:rsidRPr="00CA07A0" w14:paraId="0666A2D0" w14:textId="77777777" w:rsidTr="00DF7BD2">
        <w:tc>
          <w:tcPr>
            <w:tcW w:w="846" w:type="dxa"/>
          </w:tcPr>
          <w:p w14:paraId="62D55ABE" w14:textId="77777777" w:rsidR="00CA07A0" w:rsidRPr="00CA07A0" w:rsidRDefault="00CA07A0" w:rsidP="00661EA0">
            <w:pPr>
              <w:rPr>
                <w:rFonts w:eastAsia="Calibri" w:cstheme="minorHAnsi"/>
                <w:noProof/>
                <w:color w:val="44546A" w:themeColor="text2"/>
                <w:sz w:val="30"/>
                <w:szCs w:val="30"/>
                <w:lang w:eastAsia="en-AU"/>
              </w:rPr>
            </w:pPr>
            <w:r w:rsidRPr="00CA07A0">
              <w:rPr>
                <w:rFonts w:eastAsia="Calibri" w:cstheme="minorHAnsi"/>
                <w:noProof/>
                <w:color w:val="757575"/>
                <w:sz w:val="30"/>
                <w:szCs w:val="30"/>
                <w:lang w:eastAsia="en-AU"/>
              </w:rPr>
              <mc:AlternateContent>
                <mc:Choice Requires="wpg">
                  <w:drawing>
                    <wp:anchor distT="0" distB="0" distL="114300" distR="114300" simplePos="0" relativeHeight="251677696" behindDoc="0" locked="0" layoutInCell="1" allowOverlap="1" wp14:anchorId="3332142A" wp14:editId="233C5219">
                      <wp:simplePos x="0" y="0"/>
                      <wp:positionH relativeFrom="column">
                        <wp:posOffset>-23102</wp:posOffset>
                      </wp:positionH>
                      <wp:positionV relativeFrom="paragraph">
                        <wp:posOffset>46884</wp:posOffset>
                      </wp:positionV>
                      <wp:extent cx="372080" cy="508774"/>
                      <wp:effectExtent l="19050" t="19050" r="28575" b="24765"/>
                      <wp:wrapNone/>
                      <wp:docPr id="120" name="Group 9"/>
                      <wp:cNvGraphicFramePr/>
                      <a:graphic xmlns:a="http://schemas.openxmlformats.org/drawingml/2006/main">
                        <a:graphicData uri="http://schemas.microsoft.com/office/word/2010/wordprocessingGroup">
                          <wpg:wgp>
                            <wpg:cNvGrpSpPr/>
                            <wpg:grpSpPr>
                              <a:xfrm>
                                <a:off x="0" y="0"/>
                                <a:ext cx="372080" cy="508774"/>
                                <a:chOff x="0" y="0"/>
                                <a:chExt cx="609600" cy="1282700"/>
                              </a:xfrm>
                            </wpg:grpSpPr>
                            <wps:wsp>
                              <wps:cNvPr id="121" name="Rectangle 121"/>
                              <wps:cNvSpPr/>
                              <wps:spPr>
                                <a:xfrm>
                                  <a:off x="0" y="0"/>
                                  <a:ext cx="609600" cy="1282700"/>
                                </a:xfrm>
                                <a:prstGeom prst="rect">
                                  <a:avLst/>
                                </a:prstGeom>
                                <a:solidFill>
                                  <a:sysClr val="window" lastClr="FFFFFF"/>
                                </a:solidFill>
                                <a:ln w="38100" cap="flat" cmpd="sng" algn="ctr">
                                  <a:solidFill>
                                    <a:srgbClr val="4472C4">
                                      <a:shade val="50000"/>
                                    </a:srgbClr>
                                  </a:solidFill>
                                  <a:prstDash val="solid"/>
                                  <a:miter lim="800000"/>
                                </a:ln>
                                <a:effectLst/>
                              </wps:spPr>
                              <wps:bodyPr rtlCol="0" anchor="ctr"/>
                            </wps:wsp>
                            <wps:wsp>
                              <wps:cNvPr id="122" name="Oval 122"/>
                              <wps:cNvSpPr/>
                              <wps:spPr>
                                <a:xfrm>
                                  <a:off x="127000" y="101600"/>
                                  <a:ext cx="342900" cy="317500"/>
                                </a:xfrm>
                                <a:prstGeom prst="ellipse">
                                  <a:avLst/>
                                </a:prstGeom>
                                <a:solidFill>
                                  <a:sysClr val="window" lastClr="FFFFFF"/>
                                </a:solidFill>
                                <a:ln w="12700" cap="flat" cmpd="sng" algn="ctr">
                                  <a:solidFill>
                                    <a:srgbClr val="4472C4">
                                      <a:shade val="50000"/>
                                    </a:srgbClr>
                                  </a:solidFill>
                                  <a:prstDash val="solid"/>
                                  <a:miter lim="800000"/>
                                </a:ln>
                                <a:effectLst/>
                              </wps:spPr>
                              <wps:bodyPr rtlCol="0" anchor="ctr"/>
                            </wps:wsp>
                            <wps:wsp>
                              <wps:cNvPr id="123" name="Oval 123"/>
                              <wps:cNvSpPr/>
                              <wps:spPr>
                                <a:xfrm>
                                  <a:off x="127000" y="495300"/>
                                  <a:ext cx="342900" cy="317500"/>
                                </a:xfrm>
                                <a:prstGeom prst="ellipse">
                                  <a:avLst/>
                                </a:prstGeom>
                                <a:solidFill>
                                  <a:srgbClr val="FFFF00"/>
                                </a:solidFill>
                                <a:ln w="12700" cap="flat" cmpd="sng" algn="ctr">
                                  <a:solidFill>
                                    <a:srgbClr val="4472C4">
                                      <a:shade val="50000"/>
                                    </a:srgbClr>
                                  </a:solidFill>
                                  <a:prstDash val="solid"/>
                                  <a:miter lim="800000"/>
                                </a:ln>
                                <a:effectLst/>
                              </wps:spPr>
                              <wps:bodyPr rtlCol="0" anchor="ctr"/>
                            </wps:wsp>
                            <wps:wsp>
                              <wps:cNvPr id="124" name="Oval 124"/>
                              <wps:cNvSpPr/>
                              <wps:spPr>
                                <a:xfrm>
                                  <a:off x="127000" y="889000"/>
                                  <a:ext cx="342900" cy="317500"/>
                                </a:xfrm>
                                <a:prstGeom prst="ellipse">
                                  <a:avLst/>
                                </a:prstGeom>
                                <a:solidFill>
                                  <a:sysClr val="window" lastClr="FFFFFF"/>
                                </a:solidFill>
                                <a:ln w="12700" cap="flat" cmpd="sng" algn="ctr">
                                  <a:solidFill>
                                    <a:srgbClr val="4472C4">
                                      <a:shade val="50000"/>
                                    </a:srgbClr>
                                  </a:solidFill>
                                  <a:prstDash val="solid"/>
                                  <a:miter lim="800000"/>
                                </a:ln>
                                <a:effectLst/>
                              </wps:spPr>
                              <wps:bodyPr rtlCol="0" anchor="ct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02EF13A" id="Group 9" o:spid="_x0000_s1026" style="position:absolute;margin-left:-1.8pt;margin-top:3.7pt;width:29.3pt;height:40.05pt;z-index:251677696;mso-width-relative:margin;mso-height-relative:margin" coordsize="6096,12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">
                      <v:rect id="Rectangle 121" o:spid="_x0000_s1027" style="position:absolute;width:6096;height:12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" fillcolor="window" strokecolor="#2f528f" strokeweight="3pt"/>
                      <v:oval id="Oval 122" o:spid="_x0000_s1028" style="position:absolute;left:1270;top:1016;width:342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" fillcolor="window" strokecolor="#2f528f" strokeweight="1pt">
                        <v:stroke joinstyle="miter"/>
                      </v:oval>
                      <v:oval id="Oval 123" o:spid="_x0000_s1029" style="position:absolute;left:1270;top:4953;width:342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" fillcolor="yellow" strokecolor="#2f528f" strokeweight="1pt">
                        <v:stroke joinstyle="miter"/>
                      </v:oval>
                      <v:oval id="Oval 124" o:spid="_x0000_s1030" style="position:absolute;left:1270;top:8890;width:342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" fillcolor="window" strokecolor="#2f528f" strokeweight="1pt">
                        <v:stroke joinstyle="miter"/>
                      </v:oval>
                    </v:group>
                  </w:pict>
                </mc:Fallback>
              </mc:AlternateContent>
            </w:r>
          </w:p>
        </w:tc>
        <w:tc>
          <w:tcPr>
            <w:tcW w:w="8170" w:type="dxa"/>
          </w:tcPr>
          <w:p w14:paraId="2E070769" w14:textId="77777777" w:rsidR="005A545B" w:rsidRPr="005A545B" w:rsidRDefault="005A545B" w:rsidP="005A545B">
            <w:pPr>
              <w:rPr>
                <w:noProof/>
                <w:lang w:eastAsia="en-AU"/>
              </w:rPr>
            </w:pPr>
            <w:r w:rsidRPr="005A545B">
              <w:rPr>
                <w:noProof/>
                <w:lang w:val="en-US" w:eastAsia="en-AU"/>
              </w:rPr>
              <w:t>Similar pattern to MC – Criminal, a noticeable increase in Luganville while relatively steady in Port Vila. May reflect the attention being paid to the operation of OPP in Luganville</w:t>
            </w:r>
          </w:p>
          <w:p w14:paraId="5EB41F8F" w14:textId="77777777" w:rsidR="005A545B" w:rsidRPr="00224BC8" w:rsidRDefault="005A545B" w:rsidP="00661EA0">
            <w:pPr>
              <w:rPr>
                <w:noProof/>
                <w:lang w:val="en-US" w:eastAsia="en-AU"/>
              </w:rPr>
            </w:pPr>
          </w:p>
          <w:p w14:paraId="3F2B97AD" w14:textId="77777777" w:rsidR="00CA07A0" w:rsidRPr="008B3F16" w:rsidRDefault="00CA07A0" w:rsidP="00661EA0">
            <w:pPr>
              <w:rPr>
                <w:sz w:val="10"/>
                <w:szCs w:val="10"/>
                <w:lang w:eastAsia="en-AU"/>
              </w:rPr>
            </w:pPr>
          </w:p>
        </w:tc>
      </w:tr>
    </w:tbl>
    <w:p w14:paraId="2A80CCAC" w14:textId="77777777" w:rsidR="00CA07A0" w:rsidRPr="00CA07A0" w:rsidRDefault="00A24833" w:rsidP="00661EA0">
      <w:pPr>
        <w:rPr>
          <w:lang w:eastAsia="en-AU"/>
        </w:rPr>
      </w:pPr>
      <w:r w:rsidRPr="00A24833">
        <w:rPr>
          <w:noProof/>
          <w:lang w:eastAsia="en-AU"/>
        </w:rPr>
        <w:drawing>
          <wp:inline distT="0" distB="0" distL="0" distR="0" wp14:anchorId="5C263D75" wp14:editId="42108A12">
            <wp:extent cx="5898303" cy="2949678"/>
            <wp:effectExtent l="0" t="0" r="7620" b="3175"/>
            <wp:docPr id="43" name="Picture 1">
              <a:extLst xmlns:a="http://schemas.openxmlformats.org/drawingml/2006/main">
                <a:ext uri="{FF2B5EF4-FFF2-40B4-BE49-F238E27FC236}">
                  <a16:creationId xmlns:a16="http://schemas.microsoft.com/office/drawing/2014/main" id="{7FC2387E-2599-1D4E-9BF3-2FCAA757F5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FC2387E-2599-1D4E-9BF3-2FCAA757F5F9}"/>
                        </a:ext>
                      </a:extLst>
                    </pic:cNvPr>
                    <pic:cNvPicPr>
                      <a:picLocks noChangeAspect="1"/>
                    </pic:cNvPicPr>
                  </pic:nvPicPr>
                  <pic:blipFill>
                    <a:blip r:embed="rId47"/>
                    <a:stretch>
                      <a:fillRect/>
                    </a:stretch>
                  </pic:blipFill>
                  <pic:spPr>
                    <a:xfrm>
                      <a:off x="0" y="0"/>
                      <a:ext cx="5910354" cy="2955705"/>
                    </a:xfrm>
                    <a:prstGeom prst="rect">
                      <a:avLst/>
                    </a:prstGeom>
                  </pic:spPr>
                </pic:pic>
              </a:graphicData>
            </a:graphic>
          </wp:inline>
        </w:drawing>
      </w:r>
    </w:p>
    <w:p w14:paraId="2A38A46C" w14:textId="77777777" w:rsidR="005A545B" w:rsidRDefault="005A545B">
      <w:pPr>
        <w:rPr>
          <w:b/>
          <w:noProof/>
          <w:lang w:eastAsia="en-AU"/>
        </w:rPr>
      </w:pPr>
      <w:r>
        <w:rPr>
          <w:b/>
          <w:noProof/>
          <w:lang w:eastAsia="en-AU"/>
        </w:rPr>
        <w:br w:type="page"/>
      </w:r>
    </w:p>
    <w:p w14:paraId="5A089714" w14:textId="77777777" w:rsidR="00CA07A0" w:rsidRPr="00632016" w:rsidRDefault="00CA07A0" w:rsidP="00CC152F">
      <w:pPr>
        <w:spacing w:after="0"/>
        <w:rPr>
          <w:b/>
          <w:noProof/>
          <w:lang w:eastAsia="en-AU"/>
        </w:rPr>
      </w:pPr>
      <w:r w:rsidRPr="00632016">
        <w:rPr>
          <w:b/>
          <w:noProof/>
          <w:lang w:eastAsia="en-AU"/>
        </w:rPr>
        <w:t>Figure 21: Criminal - Supreme Court</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170"/>
      </w:tblGrid>
      <w:tr w:rsidR="00CA07A0" w:rsidRPr="00CA07A0" w14:paraId="7A2BE2B0" w14:textId="77777777" w:rsidTr="00DF7BD2">
        <w:tc>
          <w:tcPr>
            <w:tcW w:w="846" w:type="dxa"/>
          </w:tcPr>
          <w:p w14:paraId="1698BDEC" w14:textId="77777777" w:rsidR="00CA07A0" w:rsidRPr="00CA07A0" w:rsidRDefault="00CA07A0" w:rsidP="00661EA0">
            <w:pPr>
              <w:rPr>
                <w:rFonts w:eastAsia="Calibri" w:cstheme="minorHAnsi"/>
                <w:noProof/>
                <w:color w:val="44546A" w:themeColor="text2"/>
                <w:sz w:val="30"/>
                <w:szCs w:val="30"/>
                <w:lang w:eastAsia="en-AU"/>
              </w:rPr>
            </w:pPr>
            <w:r w:rsidRPr="00CA07A0">
              <w:rPr>
                <w:rFonts w:eastAsia="Calibri" w:cstheme="minorHAnsi"/>
                <w:noProof/>
                <w:color w:val="757575"/>
                <w:sz w:val="30"/>
                <w:szCs w:val="30"/>
                <w:lang w:eastAsia="en-AU"/>
              </w:rPr>
              <mc:AlternateContent>
                <mc:Choice Requires="wpg">
                  <w:drawing>
                    <wp:anchor distT="0" distB="0" distL="114300" distR="114300" simplePos="0" relativeHeight="251678720" behindDoc="0" locked="0" layoutInCell="1" allowOverlap="1" wp14:anchorId="0F8DA2D8" wp14:editId="47ACE4D3">
                      <wp:simplePos x="0" y="0"/>
                      <wp:positionH relativeFrom="column">
                        <wp:posOffset>-23102</wp:posOffset>
                      </wp:positionH>
                      <wp:positionV relativeFrom="paragraph">
                        <wp:posOffset>46884</wp:posOffset>
                      </wp:positionV>
                      <wp:extent cx="372080" cy="508774"/>
                      <wp:effectExtent l="19050" t="19050" r="28575" b="24765"/>
                      <wp:wrapNone/>
                      <wp:docPr id="126" name="Group 9"/>
                      <wp:cNvGraphicFramePr/>
                      <a:graphic xmlns:a="http://schemas.openxmlformats.org/drawingml/2006/main">
                        <a:graphicData uri="http://schemas.microsoft.com/office/word/2010/wordprocessingGroup">
                          <wpg:wgp>
                            <wpg:cNvGrpSpPr/>
                            <wpg:grpSpPr>
                              <a:xfrm>
                                <a:off x="0" y="0"/>
                                <a:ext cx="372080" cy="508774"/>
                                <a:chOff x="0" y="0"/>
                                <a:chExt cx="609600" cy="1282700"/>
                              </a:xfrm>
                            </wpg:grpSpPr>
                            <wps:wsp>
                              <wps:cNvPr id="127" name="Rectangle 127"/>
                              <wps:cNvSpPr/>
                              <wps:spPr>
                                <a:xfrm>
                                  <a:off x="0" y="0"/>
                                  <a:ext cx="609600" cy="1282700"/>
                                </a:xfrm>
                                <a:prstGeom prst="rect">
                                  <a:avLst/>
                                </a:prstGeom>
                                <a:solidFill>
                                  <a:sysClr val="window" lastClr="FFFFFF"/>
                                </a:solidFill>
                                <a:ln w="38100" cap="flat" cmpd="sng" algn="ctr">
                                  <a:solidFill>
                                    <a:srgbClr val="4472C4">
                                      <a:shade val="50000"/>
                                    </a:srgbClr>
                                  </a:solidFill>
                                  <a:prstDash val="solid"/>
                                  <a:miter lim="800000"/>
                                </a:ln>
                                <a:effectLst/>
                              </wps:spPr>
                              <wps:bodyPr rtlCol="0" anchor="ctr"/>
                            </wps:wsp>
                            <wps:wsp>
                              <wps:cNvPr id="128" name="Oval 128"/>
                              <wps:cNvSpPr/>
                              <wps:spPr>
                                <a:xfrm>
                                  <a:off x="127000" y="101600"/>
                                  <a:ext cx="342900" cy="317500"/>
                                </a:xfrm>
                                <a:prstGeom prst="ellipse">
                                  <a:avLst/>
                                </a:prstGeom>
                                <a:solidFill>
                                  <a:sysClr val="window" lastClr="FFFFFF"/>
                                </a:solidFill>
                                <a:ln w="12700" cap="flat" cmpd="sng" algn="ctr">
                                  <a:solidFill>
                                    <a:srgbClr val="4472C4">
                                      <a:shade val="50000"/>
                                    </a:srgbClr>
                                  </a:solidFill>
                                  <a:prstDash val="solid"/>
                                  <a:miter lim="800000"/>
                                </a:ln>
                                <a:effectLst/>
                              </wps:spPr>
                              <wps:bodyPr rtlCol="0" anchor="ctr"/>
                            </wps:wsp>
                            <wps:wsp>
                              <wps:cNvPr id="129" name="Oval 129"/>
                              <wps:cNvSpPr/>
                              <wps:spPr>
                                <a:xfrm>
                                  <a:off x="127000" y="495300"/>
                                  <a:ext cx="342900" cy="317500"/>
                                </a:xfrm>
                                <a:prstGeom prst="ellipse">
                                  <a:avLst/>
                                </a:prstGeom>
                                <a:solidFill>
                                  <a:srgbClr val="FFFF00"/>
                                </a:solidFill>
                                <a:ln w="12700" cap="flat" cmpd="sng" algn="ctr">
                                  <a:solidFill>
                                    <a:srgbClr val="4472C4">
                                      <a:shade val="50000"/>
                                    </a:srgbClr>
                                  </a:solidFill>
                                  <a:prstDash val="solid"/>
                                  <a:miter lim="800000"/>
                                </a:ln>
                                <a:effectLst/>
                              </wps:spPr>
                              <wps:bodyPr rtlCol="0" anchor="ctr"/>
                            </wps:wsp>
                            <wps:wsp>
                              <wps:cNvPr id="130" name="Oval 130"/>
                              <wps:cNvSpPr/>
                              <wps:spPr>
                                <a:xfrm>
                                  <a:off x="127000" y="889000"/>
                                  <a:ext cx="342900" cy="317500"/>
                                </a:xfrm>
                                <a:prstGeom prst="ellipse">
                                  <a:avLst/>
                                </a:prstGeom>
                                <a:solidFill>
                                  <a:sysClr val="window" lastClr="FFFFFF"/>
                                </a:solidFill>
                                <a:ln w="12700" cap="flat" cmpd="sng" algn="ctr">
                                  <a:solidFill>
                                    <a:srgbClr val="4472C4">
                                      <a:shade val="50000"/>
                                    </a:srgbClr>
                                  </a:solidFill>
                                  <a:prstDash val="solid"/>
                                  <a:miter lim="800000"/>
                                </a:ln>
                                <a:effectLst/>
                              </wps:spPr>
                              <wps:bodyPr rtlCol="0" anchor="ct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FE748D2" id="Group 9" o:spid="_x0000_s1026" style="position:absolute;margin-left:-1.8pt;margin-top:3.7pt;width:29.3pt;height:40.05pt;z-index:251678720;mso-width-relative:margin;mso-height-relative:margin" coordsize="6096,12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">
                      <v:rect id="Rectangle 127" o:spid="_x0000_s1027" style="position:absolute;width:6096;height:12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" fillcolor="window" strokecolor="#2f528f" strokeweight="3pt"/>
                      <v:oval id="Oval 128" o:spid="_x0000_s1028" style="position:absolute;left:1270;top:1016;width:342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" fillcolor="window" strokecolor="#2f528f" strokeweight="1pt">
                        <v:stroke joinstyle="miter"/>
                      </v:oval>
                      <v:oval id="Oval 129" o:spid="_x0000_s1029" style="position:absolute;left:1270;top:4953;width:342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" fillcolor="yellow" strokecolor="#2f528f" strokeweight="1pt">
                        <v:stroke joinstyle="miter"/>
                      </v:oval>
                      <v:oval id="Oval 130" o:spid="_x0000_s1030" style="position:absolute;left:1270;top:8890;width:342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" fillcolor="window" strokecolor="#2f528f" strokeweight="1pt">
                        <v:stroke joinstyle="miter"/>
                      </v:oval>
                    </v:group>
                  </w:pict>
                </mc:Fallback>
              </mc:AlternateContent>
            </w:r>
          </w:p>
        </w:tc>
        <w:tc>
          <w:tcPr>
            <w:tcW w:w="8170" w:type="dxa"/>
          </w:tcPr>
          <w:p w14:paraId="7CBAD089" w14:textId="77777777" w:rsidR="00CA07A0" w:rsidRPr="00D63485" w:rsidRDefault="00CA07A0" w:rsidP="00CC152F">
            <w:pPr>
              <w:spacing w:before="100"/>
              <w:rPr>
                <w:noProof/>
                <w:lang w:val="en-US" w:eastAsia="en-AU"/>
              </w:rPr>
            </w:pPr>
            <w:r w:rsidRPr="00D63485">
              <w:rPr>
                <w:noProof/>
                <w:lang w:val="en-US" w:eastAsia="en-AU"/>
              </w:rPr>
              <w:t>Overall, relatively stable volume of criminal matters being presented to the Supreme Court</w:t>
            </w:r>
          </w:p>
          <w:p w14:paraId="25DF14C0" w14:textId="77777777" w:rsidR="007B120E" w:rsidRPr="00CA07A0" w:rsidRDefault="007B120E" w:rsidP="00661EA0">
            <w:pPr>
              <w:rPr>
                <w:lang w:eastAsia="en-AU"/>
              </w:rPr>
            </w:pPr>
          </w:p>
        </w:tc>
      </w:tr>
    </w:tbl>
    <w:p w14:paraId="00A46B15" w14:textId="77777777" w:rsidR="00CA07A0" w:rsidRPr="00CA07A0" w:rsidRDefault="007B120E" w:rsidP="00661EA0">
      <w:pPr>
        <w:rPr>
          <w:lang w:eastAsia="en-AU"/>
        </w:rPr>
      </w:pPr>
      <w:r>
        <w:rPr>
          <w:noProof/>
          <w:lang w:eastAsia="en-AU"/>
        </w:rPr>
        <w:drawing>
          <wp:inline distT="0" distB="0" distL="0" distR="0" wp14:anchorId="4ED360DF" wp14:editId="1E382C45">
            <wp:extent cx="5731510" cy="3740150"/>
            <wp:effectExtent l="0" t="0" r="2540" b="0"/>
            <wp:docPr id="57" name="Picture 1">
              <a:extLst xmlns:a="http://schemas.openxmlformats.org/drawingml/2006/main">
                <a:ext uri="{FF2B5EF4-FFF2-40B4-BE49-F238E27FC236}">
                  <a16:creationId xmlns:a16="http://schemas.microsoft.com/office/drawing/2014/main" id="{57F4A948-EA06-0E43-B3BA-83EA74B444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57F4A948-EA06-0E43-B3BA-83EA74B44411}"/>
                        </a:ext>
                      </a:extLst>
                    </pic:cNvPr>
                    <pic:cNvPicPr>
                      <a:picLocks noChangeAspect="1"/>
                    </pic:cNvPicPr>
                  </pic:nvPicPr>
                  <pic:blipFill>
                    <a:blip r:embed="rId48"/>
                    <a:stretch>
                      <a:fillRect/>
                    </a:stretch>
                  </pic:blipFill>
                  <pic:spPr>
                    <a:xfrm>
                      <a:off x="0" y="0"/>
                      <a:ext cx="5731510" cy="3740150"/>
                    </a:xfrm>
                    <a:prstGeom prst="rect">
                      <a:avLst/>
                    </a:prstGeom>
                  </pic:spPr>
                </pic:pic>
              </a:graphicData>
            </a:graphic>
          </wp:inline>
        </w:drawing>
      </w:r>
    </w:p>
    <w:p w14:paraId="3EACC2E5" w14:textId="77777777" w:rsidR="00CA07A0" w:rsidRPr="00632016" w:rsidRDefault="00CA07A0" w:rsidP="00CC152F">
      <w:pPr>
        <w:spacing w:after="0"/>
        <w:rPr>
          <w:b/>
          <w:noProof/>
          <w:lang w:eastAsia="en-AU"/>
        </w:rPr>
      </w:pPr>
      <w:r w:rsidRPr="00632016">
        <w:rPr>
          <w:b/>
          <w:noProof/>
          <w:lang w:eastAsia="en-AU"/>
        </w:rPr>
        <w:t>Figure 22: Criminal – Island Court</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170"/>
      </w:tblGrid>
      <w:tr w:rsidR="00CA07A0" w:rsidRPr="00CA07A0" w14:paraId="04D7E83A" w14:textId="77777777" w:rsidTr="00DF7BD2">
        <w:tc>
          <w:tcPr>
            <w:tcW w:w="846" w:type="dxa"/>
          </w:tcPr>
          <w:p w14:paraId="04BDA2DD" w14:textId="77777777" w:rsidR="00CA07A0" w:rsidRPr="00CA07A0" w:rsidRDefault="00CA07A0" w:rsidP="00661EA0">
            <w:pPr>
              <w:rPr>
                <w:rFonts w:eastAsia="Calibri" w:cstheme="minorHAnsi"/>
                <w:noProof/>
                <w:color w:val="44546A" w:themeColor="text2"/>
                <w:sz w:val="30"/>
                <w:szCs w:val="30"/>
                <w:lang w:eastAsia="en-AU"/>
              </w:rPr>
            </w:pPr>
            <w:r w:rsidRPr="00CA07A0">
              <w:rPr>
                <w:rFonts w:eastAsia="Calibri" w:cstheme="minorHAnsi"/>
                <w:noProof/>
                <w:color w:val="757575"/>
                <w:sz w:val="30"/>
                <w:szCs w:val="30"/>
                <w:lang w:eastAsia="en-AU"/>
              </w:rPr>
              <mc:AlternateContent>
                <mc:Choice Requires="wpg">
                  <w:drawing>
                    <wp:anchor distT="0" distB="0" distL="114300" distR="114300" simplePos="0" relativeHeight="251679744" behindDoc="0" locked="0" layoutInCell="1" allowOverlap="1" wp14:anchorId="6C072410" wp14:editId="68FF6136">
                      <wp:simplePos x="0" y="0"/>
                      <wp:positionH relativeFrom="column">
                        <wp:posOffset>-49530</wp:posOffset>
                      </wp:positionH>
                      <wp:positionV relativeFrom="paragraph">
                        <wp:posOffset>67304</wp:posOffset>
                      </wp:positionV>
                      <wp:extent cx="381000" cy="523875"/>
                      <wp:effectExtent l="19050" t="19050" r="19050" b="28575"/>
                      <wp:wrapNone/>
                      <wp:docPr id="137" name="Group 6"/>
                      <wp:cNvGraphicFramePr/>
                      <a:graphic xmlns:a="http://schemas.openxmlformats.org/drawingml/2006/main">
                        <a:graphicData uri="http://schemas.microsoft.com/office/word/2010/wordprocessingGroup">
                          <wpg:wgp>
                            <wpg:cNvGrpSpPr/>
                            <wpg:grpSpPr>
                              <a:xfrm>
                                <a:off x="0" y="0"/>
                                <a:ext cx="381000" cy="523875"/>
                                <a:chOff x="0" y="0"/>
                                <a:chExt cx="609600" cy="1282700"/>
                              </a:xfrm>
                            </wpg:grpSpPr>
                            <wps:wsp>
                              <wps:cNvPr id="138" name="Rectangle 138"/>
                              <wps:cNvSpPr/>
                              <wps:spPr>
                                <a:xfrm>
                                  <a:off x="0" y="0"/>
                                  <a:ext cx="609600" cy="1282700"/>
                                </a:xfrm>
                                <a:prstGeom prst="rect">
                                  <a:avLst/>
                                </a:prstGeom>
                                <a:solidFill>
                                  <a:sysClr val="window" lastClr="FFFFFF"/>
                                </a:solidFill>
                                <a:ln w="38100" cap="flat" cmpd="sng" algn="ctr">
                                  <a:solidFill>
                                    <a:srgbClr val="4472C4">
                                      <a:shade val="50000"/>
                                    </a:srgbClr>
                                  </a:solidFill>
                                  <a:prstDash val="solid"/>
                                  <a:miter lim="800000"/>
                                </a:ln>
                                <a:effectLst/>
                              </wps:spPr>
                              <wps:bodyPr rtlCol="0" anchor="ctr"/>
                            </wps:wsp>
                            <wps:wsp>
                              <wps:cNvPr id="139" name="Oval 139"/>
                              <wps:cNvSpPr/>
                              <wps:spPr>
                                <a:xfrm>
                                  <a:off x="127000" y="101600"/>
                                  <a:ext cx="342900" cy="317500"/>
                                </a:xfrm>
                                <a:prstGeom prst="ellipse">
                                  <a:avLst/>
                                </a:prstGeom>
                                <a:solidFill>
                                  <a:srgbClr val="FF0000"/>
                                </a:solidFill>
                                <a:ln w="12700" cap="flat" cmpd="sng" algn="ctr">
                                  <a:solidFill>
                                    <a:srgbClr val="4472C4">
                                      <a:shade val="50000"/>
                                    </a:srgbClr>
                                  </a:solidFill>
                                  <a:prstDash val="solid"/>
                                  <a:miter lim="800000"/>
                                </a:ln>
                                <a:effectLst/>
                              </wps:spPr>
                              <wps:bodyPr rtlCol="0" anchor="ctr"/>
                            </wps:wsp>
                            <wps:wsp>
                              <wps:cNvPr id="140" name="Oval 140"/>
                              <wps:cNvSpPr/>
                              <wps:spPr>
                                <a:xfrm>
                                  <a:off x="127000" y="495300"/>
                                  <a:ext cx="342900" cy="317500"/>
                                </a:xfrm>
                                <a:prstGeom prst="ellipse">
                                  <a:avLst/>
                                </a:prstGeom>
                                <a:solidFill>
                                  <a:sysClr val="window" lastClr="FFFFFF"/>
                                </a:solidFill>
                                <a:ln w="12700" cap="flat" cmpd="sng" algn="ctr">
                                  <a:solidFill>
                                    <a:srgbClr val="4472C4">
                                      <a:shade val="50000"/>
                                    </a:srgbClr>
                                  </a:solidFill>
                                  <a:prstDash val="solid"/>
                                  <a:miter lim="800000"/>
                                </a:ln>
                                <a:effectLst/>
                              </wps:spPr>
                              <wps:bodyPr rtlCol="0" anchor="ctr"/>
                            </wps:wsp>
                            <wps:wsp>
                              <wps:cNvPr id="141" name="Oval 141"/>
                              <wps:cNvSpPr/>
                              <wps:spPr>
                                <a:xfrm>
                                  <a:off x="127000" y="889000"/>
                                  <a:ext cx="342900" cy="317500"/>
                                </a:xfrm>
                                <a:prstGeom prst="ellipse">
                                  <a:avLst/>
                                </a:prstGeom>
                                <a:solidFill>
                                  <a:sysClr val="window" lastClr="FFFFFF"/>
                                </a:solidFill>
                                <a:ln w="12700" cap="flat" cmpd="sng" algn="ctr">
                                  <a:solidFill>
                                    <a:srgbClr val="4472C4">
                                      <a:shade val="50000"/>
                                    </a:srgbClr>
                                  </a:solidFill>
                                  <a:prstDash val="solid"/>
                                  <a:miter lim="800000"/>
                                </a:ln>
                                <a:effectLst/>
                              </wps:spPr>
                              <wps:bodyPr rtlCol="0" anchor="ct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726DCCA" id="Group 6" o:spid="_x0000_s1026" style="position:absolute;margin-left:-3.9pt;margin-top:5.3pt;width:30pt;height:41.25pt;z-index:251679744;mso-width-relative:margin;mso-height-relative:margin" coordsize="6096,12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">
                      <v:rect id="Rectangle 138" o:spid="_x0000_s1027" style="position:absolute;width:6096;height:12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" fillcolor="window" strokecolor="#2f528f" strokeweight="3pt"/>
                      <v:oval id="Oval 139" o:spid="_x0000_s1028" style="position:absolute;left:1270;top:1016;width:342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" fillcolor="red" strokecolor="#2f528f" strokeweight="1pt">
                        <v:stroke joinstyle="miter"/>
                      </v:oval>
                      <v:oval id="Oval 140" o:spid="_x0000_s1029" style="position:absolute;left:1270;top:4953;width:342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" fillcolor="window" strokecolor="#2f528f" strokeweight="1pt">
                        <v:stroke joinstyle="miter"/>
                      </v:oval>
                      <v:oval id="Oval 141" o:spid="_x0000_s1030" style="position:absolute;left:1270;top:8890;width:342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" fillcolor="window" strokecolor="#2f528f" strokeweight="1pt">
                        <v:stroke joinstyle="miter"/>
                      </v:oval>
                    </v:group>
                  </w:pict>
                </mc:Fallback>
              </mc:AlternateContent>
            </w:r>
          </w:p>
        </w:tc>
        <w:tc>
          <w:tcPr>
            <w:tcW w:w="8170" w:type="dxa"/>
          </w:tcPr>
          <w:p w14:paraId="7A1DA4CA" w14:textId="77777777" w:rsidR="00CA07A0" w:rsidRDefault="00CA07A0" w:rsidP="00CC152F">
            <w:pPr>
              <w:spacing w:before="100"/>
              <w:rPr>
                <w:noProof/>
                <w:lang w:val="en-US" w:eastAsia="en-AU"/>
              </w:rPr>
            </w:pPr>
            <w:r w:rsidRPr="00CA07A0">
              <w:rPr>
                <w:noProof/>
                <w:lang w:val="en-US" w:eastAsia="en-AU"/>
              </w:rPr>
              <w:t>Of concern – a significant drop in the Island Court/Criminal matters. Overall IC matters including maintenance and debt matters – also substantially down</w:t>
            </w:r>
          </w:p>
          <w:p w14:paraId="5E47D58A" w14:textId="77777777" w:rsidR="00CA07A0" w:rsidRPr="00CA07A0" w:rsidRDefault="00CA07A0" w:rsidP="00661EA0">
            <w:pPr>
              <w:rPr>
                <w:sz w:val="12"/>
                <w:szCs w:val="12"/>
                <w:lang w:eastAsia="en-AU"/>
              </w:rPr>
            </w:pPr>
          </w:p>
        </w:tc>
      </w:tr>
    </w:tbl>
    <w:p w14:paraId="69F4AB6B" w14:textId="77777777" w:rsidR="00CA07A0" w:rsidRPr="00CA07A0" w:rsidRDefault="00CA07A0" w:rsidP="00661EA0">
      <w:pPr>
        <w:rPr>
          <w:sz w:val="2"/>
          <w:szCs w:val="2"/>
          <w:lang w:eastAsia="en-AU"/>
        </w:rPr>
      </w:pPr>
    </w:p>
    <w:p w14:paraId="6A612A78" w14:textId="77777777" w:rsidR="00CA07A0" w:rsidRPr="00CA07A0" w:rsidRDefault="007B120E" w:rsidP="00661EA0">
      <w:pPr>
        <w:rPr>
          <w:lang w:eastAsia="en-AU"/>
        </w:rPr>
      </w:pPr>
      <w:r w:rsidRPr="007B120E">
        <w:rPr>
          <w:noProof/>
          <w:lang w:eastAsia="en-AU"/>
        </w:rPr>
        <w:drawing>
          <wp:inline distT="0" distB="0" distL="0" distR="0" wp14:anchorId="284147EF" wp14:editId="6B716434">
            <wp:extent cx="5238627" cy="3418515"/>
            <wp:effectExtent l="0" t="0" r="635" b="0"/>
            <wp:docPr id="58" name="Picture 1">
              <a:extLst xmlns:a="http://schemas.openxmlformats.org/drawingml/2006/main">
                <a:ext uri="{FF2B5EF4-FFF2-40B4-BE49-F238E27FC236}">
                  <a16:creationId xmlns:a16="http://schemas.microsoft.com/office/drawing/2014/main" id="{F02D58EA-D866-1E45-B702-5CD5202DCA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02D58EA-D866-1E45-B702-5CD5202DCA4C}"/>
                        </a:ext>
                      </a:extLst>
                    </pic:cNvPr>
                    <pic:cNvPicPr>
                      <a:picLocks noChangeAspect="1"/>
                    </pic:cNvPicPr>
                  </pic:nvPicPr>
                  <pic:blipFill>
                    <a:blip r:embed="rId49"/>
                    <a:stretch>
                      <a:fillRect/>
                    </a:stretch>
                  </pic:blipFill>
                  <pic:spPr>
                    <a:xfrm>
                      <a:off x="0" y="0"/>
                      <a:ext cx="5256643" cy="3430271"/>
                    </a:xfrm>
                    <a:prstGeom prst="rect">
                      <a:avLst/>
                    </a:prstGeom>
                  </pic:spPr>
                </pic:pic>
              </a:graphicData>
            </a:graphic>
          </wp:inline>
        </w:drawing>
      </w:r>
    </w:p>
    <w:p w14:paraId="2CA72E70" w14:textId="77777777" w:rsidR="00CA07A0" w:rsidRPr="00632016" w:rsidRDefault="00CA07A0" w:rsidP="00CC152F">
      <w:pPr>
        <w:spacing w:after="0"/>
        <w:rPr>
          <w:b/>
          <w:noProof/>
          <w:lang w:eastAsia="en-AU"/>
        </w:rPr>
      </w:pPr>
      <w:bookmarkStart w:id="56" w:name="_Hlk20155853"/>
      <w:r w:rsidRPr="00632016">
        <w:rPr>
          <w:b/>
          <w:noProof/>
          <w:lang w:eastAsia="en-AU"/>
        </w:rPr>
        <w:t xml:space="preserve">Figure 23: </w:t>
      </w:r>
      <w:r w:rsidR="00F64C16">
        <w:rPr>
          <w:b/>
          <w:noProof/>
          <w:lang w:eastAsia="en-AU"/>
        </w:rPr>
        <w:t>T</w:t>
      </w:r>
      <w:r w:rsidRPr="00632016">
        <w:rPr>
          <w:b/>
          <w:noProof/>
          <w:lang w:eastAsia="en-AU"/>
        </w:rPr>
        <w:t>otal volumes</w:t>
      </w:r>
      <w:bookmarkEnd w:id="56"/>
    </w:p>
    <w:p w14:paraId="24AD474C" w14:textId="77777777" w:rsidR="00CA07A0" w:rsidRDefault="00CA07A0" w:rsidP="00661EA0">
      <w:pPr>
        <w:rPr>
          <w:lang w:val="en-US" w:eastAsia="en-AU"/>
        </w:rPr>
      </w:pPr>
      <w:r w:rsidRPr="00CA07A0">
        <w:rPr>
          <w:lang w:val="en-US" w:eastAsia="en-AU"/>
        </w:rPr>
        <w:t>Clearly showing the growth of Protection orders over the 4 years</w:t>
      </w:r>
    </w:p>
    <w:p w14:paraId="2694E276" w14:textId="77777777" w:rsidR="00CA07A0" w:rsidRPr="007B120E" w:rsidRDefault="007B120E" w:rsidP="00661EA0">
      <w:pPr>
        <w:rPr>
          <w:lang w:val="en-US" w:eastAsia="en-AU"/>
        </w:rPr>
      </w:pPr>
      <w:r w:rsidRPr="007B120E">
        <w:rPr>
          <w:noProof/>
          <w:lang w:eastAsia="en-AU"/>
        </w:rPr>
        <w:drawing>
          <wp:inline distT="0" distB="0" distL="0" distR="0" wp14:anchorId="781E0A8F" wp14:editId="338810E7">
            <wp:extent cx="5731510" cy="3740150"/>
            <wp:effectExtent l="0" t="0" r="2540" b="0"/>
            <wp:docPr id="61" name="Picture 1">
              <a:extLst xmlns:a="http://schemas.openxmlformats.org/drawingml/2006/main">
                <a:ext uri="{FF2B5EF4-FFF2-40B4-BE49-F238E27FC236}">
                  <a16:creationId xmlns:a16="http://schemas.microsoft.com/office/drawing/2014/main" id="{2E0FAEFA-6200-5447-8E92-116FDB1124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E0FAEFA-6200-5447-8E92-116FDB112456}"/>
                        </a:ext>
                      </a:extLst>
                    </pic:cNvPr>
                    <pic:cNvPicPr>
                      <a:picLocks noChangeAspect="1"/>
                    </pic:cNvPicPr>
                  </pic:nvPicPr>
                  <pic:blipFill>
                    <a:blip r:embed="rId50"/>
                    <a:stretch>
                      <a:fillRect/>
                    </a:stretch>
                  </pic:blipFill>
                  <pic:spPr>
                    <a:xfrm>
                      <a:off x="0" y="0"/>
                      <a:ext cx="5731510" cy="3740150"/>
                    </a:xfrm>
                    <a:prstGeom prst="rect">
                      <a:avLst/>
                    </a:prstGeom>
                  </pic:spPr>
                </pic:pic>
              </a:graphicData>
            </a:graphic>
          </wp:inline>
        </w:drawing>
      </w:r>
    </w:p>
    <w:p w14:paraId="38C09705" w14:textId="77777777" w:rsidR="00CA07A0" w:rsidRPr="00CC152F" w:rsidRDefault="00CA07A0" w:rsidP="00CC152F">
      <w:pPr>
        <w:spacing w:after="0"/>
        <w:rPr>
          <w:b/>
          <w:noProof/>
          <w:lang w:eastAsia="en-AU"/>
        </w:rPr>
      </w:pPr>
    </w:p>
    <w:p w14:paraId="4F6E5F9A" w14:textId="77777777" w:rsidR="00CA07A0" w:rsidRPr="00632016" w:rsidRDefault="00CA07A0" w:rsidP="00CC152F">
      <w:pPr>
        <w:spacing w:after="0"/>
        <w:rPr>
          <w:b/>
          <w:noProof/>
          <w:lang w:eastAsia="en-AU"/>
        </w:rPr>
      </w:pPr>
      <w:r w:rsidRPr="00632016">
        <w:rPr>
          <w:b/>
          <w:noProof/>
          <w:lang w:eastAsia="en-AU"/>
        </w:rPr>
        <w:t>Figure 24: 4 year annual % shift – case volumes</w:t>
      </w:r>
    </w:p>
    <w:p w14:paraId="5856670B" w14:textId="77777777" w:rsidR="005105F8" w:rsidRPr="00CA07A0" w:rsidRDefault="00CA07A0" w:rsidP="00661EA0">
      <w:pPr>
        <w:rPr>
          <w:lang w:val="en-US" w:eastAsia="en-AU"/>
        </w:rPr>
      </w:pPr>
      <w:r w:rsidRPr="00CA07A0">
        <w:rPr>
          <w:lang w:val="en-US" w:eastAsia="en-AU"/>
        </w:rPr>
        <w:t>Noticeable increase in the Protection Orders being filed at court – approximately 10% growth per annum – substantially different to the other relevant case types</w:t>
      </w:r>
    </w:p>
    <w:p w14:paraId="05BBF182" w14:textId="77777777" w:rsidR="00CA07A0" w:rsidRPr="00CA07A0" w:rsidRDefault="005105F8" w:rsidP="00661EA0">
      <w:pPr>
        <w:rPr>
          <w:lang w:val="en-US" w:eastAsia="en-AU"/>
        </w:rPr>
      </w:pPr>
      <w:r>
        <w:rPr>
          <w:noProof/>
          <w:lang w:eastAsia="en-AU"/>
        </w:rPr>
        <w:drawing>
          <wp:inline distT="0" distB="0" distL="0" distR="0" wp14:anchorId="05FD38A0" wp14:editId="5E720945">
            <wp:extent cx="5291721" cy="3453162"/>
            <wp:effectExtent l="0" t="0" r="4445" b="0"/>
            <wp:docPr id="134" name="Picture 1">
              <a:extLst xmlns:a="http://schemas.openxmlformats.org/drawingml/2006/main">
                <a:ext uri="{FF2B5EF4-FFF2-40B4-BE49-F238E27FC236}">
                  <a16:creationId xmlns:a16="http://schemas.microsoft.com/office/drawing/2014/main" id="{D917D67A-5E19-6B42-B83C-7BC1200AC0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D917D67A-5E19-6B42-B83C-7BC1200AC016}"/>
                        </a:ext>
                      </a:extLst>
                    </pic:cNvPr>
                    <pic:cNvPicPr>
                      <a:picLocks noChangeAspect="1"/>
                    </pic:cNvPicPr>
                  </pic:nvPicPr>
                  <pic:blipFill>
                    <a:blip r:embed="rId51"/>
                    <a:stretch>
                      <a:fillRect/>
                    </a:stretch>
                  </pic:blipFill>
                  <pic:spPr>
                    <a:xfrm>
                      <a:off x="0" y="0"/>
                      <a:ext cx="5293921" cy="3454598"/>
                    </a:xfrm>
                    <a:prstGeom prst="rect">
                      <a:avLst/>
                    </a:prstGeom>
                  </pic:spPr>
                </pic:pic>
              </a:graphicData>
            </a:graphic>
          </wp:inline>
        </w:drawing>
      </w:r>
    </w:p>
    <w:p w14:paraId="162CB9E8" w14:textId="77777777" w:rsidR="00CA07A0" w:rsidRPr="00632016" w:rsidRDefault="00CA07A0" w:rsidP="00CC152F">
      <w:pPr>
        <w:spacing w:after="0"/>
        <w:rPr>
          <w:b/>
          <w:noProof/>
          <w:lang w:eastAsia="en-AU"/>
        </w:rPr>
      </w:pPr>
      <w:r w:rsidRPr="00632016">
        <w:rPr>
          <w:b/>
          <w:noProof/>
          <w:lang w:eastAsia="en-AU"/>
        </w:rPr>
        <w:t>Figure 25: Magistrates</w:t>
      </w:r>
      <w:r w:rsidR="00E46D09">
        <w:rPr>
          <w:b/>
          <w:noProof/>
          <w:lang w:eastAsia="en-AU"/>
        </w:rPr>
        <w:t>’</w:t>
      </w:r>
      <w:r w:rsidRPr="00632016">
        <w:rPr>
          <w:b/>
          <w:noProof/>
          <w:lang w:eastAsia="en-AU"/>
        </w:rPr>
        <w:t xml:space="preserve"> Court – key locations – Criminal and Protection Orders</w:t>
      </w:r>
    </w:p>
    <w:p w14:paraId="4CE4BD2A" w14:textId="77777777" w:rsidR="005105F8" w:rsidRPr="00CA07A0" w:rsidRDefault="00CA07A0" w:rsidP="00661EA0">
      <w:pPr>
        <w:rPr>
          <w:lang w:val="en-US" w:eastAsia="en-AU"/>
        </w:rPr>
      </w:pPr>
      <w:proofErr w:type="spellStart"/>
      <w:r w:rsidRPr="00CA07A0">
        <w:rPr>
          <w:lang w:val="en-US" w:eastAsia="en-AU"/>
        </w:rPr>
        <w:t>Luganville</w:t>
      </w:r>
      <w:proofErr w:type="spellEnd"/>
      <w:r w:rsidRPr="00CA07A0">
        <w:rPr>
          <w:lang w:val="en-US" w:eastAsia="en-AU"/>
        </w:rPr>
        <w:t xml:space="preserve"> matters on the increase, while noticeable decline in MC Criminal matters being presented to the Court</w:t>
      </w:r>
    </w:p>
    <w:p w14:paraId="7E39E3D3" w14:textId="77777777" w:rsidR="00CA07A0" w:rsidRPr="00CA07A0" w:rsidRDefault="005105F8" w:rsidP="00661EA0">
      <w:pPr>
        <w:rPr>
          <w:lang w:val="en-US" w:eastAsia="en-AU"/>
        </w:rPr>
      </w:pPr>
      <w:r w:rsidRPr="005105F8">
        <w:rPr>
          <w:noProof/>
          <w:lang w:eastAsia="en-AU"/>
        </w:rPr>
        <w:drawing>
          <wp:inline distT="0" distB="0" distL="0" distR="0" wp14:anchorId="57DA9047" wp14:editId="76DDE96D">
            <wp:extent cx="5731510" cy="3740150"/>
            <wp:effectExtent l="0" t="0" r="2540" b="0"/>
            <wp:docPr id="136" name="Picture 1">
              <a:extLst xmlns:a="http://schemas.openxmlformats.org/drawingml/2006/main">
                <a:ext uri="{FF2B5EF4-FFF2-40B4-BE49-F238E27FC236}">
                  <a16:creationId xmlns:a16="http://schemas.microsoft.com/office/drawing/2014/main" id="{8BD51B0F-F85C-BA4F-ACFF-A3CB55336A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8BD51B0F-F85C-BA4F-ACFF-A3CB55336AB7}"/>
                        </a:ext>
                      </a:extLst>
                    </pic:cNvPr>
                    <pic:cNvPicPr>
                      <a:picLocks noChangeAspect="1"/>
                    </pic:cNvPicPr>
                  </pic:nvPicPr>
                  <pic:blipFill>
                    <a:blip r:embed="rId52"/>
                    <a:stretch>
                      <a:fillRect/>
                    </a:stretch>
                  </pic:blipFill>
                  <pic:spPr>
                    <a:xfrm>
                      <a:off x="0" y="0"/>
                      <a:ext cx="5731510" cy="3740150"/>
                    </a:xfrm>
                    <a:prstGeom prst="rect">
                      <a:avLst/>
                    </a:prstGeom>
                  </pic:spPr>
                </pic:pic>
              </a:graphicData>
            </a:graphic>
          </wp:inline>
        </w:drawing>
      </w:r>
    </w:p>
    <w:p w14:paraId="0DE60141" w14:textId="77777777" w:rsidR="00B44E09" w:rsidRDefault="00B44E09" w:rsidP="00661EA0">
      <w:pPr>
        <w:rPr>
          <w:rFonts w:eastAsia="Calibri" w:cstheme="minorHAnsi"/>
          <w:b/>
          <w:noProof/>
          <w:color w:val="44546A" w:themeColor="text2"/>
          <w:lang w:eastAsia="en-AU"/>
        </w:rPr>
      </w:pPr>
    </w:p>
    <w:p w14:paraId="4BCAC7CB" w14:textId="77777777" w:rsidR="00CA07A0" w:rsidRPr="005105F8" w:rsidRDefault="00CA07A0" w:rsidP="0026186E">
      <w:pPr>
        <w:shd w:val="clear" w:color="auto" w:fill="FFFFFF" w:themeFill="background1"/>
        <w:rPr>
          <w:b/>
          <w:noProof/>
          <w:color w:val="44546A" w:themeColor="text2"/>
          <w:lang w:eastAsia="en-AU"/>
        </w:rPr>
      </w:pPr>
      <w:r w:rsidRPr="00632016">
        <w:rPr>
          <w:b/>
          <w:noProof/>
          <w:color w:val="44546A" w:themeColor="text2"/>
          <w:lang w:eastAsia="en-AU"/>
        </w:rPr>
        <w:t>GENDER AND AGE</w:t>
      </w:r>
    </w:p>
    <w:p w14:paraId="3D5FA4E4" w14:textId="77777777" w:rsidR="0026186E" w:rsidRPr="00632016" w:rsidRDefault="0026186E" w:rsidP="0026186E">
      <w:pPr>
        <w:spacing w:after="0"/>
        <w:rPr>
          <w:b/>
          <w:noProof/>
          <w:lang w:eastAsia="en-AU"/>
        </w:rPr>
      </w:pPr>
      <w:r w:rsidRPr="00632016">
        <w:rPr>
          <w:b/>
          <w:noProof/>
          <w:lang w:eastAsia="en-AU"/>
        </w:rPr>
        <w:t>Figure 26: VFP – Victim gender analysis since 2015</w:t>
      </w:r>
    </w:p>
    <w:p w14:paraId="1945991F" w14:textId="77777777" w:rsidR="0026186E" w:rsidRPr="00CA07A0" w:rsidRDefault="0026186E" w:rsidP="0026186E">
      <w:pPr>
        <w:rPr>
          <w:lang w:val="en-US" w:eastAsia="en-AU"/>
        </w:rPr>
      </w:pPr>
      <w:r w:rsidRPr="00CA07A0">
        <w:rPr>
          <w:lang w:val="en-US" w:eastAsia="en-AU"/>
        </w:rPr>
        <w:t>VPF/PIMS recording gender by offence type consistently over the years</w:t>
      </w:r>
    </w:p>
    <w:p w14:paraId="1E0FE905" w14:textId="77777777" w:rsidR="0026186E" w:rsidRPr="00CA07A0" w:rsidRDefault="0026186E" w:rsidP="0026186E">
      <w:pPr>
        <w:rPr>
          <w:lang w:val="en-US" w:eastAsia="en-AU"/>
        </w:rPr>
      </w:pPr>
      <w:r w:rsidRPr="00CA07A0">
        <w:rPr>
          <w:noProof/>
          <w:lang w:eastAsia="en-AU"/>
        </w:rPr>
        <w:drawing>
          <wp:inline distT="0" distB="0" distL="0" distR="0" wp14:anchorId="3A51018B" wp14:editId="50B51094">
            <wp:extent cx="5279995" cy="3171825"/>
            <wp:effectExtent l="0" t="0" r="0" b="0"/>
            <wp:docPr id="146" name="Picture 3">
              <a:extLst xmlns:a="http://schemas.openxmlformats.org/drawingml/2006/main">
                <a:ext uri="{FF2B5EF4-FFF2-40B4-BE49-F238E27FC236}">
                  <a16:creationId xmlns:a16="http://schemas.microsoft.com/office/drawing/2014/main" id="{2D25D33D-21E5-9C45-9EAA-A3CE032449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D25D33D-21E5-9C45-9EAA-A3CE032449D4}"/>
                        </a:ext>
                      </a:extLst>
                    </pic:cNvPr>
                    <pic:cNvPicPr>
                      <a:picLocks noChangeAspect="1"/>
                    </pic:cNvPicPr>
                  </pic:nvPicPr>
                  <pic:blipFill>
                    <a:blip r:embed="rId53"/>
                    <a:stretch>
                      <a:fillRect/>
                    </a:stretch>
                  </pic:blipFill>
                  <pic:spPr>
                    <a:xfrm>
                      <a:off x="0" y="0"/>
                      <a:ext cx="5283080" cy="3173678"/>
                    </a:xfrm>
                    <a:prstGeom prst="rect">
                      <a:avLst/>
                    </a:prstGeom>
                  </pic:spPr>
                </pic:pic>
              </a:graphicData>
            </a:graphic>
          </wp:inline>
        </w:drawing>
      </w:r>
    </w:p>
    <w:p w14:paraId="636B257A" w14:textId="77777777" w:rsidR="0026186E" w:rsidRPr="00CA07A0" w:rsidRDefault="0026186E" w:rsidP="0026186E">
      <w:pPr>
        <w:rPr>
          <w:lang w:val="en-US" w:eastAsia="en-AU"/>
        </w:rPr>
      </w:pPr>
    </w:p>
    <w:p w14:paraId="2089B029" w14:textId="77777777" w:rsidR="0026186E" w:rsidRPr="00CA07A0" w:rsidRDefault="0026186E" w:rsidP="0026186E">
      <w:pPr>
        <w:rPr>
          <w:lang w:val="en-US" w:eastAsia="en-AU"/>
        </w:rPr>
      </w:pPr>
    </w:p>
    <w:p w14:paraId="5D37CB84" w14:textId="77777777" w:rsidR="0026186E" w:rsidRPr="00632016" w:rsidRDefault="0026186E" w:rsidP="0026186E">
      <w:pPr>
        <w:spacing w:after="0"/>
        <w:rPr>
          <w:b/>
          <w:noProof/>
          <w:lang w:eastAsia="en-AU"/>
        </w:rPr>
      </w:pPr>
      <w:r w:rsidRPr="00632016">
        <w:rPr>
          <w:b/>
          <w:noProof/>
          <w:lang w:eastAsia="en-AU"/>
        </w:rPr>
        <w:t>Figure 27: VFP – Victim gender analysis</w:t>
      </w:r>
    </w:p>
    <w:p w14:paraId="408770C1" w14:textId="77777777" w:rsidR="0026186E" w:rsidRPr="00CA07A0" w:rsidRDefault="0026186E" w:rsidP="0026186E">
      <w:pPr>
        <w:rPr>
          <w:lang w:val="en-US" w:eastAsia="en-AU"/>
        </w:rPr>
      </w:pPr>
      <w:r w:rsidRPr="00CA07A0">
        <w:rPr>
          <w:lang w:val="en-US" w:eastAsia="en-AU"/>
        </w:rPr>
        <w:t>2019 done as YTD to match previous slide</w:t>
      </w:r>
    </w:p>
    <w:p w14:paraId="26FD61E0" w14:textId="77777777" w:rsidR="0026186E" w:rsidRPr="00CA07A0" w:rsidRDefault="0026186E" w:rsidP="0026186E">
      <w:pPr>
        <w:rPr>
          <w:lang w:val="en-US" w:eastAsia="en-AU"/>
        </w:rPr>
      </w:pPr>
      <w:r w:rsidRPr="00CA07A0">
        <w:rPr>
          <w:noProof/>
          <w:lang w:eastAsia="en-AU"/>
        </w:rPr>
        <w:drawing>
          <wp:inline distT="0" distB="0" distL="0" distR="0" wp14:anchorId="4D49EADC" wp14:editId="27C3E5BF">
            <wp:extent cx="5701869" cy="3114675"/>
            <wp:effectExtent l="0" t="0" r="0" b="0"/>
            <wp:docPr id="148" name="Picture 3">
              <a:extLst xmlns:a="http://schemas.openxmlformats.org/drawingml/2006/main">
                <a:ext uri="{FF2B5EF4-FFF2-40B4-BE49-F238E27FC236}">
                  <a16:creationId xmlns:a16="http://schemas.microsoft.com/office/drawing/2014/main" id="{147CBDD8-D22E-7545-B197-5D1F4ECFF0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147CBDD8-D22E-7545-B197-5D1F4ECFF098}"/>
                        </a:ext>
                      </a:extLst>
                    </pic:cNvPr>
                    <pic:cNvPicPr>
                      <a:picLocks noChangeAspect="1"/>
                    </pic:cNvPicPr>
                  </pic:nvPicPr>
                  <pic:blipFill>
                    <a:blip r:embed="rId54"/>
                    <a:stretch>
                      <a:fillRect/>
                    </a:stretch>
                  </pic:blipFill>
                  <pic:spPr>
                    <a:xfrm>
                      <a:off x="0" y="0"/>
                      <a:ext cx="5712786" cy="3120639"/>
                    </a:xfrm>
                    <a:prstGeom prst="rect">
                      <a:avLst/>
                    </a:prstGeom>
                  </pic:spPr>
                </pic:pic>
              </a:graphicData>
            </a:graphic>
          </wp:inline>
        </w:drawing>
      </w:r>
    </w:p>
    <w:p w14:paraId="61A085F8" w14:textId="77777777" w:rsidR="0026186E" w:rsidRPr="00CA07A0" w:rsidRDefault="0026186E" w:rsidP="0026186E">
      <w:pPr>
        <w:rPr>
          <w:lang w:val="en-US" w:eastAsia="en-AU"/>
        </w:rPr>
      </w:pPr>
    </w:p>
    <w:p w14:paraId="664072C1" w14:textId="77777777" w:rsidR="0026186E" w:rsidRPr="00632016" w:rsidRDefault="0026186E" w:rsidP="0026186E">
      <w:pPr>
        <w:spacing w:after="0"/>
        <w:rPr>
          <w:b/>
          <w:noProof/>
          <w:lang w:eastAsia="en-AU"/>
        </w:rPr>
      </w:pPr>
      <w:r w:rsidRPr="00632016">
        <w:rPr>
          <w:b/>
          <w:noProof/>
          <w:lang w:eastAsia="en-AU"/>
        </w:rPr>
        <w:t>Figure 28: VPF- Victim Age Profile – Offences against Morality</w:t>
      </w:r>
    </w:p>
    <w:p w14:paraId="517F3306" w14:textId="77777777" w:rsidR="0026186E" w:rsidRPr="00CA07A0" w:rsidRDefault="0026186E" w:rsidP="0026186E">
      <w:pPr>
        <w:rPr>
          <w:lang w:val="en-US" w:eastAsia="en-AU"/>
        </w:rPr>
      </w:pPr>
      <w:r w:rsidRPr="00CA07A0">
        <w:rPr>
          <w:lang w:val="en-US" w:eastAsia="en-AU"/>
        </w:rPr>
        <w:t>Almost 2/3rds of victims of Offences against Morality are under 18 at the time of the Offence. VPF are now capturing age of victim far more accurately since the introduction of PIMS</w:t>
      </w:r>
    </w:p>
    <w:p w14:paraId="17D55003" w14:textId="77777777" w:rsidR="0026186E" w:rsidRPr="00CA07A0" w:rsidRDefault="0026186E" w:rsidP="0026186E">
      <w:pPr>
        <w:rPr>
          <w:lang w:val="en-US" w:eastAsia="en-AU"/>
        </w:rPr>
      </w:pPr>
      <w:r w:rsidRPr="00CA07A0">
        <w:rPr>
          <w:noProof/>
          <w:lang w:eastAsia="en-AU"/>
        </w:rPr>
        <w:drawing>
          <wp:inline distT="0" distB="0" distL="0" distR="0" wp14:anchorId="2151927A" wp14:editId="516D0DBD">
            <wp:extent cx="5731510" cy="3280041"/>
            <wp:effectExtent l="0" t="0" r="2540" b="0"/>
            <wp:docPr id="149" name="Picture 4">
              <a:extLst xmlns:a="http://schemas.openxmlformats.org/drawingml/2006/main">
                <a:ext uri="{FF2B5EF4-FFF2-40B4-BE49-F238E27FC236}">
                  <a16:creationId xmlns:a16="http://schemas.microsoft.com/office/drawing/2014/main" id="{C04D91D5-54D2-D846-854B-B3E3210497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C04D91D5-54D2-D846-854B-B3E32104974C}"/>
                        </a:ext>
                      </a:extLst>
                    </pic:cNvPr>
                    <pic:cNvPicPr>
                      <a:picLocks noChangeAspect="1"/>
                    </pic:cNvPicPr>
                  </pic:nvPicPr>
                  <pic:blipFill>
                    <a:blip r:embed="rId55"/>
                    <a:stretch>
                      <a:fillRect/>
                    </a:stretch>
                  </pic:blipFill>
                  <pic:spPr>
                    <a:xfrm>
                      <a:off x="0" y="0"/>
                      <a:ext cx="5734177" cy="3281567"/>
                    </a:xfrm>
                    <a:prstGeom prst="rect">
                      <a:avLst/>
                    </a:prstGeom>
                  </pic:spPr>
                </pic:pic>
              </a:graphicData>
            </a:graphic>
          </wp:inline>
        </w:drawing>
      </w:r>
    </w:p>
    <w:p w14:paraId="6D6B4CF7" w14:textId="77777777" w:rsidR="0026186E" w:rsidRPr="00CA07A0" w:rsidRDefault="0026186E" w:rsidP="0026186E">
      <w:pPr>
        <w:rPr>
          <w:lang w:val="en-US" w:eastAsia="en-AU"/>
        </w:rPr>
      </w:pPr>
    </w:p>
    <w:p w14:paraId="4874A3AE" w14:textId="77777777" w:rsidR="0026186E" w:rsidRPr="00632016" w:rsidRDefault="0026186E" w:rsidP="0026186E">
      <w:pPr>
        <w:spacing w:after="0"/>
        <w:rPr>
          <w:b/>
          <w:noProof/>
          <w:lang w:eastAsia="en-AU"/>
        </w:rPr>
      </w:pPr>
      <w:bookmarkStart w:id="57" w:name="_Hlk20155927"/>
      <w:r w:rsidRPr="00632016">
        <w:rPr>
          <w:b/>
          <w:noProof/>
          <w:lang w:eastAsia="en-AU"/>
        </w:rPr>
        <w:t>Figure 29: VPF- gender analysis of POI/Accused since 2015</w:t>
      </w:r>
    </w:p>
    <w:bookmarkEnd w:id="57"/>
    <w:p w14:paraId="3DB81F1B" w14:textId="77777777" w:rsidR="0026186E" w:rsidRPr="00CA07A0" w:rsidRDefault="0026186E" w:rsidP="0026186E">
      <w:pPr>
        <w:rPr>
          <w:lang w:val="en-US" w:eastAsia="en-AU"/>
        </w:rPr>
      </w:pPr>
      <w:r w:rsidRPr="00CA07A0">
        <w:rPr>
          <w:lang w:val="en-US" w:eastAsia="en-AU"/>
        </w:rPr>
        <w:t xml:space="preserve">In approximately 10% of offences, the gender of the POI/Accused is not known/recorded </w:t>
      </w:r>
    </w:p>
    <w:p w14:paraId="5B8E20EE" w14:textId="77777777" w:rsidR="0026186E" w:rsidRPr="00CA07A0" w:rsidRDefault="0026186E" w:rsidP="0026186E">
      <w:pPr>
        <w:rPr>
          <w:lang w:val="en-US" w:eastAsia="en-AU"/>
        </w:rPr>
      </w:pPr>
      <w:r w:rsidRPr="00CA07A0">
        <w:rPr>
          <w:noProof/>
          <w:lang w:eastAsia="en-AU"/>
        </w:rPr>
        <w:drawing>
          <wp:inline distT="0" distB="0" distL="0" distR="0" wp14:anchorId="5FB4E712" wp14:editId="3A118E75">
            <wp:extent cx="5731510" cy="3735070"/>
            <wp:effectExtent l="0" t="0" r="2540" b="0"/>
            <wp:docPr id="150" name="Picture 2">
              <a:extLst xmlns:a="http://schemas.openxmlformats.org/drawingml/2006/main">
                <a:ext uri="{FF2B5EF4-FFF2-40B4-BE49-F238E27FC236}">
                  <a16:creationId xmlns:a16="http://schemas.microsoft.com/office/drawing/2014/main" id="{9A87B7B1-3D91-3647-9E75-9122A69F66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9A87B7B1-3D91-3647-9E75-9122A69F6679}"/>
                        </a:ext>
                      </a:extLst>
                    </pic:cNvPr>
                    <pic:cNvPicPr>
                      <a:picLocks noChangeAspect="1"/>
                    </pic:cNvPicPr>
                  </pic:nvPicPr>
                  <pic:blipFill>
                    <a:blip r:embed="rId56"/>
                    <a:stretch>
                      <a:fillRect/>
                    </a:stretch>
                  </pic:blipFill>
                  <pic:spPr>
                    <a:xfrm>
                      <a:off x="0" y="0"/>
                      <a:ext cx="5731510" cy="3735070"/>
                    </a:xfrm>
                    <a:prstGeom prst="rect">
                      <a:avLst/>
                    </a:prstGeom>
                  </pic:spPr>
                </pic:pic>
              </a:graphicData>
            </a:graphic>
          </wp:inline>
        </w:drawing>
      </w:r>
    </w:p>
    <w:p w14:paraId="7692274B" w14:textId="77777777" w:rsidR="0026186E" w:rsidRDefault="0026186E" w:rsidP="0026186E">
      <w:pPr>
        <w:shd w:val="clear" w:color="auto" w:fill="FFFFFF" w:themeFill="background1"/>
        <w:spacing w:after="0"/>
        <w:rPr>
          <w:b/>
          <w:noProof/>
          <w:lang w:eastAsia="en-AU"/>
        </w:rPr>
      </w:pPr>
    </w:p>
    <w:p w14:paraId="5FFA6A78" w14:textId="77777777" w:rsidR="00CA07A0" w:rsidRPr="00632016" w:rsidRDefault="00CA07A0" w:rsidP="0026186E">
      <w:pPr>
        <w:shd w:val="clear" w:color="auto" w:fill="FFFFFF" w:themeFill="background1"/>
        <w:spacing w:after="0"/>
        <w:rPr>
          <w:b/>
          <w:noProof/>
          <w:lang w:eastAsia="en-AU"/>
        </w:rPr>
      </w:pPr>
      <w:r w:rsidRPr="00632016">
        <w:rPr>
          <w:b/>
          <w:noProof/>
          <w:lang w:eastAsia="en-AU"/>
        </w:rPr>
        <w:t xml:space="preserve">Figure </w:t>
      </w:r>
      <w:r w:rsidR="0026186E">
        <w:rPr>
          <w:b/>
          <w:noProof/>
          <w:lang w:eastAsia="en-AU"/>
        </w:rPr>
        <w:t>30</w:t>
      </w:r>
      <w:r w:rsidRPr="00632016">
        <w:rPr>
          <w:b/>
          <w:noProof/>
          <w:lang w:eastAsia="en-AU"/>
        </w:rPr>
        <w:t>: Courts – Victim gender profile</w:t>
      </w:r>
    </w:p>
    <w:p w14:paraId="24D3721C" w14:textId="77777777" w:rsidR="005105F8" w:rsidRPr="005105F8" w:rsidRDefault="005105F8" w:rsidP="0026186E">
      <w:pPr>
        <w:shd w:val="clear" w:color="auto" w:fill="FFFFFF" w:themeFill="background1"/>
        <w:rPr>
          <w:lang w:eastAsia="en-AU"/>
        </w:rPr>
      </w:pPr>
      <w:r w:rsidRPr="005105F8">
        <w:rPr>
          <w:lang w:val="en-US" w:eastAsia="en-AU"/>
        </w:rPr>
        <w:t>Courts have not captured details on the victim in consistently. This is now being addressed.</w:t>
      </w:r>
    </w:p>
    <w:p w14:paraId="5ECD60F4" w14:textId="77777777" w:rsidR="005105F8" w:rsidRPr="00CA07A0" w:rsidRDefault="005105F8" w:rsidP="00661EA0">
      <w:pPr>
        <w:rPr>
          <w:lang w:val="en-US" w:eastAsia="en-AU"/>
        </w:rPr>
      </w:pPr>
      <w:r w:rsidRPr="005105F8">
        <w:rPr>
          <w:noProof/>
          <w:lang w:eastAsia="en-AU"/>
        </w:rPr>
        <w:drawing>
          <wp:inline distT="0" distB="0" distL="0" distR="0" wp14:anchorId="4E92EE14" wp14:editId="75C44B5B">
            <wp:extent cx="5155440" cy="2914281"/>
            <wp:effectExtent l="0" t="0" r="7620" b="635"/>
            <wp:docPr id="183" name="Picture 3">
              <a:extLst xmlns:a="http://schemas.openxmlformats.org/drawingml/2006/main">
                <a:ext uri="{FF2B5EF4-FFF2-40B4-BE49-F238E27FC236}">
                  <a16:creationId xmlns:a16="http://schemas.microsoft.com/office/drawing/2014/main" id="{8AFA4A5B-1EEE-F446-9472-4501BEF07D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AFA4A5B-1EEE-F446-9472-4501BEF07D0C}"/>
                        </a:ext>
                      </a:extLst>
                    </pic:cNvPr>
                    <pic:cNvPicPr>
                      <a:picLocks noChangeAspect="1"/>
                    </pic:cNvPicPr>
                  </pic:nvPicPr>
                  <pic:blipFill>
                    <a:blip r:embed="rId57"/>
                    <a:stretch>
                      <a:fillRect/>
                    </a:stretch>
                  </pic:blipFill>
                  <pic:spPr>
                    <a:xfrm>
                      <a:off x="0" y="0"/>
                      <a:ext cx="5159941" cy="2916826"/>
                    </a:xfrm>
                    <a:prstGeom prst="rect">
                      <a:avLst/>
                    </a:prstGeom>
                  </pic:spPr>
                </pic:pic>
              </a:graphicData>
            </a:graphic>
          </wp:inline>
        </w:drawing>
      </w:r>
    </w:p>
    <w:p w14:paraId="080D671B" w14:textId="77777777" w:rsidR="00CA07A0" w:rsidRPr="00CA07A0" w:rsidRDefault="00CA07A0" w:rsidP="00661EA0">
      <w:pPr>
        <w:rPr>
          <w:lang w:val="en-US" w:eastAsia="en-AU"/>
        </w:rPr>
      </w:pPr>
    </w:p>
    <w:p w14:paraId="053930F5" w14:textId="77777777" w:rsidR="0026186E" w:rsidRDefault="0026186E">
      <w:pPr>
        <w:rPr>
          <w:b/>
          <w:noProof/>
          <w:color w:val="44546A" w:themeColor="text2"/>
          <w:lang w:eastAsia="en-AU"/>
        </w:rPr>
      </w:pPr>
      <w:r>
        <w:rPr>
          <w:b/>
          <w:noProof/>
          <w:color w:val="44546A" w:themeColor="text2"/>
          <w:lang w:eastAsia="en-AU"/>
        </w:rPr>
        <w:br w:type="page"/>
      </w:r>
    </w:p>
    <w:p w14:paraId="7E17D8AE" w14:textId="77777777" w:rsidR="00CA07A0" w:rsidRDefault="00CA07A0" w:rsidP="00365F58">
      <w:pPr>
        <w:rPr>
          <w:b/>
          <w:noProof/>
          <w:color w:val="44546A" w:themeColor="text2"/>
          <w:lang w:eastAsia="en-AU"/>
        </w:rPr>
      </w:pPr>
      <w:r w:rsidRPr="00632016">
        <w:rPr>
          <w:b/>
          <w:noProof/>
          <w:color w:val="44546A" w:themeColor="text2"/>
          <w:lang w:eastAsia="en-AU"/>
        </w:rPr>
        <w:t>OUTCOMES</w:t>
      </w:r>
    </w:p>
    <w:p w14:paraId="73E07575" w14:textId="77777777" w:rsidR="0026186E" w:rsidRPr="00632016" w:rsidRDefault="0026186E" w:rsidP="0026186E">
      <w:pPr>
        <w:spacing w:after="0"/>
        <w:rPr>
          <w:b/>
          <w:noProof/>
          <w:lang w:eastAsia="en-AU"/>
        </w:rPr>
      </w:pPr>
      <w:r w:rsidRPr="00632016">
        <w:rPr>
          <w:b/>
          <w:noProof/>
          <w:lang w:eastAsia="en-AU"/>
        </w:rPr>
        <w:t xml:space="preserve">Figure </w:t>
      </w:r>
      <w:r>
        <w:rPr>
          <w:b/>
          <w:noProof/>
          <w:lang w:eastAsia="en-AU"/>
        </w:rPr>
        <w:t>31</w:t>
      </w:r>
      <w:r w:rsidRPr="00632016">
        <w:rPr>
          <w:b/>
          <w:noProof/>
          <w:lang w:eastAsia="en-AU"/>
        </w:rPr>
        <w:t xml:space="preserve">: Case files submitted (CFS) to Prosecution </w:t>
      </w:r>
    </w:p>
    <w:tbl>
      <w:tblPr>
        <w:tblStyle w:val="TableGrid1"/>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6"/>
        <w:gridCol w:w="7603"/>
      </w:tblGrid>
      <w:tr w:rsidR="0026186E" w:rsidRPr="00CA07A0" w14:paraId="03C65192" w14:textId="77777777" w:rsidTr="0078371A">
        <w:trPr>
          <w:trHeight w:val="941"/>
        </w:trPr>
        <w:tc>
          <w:tcPr>
            <w:tcW w:w="856" w:type="dxa"/>
          </w:tcPr>
          <w:p w14:paraId="0506F93A" w14:textId="77777777" w:rsidR="0026186E" w:rsidRPr="00CA07A0" w:rsidRDefault="0026186E" w:rsidP="0078371A">
            <w:pPr>
              <w:rPr>
                <w:rFonts w:eastAsia="Calibri" w:cstheme="minorHAnsi"/>
                <w:noProof/>
                <w:color w:val="44546A" w:themeColor="text2"/>
                <w:sz w:val="30"/>
                <w:szCs w:val="30"/>
                <w:lang w:eastAsia="en-AU"/>
              </w:rPr>
            </w:pPr>
            <w:r w:rsidRPr="00CA07A0">
              <w:rPr>
                <w:rFonts w:eastAsia="Calibri" w:cstheme="minorHAnsi"/>
                <w:noProof/>
                <w:color w:val="44546A" w:themeColor="text2"/>
                <w:sz w:val="30"/>
                <w:szCs w:val="30"/>
                <w:lang w:eastAsia="en-AU"/>
              </w:rPr>
              <mc:AlternateContent>
                <mc:Choice Requires="wpg">
                  <w:drawing>
                    <wp:anchor distT="0" distB="0" distL="114300" distR="114300" simplePos="0" relativeHeight="251715584" behindDoc="0" locked="0" layoutInCell="1" allowOverlap="1" wp14:anchorId="068BD6F3" wp14:editId="3DC1E98A">
                      <wp:simplePos x="0" y="0"/>
                      <wp:positionH relativeFrom="column">
                        <wp:posOffset>5436</wp:posOffset>
                      </wp:positionH>
                      <wp:positionV relativeFrom="paragraph">
                        <wp:posOffset>6388</wp:posOffset>
                      </wp:positionV>
                      <wp:extent cx="403794" cy="535932"/>
                      <wp:effectExtent l="19050" t="19050" r="15875" b="17145"/>
                      <wp:wrapNone/>
                      <wp:docPr id="152" name="Group 6"/>
                      <wp:cNvGraphicFramePr/>
                      <a:graphic xmlns:a="http://schemas.openxmlformats.org/drawingml/2006/main">
                        <a:graphicData uri="http://schemas.microsoft.com/office/word/2010/wordprocessingGroup">
                          <wpg:wgp>
                            <wpg:cNvGrpSpPr/>
                            <wpg:grpSpPr>
                              <a:xfrm>
                                <a:off x="0" y="0"/>
                                <a:ext cx="403794" cy="535932"/>
                                <a:chOff x="0" y="0"/>
                                <a:chExt cx="609600" cy="1282700"/>
                              </a:xfrm>
                            </wpg:grpSpPr>
                            <wps:wsp>
                              <wps:cNvPr id="153" name="Rectangle 153"/>
                              <wps:cNvSpPr/>
                              <wps:spPr>
                                <a:xfrm>
                                  <a:off x="0" y="0"/>
                                  <a:ext cx="609600" cy="1282700"/>
                                </a:xfrm>
                                <a:prstGeom prst="rect">
                                  <a:avLst/>
                                </a:prstGeom>
                                <a:solidFill>
                                  <a:sysClr val="window" lastClr="FFFFFF"/>
                                </a:solidFill>
                                <a:ln w="38100" cap="flat" cmpd="sng" algn="ctr">
                                  <a:solidFill>
                                    <a:srgbClr val="4472C4">
                                      <a:shade val="50000"/>
                                    </a:srgbClr>
                                  </a:solidFill>
                                  <a:prstDash val="solid"/>
                                  <a:miter lim="800000"/>
                                </a:ln>
                                <a:effectLst/>
                              </wps:spPr>
                              <wps:bodyPr rtlCol="0" anchor="ctr"/>
                            </wps:wsp>
                            <wps:wsp>
                              <wps:cNvPr id="154" name="Oval 154"/>
                              <wps:cNvSpPr/>
                              <wps:spPr>
                                <a:xfrm>
                                  <a:off x="127000" y="101600"/>
                                  <a:ext cx="342900" cy="317500"/>
                                </a:xfrm>
                                <a:prstGeom prst="ellipse">
                                  <a:avLst/>
                                </a:prstGeom>
                                <a:solidFill>
                                  <a:sysClr val="window" lastClr="FFFFFF"/>
                                </a:solidFill>
                                <a:ln w="12700" cap="flat" cmpd="sng" algn="ctr">
                                  <a:solidFill>
                                    <a:srgbClr val="4472C4">
                                      <a:shade val="50000"/>
                                    </a:srgbClr>
                                  </a:solidFill>
                                  <a:prstDash val="solid"/>
                                  <a:miter lim="800000"/>
                                </a:ln>
                                <a:effectLst/>
                              </wps:spPr>
                              <wps:bodyPr rtlCol="0" anchor="ctr"/>
                            </wps:wsp>
                            <wps:wsp>
                              <wps:cNvPr id="155" name="Oval 155"/>
                              <wps:cNvSpPr/>
                              <wps:spPr>
                                <a:xfrm>
                                  <a:off x="127000" y="495300"/>
                                  <a:ext cx="342900" cy="317500"/>
                                </a:xfrm>
                                <a:prstGeom prst="ellipse">
                                  <a:avLst/>
                                </a:prstGeom>
                                <a:solidFill>
                                  <a:sysClr val="window" lastClr="FFFFFF"/>
                                </a:solidFill>
                                <a:ln w="12700" cap="flat" cmpd="sng" algn="ctr">
                                  <a:solidFill>
                                    <a:srgbClr val="4472C4">
                                      <a:shade val="50000"/>
                                    </a:srgbClr>
                                  </a:solidFill>
                                  <a:prstDash val="solid"/>
                                  <a:miter lim="800000"/>
                                </a:ln>
                                <a:effectLst/>
                              </wps:spPr>
                              <wps:bodyPr rtlCol="0" anchor="ctr"/>
                            </wps:wsp>
                            <wps:wsp>
                              <wps:cNvPr id="156" name="Oval 156"/>
                              <wps:cNvSpPr/>
                              <wps:spPr>
                                <a:xfrm>
                                  <a:off x="127000" y="889000"/>
                                  <a:ext cx="342900" cy="317500"/>
                                </a:xfrm>
                                <a:prstGeom prst="ellipse">
                                  <a:avLst/>
                                </a:prstGeom>
                                <a:solidFill>
                                  <a:srgbClr val="00B050"/>
                                </a:solidFill>
                                <a:ln w="12700" cap="flat" cmpd="sng" algn="ctr">
                                  <a:solidFill>
                                    <a:srgbClr val="4472C4">
                                      <a:shade val="50000"/>
                                    </a:srgbClr>
                                  </a:solidFill>
                                  <a:prstDash val="solid"/>
                                  <a:miter lim="800000"/>
                                </a:ln>
                                <a:effectLst/>
                              </wps:spPr>
                              <wps:bodyPr rtlCol="0" anchor="ct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256D29A" id="Group 6" o:spid="_x0000_s1026" style="position:absolute;margin-left:.45pt;margin-top:.5pt;width:31.8pt;height:42.2pt;z-index:251715584;mso-width-relative:margin;mso-height-relative:margin" coordsize="6096,12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">
                      <v:rect id="Rectangle 153" o:spid="_x0000_s1027" style="position:absolute;width:6096;height:12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" fillcolor="window" strokecolor="#2f528f" strokeweight="3pt"/>
                      <v:oval id="Oval 154" o:spid="_x0000_s1028" style="position:absolute;left:1270;top:1016;width:342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" fillcolor="window" strokecolor="#2f528f" strokeweight="1pt">
                        <v:stroke joinstyle="miter"/>
                      </v:oval>
                      <v:oval id="Oval 155" o:spid="_x0000_s1029" style="position:absolute;left:1270;top:4953;width:342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" fillcolor="window" strokecolor="#2f528f" strokeweight="1pt">
                        <v:stroke joinstyle="miter"/>
                      </v:oval>
                      <v:oval id="Oval 156" o:spid="_x0000_s1030" style="position:absolute;left:1270;top:8890;width:342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" fillcolor="#00b050" strokecolor="#2f528f" strokeweight="1pt">
                        <v:stroke joinstyle="miter"/>
                      </v:oval>
                    </v:group>
                  </w:pict>
                </mc:Fallback>
              </mc:AlternateContent>
            </w:r>
          </w:p>
        </w:tc>
        <w:tc>
          <w:tcPr>
            <w:tcW w:w="7603" w:type="dxa"/>
          </w:tcPr>
          <w:p w14:paraId="7793D2F3" w14:textId="77777777" w:rsidR="0026186E" w:rsidRPr="00D63485" w:rsidRDefault="0026186E" w:rsidP="0078371A">
            <w:pPr>
              <w:spacing w:before="100"/>
              <w:rPr>
                <w:noProof/>
                <w:lang w:val="en-US" w:eastAsia="en-AU"/>
              </w:rPr>
            </w:pPr>
            <w:r w:rsidRPr="00D63485">
              <w:rPr>
                <w:noProof/>
                <w:lang w:val="en-US" w:eastAsia="en-AU"/>
              </w:rPr>
              <w:t>Visible increase in # of offences being sent to Prosecution in last 2 years – a reflection in the improvement in case managing investigations</w:t>
            </w:r>
          </w:p>
          <w:p w14:paraId="7D10ACE9" w14:textId="77777777" w:rsidR="0026186E" w:rsidRPr="00CA07A0" w:rsidRDefault="0026186E" w:rsidP="0078371A">
            <w:pPr>
              <w:rPr>
                <w:noProof/>
                <w:lang w:val="en-US" w:eastAsia="en-AU"/>
              </w:rPr>
            </w:pPr>
          </w:p>
        </w:tc>
      </w:tr>
    </w:tbl>
    <w:p w14:paraId="6A34094E" w14:textId="77777777" w:rsidR="0026186E" w:rsidRPr="00CA07A0" w:rsidRDefault="0026186E" w:rsidP="0026186E">
      <w:pPr>
        <w:rPr>
          <w:noProof/>
          <w:lang w:eastAsia="en-AU"/>
        </w:rPr>
      </w:pPr>
      <w:r w:rsidRPr="00CA07A0">
        <w:rPr>
          <w:noProof/>
          <w:lang w:eastAsia="en-AU"/>
        </w:rPr>
        <w:drawing>
          <wp:inline distT="0" distB="0" distL="0" distR="0" wp14:anchorId="532934FD" wp14:editId="6EE2B04A">
            <wp:extent cx="5497193" cy="3108960"/>
            <wp:effectExtent l="0" t="0" r="8890" b="0"/>
            <wp:docPr id="157" name="Picture 1">
              <a:extLst xmlns:a="http://schemas.openxmlformats.org/drawingml/2006/main">
                <a:ext uri="{FF2B5EF4-FFF2-40B4-BE49-F238E27FC236}">
                  <a16:creationId xmlns:a16="http://schemas.microsoft.com/office/drawing/2014/main" id="{75D84F7C-4156-8C43-8566-35274C7B37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5D84F7C-4156-8C43-8566-35274C7B37EB}"/>
                        </a:ext>
                      </a:extLst>
                    </pic:cNvPr>
                    <pic:cNvPicPr>
                      <a:picLocks noChangeAspect="1"/>
                    </pic:cNvPicPr>
                  </pic:nvPicPr>
                  <pic:blipFill>
                    <a:blip r:embed="rId58"/>
                    <a:stretch>
                      <a:fillRect/>
                    </a:stretch>
                  </pic:blipFill>
                  <pic:spPr>
                    <a:xfrm>
                      <a:off x="0" y="0"/>
                      <a:ext cx="5500961" cy="3111091"/>
                    </a:xfrm>
                    <a:prstGeom prst="rect">
                      <a:avLst/>
                    </a:prstGeom>
                  </pic:spPr>
                </pic:pic>
              </a:graphicData>
            </a:graphic>
          </wp:inline>
        </w:drawing>
      </w:r>
    </w:p>
    <w:p w14:paraId="6955E92C" w14:textId="77777777" w:rsidR="0026186E" w:rsidRPr="00CA07A0" w:rsidRDefault="0026186E" w:rsidP="0026186E">
      <w:pPr>
        <w:rPr>
          <w:rFonts w:eastAsia="Calibri" w:cstheme="minorHAnsi"/>
          <w:b/>
          <w:noProof/>
          <w:lang w:eastAsia="en-AU"/>
        </w:rPr>
      </w:pPr>
    </w:p>
    <w:p w14:paraId="1FDF3625" w14:textId="77777777" w:rsidR="0026186E" w:rsidRPr="00632016" w:rsidRDefault="0026186E" w:rsidP="0026186E">
      <w:pPr>
        <w:spacing w:after="0"/>
        <w:rPr>
          <w:b/>
          <w:noProof/>
          <w:lang w:eastAsia="en-AU"/>
        </w:rPr>
      </w:pPr>
      <w:bookmarkStart w:id="58" w:name="_Hlk20156018"/>
      <w:r w:rsidRPr="00632016">
        <w:rPr>
          <w:b/>
          <w:noProof/>
          <w:lang w:eastAsia="en-AU"/>
        </w:rPr>
        <w:t xml:space="preserve">Figure </w:t>
      </w:r>
      <w:r>
        <w:rPr>
          <w:b/>
          <w:noProof/>
          <w:lang w:eastAsia="en-AU"/>
        </w:rPr>
        <w:t>32</w:t>
      </w:r>
      <w:r w:rsidRPr="00632016">
        <w:rPr>
          <w:b/>
          <w:noProof/>
          <w:lang w:eastAsia="en-AU"/>
        </w:rPr>
        <w:t xml:space="preserve">: All offences - Case files submitted (CFS) to Prosecution </w:t>
      </w:r>
    </w:p>
    <w:tbl>
      <w:tblPr>
        <w:tblStyle w:val="TableGrid1"/>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6"/>
        <w:gridCol w:w="7603"/>
      </w:tblGrid>
      <w:tr w:rsidR="0026186E" w:rsidRPr="00CA07A0" w14:paraId="46247E33" w14:textId="77777777" w:rsidTr="0078371A">
        <w:trPr>
          <w:trHeight w:val="941"/>
        </w:trPr>
        <w:tc>
          <w:tcPr>
            <w:tcW w:w="856" w:type="dxa"/>
          </w:tcPr>
          <w:p w14:paraId="512CF844" w14:textId="77777777" w:rsidR="0026186E" w:rsidRPr="00CA07A0" w:rsidRDefault="0026186E" w:rsidP="0078371A">
            <w:pPr>
              <w:rPr>
                <w:rFonts w:eastAsia="Calibri" w:cstheme="minorHAnsi"/>
                <w:noProof/>
                <w:color w:val="44546A" w:themeColor="text2"/>
                <w:sz w:val="30"/>
                <w:szCs w:val="30"/>
                <w:lang w:eastAsia="en-AU"/>
              </w:rPr>
            </w:pPr>
            <w:r w:rsidRPr="00CA07A0">
              <w:rPr>
                <w:rFonts w:eastAsia="Calibri" w:cstheme="minorHAnsi"/>
                <w:noProof/>
                <w:color w:val="44546A" w:themeColor="text2"/>
                <w:sz w:val="30"/>
                <w:szCs w:val="30"/>
                <w:lang w:eastAsia="en-AU"/>
              </w:rPr>
              <mc:AlternateContent>
                <mc:Choice Requires="wpg">
                  <w:drawing>
                    <wp:anchor distT="0" distB="0" distL="114300" distR="114300" simplePos="0" relativeHeight="251716608" behindDoc="0" locked="0" layoutInCell="1" allowOverlap="1" wp14:anchorId="0991F3AF" wp14:editId="3F3E2A29">
                      <wp:simplePos x="0" y="0"/>
                      <wp:positionH relativeFrom="column">
                        <wp:posOffset>5436</wp:posOffset>
                      </wp:positionH>
                      <wp:positionV relativeFrom="paragraph">
                        <wp:posOffset>6388</wp:posOffset>
                      </wp:positionV>
                      <wp:extent cx="403794" cy="535932"/>
                      <wp:effectExtent l="19050" t="19050" r="15875" b="17145"/>
                      <wp:wrapNone/>
                      <wp:docPr id="158" name="Group 6"/>
                      <wp:cNvGraphicFramePr/>
                      <a:graphic xmlns:a="http://schemas.openxmlformats.org/drawingml/2006/main">
                        <a:graphicData uri="http://schemas.microsoft.com/office/word/2010/wordprocessingGroup">
                          <wpg:wgp>
                            <wpg:cNvGrpSpPr/>
                            <wpg:grpSpPr>
                              <a:xfrm>
                                <a:off x="0" y="0"/>
                                <a:ext cx="403794" cy="535932"/>
                                <a:chOff x="0" y="0"/>
                                <a:chExt cx="609600" cy="1282700"/>
                              </a:xfrm>
                            </wpg:grpSpPr>
                            <wps:wsp>
                              <wps:cNvPr id="159" name="Rectangle 159"/>
                              <wps:cNvSpPr/>
                              <wps:spPr>
                                <a:xfrm>
                                  <a:off x="0" y="0"/>
                                  <a:ext cx="609600" cy="1282700"/>
                                </a:xfrm>
                                <a:prstGeom prst="rect">
                                  <a:avLst/>
                                </a:prstGeom>
                                <a:solidFill>
                                  <a:sysClr val="window" lastClr="FFFFFF"/>
                                </a:solidFill>
                                <a:ln w="38100" cap="flat" cmpd="sng" algn="ctr">
                                  <a:solidFill>
                                    <a:srgbClr val="4472C4">
                                      <a:shade val="50000"/>
                                    </a:srgbClr>
                                  </a:solidFill>
                                  <a:prstDash val="solid"/>
                                  <a:miter lim="800000"/>
                                </a:ln>
                                <a:effectLst/>
                              </wps:spPr>
                              <wps:bodyPr rtlCol="0" anchor="ctr"/>
                            </wps:wsp>
                            <wps:wsp>
                              <wps:cNvPr id="160" name="Oval 160"/>
                              <wps:cNvSpPr/>
                              <wps:spPr>
                                <a:xfrm>
                                  <a:off x="127000" y="101600"/>
                                  <a:ext cx="342900" cy="317500"/>
                                </a:xfrm>
                                <a:prstGeom prst="ellipse">
                                  <a:avLst/>
                                </a:prstGeom>
                                <a:solidFill>
                                  <a:sysClr val="window" lastClr="FFFFFF"/>
                                </a:solidFill>
                                <a:ln w="12700" cap="flat" cmpd="sng" algn="ctr">
                                  <a:solidFill>
                                    <a:srgbClr val="4472C4">
                                      <a:shade val="50000"/>
                                    </a:srgbClr>
                                  </a:solidFill>
                                  <a:prstDash val="solid"/>
                                  <a:miter lim="800000"/>
                                </a:ln>
                                <a:effectLst/>
                              </wps:spPr>
                              <wps:bodyPr rtlCol="0" anchor="ctr"/>
                            </wps:wsp>
                            <wps:wsp>
                              <wps:cNvPr id="161" name="Oval 161"/>
                              <wps:cNvSpPr/>
                              <wps:spPr>
                                <a:xfrm>
                                  <a:off x="127000" y="495300"/>
                                  <a:ext cx="342900" cy="317500"/>
                                </a:xfrm>
                                <a:prstGeom prst="ellipse">
                                  <a:avLst/>
                                </a:prstGeom>
                                <a:solidFill>
                                  <a:sysClr val="window" lastClr="FFFFFF"/>
                                </a:solidFill>
                                <a:ln w="12700" cap="flat" cmpd="sng" algn="ctr">
                                  <a:solidFill>
                                    <a:srgbClr val="4472C4">
                                      <a:shade val="50000"/>
                                    </a:srgbClr>
                                  </a:solidFill>
                                  <a:prstDash val="solid"/>
                                  <a:miter lim="800000"/>
                                </a:ln>
                                <a:effectLst/>
                              </wps:spPr>
                              <wps:bodyPr rtlCol="0" anchor="ctr"/>
                            </wps:wsp>
                            <wps:wsp>
                              <wps:cNvPr id="162" name="Oval 162"/>
                              <wps:cNvSpPr/>
                              <wps:spPr>
                                <a:xfrm>
                                  <a:off x="127000" y="889000"/>
                                  <a:ext cx="342900" cy="317500"/>
                                </a:xfrm>
                                <a:prstGeom prst="ellipse">
                                  <a:avLst/>
                                </a:prstGeom>
                                <a:solidFill>
                                  <a:srgbClr val="00B050"/>
                                </a:solidFill>
                                <a:ln w="12700" cap="flat" cmpd="sng" algn="ctr">
                                  <a:solidFill>
                                    <a:srgbClr val="4472C4">
                                      <a:shade val="50000"/>
                                    </a:srgbClr>
                                  </a:solidFill>
                                  <a:prstDash val="solid"/>
                                  <a:miter lim="800000"/>
                                </a:ln>
                                <a:effectLst/>
                              </wps:spPr>
                              <wps:bodyPr rtlCol="0" anchor="ct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6C6119D" id="Group 6" o:spid="_x0000_s1026" style="position:absolute;margin-left:.45pt;margin-top:.5pt;width:31.8pt;height:42.2pt;z-index:251716608;mso-width-relative:margin;mso-height-relative:margin" coordsize="6096,12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">
                      <v:rect id="Rectangle 159" o:spid="_x0000_s1027" style="position:absolute;width:6096;height:12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" fillcolor="window" strokecolor="#2f528f" strokeweight="3pt"/>
                      <v:oval id="Oval 160" o:spid="_x0000_s1028" style="position:absolute;left:1270;top:1016;width:342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" fillcolor="window" strokecolor="#2f528f" strokeweight="1pt">
                        <v:stroke joinstyle="miter"/>
                      </v:oval>
                      <v:oval id="Oval 161" o:spid="_x0000_s1029" style="position:absolute;left:1270;top:4953;width:342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" fillcolor="window" strokecolor="#2f528f" strokeweight="1pt">
                        <v:stroke joinstyle="miter"/>
                      </v:oval>
                      <v:oval id="Oval 162" o:spid="_x0000_s1030" style="position:absolute;left:1270;top:8890;width:342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" fillcolor="#00b050" strokecolor="#2f528f" strokeweight="1pt">
                        <v:stroke joinstyle="miter"/>
                      </v:oval>
                    </v:group>
                  </w:pict>
                </mc:Fallback>
              </mc:AlternateContent>
            </w:r>
          </w:p>
        </w:tc>
        <w:tc>
          <w:tcPr>
            <w:tcW w:w="7603" w:type="dxa"/>
          </w:tcPr>
          <w:p w14:paraId="453D25D7" w14:textId="77777777" w:rsidR="0026186E" w:rsidRPr="00D63485" w:rsidRDefault="0026186E" w:rsidP="0078371A">
            <w:pPr>
              <w:spacing w:before="100"/>
              <w:rPr>
                <w:noProof/>
                <w:lang w:val="en-US" w:eastAsia="en-AU"/>
              </w:rPr>
            </w:pPr>
            <w:r w:rsidRPr="00D63485">
              <w:rPr>
                <w:noProof/>
                <w:lang w:val="en-US" w:eastAsia="en-AU"/>
              </w:rPr>
              <w:t>Overall, substantial increase in CFS being submitted to Prosecution, reflecting the increased focus on case management of investigations by VPF officers</w:t>
            </w:r>
          </w:p>
          <w:p w14:paraId="55E17A7A" w14:textId="77777777" w:rsidR="0026186E" w:rsidRPr="00CA07A0" w:rsidRDefault="0026186E" w:rsidP="0078371A">
            <w:pPr>
              <w:rPr>
                <w:noProof/>
                <w:lang w:val="en-US" w:eastAsia="en-AU"/>
              </w:rPr>
            </w:pPr>
          </w:p>
        </w:tc>
      </w:tr>
    </w:tbl>
    <w:bookmarkEnd w:id="58"/>
    <w:p w14:paraId="010A493E" w14:textId="77777777" w:rsidR="0026186E" w:rsidRPr="00CA07A0" w:rsidRDefault="0026186E" w:rsidP="0026186E">
      <w:pPr>
        <w:rPr>
          <w:noProof/>
          <w:lang w:eastAsia="en-AU"/>
        </w:rPr>
      </w:pPr>
      <w:r w:rsidRPr="00CA07A0">
        <w:rPr>
          <w:noProof/>
          <w:lang w:eastAsia="en-AU"/>
        </w:rPr>
        <w:drawing>
          <wp:inline distT="0" distB="0" distL="0" distR="0" wp14:anchorId="4EE43977" wp14:editId="247D6A84">
            <wp:extent cx="5240655" cy="3422741"/>
            <wp:effectExtent l="0" t="0" r="0" b="6350"/>
            <wp:docPr id="163" name="Picture 4">
              <a:extLst xmlns:a="http://schemas.openxmlformats.org/drawingml/2006/main">
                <a:ext uri="{FF2B5EF4-FFF2-40B4-BE49-F238E27FC236}">
                  <a16:creationId xmlns:a16="http://schemas.microsoft.com/office/drawing/2014/main" id="{14438BD5-012C-2C41-A71A-F23CFA3B70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14438BD5-012C-2C41-A71A-F23CFA3B7018}"/>
                        </a:ext>
                      </a:extLst>
                    </pic:cNvPr>
                    <pic:cNvPicPr>
                      <a:picLocks noChangeAspect="1"/>
                    </pic:cNvPicPr>
                  </pic:nvPicPr>
                  <pic:blipFill>
                    <a:blip r:embed="rId59"/>
                    <a:stretch>
                      <a:fillRect/>
                    </a:stretch>
                  </pic:blipFill>
                  <pic:spPr>
                    <a:xfrm>
                      <a:off x="0" y="0"/>
                      <a:ext cx="5242002" cy="3423621"/>
                    </a:xfrm>
                    <a:prstGeom prst="rect">
                      <a:avLst/>
                    </a:prstGeom>
                  </pic:spPr>
                </pic:pic>
              </a:graphicData>
            </a:graphic>
          </wp:inline>
        </w:drawing>
      </w:r>
    </w:p>
    <w:p w14:paraId="02A8736B" w14:textId="77777777" w:rsidR="00CA07A0" w:rsidRPr="0026186E" w:rsidRDefault="00CA07A0" w:rsidP="0026186E">
      <w:pPr>
        <w:shd w:val="clear" w:color="auto" w:fill="FFFFFF" w:themeFill="background1"/>
        <w:spacing w:after="0"/>
        <w:rPr>
          <w:b/>
          <w:noProof/>
          <w:lang w:eastAsia="en-AU"/>
        </w:rPr>
      </w:pPr>
      <w:bookmarkStart w:id="59" w:name="_Hlk20156714"/>
      <w:r w:rsidRPr="0026186E">
        <w:rPr>
          <w:b/>
          <w:noProof/>
          <w:lang w:eastAsia="en-AU"/>
        </w:rPr>
        <w:t xml:space="preserve">Figure </w:t>
      </w:r>
      <w:r w:rsidR="0026186E">
        <w:rPr>
          <w:b/>
          <w:noProof/>
          <w:lang w:eastAsia="en-AU"/>
        </w:rPr>
        <w:t>33</w:t>
      </w:r>
      <w:r w:rsidRPr="0026186E">
        <w:rPr>
          <w:b/>
          <w:noProof/>
          <w:lang w:eastAsia="en-AU"/>
        </w:rPr>
        <w:t>: Protection Orders – Magistrates</w:t>
      </w:r>
      <w:r w:rsidR="00E46D09" w:rsidRPr="0026186E">
        <w:rPr>
          <w:b/>
          <w:noProof/>
          <w:lang w:eastAsia="en-AU"/>
        </w:rPr>
        <w:t>’</w:t>
      </w:r>
      <w:r w:rsidRPr="0026186E">
        <w:rPr>
          <w:b/>
          <w:noProof/>
          <w:lang w:eastAsia="en-AU"/>
        </w:rPr>
        <w:t xml:space="preserve"> Court – Outcomes (results)</w:t>
      </w:r>
    </w:p>
    <w:tbl>
      <w:tblPr>
        <w:tblStyle w:val="TableGrid1"/>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6"/>
        <w:gridCol w:w="7603"/>
      </w:tblGrid>
      <w:tr w:rsidR="00CA07A0" w:rsidRPr="00CA07A0" w14:paraId="31B34AFB" w14:textId="77777777" w:rsidTr="00E673E1">
        <w:trPr>
          <w:trHeight w:val="941"/>
        </w:trPr>
        <w:tc>
          <w:tcPr>
            <w:tcW w:w="856" w:type="dxa"/>
          </w:tcPr>
          <w:p w14:paraId="13608393" w14:textId="77777777" w:rsidR="00CA07A0" w:rsidRPr="0026186E" w:rsidRDefault="00CA07A0" w:rsidP="00661EA0">
            <w:pPr>
              <w:rPr>
                <w:rFonts w:eastAsia="Calibri" w:cstheme="minorHAnsi"/>
                <w:noProof/>
                <w:color w:val="44546A" w:themeColor="text2"/>
                <w:sz w:val="30"/>
                <w:szCs w:val="30"/>
                <w:lang w:eastAsia="en-AU"/>
              </w:rPr>
            </w:pPr>
            <w:r w:rsidRPr="0026186E">
              <w:rPr>
                <w:rFonts w:eastAsia="Calibri" w:cstheme="minorHAnsi"/>
                <w:noProof/>
                <w:color w:val="44546A" w:themeColor="text2"/>
                <w:sz w:val="30"/>
                <w:szCs w:val="30"/>
                <w:lang w:eastAsia="en-AU"/>
              </w:rPr>
              <mc:AlternateContent>
                <mc:Choice Requires="wpg">
                  <w:drawing>
                    <wp:anchor distT="0" distB="0" distL="114300" distR="114300" simplePos="0" relativeHeight="251682816" behindDoc="0" locked="0" layoutInCell="1" allowOverlap="1" wp14:anchorId="7A6C0D16" wp14:editId="1E3EFB9B">
                      <wp:simplePos x="0" y="0"/>
                      <wp:positionH relativeFrom="column">
                        <wp:posOffset>5436</wp:posOffset>
                      </wp:positionH>
                      <wp:positionV relativeFrom="paragraph">
                        <wp:posOffset>6388</wp:posOffset>
                      </wp:positionV>
                      <wp:extent cx="403794" cy="535932"/>
                      <wp:effectExtent l="19050" t="19050" r="15875" b="17145"/>
                      <wp:wrapNone/>
                      <wp:docPr id="164" name="Group 6"/>
                      <wp:cNvGraphicFramePr/>
                      <a:graphic xmlns:a="http://schemas.openxmlformats.org/drawingml/2006/main">
                        <a:graphicData uri="http://schemas.microsoft.com/office/word/2010/wordprocessingGroup">
                          <wpg:wgp>
                            <wpg:cNvGrpSpPr/>
                            <wpg:grpSpPr>
                              <a:xfrm>
                                <a:off x="0" y="0"/>
                                <a:ext cx="403794" cy="535932"/>
                                <a:chOff x="0" y="0"/>
                                <a:chExt cx="609600" cy="1282700"/>
                              </a:xfrm>
                            </wpg:grpSpPr>
                            <wps:wsp>
                              <wps:cNvPr id="165" name="Rectangle 165"/>
                              <wps:cNvSpPr/>
                              <wps:spPr>
                                <a:xfrm>
                                  <a:off x="0" y="0"/>
                                  <a:ext cx="609600" cy="1282700"/>
                                </a:xfrm>
                                <a:prstGeom prst="rect">
                                  <a:avLst/>
                                </a:prstGeom>
                                <a:solidFill>
                                  <a:sysClr val="window" lastClr="FFFFFF"/>
                                </a:solidFill>
                                <a:ln w="38100" cap="flat" cmpd="sng" algn="ctr">
                                  <a:solidFill>
                                    <a:srgbClr val="4472C4">
                                      <a:shade val="50000"/>
                                    </a:srgbClr>
                                  </a:solidFill>
                                  <a:prstDash val="solid"/>
                                  <a:miter lim="800000"/>
                                </a:ln>
                                <a:effectLst/>
                              </wps:spPr>
                              <wps:bodyPr rtlCol="0" anchor="ctr"/>
                            </wps:wsp>
                            <wps:wsp>
                              <wps:cNvPr id="166" name="Oval 166"/>
                              <wps:cNvSpPr/>
                              <wps:spPr>
                                <a:xfrm>
                                  <a:off x="127000" y="101600"/>
                                  <a:ext cx="342900" cy="317500"/>
                                </a:xfrm>
                                <a:prstGeom prst="ellipse">
                                  <a:avLst/>
                                </a:prstGeom>
                                <a:solidFill>
                                  <a:sysClr val="window" lastClr="FFFFFF"/>
                                </a:solidFill>
                                <a:ln w="12700" cap="flat" cmpd="sng" algn="ctr">
                                  <a:solidFill>
                                    <a:srgbClr val="4472C4">
                                      <a:shade val="50000"/>
                                    </a:srgbClr>
                                  </a:solidFill>
                                  <a:prstDash val="solid"/>
                                  <a:miter lim="800000"/>
                                </a:ln>
                                <a:effectLst/>
                              </wps:spPr>
                              <wps:bodyPr rtlCol="0" anchor="ctr"/>
                            </wps:wsp>
                            <wps:wsp>
                              <wps:cNvPr id="167" name="Oval 167"/>
                              <wps:cNvSpPr/>
                              <wps:spPr>
                                <a:xfrm>
                                  <a:off x="127000" y="495300"/>
                                  <a:ext cx="342900" cy="317500"/>
                                </a:xfrm>
                                <a:prstGeom prst="ellipse">
                                  <a:avLst/>
                                </a:prstGeom>
                                <a:solidFill>
                                  <a:sysClr val="window" lastClr="FFFFFF"/>
                                </a:solidFill>
                                <a:ln w="12700" cap="flat" cmpd="sng" algn="ctr">
                                  <a:solidFill>
                                    <a:srgbClr val="4472C4">
                                      <a:shade val="50000"/>
                                    </a:srgbClr>
                                  </a:solidFill>
                                  <a:prstDash val="solid"/>
                                  <a:miter lim="800000"/>
                                </a:ln>
                                <a:effectLst/>
                              </wps:spPr>
                              <wps:bodyPr rtlCol="0" anchor="ctr"/>
                            </wps:wsp>
                            <wps:wsp>
                              <wps:cNvPr id="168" name="Oval 168"/>
                              <wps:cNvSpPr/>
                              <wps:spPr>
                                <a:xfrm>
                                  <a:off x="127000" y="889000"/>
                                  <a:ext cx="342900" cy="317500"/>
                                </a:xfrm>
                                <a:prstGeom prst="ellipse">
                                  <a:avLst/>
                                </a:prstGeom>
                                <a:solidFill>
                                  <a:srgbClr val="00B050"/>
                                </a:solidFill>
                                <a:ln w="12700" cap="flat" cmpd="sng" algn="ctr">
                                  <a:solidFill>
                                    <a:srgbClr val="4472C4">
                                      <a:shade val="50000"/>
                                    </a:srgbClr>
                                  </a:solidFill>
                                  <a:prstDash val="solid"/>
                                  <a:miter lim="800000"/>
                                </a:ln>
                                <a:effectLst/>
                              </wps:spPr>
                              <wps:bodyPr rtlCol="0" anchor="ct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EAE949B" id="Group 6" o:spid="_x0000_s1026" style="position:absolute;margin-left:.45pt;margin-top:.5pt;width:31.8pt;height:42.2pt;z-index:251682816;mso-width-relative:margin;mso-height-relative:margin" coordsize="6096,12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">
                      <v:rect id="Rectangle 165" o:spid="_x0000_s1027" style="position:absolute;width:6096;height:12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" fillcolor="window" strokecolor="#2f528f" strokeweight="3pt"/>
                      <v:oval id="Oval 166" o:spid="_x0000_s1028" style="position:absolute;left:1270;top:1016;width:342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" fillcolor="window" strokecolor="#2f528f" strokeweight="1pt">
                        <v:stroke joinstyle="miter"/>
                      </v:oval>
                      <v:oval id="Oval 167" o:spid="_x0000_s1029" style="position:absolute;left:1270;top:4953;width:342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" fillcolor="window" strokecolor="#2f528f" strokeweight="1pt">
                        <v:stroke joinstyle="miter"/>
                      </v:oval>
                      <v:oval id="Oval 168" o:spid="_x0000_s1030" style="position:absolute;left:1270;top:8890;width:342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" fillcolor="#00b050" strokecolor="#2f528f" strokeweight="1pt">
                        <v:stroke joinstyle="miter"/>
                      </v:oval>
                    </v:group>
                  </w:pict>
                </mc:Fallback>
              </mc:AlternateContent>
            </w:r>
          </w:p>
        </w:tc>
        <w:tc>
          <w:tcPr>
            <w:tcW w:w="7603" w:type="dxa"/>
          </w:tcPr>
          <w:p w14:paraId="78A46A1D" w14:textId="77777777" w:rsidR="00CA07A0" w:rsidRPr="00D63485" w:rsidRDefault="00CA07A0" w:rsidP="00CC152F">
            <w:pPr>
              <w:spacing w:before="100"/>
              <w:rPr>
                <w:noProof/>
                <w:lang w:val="en-US" w:eastAsia="en-AU"/>
              </w:rPr>
            </w:pPr>
            <w:r w:rsidRPr="0026186E">
              <w:rPr>
                <w:noProof/>
                <w:lang w:val="en-US" w:eastAsia="en-AU"/>
              </w:rPr>
              <w:t>Less matters – in % terms - being withdrawn or dismissed by the Court</w:t>
            </w:r>
            <w:r w:rsidRPr="00D63485">
              <w:rPr>
                <w:noProof/>
                <w:lang w:val="en-US" w:eastAsia="en-AU"/>
              </w:rPr>
              <w:t xml:space="preserve"> </w:t>
            </w:r>
          </w:p>
          <w:p w14:paraId="5687C592" w14:textId="77777777" w:rsidR="00CA07A0" w:rsidRPr="00CA07A0" w:rsidRDefault="00CA07A0" w:rsidP="00661EA0">
            <w:pPr>
              <w:rPr>
                <w:noProof/>
                <w:lang w:val="en-US" w:eastAsia="en-AU"/>
              </w:rPr>
            </w:pPr>
          </w:p>
        </w:tc>
      </w:tr>
      <w:bookmarkEnd w:id="59"/>
    </w:tbl>
    <w:p w14:paraId="465049F6" w14:textId="77777777" w:rsidR="00CA07A0" w:rsidRPr="00CA07A0" w:rsidRDefault="00CA07A0" w:rsidP="00661EA0">
      <w:pPr>
        <w:rPr>
          <w:rFonts w:eastAsia="Calibri" w:cstheme="minorHAnsi"/>
          <w:b/>
          <w:noProof/>
          <w:sz w:val="2"/>
          <w:szCs w:val="2"/>
          <w:lang w:eastAsia="en-AU"/>
        </w:rPr>
      </w:pPr>
    </w:p>
    <w:p w14:paraId="113246D9" w14:textId="77777777" w:rsidR="00CA07A0" w:rsidRPr="00CC152F" w:rsidRDefault="00365F58" w:rsidP="00661EA0">
      <w:pPr>
        <w:rPr>
          <w:noProof/>
          <w:lang w:eastAsia="en-AU"/>
        </w:rPr>
      </w:pPr>
      <w:r w:rsidRPr="00365F58">
        <w:rPr>
          <w:noProof/>
          <w:lang w:eastAsia="en-AU"/>
        </w:rPr>
        <w:drawing>
          <wp:inline distT="0" distB="0" distL="0" distR="0" wp14:anchorId="71473176" wp14:editId="534178FF">
            <wp:extent cx="5179634" cy="3380018"/>
            <wp:effectExtent l="0" t="0" r="2540" b="0"/>
            <wp:docPr id="199" name="Picture 1">
              <a:extLst xmlns:a="http://schemas.openxmlformats.org/drawingml/2006/main">
                <a:ext uri="{FF2B5EF4-FFF2-40B4-BE49-F238E27FC236}">
                  <a16:creationId xmlns:a16="http://schemas.microsoft.com/office/drawing/2014/main" id="{A63D34C3-099A-7549-A528-32E7476219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A63D34C3-099A-7549-A528-32E747621960}"/>
                        </a:ext>
                      </a:extLst>
                    </pic:cNvPr>
                    <pic:cNvPicPr>
                      <a:picLocks noChangeAspect="1"/>
                    </pic:cNvPicPr>
                  </pic:nvPicPr>
                  <pic:blipFill>
                    <a:blip r:embed="rId60"/>
                    <a:stretch>
                      <a:fillRect/>
                    </a:stretch>
                  </pic:blipFill>
                  <pic:spPr>
                    <a:xfrm>
                      <a:off x="0" y="0"/>
                      <a:ext cx="5184632" cy="3383280"/>
                    </a:xfrm>
                    <a:prstGeom prst="rect">
                      <a:avLst/>
                    </a:prstGeom>
                  </pic:spPr>
                </pic:pic>
              </a:graphicData>
            </a:graphic>
          </wp:inline>
        </w:drawing>
      </w:r>
    </w:p>
    <w:p w14:paraId="50D4BC90" w14:textId="77777777" w:rsidR="00CA07A0" w:rsidRPr="00632016" w:rsidRDefault="00CA07A0" w:rsidP="00CC152F">
      <w:pPr>
        <w:spacing w:after="0"/>
        <w:rPr>
          <w:b/>
          <w:noProof/>
          <w:lang w:eastAsia="en-AU"/>
        </w:rPr>
      </w:pPr>
      <w:r w:rsidRPr="00632016">
        <w:rPr>
          <w:b/>
          <w:noProof/>
          <w:lang w:eastAsia="en-AU"/>
        </w:rPr>
        <w:t xml:space="preserve">Figure </w:t>
      </w:r>
      <w:r w:rsidR="0026186E">
        <w:rPr>
          <w:b/>
          <w:noProof/>
          <w:lang w:eastAsia="en-AU"/>
        </w:rPr>
        <w:t>34</w:t>
      </w:r>
      <w:r w:rsidRPr="00632016">
        <w:rPr>
          <w:b/>
          <w:noProof/>
          <w:lang w:eastAsia="en-AU"/>
        </w:rPr>
        <w:t>: Court Guilty outcomes – for the three offence types</w:t>
      </w:r>
    </w:p>
    <w:p w14:paraId="0C52AFF7" w14:textId="77777777" w:rsidR="00A24833" w:rsidRPr="00CA07A0" w:rsidRDefault="00CA07A0" w:rsidP="00661EA0">
      <w:pPr>
        <w:rPr>
          <w:lang w:val="en-US" w:eastAsia="en-AU"/>
        </w:rPr>
      </w:pPr>
      <w:r w:rsidRPr="00CA07A0">
        <w:rPr>
          <w:lang w:val="en-US" w:eastAsia="en-AU"/>
        </w:rPr>
        <w:t>Note: equates to approximately 3000 charges out of 10,000 finalized in this period</w:t>
      </w:r>
    </w:p>
    <w:p w14:paraId="5B354D6D" w14:textId="77777777" w:rsidR="00CA07A0" w:rsidRPr="00CA07A0" w:rsidRDefault="00365F58" w:rsidP="00661EA0">
      <w:pPr>
        <w:rPr>
          <w:lang w:val="en-US" w:eastAsia="en-AU"/>
        </w:rPr>
      </w:pPr>
      <w:r w:rsidRPr="00365F58">
        <w:rPr>
          <w:noProof/>
          <w:lang w:eastAsia="en-AU"/>
        </w:rPr>
        <w:drawing>
          <wp:inline distT="0" distB="0" distL="0" distR="0" wp14:anchorId="11CBB5AB" wp14:editId="4F050B3B">
            <wp:extent cx="5356614" cy="3498475"/>
            <wp:effectExtent l="0" t="0" r="0" b="6985"/>
            <wp:docPr id="203" name="Picture 4">
              <a:extLst xmlns:a="http://schemas.openxmlformats.org/drawingml/2006/main">
                <a:ext uri="{FF2B5EF4-FFF2-40B4-BE49-F238E27FC236}">
                  <a16:creationId xmlns:a16="http://schemas.microsoft.com/office/drawing/2014/main" id="{CF4757F5-997B-5F4A-9BE8-75920DCAD9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CF4757F5-997B-5F4A-9BE8-75920DCAD9FA}"/>
                        </a:ext>
                      </a:extLst>
                    </pic:cNvPr>
                    <pic:cNvPicPr>
                      <a:picLocks noChangeAspect="1"/>
                    </pic:cNvPicPr>
                  </pic:nvPicPr>
                  <pic:blipFill>
                    <a:blip r:embed="rId61"/>
                    <a:stretch>
                      <a:fillRect/>
                    </a:stretch>
                  </pic:blipFill>
                  <pic:spPr>
                    <a:xfrm>
                      <a:off x="0" y="0"/>
                      <a:ext cx="5360958" cy="3501312"/>
                    </a:xfrm>
                    <a:prstGeom prst="rect">
                      <a:avLst/>
                    </a:prstGeom>
                  </pic:spPr>
                </pic:pic>
              </a:graphicData>
            </a:graphic>
          </wp:inline>
        </w:drawing>
      </w:r>
    </w:p>
    <w:p w14:paraId="26E83F5E" w14:textId="77777777" w:rsidR="0026186E" w:rsidRDefault="0026186E">
      <w:pPr>
        <w:rPr>
          <w:b/>
          <w:noProof/>
          <w:lang w:eastAsia="en-AU"/>
        </w:rPr>
      </w:pPr>
      <w:r>
        <w:rPr>
          <w:b/>
          <w:noProof/>
          <w:lang w:eastAsia="en-AU"/>
        </w:rPr>
        <w:br w:type="page"/>
      </w:r>
    </w:p>
    <w:p w14:paraId="36D3BAC9" w14:textId="77777777" w:rsidR="00CA07A0" w:rsidRPr="00632016" w:rsidRDefault="00CA07A0" w:rsidP="00AF5CAB">
      <w:pPr>
        <w:shd w:val="clear" w:color="auto" w:fill="FFFFFF" w:themeFill="background1"/>
        <w:spacing w:after="0"/>
        <w:rPr>
          <w:b/>
          <w:noProof/>
          <w:lang w:eastAsia="en-AU"/>
        </w:rPr>
      </w:pPr>
      <w:r w:rsidRPr="00632016">
        <w:rPr>
          <w:b/>
          <w:noProof/>
          <w:lang w:eastAsia="en-AU"/>
        </w:rPr>
        <w:t xml:space="preserve">Figure </w:t>
      </w:r>
      <w:r w:rsidR="0026186E">
        <w:rPr>
          <w:b/>
          <w:noProof/>
          <w:lang w:eastAsia="en-AU"/>
        </w:rPr>
        <w:t>35</w:t>
      </w:r>
      <w:r w:rsidRPr="00632016">
        <w:rPr>
          <w:b/>
          <w:noProof/>
          <w:lang w:eastAsia="en-AU"/>
        </w:rPr>
        <w:t>: Tracking offences through the ‘system’ – 2019 YTD</w:t>
      </w:r>
    </w:p>
    <w:tbl>
      <w:tblPr>
        <w:tblStyle w:val="TableGrid1"/>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6"/>
        <w:gridCol w:w="7603"/>
      </w:tblGrid>
      <w:tr w:rsidR="00CA07A0" w:rsidRPr="00CA07A0" w14:paraId="565D5DE1" w14:textId="77777777" w:rsidTr="00E673E1">
        <w:trPr>
          <w:trHeight w:val="941"/>
        </w:trPr>
        <w:tc>
          <w:tcPr>
            <w:tcW w:w="856" w:type="dxa"/>
          </w:tcPr>
          <w:p w14:paraId="73B18F5A" w14:textId="77777777" w:rsidR="00CA07A0" w:rsidRPr="00CA07A0" w:rsidRDefault="00CA07A0" w:rsidP="00661EA0">
            <w:pPr>
              <w:rPr>
                <w:rFonts w:eastAsia="Calibri" w:cstheme="minorHAnsi"/>
                <w:noProof/>
                <w:color w:val="44546A" w:themeColor="text2"/>
                <w:sz w:val="30"/>
                <w:szCs w:val="30"/>
                <w:lang w:eastAsia="en-AU"/>
              </w:rPr>
            </w:pPr>
            <w:r w:rsidRPr="00CA07A0">
              <w:rPr>
                <w:rFonts w:eastAsia="Calibri" w:cstheme="minorHAnsi"/>
                <w:noProof/>
                <w:color w:val="44546A" w:themeColor="text2"/>
                <w:sz w:val="30"/>
                <w:szCs w:val="30"/>
                <w:lang w:eastAsia="en-AU"/>
              </w:rPr>
              <mc:AlternateContent>
                <mc:Choice Requires="wpg">
                  <w:drawing>
                    <wp:anchor distT="0" distB="0" distL="114300" distR="114300" simplePos="0" relativeHeight="251683840" behindDoc="0" locked="0" layoutInCell="1" allowOverlap="1" wp14:anchorId="0F8CB36C" wp14:editId="23CBF9AC">
                      <wp:simplePos x="0" y="0"/>
                      <wp:positionH relativeFrom="column">
                        <wp:posOffset>5436</wp:posOffset>
                      </wp:positionH>
                      <wp:positionV relativeFrom="paragraph">
                        <wp:posOffset>6388</wp:posOffset>
                      </wp:positionV>
                      <wp:extent cx="403794" cy="535932"/>
                      <wp:effectExtent l="19050" t="19050" r="15875" b="17145"/>
                      <wp:wrapNone/>
                      <wp:docPr id="169" name="Group 6"/>
                      <wp:cNvGraphicFramePr/>
                      <a:graphic xmlns:a="http://schemas.openxmlformats.org/drawingml/2006/main">
                        <a:graphicData uri="http://schemas.microsoft.com/office/word/2010/wordprocessingGroup">
                          <wpg:wgp>
                            <wpg:cNvGrpSpPr/>
                            <wpg:grpSpPr>
                              <a:xfrm>
                                <a:off x="0" y="0"/>
                                <a:ext cx="403794" cy="535932"/>
                                <a:chOff x="0" y="0"/>
                                <a:chExt cx="609600" cy="1282700"/>
                              </a:xfrm>
                            </wpg:grpSpPr>
                            <wps:wsp>
                              <wps:cNvPr id="170" name="Rectangle 170"/>
                              <wps:cNvSpPr/>
                              <wps:spPr>
                                <a:xfrm>
                                  <a:off x="0" y="0"/>
                                  <a:ext cx="609600" cy="1282700"/>
                                </a:xfrm>
                                <a:prstGeom prst="rect">
                                  <a:avLst/>
                                </a:prstGeom>
                                <a:solidFill>
                                  <a:sysClr val="window" lastClr="FFFFFF"/>
                                </a:solidFill>
                                <a:ln w="38100" cap="flat" cmpd="sng" algn="ctr">
                                  <a:solidFill>
                                    <a:srgbClr val="4472C4">
                                      <a:shade val="50000"/>
                                    </a:srgbClr>
                                  </a:solidFill>
                                  <a:prstDash val="solid"/>
                                  <a:miter lim="800000"/>
                                </a:ln>
                                <a:effectLst/>
                              </wps:spPr>
                              <wps:bodyPr rtlCol="0" anchor="ctr"/>
                            </wps:wsp>
                            <wps:wsp>
                              <wps:cNvPr id="171" name="Oval 171"/>
                              <wps:cNvSpPr/>
                              <wps:spPr>
                                <a:xfrm>
                                  <a:off x="127000" y="101600"/>
                                  <a:ext cx="342900" cy="317500"/>
                                </a:xfrm>
                                <a:prstGeom prst="ellipse">
                                  <a:avLst/>
                                </a:prstGeom>
                                <a:solidFill>
                                  <a:sysClr val="window" lastClr="FFFFFF"/>
                                </a:solidFill>
                                <a:ln w="12700" cap="flat" cmpd="sng" algn="ctr">
                                  <a:solidFill>
                                    <a:srgbClr val="4472C4">
                                      <a:shade val="50000"/>
                                    </a:srgbClr>
                                  </a:solidFill>
                                  <a:prstDash val="solid"/>
                                  <a:miter lim="800000"/>
                                </a:ln>
                                <a:effectLst/>
                              </wps:spPr>
                              <wps:bodyPr rtlCol="0" anchor="ctr"/>
                            </wps:wsp>
                            <wps:wsp>
                              <wps:cNvPr id="172" name="Oval 172"/>
                              <wps:cNvSpPr/>
                              <wps:spPr>
                                <a:xfrm>
                                  <a:off x="127000" y="495300"/>
                                  <a:ext cx="342900" cy="317500"/>
                                </a:xfrm>
                                <a:prstGeom prst="ellipse">
                                  <a:avLst/>
                                </a:prstGeom>
                                <a:solidFill>
                                  <a:sysClr val="window" lastClr="FFFFFF"/>
                                </a:solidFill>
                                <a:ln w="12700" cap="flat" cmpd="sng" algn="ctr">
                                  <a:solidFill>
                                    <a:srgbClr val="4472C4">
                                      <a:shade val="50000"/>
                                    </a:srgbClr>
                                  </a:solidFill>
                                  <a:prstDash val="solid"/>
                                  <a:miter lim="800000"/>
                                </a:ln>
                                <a:effectLst/>
                              </wps:spPr>
                              <wps:bodyPr rtlCol="0" anchor="ctr"/>
                            </wps:wsp>
                            <wps:wsp>
                              <wps:cNvPr id="173" name="Oval 173"/>
                              <wps:cNvSpPr/>
                              <wps:spPr>
                                <a:xfrm>
                                  <a:off x="127000" y="889000"/>
                                  <a:ext cx="342900" cy="317500"/>
                                </a:xfrm>
                                <a:prstGeom prst="ellipse">
                                  <a:avLst/>
                                </a:prstGeom>
                                <a:solidFill>
                                  <a:srgbClr val="00B050"/>
                                </a:solidFill>
                                <a:ln w="12700" cap="flat" cmpd="sng" algn="ctr">
                                  <a:solidFill>
                                    <a:srgbClr val="4472C4">
                                      <a:shade val="50000"/>
                                    </a:srgbClr>
                                  </a:solidFill>
                                  <a:prstDash val="solid"/>
                                  <a:miter lim="800000"/>
                                </a:ln>
                                <a:effectLst/>
                              </wps:spPr>
                              <wps:bodyPr rtlCol="0" anchor="ct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899C184" id="Group 6" o:spid="_x0000_s1026" style="position:absolute;margin-left:.45pt;margin-top:.5pt;width:31.8pt;height:42.2pt;z-index:251683840;mso-width-relative:margin;mso-height-relative:margin" coordsize="6096,12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">
                      <v:rect id="Rectangle 170" o:spid="_x0000_s1027" style="position:absolute;width:6096;height:12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" fillcolor="window" strokecolor="#2f528f" strokeweight="3pt"/>
                      <v:oval id="Oval 171" o:spid="_x0000_s1028" style="position:absolute;left:1270;top:1016;width:342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" fillcolor="window" strokecolor="#2f528f" strokeweight="1pt">
                        <v:stroke joinstyle="miter"/>
                      </v:oval>
                      <v:oval id="Oval 172" o:spid="_x0000_s1029" style="position:absolute;left:1270;top:4953;width:342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" fillcolor="window" strokecolor="#2f528f" strokeweight="1pt">
                        <v:stroke joinstyle="miter"/>
                      </v:oval>
                      <v:oval id="Oval 173" o:spid="_x0000_s1030" style="position:absolute;left:1270;top:8890;width:342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" fillcolor="#00b050" strokecolor="#2f528f" strokeweight="1pt">
                        <v:stroke joinstyle="miter"/>
                      </v:oval>
                    </v:group>
                  </w:pict>
                </mc:Fallback>
              </mc:AlternateContent>
            </w:r>
          </w:p>
        </w:tc>
        <w:tc>
          <w:tcPr>
            <w:tcW w:w="7603" w:type="dxa"/>
          </w:tcPr>
          <w:p w14:paraId="7DD563D5" w14:textId="77777777" w:rsidR="00CA07A0" w:rsidRPr="00D63485" w:rsidRDefault="00CA07A0" w:rsidP="00CC152F">
            <w:pPr>
              <w:spacing w:before="100"/>
              <w:rPr>
                <w:noProof/>
                <w:lang w:val="en-US" w:eastAsia="en-AU"/>
              </w:rPr>
            </w:pPr>
            <w:r w:rsidRPr="00D63485">
              <w:rPr>
                <w:noProof/>
                <w:lang w:val="en-US" w:eastAsia="en-AU"/>
              </w:rPr>
              <w:t>Now in strong position to more accurately track key offence types as they make their way through the Criminal Justice System</w:t>
            </w:r>
          </w:p>
          <w:p w14:paraId="7E63D132" w14:textId="77777777" w:rsidR="00CA07A0" w:rsidRPr="00CA07A0" w:rsidRDefault="00CA07A0" w:rsidP="00661EA0">
            <w:pPr>
              <w:rPr>
                <w:noProof/>
                <w:lang w:val="en-US" w:eastAsia="en-AU"/>
              </w:rPr>
            </w:pPr>
          </w:p>
        </w:tc>
      </w:tr>
    </w:tbl>
    <w:p w14:paraId="56E75E2C" w14:textId="77777777" w:rsidR="00CA07A0" w:rsidRPr="00CA07A0" w:rsidRDefault="00D175D6" w:rsidP="00661EA0">
      <w:pPr>
        <w:rPr>
          <w:lang w:val="en-US" w:eastAsia="en-AU"/>
        </w:rPr>
      </w:pPr>
      <w:r w:rsidRPr="00D175D6">
        <w:rPr>
          <w:noProof/>
          <w:lang w:eastAsia="en-AU"/>
        </w:rPr>
        <w:drawing>
          <wp:inline distT="0" distB="0" distL="0" distR="0" wp14:anchorId="6336013E" wp14:editId="29DA857C">
            <wp:extent cx="5731510" cy="3740150"/>
            <wp:effectExtent l="0" t="0" r="2540" b="0"/>
            <wp:docPr id="225" name="Picture 11">
              <a:extLst xmlns:a="http://schemas.openxmlformats.org/drawingml/2006/main">
                <a:ext uri="{FF2B5EF4-FFF2-40B4-BE49-F238E27FC236}">
                  <a16:creationId xmlns:a16="http://schemas.microsoft.com/office/drawing/2014/main" id="{40661000-52E5-4C43-8032-4BE832FC51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40661000-52E5-4C43-8032-4BE832FC5181}"/>
                        </a:ext>
                      </a:extLst>
                    </pic:cNvPr>
                    <pic:cNvPicPr>
                      <a:picLocks noChangeAspect="1"/>
                    </pic:cNvPicPr>
                  </pic:nvPicPr>
                  <pic:blipFill>
                    <a:blip r:embed="rId62"/>
                    <a:stretch>
                      <a:fillRect/>
                    </a:stretch>
                  </pic:blipFill>
                  <pic:spPr>
                    <a:xfrm>
                      <a:off x="0" y="0"/>
                      <a:ext cx="5731510" cy="3740150"/>
                    </a:xfrm>
                    <a:prstGeom prst="rect">
                      <a:avLst/>
                    </a:prstGeom>
                  </pic:spPr>
                </pic:pic>
              </a:graphicData>
            </a:graphic>
          </wp:inline>
        </w:drawing>
      </w:r>
    </w:p>
    <w:p w14:paraId="0514AB3C" w14:textId="77777777" w:rsidR="00CA07A0" w:rsidRPr="00CA07A0" w:rsidRDefault="00CA07A0" w:rsidP="00661EA0">
      <w:pPr>
        <w:rPr>
          <w:sz w:val="2"/>
          <w:szCs w:val="2"/>
          <w:lang w:val="en-US" w:eastAsia="en-AU"/>
        </w:rPr>
      </w:pPr>
    </w:p>
    <w:p w14:paraId="04F9C9D5" w14:textId="77777777" w:rsidR="00CA07A0" w:rsidRPr="00365F58" w:rsidRDefault="00CA07A0" w:rsidP="00661EA0">
      <w:pPr>
        <w:rPr>
          <w:b/>
          <w:noProof/>
          <w:color w:val="44546A" w:themeColor="text2"/>
          <w:lang w:eastAsia="en-AU"/>
        </w:rPr>
      </w:pPr>
      <w:r w:rsidRPr="00632016">
        <w:rPr>
          <w:b/>
          <w:noProof/>
          <w:color w:val="44546A" w:themeColor="text2"/>
          <w:lang w:eastAsia="en-AU"/>
        </w:rPr>
        <w:t>TIMELINESS</w:t>
      </w:r>
    </w:p>
    <w:p w14:paraId="7DC0AA38" w14:textId="77777777" w:rsidR="00CA07A0" w:rsidRPr="00632016" w:rsidRDefault="00CA07A0" w:rsidP="00CC152F">
      <w:pPr>
        <w:spacing w:after="0"/>
        <w:rPr>
          <w:b/>
          <w:noProof/>
          <w:lang w:eastAsia="en-AU"/>
        </w:rPr>
      </w:pPr>
      <w:bookmarkStart w:id="60" w:name="_Hlk20156104"/>
      <w:r w:rsidRPr="00632016">
        <w:rPr>
          <w:b/>
          <w:noProof/>
          <w:lang w:eastAsia="en-AU"/>
        </w:rPr>
        <w:t>Figure 3</w:t>
      </w:r>
      <w:r w:rsidR="00AF5CAB">
        <w:rPr>
          <w:b/>
          <w:noProof/>
          <w:lang w:eastAsia="en-AU"/>
        </w:rPr>
        <w:t>6</w:t>
      </w:r>
      <w:r w:rsidRPr="00632016">
        <w:rPr>
          <w:b/>
          <w:noProof/>
          <w:lang w:eastAsia="en-AU"/>
        </w:rPr>
        <w:t xml:space="preserve">: </w:t>
      </w:r>
      <w:r w:rsidR="00365F58">
        <w:rPr>
          <w:b/>
          <w:noProof/>
          <w:lang w:eastAsia="en-AU"/>
        </w:rPr>
        <w:t>Protection orders – average days to finalise (days)</w:t>
      </w:r>
    </w:p>
    <w:tbl>
      <w:tblPr>
        <w:tblStyle w:val="TableGrid1"/>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6"/>
        <w:gridCol w:w="7603"/>
      </w:tblGrid>
      <w:tr w:rsidR="00CA07A0" w:rsidRPr="00CA07A0" w14:paraId="4828C1BE" w14:textId="77777777" w:rsidTr="00E673E1">
        <w:trPr>
          <w:trHeight w:val="941"/>
        </w:trPr>
        <w:tc>
          <w:tcPr>
            <w:tcW w:w="856" w:type="dxa"/>
          </w:tcPr>
          <w:p w14:paraId="634F2F3C" w14:textId="77777777" w:rsidR="00CA07A0" w:rsidRPr="00CA07A0" w:rsidRDefault="00CA07A0" w:rsidP="00661EA0">
            <w:pPr>
              <w:rPr>
                <w:rFonts w:eastAsia="Calibri" w:cstheme="minorHAnsi"/>
                <w:noProof/>
                <w:color w:val="44546A" w:themeColor="text2"/>
                <w:sz w:val="30"/>
                <w:szCs w:val="30"/>
                <w:lang w:eastAsia="en-AU"/>
              </w:rPr>
            </w:pPr>
            <w:r w:rsidRPr="00CA07A0">
              <w:rPr>
                <w:rFonts w:eastAsia="Calibri" w:cstheme="minorHAnsi"/>
                <w:noProof/>
                <w:color w:val="44546A" w:themeColor="text2"/>
                <w:sz w:val="30"/>
                <w:szCs w:val="30"/>
                <w:lang w:eastAsia="en-AU"/>
              </w:rPr>
              <mc:AlternateContent>
                <mc:Choice Requires="wpg">
                  <w:drawing>
                    <wp:anchor distT="0" distB="0" distL="114300" distR="114300" simplePos="0" relativeHeight="251686912" behindDoc="0" locked="0" layoutInCell="1" allowOverlap="1" wp14:anchorId="3F3FB758" wp14:editId="0A6987E2">
                      <wp:simplePos x="0" y="0"/>
                      <wp:positionH relativeFrom="column">
                        <wp:posOffset>5436</wp:posOffset>
                      </wp:positionH>
                      <wp:positionV relativeFrom="paragraph">
                        <wp:posOffset>6388</wp:posOffset>
                      </wp:positionV>
                      <wp:extent cx="403794" cy="535932"/>
                      <wp:effectExtent l="19050" t="19050" r="15875" b="17145"/>
                      <wp:wrapNone/>
                      <wp:docPr id="189" name="Group 6"/>
                      <wp:cNvGraphicFramePr/>
                      <a:graphic xmlns:a="http://schemas.openxmlformats.org/drawingml/2006/main">
                        <a:graphicData uri="http://schemas.microsoft.com/office/word/2010/wordprocessingGroup">
                          <wpg:wgp>
                            <wpg:cNvGrpSpPr/>
                            <wpg:grpSpPr>
                              <a:xfrm>
                                <a:off x="0" y="0"/>
                                <a:ext cx="403794" cy="535932"/>
                                <a:chOff x="0" y="0"/>
                                <a:chExt cx="609600" cy="1282700"/>
                              </a:xfrm>
                            </wpg:grpSpPr>
                            <wps:wsp>
                              <wps:cNvPr id="190" name="Rectangle 190"/>
                              <wps:cNvSpPr/>
                              <wps:spPr>
                                <a:xfrm>
                                  <a:off x="0" y="0"/>
                                  <a:ext cx="609600" cy="1282700"/>
                                </a:xfrm>
                                <a:prstGeom prst="rect">
                                  <a:avLst/>
                                </a:prstGeom>
                                <a:solidFill>
                                  <a:sysClr val="window" lastClr="FFFFFF"/>
                                </a:solidFill>
                                <a:ln w="38100" cap="flat" cmpd="sng" algn="ctr">
                                  <a:solidFill>
                                    <a:srgbClr val="4472C4">
                                      <a:shade val="50000"/>
                                    </a:srgbClr>
                                  </a:solidFill>
                                  <a:prstDash val="solid"/>
                                  <a:miter lim="800000"/>
                                </a:ln>
                                <a:effectLst/>
                              </wps:spPr>
                              <wps:bodyPr rtlCol="0" anchor="ctr"/>
                            </wps:wsp>
                            <wps:wsp>
                              <wps:cNvPr id="191" name="Oval 191"/>
                              <wps:cNvSpPr/>
                              <wps:spPr>
                                <a:xfrm>
                                  <a:off x="127000" y="101600"/>
                                  <a:ext cx="342900" cy="317500"/>
                                </a:xfrm>
                                <a:prstGeom prst="ellipse">
                                  <a:avLst/>
                                </a:prstGeom>
                                <a:solidFill>
                                  <a:sysClr val="window" lastClr="FFFFFF"/>
                                </a:solidFill>
                                <a:ln w="12700" cap="flat" cmpd="sng" algn="ctr">
                                  <a:solidFill>
                                    <a:srgbClr val="4472C4">
                                      <a:shade val="50000"/>
                                    </a:srgbClr>
                                  </a:solidFill>
                                  <a:prstDash val="solid"/>
                                  <a:miter lim="800000"/>
                                </a:ln>
                                <a:effectLst/>
                              </wps:spPr>
                              <wps:bodyPr rtlCol="0" anchor="ctr"/>
                            </wps:wsp>
                            <wps:wsp>
                              <wps:cNvPr id="192" name="Oval 192"/>
                              <wps:cNvSpPr/>
                              <wps:spPr>
                                <a:xfrm>
                                  <a:off x="127000" y="495300"/>
                                  <a:ext cx="342900" cy="317500"/>
                                </a:xfrm>
                                <a:prstGeom prst="ellipse">
                                  <a:avLst/>
                                </a:prstGeom>
                                <a:solidFill>
                                  <a:sysClr val="window" lastClr="FFFFFF"/>
                                </a:solidFill>
                                <a:ln w="12700" cap="flat" cmpd="sng" algn="ctr">
                                  <a:solidFill>
                                    <a:srgbClr val="4472C4">
                                      <a:shade val="50000"/>
                                    </a:srgbClr>
                                  </a:solidFill>
                                  <a:prstDash val="solid"/>
                                  <a:miter lim="800000"/>
                                </a:ln>
                                <a:effectLst/>
                              </wps:spPr>
                              <wps:bodyPr rtlCol="0" anchor="ctr"/>
                            </wps:wsp>
                            <wps:wsp>
                              <wps:cNvPr id="193" name="Oval 193"/>
                              <wps:cNvSpPr/>
                              <wps:spPr>
                                <a:xfrm>
                                  <a:off x="127000" y="889000"/>
                                  <a:ext cx="342900" cy="317500"/>
                                </a:xfrm>
                                <a:prstGeom prst="ellipse">
                                  <a:avLst/>
                                </a:prstGeom>
                                <a:solidFill>
                                  <a:srgbClr val="00B050"/>
                                </a:solidFill>
                                <a:ln w="12700" cap="flat" cmpd="sng" algn="ctr">
                                  <a:solidFill>
                                    <a:srgbClr val="4472C4">
                                      <a:shade val="50000"/>
                                    </a:srgbClr>
                                  </a:solidFill>
                                  <a:prstDash val="solid"/>
                                  <a:miter lim="800000"/>
                                </a:ln>
                                <a:effectLst/>
                              </wps:spPr>
                              <wps:bodyPr rtlCol="0" anchor="ct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955F60C" id="Group 6" o:spid="_x0000_s1026" style="position:absolute;margin-left:.45pt;margin-top:.5pt;width:31.8pt;height:42.2pt;z-index:251686912;mso-width-relative:margin;mso-height-relative:margin" coordsize="6096,12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">
                      <v:rect id="Rectangle 190" o:spid="_x0000_s1027" style="position:absolute;width:6096;height:12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" fillcolor="window" strokecolor="#2f528f" strokeweight="3pt"/>
                      <v:oval id="Oval 191" o:spid="_x0000_s1028" style="position:absolute;left:1270;top:1016;width:342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" fillcolor="window" strokecolor="#2f528f" strokeweight="1pt">
                        <v:stroke joinstyle="miter"/>
                      </v:oval>
                      <v:oval id="Oval 192" o:spid="_x0000_s1029" style="position:absolute;left:1270;top:4953;width:342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" fillcolor="window" strokecolor="#2f528f" strokeweight="1pt">
                        <v:stroke joinstyle="miter"/>
                      </v:oval>
                      <v:oval id="Oval 193" o:spid="_x0000_s1030" style="position:absolute;left:1270;top:8890;width:342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" fillcolor="#00b050" strokecolor="#2f528f" strokeweight="1pt">
                        <v:stroke joinstyle="miter"/>
                      </v:oval>
                    </v:group>
                  </w:pict>
                </mc:Fallback>
              </mc:AlternateContent>
            </w:r>
          </w:p>
        </w:tc>
        <w:tc>
          <w:tcPr>
            <w:tcW w:w="7603" w:type="dxa"/>
          </w:tcPr>
          <w:p w14:paraId="6FD40B9A" w14:textId="77777777" w:rsidR="00365F58" w:rsidRPr="00365F58" w:rsidRDefault="00365F58" w:rsidP="00365F58">
            <w:pPr>
              <w:spacing w:before="100"/>
              <w:rPr>
                <w:noProof/>
                <w:lang w:eastAsia="en-AU"/>
              </w:rPr>
            </w:pPr>
            <w:r w:rsidRPr="00365F58">
              <w:rPr>
                <w:noProof/>
                <w:lang w:val="en-US" w:eastAsia="en-AU"/>
              </w:rPr>
              <w:t>Substantial decrease in time in responding to Protection Orders - now finalizing within a month</w:t>
            </w:r>
          </w:p>
          <w:p w14:paraId="34CE07FC" w14:textId="77777777" w:rsidR="00CA07A0" w:rsidRPr="00CA07A0" w:rsidRDefault="00CA07A0" w:rsidP="00661EA0">
            <w:pPr>
              <w:rPr>
                <w:noProof/>
                <w:lang w:val="en-US" w:eastAsia="en-AU"/>
              </w:rPr>
            </w:pPr>
          </w:p>
          <w:p w14:paraId="5F151DE5" w14:textId="77777777" w:rsidR="00CA07A0" w:rsidRPr="00CA07A0" w:rsidRDefault="00CA07A0" w:rsidP="00661EA0">
            <w:pPr>
              <w:rPr>
                <w:rFonts w:eastAsia="Calibri" w:cstheme="minorHAnsi"/>
                <w:noProof/>
                <w:sz w:val="2"/>
                <w:szCs w:val="2"/>
                <w:lang w:val="en-US" w:eastAsia="en-AU"/>
              </w:rPr>
            </w:pPr>
          </w:p>
        </w:tc>
      </w:tr>
    </w:tbl>
    <w:bookmarkEnd w:id="60"/>
    <w:p w14:paraId="5E9D70E9" w14:textId="77777777" w:rsidR="00CA07A0" w:rsidRPr="00CA07A0" w:rsidRDefault="00365F58" w:rsidP="00661EA0">
      <w:pPr>
        <w:rPr>
          <w:lang w:val="en-US" w:eastAsia="en-AU"/>
        </w:rPr>
      </w:pPr>
      <w:r w:rsidRPr="00365F58">
        <w:rPr>
          <w:noProof/>
          <w:lang w:eastAsia="en-AU"/>
        </w:rPr>
        <w:drawing>
          <wp:inline distT="0" distB="0" distL="0" distR="0" wp14:anchorId="0D8EA592" wp14:editId="34729BEB">
            <wp:extent cx="5617243" cy="2990973"/>
            <wp:effectExtent l="0" t="0" r="2540" b="0"/>
            <wp:docPr id="205" name="Picture 6">
              <a:extLst xmlns:a="http://schemas.openxmlformats.org/drawingml/2006/main">
                <a:ext uri="{FF2B5EF4-FFF2-40B4-BE49-F238E27FC236}">
                  <a16:creationId xmlns:a16="http://schemas.microsoft.com/office/drawing/2014/main" id="{693AB5D0-0C62-174F-84A4-EB9BEC3E67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693AB5D0-0C62-174F-84A4-EB9BEC3E676F}"/>
                        </a:ext>
                      </a:extLst>
                    </pic:cNvPr>
                    <pic:cNvPicPr>
                      <a:picLocks noChangeAspect="1"/>
                    </pic:cNvPicPr>
                  </pic:nvPicPr>
                  <pic:blipFill>
                    <a:blip r:embed="rId63"/>
                    <a:stretch>
                      <a:fillRect/>
                    </a:stretch>
                  </pic:blipFill>
                  <pic:spPr>
                    <a:xfrm>
                      <a:off x="0" y="0"/>
                      <a:ext cx="5630381" cy="2997968"/>
                    </a:xfrm>
                    <a:prstGeom prst="rect">
                      <a:avLst/>
                    </a:prstGeom>
                  </pic:spPr>
                </pic:pic>
              </a:graphicData>
            </a:graphic>
          </wp:inline>
        </w:drawing>
      </w:r>
    </w:p>
    <w:p w14:paraId="59018125" w14:textId="77777777" w:rsidR="00CC152F" w:rsidRDefault="00CC152F" w:rsidP="00CC152F">
      <w:pPr>
        <w:spacing w:after="0"/>
        <w:rPr>
          <w:b/>
          <w:noProof/>
          <w:lang w:eastAsia="en-AU"/>
        </w:rPr>
      </w:pPr>
    </w:p>
    <w:p w14:paraId="29C454DD" w14:textId="77777777" w:rsidR="00CA07A0" w:rsidRPr="00632016" w:rsidRDefault="00CA07A0" w:rsidP="00CC152F">
      <w:pPr>
        <w:spacing w:after="0"/>
        <w:rPr>
          <w:b/>
          <w:noProof/>
          <w:lang w:eastAsia="en-AU"/>
        </w:rPr>
      </w:pPr>
      <w:r w:rsidRPr="00632016">
        <w:rPr>
          <w:b/>
          <w:noProof/>
          <w:lang w:eastAsia="en-AU"/>
        </w:rPr>
        <w:t xml:space="preserve">Figure </w:t>
      </w:r>
      <w:r w:rsidR="00C74C27">
        <w:rPr>
          <w:b/>
          <w:noProof/>
          <w:lang w:eastAsia="en-AU"/>
        </w:rPr>
        <w:t>3</w:t>
      </w:r>
      <w:r w:rsidR="00AF5CAB">
        <w:rPr>
          <w:b/>
          <w:noProof/>
          <w:lang w:eastAsia="en-AU"/>
        </w:rPr>
        <w:t>7</w:t>
      </w:r>
      <w:r w:rsidRPr="00632016">
        <w:rPr>
          <w:b/>
          <w:noProof/>
          <w:lang w:eastAsia="en-AU"/>
        </w:rPr>
        <w:t xml:space="preserve">: </w:t>
      </w:r>
      <w:r w:rsidR="00C74C27">
        <w:rPr>
          <w:b/>
          <w:noProof/>
          <w:lang w:eastAsia="en-AU"/>
        </w:rPr>
        <w:t>Average days from Date of Offence to Decision at Court</w:t>
      </w:r>
    </w:p>
    <w:tbl>
      <w:tblPr>
        <w:tblStyle w:val="TableGrid1"/>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6"/>
        <w:gridCol w:w="7603"/>
      </w:tblGrid>
      <w:tr w:rsidR="00CA07A0" w:rsidRPr="00CA07A0" w14:paraId="490CE6DC" w14:textId="77777777" w:rsidTr="00E673E1">
        <w:trPr>
          <w:trHeight w:val="941"/>
        </w:trPr>
        <w:tc>
          <w:tcPr>
            <w:tcW w:w="856" w:type="dxa"/>
          </w:tcPr>
          <w:p w14:paraId="6BF875C1" w14:textId="77777777" w:rsidR="00CA07A0" w:rsidRPr="00CA07A0" w:rsidRDefault="00CA07A0" w:rsidP="00661EA0">
            <w:pPr>
              <w:rPr>
                <w:rFonts w:eastAsia="Calibri" w:cstheme="minorHAnsi"/>
                <w:noProof/>
                <w:color w:val="44546A" w:themeColor="text2"/>
                <w:sz w:val="30"/>
                <w:szCs w:val="30"/>
                <w:lang w:eastAsia="en-AU"/>
              </w:rPr>
            </w:pPr>
            <w:r w:rsidRPr="00CA07A0">
              <w:rPr>
                <w:rFonts w:eastAsia="Calibri" w:cstheme="minorHAnsi"/>
                <w:noProof/>
                <w:color w:val="44546A" w:themeColor="text2"/>
                <w:sz w:val="30"/>
                <w:szCs w:val="30"/>
                <w:lang w:eastAsia="en-AU"/>
              </w:rPr>
              <mc:AlternateContent>
                <mc:Choice Requires="wpg">
                  <w:drawing>
                    <wp:anchor distT="0" distB="0" distL="114300" distR="114300" simplePos="0" relativeHeight="251687936" behindDoc="0" locked="0" layoutInCell="1" allowOverlap="1" wp14:anchorId="2BD463F5" wp14:editId="0E0B82D3">
                      <wp:simplePos x="0" y="0"/>
                      <wp:positionH relativeFrom="column">
                        <wp:posOffset>5436</wp:posOffset>
                      </wp:positionH>
                      <wp:positionV relativeFrom="paragraph">
                        <wp:posOffset>6388</wp:posOffset>
                      </wp:positionV>
                      <wp:extent cx="403794" cy="535932"/>
                      <wp:effectExtent l="19050" t="19050" r="15875" b="17145"/>
                      <wp:wrapNone/>
                      <wp:docPr id="194" name="Group 6"/>
                      <wp:cNvGraphicFramePr/>
                      <a:graphic xmlns:a="http://schemas.openxmlformats.org/drawingml/2006/main">
                        <a:graphicData uri="http://schemas.microsoft.com/office/word/2010/wordprocessingGroup">
                          <wpg:wgp>
                            <wpg:cNvGrpSpPr/>
                            <wpg:grpSpPr>
                              <a:xfrm>
                                <a:off x="0" y="0"/>
                                <a:ext cx="403794" cy="535932"/>
                                <a:chOff x="0" y="0"/>
                                <a:chExt cx="609600" cy="1282700"/>
                              </a:xfrm>
                            </wpg:grpSpPr>
                            <wps:wsp>
                              <wps:cNvPr id="195" name="Rectangle 195"/>
                              <wps:cNvSpPr/>
                              <wps:spPr>
                                <a:xfrm>
                                  <a:off x="0" y="0"/>
                                  <a:ext cx="609600" cy="1282700"/>
                                </a:xfrm>
                                <a:prstGeom prst="rect">
                                  <a:avLst/>
                                </a:prstGeom>
                                <a:solidFill>
                                  <a:sysClr val="window" lastClr="FFFFFF"/>
                                </a:solidFill>
                                <a:ln w="38100" cap="flat" cmpd="sng" algn="ctr">
                                  <a:solidFill>
                                    <a:srgbClr val="4472C4">
                                      <a:shade val="50000"/>
                                    </a:srgbClr>
                                  </a:solidFill>
                                  <a:prstDash val="solid"/>
                                  <a:miter lim="800000"/>
                                </a:ln>
                                <a:effectLst/>
                              </wps:spPr>
                              <wps:bodyPr rtlCol="0" anchor="ctr"/>
                            </wps:wsp>
                            <wps:wsp>
                              <wps:cNvPr id="196" name="Oval 196"/>
                              <wps:cNvSpPr/>
                              <wps:spPr>
                                <a:xfrm>
                                  <a:off x="127000" y="101600"/>
                                  <a:ext cx="342900" cy="317500"/>
                                </a:xfrm>
                                <a:prstGeom prst="ellipse">
                                  <a:avLst/>
                                </a:prstGeom>
                                <a:solidFill>
                                  <a:sysClr val="window" lastClr="FFFFFF"/>
                                </a:solidFill>
                                <a:ln w="12700" cap="flat" cmpd="sng" algn="ctr">
                                  <a:solidFill>
                                    <a:srgbClr val="4472C4">
                                      <a:shade val="50000"/>
                                    </a:srgbClr>
                                  </a:solidFill>
                                  <a:prstDash val="solid"/>
                                  <a:miter lim="800000"/>
                                </a:ln>
                                <a:effectLst/>
                              </wps:spPr>
                              <wps:bodyPr rtlCol="0" anchor="ctr"/>
                            </wps:wsp>
                            <wps:wsp>
                              <wps:cNvPr id="197" name="Oval 197"/>
                              <wps:cNvSpPr/>
                              <wps:spPr>
                                <a:xfrm>
                                  <a:off x="127000" y="495300"/>
                                  <a:ext cx="342900" cy="317500"/>
                                </a:xfrm>
                                <a:prstGeom prst="ellipse">
                                  <a:avLst/>
                                </a:prstGeom>
                                <a:solidFill>
                                  <a:sysClr val="window" lastClr="FFFFFF"/>
                                </a:solidFill>
                                <a:ln w="12700" cap="flat" cmpd="sng" algn="ctr">
                                  <a:solidFill>
                                    <a:srgbClr val="4472C4">
                                      <a:shade val="50000"/>
                                    </a:srgbClr>
                                  </a:solidFill>
                                  <a:prstDash val="solid"/>
                                  <a:miter lim="800000"/>
                                </a:ln>
                                <a:effectLst/>
                              </wps:spPr>
                              <wps:bodyPr rtlCol="0" anchor="ctr"/>
                            </wps:wsp>
                            <wps:wsp>
                              <wps:cNvPr id="198" name="Oval 198"/>
                              <wps:cNvSpPr/>
                              <wps:spPr>
                                <a:xfrm>
                                  <a:off x="127000" y="889000"/>
                                  <a:ext cx="342900" cy="317500"/>
                                </a:xfrm>
                                <a:prstGeom prst="ellipse">
                                  <a:avLst/>
                                </a:prstGeom>
                                <a:solidFill>
                                  <a:srgbClr val="00B050"/>
                                </a:solidFill>
                                <a:ln w="12700" cap="flat" cmpd="sng" algn="ctr">
                                  <a:solidFill>
                                    <a:srgbClr val="4472C4">
                                      <a:shade val="50000"/>
                                    </a:srgbClr>
                                  </a:solidFill>
                                  <a:prstDash val="solid"/>
                                  <a:miter lim="800000"/>
                                </a:ln>
                                <a:effectLst/>
                              </wps:spPr>
                              <wps:bodyPr rtlCol="0" anchor="ct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F0BB165" id="Group 6" o:spid="_x0000_s1026" style="position:absolute;margin-left:.45pt;margin-top:.5pt;width:31.8pt;height:42.2pt;z-index:251687936;mso-width-relative:margin;mso-height-relative:margin" coordsize="6096,12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">
                      <v:rect id="Rectangle 195" o:spid="_x0000_s1027" style="position:absolute;width:6096;height:12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" fillcolor="window" strokecolor="#2f528f" strokeweight="3pt"/>
                      <v:oval id="Oval 196" o:spid="_x0000_s1028" style="position:absolute;left:1270;top:1016;width:342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" fillcolor="window" strokecolor="#2f528f" strokeweight="1pt">
                        <v:stroke joinstyle="miter"/>
                      </v:oval>
                      <v:oval id="Oval 197" o:spid="_x0000_s1029" style="position:absolute;left:1270;top:4953;width:342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" fillcolor="window" strokecolor="#2f528f" strokeweight="1pt">
                        <v:stroke joinstyle="miter"/>
                      </v:oval>
                      <v:oval id="Oval 198" o:spid="_x0000_s1030" style="position:absolute;left:1270;top:8890;width:342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" fillcolor="#00b050" strokecolor="#2f528f" strokeweight="1pt">
                        <v:stroke joinstyle="miter"/>
                      </v:oval>
                    </v:group>
                  </w:pict>
                </mc:Fallback>
              </mc:AlternateContent>
            </w:r>
          </w:p>
        </w:tc>
        <w:tc>
          <w:tcPr>
            <w:tcW w:w="7603" w:type="dxa"/>
          </w:tcPr>
          <w:p w14:paraId="35CA544A" w14:textId="77777777" w:rsidR="00C74C27" w:rsidRPr="00C74C27" w:rsidRDefault="00C74C27" w:rsidP="00C74C27">
            <w:pPr>
              <w:spacing w:before="200"/>
              <w:rPr>
                <w:noProof/>
                <w:lang w:eastAsia="en-AU"/>
              </w:rPr>
            </w:pPr>
            <w:r w:rsidRPr="00C74C27">
              <w:rPr>
                <w:noProof/>
                <w:lang w:val="en-US" w:eastAsia="en-AU"/>
              </w:rPr>
              <w:t>Visible decrease in time from offence to decision for Family Protection</w:t>
            </w:r>
          </w:p>
          <w:p w14:paraId="2E10795E" w14:textId="77777777" w:rsidR="00CA07A0" w:rsidRPr="00CA07A0" w:rsidRDefault="00CA07A0" w:rsidP="00C74C27">
            <w:pPr>
              <w:spacing w:before="200"/>
              <w:rPr>
                <w:noProof/>
                <w:lang w:val="en-US" w:eastAsia="en-AU"/>
              </w:rPr>
            </w:pPr>
          </w:p>
        </w:tc>
      </w:tr>
    </w:tbl>
    <w:p w14:paraId="0F016C5A" w14:textId="77777777" w:rsidR="00CA07A0" w:rsidRPr="00CA07A0" w:rsidRDefault="00C74C27" w:rsidP="00661EA0">
      <w:pPr>
        <w:rPr>
          <w:lang w:val="en-US" w:eastAsia="en-AU"/>
        </w:rPr>
      </w:pPr>
      <w:r w:rsidRPr="00C74C27">
        <w:rPr>
          <w:noProof/>
          <w:lang w:eastAsia="en-AU"/>
        </w:rPr>
        <w:drawing>
          <wp:inline distT="0" distB="0" distL="0" distR="0" wp14:anchorId="6AA6A3CE" wp14:editId="15E6F6CC">
            <wp:extent cx="5327117" cy="3479210"/>
            <wp:effectExtent l="0" t="0" r="6985" b="6985"/>
            <wp:docPr id="206" name="Picture 3">
              <a:extLst xmlns:a="http://schemas.openxmlformats.org/drawingml/2006/main">
                <a:ext uri="{FF2B5EF4-FFF2-40B4-BE49-F238E27FC236}">
                  <a16:creationId xmlns:a16="http://schemas.microsoft.com/office/drawing/2014/main" id="{601C02FB-34AF-0441-930F-2CC13AB801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01C02FB-34AF-0441-930F-2CC13AB80154}"/>
                        </a:ext>
                      </a:extLst>
                    </pic:cNvPr>
                    <pic:cNvPicPr>
                      <a:picLocks noChangeAspect="1"/>
                    </pic:cNvPicPr>
                  </pic:nvPicPr>
                  <pic:blipFill>
                    <a:blip r:embed="rId64"/>
                    <a:stretch>
                      <a:fillRect/>
                    </a:stretch>
                  </pic:blipFill>
                  <pic:spPr>
                    <a:xfrm>
                      <a:off x="0" y="0"/>
                      <a:ext cx="5335918" cy="3484958"/>
                    </a:xfrm>
                    <a:prstGeom prst="rect">
                      <a:avLst/>
                    </a:prstGeom>
                  </pic:spPr>
                </pic:pic>
              </a:graphicData>
            </a:graphic>
          </wp:inline>
        </w:drawing>
      </w:r>
    </w:p>
    <w:p w14:paraId="44A677C9" w14:textId="77777777" w:rsidR="00045709" w:rsidRPr="00632016" w:rsidRDefault="00045709" w:rsidP="00045709">
      <w:pPr>
        <w:spacing w:after="0"/>
        <w:rPr>
          <w:b/>
          <w:noProof/>
          <w:lang w:eastAsia="en-AU"/>
        </w:rPr>
      </w:pPr>
      <w:r w:rsidRPr="00632016">
        <w:rPr>
          <w:b/>
          <w:noProof/>
          <w:lang w:eastAsia="en-AU"/>
        </w:rPr>
        <w:t xml:space="preserve">Figure </w:t>
      </w:r>
      <w:r>
        <w:rPr>
          <w:b/>
          <w:noProof/>
          <w:lang w:eastAsia="en-AU"/>
        </w:rPr>
        <w:t>3</w:t>
      </w:r>
      <w:r w:rsidR="00AF5CAB">
        <w:rPr>
          <w:b/>
          <w:noProof/>
          <w:lang w:eastAsia="en-AU"/>
        </w:rPr>
        <w:t>8</w:t>
      </w:r>
      <w:r w:rsidRPr="00632016">
        <w:rPr>
          <w:b/>
          <w:noProof/>
          <w:lang w:eastAsia="en-AU"/>
        </w:rPr>
        <w:t xml:space="preserve">: </w:t>
      </w:r>
      <w:r>
        <w:rPr>
          <w:b/>
          <w:noProof/>
          <w:lang w:eastAsia="en-AU"/>
        </w:rPr>
        <w:t>Number of offences finalised</w:t>
      </w:r>
    </w:p>
    <w:tbl>
      <w:tblPr>
        <w:tblStyle w:val="TableGrid1"/>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6"/>
        <w:gridCol w:w="7603"/>
      </w:tblGrid>
      <w:tr w:rsidR="00045709" w:rsidRPr="00CA07A0" w14:paraId="696847E3" w14:textId="77777777" w:rsidTr="0078371A">
        <w:trPr>
          <w:trHeight w:val="941"/>
        </w:trPr>
        <w:tc>
          <w:tcPr>
            <w:tcW w:w="856" w:type="dxa"/>
          </w:tcPr>
          <w:p w14:paraId="414E319C" w14:textId="77777777" w:rsidR="00045709" w:rsidRPr="00CA07A0" w:rsidRDefault="00045709" w:rsidP="0078371A">
            <w:pPr>
              <w:rPr>
                <w:rFonts w:eastAsia="Calibri" w:cstheme="minorHAnsi"/>
                <w:noProof/>
                <w:color w:val="44546A" w:themeColor="text2"/>
                <w:sz w:val="30"/>
                <w:szCs w:val="30"/>
                <w:lang w:eastAsia="en-AU"/>
              </w:rPr>
            </w:pPr>
            <w:r w:rsidRPr="00CA07A0">
              <w:rPr>
                <w:rFonts w:eastAsia="Calibri" w:cstheme="minorHAnsi"/>
                <w:noProof/>
                <w:color w:val="44546A" w:themeColor="text2"/>
                <w:sz w:val="30"/>
                <w:szCs w:val="30"/>
                <w:lang w:eastAsia="en-AU"/>
              </w:rPr>
              <mc:AlternateContent>
                <mc:Choice Requires="wpg">
                  <w:drawing>
                    <wp:anchor distT="0" distB="0" distL="114300" distR="114300" simplePos="0" relativeHeight="251713536" behindDoc="0" locked="0" layoutInCell="1" allowOverlap="1" wp14:anchorId="5896A53B" wp14:editId="264DC052">
                      <wp:simplePos x="0" y="0"/>
                      <wp:positionH relativeFrom="column">
                        <wp:posOffset>5436</wp:posOffset>
                      </wp:positionH>
                      <wp:positionV relativeFrom="paragraph">
                        <wp:posOffset>6388</wp:posOffset>
                      </wp:positionV>
                      <wp:extent cx="403794" cy="535932"/>
                      <wp:effectExtent l="19050" t="19050" r="15875" b="17145"/>
                      <wp:wrapNone/>
                      <wp:docPr id="208" name="Group 6"/>
                      <wp:cNvGraphicFramePr/>
                      <a:graphic xmlns:a="http://schemas.openxmlformats.org/drawingml/2006/main">
                        <a:graphicData uri="http://schemas.microsoft.com/office/word/2010/wordprocessingGroup">
                          <wpg:wgp>
                            <wpg:cNvGrpSpPr/>
                            <wpg:grpSpPr>
                              <a:xfrm>
                                <a:off x="0" y="0"/>
                                <a:ext cx="403794" cy="535932"/>
                                <a:chOff x="0" y="0"/>
                                <a:chExt cx="609600" cy="1282700"/>
                              </a:xfrm>
                            </wpg:grpSpPr>
                            <wps:wsp>
                              <wps:cNvPr id="209" name="Rectangle 209"/>
                              <wps:cNvSpPr/>
                              <wps:spPr>
                                <a:xfrm>
                                  <a:off x="0" y="0"/>
                                  <a:ext cx="609600" cy="1282700"/>
                                </a:xfrm>
                                <a:prstGeom prst="rect">
                                  <a:avLst/>
                                </a:prstGeom>
                                <a:solidFill>
                                  <a:sysClr val="window" lastClr="FFFFFF"/>
                                </a:solidFill>
                                <a:ln w="38100" cap="flat" cmpd="sng" algn="ctr">
                                  <a:solidFill>
                                    <a:srgbClr val="4472C4">
                                      <a:shade val="50000"/>
                                    </a:srgbClr>
                                  </a:solidFill>
                                  <a:prstDash val="solid"/>
                                  <a:miter lim="800000"/>
                                </a:ln>
                                <a:effectLst/>
                              </wps:spPr>
                              <wps:bodyPr rtlCol="0" anchor="ctr"/>
                            </wps:wsp>
                            <wps:wsp>
                              <wps:cNvPr id="210" name="Oval 210"/>
                              <wps:cNvSpPr/>
                              <wps:spPr>
                                <a:xfrm>
                                  <a:off x="127000" y="101600"/>
                                  <a:ext cx="342900" cy="317500"/>
                                </a:xfrm>
                                <a:prstGeom prst="ellipse">
                                  <a:avLst/>
                                </a:prstGeom>
                                <a:solidFill>
                                  <a:sysClr val="window" lastClr="FFFFFF"/>
                                </a:solidFill>
                                <a:ln w="12700" cap="flat" cmpd="sng" algn="ctr">
                                  <a:solidFill>
                                    <a:srgbClr val="4472C4">
                                      <a:shade val="50000"/>
                                    </a:srgbClr>
                                  </a:solidFill>
                                  <a:prstDash val="solid"/>
                                  <a:miter lim="800000"/>
                                </a:ln>
                                <a:effectLst/>
                              </wps:spPr>
                              <wps:bodyPr rtlCol="0" anchor="ctr"/>
                            </wps:wsp>
                            <wps:wsp>
                              <wps:cNvPr id="211" name="Oval 211"/>
                              <wps:cNvSpPr/>
                              <wps:spPr>
                                <a:xfrm>
                                  <a:off x="127000" y="495300"/>
                                  <a:ext cx="342900" cy="317500"/>
                                </a:xfrm>
                                <a:prstGeom prst="ellipse">
                                  <a:avLst/>
                                </a:prstGeom>
                                <a:solidFill>
                                  <a:sysClr val="window" lastClr="FFFFFF"/>
                                </a:solidFill>
                                <a:ln w="12700" cap="flat" cmpd="sng" algn="ctr">
                                  <a:solidFill>
                                    <a:srgbClr val="4472C4">
                                      <a:shade val="50000"/>
                                    </a:srgbClr>
                                  </a:solidFill>
                                  <a:prstDash val="solid"/>
                                  <a:miter lim="800000"/>
                                </a:ln>
                                <a:effectLst/>
                              </wps:spPr>
                              <wps:bodyPr rtlCol="0" anchor="ctr"/>
                            </wps:wsp>
                            <wps:wsp>
                              <wps:cNvPr id="212" name="Oval 212"/>
                              <wps:cNvSpPr/>
                              <wps:spPr>
                                <a:xfrm>
                                  <a:off x="127000" y="889000"/>
                                  <a:ext cx="342900" cy="317500"/>
                                </a:xfrm>
                                <a:prstGeom prst="ellipse">
                                  <a:avLst/>
                                </a:prstGeom>
                                <a:solidFill>
                                  <a:srgbClr val="00B050"/>
                                </a:solidFill>
                                <a:ln w="12700" cap="flat" cmpd="sng" algn="ctr">
                                  <a:solidFill>
                                    <a:srgbClr val="4472C4">
                                      <a:shade val="50000"/>
                                    </a:srgbClr>
                                  </a:solidFill>
                                  <a:prstDash val="solid"/>
                                  <a:miter lim="800000"/>
                                </a:ln>
                                <a:effectLst/>
                              </wps:spPr>
                              <wps:bodyPr rtlCol="0" anchor="ct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3C572F0" id="Group 6" o:spid="_x0000_s1026" style="position:absolute;margin-left:.45pt;margin-top:.5pt;width:31.8pt;height:42.2pt;z-index:251713536;mso-width-relative:margin;mso-height-relative:margin" coordsize="6096,12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">
                      <v:rect id="Rectangle 209" o:spid="_x0000_s1027" style="position:absolute;width:6096;height:12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" fillcolor="window" strokecolor="#2f528f" strokeweight="3pt"/>
                      <v:oval id="Oval 210" o:spid="_x0000_s1028" style="position:absolute;left:1270;top:1016;width:342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" fillcolor="window" strokecolor="#2f528f" strokeweight="1pt">
                        <v:stroke joinstyle="miter"/>
                      </v:oval>
                      <v:oval id="Oval 211" o:spid="_x0000_s1029" style="position:absolute;left:1270;top:4953;width:342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" fillcolor="window" strokecolor="#2f528f" strokeweight="1pt">
                        <v:stroke joinstyle="miter"/>
                      </v:oval>
                      <v:oval id="Oval 212" o:spid="_x0000_s1030" style="position:absolute;left:1270;top:8890;width:342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" fillcolor="#00b050" strokecolor="#2f528f" strokeweight="1pt">
                        <v:stroke joinstyle="miter"/>
                      </v:oval>
                    </v:group>
                  </w:pict>
                </mc:Fallback>
              </mc:AlternateContent>
            </w:r>
          </w:p>
        </w:tc>
        <w:tc>
          <w:tcPr>
            <w:tcW w:w="7603" w:type="dxa"/>
          </w:tcPr>
          <w:p w14:paraId="6FD21479" w14:textId="77777777" w:rsidR="00045709" w:rsidRPr="00CA07A0" w:rsidRDefault="00045709" w:rsidP="0078371A">
            <w:pPr>
              <w:spacing w:before="200"/>
              <w:rPr>
                <w:noProof/>
                <w:lang w:val="en-US" w:eastAsia="en-AU"/>
              </w:rPr>
            </w:pPr>
            <w:r w:rsidRPr="00045709">
              <w:rPr>
                <w:noProof/>
                <w:lang w:val="en-US" w:eastAsia="en-AU"/>
              </w:rPr>
              <w:t>Growth in Family Protection offences being finalized at Court</w:t>
            </w:r>
          </w:p>
        </w:tc>
      </w:tr>
    </w:tbl>
    <w:p w14:paraId="609AB8E3" w14:textId="77777777" w:rsidR="00045709" w:rsidRDefault="00045709" w:rsidP="00661EA0">
      <w:pPr>
        <w:rPr>
          <w:lang w:val="en-US" w:eastAsia="en-AU"/>
        </w:rPr>
        <w:sectPr w:rsidR="00045709">
          <w:pgSz w:w="11906" w:h="16838"/>
          <w:pgMar w:top="1440" w:right="1440" w:bottom="1440" w:left="1440" w:header="708" w:footer="708" w:gutter="0"/>
          <w:cols w:space="708"/>
          <w:docGrid w:linePitch="360"/>
        </w:sectPr>
      </w:pPr>
      <w:r w:rsidRPr="00045709">
        <w:rPr>
          <w:noProof/>
          <w:lang w:eastAsia="en-AU"/>
        </w:rPr>
        <w:drawing>
          <wp:inline distT="0" distB="0" distL="0" distR="0" wp14:anchorId="0FD7D53F" wp14:editId="661C81FD">
            <wp:extent cx="5568169" cy="3256444"/>
            <wp:effectExtent l="0" t="0" r="0" b="1270"/>
            <wp:docPr id="207" name="Picture 1">
              <a:extLst xmlns:a="http://schemas.openxmlformats.org/drawingml/2006/main">
                <a:ext uri="{FF2B5EF4-FFF2-40B4-BE49-F238E27FC236}">
                  <a16:creationId xmlns:a16="http://schemas.microsoft.com/office/drawing/2014/main" id="{FE428645-C147-6E45-AEC7-3551BED6C5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E428645-C147-6E45-AEC7-3551BED6C53C}"/>
                        </a:ext>
                      </a:extLst>
                    </pic:cNvPr>
                    <pic:cNvPicPr>
                      <a:picLocks noChangeAspect="1"/>
                    </pic:cNvPicPr>
                  </pic:nvPicPr>
                  <pic:blipFill>
                    <a:blip r:embed="rId65"/>
                    <a:stretch>
                      <a:fillRect/>
                    </a:stretch>
                  </pic:blipFill>
                  <pic:spPr>
                    <a:xfrm>
                      <a:off x="0" y="0"/>
                      <a:ext cx="5576275" cy="3261184"/>
                    </a:xfrm>
                    <a:prstGeom prst="rect">
                      <a:avLst/>
                    </a:prstGeom>
                  </pic:spPr>
                </pic:pic>
              </a:graphicData>
            </a:graphic>
          </wp:inline>
        </w:drawing>
      </w:r>
    </w:p>
    <w:p w14:paraId="2AB3CC1C" w14:textId="77777777" w:rsidR="00BF3D31" w:rsidRPr="00CA07A0" w:rsidRDefault="00BF3D31" w:rsidP="00E27061">
      <w:pPr>
        <w:numPr>
          <w:ilvl w:val="1"/>
          <w:numId w:val="8"/>
        </w:numPr>
        <w:spacing w:before="200" w:line="240" w:lineRule="auto"/>
        <w:outlineLvl w:val="1"/>
        <w:rPr>
          <w:rFonts w:eastAsia="Calibri" w:cstheme="minorHAnsi"/>
          <w:b/>
          <w:noProof/>
          <w:color w:val="44546A" w:themeColor="text2"/>
          <w:sz w:val="30"/>
          <w:szCs w:val="30"/>
          <w:lang w:eastAsia="en-AU"/>
        </w:rPr>
      </w:pPr>
      <w:bookmarkStart w:id="61" w:name="_Toc25591529"/>
      <w:r>
        <w:rPr>
          <w:rFonts w:eastAsia="Calibri" w:cstheme="minorHAnsi"/>
          <w:b/>
          <w:noProof/>
          <w:color w:val="44546A" w:themeColor="text2"/>
          <w:sz w:val="30"/>
          <w:szCs w:val="30"/>
          <w:lang w:eastAsia="en-AU"/>
        </w:rPr>
        <w:t>Detailed Cost and effectiveness analysis</w:t>
      </w:r>
      <w:bookmarkEnd w:id="61"/>
    </w:p>
    <w:p w14:paraId="4EAA1A60" w14:textId="77777777" w:rsidR="00E27061" w:rsidRDefault="00E27061" w:rsidP="00661EA0">
      <w:pPr>
        <w:rPr>
          <w:b/>
          <w:bCs/>
          <w:lang w:val="en-US" w:eastAsia="en-AU"/>
        </w:rPr>
        <w:sectPr w:rsidR="00E27061" w:rsidSect="00E27061">
          <w:pgSz w:w="16838" w:h="11906" w:orient="landscape"/>
          <w:pgMar w:top="1440" w:right="1440" w:bottom="1440" w:left="1440" w:header="708" w:footer="708" w:gutter="0"/>
          <w:cols w:space="708"/>
          <w:docGrid w:linePitch="360"/>
        </w:sectPr>
      </w:pPr>
      <w:r w:rsidRPr="00E27061">
        <w:rPr>
          <w:noProof/>
          <w:lang w:eastAsia="en-AU"/>
        </w:rPr>
        <w:drawing>
          <wp:inline distT="0" distB="0" distL="0" distR="0" wp14:anchorId="6EB3B846" wp14:editId="7FB14ECF">
            <wp:extent cx="6905625" cy="5286375"/>
            <wp:effectExtent l="0" t="0" r="9525" b="95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905625" cy="5286375"/>
                    </a:xfrm>
                    <a:prstGeom prst="rect">
                      <a:avLst/>
                    </a:prstGeom>
                    <a:noFill/>
                    <a:ln>
                      <a:noFill/>
                    </a:ln>
                  </pic:spPr>
                </pic:pic>
              </a:graphicData>
            </a:graphic>
          </wp:inline>
        </w:drawing>
      </w:r>
    </w:p>
    <w:p w14:paraId="6EC2A44C" w14:textId="77777777" w:rsidR="00E27061" w:rsidRDefault="00E27061" w:rsidP="00661EA0">
      <w:pPr>
        <w:rPr>
          <w:b/>
          <w:bCs/>
          <w:lang w:val="en-US" w:eastAsia="en-AU"/>
        </w:rPr>
      </w:pPr>
    </w:p>
    <w:p w14:paraId="3C25E621" w14:textId="77777777" w:rsidR="00E27061" w:rsidRDefault="00E27061" w:rsidP="00661EA0">
      <w:pPr>
        <w:rPr>
          <w:b/>
          <w:bCs/>
          <w:lang w:val="en-US" w:eastAsia="en-AU"/>
        </w:rPr>
        <w:sectPr w:rsidR="00E27061" w:rsidSect="00E27061">
          <w:pgSz w:w="11906" w:h="16838"/>
          <w:pgMar w:top="1440" w:right="1440" w:bottom="1440" w:left="1440" w:header="708" w:footer="708" w:gutter="0"/>
          <w:cols w:space="708"/>
          <w:docGrid w:linePitch="360"/>
        </w:sectPr>
      </w:pPr>
      <w:r w:rsidRPr="00E27061">
        <w:rPr>
          <w:noProof/>
          <w:lang w:eastAsia="en-AU"/>
        </w:rPr>
        <w:drawing>
          <wp:inline distT="0" distB="0" distL="0" distR="0" wp14:anchorId="5029654B" wp14:editId="5F1FBF18">
            <wp:extent cx="5855666" cy="8315325"/>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862792" cy="8325445"/>
                    </a:xfrm>
                    <a:prstGeom prst="rect">
                      <a:avLst/>
                    </a:prstGeom>
                    <a:noFill/>
                    <a:ln>
                      <a:noFill/>
                    </a:ln>
                  </pic:spPr>
                </pic:pic>
              </a:graphicData>
            </a:graphic>
          </wp:inline>
        </w:drawing>
      </w:r>
    </w:p>
    <w:p w14:paraId="14FA56D5" w14:textId="77777777" w:rsidR="00F63902" w:rsidRPr="00CA07A0" w:rsidRDefault="00F63902" w:rsidP="004E7C9F">
      <w:pPr>
        <w:numPr>
          <w:ilvl w:val="1"/>
          <w:numId w:val="8"/>
        </w:numPr>
        <w:spacing w:before="200" w:line="240" w:lineRule="auto"/>
        <w:outlineLvl w:val="1"/>
        <w:rPr>
          <w:rFonts w:eastAsia="Calibri" w:cstheme="minorHAnsi"/>
          <w:b/>
          <w:noProof/>
          <w:color w:val="44546A" w:themeColor="text2"/>
          <w:sz w:val="30"/>
          <w:szCs w:val="30"/>
          <w:lang w:eastAsia="en-AU"/>
        </w:rPr>
      </w:pPr>
      <w:bookmarkStart w:id="62" w:name="_Toc25591530"/>
      <w:r>
        <w:rPr>
          <w:rFonts w:eastAsia="Calibri" w:cstheme="minorHAnsi"/>
          <w:b/>
          <w:noProof/>
          <w:color w:val="44546A" w:themeColor="text2"/>
          <w:sz w:val="30"/>
          <w:szCs w:val="30"/>
          <w:lang w:eastAsia="en-AU"/>
        </w:rPr>
        <w:t>Evaluation methodology</w:t>
      </w:r>
      <w:bookmarkEnd w:id="62"/>
    </w:p>
    <w:p w14:paraId="62E1F0DC" w14:textId="77777777" w:rsidR="00393F6C" w:rsidRPr="00393F6C" w:rsidRDefault="00393F6C" w:rsidP="008A3A0D">
      <w:pPr>
        <w:tabs>
          <w:tab w:val="num" w:pos="360"/>
        </w:tabs>
        <w:spacing w:after="360" w:line="240" w:lineRule="auto"/>
        <w:ind w:left="360" w:hanging="360"/>
        <w:contextualSpacing/>
        <w:rPr>
          <w:rFonts w:ascii="Calibri" w:eastAsia="Calibri" w:hAnsi="Calibri" w:cs="Times New Roman"/>
        </w:rPr>
      </w:pPr>
      <w:r w:rsidRPr="00393F6C">
        <w:rPr>
          <w:rFonts w:ascii="Calibri" w:eastAsia="Calibri" w:hAnsi="Calibri" w:cs="Times New Roman"/>
        </w:rPr>
        <w:t>This section provides further detail on the evaluation methodology including:</w:t>
      </w:r>
    </w:p>
    <w:p w14:paraId="10E20CB4" w14:textId="77777777" w:rsidR="00393F6C" w:rsidRPr="00393F6C" w:rsidRDefault="00393F6C" w:rsidP="004E7C9F">
      <w:pPr>
        <w:numPr>
          <w:ilvl w:val="0"/>
          <w:numId w:val="4"/>
        </w:numPr>
        <w:spacing w:after="0" w:line="240" w:lineRule="auto"/>
        <w:ind w:left="426" w:right="-330" w:hanging="426"/>
        <w:contextualSpacing/>
        <w:jc w:val="both"/>
        <w:rPr>
          <w:rFonts w:eastAsia="Times New Roman" w:cstheme="minorHAnsi"/>
          <w:lang w:eastAsia="en-AU"/>
        </w:rPr>
      </w:pPr>
      <w:r w:rsidRPr="00393F6C">
        <w:rPr>
          <w:rFonts w:eastAsia="Times New Roman" w:cstheme="minorHAnsi"/>
          <w:lang w:eastAsia="en-AU"/>
        </w:rPr>
        <w:t>List of key evaluation questions and sub questions</w:t>
      </w:r>
    </w:p>
    <w:p w14:paraId="4B0E14A1" w14:textId="77777777" w:rsidR="00393F6C" w:rsidRPr="00393F6C" w:rsidRDefault="00393F6C" w:rsidP="004E7C9F">
      <w:pPr>
        <w:numPr>
          <w:ilvl w:val="0"/>
          <w:numId w:val="4"/>
        </w:numPr>
        <w:spacing w:after="0" w:line="240" w:lineRule="auto"/>
        <w:ind w:left="426" w:right="-330" w:hanging="426"/>
        <w:contextualSpacing/>
        <w:jc w:val="both"/>
        <w:rPr>
          <w:rFonts w:eastAsia="Times New Roman" w:cstheme="minorHAnsi"/>
          <w:lang w:eastAsia="en-AU"/>
        </w:rPr>
      </w:pPr>
      <w:r w:rsidRPr="00393F6C">
        <w:rPr>
          <w:rFonts w:eastAsia="Times New Roman" w:cstheme="minorHAnsi"/>
          <w:lang w:eastAsia="en-AU"/>
        </w:rPr>
        <w:t>More detail on the frameworks and methods used to support data collection and analysis</w:t>
      </w:r>
    </w:p>
    <w:p w14:paraId="763A4A03" w14:textId="77777777" w:rsidR="00393F6C" w:rsidRPr="00393F6C" w:rsidRDefault="00C93CAC" w:rsidP="004E7C9F">
      <w:pPr>
        <w:numPr>
          <w:ilvl w:val="0"/>
          <w:numId w:val="4"/>
        </w:numPr>
        <w:spacing w:after="0" w:line="240" w:lineRule="auto"/>
        <w:ind w:left="426" w:right="-330" w:hanging="426"/>
        <w:contextualSpacing/>
        <w:jc w:val="both"/>
        <w:rPr>
          <w:rFonts w:eastAsia="Times New Roman" w:cstheme="minorHAnsi"/>
          <w:lang w:eastAsia="en-AU"/>
        </w:rPr>
      </w:pPr>
      <w:r>
        <w:rPr>
          <w:rFonts w:eastAsia="Times New Roman" w:cstheme="minorHAnsi"/>
          <w:lang w:eastAsia="en-AU"/>
        </w:rPr>
        <w:t>List</w:t>
      </w:r>
      <w:r w:rsidR="00393F6C" w:rsidRPr="00393F6C">
        <w:rPr>
          <w:rFonts w:eastAsia="Times New Roman" w:cstheme="minorHAnsi"/>
          <w:lang w:eastAsia="en-AU"/>
        </w:rPr>
        <w:t xml:space="preserve"> of stakeholders consulted</w:t>
      </w:r>
    </w:p>
    <w:p w14:paraId="35365A03" w14:textId="77777777" w:rsidR="00393F6C" w:rsidRPr="00393F6C" w:rsidRDefault="00393F6C" w:rsidP="004E7C9F">
      <w:pPr>
        <w:numPr>
          <w:ilvl w:val="0"/>
          <w:numId w:val="4"/>
        </w:numPr>
        <w:spacing w:after="0" w:line="240" w:lineRule="auto"/>
        <w:ind w:left="426" w:right="-330" w:hanging="426"/>
        <w:contextualSpacing/>
        <w:jc w:val="both"/>
        <w:rPr>
          <w:rFonts w:eastAsia="Times New Roman" w:cstheme="minorHAnsi"/>
          <w:lang w:eastAsia="en-AU"/>
        </w:rPr>
      </w:pPr>
      <w:r w:rsidRPr="00393F6C">
        <w:rPr>
          <w:rFonts w:eastAsia="Times New Roman" w:cstheme="minorHAnsi"/>
          <w:lang w:eastAsia="en-AU"/>
        </w:rPr>
        <w:t>Limitations</w:t>
      </w:r>
    </w:p>
    <w:p w14:paraId="012807ED" w14:textId="77777777" w:rsidR="00393F6C" w:rsidRPr="00393F6C" w:rsidRDefault="00393F6C" w:rsidP="008A3A0D">
      <w:pPr>
        <w:tabs>
          <w:tab w:val="left" w:pos="851"/>
        </w:tabs>
        <w:spacing w:after="0" w:line="240" w:lineRule="auto"/>
        <w:ind w:right="-46"/>
        <w:jc w:val="both"/>
        <w:rPr>
          <w:rFonts w:ascii="Calibri" w:eastAsia="Calibri" w:hAnsi="Calibri" w:cs="Times New Roman"/>
        </w:rPr>
      </w:pPr>
    </w:p>
    <w:p w14:paraId="77C4B29C" w14:textId="77777777" w:rsidR="00393F6C" w:rsidRPr="00393F6C" w:rsidRDefault="00393F6C" w:rsidP="008A3A0D">
      <w:pPr>
        <w:tabs>
          <w:tab w:val="left" w:pos="851"/>
        </w:tabs>
        <w:spacing w:after="0" w:line="240" w:lineRule="auto"/>
        <w:ind w:right="-46"/>
        <w:jc w:val="both"/>
        <w:rPr>
          <w:rFonts w:eastAsia="Times New Roman" w:cstheme="minorHAnsi"/>
          <w:b/>
          <w:bCs/>
          <w:sz w:val="24"/>
          <w:szCs w:val="24"/>
          <w:lang w:eastAsia="en-AU"/>
        </w:rPr>
      </w:pPr>
      <w:r w:rsidRPr="00393F6C">
        <w:rPr>
          <w:rFonts w:eastAsia="Times New Roman" w:cstheme="minorHAnsi"/>
          <w:b/>
          <w:bCs/>
          <w:color w:val="44546A" w:themeColor="text2"/>
          <w:sz w:val="24"/>
          <w:szCs w:val="24"/>
          <w:lang w:eastAsia="en-AU"/>
        </w:rPr>
        <w:t>Evaluation questions and sub-questions</w:t>
      </w:r>
    </w:p>
    <w:p w14:paraId="50050E9F" w14:textId="77777777" w:rsidR="00393F6C" w:rsidRDefault="00393F6C" w:rsidP="008A3A0D">
      <w:pPr>
        <w:spacing w:after="120" w:line="240" w:lineRule="auto"/>
        <w:jc w:val="both"/>
        <w:rPr>
          <w:rFonts w:ascii="Calibri" w:eastAsia="Calibri" w:hAnsi="Calibri" w:cs="Arial"/>
          <w:bCs/>
          <w:szCs w:val="20"/>
        </w:rPr>
      </w:pPr>
      <w:r w:rsidRPr="00393F6C">
        <w:rPr>
          <w:rFonts w:ascii="Calibri" w:eastAsia="Calibri" w:hAnsi="Calibri" w:cs="Arial"/>
          <w:bCs/>
          <w:szCs w:val="20"/>
        </w:rPr>
        <w:t xml:space="preserve">The </w:t>
      </w:r>
      <w:r w:rsidR="00A80068">
        <w:rPr>
          <w:rFonts w:ascii="Calibri" w:eastAsia="Calibri" w:hAnsi="Calibri" w:cs="Arial"/>
          <w:bCs/>
          <w:szCs w:val="20"/>
        </w:rPr>
        <w:t>e</w:t>
      </w:r>
      <w:r w:rsidRPr="00393F6C">
        <w:rPr>
          <w:rFonts w:ascii="Calibri" w:eastAsia="Calibri" w:hAnsi="Calibri" w:cs="Arial"/>
          <w:bCs/>
          <w:szCs w:val="20"/>
        </w:rPr>
        <w:t>valuation terms of reference drafted by DFAT and the AFP provided three key evaluation questions, and a set of guiding questions. Th</w:t>
      </w:r>
      <w:r w:rsidR="007E61F8">
        <w:rPr>
          <w:rFonts w:ascii="Calibri" w:eastAsia="Calibri" w:hAnsi="Calibri" w:cs="Arial"/>
          <w:bCs/>
          <w:szCs w:val="20"/>
        </w:rPr>
        <w:t xml:space="preserve">ese </w:t>
      </w:r>
      <w:r w:rsidRPr="00393F6C">
        <w:rPr>
          <w:rFonts w:ascii="Calibri" w:eastAsia="Calibri" w:hAnsi="Calibri" w:cs="Arial"/>
          <w:bCs/>
          <w:szCs w:val="20"/>
        </w:rPr>
        <w:t xml:space="preserve">were subsequently </w:t>
      </w:r>
      <w:r w:rsidR="007E61F8">
        <w:rPr>
          <w:rFonts w:ascii="Calibri" w:eastAsia="Calibri" w:hAnsi="Calibri" w:cs="Arial"/>
          <w:bCs/>
          <w:szCs w:val="20"/>
        </w:rPr>
        <w:t>reviewed</w:t>
      </w:r>
      <w:r w:rsidRPr="00393F6C">
        <w:rPr>
          <w:rFonts w:ascii="Calibri" w:eastAsia="Calibri" w:hAnsi="Calibri" w:cs="Arial"/>
          <w:bCs/>
          <w:szCs w:val="20"/>
        </w:rPr>
        <w:t xml:space="preserve"> and refined by the evaluators in evaluation planning</w:t>
      </w:r>
      <w:r w:rsidR="00A80068">
        <w:rPr>
          <w:rFonts w:ascii="Calibri" w:eastAsia="Calibri" w:hAnsi="Calibri" w:cs="Arial"/>
          <w:bCs/>
          <w:szCs w:val="20"/>
        </w:rPr>
        <w:t xml:space="preserve">, and re-framed as four Key Evaluation Questions with guiding questions for investigation. </w:t>
      </w:r>
      <w:r w:rsidRPr="00393F6C">
        <w:rPr>
          <w:rFonts w:ascii="Calibri" w:eastAsia="Calibri" w:hAnsi="Calibri" w:cs="Arial"/>
          <w:bCs/>
          <w:szCs w:val="20"/>
        </w:rPr>
        <w:t>While the evaluation findings are not structured against these evaluation questions</w:t>
      </w:r>
      <w:r w:rsidR="00A80068">
        <w:rPr>
          <w:rFonts w:ascii="Calibri" w:eastAsia="Calibri" w:hAnsi="Calibri" w:cs="Arial"/>
          <w:bCs/>
          <w:szCs w:val="20"/>
        </w:rPr>
        <w:t xml:space="preserve"> (KEQs)</w:t>
      </w:r>
      <w:r w:rsidRPr="00393F6C">
        <w:rPr>
          <w:rFonts w:ascii="Calibri" w:eastAsia="Calibri" w:hAnsi="Calibri" w:cs="Arial"/>
          <w:bCs/>
          <w:szCs w:val="20"/>
        </w:rPr>
        <w:t xml:space="preserve"> in the evaluation report, care has been taken to ensure each key question has been comprehensively addressed. </w:t>
      </w:r>
      <w:r w:rsidR="00A80068">
        <w:rPr>
          <w:rFonts w:ascii="Calibri" w:eastAsia="Calibri" w:hAnsi="Calibri" w:cs="Arial"/>
          <w:bCs/>
          <w:szCs w:val="20"/>
        </w:rPr>
        <w:t xml:space="preserve">  The change in KEQs reflects a formative evaluation approach, rather than a summative approach of the original KEQs, in order to match the methodology used, related to the timing of the evaluation (</w:t>
      </w:r>
      <w:proofErr w:type="spellStart"/>
      <w:r w:rsidR="00A80068">
        <w:rPr>
          <w:rFonts w:ascii="Calibri" w:eastAsia="Calibri" w:hAnsi="Calibri" w:cs="Arial"/>
          <w:bCs/>
          <w:szCs w:val="20"/>
        </w:rPr>
        <w:t>mid point</w:t>
      </w:r>
      <w:proofErr w:type="spellEnd"/>
      <w:r w:rsidR="00A80068">
        <w:rPr>
          <w:rFonts w:ascii="Calibri" w:eastAsia="Calibri" w:hAnsi="Calibri" w:cs="Arial"/>
          <w:bCs/>
          <w:szCs w:val="20"/>
        </w:rPr>
        <w:t xml:space="preserve"> not end of program), the data available (no formal baseline data against EOPOs and IOs)</w:t>
      </w:r>
      <w:r w:rsidR="007E61F8">
        <w:rPr>
          <w:rFonts w:ascii="Calibri" w:eastAsia="Calibri" w:hAnsi="Calibri" w:cs="Arial"/>
          <w:bCs/>
          <w:szCs w:val="20"/>
        </w:rPr>
        <w:t>, and the adaptive nature of the program delivery arrangements (flexible annual budget and prioritisation).  The KEQs are intentionally asked in an open ended manner (rather than a closed manner) to be able to analyse a broader range of data and information in the changing context.  In order to address standard DFAT Annual Quality Check criterion, a separate assessment of effectiveness and efficiency against the original KEQs was provided to DFAT by the evaluation team.</w:t>
      </w:r>
    </w:p>
    <w:p w14:paraId="6D0ECA31" w14:textId="77777777" w:rsidR="00A80068" w:rsidRDefault="00A80068" w:rsidP="008A3A0D">
      <w:pPr>
        <w:spacing w:after="120" w:line="240" w:lineRule="auto"/>
        <w:jc w:val="both"/>
        <w:rPr>
          <w:rFonts w:ascii="Calibri" w:eastAsia="Calibri" w:hAnsi="Calibri" w:cs="Arial"/>
          <w:bCs/>
          <w:szCs w:val="20"/>
        </w:rPr>
      </w:pPr>
    </w:p>
    <w:p w14:paraId="6B6FB13C" w14:textId="77777777" w:rsidR="00A80068" w:rsidRPr="00CC7A9A" w:rsidRDefault="00A80068" w:rsidP="00A80068">
      <w:pPr>
        <w:spacing w:after="120"/>
        <w:rPr>
          <w:b/>
        </w:rPr>
      </w:pPr>
      <w:r w:rsidRPr="00CC7A9A">
        <w:rPr>
          <w:b/>
        </w:rPr>
        <w:t>Q 1: To what extent has VAPJP generated outcomes that are significant and relevant to the needs and priorities of Vanuatu stakeholders (government, institution and community)?</w:t>
      </w:r>
    </w:p>
    <w:p w14:paraId="36EF3951" w14:textId="77777777" w:rsidR="00A80068" w:rsidRPr="00CC7A9A" w:rsidRDefault="00A80068" w:rsidP="00A80068">
      <w:pPr>
        <w:rPr>
          <w:i/>
        </w:rPr>
      </w:pPr>
      <w:bookmarkStart w:id="63" w:name="_Hlk491945579"/>
      <w:r w:rsidRPr="00CC7A9A">
        <w:rPr>
          <w:i/>
        </w:rPr>
        <w:t>Sub-evaluation questions:</w:t>
      </w:r>
    </w:p>
    <w:p w14:paraId="1276AF45" w14:textId="77777777" w:rsidR="00A80068" w:rsidRPr="00CC7A9A" w:rsidRDefault="00A80068" w:rsidP="00A80068">
      <w:pPr>
        <w:numPr>
          <w:ilvl w:val="1"/>
          <w:numId w:val="58"/>
        </w:numPr>
        <w:spacing w:after="40" w:line="240" w:lineRule="auto"/>
        <w:ind w:left="357" w:hanging="357"/>
        <w:rPr>
          <w:rFonts w:eastAsiaTheme="minorEastAsia" w:cs="Times New Roman"/>
        </w:rPr>
      </w:pPr>
      <w:bookmarkStart w:id="64" w:name="_Hlk534303524"/>
      <w:bookmarkEnd w:id="63"/>
      <w:r w:rsidRPr="00CC7A9A">
        <w:rPr>
          <w:rFonts w:eastAsiaTheme="minorEastAsia" w:cs="Times New Roman"/>
        </w:rPr>
        <w:t>What has changed in the policing and security political economy and operating environment in Vanuatu, and to what extent has VAPJP contributed to these changes?</w:t>
      </w:r>
    </w:p>
    <w:p w14:paraId="6E2EB18C" w14:textId="77777777" w:rsidR="00A80068" w:rsidRPr="00CC7A9A" w:rsidRDefault="00A80068" w:rsidP="00A80068">
      <w:pPr>
        <w:numPr>
          <w:ilvl w:val="1"/>
          <w:numId w:val="58"/>
        </w:numPr>
        <w:spacing w:after="40" w:line="240" w:lineRule="auto"/>
        <w:ind w:left="357" w:hanging="357"/>
        <w:rPr>
          <w:rFonts w:eastAsiaTheme="minorEastAsia" w:cs="Times New Roman"/>
        </w:rPr>
      </w:pPr>
      <w:r w:rsidRPr="00CC7A9A">
        <w:rPr>
          <w:rFonts w:eastAsiaTheme="minorEastAsia" w:cs="Times New Roman"/>
        </w:rPr>
        <w:t xml:space="preserve">To what extent </w:t>
      </w:r>
      <w:r>
        <w:rPr>
          <w:rFonts w:eastAsiaTheme="minorEastAsia" w:cs="Times New Roman"/>
        </w:rPr>
        <w:t>is</w:t>
      </w:r>
      <w:r w:rsidRPr="00CC7A9A">
        <w:rPr>
          <w:rFonts w:eastAsiaTheme="minorEastAsia" w:cs="Times New Roman"/>
        </w:rPr>
        <w:t xml:space="preserve"> the program </w:t>
      </w:r>
      <w:r>
        <w:rPr>
          <w:rFonts w:eastAsiaTheme="minorEastAsia" w:cs="Times New Roman"/>
        </w:rPr>
        <w:t>progressing towards</w:t>
      </w:r>
      <w:r w:rsidRPr="00CC7A9A">
        <w:rPr>
          <w:rFonts w:eastAsiaTheme="minorEastAsia" w:cs="Times New Roman"/>
        </w:rPr>
        <w:t xml:space="preserve"> its end of program outcomes (</w:t>
      </w:r>
      <w:r>
        <w:rPr>
          <w:rFonts w:eastAsiaTheme="minorEastAsia" w:cs="Times New Roman"/>
        </w:rPr>
        <w:t xml:space="preserve">including changes related to </w:t>
      </w:r>
      <w:r w:rsidRPr="00CC7A9A">
        <w:rPr>
          <w:rFonts w:eastAsiaTheme="minorEastAsia" w:cs="Times New Roman"/>
        </w:rPr>
        <w:t xml:space="preserve">improved individual or institutional </w:t>
      </w:r>
      <w:r>
        <w:rPr>
          <w:rFonts w:eastAsiaTheme="minorEastAsia" w:cs="Times New Roman"/>
        </w:rPr>
        <w:t xml:space="preserve">capacity, </w:t>
      </w:r>
      <w:r w:rsidRPr="00CC7A9A">
        <w:rPr>
          <w:rFonts w:eastAsiaTheme="minorEastAsia" w:cs="Times New Roman"/>
        </w:rPr>
        <w:t>behaviour change, and improved quality of and access to services including for women, children and youth), how significant are these changes</w:t>
      </w:r>
      <w:r>
        <w:rPr>
          <w:rFonts w:eastAsiaTheme="minorEastAsia" w:cs="Times New Roman"/>
        </w:rPr>
        <w:t>?</w:t>
      </w:r>
    </w:p>
    <w:p w14:paraId="105E2CA4" w14:textId="77777777" w:rsidR="00A80068" w:rsidRPr="00CC7A9A" w:rsidRDefault="00A80068" w:rsidP="00A80068">
      <w:pPr>
        <w:numPr>
          <w:ilvl w:val="1"/>
          <w:numId w:val="58"/>
        </w:numPr>
        <w:spacing w:after="40" w:line="240" w:lineRule="auto"/>
        <w:ind w:left="357" w:hanging="357"/>
        <w:rPr>
          <w:rFonts w:eastAsiaTheme="minorEastAsia" w:cs="Times New Roman"/>
        </w:rPr>
      </w:pPr>
      <w:r w:rsidRPr="00CC7A9A">
        <w:rPr>
          <w:rFonts w:eastAsiaTheme="minorEastAsia" w:cs="Times New Roman"/>
        </w:rPr>
        <w:t>What has been Australia’s comparative advantage and value add, and has it been fully leveraged through the program?</w:t>
      </w:r>
    </w:p>
    <w:p w14:paraId="07E34EE5" w14:textId="77777777" w:rsidR="00A80068" w:rsidRPr="00CC7A9A" w:rsidRDefault="00A80068" w:rsidP="00A80068">
      <w:pPr>
        <w:tabs>
          <w:tab w:val="left" w:pos="567"/>
        </w:tabs>
        <w:suppressAutoHyphens/>
        <w:contextualSpacing/>
        <w:rPr>
          <w:bCs/>
          <w:lang w:val="en-GB"/>
        </w:rPr>
      </w:pPr>
    </w:p>
    <w:p w14:paraId="36566D53" w14:textId="77777777" w:rsidR="00A80068" w:rsidRPr="00CC7A9A" w:rsidRDefault="00A80068" w:rsidP="00A80068">
      <w:pPr>
        <w:spacing w:after="120"/>
        <w:rPr>
          <w:b/>
        </w:rPr>
      </w:pPr>
      <w:r w:rsidRPr="00CC7A9A">
        <w:rPr>
          <w:b/>
        </w:rPr>
        <w:t>Q 2: How effective is the design and delivery of the VAPJP - what has and has not worked well?</w:t>
      </w:r>
    </w:p>
    <w:p w14:paraId="2CACE398" w14:textId="77777777" w:rsidR="00A80068" w:rsidRPr="00CC7A9A" w:rsidRDefault="00A80068" w:rsidP="00A80068">
      <w:pPr>
        <w:rPr>
          <w:i/>
        </w:rPr>
      </w:pPr>
      <w:r w:rsidRPr="00CC7A9A">
        <w:rPr>
          <w:i/>
        </w:rPr>
        <w:t>Sub-evaluation questions:</w:t>
      </w:r>
    </w:p>
    <w:p w14:paraId="7FA3FAE8" w14:textId="77777777" w:rsidR="00A80068" w:rsidRPr="00B44DF3" w:rsidRDefault="00A80068" w:rsidP="00A80068">
      <w:pPr>
        <w:numPr>
          <w:ilvl w:val="1"/>
          <w:numId w:val="59"/>
        </w:numPr>
        <w:spacing w:after="40" w:line="240" w:lineRule="auto"/>
        <w:contextualSpacing/>
      </w:pPr>
      <w:r w:rsidRPr="00B44DF3">
        <w:t>How valid is the Theory of Change</w:t>
      </w:r>
      <w:r>
        <w:t xml:space="preserve"> (</w:t>
      </w:r>
      <w:proofErr w:type="spellStart"/>
      <w:r>
        <w:t>ToC</w:t>
      </w:r>
      <w:proofErr w:type="spellEnd"/>
      <w:r>
        <w:t>)</w:t>
      </w:r>
      <w:r w:rsidRPr="00B44DF3">
        <w:t xml:space="preserve"> and to what extent has it guided implementation (</w:t>
      </w:r>
      <w:r>
        <w:t>i.e. supported</w:t>
      </w:r>
      <w:r w:rsidRPr="00B44DF3">
        <w:t xml:space="preserve"> </w:t>
      </w:r>
      <w:r>
        <w:t>thinking</w:t>
      </w:r>
      <w:r w:rsidRPr="00B44DF3">
        <w:t xml:space="preserve"> about how to promote change so that the users experience a real difference in how institutions operate</w:t>
      </w:r>
      <w:r>
        <w:t xml:space="preserve">, built capacity that results in behaviour change, and worked </w:t>
      </w:r>
      <w:r w:rsidRPr="00B44DF3">
        <w:t>across the interface between the state policing, justice and community services sector and the non-state justice system) to achieve program</w:t>
      </w:r>
      <w:r>
        <w:t xml:space="preserve"> outcomes?</w:t>
      </w:r>
      <w:r w:rsidRPr="00B44DF3">
        <w:t xml:space="preserve"> </w:t>
      </w:r>
    </w:p>
    <w:p w14:paraId="50DD9B6E" w14:textId="77777777" w:rsidR="00A80068" w:rsidRDefault="00A80068" w:rsidP="00A80068">
      <w:pPr>
        <w:numPr>
          <w:ilvl w:val="1"/>
          <w:numId w:val="59"/>
        </w:numPr>
        <w:spacing w:after="40" w:line="240" w:lineRule="auto"/>
        <w:contextualSpacing/>
      </w:pPr>
      <w:r w:rsidRPr="00CC7A9A">
        <w:t>How well has the program adapted to the changing context (e.g. as informed by monitoring and evaluation, political economy analysis and/or other factors) and to what extent is the adaptation appropriate?</w:t>
      </w:r>
    </w:p>
    <w:p w14:paraId="60A09C42" w14:textId="77777777" w:rsidR="00A80068" w:rsidRDefault="00A80068" w:rsidP="00A80068">
      <w:pPr>
        <w:numPr>
          <w:ilvl w:val="1"/>
          <w:numId w:val="59"/>
        </w:numPr>
        <w:spacing w:after="40" w:line="240" w:lineRule="auto"/>
        <w:contextualSpacing/>
      </w:pPr>
      <w:r w:rsidRPr="00CC7A9A">
        <w:t>What successes and challenges have been experienced in implementing a joint justice and policing program and contributing to joint outcomes?</w:t>
      </w:r>
    </w:p>
    <w:p w14:paraId="0C976CE4" w14:textId="77777777" w:rsidR="00A80068" w:rsidRPr="000C2A92" w:rsidRDefault="00A80068" w:rsidP="00A80068">
      <w:pPr>
        <w:spacing w:after="40"/>
        <w:contextualSpacing/>
      </w:pPr>
    </w:p>
    <w:p w14:paraId="2839234C" w14:textId="77777777" w:rsidR="00A80068" w:rsidRPr="00CC7A9A" w:rsidRDefault="00A80068" w:rsidP="00A80068">
      <w:pPr>
        <w:spacing w:after="40"/>
      </w:pPr>
    </w:p>
    <w:p w14:paraId="330BE47D" w14:textId="77777777" w:rsidR="00A80068" w:rsidRPr="00CC7A9A" w:rsidRDefault="00A80068" w:rsidP="00A80068">
      <w:pPr>
        <w:spacing w:after="120"/>
        <w:rPr>
          <w:b/>
        </w:rPr>
      </w:pPr>
      <w:r w:rsidRPr="00CC7A9A">
        <w:rPr>
          <w:b/>
        </w:rPr>
        <w:t xml:space="preserve">Q 3: How </w:t>
      </w:r>
      <w:r>
        <w:rPr>
          <w:b/>
        </w:rPr>
        <w:t>optimally</w:t>
      </w:r>
      <w:r w:rsidRPr="00CC7A9A">
        <w:rPr>
          <w:b/>
        </w:rPr>
        <w:t xml:space="preserve"> are the program’s partnerships, modality and resource allocations </w:t>
      </w:r>
      <w:r>
        <w:rPr>
          <w:b/>
        </w:rPr>
        <w:t xml:space="preserve">functioning and contributing to program outcomes - </w:t>
      </w:r>
      <w:r w:rsidRPr="00CC7A9A">
        <w:rPr>
          <w:b/>
        </w:rPr>
        <w:t>what has and has not worked well?</w:t>
      </w:r>
    </w:p>
    <w:p w14:paraId="6A496CFE" w14:textId="77777777" w:rsidR="00A80068" w:rsidRPr="00CC7A9A" w:rsidRDefault="00A80068" w:rsidP="00A80068">
      <w:pPr>
        <w:rPr>
          <w:i/>
        </w:rPr>
      </w:pPr>
      <w:r w:rsidRPr="00CC7A9A">
        <w:rPr>
          <w:i/>
        </w:rPr>
        <w:t>Sub-evaluation questions:</w:t>
      </w:r>
    </w:p>
    <w:p w14:paraId="1DE74775" w14:textId="77777777" w:rsidR="00A80068" w:rsidRPr="00CC7A9A" w:rsidRDefault="00A80068" w:rsidP="00A80068">
      <w:pPr>
        <w:numPr>
          <w:ilvl w:val="1"/>
          <w:numId w:val="60"/>
        </w:numPr>
        <w:spacing w:after="40" w:line="240" w:lineRule="auto"/>
        <w:contextualSpacing/>
        <w:rPr>
          <w:rFonts w:ascii="Calibri" w:hAnsi="Calibri" w:cs="Calibri"/>
        </w:rPr>
      </w:pPr>
      <w:r w:rsidRPr="00CC7A9A">
        <w:rPr>
          <w:rFonts w:ascii="Calibri" w:hAnsi="Calibri" w:cs="Calibri"/>
        </w:rPr>
        <w:t>To what extent is the partnership (between DFAT-AFP, implementing partners</w:t>
      </w:r>
      <w:r>
        <w:rPr>
          <w:rFonts w:ascii="Calibri" w:hAnsi="Calibri" w:cs="Calibri"/>
        </w:rPr>
        <w:t xml:space="preserve"> and the Government of Vanuatu</w:t>
      </w:r>
      <w:r w:rsidRPr="00CC7A9A">
        <w:rPr>
          <w:rFonts w:ascii="Calibri" w:hAnsi="Calibri" w:cs="Calibri"/>
        </w:rPr>
        <w:t>) functioning (consider: scope and level of engagement, use of time and resources, quality of relationships, capacity, and governance and decision-making structures)?</w:t>
      </w:r>
    </w:p>
    <w:p w14:paraId="4CAD1EA8" w14:textId="77777777" w:rsidR="00A80068" w:rsidRPr="00CC7A9A" w:rsidRDefault="00A80068" w:rsidP="00A80068">
      <w:pPr>
        <w:numPr>
          <w:ilvl w:val="1"/>
          <w:numId w:val="60"/>
        </w:numPr>
        <w:spacing w:after="40" w:line="240" w:lineRule="auto"/>
        <w:contextualSpacing/>
      </w:pPr>
      <w:r w:rsidRPr="00CC7A9A">
        <w:rPr>
          <w:rFonts w:ascii="Calibri" w:hAnsi="Calibri" w:cs="Calibri"/>
          <w:iCs/>
        </w:rPr>
        <w:t>How efficient and appropriate is the current modality (i.e. DFAT/managing contractor/AFP, potential Direct Financing Agreement)?</w:t>
      </w:r>
    </w:p>
    <w:p w14:paraId="287DF3FD" w14:textId="77777777" w:rsidR="00A80068" w:rsidRPr="00CC7A9A" w:rsidRDefault="00A80068" w:rsidP="00A80068">
      <w:pPr>
        <w:numPr>
          <w:ilvl w:val="1"/>
          <w:numId w:val="60"/>
        </w:numPr>
        <w:spacing w:after="40" w:line="240" w:lineRule="auto"/>
        <w:contextualSpacing/>
      </w:pPr>
      <w:r w:rsidRPr="00CC7A9A">
        <w:rPr>
          <w:iCs/>
        </w:rPr>
        <w:t>How efficient is resource allocation across program streams and compared with Government of Vanuatu actual and budget sector expenditure?</w:t>
      </w:r>
    </w:p>
    <w:bookmarkEnd w:id="64"/>
    <w:p w14:paraId="03060C67" w14:textId="77777777" w:rsidR="00A80068" w:rsidRPr="00CC7A9A" w:rsidRDefault="00A80068" w:rsidP="00A80068">
      <w:pPr>
        <w:tabs>
          <w:tab w:val="left" w:pos="567"/>
        </w:tabs>
        <w:suppressAutoHyphens/>
        <w:contextualSpacing/>
        <w:rPr>
          <w:rFonts w:eastAsiaTheme="minorEastAsia" w:cs="Times New Roman"/>
          <w:color w:val="44546A" w:themeColor="text2"/>
          <w:lang w:val="en-GB"/>
        </w:rPr>
      </w:pPr>
    </w:p>
    <w:p w14:paraId="1A167694" w14:textId="77777777" w:rsidR="00A80068" w:rsidRPr="00CC7A9A" w:rsidRDefault="00A80068" w:rsidP="00A80068">
      <w:pPr>
        <w:spacing w:after="120"/>
        <w:rPr>
          <w:b/>
        </w:rPr>
      </w:pPr>
      <w:r w:rsidRPr="00CC7A9A">
        <w:rPr>
          <w:b/>
        </w:rPr>
        <w:t xml:space="preserve">Q 4: What recommendations and opportunities are there for Australia to effectively and efficiently contribute to the Vanuatu policing and justice sector going forward? </w:t>
      </w:r>
    </w:p>
    <w:p w14:paraId="6ACFD738" w14:textId="77777777" w:rsidR="00A80068" w:rsidRPr="00CC7A9A" w:rsidRDefault="00A80068" w:rsidP="00A80068">
      <w:pPr>
        <w:numPr>
          <w:ilvl w:val="1"/>
          <w:numId w:val="61"/>
        </w:numPr>
        <w:tabs>
          <w:tab w:val="left" w:pos="567"/>
        </w:tabs>
        <w:suppressAutoHyphens/>
        <w:spacing w:after="0" w:line="240" w:lineRule="auto"/>
        <w:contextualSpacing/>
        <w:rPr>
          <w:bCs/>
          <w:lang w:val="en-GB"/>
        </w:rPr>
      </w:pPr>
      <w:r w:rsidRPr="00CC7A9A">
        <w:rPr>
          <w:bCs/>
          <w:lang w:val="en-GB"/>
        </w:rPr>
        <w:t>For the remaining period of VAPJP (to end 2020)</w:t>
      </w:r>
    </w:p>
    <w:p w14:paraId="42806CD0" w14:textId="77777777" w:rsidR="00A80068" w:rsidRPr="00CC7A9A" w:rsidRDefault="00A80068" w:rsidP="00A80068">
      <w:pPr>
        <w:numPr>
          <w:ilvl w:val="1"/>
          <w:numId w:val="62"/>
        </w:numPr>
        <w:suppressAutoHyphens/>
        <w:spacing w:after="0" w:line="240" w:lineRule="auto"/>
        <w:contextualSpacing/>
        <w:rPr>
          <w:bCs/>
          <w:lang w:val="en-GB"/>
        </w:rPr>
      </w:pPr>
      <w:r w:rsidRPr="00CC7A9A">
        <w:rPr>
          <w:bCs/>
          <w:lang w:val="en-GB"/>
        </w:rPr>
        <w:t>Changes to strengthen EOPOs within the framework of achievements to date, Australia’s comparative advantage and prospective context;</w:t>
      </w:r>
    </w:p>
    <w:p w14:paraId="53DB4FF0" w14:textId="77777777" w:rsidR="00A80068" w:rsidRPr="00CC7A9A" w:rsidRDefault="00A80068" w:rsidP="00A80068">
      <w:pPr>
        <w:numPr>
          <w:ilvl w:val="1"/>
          <w:numId w:val="62"/>
        </w:numPr>
        <w:suppressAutoHyphens/>
        <w:spacing w:after="0" w:line="240" w:lineRule="auto"/>
        <w:contextualSpacing/>
        <w:rPr>
          <w:bCs/>
          <w:lang w:val="en-GB"/>
        </w:rPr>
      </w:pPr>
      <w:r w:rsidRPr="00CC7A9A">
        <w:rPr>
          <w:bCs/>
          <w:lang w:val="en-GB"/>
        </w:rPr>
        <w:t>Adaptations to remain and increase relevance to security and justice challenges in Vanuatu (including opportunities to redirect program focus into new, or emerging priorities);</w:t>
      </w:r>
    </w:p>
    <w:p w14:paraId="1F968501" w14:textId="77777777" w:rsidR="00A80068" w:rsidRPr="00CC7A9A" w:rsidRDefault="00A80068" w:rsidP="00A80068">
      <w:pPr>
        <w:numPr>
          <w:ilvl w:val="1"/>
          <w:numId w:val="62"/>
        </w:numPr>
        <w:suppressAutoHyphens/>
        <w:spacing w:after="120" w:line="240" w:lineRule="auto"/>
        <w:rPr>
          <w:bCs/>
          <w:lang w:val="en-GB"/>
        </w:rPr>
      </w:pPr>
      <w:r w:rsidRPr="00CC7A9A">
        <w:rPr>
          <w:bCs/>
          <w:lang w:val="en-GB"/>
        </w:rPr>
        <w:t>Adaptions to consolidate or scaling back in some areas and/or deeper engagement in others to better influence change.</w:t>
      </w:r>
    </w:p>
    <w:p w14:paraId="6C793088" w14:textId="77777777" w:rsidR="00A80068" w:rsidRPr="00CC7A9A" w:rsidRDefault="00A80068" w:rsidP="00A80068">
      <w:pPr>
        <w:numPr>
          <w:ilvl w:val="1"/>
          <w:numId w:val="61"/>
        </w:numPr>
        <w:tabs>
          <w:tab w:val="left" w:pos="567"/>
        </w:tabs>
        <w:suppressAutoHyphens/>
        <w:spacing w:after="0" w:line="240" w:lineRule="auto"/>
        <w:contextualSpacing/>
        <w:rPr>
          <w:bCs/>
          <w:lang w:val="en-GB"/>
        </w:rPr>
      </w:pPr>
      <w:r w:rsidRPr="00CC7A9A">
        <w:rPr>
          <w:bCs/>
          <w:lang w:val="en-GB"/>
        </w:rPr>
        <w:t>For Australia to contribute to a next phase of support (2021-2025) to the policing and justice sectors in Vanuatu and how should this be delivered?</w:t>
      </w:r>
    </w:p>
    <w:p w14:paraId="0047C1F4" w14:textId="77777777" w:rsidR="00A80068" w:rsidRPr="00CC7A9A" w:rsidRDefault="00A80068" w:rsidP="00A80068">
      <w:pPr>
        <w:numPr>
          <w:ilvl w:val="1"/>
          <w:numId w:val="63"/>
        </w:numPr>
        <w:suppressAutoHyphens/>
        <w:spacing w:after="0" w:line="240" w:lineRule="auto"/>
        <w:contextualSpacing/>
        <w:rPr>
          <w:bCs/>
          <w:i/>
          <w:lang w:val="en-GB"/>
        </w:rPr>
      </w:pPr>
      <w:r w:rsidRPr="00CC7A9A">
        <w:rPr>
          <w:bCs/>
          <w:i/>
          <w:lang w:val="en-GB"/>
        </w:rPr>
        <w:t xml:space="preserve">As per points </w:t>
      </w:r>
      <w:proofErr w:type="spellStart"/>
      <w:r w:rsidRPr="00CC7A9A">
        <w:rPr>
          <w:bCs/>
          <w:i/>
          <w:lang w:val="en-GB"/>
        </w:rPr>
        <w:t>i</w:t>
      </w:r>
      <w:proofErr w:type="spellEnd"/>
      <w:r w:rsidRPr="00CC7A9A">
        <w:rPr>
          <w:bCs/>
          <w:i/>
          <w:lang w:val="en-GB"/>
        </w:rPr>
        <w:t>-iii above?</w:t>
      </w:r>
    </w:p>
    <w:p w14:paraId="5BE85A85" w14:textId="77777777" w:rsidR="00A80068" w:rsidRPr="00CC7A9A" w:rsidRDefault="00A80068" w:rsidP="00A80068">
      <w:pPr>
        <w:numPr>
          <w:ilvl w:val="1"/>
          <w:numId w:val="63"/>
        </w:numPr>
        <w:suppressAutoHyphens/>
        <w:spacing w:after="0" w:line="240" w:lineRule="auto"/>
        <w:contextualSpacing/>
        <w:rPr>
          <w:bCs/>
          <w:lang w:val="en-GB"/>
        </w:rPr>
      </w:pPr>
      <w:r w:rsidRPr="00CC7A9A">
        <w:rPr>
          <w:bCs/>
          <w:lang w:val="en-GB"/>
        </w:rPr>
        <w:t>What delivery modality is likely to be most effective and efficient?</w:t>
      </w:r>
    </w:p>
    <w:p w14:paraId="7BE598F3" w14:textId="77777777" w:rsidR="00A80068" w:rsidRPr="002A44D0" w:rsidRDefault="00A80068" w:rsidP="00A80068">
      <w:pPr>
        <w:numPr>
          <w:ilvl w:val="1"/>
          <w:numId w:val="63"/>
        </w:numPr>
        <w:suppressAutoHyphens/>
        <w:spacing w:after="0" w:line="240" w:lineRule="auto"/>
        <w:contextualSpacing/>
        <w:rPr>
          <w:bCs/>
          <w:lang w:val="en-GB"/>
        </w:rPr>
      </w:pPr>
      <w:r w:rsidRPr="00CC7A9A">
        <w:rPr>
          <w:bCs/>
          <w:lang w:val="en-GB"/>
        </w:rPr>
        <w:t xml:space="preserve">What are the advantages and disadvantages of the current VAPJP contract being extended to cover a new four-year phase?  </w:t>
      </w:r>
    </w:p>
    <w:p w14:paraId="32299B70" w14:textId="77777777" w:rsidR="00A80068" w:rsidRDefault="00A80068" w:rsidP="008A3A0D">
      <w:pPr>
        <w:spacing w:after="120" w:line="240" w:lineRule="auto"/>
        <w:jc w:val="both"/>
        <w:rPr>
          <w:rFonts w:ascii="Calibri" w:eastAsia="Calibri" w:hAnsi="Calibri" w:cs="Arial"/>
          <w:bCs/>
          <w:szCs w:val="20"/>
        </w:rPr>
      </w:pPr>
    </w:p>
    <w:p w14:paraId="013CE697" w14:textId="77777777" w:rsidR="00A80068" w:rsidRPr="007E61F8" w:rsidRDefault="007E61F8" w:rsidP="008A3A0D">
      <w:pPr>
        <w:spacing w:after="120" w:line="240" w:lineRule="auto"/>
        <w:jc w:val="both"/>
        <w:rPr>
          <w:rFonts w:ascii="Calibri" w:eastAsia="Calibri" w:hAnsi="Calibri" w:cs="Arial"/>
          <w:b/>
          <w:i/>
          <w:iCs/>
          <w:szCs w:val="20"/>
        </w:rPr>
      </w:pPr>
      <w:r w:rsidRPr="007E61F8">
        <w:rPr>
          <w:rFonts w:ascii="Calibri" w:eastAsia="Calibri" w:hAnsi="Calibri" w:cs="Arial"/>
          <w:b/>
          <w:i/>
          <w:iCs/>
          <w:szCs w:val="20"/>
        </w:rPr>
        <w:t>For note, the original KEQ included the following:</w:t>
      </w:r>
    </w:p>
    <w:p w14:paraId="1866EC99" w14:textId="77777777" w:rsidR="00393F6C" w:rsidRPr="00393F6C" w:rsidRDefault="00393F6C" w:rsidP="008A3A0D">
      <w:pPr>
        <w:spacing w:after="40" w:line="240" w:lineRule="auto"/>
        <w:rPr>
          <w:b/>
        </w:rPr>
      </w:pPr>
      <w:r w:rsidRPr="00393F6C">
        <w:rPr>
          <w:b/>
        </w:rPr>
        <w:t xml:space="preserve">Q 1: Effectiveness: How effective is </w:t>
      </w:r>
      <w:r w:rsidR="008051FA">
        <w:rPr>
          <w:b/>
        </w:rPr>
        <w:t>SRBJS</w:t>
      </w:r>
      <w:r w:rsidRPr="00393F6C">
        <w:rPr>
          <w:b/>
        </w:rPr>
        <w:t>?</w:t>
      </w:r>
    </w:p>
    <w:p w14:paraId="3F8F76D6" w14:textId="77777777" w:rsidR="00393F6C" w:rsidRPr="00393F6C" w:rsidRDefault="00393F6C" w:rsidP="004E7C9F">
      <w:pPr>
        <w:numPr>
          <w:ilvl w:val="0"/>
          <w:numId w:val="4"/>
        </w:numPr>
        <w:spacing w:after="0" w:line="240" w:lineRule="auto"/>
        <w:ind w:left="426" w:right="95" w:hanging="426"/>
        <w:contextualSpacing/>
        <w:jc w:val="both"/>
        <w:rPr>
          <w:rFonts w:eastAsia="Times New Roman" w:cstheme="minorHAnsi"/>
          <w:lang w:eastAsia="en-AU"/>
        </w:rPr>
      </w:pPr>
      <w:r w:rsidRPr="00393F6C">
        <w:rPr>
          <w:rFonts w:eastAsia="Times New Roman" w:cstheme="minorHAnsi"/>
          <w:lang w:eastAsia="en-AU"/>
        </w:rPr>
        <w:t xml:space="preserve">To what extent has the justice stream of work led to individual or institutional behaviour change and contributed to the end-of-program outcomes? Has this change been in accordance with the </w:t>
      </w:r>
      <w:r w:rsidR="0081742C">
        <w:rPr>
          <w:rFonts w:eastAsia="Times New Roman" w:cstheme="minorHAnsi"/>
          <w:lang w:eastAsia="en-AU"/>
        </w:rPr>
        <w:t>P</w:t>
      </w:r>
      <w:r w:rsidRPr="00393F6C">
        <w:rPr>
          <w:rFonts w:eastAsia="Times New Roman" w:cstheme="minorHAnsi"/>
          <w:lang w:eastAsia="en-AU"/>
        </w:rPr>
        <w:t>rogram’s theory of change?</w:t>
      </w:r>
    </w:p>
    <w:p w14:paraId="7DCEB922" w14:textId="77777777" w:rsidR="00393F6C" w:rsidRPr="00393F6C" w:rsidRDefault="00393F6C" w:rsidP="004E7C9F">
      <w:pPr>
        <w:numPr>
          <w:ilvl w:val="0"/>
          <w:numId w:val="4"/>
        </w:numPr>
        <w:spacing w:after="0" w:line="240" w:lineRule="auto"/>
        <w:ind w:left="426" w:right="95" w:hanging="426"/>
        <w:contextualSpacing/>
        <w:jc w:val="both"/>
        <w:rPr>
          <w:rFonts w:eastAsia="Times New Roman" w:cstheme="minorHAnsi"/>
          <w:lang w:eastAsia="en-AU"/>
        </w:rPr>
      </w:pPr>
      <w:r w:rsidRPr="00393F6C">
        <w:rPr>
          <w:rFonts w:eastAsia="Times New Roman" w:cstheme="minorHAnsi"/>
          <w:lang w:eastAsia="en-AU"/>
        </w:rPr>
        <w:t xml:space="preserve">To what extent has the policing stream of work led to individual or institutional behaviour change and contributed to the end-of-program outcomes? Has this change been in accordance with the </w:t>
      </w:r>
      <w:r w:rsidR="0081742C">
        <w:rPr>
          <w:rFonts w:eastAsia="Times New Roman" w:cstheme="minorHAnsi"/>
          <w:lang w:eastAsia="en-AU"/>
        </w:rPr>
        <w:t>P</w:t>
      </w:r>
      <w:r w:rsidRPr="00393F6C">
        <w:rPr>
          <w:rFonts w:eastAsia="Times New Roman" w:cstheme="minorHAnsi"/>
          <w:lang w:eastAsia="en-AU"/>
        </w:rPr>
        <w:t>rogram’s theory of change?</w:t>
      </w:r>
    </w:p>
    <w:p w14:paraId="7EA13726" w14:textId="77777777" w:rsidR="00393F6C" w:rsidRPr="00393F6C" w:rsidRDefault="00393F6C" w:rsidP="004E7C9F">
      <w:pPr>
        <w:numPr>
          <w:ilvl w:val="0"/>
          <w:numId w:val="4"/>
        </w:numPr>
        <w:spacing w:after="0" w:line="240" w:lineRule="auto"/>
        <w:ind w:left="426" w:right="95" w:hanging="426"/>
        <w:contextualSpacing/>
        <w:jc w:val="both"/>
        <w:rPr>
          <w:rFonts w:eastAsia="Times New Roman" w:cstheme="minorHAnsi"/>
          <w:lang w:eastAsia="en-AU"/>
        </w:rPr>
      </w:pPr>
      <w:r w:rsidRPr="00393F6C">
        <w:rPr>
          <w:rFonts w:eastAsia="Times New Roman" w:cstheme="minorHAnsi"/>
          <w:lang w:eastAsia="en-AU"/>
        </w:rPr>
        <w:t xml:space="preserve">To what extent have the justice and policing streams contributed to combined/ joint outcomes? </w:t>
      </w:r>
    </w:p>
    <w:p w14:paraId="09CD98EE" w14:textId="77777777" w:rsidR="00393F6C" w:rsidRPr="00393F6C" w:rsidRDefault="00393F6C" w:rsidP="004E7C9F">
      <w:pPr>
        <w:numPr>
          <w:ilvl w:val="0"/>
          <w:numId w:val="4"/>
        </w:numPr>
        <w:spacing w:after="0" w:line="240" w:lineRule="auto"/>
        <w:ind w:left="426" w:right="95" w:hanging="426"/>
        <w:contextualSpacing/>
        <w:jc w:val="both"/>
        <w:rPr>
          <w:rFonts w:eastAsia="Times New Roman" w:cstheme="minorHAnsi"/>
          <w:lang w:eastAsia="en-AU"/>
        </w:rPr>
      </w:pPr>
      <w:r w:rsidRPr="00393F6C">
        <w:rPr>
          <w:rFonts w:eastAsia="Times New Roman" w:cstheme="minorHAnsi"/>
          <w:lang w:eastAsia="en-AU"/>
        </w:rPr>
        <w:t xml:space="preserve">What sort of change resulting from </w:t>
      </w:r>
      <w:r w:rsidR="008051FA">
        <w:rPr>
          <w:rFonts w:eastAsia="Times New Roman" w:cstheme="minorHAnsi"/>
          <w:lang w:eastAsia="en-AU"/>
        </w:rPr>
        <w:t>SRBJS</w:t>
      </w:r>
      <w:r w:rsidRPr="00393F6C">
        <w:rPr>
          <w:rFonts w:eastAsia="Times New Roman" w:cstheme="minorHAnsi"/>
          <w:lang w:eastAsia="en-AU"/>
        </w:rPr>
        <w:t xml:space="preserve"> interventions has been experienced by targeted EOPO end users/ beneficiaries – particularly women, but also children and youth? (</w:t>
      </w:r>
      <w:proofErr w:type="gramStart"/>
      <w:r w:rsidRPr="00393F6C">
        <w:rPr>
          <w:rFonts w:eastAsia="Times New Roman" w:cstheme="minorHAnsi"/>
          <w:lang w:eastAsia="en-AU"/>
        </w:rPr>
        <w:t>i.e</w:t>
      </w:r>
      <w:proofErr w:type="gramEnd"/>
      <w:r w:rsidRPr="00393F6C">
        <w:rPr>
          <w:rFonts w:eastAsia="Times New Roman" w:cstheme="minorHAnsi"/>
          <w:lang w:eastAsia="en-AU"/>
        </w:rPr>
        <w:t>. How has the theory of change guided implementation and has the problem-driven approach envisioned by the design succeeded?)</w:t>
      </w:r>
    </w:p>
    <w:p w14:paraId="2F709A22" w14:textId="77777777" w:rsidR="00393F6C" w:rsidRPr="00393F6C" w:rsidRDefault="00393F6C" w:rsidP="004E7C9F">
      <w:pPr>
        <w:numPr>
          <w:ilvl w:val="0"/>
          <w:numId w:val="4"/>
        </w:numPr>
        <w:spacing w:after="0" w:line="240" w:lineRule="auto"/>
        <w:ind w:left="426" w:right="95" w:hanging="426"/>
        <w:contextualSpacing/>
        <w:jc w:val="both"/>
        <w:rPr>
          <w:rFonts w:eastAsia="Times New Roman" w:cstheme="minorHAnsi"/>
          <w:lang w:eastAsia="en-AU"/>
        </w:rPr>
      </w:pPr>
      <w:r w:rsidRPr="00393F6C">
        <w:rPr>
          <w:rFonts w:eastAsia="Times New Roman" w:cstheme="minorHAnsi"/>
          <w:lang w:eastAsia="en-AU"/>
        </w:rPr>
        <w:t xml:space="preserve">How has the </w:t>
      </w:r>
      <w:r w:rsidR="0081742C">
        <w:rPr>
          <w:rFonts w:eastAsia="Times New Roman" w:cstheme="minorHAnsi"/>
          <w:lang w:eastAsia="en-AU"/>
        </w:rPr>
        <w:t>P</w:t>
      </w:r>
      <w:r w:rsidRPr="00393F6C">
        <w:rPr>
          <w:rFonts w:eastAsia="Times New Roman" w:cstheme="minorHAnsi"/>
          <w:lang w:eastAsia="en-AU"/>
        </w:rPr>
        <w:t>rogram adapted to changing context (e.g. as informed by monitoring and evaluation, political economy analysis and/or other factors) and to what extent is the adaptation appropriate?</w:t>
      </w:r>
    </w:p>
    <w:p w14:paraId="0DD5E29F" w14:textId="77777777" w:rsidR="00393F6C" w:rsidRPr="00393F6C" w:rsidRDefault="00393F6C" w:rsidP="008A3A0D">
      <w:pPr>
        <w:tabs>
          <w:tab w:val="left" w:pos="567"/>
        </w:tabs>
        <w:suppressAutoHyphens/>
        <w:spacing w:after="0" w:line="240" w:lineRule="auto"/>
        <w:ind w:left="1080"/>
        <w:contextualSpacing/>
        <w:rPr>
          <w:bCs/>
          <w:lang w:val="en-GB"/>
        </w:rPr>
      </w:pPr>
    </w:p>
    <w:p w14:paraId="6163A030" w14:textId="77777777" w:rsidR="00393F6C" w:rsidRPr="00393F6C" w:rsidRDefault="00393F6C" w:rsidP="008A3A0D">
      <w:pPr>
        <w:spacing w:after="40" w:line="240" w:lineRule="auto"/>
        <w:rPr>
          <w:b/>
        </w:rPr>
      </w:pPr>
      <w:r w:rsidRPr="00393F6C">
        <w:rPr>
          <w:b/>
        </w:rPr>
        <w:t xml:space="preserve">Q 2: Efficiency: How efficient is </w:t>
      </w:r>
      <w:r w:rsidR="008051FA">
        <w:rPr>
          <w:b/>
        </w:rPr>
        <w:t>SRBJS</w:t>
      </w:r>
      <w:r w:rsidRPr="00393F6C">
        <w:rPr>
          <w:b/>
        </w:rPr>
        <w:t>?</w:t>
      </w:r>
    </w:p>
    <w:p w14:paraId="460534A4" w14:textId="77777777" w:rsidR="00393F6C" w:rsidRPr="00393F6C" w:rsidRDefault="00393F6C" w:rsidP="004E7C9F">
      <w:pPr>
        <w:numPr>
          <w:ilvl w:val="0"/>
          <w:numId w:val="4"/>
        </w:numPr>
        <w:spacing w:after="0" w:line="240" w:lineRule="auto"/>
        <w:ind w:left="426" w:right="95" w:hanging="426"/>
        <w:contextualSpacing/>
        <w:jc w:val="both"/>
        <w:rPr>
          <w:rFonts w:eastAsia="Times New Roman" w:cstheme="minorHAnsi"/>
          <w:lang w:eastAsia="en-AU"/>
        </w:rPr>
      </w:pPr>
      <w:r w:rsidRPr="00393F6C">
        <w:rPr>
          <w:rFonts w:eastAsia="Times New Roman" w:cstheme="minorHAnsi"/>
          <w:lang w:eastAsia="en-AU"/>
        </w:rPr>
        <w:t>How efficient is the current modality?</w:t>
      </w:r>
    </w:p>
    <w:p w14:paraId="50C1644C" w14:textId="77777777" w:rsidR="00393F6C" w:rsidRPr="00393F6C" w:rsidRDefault="00393F6C" w:rsidP="004E7C9F">
      <w:pPr>
        <w:numPr>
          <w:ilvl w:val="0"/>
          <w:numId w:val="4"/>
        </w:numPr>
        <w:spacing w:after="0" w:line="240" w:lineRule="auto"/>
        <w:ind w:left="426" w:right="95" w:hanging="426"/>
        <w:contextualSpacing/>
        <w:jc w:val="both"/>
        <w:rPr>
          <w:rFonts w:eastAsia="Times New Roman" w:cstheme="minorHAnsi"/>
          <w:lang w:eastAsia="en-AU"/>
        </w:rPr>
      </w:pPr>
      <w:r w:rsidRPr="00393F6C">
        <w:rPr>
          <w:rFonts w:eastAsia="Times New Roman" w:cstheme="minorHAnsi"/>
          <w:lang w:eastAsia="en-AU"/>
        </w:rPr>
        <w:t>How efficient is resource allocation across program streams and compared with Government of Vanuatu actual and budget sector expenditure?</w:t>
      </w:r>
    </w:p>
    <w:p w14:paraId="2631A6F4" w14:textId="77777777" w:rsidR="00393F6C" w:rsidRPr="00393F6C" w:rsidRDefault="00393F6C" w:rsidP="008A3A0D">
      <w:pPr>
        <w:tabs>
          <w:tab w:val="left" w:pos="567"/>
        </w:tabs>
        <w:suppressAutoHyphens/>
        <w:spacing w:after="0" w:line="240" w:lineRule="auto"/>
        <w:ind w:left="1080"/>
        <w:contextualSpacing/>
        <w:rPr>
          <w:bCs/>
          <w:lang w:val="en-GB"/>
        </w:rPr>
      </w:pPr>
    </w:p>
    <w:p w14:paraId="59DEB555" w14:textId="77777777" w:rsidR="00393F6C" w:rsidRPr="00393F6C" w:rsidRDefault="00393F6C" w:rsidP="008A3A0D">
      <w:pPr>
        <w:spacing w:after="40" w:line="240" w:lineRule="auto"/>
        <w:rPr>
          <w:b/>
        </w:rPr>
      </w:pPr>
      <w:r w:rsidRPr="00393F6C">
        <w:rPr>
          <w:b/>
        </w:rPr>
        <w:t xml:space="preserve">Q 3: Forward-looking: What opportunities are there for Australia to effectively and efficiently contribute to the Vanuatu policing and justice sector going forward? </w:t>
      </w:r>
    </w:p>
    <w:p w14:paraId="4FDF5DC9" w14:textId="77777777" w:rsidR="00393F6C" w:rsidRPr="00393F6C" w:rsidRDefault="00393F6C" w:rsidP="004E7C9F">
      <w:pPr>
        <w:numPr>
          <w:ilvl w:val="0"/>
          <w:numId w:val="4"/>
        </w:numPr>
        <w:spacing w:after="0" w:line="240" w:lineRule="auto"/>
        <w:ind w:left="426" w:right="-330" w:hanging="426"/>
        <w:contextualSpacing/>
        <w:jc w:val="both"/>
        <w:rPr>
          <w:rFonts w:eastAsia="Times New Roman" w:cstheme="minorHAnsi"/>
          <w:iCs/>
          <w:lang w:eastAsia="en-AU"/>
        </w:rPr>
      </w:pPr>
      <w:r w:rsidRPr="00393F6C">
        <w:rPr>
          <w:rFonts w:eastAsia="Times New Roman" w:cstheme="minorHAnsi"/>
          <w:b/>
          <w:iCs/>
          <w:lang w:eastAsia="en-AU"/>
        </w:rPr>
        <w:t xml:space="preserve">For the remaining period of </w:t>
      </w:r>
      <w:r w:rsidR="008051FA">
        <w:rPr>
          <w:rFonts w:eastAsia="Times New Roman" w:cstheme="minorHAnsi"/>
          <w:b/>
          <w:iCs/>
          <w:lang w:eastAsia="en-AU"/>
        </w:rPr>
        <w:t>SRBJS</w:t>
      </w:r>
      <w:r w:rsidRPr="00393F6C">
        <w:rPr>
          <w:rFonts w:eastAsia="Times New Roman" w:cstheme="minorHAnsi"/>
          <w:b/>
          <w:iCs/>
          <w:lang w:eastAsia="en-AU"/>
        </w:rPr>
        <w:t xml:space="preserve"> (to end 2020):</w:t>
      </w:r>
    </w:p>
    <w:p w14:paraId="471DD50A" w14:textId="77777777" w:rsidR="00393F6C" w:rsidRPr="00393F6C" w:rsidRDefault="00393F6C" w:rsidP="004E7C9F">
      <w:pPr>
        <w:numPr>
          <w:ilvl w:val="1"/>
          <w:numId w:val="4"/>
        </w:numPr>
        <w:spacing w:after="0" w:line="240" w:lineRule="auto"/>
        <w:ind w:left="284" w:right="-46" w:hanging="284"/>
        <w:contextualSpacing/>
        <w:jc w:val="both"/>
        <w:rPr>
          <w:rFonts w:eastAsia="Times New Roman" w:cstheme="minorHAnsi"/>
          <w:bCs/>
          <w:iCs/>
          <w:lang w:eastAsia="en-AU"/>
        </w:rPr>
      </w:pPr>
      <w:r w:rsidRPr="00393F6C">
        <w:rPr>
          <w:rFonts w:eastAsia="Times New Roman" w:cstheme="minorHAnsi"/>
          <w:bCs/>
          <w:iCs/>
          <w:lang w:eastAsia="en-AU"/>
        </w:rPr>
        <w:t>Within the framework of achievements to date, Australia’s comparative advantage and prospective context, are the end of program outcomes still relevant?</w:t>
      </w:r>
    </w:p>
    <w:p w14:paraId="5E82C57C" w14:textId="77777777" w:rsidR="00393F6C" w:rsidRPr="00393F6C" w:rsidRDefault="00393F6C" w:rsidP="004E7C9F">
      <w:pPr>
        <w:numPr>
          <w:ilvl w:val="1"/>
          <w:numId w:val="4"/>
        </w:numPr>
        <w:spacing w:after="0" w:line="240" w:lineRule="auto"/>
        <w:ind w:left="284" w:right="-46" w:hanging="284"/>
        <w:contextualSpacing/>
        <w:jc w:val="both"/>
        <w:rPr>
          <w:rFonts w:eastAsia="Times New Roman" w:cstheme="minorHAnsi"/>
          <w:bCs/>
          <w:iCs/>
          <w:lang w:eastAsia="en-AU"/>
        </w:rPr>
      </w:pPr>
      <w:r w:rsidRPr="00393F6C">
        <w:rPr>
          <w:rFonts w:eastAsia="Times New Roman" w:cstheme="minorHAnsi"/>
          <w:bCs/>
          <w:iCs/>
          <w:lang w:eastAsia="en-AU"/>
        </w:rPr>
        <w:t xml:space="preserve">What further adaptation is required for the </w:t>
      </w:r>
      <w:r w:rsidR="0081742C">
        <w:rPr>
          <w:rFonts w:eastAsia="Times New Roman" w:cstheme="minorHAnsi"/>
          <w:bCs/>
          <w:iCs/>
          <w:lang w:eastAsia="en-AU"/>
        </w:rPr>
        <w:t>P</w:t>
      </w:r>
      <w:r w:rsidRPr="00393F6C">
        <w:rPr>
          <w:rFonts w:eastAsia="Times New Roman" w:cstheme="minorHAnsi"/>
          <w:bCs/>
          <w:iCs/>
          <w:lang w:eastAsia="en-AU"/>
        </w:rPr>
        <w:t>rogram to remain relevant to security and justice challenges in Vanuatu? Are there opportunities to redirect program focus into new, emerging priorities?</w:t>
      </w:r>
    </w:p>
    <w:p w14:paraId="59DF129E" w14:textId="77777777" w:rsidR="00393F6C" w:rsidRPr="00393F6C" w:rsidRDefault="00393F6C" w:rsidP="004E7C9F">
      <w:pPr>
        <w:numPr>
          <w:ilvl w:val="1"/>
          <w:numId w:val="4"/>
        </w:numPr>
        <w:spacing w:after="0" w:line="240" w:lineRule="auto"/>
        <w:ind w:left="284" w:right="-46" w:hanging="284"/>
        <w:contextualSpacing/>
        <w:jc w:val="both"/>
        <w:rPr>
          <w:rFonts w:eastAsia="Times New Roman" w:cstheme="minorHAnsi"/>
          <w:bCs/>
          <w:iCs/>
          <w:lang w:eastAsia="en-AU"/>
        </w:rPr>
      </w:pPr>
      <w:r w:rsidRPr="00393F6C">
        <w:rPr>
          <w:rFonts w:eastAsia="Times New Roman" w:cstheme="minorHAnsi"/>
          <w:bCs/>
          <w:iCs/>
          <w:lang w:eastAsia="en-AU"/>
        </w:rPr>
        <w:t>Is there a need for consolidation or scaling back in some areas and/or deeper engagement in others to better influence change?</w:t>
      </w:r>
    </w:p>
    <w:p w14:paraId="5DDA18CE" w14:textId="77777777" w:rsidR="00393F6C" w:rsidRPr="00393F6C" w:rsidRDefault="00393F6C" w:rsidP="004E7C9F">
      <w:pPr>
        <w:numPr>
          <w:ilvl w:val="0"/>
          <w:numId w:val="4"/>
        </w:numPr>
        <w:spacing w:after="0" w:line="240" w:lineRule="auto"/>
        <w:ind w:left="426" w:right="-46" w:hanging="426"/>
        <w:contextualSpacing/>
        <w:jc w:val="both"/>
        <w:rPr>
          <w:rFonts w:eastAsia="Times New Roman" w:cstheme="minorHAnsi"/>
          <w:lang w:eastAsia="en-AU"/>
        </w:rPr>
      </w:pPr>
      <w:r w:rsidRPr="00393F6C">
        <w:rPr>
          <w:rFonts w:eastAsia="Times New Roman" w:cstheme="minorHAnsi"/>
          <w:lang w:eastAsia="en-AU"/>
        </w:rPr>
        <w:t>What opportunities are there for Australia to contribute to a next phase of support to the policing and justice sectors in Vanuatu?</w:t>
      </w:r>
    </w:p>
    <w:p w14:paraId="12F675C6" w14:textId="77777777" w:rsidR="00393F6C" w:rsidRPr="00393F6C" w:rsidRDefault="00393F6C" w:rsidP="00393F6C">
      <w:pPr>
        <w:spacing w:after="0"/>
        <w:ind w:left="426" w:right="-46"/>
        <w:contextualSpacing/>
        <w:jc w:val="both"/>
        <w:rPr>
          <w:rFonts w:eastAsia="Times New Roman" w:cstheme="minorHAnsi"/>
          <w:lang w:eastAsia="en-AU"/>
        </w:rPr>
      </w:pPr>
    </w:p>
    <w:p w14:paraId="1410E5BA" w14:textId="77777777" w:rsidR="00393F6C" w:rsidRPr="00393F6C" w:rsidRDefault="00393F6C" w:rsidP="008A3A0D">
      <w:pPr>
        <w:tabs>
          <w:tab w:val="left" w:pos="851"/>
        </w:tabs>
        <w:spacing w:after="0" w:line="240" w:lineRule="auto"/>
        <w:ind w:right="-46"/>
        <w:jc w:val="both"/>
        <w:rPr>
          <w:rFonts w:eastAsia="Times New Roman" w:cstheme="minorHAnsi"/>
          <w:b/>
          <w:bCs/>
          <w:color w:val="44546A" w:themeColor="text2"/>
          <w:sz w:val="24"/>
          <w:szCs w:val="24"/>
          <w:lang w:eastAsia="en-AU"/>
        </w:rPr>
      </w:pPr>
      <w:bookmarkStart w:id="65" w:name="_Hlk495332489"/>
      <w:r w:rsidRPr="00393F6C">
        <w:rPr>
          <w:rFonts w:eastAsia="Times New Roman" w:cstheme="minorHAnsi"/>
          <w:b/>
          <w:bCs/>
          <w:color w:val="44546A" w:themeColor="text2"/>
          <w:sz w:val="24"/>
          <w:szCs w:val="24"/>
          <w:lang w:eastAsia="en-AU"/>
        </w:rPr>
        <w:t>Evaluation methods and assessment tools</w:t>
      </w:r>
    </w:p>
    <w:bookmarkEnd w:id="65"/>
    <w:p w14:paraId="6749DE45" w14:textId="77777777" w:rsidR="00393F6C" w:rsidRPr="00393F6C" w:rsidRDefault="00393F6C" w:rsidP="008A3A0D">
      <w:pPr>
        <w:spacing w:after="120" w:line="240" w:lineRule="auto"/>
        <w:jc w:val="both"/>
        <w:rPr>
          <w:rFonts w:ascii="Calibri" w:eastAsia="Calibri" w:hAnsi="Calibri" w:cs="Times New Roman"/>
        </w:rPr>
      </w:pPr>
      <w:r w:rsidRPr="00393F6C">
        <w:rPr>
          <w:rFonts w:ascii="Calibri" w:eastAsia="Calibri" w:hAnsi="Calibri" w:cs="Times New Roman"/>
        </w:rPr>
        <w:t>The evaluation adopted a mixed methods and participatory methodology and used the following methods for data collection and analysis:</w:t>
      </w:r>
    </w:p>
    <w:p w14:paraId="17E0E4C5" w14:textId="77777777" w:rsidR="00393F6C" w:rsidRPr="00393F6C" w:rsidRDefault="00393F6C" w:rsidP="008A3A0D">
      <w:pPr>
        <w:tabs>
          <w:tab w:val="left" w:pos="851"/>
        </w:tabs>
        <w:spacing w:after="0" w:line="240" w:lineRule="auto"/>
        <w:ind w:right="-46"/>
        <w:jc w:val="both"/>
        <w:rPr>
          <w:rFonts w:eastAsia="Times New Roman" w:cstheme="minorHAnsi"/>
          <w:b/>
          <w:bCs/>
          <w:lang w:eastAsia="en-AU"/>
        </w:rPr>
      </w:pPr>
      <w:r w:rsidRPr="00393F6C">
        <w:rPr>
          <w:rFonts w:eastAsia="Times New Roman" w:cstheme="minorHAnsi"/>
          <w:b/>
          <w:bCs/>
          <w:lang w:eastAsia="en-AU"/>
        </w:rPr>
        <w:t>Document review</w:t>
      </w:r>
    </w:p>
    <w:p w14:paraId="29B51C08" w14:textId="77777777" w:rsidR="00393F6C" w:rsidRPr="00393F6C" w:rsidRDefault="00393F6C" w:rsidP="008A3A0D">
      <w:pPr>
        <w:spacing w:after="120" w:line="240" w:lineRule="auto"/>
        <w:jc w:val="both"/>
        <w:rPr>
          <w:rFonts w:ascii="Calibri" w:eastAsia="Calibri" w:hAnsi="Calibri" w:cs="Times New Roman"/>
        </w:rPr>
      </w:pPr>
      <w:r w:rsidRPr="00393F6C">
        <w:rPr>
          <w:rFonts w:ascii="Calibri" w:eastAsia="Calibri" w:hAnsi="Calibri" w:cs="Times New Roman"/>
        </w:rPr>
        <w:t>A substantial amount of data had already been generated through monitoring reports and evaluations. The following documents were reviewed and analysed for evidence against the evaluation questions as part of the desktop review:</w:t>
      </w:r>
    </w:p>
    <w:tbl>
      <w:tblPr>
        <w:tblStyle w:val="TableGrid2"/>
        <w:tblW w:w="8926" w:type="dxa"/>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1413"/>
        <w:gridCol w:w="6237"/>
        <w:gridCol w:w="1276"/>
      </w:tblGrid>
      <w:tr w:rsidR="00393F6C" w:rsidRPr="00393F6C" w14:paraId="61EBA37A" w14:textId="77777777" w:rsidTr="00181CF5">
        <w:tc>
          <w:tcPr>
            <w:tcW w:w="1413" w:type="dxa"/>
            <w:shd w:val="clear" w:color="auto" w:fill="auto"/>
          </w:tcPr>
          <w:p w14:paraId="240116CE" w14:textId="77777777" w:rsidR="00393F6C" w:rsidRPr="00393F6C" w:rsidRDefault="00393F6C" w:rsidP="00393F6C">
            <w:pPr>
              <w:rPr>
                <w:b/>
              </w:rPr>
            </w:pPr>
            <w:r w:rsidRPr="00393F6C">
              <w:rPr>
                <w:b/>
              </w:rPr>
              <w:t>Author</w:t>
            </w:r>
          </w:p>
        </w:tc>
        <w:tc>
          <w:tcPr>
            <w:tcW w:w="6237" w:type="dxa"/>
            <w:shd w:val="clear" w:color="auto" w:fill="auto"/>
          </w:tcPr>
          <w:p w14:paraId="58D4A3A4" w14:textId="77777777" w:rsidR="00393F6C" w:rsidRPr="00393F6C" w:rsidRDefault="00393F6C" w:rsidP="00393F6C">
            <w:pPr>
              <w:rPr>
                <w:b/>
              </w:rPr>
            </w:pPr>
            <w:r w:rsidRPr="00393F6C">
              <w:rPr>
                <w:b/>
              </w:rPr>
              <w:t>Name</w:t>
            </w:r>
          </w:p>
        </w:tc>
        <w:tc>
          <w:tcPr>
            <w:tcW w:w="1276" w:type="dxa"/>
            <w:shd w:val="clear" w:color="auto" w:fill="auto"/>
          </w:tcPr>
          <w:p w14:paraId="7096BD5E" w14:textId="77777777" w:rsidR="00393F6C" w:rsidRPr="00393F6C" w:rsidRDefault="00393F6C" w:rsidP="00393F6C">
            <w:pPr>
              <w:rPr>
                <w:b/>
              </w:rPr>
            </w:pPr>
            <w:r w:rsidRPr="00393F6C">
              <w:rPr>
                <w:b/>
              </w:rPr>
              <w:t>Year</w:t>
            </w:r>
          </w:p>
        </w:tc>
      </w:tr>
      <w:tr w:rsidR="00393F6C" w:rsidRPr="00393F6C" w14:paraId="0C0A3D16" w14:textId="77777777" w:rsidTr="00181CF5">
        <w:tc>
          <w:tcPr>
            <w:tcW w:w="8926" w:type="dxa"/>
            <w:gridSpan w:val="3"/>
            <w:shd w:val="clear" w:color="auto" w:fill="F2F2F2" w:themeFill="background1" w:themeFillShade="F2"/>
          </w:tcPr>
          <w:p w14:paraId="27EB618E" w14:textId="77777777" w:rsidR="00393F6C" w:rsidRPr="00393F6C" w:rsidRDefault="00393F6C" w:rsidP="00393F6C">
            <w:pPr>
              <w:rPr>
                <w:b/>
              </w:rPr>
            </w:pPr>
            <w:r w:rsidRPr="00393F6C">
              <w:rPr>
                <w:b/>
              </w:rPr>
              <w:t>Design and strategy documents</w:t>
            </w:r>
          </w:p>
        </w:tc>
      </w:tr>
      <w:tr w:rsidR="00393F6C" w:rsidRPr="00393F6C" w14:paraId="5752E17B" w14:textId="77777777" w:rsidTr="00181CF5">
        <w:tc>
          <w:tcPr>
            <w:tcW w:w="1413" w:type="dxa"/>
            <w:shd w:val="clear" w:color="auto" w:fill="auto"/>
          </w:tcPr>
          <w:p w14:paraId="7FD626D1" w14:textId="77777777" w:rsidR="00393F6C" w:rsidRPr="00393F6C" w:rsidRDefault="00393F6C" w:rsidP="00393F6C">
            <w:r w:rsidRPr="00393F6C">
              <w:t>DFAT</w:t>
            </w:r>
          </w:p>
        </w:tc>
        <w:tc>
          <w:tcPr>
            <w:tcW w:w="6237" w:type="dxa"/>
            <w:shd w:val="clear" w:color="auto" w:fill="auto"/>
          </w:tcPr>
          <w:p w14:paraId="559C181C" w14:textId="77777777" w:rsidR="00393F6C" w:rsidRPr="00393F6C" w:rsidRDefault="00393F6C" w:rsidP="00393F6C">
            <w:r w:rsidRPr="00393F6C">
              <w:t>Aid Investment Plan Vanuatu 2015-16 to 2018-19</w:t>
            </w:r>
          </w:p>
        </w:tc>
        <w:tc>
          <w:tcPr>
            <w:tcW w:w="1276" w:type="dxa"/>
            <w:shd w:val="clear" w:color="auto" w:fill="auto"/>
          </w:tcPr>
          <w:p w14:paraId="6055D17F" w14:textId="77777777" w:rsidR="00393F6C" w:rsidRPr="00393F6C" w:rsidRDefault="00393F6C" w:rsidP="00393F6C">
            <w:r w:rsidRPr="00393F6C">
              <w:t>2015</w:t>
            </w:r>
          </w:p>
        </w:tc>
      </w:tr>
      <w:tr w:rsidR="00393F6C" w:rsidRPr="00393F6C" w14:paraId="6DA5AAF0" w14:textId="77777777" w:rsidTr="00181CF5">
        <w:tc>
          <w:tcPr>
            <w:tcW w:w="1413" w:type="dxa"/>
            <w:shd w:val="clear" w:color="auto" w:fill="auto"/>
          </w:tcPr>
          <w:p w14:paraId="21A11E8D" w14:textId="77777777" w:rsidR="00393F6C" w:rsidRPr="00393F6C" w:rsidRDefault="00393F6C" w:rsidP="00393F6C">
            <w:r w:rsidRPr="00393F6C">
              <w:t>DFAT</w:t>
            </w:r>
          </w:p>
        </w:tc>
        <w:tc>
          <w:tcPr>
            <w:tcW w:w="6237" w:type="dxa"/>
            <w:shd w:val="clear" w:color="auto" w:fill="auto"/>
          </w:tcPr>
          <w:p w14:paraId="3D1DCC28" w14:textId="77777777" w:rsidR="00393F6C" w:rsidRPr="00393F6C" w:rsidRDefault="00393F6C" w:rsidP="00393F6C">
            <w:pPr>
              <w:rPr>
                <w:rFonts w:eastAsia="Times New Roman"/>
                <w:color w:val="000000"/>
              </w:rPr>
            </w:pPr>
            <w:r w:rsidRPr="00393F6C">
              <w:t>Investment Concept: Vanuatu Policing and Justice Support Program 2017-2021</w:t>
            </w:r>
          </w:p>
        </w:tc>
        <w:tc>
          <w:tcPr>
            <w:tcW w:w="1276" w:type="dxa"/>
            <w:shd w:val="clear" w:color="auto" w:fill="auto"/>
          </w:tcPr>
          <w:p w14:paraId="3B2DF891" w14:textId="77777777" w:rsidR="00393F6C" w:rsidRPr="00393F6C" w:rsidRDefault="00393F6C" w:rsidP="00393F6C">
            <w:r w:rsidRPr="00393F6C">
              <w:t>Undated</w:t>
            </w:r>
          </w:p>
        </w:tc>
      </w:tr>
      <w:tr w:rsidR="00393F6C" w:rsidRPr="00393F6C" w14:paraId="6294019A" w14:textId="77777777" w:rsidTr="00181CF5">
        <w:tc>
          <w:tcPr>
            <w:tcW w:w="1413" w:type="dxa"/>
            <w:shd w:val="clear" w:color="auto" w:fill="auto"/>
          </w:tcPr>
          <w:p w14:paraId="079BB858" w14:textId="77777777" w:rsidR="00393F6C" w:rsidRPr="00393F6C" w:rsidRDefault="00393F6C" w:rsidP="00393F6C">
            <w:r w:rsidRPr="00393F6C">
              <w:t>DFAT</w:t>
            </w:r>
          </w:p>
        </w:tc>
        <w:tc>
          <w:tcPr>
            <w:tcW w:w="6237" w:type="dxa"/>
            <w:shd w:val="clear" w:color="auto" w:fill="auto"/>
          </w:tcPr>
          <w:p w14:paraId="7BFBC4E2" w14:textId="77777777" w:rsidR="00393F6C" w:rsidRPr="00393F6C" w:rsidRDefault="00393F6C" w:rsidP="00393F6C">
            <w:pPr>
              <w:rPr>
                <w:rFonts w:eastAsia="Times New Roman"/>
                <w:color w:val="000000"/>
              </w:rPr>
            </w:pPr>
            <w:r w:rsidRPr="00393F6C">
              <w:rPr>
                <w:rFonts w:eastAsia="Times New Roman"/>
                <w:color w:val="000000"/>
              </w:rPr>
              <w:t>VWC Program Design Document July 2016 – June 2021</w:t>
            </w:r>
          </w:p>
        </w:tc>
        <w:tc>
          <w:tcPr>
            <w:tcW w:w="1276" w:type="dxa"/>
            <w:shd w:val="clear" w:color="auto" w:fill="auto"/>
          </w:tcPr>
          <w:p w14:paraId="04BD05CB" w14:textId="77777777" w:rsidR="00393F6C" w:rsidRPr="00393F6C" w:rsidRDefault="00393F6C" w:rsidP="00393F6C">
            <w:r w:rsidRPr="00393F6C">
              <w:t>2016</w:t>
            </w:r>
          </w:p>
        </w:tc>
      </w:tr>
      <w:tr w:rsidR="00393F6C" w:rsidRPr="00393F6C" w14:paraId="1E2589D8" w14:textId="77777777" w:rsidTr="00181CF5">
        <w:tc>
          <w:tcPr>
            <w:tcW w:w="1413" w:type="dxa"/>
            <w:shd w:val="clear" w:color="auto" w:fill="auto"/>
          </w:tcPr>
          <w:p w14:paraId="630E6E60" w14:textId="77777777" w:rsidR="00393F6C" w:rsidRPr="00393F6C" w:rsidRDefault="00393F6C" w:rsidP="00393F6C">
            <w:r w:rsidRPr="00393F6C">
              <w:t>DFAT</w:t>
            </w:r>
          </w:p>
        </w:tc>
        <w:tc>
          <w:tcPr>
            <w:tcW w:w="6237" w:type="dxa"/>
            <w:shd w:val="clear" w:color="auto" w:fill="auto"/>
          </w:tcPr>
          <w:p w14:paraId="3BAD3543" w14:textId="77777777" w:rsidR="00393F6C" w:rsidRPr="00393F6C" w:rsidRDefault="008051FA" w:rsidP="00393F6C">
            <w:r>
              <w:rPr>
                <w:rFonts w:eastAsia="Times New Roman"/>
                <w:color w:val="000000"/>
              </w:rPr>
              <w:t>SRBJS</w:t>
            </w:r>
            <w:r w:rsidR="00393F6C" w:rsidRPr="00393F6C">
              <w:rPr>
                <w:rFonts w:eastAsia="Times New Roman"/>
                <w:color w:val="000000"/>
              </w:rPr>
              <w:t xml:space="preserve"> Investment Design Document </w:t>
            </w:r>
          </w:p>
        </w:tc>
        <w:tc>
          <w:tcPr>
            <w:tcW w:w="1276" w:type="dxa"/>
            <w:shd w:val="clear" w:color="auto" w:fill="auto"/>
          </w:tcPr>
          <w:p w14:paraId="7EE123C0" w14:textId="77777777" w:rsidR="00393F6C" w:rsidRPr="00393F6C" w:rsidRDefault="00393F6C" w:rsidP="00393F6C">
            <w:r w:rsidRPr="00393F6C">
              <w:t>2016</w:t>
            </w:r>
          </w:p>
        </w:tc>
      </w:tr>
      <w:tr w:rsidR="00393F6C" w:rsidRPr="00393F6C" w14:paraId="42128192" w14:textId="77777777" w:rsidTr="00181CF5">
        <w:tc>
          <w:tcPr>
            <w:tcW w:w="1413" w:type="dxa"/>
            <w:shd w:val="clear" w:color="auto" w:fill="auto"/>
          </w:tcPr>
          <w:p w14:paraId="2125D825" w14:textId="77777777" w:rsidR="00393F6C" w:rsidRPr="00393F6C" w:rsidRDefault="00393F6C" w:rsidP="00393F6C">
            <w:proofErr w:type="spellStart"/>
            <w:r w:rsidRPr="00393F6C">
              <w:t>GoA</w:t>
            </w:r>
            <w:proofErr w:type="spellEnd"/>
            <w:r w:rsidRPr="00393F6C">
              <w:t xml:space="preserve"> - </w:t>
            </w:r>
            <w:proofErr w:type="spellStart"/>
            <w:r w:rsidRPr="00393F6C">
              <w:t>GoV</w:t>
            </w:r>
            <w:proofErr w:type="spellEnd"/>
          </w:p>
        </w:tc>
        <w:tc>
          <w:tcPr>
            <w:tcW w:w="6237" w:type="dxa"/>
            <w:shd w:val="clear" w:color="auto" w:fill="auto"/>
          </w:tcPr>
          <w:p w14:paraId="43E1D184" w14:textId="77777777" w:rsidR="00393F6C" w:rsidRPr="00393F6C" w:rsidRDefault="00393F6C" w:rsidP="00393F6C">
            <w:pPr>
              <w:rPr>
                <w:rFonts w:eastAsia="Times New Roman"/>
                <w:color w:val="000000"/>
              </w:rPr>
            </w:pPr>
            <w:r w:rsidRPr="00393F6C">
              <w:t>Vanuatu Australia aid partnership arrangements (agreement)</w:t>
            </w:r>
          </w:p>
        </w:tc>
        <w:tc>
          <w:tcPr>
            <w:tcW w:w="1276" w:type="dxa"/>
            <w:shd w:val="clear" w:color="auto" w:fill="auto"/>
          </w:tcPr>
          <w:p w14:paraId="492F9922" w14:textId="77777777" w:rsidR="00393F6C" w:rsidRPr="00393F6C" w:rsidRDefault="00393F6C" w:rsidP="00393F6C">
            <w:r w:rsidRPr="00393F6C">
              <w:t>2016</w:t>
            </w:r>
          </w:p>
        </w:tc>
      </w:tr>
      <w:tr w:rsidR="00393F6C" w:rsidRPr="00393F6C" w14:paraId="2B5A4C07" w14:textId="77777777" w:rsidTr="00181CF5">
        <w:tc>
          <w:tcPr>
            <w:tcW w:w="1413" w:type="dxa"/>
            <w:shd w:val="clear" w:color="auto" w:fill="auto"/>
          </w:tcPr>
          <w:p w14:paraId="5B019E2C" w14:textId="77777777" w:rsidR="00393F6C" w:rsidRPr="00393F6C" w:rsidRDefault="00393F6C" w:rsidP="00393F6C">
            <w:proofErr w:type="spellStart"/>
            <w:r w:rsidRPr="00393F6C">
              <w:t>GoV</w:t>
            </w:r>
            <w:proofErr w:type="spellEnd"/>
          </w:p>
        </w:tc>
        <w:tc>
          <w:tcPr>
            <w:tcW w:w="6237" w:type="dxa"/>
            <w:shd w:val="clear" w:color="auto" w:fill="auto"/>
          </w:tcPr>
          <w:p w14:paraId="681DD98B" w14:textId="77777777" w:rsidR="00393F6C" w:rsidRPr="00393F6C" w:rsidRDefault="00393F6C" w:rsidP="00393F6C">
            <w:r w:rsidRPr="00393F6C">
              <w:t>Vanuatu 2030 The People’s Plan National Sustainable Development Plan 2016-2030</w:t>
            </w:r>
          </w:p>
        </w:tc>
        <w:tc>
          <w:tcPr>
            <w:tcW w:w="1276" w:type="dxa"/>
            <w:shd w:val="clear" w:color="auto" w:fill="auto"/>
          </w:tcPr>
          <w:p w14:paraId="5C2FA859" w14:textId="77777777" w:rsidR="00393F6C" w:rsidRPr="00393F6C" w:rsidRDefault="00393F6C" w:rsidP="00393F6C">
            <w:r w:rsidRPr="00393F6C">
              <w:t>2016</w:t>
            </w:r>
          </w:p>
        </w:tc>
      </w:tr>
      <w:tr w:rsidR="00393F6C" w:rsidRPr="00393F6C" w14:paraId="0CE587F3" w14:textId="77777777" w:rsidTr="00181CF5">
        <w:tc>
          <w:tcPr>
            <w:tcW w:w="1413" w:type="dxa"/>
            <w:shd w:val="clear" w:color="auto" w:fill="auto"/>
          </w:tcPr>
          <w:p w14:paraId="42237F63" w14:textId="77777777" w:rsidR="00393F6C" w:rsidRPr="00393F6C" w:rsidRDefault="00393F6C" w:rsidP="00393F6C">
            <w:r w:rsidRPr="00393F6C">
              <w:t>Palladium</w:t>
            </w:r>
          </w:p>
        </w:tc>
        <w:tc>
          <w:tcPr>
            <w:tcW w:w="6237" w:type="dxa"/>
            <w:shd w:val="clear" w:color="auto" w:fill="auto"/>
          </w:tcPr>
          <w:p w14:paraId="66DAC072" w14:textId="77777777" w:rsidR="00393F6C" w:rsidRPr="00393F6C" w:rsidRDefault="00393F6C" w:rsidP="00393F6C">
            <w:r w:rsidRPr="00393F6C">
              <w:t>Justice &amp; Community Services Sector Capacity Development</w:t>
            </w:r>
          </w:p>
          <w:p w14:paraId="7115BA31" w14:textId="77777777" w:rsidR="00393F6C" w:rsidRPr="00393F6C" w:rsidRDefault="00393F6C" w:rsidP="00393F6C">
            <w:r w:rsidRPr="00393F6C">
              <w:t>Strategy 2017 – 2020</w:t>
            </w:r>
          </w:p>
        </w:tc>
        <w:tc>
          <w:tcPr>
            <w:tcW w:w="1276" w:type="dxa"/>
            <w:shd w:val="clear" w:color="auto" w:fill="auto"/>
          </w:tcPr>
          <w:p w14:paraId="6994CF67" w14:textId="77777777" w:rsidR="00393F6C" w:rsidRPr="00393F6C" w:rsidRDefault="00393F6C" w:rsidP="00393F6C">
            <w:r w:rsidRPr="00393F6C">
              <w:t>2017</w:t>
            </w:r>
          </w:p>
        </w:tc>
      </w:tr>
      <w:tr w:rsidR="00393F6C" w:rsidRPr="00393F6C" w14:paraId="5FF08C24" w14:textId="77777777" w:rsidTr="00181CF5">
        <w:tc>
          <w:tcPr>
            <w:tcW w:w="1413" w:type="dxa"/>
            <w:shd w:val="clear" w:color="auto" w:fill="auto"/>
          </w:tcPr>
          <w:p w14:paraId="5C9D2D79" w14:textId="77777777" w:rsidR="00393F6C" w:rsidRPr="00393F6C" w:rsidRDefault="00393F6C" w:rsidP="00393F6C">
            <w:r w:rsidRPr="00393F6C">
              <w:t>Palladium</w:t>
            </w:r>
          </w:p>
        </w:tc>
        <w:tc>
          <w:tcPr>
            <w:tcW w:w="6237" w:type="dxa"/>
            <w:shd w:val="clear" w:color="auto" w:fill="auto"/>
          </w:tcPr>
          <w:p w14:paraId="14E65DA4" w14:textId="77777777" w:rsidR="00393F6C" w:rsidRPr="00393F6C" w:rsidRDefault="008051FA" w:rsidP="00393F6C">
            <w:bookmarkStart w:id="66" w:name="_Hlk20157804"/>
            <w:r>
              <w:t>SRBJS</w:t>
            </w:r>
            <w:r w:rsidR="00393F6C" w:rsidRPr="00393F6C">
              <w:t xml:space="preserve"> Gender Strategy 2017-2020</w:t>
            </w:r>
            <w:bookmarkEnd w:id="66"/>
          </w:p>
        </w:tc>
        <w:tc>
          <w:tcPr>
            <w:tcW w:w="1276" w:type="dxa"/>
            <w:shd w:val="clear" w:color="auto" w:fill="auto"/>
          </w:tcPr>
          <w:p w14:paraId="64A31885" w14:textId="77777777" w:rsidR="00393F6C" w:rsidRPr="00393F6C" w:rsidRDefault="00393F6C" w:rsidP="00393F6C">
            <w:r w:rsidRPr="00393F6C">
              <w:t>2017</w:t>
            </w:r>
          </w:p>
        </w:tc>
      </w:tr>
      <w:tr w:rsidR="00393F6C" w:rsidRPr="00393F6C" w14:paraId="5039CB11" w14:textId="77777777" w:rsidTr="00181CF5">
        <w:tc>
          <w:tcPr>
            <w:tcW w:w="1413" w:type="dxa"/>
            <w:shd w:val="clear" w:color="auto" w:fill="auto"/>
          </w:tcPr>
          <w:p w14:paraId="2A3D3B83" w14:textId="77777777" w:rsidR="00393F6C" w:rsidRPr="00393F6C" w:rsidRDefault="00393F6C" w:rsidP="00393F6C">
            <w:proofErr w:type="spellStart"/>
            <w:r w:rsidRPr="00393F6C">
              <w:t>GoV</w:t>
            </w:r>
            <w:proofErr w:type="spellEnd"/>
            <w:r w:rsidRPr="00393F6C">
              <w:t xml:space="preserve"> </w:t>
            </w:r>
          </w:p>
        </w:tc>
        <w:tc>
          <w:tcPr>
            <w:tcW w:w="6237" w:type="dxa"/>
            <w:shd w:val="clear" w:color="auto" w:fill="auto"/>
          </w:tcPr>
          <w:p w14:paraId="0A20E2CA" w14:textId="77777777" w:rsidR="00393F6C" w:rsidRPr="00393F6C" w:rsidRDefault="00393F6C" w:rsidP="00393F6C">
            <w:r w:rsidRPr="00393F6C">
              <w:t>Strategy for the Justice and Community Services Sector</w:t>
            </w:r>
          </w:p>
          <w:p w14:paraId="2AA91CD3" w14:textId="77777777" w:rsidR="00393F6C" w:rsidRPr="00393F6C" w:rsidRDefault="00393F6C" w:rsidP="00393F6C">
            <w:r w:rsidRPr="00393F6C">
              <w:t>2018-2021</w:t>
            </w:r>
          </w:p>
        </w:tc>
        <w:tc>
          <w:tcPr>
            <w:tcW w:w="1276" w:type="dxa"/>
            <w:shd w:val="clear" w:color="auto" w:fill="auto"/>
          </w:tcPr>
          <w:p w14:paraId="34C3A265" w14:textId="77777777" w:rsidR="00393F6C" w:rsidRPr="00393F6C" w:rsidRDefault="00393F6C" w:rsidP="00393F6C">
            <w:r w:rsidRPr="00393F6C">
              <w:t>2018</w:t>
            </w:r>
          </w:p>
        </w:tc>
      </w:tr>
      <w:tr w:rsidR="00393F6C" w:rsidRPr="00393F6C" w14:paraId="43BC7446" w14:textId="77777777" w:rsidTr="00181CF5">
        <w:tc>
          <w:tcPr>
            <w:tcW w:w="1413" w:type="dxa"/>
            <w:shd w:val="clear" w:color="auto" w:fill="auto"/>
          </w:tcPr>
          <w:p w14:paraId="543024DD" w14:textId="77777777" w:rsidR="00393F6C" w:rsidRPr="00393F6C" w:rsidRDefault="00393F6C" w:rsidP="00393F6C">
            <w:proofErr w:type="spellStart"/>
            <w:r w:rsidRPr="00393F6C">
              <w:t>GoV</w:t>
            </w:r>
            <w:proofErr w:type="spellEnd"/>
          </w:p>
        </w:tc>
        <w:tc>
          <w:tcPr>
            <w:tcW w:w="6237" w:type="dxa"/>
            <w:shd w:val="clear" w:color="auto" w:fill="auto"/>
          </w:tcPr>
          <w:p w14:paraId="56031C62" w14:textId="77777777" w:rsidR="00393F6C" w:rsidRPr="00393F6C" w:rsidRDefault="00393F6C" w:rsidP="00393F6C">
            <w:r w:rsidRPr="00393F6C">
              <w:t>National disability Inclusive Development Policy 2018-2025</w:t>
            </w:r>
          </w:p>
        </w:tc>
        <w:tc>
          <w:tcPr>
            <w:tcW w:w="1276" w:type="dxa"/>
            <w:shd w:val="clear" w:color="auto" w:fill="auto"/>
          </w:tcPr>
          <w:p w14:paraId="5064BD3C" w14:textId="77777777" w:rsidR="00393F6C" w:rsidRPr="00393F6C" w:rsidRDefault="00393F6C" w:rsidP="00393F6C">
            <w:r w:rsidRPr="00393F6C">
              <w:t>2018</w:t>
            </w:r>
          </w:p>
        </w:tc>
      </w:tr>
      <w:tr w:rsidR="00393F6C" w:rsidRPr="00393F6C" w14:paraId="4508A3E5" w14:textId="77777777" w:rsidTr="00181CF5">
        <w:tc>
          <w:tcPr>
            <w:tcW w:w="8926" w:type="dxa"/>
            <w:gridSpan w:val="3"/>
            <w:shd w:val="clear" w:color="auto" w:fill="F2F2F2" w:themeFill="background1" w:themeFillShade="F2"/>
          </w:tcPr>
          <w:p w14:paraId="2FC5743A" w14:textId="77777777" w:rsidR="00393F6C" w:rsidRPr="00393F6C" w:rsidRDefault="00393F6C" w:rsidP="00393F6C">
            <w:pPr>
              <w:rPr>
                <w:b/>
              </w:rPr>
            </w:pPr>
            <w:r w:rsidRPr="00393F6C">
              <w:rPr>
                <w:b/>
              </w:rPr>
              <w:t>Performance assessment documents</w:t>
            </w:r>
          </w:p>
        </w:tc>
      </w:tr>
      <w:tr w:rsidR="00393F6C" w:rsidRPr="00393F6C" w14:paraId="5614EE6B" w14:textId="77777777" w:rsidTr="00181CF5">
        <w:tc>
          <w:tcPr>
            <w:tcW w:w="1413" w:type="dxa"/>
            <w:shd w:val="clear" w:color="auto" w:fill="F2F2F2" w:themeFill="background1" w:themeFillShade="F2"/>
          </w:tcPr>
          <w:p w14:paraId="77846553" w14:textId="77777777" w:rsidR="00393F6C" w:rsidRPr="00393F6C" w:rsidRDefault="00393F6C" w:rsidP="00393F6C">
            <w:pPr>
              <w:rPr>
                <w:b/>
              </w:rPr>
            </w:pPr>
            <w:r w:rsidRPr="00393F6C">
              <w:t>DFAT</w:t>
            </w:r>
          </w:p>
        </w:tc>
        <w:tc>
          <w:tcPr>
            <w:tcW w:w="6237" w:type="dxa"/>
            <w:shd w:val="clear" w:color="auto" w:fill="F2F2F2" w:themeFill="background1" w:themeFillShade="F2"/>
          </w:tcPr>
          <w:p w14:paraId="2D3018E4" w14:textId="77777777" w:rsidR="00393F6C" w:rsidRPr="00393F6C" w:rsidRDefault="00393F6C" w:rsidP="00393F6C">
            <w:pPr>
              <w:rPr>
                <w:b/>
              </w:rPr>
            </w:pPr>
            <w:r w:rsidRPr="00393F6C">
              <w:t>AQC – Pacific Women</w:t>
            </w:r>
          </w:p>
        </w:tc>
        <w:tc>
          <w:tcPr>
            <w:tcW w:w="1276" w:type="dxa"/>
            <w:shd w:val="clear" w:color="auto" w:fill="F2F2F2" w:themeFill="background1" w:themeFillShade="F2"/>
          </w:tcPr>
          <w:p w14:paraId="2937A07F" w14:textId="77777777" w:rsidR="00393F6C" w:rsidRPr="00393F6C" w:rsidRDefault="00393F6C" w:rsidP="00393F6C">
            <w:pPr>
              <w:rPr>
                <w:b/>
              </w:rPr>
            </w:pPr>
            <w:r w:rsidRPr="00393F6C">
              <w:t>2016</w:t>
            </w:r>
          </w:p>
        </w:tc>
      </w:tr>
      <w:tr w:rsidR="00393F6C" w:rsidRPr="00393F6C" w14:paraId="458AEE7E" w14:textId="77777777" w:rsidTr="00181CF5">
        <w:tc>
          <w:tcPr>
            <w:tcW w:w="1413" w:type="dxa"/>
            <w:shd w:val="clear" w:color="auto" w:fill="auto"/>
          </w:tcPr>
          <w:p w14:paraId="7C0B673E" w14:textId="77777777" w:rsidR="00393F6C" w:rsidRPr="00393F6C" w:rsidRDefault="00393F6C" w:rsidP="00393F6C">
            <w:r w:rsidRPr="00393F6C">
              <w:t>DFAT</w:t>
            </w:r>
          </w:p>
        </w:tc>
        <w:tc>
          <w:tcPr>
            <w:tcW w:w="6237" w:type="dxa"/>
            <w:shd w:val="clear" w:color="auto" w:fill="auto"/>
          </w:tcPr>
          <w:p w14:paraId="5C84B6B3" w14:textId="77777777" w:rsidR="00393F6C" w:rsidRPr="00393F6C" w:rsidRDefault="00393F6C" w:rsidP="00393F6C">
            <w:r w:rsidRPr="00393F6C">
              <w:t>AQC – Pacific Women</w:t>
            </w:r>
          </w:p>
        </w:tc>
        <w:tc>
          <w:tcPr>
            <w:tcW w:w="1276" w:type="dxa"/>
            <w:shd w:val="clear" w:color="auto" w:fill="auto"/>
          </w:tcPr>
          <w:p w14:paraId="6A61D08F" w14:textId="77777777" w:rsidR="00393F6C" w:rsidRPr="00393F6C" w:rsidRDefault="00393F6C" w:rsidP="00393F6C">
            <w:r w:rsidRPr="00393F6C">
              <w:t>2017</w:t>
            </w:r>
          </w:p>
        </w:tc>
      </w:tr>
      <w:tr w:rsidR="00393F6C" w:rsidRPr="00393F6C" w14:paraId="6A1FA96A" w14:textId="77777777" w:rsidTr="00181CF5">
        <w:tc>
          <w:tcPr>
            <w:tcW w:w="1413" w:type="dxa"/>
            <w:shd w:val="clear" w:color="auto" w:fill="auto"/>
          </w:tcPr>
          <w:p w14:paraId="7DEC2ADE" w14:textId="77777777" w:rsidR="00393F6C" w:rsidRPr="00393F6C" w:rsidRDefault="00393F6C" w:rsidP="00393F6C">
            <w:r w:rsidRPr="00393F6C">
              <w:t>DFAT</w:t>
            </w:r>
          </w:p>
        </w:tc>
        <w:tc>
          <w:tcPr>
            <w:tcW w:w="6237" w:type="dxa"/>
            <w:shd w:val="clear" w:color="auto" w:fill="auto"/>
          </w:tcPr>
          <w:p w14:paraId="68357158" w14:textId="77777777" w:rsidR="00393F6C" w:rsidRPr="00393F6C" w:rsidRDefault="00393F6C" w:rsidP="00393F6C">
            <w:r w:rsidRPr="00393F6C">
              <w:t>AQC – Pacific Women</w:t>
            </w:r>
          </w:p>
        </w:tc>
        <w:tc>
          <w:tcPr>
            <w:tcW w:w="1276" w:type="dxa"/>
            <w:shd w:val="clear" w:color="auto" w:fill="auto"/>
          </w:tcPr>
          <w:p w14:paraId="654A2FFB" w14:textId="77777777" w:rsidR="00393F6C" w:rsidRPr="00393F6C" w:rsidRDefault="00393F6C" w:rsidP="00393F6C">
            <w:r w:rsidRPr="00393F6C">
              <w:t>2018</w:t>
            </w:r>
          </w:p>
        </w:tc>
      </w:tr>
      <w:tr w:rsidR="00393F6C" w:rsidRPr="00393F6C" w14:paraId="219CE735" w14:textId="77777777" w:rsidTr="00181CF5">
        <w:tc>
          <w:tcPr>
            <w:tcW w:w="1413" w:type="dxa"/>
            <w:shd w:val="clear" w:color="auto" w:fill="auto"/>
          </w:tcPr>
          <w:p w14:paraId="5BB343AA" w14:textId="77777777" w:rsidR="00393F6C" w:rsidRPr="00393F6C" w:rsidRDefault="00393F6C" w:rsidP="00393F6C">
            <w:r w:rsidRPr="00393F6C">
              <w:t>DFAT</w:t>
            </w:r>
          </w:p>
        </w:tc>
        <w:tc>
          <w:tcPr>
            <w:tcW w:w="6237" w:type="dxa"/>
            <w:shd w:val="clear" w:color="auto" w:fill="auto"/>
          </w:tcPr>
          <w:p w14:paraId="0737A9C7" w14:textId="77777777" w:rsidR="00393F6C" w:rsidRPr="00393F6C" w:rsidRDefault="00393F6C" w:rsidP="00393F6C">
            <w:r w:rsidRPr="00393F6C">
              <w:t>AQC – Vanuatu Law and Justice Partnership Program</w:t>
            </w:r>
          </w:p>
        </w:tc>
        <w:tc>
          <w:tcPr>
            <w:tcW w:w="1276" w:type="dxa"/>
            <w:shd w:val="clear" w:color="auto" w:fill="auto"/>
          </w:tcPr>
          <w:p w14:paraId="7D78E2AC" w14:textId="77777777" w:rsidR="00393F6C" w:rsidRPr="00393F6C" w:rsidRDefault="00393F6C" w:rsidP="00393F6C">
            <w:r w:rsidRPr="00393F6C">
              <w:t>2013</w:t>
            </w:r>
          </w:p>
        </w:tc>
      </w:tr>
      <w:tr w:rsidR="00393F6C" w:rsidRPr="00393F6C" w14:paraId="65105FE4" w14:textId="77777777" w:rsidTr="00181CF5">
        <w:tc>
          <w:tcPr>
            <w:tcW w:w="1413" w:type="dxa"/>
            <w:shd w:val="clear" w:color="auto" w:fill="auto"/>
          </w:tcPr>
          <w:p w14:paraId="1B5EA683" w14:textId="77777777" w:rsidR="00393F6C" w:rsidRPr="00393F6C" w:rsidRDefault="00393F6C" w:rsidP="00393F6C">
            <w:r w:rsidRPr="00393F6C">
              <w:t>DFAT</w:t>
            </w:r>
          </w:p>
        </w:tc>
        <w:tc>
          <w:tcPr>
            <w:tcW w:w="6237" w:type="dxa"/>
            <w:shd w:val="clear" w:color="auto" w:fill="auto"/>
          </w:tcPr>
          <w:p w14:paraId="1926A34B" w14:textId="77777777" w:rsidR="00393F6C" w:rsidRPr="00393F6C" w:rsidRDefault="00393F6C" w:rsidP="00393F6C">
            <w:r w:rsidRPr="00393F6C">
              <w:t>AQC – Policing and Justice support program</w:t>
            </w:r>
          </w:p>
        </w:tc>
        <w:tc>
          <w:tcPr>
            <w:tcW w:w="1276" w:type="dxa"/>
            <w:shd w:val="clear" w:color="auto" w:fill="auto"/>
          </w:tcPr>
          <w:p w14:paraId="7A533475" w14:textId="77777777" w:rsidR="00393F6C" w:rsidRPr="00393F6C" w:rsidRDefault="00393F6C" w:rsidP="00393F6C">
            <w:r w:rsidRPr="00393F6C">
              <w:t>2015</w:t>
            </w:r>
          </w:p>
        </w:tc>
      </w:tr>
      <w:tr w:rsidR="00393F6C" w:rsidRPr="00393F6C" w14:paraId="3A2A055F" w14:textId="77777777" w:rsidTr="00181CF5">
        <w:tc>
          <w:tcPr>
            <w:tcW w:w="1413" w:type="dxa"/>
            <w:shd w:val="clear" w:color="auto" w:fill="auto"/>
          </w:tcPr>
          <w:p w14:paraId="403BA38A" w14:textId="77777777" w:rsidR="00393F6C" w:rsidRPr="00393F6C" w:rsidRDefault="00393F6C" w:rsidP="00393F6C">
            <w:r w:rsidRPr="00393F6C">
              <w:t>DFAT</w:t>
            </w:r>
          </w:p>
        </w:tc>
        <w:tc>
          <w:tcPr>
            <w:tcW w:w="6237" w:type="dxa"/>
            <w:shd w:val="clear" w:color="auto" w:fill="auto"/>
          </w:tcPr>
          <w:p w14:paraId="4AFDCCAF" w14:textId="77777777" w:rsidR="00393F6C" w:rsidRPr="00393F6C" w:rsidRDefault="00393F6C" w:rsidP="00393F6C">
            <w:r w:rsidRPr="00393F6C">
              <w:t>AQC – Policing and Justice support program</w:t>
            </w:r>
          </w:p>
        </w:tc>
        <w:tc>
          <w:tcPr>
            <w:tcW w:w="1276" w:type="dxa"/>
            <w:shd w:val="clear" w:color="auto" w:fill="auto"/>
          </w:tcPr>
          <w:p w14:paraId="05A23077" w14:textId="77777777" w:rsidR="00393F6C" w:rsidRPr="00393F6C" w:rsidRDefault="00393F6C" w:rsidP="00393F6C">
            <w:r w:rsidRPr="00393F6C">
              <w:t>2018</w:t>
            </w:r>
          </w:p>
        </w:tc>
      </w:tr>
      <w:tr w:rsidR="00393F6C" w:rsidRPr="00393F6C" w14:paraId="48FD1A92" w14:textId="77777777" w:rsidTr="00181CF5">
        <w:tc>
          <w:tcPr>
            <w:tcW w:w="1413" w:type="dxa"/>
            <w:shd w:val="clear" w:color="auto" w:fill="auto"/>
          </w:tcPr>
          <w:p w14:paraId="791CD391" w14:textId="77777777" w:rsidR="00393F6C" w:rsidRPr="00393F6C" w:rsidRDefault="00393F6C" w:rsidP="00393F6C">
            <w:r w:rsidRPr="00393F6C">
              <w:t>DFAT</w:t>
            </w:r>
          </w:p>
        </w:tc>
        <w:tc>
          <w:tcPr>
            <w:tcW w:w="6237" w:type="dxa"/>
            <w:shd w:val="clear" w:color="auto" w:fill="auto"/>
          </w:tcPr>
          <w:p w14:paraId="61ED5B82" w14:textId="77777777" w:rsidR="00393F6C" w:rsidRPr="00393F6C" w:rsidRDefault="00393F6C" w:rsidP="00393F6C">
            <w:r w:rsidRPr="00393F6C">
              <w:t>AQC – Policing and Justice support program</w:t>
            </w:r>
          </w:p>
        </w:tc>
        <w:tc>
          <w:tcPr>
            <w:tcW w:w="1276" w:type="dxa"/>
            <w:shd w:val="clear" w:color="auto" w:fill="auto"/>
          </w:tcPr>
          <w:p w14:paraId="69DC718D" w14:textId="77777777" w:rsidR="00393F6C" w:rsidRPr="00393F6C" w:rsidRDefault="00393F6C" w:rsidP="00393F6C">
            <w:r w:rsidRPr="00393F6C">
              <w:t>2019</w:t>
            </w:r>
          </w:p>
        </w:tc>
      </w:tr>
      <w:tr w:rsidR="00393F6C" w:rsidRPr="00393F6C" w14:paraId="2D53DC6E" w14:textId="77777777" w:rsidTr="00181CF5">
        <w:tc>
          <w:tcPr>
            <w:tcW w:w="8926" w:type="dxa"/>
            <w:gridSpan w:val="3"/>
            <w:shd w:val="clear" w:color="auto" w:fill="F2F2F2" w:themeFill="background1" w:themeFillShade="F2"/>
          </w:tcPr>
          <w:p w14:paraId="30F11F8B" w14:textId="77777777" w:rsidR="00393F6C" w:rsidRPr="00393F6C" w:rsidRDefault="00393F6C" w:rsidP="00393F6C">
            <w:pPr>
              <w:rPr>
                <w:b/>
              </w:rPr>
            </w:pPr>
            <w:r w:rsidRPr="00393F6C">
              <w:rPr>
                <w:b/>
              </w:rPr>
              <w:t>M&amp;E plans and frameworks</w:t>
            </w:r>
          </w:p>
        </w:tc>
      </w:tr>
      <w:tr w:rsidR="00393F6C" w:rsidRPr="00393F6C" w14:paraId="146B3809" w14:textId="77777777" w:rsidTr="00181CF5">
        <w:tc>
          <w:tcPr>
            <w:tcW w:w="1413" w:type="dxa"/>
            <w:shd w:val="clear" w:color="auto" w:fill="auto"/>
          </w:tcPr>
          <w:p w14:paraId="053C4600" w14:textId="77777777" w:rsidR="00393F6C" w:rsidRPr="00393F6C" w:rsidRDefault="00393F6C" w:rsidP="00393F6C">
            <w:r w:rsidRPr="00393F6C">
              <w:t>Palladium</w:t>
            </w:r>
          </w:p>
        </w:tc>
        <w:tc>
          <w:tcPr>
            <w:tcW w:w="6237" w:type="dxa"/>
            <w:shd w:val="clear" w:color="auto" w:fill="auto"/>
          </w:tcPr>
          <w:p w14:paraId="74561FE6" w14:textId="77777777" w:rsidR="00393F6C" w:rsidRPr="00393F6C" w:rsidRDefault="00393F6C" w:rsidP="00393F6C">
            <w:r w:rsidRPr="00393F6C">
              <w:t>SRBJS M&amp;E Plan (submission draft)</w:t>
            </w:r>
          </w:p>
        </w:tc>
        <w:tc>
          <w:tcPr>
            <w:tcW w:w="1276" w:type="dxa"/>
            <w:shd w:val="clear" w:color="auto" w:fill="auto"/>
          </w:tcPr>
          <w:p w14:paraId="2712B9B6" w14:textId="77777777" w:rsidR="00393F6C" w:rsidRPr="00393F6C" w:rsidRDefault="00393F6C" w:rsidP="00393F6C">
            <w:r w:rsidRPr="00393F6C">
              <w:t>2017</w:t>
            </w:r>
          </w:p>
        </w:tc>
      </w:tr>
      <w:tr w:rsidR="00393F6C" w:rsidRPr="00393F6C" w14:paraId="0DC16129" w14:textId="77777777" w:rsidTr="00181CF5">
        <w:tc>
          <w:tcPr>
            <w:tcW w:w="1413" w:type="dxa"/>
            <w:shd w:val="clear" w:color="auto" w:fill="auto"/>
          </w:tcPr>
          <w:p w14:paraId="70517E98" w14:textId="77777777" w:rsidR="00393F6C" w:rsidRPr="00393F6C" w:rsidRDefault="00393F6C" w:rsidP="00393F6C">
            <w:proofErr w:type="spellStart"/>
            <w:r w:rsidRPr="00393F6C">
              <w:t>GoV</w:t>
            </w:r>
            <w:proofErr w:type="spellEnd"/>
          </w:p>
        </w:tc>
        <w:tc>
          <w:tcPr>
            <w:tcW w:w="6237" w:type="dxa"/>
            <w:shd w:val="clear" w:color="auto" w:fill="auto"/>
          </w:tcPr>
          <w:p w14:paraId="01727872" w14:textId="77777777" w:rsidR="00393F6C" w:rsidRPr="00393F6C" w:rsidRDefault="00393F6C" w:rsidP="00393F6C">
            <w:r w:rsidRPr="00393F6C">
              <w:t>Vanuatu 2030 The People’s Plan National Sustainable Development Plan 2016-2030 M&amp;E framework</w:t>
            </w:r>
          </w:p>
        </w:tc>
        <w:tc>
          <w:tcPr>
            <w:tcW w:w="1276" w:type="dxa"/>
            <w:shd w:val="clear" w:color="auto" w:fill="auto"/>
          </w:tcPr>
          <w:p w14:paraId="1F835E32" w14:textId="77777777" w:rsidR="00393F6C" w:rsidRPr="00393F6C" w:rsidRDefault="00393F6C" w:rsidP="00393F6C">
            <w:r w:rsidRPr="00393F6C">
              <w:t>2017</w:t>
            </w:r>
          </w:p>
        </w:tc>
      </w:tr>
      <w:tr w:rsidR="00393F6C" w:rsidRPr="00393F6C" w14:paraId="2E5A34E7" w14:textId="77777777" w:rsidTr="00181CF5">
        <w:tc>
          <w:tcPr>
            <w:tcW w:w="8926" w:type="dxa"/>
            <w:gridSpan w:val="3"/>
            <w:shd w:val="clear" w:color="auto" w:fill="F2F2F2" w:themeFill="background1" w:themeFillShade="F2"/>
          </w:tcPr>
          <w:p w14:paraId="4EB91B54" w14:textId="77777777" w:rsidR="00393F6C" w:rsidRPr="00393F6C" w:rsidRDefault="00393F6C" w:rsidP="00393F6C">
            <w:pPr>
              <w:rPr>
                <w:b/>
              </w:rPr>
            </w:pPr>
            <w:r w:rsidRPr="00393F6C">
              <w:rPr>
                <w:b/>
              </w:rPr>
              <w:t>Planning and implementation documents</w:t>
            </w:r>
          </w:p>
        </w:tc>
      </w:tr>
      <w:tr w:rsidR="00393F6C" w:rsidRPr="00393F6C" w14:paraId="0A1420EB" w14:textId="77777777" w:rsidTr="00181CF5">
        <w:tc>
          <w:tcPr>
            <w:tcW w:w="1413" w:type="dxa"/>
            <w:shd w:val="clear" w:color="auto" w:fill="auto"/>
          </w:tcPr>
          <w:p w14:paraId="55AC59BC" w14:textId="77777777" w:rsidR="00393F6C" w:rsidRPr="00393F6C" w:rsidRDefault="00393F6C" w:rsidP="00393F6C">
            <w:r w:rsidRPr="00393F6C">
              <w:t>Palladium</w:t>
            </w:r>
          </w:p>
        </w:tc>
        <w:tc>
          <w:tcPr>
            <w:tcW w:w="6237" w:type="dxa"/>
            <w:shd w:val="clear" w:color="auto" w:fill="auto"/>
          </w:tcPr>
          <w:p w14:paraId="4FFB56A4" w14:textId="77777777" w:rsidR="00393F6C" w:rsidRPr="00393F6C" w:rsidRDefault="008051FA" w:rsidP="00393F6C">
            <w:r>
              <w:t>SRBJS</w:t>
            </w:r>
            <w:r w:rsidR="00393F6C" w:rsidRPr="00393F6C">
              <w:t xml:space="preserve"> Work planning and risk management documents </w:t>
            </w:r>
          </w:p>
        </w:tc>
        <w:tc>
          <w:tcPr>
            <w:tcW w:w="1276" w:type="dxa"/>
            <w:shd w:val="clear" w:color="auto" w:fill="auto"/>
          </w:tcPr>
          <w:p w14:paraId="7837A725" w14:textId="77777777" w:rsidR="00393F6C" w:rsidRPr="00393F6C" w:rsidRDefault="00393F6C" w:rsidP="00393F6C">
            <w:r w:rsidRPr="00393F6C">
              <w:t>2018 - 2019</w:t>
            </w:r>
          </w:p>
        </w:tc>
      </w:tr>
      <w:tr w:rsidR="00393F6C" w:rsidRPr="00393F6C" w14:paraId="1D09A59A" w14:textId="77777777" w:rsidTr="00181CF5">
        <w:tc>
          <w:tcPr>
            <w:tcW w:w="1413" w:type="dxa"/>
            <w:shd w:val="clear" w:color="auto" w:fill="auto"/>
          </w:tcPr>
          <w:p w14:paraId="413F8F31" w14:textId="77777777" w:rsidR="00393F6C" w:rsidRPr="00393F6C" w:rsidRDefault="00393F6C" w:rsidP="00393F6C">
            <w:r w:rsidRPr="00393F6C">
              <w:t>Palladium</w:t>
            </w:r>
          </w:p>
        </w:tc>
        <w:tc>
          <w:tcPr>
            <w:tcW w:w="6237" w:type="dxa"/>
            <w:shd w:val="clear" w:color="auto" w:fill="auto"/>
          </w:tcPr>
          <w:p w14:paraId="3E653101" w14:textId="77777777" w:rsidR="00393F6C" w:rsidRPr="00393F6C" w:rsidRDefault="008051FA" w:rsidP="00393F6C">
            <w:r>
              <w:t>SRBJS</w:t>
            </w:r>
            <w:r w:rsidR="00393F6C" w:rsidRPr="00393F6C">
              <w:t xml:space="preserve"> budget forecast and finance summaries</w:t>
            </w:r>
          </w:p>
        </w:tc>
        <w:tc>
          <w:tcPr>
            <w:tcW w:w="1276" w:type="dxa"/>
            <w:shd w:val="clear" w:color="auto" w:fill="auto"/>
          </w:tcPr>
          <w:p w14:paraId="4B15C3E9" w14:textId="77777777" w:rsidR="00393F6C" w:rsidRPr="00393F6C" w:rsidRDefault="00393F6C" w:rsidP="00393F6C">
            <w:r w:rsidRPr="00393F6C">
              <w:t>2018 - 2019</w:t>
            </w:r>
          </w:p>
        </w:tc>
      </w:tr>
      <w:tr w:rsidR="00393F6C" w:rsidRPr="00393F6C" w14:paraId="7F0CB5BE" w14:textId="77777777" w:rsidTr="00181CF5">
        <w:tc>
          <w:tcPr>
            <w:tcW w:w="1413" w:type="dxa"/>
            <w:shd w:val="clear" w:color="auto" w:fill="auto"/>
          </w:tcPr>
          <w:p w14:paraId="1622C443" w14:textId="77777777" w:rsidR="00393F6C" w:rsidRPr="00393F6C" w:rsidRDefault="00393F6C" w:rsidP="00393F6C">
            <w:r w:rsidRPr="00393F6C">
              <w:t>Palladium</w:t>
            </w:r>
          </w:p>
        </w:tc>
        <w:tc>
          <w:tcPr>
            <w:tcW w:w="6237" w:type="dxa"/>
            <w:shd w:val="clear" w:color="auto" w:fill="auto"/>
          </w:tcPr>
          <w:p w14:paraId="4ED00479" w14:textId="77777777" w:rsidR="00393F6C" w:rsidRPr="00393F6C" w:rsidRDefault="00393F6C" w:rsidP="00393F6C">
            <w:r w:rsidRPr="00393F6C">
              <w:t>SRBJS Organigram and governance structures</w:t>
            </w:r>
          </w:p>
        </w:tc>
        <w:tc>
          <w:tcPr>
            <w:tcW w:w="1276" w:type="dxa"/>
            <w:shd w:val="clear" w:color="auto" w:fill="auto"/>
          </w:tcPr>
          <w:p w14:paraId="1D487066" w14:textId="77777777" w:rsidR="00393F6C" w:rsidRPr="00393F6C" w:rsidRDefault="00393F6C" w:rsidP="00393F6C">
            <w:r w:rsidRPr="00393F6C">
              <w:t>2018</w:t>
            </w:r>
          </w:p>
        </w:tc>
      </w:tr>
      <w:tr w:rsidR="00393F6C" w:rsidRPr="00393F6C" w14:paraId="4F754C48" w14:textId="77777777" w:rsidTr="00181CF5">
        <w:tc>
          <w:tcPr>
            <w:tcW w:w="8926" w:type="dxa"/>
            <w:gridSpan w:val="3"/>
            <w:shd w:val="clear" w:color="auto" w:fill="F2F2F2" w:themeFill="background1" w:themeFillShade="F2"/>
          </w:tcPr>
          <w:p w14:paraId="25A53F2C" w14:textId="77777777" w:rsidR="00393F6C" w:rsidRPr="00393F6C" w:rsidRDefault="00393F6C" w:rsidP="00393F6C">
            <w:pPr>
              <w:rPr>
                <w:b/>
              </w:rPr>
            </w:pPr>
            <w:r w:rsidRPr="00393F6C">
              <w:rPr>
                <w:b/>
              </w:rPr>
              <w:t>Program and sector reports</w:t>
            </w:r>
          </w:p>
        </w:tc>
      </w:tr>
      <w:tr w:rsidR="00393F6C" w:rsidRPr="00393F6C" w14:paraId="0C7F8BE6" w14:textId="77777777" w:rsidTr="00181CF5">
        <w:tc>
          <w:tcPr>
            <w:tcW w:w="1413" w:type="dxa"/>
            <w:shd w:val="clear" w:color="auto" w:fill="auto"/>
          </w:tcPr>
          <w:p w14:paraId="61FC4311" w14:textId="77777777" w:rsidR="00393F6C" w:rsidRPr="00393F6C" w:rsidRDefault="00393F6C" w:rsidP="00393F6C">
            <w:r w:rsidRPr="00393F6C">
              <w:t>VPF</w:t>
            </w:r>
          </w:p>
        </w:tc>
        <w:tc>
          <w:tcPr>
            <w:tcW w:w="6237" w:type="dxa"/>
            <w:shd w:val="clear" w:color="auto" w:fill="auto"/>
          </w:tcPr>
          <w:p w14:paraId="25A5C602" w14:textId="77777777" w:rsidR="00393F6C" w:rsidRPr="00393F6C" w:rsidRDefault="00393F6C" w:rsidP="00393F6C">
            <w:r w:rsidRPr="00393F6C">
              <w:t>Vanuatu Police Force Community perception survey 2011 report</w:t>
            </w:r>
          </w:p>
        </w:tc>
        <w:tc>
          <w:tcPr>
            <w:tcW w:w="1276" w:type="dxa"/>
            <w:shd w:val="clear" w:color="auto" w:fill="auto"/>
          </w:tcPr>
          <w:p w14:paraId="63AA049B" w14:textId="77777777" w:rsidR="00393F6C" w:rsidRPr="00393F6C" w:rsidRDefault="00393F6C" w:rsidP="00393F6C">
            <w:r w:rsidRPr="00393F6C">
              <w:t>2011</w:t>
            </w:r>
          </w:p>
        </w:tc>
      </w:tr>
      <w:tr w:rsidR="00393F6C" w:rsidRPr="00393F6C" w14:paraId="1763D02D" w14:textId="77777777" w:rsidTr="00181CF5">
        <w:tc>
          <w:tcPr>
            <w:tcW w:w="1413" w:type="dxa"/>
            <w:shd w:val="clear" w:color="auto" w:fill="auto"/>
          </w:tcPr>
          <w:p w14:paraId="1426A503" w14:textId="77777777" w:rsidR="00393F6C" w:rsidRPr="00393F6C" w:rsidRDefault="00393F6C" w:rsidP="00393F6C">
            <w:r w:rsidRPr="00393F6C">
              <w:t>VPF</w:t>
            </w:r>
          </w:p>
        </w:tc>
        <w:tc>
          <w:tcPr>
            <w:tcW w:w="6237" w:type="dxa"/>
            <w:shd w:val="clear" w:color="auto" w:fill="auto"/>
          </w:tcPr>
          <w:p w14:paraId="29952F3F" w14:textId="77777777" w:rsidR="00393F6C" w:rsidRPr="00393F6C" w:rsidRDefault="00393F6C" w:rsidP="00393F6C">
            <w:r w:rsidRPr="00393F6C">
              <w:t>Vanuatu Police Force Annual Report</w:t>
            </w:r>
          </w:p>
        </w:tc>
        <w:tc>
          <w:tcPr>
            <w:tcW w:w="1276" w:type="dxa"/>
            <w:shd w:val="clear" w:color="auto" w:fill="auto"/>
          </w:tcPr>
          <w:p w14:paraId="5B423E7B" w14:textId="77777777" w:rsidR="00393F6C" w:rsidRPr="00393F6C" w:rsidRDefault="00393F6C" w:rsidP="00393F6C">
            <w:r w:rsidRPr="00393F6C">
              <w:t>2014, 2018</w:t>
            </w:r>
          </w:p>
        </w:tc>
      </w:tr>
      <w:tr w:rsidR="00393F6C" w:rsidRPr="00393F6C" w14:paraId="167D3616" w14:textId="77777777" w:rsidTr="00181CF5">
        <w:tc>
          <w:tcPr>
            <w:tcW w:w="1413" w:type="dxa"/>
            <w:shd w:val="clear" w:color="auto" w:fill="auto"/>
          </w:tcPr>
          <w:p w14:paraId="6B35F981" w14:textId="77777777" w:rsidR="00393F6C" w:rsidRPr="00393F6C" w:rsidRDefault="00393F6C" w:rsidP="00393F6C">
            <w:r w:rsidRPr="00393F6C">
              <w:t>GRM International</w:t>
            </w:r>
          </w:p>
        </w:tc>
        <w:tc>
          <w:tcPr>
            <w:tcW w:w="6237" w:type="dxa"/>
            <w:shd w:val="clear" w:color="auto" w:fill="auto"/>
          </w:tcPr>
          <w:p w14:paraId="10B1BBAF" w14:textId="77777777" w:rsidR="00393F6C" w:rsidRPr="00393F6C" w:rsidRDefault="00393F6C" w:rsidP="00393F6C">
            <w:r w:rsidRPr="00393F6C">
              <w:t>Policing justice support program justice element progress report July - December 2014</w:t>
            </w:r>
          </w:p>
        </w:tc>
        <w:tc>
          <w:tcPr>
            <w:tcW w:w="1276" w:type="dxa"/>
            <w:shd w:val="clear" w:color="auto" w:fill="auto"/>
          </w:tcPr>
          <w:p w14:paraId="0D79D8C2" w14:textId="77777777" w:rsidR="00393F6C" w:rsidRPr="00393F6C" w:rsidRDefault="00393F6C" w:rsidP="00393F6C">
            <w:r w:rsidRPr="00393F6C">
              <w:t>2014</w:t>
            </w:r>
          </w:p>
        </w:tc>
      </w:tr>
      <w:tr w:rsidR="00393F6C" w:rsidRPr="00393F6C" w14:paraId="4108B928" w14:textId="77777777" w:rsidTr="00181CF5">
        <w:tc>
          <w:tcPr>
            <w:tcW w:w="1413" w:type="dxa"/>
            <w:shd w:val="clear" w:color="auto" w:fill="auto"/>
          </w:tcPr>
          <w:p w14:paraId="5C90B8E4" w14:textId="77777777" w:rsidR="00393F6C" w:rsidRPr="00393F6C" w:rsidRDefault="00393F6C" w:rsidP="00393F6C">
            <w:r w:rsidRPr="00393F6C">
              <w:t>Palladium</w:t>
            </w:r>
          </w:p>
        </w:tc>
        <w:tc>
          <w:tcPr>
            <w:tcW w:w="6237" w:type="dxa"/>
            <w:shd w:val="clear" w:color="auto" w:fill="auto"/>
          </w:tcPr>
          <w:p w14:paraId="3711E6EF" w14:textId="77777777" w:rsidR="00393F6C" w:rsidRPr="00393F6C" w:rsidRDefault="00393F6C" w:rsidP="00393F6C">
            <w:r w:rsidRPr="00393F6C">
              <w:t>Policing justice support program justice element progress report January - June 2015</w:t>
            </w:r>
          </w:p>
        </w:tc>
        <w:tc>
          <w:tcPr>
            <w:tcW w:w="1276" w:type="dxa"/>
            <w:shd w:val="clear" w:color="auto" w:fill="auto"/>
          </w:tcPr>
          <w:p w14:paraId="44D52C13" w14:textId="77777777" w:rsidR="00393F6C" w:rsidRPr="00393F6C" w:rsidRDefault="00393F6C" w:rsidP="00393F6C">
            <w:r w:rsidRPr="00393F6C">
              <w:t>2015</w:t>
            </w:r>
          </w:p>
        </w:tc>
      </w:tr>
      <w:tr w:rsidR="00393F6C" w:rsidRPr="00393F6C" w14:paraId="56CE5A1B" w14:textId="77777777" w:rsidTr="00181CF5">
        <w:tc>
          <w:tcPr>
            <w:tcW w:w="1413" w:type="dxa"/>
            <w:shd w:val="clear" w:color="auto" w:fill="auto"/>
          </w:tcPr>
          <w:p w14:paraId="06B40EB9" w14:textId="77777777" w:rsidR="00393F6C" w:rsidRPr="00393F6C" w:rsidRDefault="00393F6C" w:rsidP="00393F6C">
            <w:r w:rsidRPr="00393F6C">
              <w:t>Palladium</w:t>
            </w:r>
          </w:p>
        </w:tc>
        <w:tc>
          <w:tcPr>
            <w:tcW w:w="6237" w:type="dxa"/>
            <w:shd w:val="clear" w:color="auto" w:fill="auto"/>
          </w:tcPr>
          <w:p w14:paraId="44A584DB" w14:textId="77777777" w:rsidR="00393F6C" w:rsidRPr="00393F6C" w:rsidRDefault="00393F6C" w:rsidP="00393F6C">
            <w:r w:rsidRPr="00393F6C">
              <w:t>Policing justice support program justice element progress report July - December 2015</w:t>
            </w:r>
          </w:p>
        </w:tc>
        <w:tc>
          <w:tcPr>
            <w:tcW w:w="1276" w:type="dxa"/>
            <w:shd w:val="clear" w:color="auto" w:fill="auto"/>
          </w:tcPr>
          <w:p w14:paraId="1CE6A180" w14:textId="77777777" w:rsidR="00393F6C" w:rsidRPr="00393F6C" w:rsidRDefault="00393F6C" w:rsidP="00393F6C">
            <w:r w:rsidRPr="00393F6C">
              <w:t>2015</w:t>
            </w:r>
          </w:p>
        </w:tc>
      </w:tr>
      <w:tr w:rsidR="00393F6C" w:rsidRPr="00393F6C" w14:paraId="246FBFD1" w14:textId="77777777" w:rsidTr="00181CF5">
        <w:tc>
          <w:tcPr>
            <w:tcW w:w="1413" w:type="dxa"/>
            <w:shd w:val="clear" w:color="auto" w:fill="auto"/>
          </w:tcPr>
          <w:p w14:paraId="456396E6" w14:textId="77777777" w:rsidR="00393F6C" w:rsidRPr="00393F6C" w:rsidRDefault="00393F6C" w:rsidP="00393F6C">
            <w:r w:rsidRPr="00393F6C">
              <w:t>AFP</w:t>
            </w:r>
          </w:p>
        </w:tc>
        <w:tc>
          <w:tcPr>
            <w:tcW w:w="6237" w:type="dxa"/>
            <w:shd w:val="clear" w:color="auto" w:fill="auto"/>
          </w:tcPr>
          <w:p w14:paraId="18A0CE46" w14:textId="77777777" w:rsidR="00393F6C" w:rsidRPr="00393F6C" w:rsidRDefault="00393F6C" w:rsidP="00393F6C">
            <w:r w:rsidRPr="00393F6C">
              <w:t>AFP Progress report (July-December 2018)</w:t>
            </w:r>
          </w:p>
        </w:tc>
        <w:tc>
          <w:tcPr>
            <w:tcW w:w="1276" w:type="dxa"/>
            <w:shd w:val="clear" w:color="auto" w:fill="auto"/>
          </w:tcPr>
          <w:p w14:paraId="6C16094D" w14:textId="77777777" w:rsidR="00393F6C" w:rsidRPr="00393F6C" w:rsidRDefault="00393F6C" w:rsidP="00393F6C">
            <w:r w:rsidRPr="00393F6C">
              <w:t>2018</w:t>
            </w:r>
          </w:p>
        </w:tc>
      </w:tr>
      <w:tr w:rsidR="00393F6C" w:rsidRPr="00393F6C" w14:paraId="47E976F0" w14:textId="77777777" w:rsidTr="00181CF5">
        <w:tc>
          <w:tcPr>
            <w:tcW w:w="1413" w:type="dxa"/>
            <w:shd w:val="clear" w:color="auto" w:fill="auto"/>
          </w:tcPr>
          <w:p w14:paraId="6E1E7DAE" w14:textId="77777777" w:rsidR="00393F6C" w:rsidRPr="00393F6C" w:rsidRDefault="00393F6C" w:rsidP="00393F6C">
            <w:r w:rsidRPr="00393F6C">
              <w:t>Palladium</w:t>
            </w:r>
          </w:p>
        </w:tc>
        <w:tc>
          <w:tcPr>
            <w:tcW w:w="6237" w:type="dxa"/>
            <w:shd w:val="clear" w:color="auto" w:fill="auto"/>
          </w:tcPr>
          <w:p w14:paraId="22C8645D" w14:textId="77777777" w:rsidR="00393F6C" w:rsidRPr="00393F6C" w:rsidRDefault="00393F6C" w:rsidP="00393F6C">
            <w:r w:rsidRPr="00393F6C">
              <w:rPr>
                <w:bCs/>
              </w:rPr>
              <w:t xml:space="preserve">SRBJS Six-Monthly </w:t>
            </w:r>
            <w:r w:rsidRPr="00393F6C">
              <w:t>Progress report – July-December 2018</w:t>
            </w:r>
          </w:p>
        </w:tc>
        <w:tc>
          <w:tcPr>
            <w:tcW w:w="1276" w:type="dxa"/>
            <w:shd w:val="clear" w:color="auto" w:fill="auto"/>
          </w:tcPr>
          <w:p w14:paraId="7CBF09D7" w14:textId="77777777" w:rsidR="00393F6C" w:rsidRPr="00393F6C" w:rsidRDefault="00393F6C" w:rsidP="00393F6C">
            <w:r w:rsidRPr="00393F6C">
              <w:t>2018</w:t>
            </w:r>
          </w:p>
        </w:tc>
      </w:tr>
      <w:tr w:rsidR="00393F6C" w:rsidRPr="00393F6C" w14:paraId="53EF833C" w14:textId="77777777" w:rsidTr="00181CF5">
        <w:tc>
          <w:tcPr>
            <w:tcW w:w="1413" w:type="dxa"/>
            <w:shd w:val="clear" w:color="auto" w:fill="auto"/>
          </w:tcPr>
          <w:p w14:paraId="6284BC83" w14:textId="77777777" w:rsidR="00393F6C" w:rsidRPr="00393F6C" w:rsidRDefault="00393F6C" w:rsidP="00393F6C">
            <w:r w:rsidRPr="00393F6C">
              <w:t>Palladium</w:t>
            </w:r>
          </w:p>
        </w:tc>
        <w:tc>
          <w:tcPr>
            <w:tcW w:w="6237" w:type="dxa"/>
            <w:shd w:val="clear" w:color="auto" w:fill="auto"/>
          </w:tcPr>
          <w:p w14:paraId="1940D9F0" w14:textId="77777777" w:rsidR="00393F6C" w:rsidRPr="00393F6C" w:rsidRDefault="00393F6C" w:rsidP="00393F6C">
            <w:pPr>
              <w:rPr>
                <w:bCs/>
              </w:rPr>
            </w:pPr>
            <w:r w:rsidRPr="00393F6C">
              <w:rPr>
                <w:bCs/>
              </w:rPr>
              <w:t xml:space="preserve">SRBJS Six-Monthly </w:t>
            </w:r>
            <w:r w:rsidRPr="00393F6C">
              <w:t>Progress report – January-June 2019</w:t>
            </w:r>
          </w:p>
        </w:tc>
        <w:tc>
          <w:tcPr>
            <w:tcW w:w="1276" w:type="dxa"/>
            <w:shd w:val="clear" w:color="auto" w:fill="auto"/>
          </w:tcPr>
          <w:p w14:paraId="67F598B0" w14:textId="77777777" w:rsidR="00393F6C" w:rsidRPr="00393F6C" w:rsidRDefault="00393F6C" w:rsidP="00393F6C">
            <w:r w:rsidRPr="00393F6C">
              <w:t>2019</w:t>
            </w:r>
          </w:p>
        </w:tc>
      </w:tr>
      <w:tr w:rsidR="00393F6C" w:rsidRPr="00393F6C" w14:paraId="5B72DD09" w14:textId="77777777" w:rsidTr="00181CF5">
        <w:trPr>
          <w:trHeight w:val="274"/>
        </w:trPr>
        <w:tc>
          <w:tcPr>
            <w:tcW w:w="1413" w:type="dxa"/>
            <w:shd w:val="clear" w:color="auto" w:fill="auto"/>
          </w:tcPr>
          <w:p w14:paraId="268A72D5" w14:textId="77777777" w:rsidR="00393F6C" w:rsidRPr="00393F6C" w:rsidRDefault="00393F6C" w:rsidP="00393F6C">
            <w:r w:rsidRPr="00393F6C">
              <w:t>Palladium</w:t>
            </w:r>
          </w:p>
        </w:tc>
        <w:tc>
          <w:tcPr>
            <w:tcW w:w="6237" w:type="dxa"/>
            <w:shd w:val="clear" w:color="auto" w:fill="auto"/>
          </w:tcPr>
          <w:p w14:paraId="28642DA5" w14:textId="77777777" w:rsidR="00393F6C" w:rsidRPr="00393F6C" w:rsidRDefault="00393F6C" w:rsidP="00393F6C">
            <w:r w:rsidRPr="00393F6C">
              <w:rPr>
                <w:bCs/>
              </w:rPr>
              <w:t xml:space="preserve">Six-Monthly </w:t>
            </w:r>
            <w:r w:rsidRPr="00393F6C">
              <w:t>Progress report Annexes:</w:t>
            </w:r>
          </w:p>
          <w:p w14:paraId="2637EBBC" w14:textId="77777777" w:rsidR="00393F6C" w:rsidRPr="00393F6C" w:rsidRDefault="00393F6C" w:rsidP="00393F6C">
            <w:r w:rsidRPr="00393F6C">
              <w:t>Achievement Highlights Table</w:t>
            </w:r>
          </w:p>
          <w:p w14:paraId="4A5B4823" w14:textId="77777777" w:rsidR="00393F6C" w:rsidRPr="00393F6C" w:rsidRDefault="00393F6C" w:rsidP="00393F6C">
            <w:pPr>
              <w:rPr>
                <w:bCs/>
              </w:rPr>
            </w:pPr>
            <w:r w:rsidRPr="00393F6C">
              <w:t xml:space="preserve">Risk Management Table </w:t>
            </w:r>
          </w:p>
          <w:p w14:paraId="2AEB5370" w14:textId="77777777" w:rsidR="00393F6C" w:rsidRPr="00393F6C" w:rsidRDefault="00393F6C" w:rsidP="00393F6C">
            <w:pPr>
              <w:rPr>
                <w:bCs/>
              </w:rPr>
            </w:pPr>
            <w:r w:rsidRPr="00393F6C">
              <w:rPr>
                <w:bCs/>
              </w:rPr>
              <w:t>Indicator Targets and Tracking Sheet</w:t>
            </w:r>
          </w:p>
          <w:p w14:paraId="20ECB8AB" w14:textId="77777777" w:rsidR="00393F6C" w:rsidRPr="00393F6C" w:rsidRDefault="00393F6C" w:rsidP="00393F6C">
            <w:pPr>
              <w:rPr>
                <w:bCs/>
              </w:rPr>
            </w:pPr>
            <w:proofErr w:type="spellStart"/>
            <w:r w:rsidRPr="00393F6C">
              <w:rPr>
                <w:bCs/>
              </w:rPr>
              <w:t>Workplan</w:t>
            </w:r>
            <w:proofErr w:type="spellEnd"/>
            <w:r w:rsidRPr="00393F6C">
              <w:rPr>
                <w:bCs/>
              </w:rPr>
              <w:t xml:space="preserve"> tracking of outputs</w:t>
            </w:r>
          </w:p>
          <w:p w14:paraId="34754ED0" w14:textId="77777777" w:rsidR="00393F6C" w:rsidRPr="00393F6C" w:rsidRDefault="00393F6C" w:rsidP="00393F6C">
            <w:pPr>
              <w:rPr>
                <w:bCs/>
              </w:rPr>
            </w:pPr>
            <w:r w:rsidRPr="00393F6C">
              <w:rPr>
                <w:bCs/>
              </w:rPr>
              <w:t>Overarching progress against outcomes</w:t>
            </w:r>
          </w:p>
          <w:p w14:paraId="135D6179" w14:textId="77777777" w:rsidR="00393F6C" w:rsidRPr="00393F6C" w:rsidRDefault="00393F6C" w:rsidP="00393F6C">
            <w:pPr>
              <w:rPr>
                <w:bCs/>
              </w:rPr>
            </w:pPr>
            <w:r w:rsidRPr="00393F6C">
              <w:rPr>
                <w:bCs/>
              </w:rPr>
              <w:t>Number, Reach and Coverage Table</w:t>
            </w:r>
          </w:p>
          <w:p w14:paraId="0071259E" w14:textId="77777777" w:rsidR="00393F6C" w:rsidRPr="00393F6C" w:rsidRDefault="00393F6C" w:rsidP="00393F6C">
            <w:pPr>
              <w:rPr>
                <w:bCs/>
              </w:rPr>
            </w:pPr>
            <w:r w:rsidRPr="00393F6C">
              <w:rPr>
                <w:bCs/>
              </w:rPr>
              <w:t>Opportunities to strengthen OPs (2019 only)</w:t>
            </w:r>
          </w:p>
        </w:tc>
        <w:tc>
          <w:tcPr>
            <w:tcW w:w="1276" w:type="dxa"/>
            <w:shd w:val="clear" w:color="auto" w:fill="auto"/>
          </w:tcPr>
          <w:p w14:paraId="0FBCDCE4" w14:textId="77777777" w:rsidR="00393F6C" w:rsidRPr="00393F6C" w:rsidRDefault="00393F6C" w:rsidP="00393F6C">
            <w:r w:rsidRPr="00393F6C">
              <w:t>2018 - 2019</w:t>
            </w:r>
          </w:p>
        </w:tc>
      </w:tr>
      <w:tr w:rsidR="00393F6C" w:rsidRPr="00393F6C" w14:paraId="35620ECF" w14:textId="77777777" w:rsidTr="00181CF5">
        <w:trPr>
          <w:trHeight w:val="274"/>
        </w:trPr>
        <w:tc>
          <w:tcPr>
            <w:tcW w:w="1413" w:type="dxa"/>
            <w:shd w:val="clear" w:color="auto" w:fill="auto"/>
          </w:tcPr>
          <w:p w14:paraId="60968F2D" w14:textId="77777777" w:rsidR="00393F6C" w:rsidRPr="00393F6C" w:rsidRDefault="00393F6C" w:rsidP="00393F6C">
            <w:r w:rsidRPr="00393F6C">
              <w:t>VWC</w:t>
            </w:r>
          </w:p>
        </w:tc>
        <w:tc>
          <w:tcPr>
            <w:tcW w:w="6237" w:type="dxa"/>
            <w:shd w:val="clear" w:color="auto" w:fill="auto"/>
          </w:tcPr>
          <w:p w14:paraId="0AFF9EE5" w14:textId="77777777" w:rsidR="00393F6C" w:rsidRPr="00393F6C" w:rsidRDefault="00393F6C" w:rsidP="00393F6C">
            <w:pPr>
              <w:rPr>
                <w:bCs/>
              </w:rPr>
            </w:pPr>
            <w:r w:rsidRPr="00393F6C">
              <w:rPr>
                <w:bCs/>
              </w:rPr>
              <w:t>Progress Report 3</w:t>
            </w:r>
          </w:p>
        </w:tc>
        <w:tc>
          <w:tcPr>
            <w:tcW w:w="1276" w:type="dxa"/>
            <w:shd w:val="clear" w:color="auto" w:fill="auto"/>
          </w:tcPr>
          <w:p w14:paraId="0B7F801A" w14:textId="77777777" w:rsidR="00393F6C" w:rsidRPr="00393F6C" w:rsidRDefault="00393F6C" w:rsidP="00393F6C">
            <w:r w:rsidRPr="00393F6C">
              <w:t>2019</w:t>
            </w:r>
          </w:p>
        </w:tc>
      </w:tr>
      <w:tr w:rsidR="00393F6C" w:rsidRPr="00393F6C" w14:paraId="393282EF" w14:textId="77777777" w:rsidTr="00181CF5">
        <w:tc>
          <w:tcPr>
            <w:tcW w:w="8926" w:type="dxa"/>
            <w:gridSpan w:val="3"/>
            <w:shd w:val="clear" w:color="auto" w:fill="F2F2F2" w:themeFill="background1" w:themeFillShade="F2"/>
          </w:tcPr>
          <w:p w14:paraId="0DDED8DE" w14:textId="77777777" w:rsidR="00393F6C" w:rsidRPr="00393F6C" w:rsidRDefault="00393F6C" w:rsidP="00393F6C">
            <w:pPr>
              <w:rPr>
                <w:b/>
              </w:rPr>
            </w:pPr>
            <w:r w:rsidRPr="00393F6C">
              <w:rPr>
                <w:b/>
              </w:rPr>
              <w:t>Research, reviews and evaluations</w:t>
            </w:r>
          </w:p>
        </w:tc>
      </w:tr>
      <w:tr w:rsidR="00393F6C" w:rsidRPr="00393F6C" w14:paraId="3151E271" w14:textId="77777777" w:rsidTr="00181CF5">
        <w:tc>
          <w:tcPr>
            <w:tcW w:w="1413" w:type="dxa"/>
            <w:shd w:val="clear" w:color="auto" w:fill="auto"/>
          </w:tcPr>
          <w:p w14:paraId="61D5CCD6" w14:textId="77777777" w:rsidR="00393F6C" w:rsidRPr="00393F6C" w:rsidRDefault="00393F6C" w:rsidP="00393F6C">
            <w:r w:rsidRPr="00393F6C">
              <w:t>VWC</w:t>
            </w:r>
          </w:p>
        </w:tc>
        <w:tc>
          <w:tcPr>
            <w:tcW w:w="6237" w:type="dxa"/>
            <w:shd w:val="clear" w:color="auto" w:fill="auto"/>
          </w:tcPr>
          <w:p w14:paraId="6220088E" w14:textId="77777777" w:rsidR="00393F6C" w:rsidRPr="00393F6C" w:rsidRDefault="00393F6C" w:rsidP="00393F6C">
            <w:r w:rsidRPr="00393F6C">
              <w:t>Vanuatu National Survey on Women’s Lives and Family Relationships</w:t>
            </w:r>
          </w:p>
        </w:tc>
        <w:tc>
          <w:tcPr>
            <w:tcW w:w="1276" w:type="dxa"/>
            <w:shd w:val="clear" w:color="auto" w:fill="auto"/>
          </w:tcPr>
          <w:p w14:paraId="01F50F20" w14:textId="77777777" w:rsidR="00393F6C" w:rsidRPr="00393F6C" w:rsidRDefault="00393F6C" w:rsidP="00393F6C">
            <w:r w:rsidRPr="00393F6C">
              <w:t>2011</w:t>
            </w:r>
          </w:p>
        </w:tc>
      </w:tr>
      <w:tr w:rsidR="00393F6C" w:rsidRPr="00393F6C" w14:paraId="7204943C" w14:textId="77777777" w:rsidTr="00181CF5">
        <w:tc>
          <w:tcPr>
            <w:tcW w:w="1413" w:type="dxa"/>
            <w:shd w:val="clear" w:color="auto" w:fill="auto"/>
          </w:tcPr>
          <w:p w14:paraId="2D68DC26" w14:textId="77777777" w:rsidR="00393F6C" w:rsidRPr="00393F6C" w:rsidRDefault="00393F6C" w:rsidP="00393F6C">
            <w:r w:rsidRPr="00393F6C">
              <w:t>DFAT</w:t>
            </w:r>
          </w:p>
        </w:tc>
        <w:tc>
          <w:tcPr>
            <w:tcW w:w="6237" w:type="dxa"/>
            <w:shd w:val="clear" w:color="auto" w:fill="auto"/>
          </w:tcPr>
          <w:p w14:paraId="2AD27925" w14:textId="77777777" w:rsidR="00393F6C" w:rsidRPr="00393F6C" w:rsidRDefault="00393F6C" w:rsidP="00393F6C">
            <w:r w:rsidRPr="00393F6C">
              <w:t>Law justice building on local strengths: Evaluation of Australian Law and Justice Assistance</w:t>
            </w:r>
          </w:p>
        </w:tc>
        <w:tc>
          <w:tcPr>
            <w:tcW w:w="1276" w:type="dxa"/>
            <w:shd w:val="clear" w:color="auto" w:fill="auto"/>
          </w:tcPr>
          <w:p w14:paraId="677E4406" w14:textId="77777777" w:rsidR="00393F6C" w:rsidRPr="00393F6C" w:rsidRDefault="00393F6C" w:rsidP="00393F6C">
            <w:r w:rsidRPr="00393F6C">
              <w:t>2012</w:t>
            </w:r>
          </w:p>
        </w:tc>
      </w:tr>
      <w:tr w:rsidR="00393F6C" w:rsidRPr="00393F6C" w14:paraId="1DEECA73" w14:textId="77777777" w:rsidTr="00181CF5">
        <w:tc>
          <w:tcPr>
            <w:tcW w:w="1413" w:type="dxa"/>
            <w:shd w:val="clear" w:color="auto" w:fill="auto"/>
          </w:tcPr>
          <w:p w14:paraId="34B7BDE1" w14:textId="77777777" w:rsidR="00393F6C" w:rsidRPr="00393F6C" w:rsidRDefault="00393F6C" w:rsidP="00393F6C">
            <w:r w:rsidRPr="00393F6C">
              <w:t>Leigh Toomey</w:t>
            </w:r>
          </w:p>
        </w:tc>
        <w:tc>
          <w:tcPr>
            <w:tcW w:w="6237" w:type="dxa"/>
            <w:shd w:val="clear" w:color="auto" w:fill="auto"/>
          </w:tcPr>
          <w:p w14:paraId="07FC32CA" w14:textId="77777777" w:rsidR="00393F6C" w:rsidRPr="00393F6C" w:rsidRDefault="00393F6C" w:rsidP="00393F6C">
            <w:r w:rsidRPr="00393F6C">
              <w:t>Evaluation of the participation of women in the VPF</w:t>
            </w:r>
            <w:r w:rsidRPr="00393F6C">
              <w:rPr>
                <w:sz w:val="16"/>
                <w:szCs w:val="16"/>
              </w:rPr>
              <w:t xml:space="preserve"> </w:t>
            </w:r>
            <w:r w:rsidRPr="00393F6C">
              <w:t xml:space="preserve">(and tracking of implementation of recommendations) </w:t>
            </w:r>
          </w:p>
        </w:tc>
        <w:tc>
          <w:tcPr>
            <w:tcW w:w="1276" w:type="dxa"/>
            <w:shd w:val="clear" w:color="auto" w:fill="auto"/>
          </w:tcPr>
          <w:p w14:paraId="71351EE2" w14:textId="77777777" w:rsidR="00393F6C" w:rsidRPr="00393F6C" w:rsidRDefault="00393F6C" w:rsidP="00393F6C">
            <w:r w:rsidRPr="00393F6C">
              <w:t>2015</w:t>
            </w:r>
          </w:p>
        </w:tc>
      </w:tr>
      <w:tr w:rsidR="00393F6C" w:rsidRPr="00393F6C" w14:paraId="44CF40EA" w14:textId="77777777" w:rsidTr="00181CF5">
        <w:tc>
          <w:tcPr>
            <w:tcW w:w="1413" w:type="dxa"/>
            <w:shd w:val="clear" w:color="auto" w:fill="auto"/>
          </w:tcPr>
          <w:p w14:paraId="6CD96B7A" w14:textId="77777777" w:rsidR="00393F6C" w:rsidRPr="00393F6C" w:rsidRDefault="00393F6C" w:rsidP="00393F6C">
            <w:r w:rsidRPr="00393F6C">
              <w:t>Palladium</w:t>
            </w:r>
          </w:p>
        </w:tc>
        <w:tc>
          <w:tcPr>
            <w:tcW w:w="6237" w:type="dxa"/>
            <w:shd w:val="clear" w:color="auto" w:fill="auto"/>
          </w:tcPr>
          <w:p w14:paraId="6BFD0F05" w14:textId="77777777" w:rsidR="00393F6C" w:rsidRPr="00393F6C" w:rsidRDefault="00393F6C" w:rsidP="00393F6C">
            <w:r w:rsidRPr="00393F6C">
              <w:t>Evaluation Report - PJSPV Support for Case and Data Management Systems and management response</w:t>
            </w:r>
          </w:p>
        </w:tc>
        <w:tc>
          <w:tcPr>
            <w:tcW w:w="1276" w:type="dxa"/>
            <w:shd w:val="clear" w:color="auto" w:fill="auto"/>
          </w:tcPr>
          <w:p w14:paraId="66361BA4" w14:textId="77777777" w:rsidR="00393F6C" w:rsidRPr="00393F6C" w:rsidRDefault="00393F6C" w:rsidP="00393F6C">
            <w:r w:rsidRPr="00393F6C">
              <w:t>2015</w:t>
            </w:r>
          </w:p>
        </w:tc>
      </w:tr>
      <w:tr w:rsidR="00393F6C" w:rsidRPr="00393F6C" w14:paraId="07662932" w14:textId="77777777" w:rsidTr="00181CF5">
        <w:tc>
          <w:tcPr>
            <w:tcW w:w="1413" w:type="dxa"/>
            <w:shd w:val="clear" w:color="auto" w:fill="auto"/>
          </w:tcPr>
          <w:p w14:paraId="5DFA1EC8" w14:textId="77777777" w:rsidR="00393F6C" w:rsidRPr="00393F6C" w:rsidRDefault="00393F6C" w:rsidP="00393F6C">
            <w:r w:rsidRPr="00393F6C">
              <w:t>Palladium</w:t>
            </w:r>
          </w:p>
        </w:tc>
        <w:tc>
          <w:tcPr>
            <w:tcW w:w="6237" w:type="dxa"/>
            <w:shd w:val="clear" w:color="auto" w:fill="auto"/>
          </w:tcPr>
          <w:p w14:paraId="5F7BCD53" w14:textId="77777777" w:rsidR="00393F6C" w:rsidRPr="00393F6C" w:rsidRDefault="00393F6C" w:rsidP="00393F6C">
            <w:r w:rsidRPr="00393F6C">
              <w:t>Review of SRBJ Grants Facility and management response</w:t>
            </w:r>
          </w:p>
        </w:tc>
        <w:tc>
          <w:tcPr>
            <w:tcW w:w="1276" w:type="dxa"/>
            <w:shd w:val="clear" w:color="auto" w:fill="auto"/>
          </w:tcPr>
          <w:p w14:paraId="2B80CDDC" w14:textId="77777777" w:rsidR="00393F6C" w:rsidRPr="00393F6C" w:rsidRDefault="00393F6C" w:rsidP="00393F6C">
            <w:r w:rsidRPr="00393F6C">
              <w:t>2015</w:t>
            </w:r>
          </w:p>
        </w:tc>
      </w:tr>
      <w:tr w:rsidR="00393F6C" w:rsidRPr="00393F6C" w14:paraId="3B55C775" w14:textId="77777777" w:rsidTr="00181CF5">
        <w:tc>
          <w:tcPr>
            <w:tcW w:w="1413" w:type="dxa"/>
            <w:shd w:val="clear" w:color="auto" w:fill="auto"/>
          </w:tcPr>
          <w:p w14:paraId="75472672" w14:textId="77777777" w:rsidR="00393F6C" w:rsidRPr="00393F6C" w:rsidRDefault="00393F6C" w:rsidP="00393F6C">
            <w:r w:rsidRPr="00393F6C">
              <w:t>Palladium</w:t>
            </w:r>
          </w:p>
        </w:tc>
        <w:tc>
          <w:tcPr>
            <w:tcW w:w="6237" w:type="dxa"/>
            <w:shd w:val="clear" w:color="auto" w:fill="auto"/>
          </w:tcPr>
          <w:p w14:paraId="459AE7F6" w14:textId="77777777" w:rsidR="00393F6C" w:rsidRPr="00393F6C" w:rsidRDefault="00393F6C" w:rsidP="00393F6C">
            <w:r w:rsidRPr="00393F6C">
              <w:t xml:space="preserve">Evaluation of program support for sector collaboration </w:t>
            </w:r>
          </w:p>
        </w:tc>
        <w:tc>
          <w:tcPr>
            <w:tcW w:w="1276" w:type="dxa"/>
            <w:shd w:val="clear" w:color="auto" w:fill="auto"/>
          </w:tcPr>
          <w:p w14:paraId="62C1AEA4" w14:textId="77777777" w:rsidR="00393F6C" w:rsidRPr="00393F6C" w:rsidRDefault="00393F6C" w:rsidP="00393F6C">
            <w:r w:rsidRPr="00393F6C">
              <w:t>2016</w:t>
            </w:r>
          </w:p>
        </w:tc>
      </w:tr>
      <w:tr w:rsidR="00393F6C" w:rsidRPr="00393F6C" w14:paraId="25136E8B" w14:textId="77777777" w:rsidTr="00181CF5">
        <w:tc>
          <w:tcPr>
            <w:tcW w:w="1413" w:type="dxa"/>
            <w:shd w:val="clear" w:color="auto" w:fill="auto"/>
          </w:tcPr>
          <w:p w14:paraId="64D1B356" w14:textId="77777777" w:rsidR="00393F6C" w:rsidRPr="00393F6C" w:rsidRDefault="00393F6C" w:rsidP="00393F6C">
            <w:r w:rsidRPr="00393F6C">
              <w:t xml:space="preserve">Vicki </w:t>
            </w:r>
            <w:proofErr w:type="spellStart"/>
            <w:r w:rsidRPr="00393F6C">
              <w:t>Vaartjes</w:t>
            </w:r>
            <w:proofErr w:type="spellEnd"/>
          </w:p>
        </w:tc>
        <w:tc>
          <w:tcPr>
            <w:tcW w:w="6237" w:type="dxa"/>
            <w:shd w:val="clear" w:color="auto" w:fill="auto"/>
          </w:tcPr>
          <w:p w14:paraId="5BD9D04B" w14:textId="77777777" w:rsidR="00393F6C" w:rsidRPr="00393F6C" w:rsidRDefault="00393F6C" w:rsidP="00393F6C">
            <w:r w:rsidRPr="00393F6C">
              <w:t>Evaluation Report: Legal Advocacy Skills Development in the Public Sector, Vanuatu</w:t>
            </w:r>
          </w:p>
        </w:tc>
        <w:tc>
          <w:tcPr>
            <w:tcW w:w="1276" w:type="dxa"/>
            <w:shd w:val="clear" w:color="auto" w:fill="auto"/>
          </w:tcPr>
          <w:p w14:paraId="4E18B638" w14:textId="77777777" w:rsidR="00393F6C" w:rsidRPr="00393F6C" w:rsidRDefault="00393F6C" w:rsidP="00393F6C">
            <w:r w:rsidRPr="00393F6C">
              <w:t>2016</w:t>
            </w:r>
          </w:p>
        </w:tc>
      </w:tr>
      <w:tr w:rsidR="00393F6C" w:rsidRPr="00393F6C" w14:paraId="0C8D574B" w14:textId="77777777" w:rsidTr="00181CF5">
        <w:tc>
          <w:tcPr>
            <w:tcW w:w="1413" w:type="dxa"/>
            <w:shd w:val="clear" w:color="auto" w:fill="auto"/>
          </w:tcPr>
          <w:p w14:paraId="7584890F" w14:textId="77777777" w:rsidR="00393F6C" w:rsidRPr="00393F6C" w:rsidRDefault="00393F6C" w:rsidP="00393F6C">
            <w:r w:rsidRPr="00393F6C">
              <w:t xml:space="preserve">Vicki </w:t>
            </w:r>
            <w:proofErr w:type="spellStart"/>
            <w:r w:rsidRPr="00393F6C">
              <w:t>Vaartjes</w:t>
            </w:r>
            <w:proofErr w:type="spellEnd"/>
          </w:p>
        </w:tc>
        <w:tc>
          <w:tcPr>
            <w:tcW w:w="6237" w:type="dxa"/>
            <w:shd w:val="clear" w:color="auto" w:fill="auto"/>
          </w:tcPr>
          <w:p w14:paraId="788AF7FC" w14:textId="77777777" w:rsidR="00393F6C" w:rsidRPr="00393F6C" w:rsidRDefault="00393F6C" w:rsidP="00393F6C">
            <w:r w:rsidRPr="00393F6C">
              <w:t xml:space="preserve">Women in Leadership Mentoring Program: Status Update </w:t>
            </w:r>
          </w:p>
        </w:tc>
        <w:tc>
          <w:tcPr>
            <w:tcW w:w="1276" w:type="dxa"/>
            <w:shd w:val="clear" w:color="auto" w:fill="auto"/>
          </w:tcPr>
          <w:p w14:paraId="06588259" w14:textId="77777777" w:rsidR="00393F6C" w:rsidRPr="00393F6C" w:rsidRDefault="00393F6C" w:rsidP="00393F6C">
            <w:r w:rsidRPr="00393F6C">
              <w:t>2016</w:t>
            </w:r>
          </w:p>
        </w:tc>
      </w:tr>
      <w:tr w:rsidR="00393F6C" w:rsidRPr="00393F6C" w14:paraId="3AABAFA2" w14:textId="77777777" w:rsidTr="00181CF5">
        <w:tc>
          <w:tcPr>
            <w:tcW w:w="1413" w:type="dxa"/>
            <w:shd w:val="clear" w:color="auto" w:fill="auto"/>
          </w:tcPr>
          <w:p w14:paraId="255A8C40" w14:textId="77777777" w:rsidR="00393F6C" w:rsidRPr="00393F6C" w:rsidRDefault="00393F6C" w:rsidP="00393F6C">
            <w:r w:rsidRPr="00393F6C">
              <w:t xml:space="preserve">Vicki </w:t>
            </w:r>
            <w:proofErr w:type="spellStart"/>
            <w:r w:rsidRPr="00393F6C">
              <w:t>Vaartjes</w:t>
            </w:r>
            <w:proofErr w:type="spellEnd"/>
          </w:p>
        </w:tc>
        <w:tc>
          <w:tcPr>
            <w:tcW w:w="6237" w:type="dxa"/>
            <w:shd w:val="clear" w:color="auto" w:fill="auto"/>
          </w:tcPr>
          <w:p w14:paraId="1DC328FA" w14:textId="77777777" w:rsidR="00393F6C" w:rsidRPr="00393F6C" w:rsidRDefault="00393F6C" w:rsidP="00393F6C">
            <w:r w:rsidRPr="00393F6C">
              <w:t>Evaluation: Strengthening Skills in Administrative Investigations</w:t>
            </w:r>
          </w:p>
        </w:tc>
        <w:tc>
          <w:tcPr>
            <w:tcW w:w="1276" w:type="dxa"/>
            <w:shd w:val="clear" w:color="auto" w:fill="auto"/>
          </w:tcPr>
          <w:p w14:paraId="6307BB5C" w14:textId="77777777" w:rsidR="00393F6C" w:rsidRPr="00393F6C" w:rsidRDefault="00393F6C" w:rsidP="00393F6C">
            <w:r w:rsidRPr="00393F6C">
              <w:t>2016</w:t>
            </w:r>
          </w:p>
        </w:tc>
      </w:tr>
      <w:tr w:rsidR="00393F6C" w:rsidRPr="00393F6C" w14:paraId="6669750B" w14:textId="77777777" w:rsidTr="00181CF5">
        <w:tc>
          <w:tcPr>
            <w:tcW w:w="1413" w:type="dxa"/>
            <w:shd w:val="clear" w:color="auto" w:fill="auto"/>
          </w:tcPr>
          <w:p w14:paraId="677DB350" w14:textId="77777777" w:rsidR="00393F6C" w:rsidRPr="00393F6C" w:rsidRDefault="00393F6C" w:rsidP="00393F6C">
            <w:r w:rsidRPr="00393F6C">
              <w:t xml:space="preserve">Vicki </w:t>
            </w:r>
            <w:proofErr w:type="spellStart"/>
            <w:r w:rsidRPr="00393F6C">
              <w:t>Vaartjes</w:t>
            </w:r>
            <w:proofErr w:type="spellEnd"/>
          </w:p>
        </w:tc>
        <w:tc>
          <w:tcPr>
            <w:tcW w:w="6237" w:type="dxa"/>
            <w:shd w:val="clear" w:color="auto" w:fill="auto"/>
          </w:tcPr>
          <w:p w14:paraId="5C54FF9E" w14:textId="77777777" w:rsidR="00393F6C" w:rsidRPr="00393F6C" w:rsidRDefault="00393F6C" w:rsidP="00393F6C">
            <w:r w:rsidRPr="00393F6C">
              <w:t>Improving Service Delivery in Justice Institutions, Case Study: Improvement in Case Management in State Prosecutions Department</w:t>
            </w:r>
          </w:p>
        </w:tc>
        <w:tc>
          <w:tcPr>
            <w:tcW w:w="1276" w:type="dxa"/>
            <w:shd w:val="clear" w:color="auto" w:fill="auto"/>
          </w:tcPr>
          <w:p w14:paraId="43DF3E65" w14:textId="77777777" w:rsidR="00393F6C" w:rsidRPr="00393F6C" w:rsidRDefault="00393F6C" w:rsidP="00393F6C">
            <w:r w:rsidRPr="00393F6C">
              <w:t>2016</w:t>
            </w:r>
          </w:p>
        </w:tc>
      </w:tr>
      <w:tr w:rsidR="00393F6C" w:rsidRPr="00393F6C" w14:paraId="5BE8092E" w14:textId="77777777" w:rsidTr="00181CF5">
        <w:tc>
          <w:tcPr>
            <w:tcW w:w="1413" w:type="dxa"/>
            <w:shd w:val="clear" w:color="auto" w:fill="auto"/>
          </w:tcPr>
          <w:p w14:paraId="76BC045B" w14:textId="77777777" w:rsidR="00393F6C" w:rsidRPr="00393F6C" w:rsidRDefault="00393F6C" w:rsidP="00393F6C">
            <w:proofErr w:type="spellStart"/>
            <w:r w:rsidRPr="00393F6C">
              <w:t>Cardno</w:t>
            </w:r>
            <w:proofErr w:type="spellEnd"/>
          </w:p>
        </w:tc>
        <w:tc>
          <w:tcPr>
            <w:tcW w:w="6237" w:type="dxa"/>
            <w:shd w:val="clear" w:color="auto" w:fill="auto"/>
          </w:tcPr>
          <w:p w14:paraId="25FFFD56" w14:textId="77777777" w:rsidR="00393F6C" w:rsidRPr="00393F6C" w:rsidRDefault="00393F6C" w:rsidP="00393F6C">
            <w:r w:rsidRPr="00393F6C">
              <w:t>Vanuatu policing justice support program review</w:t>
            </w:r>
          </w:p>
        </w:tc>
        <w:tc>
          <w:tcPr>
            <w:tcW w:w="1276" w:type="dxa"/>
            <w:shd w:val="clear" w:color="auto" w:fill="auto"/>
          </w:tcPr>
          <w:p w14:paraId="68A6A3D5" w14:textId="77777777" w:rsidR="00393F6C" w:rsidRPr="00393F6C" w:rsidRDefault="00393F6C" w:rsidP="00393F6C">
            <w:r w:rsidRPr="00393F6C">
              <w:t>2016</w:t>
            </w:r>
          </w:p>
        </w:tc>
      </w:tr>
      <w:tr w:rsidR="00393F6C" w:rsidRPr="00393F6C" w14:paraId="5CEB0AFE" w14:textId="77777777" w:rsidTr="00181CF5">
        <w:tc>
          <w:tcPr>
            <w:tcW w:w="1413" w:type="dxa"/>
            <w:shd w:val="clear" w:color="auto" w:fill="auto"/>
          </w:tcPr>
          <w:p w14:paraId="6FB50BA4" w14:textId="77777777" w:rsidR="00393F6C" w:rsidRPr="00393F6C" w:rsidRDefault="00393F6C" w:rsidP="00393F6C">
            <w:r w:rsidRPr="00393F6C">
              <w:t>DFAT</w:t>
            </w:r>
          </w:p>
        </w:tc>
        <w:tc>
          <w:tcPr>
            <w:tcW w:w="6237" w:type="dxa"/>
            <w:shd w:val="clear" w:color="auto" w:fill="auto"/>
          </w:tcPr>
          <w:p w14:paraId="0F8C7BEE" w14:textId="77777777" w:rsidR="00393F6C" w:rsidRPr="00393F6C" w:rsidRDefault="00393F6C" w:rsidP="00393F6C">
            <w:pPr>
              <w:tabs>
                <w:tab w:val="left" w:pos="1530"/>
              </w:tabs>
            </w:pPr>
            <w:r w:rsidRPr="00393F6C">
              <w:t>DFAT Management response to PJSPV review</w:t>
            </w:r>
          </w:p>
        </w:tc>
        <w:tc>
          <w:tcPr>
            <w:tcW w:w="1276" w:type="dxa"/>
            <w:shd w:val="clear" w:color="auto" w:fill="auto"/>
          </w:tcPr>
          <w:p w14:paraId="1B7B1BED" w14:textId="77777777" w:rsidR="00393F6C" w:rsidRPr="00393F6C" w:rsidRDefault="00393F6C" w:rsidP="00393F6C">
            <w:r w:rsidRPr="00393F6C">
              <w:t>2016</w:t>
            </w:r>
          </w:p>
        </w:tc>
      </w:tr>
      <w:tr w:rsidR="00393F6C" w:rsidRPr="00393F6C" w14:paraId="76CB748D" w14:textId="77777777" w:rsidTr="00181CF5">
        <w:tc>
          <w:tcPr>
            <w:tcW w:w="1413" w:type="dxa"/>
            <w:shd w:val="clear" w:color="auto" w:fill="auto"/>
          </w:tcPr>
          <w:p w14:paraId="40119F72" w14:textId="77777777" w:rsidR="00393F6C" w:rsidRPr="00393F6C" w:rsidRDefault="00393F6C" w:rsidP="00393F6C">
            <w:r w:rsidRPr="00393F6C">
              <w:t>DFAT</w:t>
            </w:r>
          </w:p>
        </w:tc>
        <w:tc>
          <w:tcPr>
            <w:tcW w:w="6237" w:type="dxa"/>
            <w:shd w:val="clear" w:color="auto" w:fill="auto"/>
          </w:tcPr>
          <w:p w14:paraId="7F1EA4D6" w14:textId="77777777" w:rsidR="00393F6C" w:rsidRPr="00393F6C" w:rsidRDefault="00393F6C" w:rsidP="00393F6C">
            <w:r w:rsidRPr="00393F6C">
              <w:t>Conflict management access to justice in rural Vanuatu</w:t>
            </w:r>
          </w:p>
        </w:tc>
        <w:tc>
          <w:tcPr>
            <w:tcW w:w="1276" w:type="dxa"/>
            <w:shd w:val="clear" w:color="auto" w:fill="auto"/>
          </w:tcPr>
          <w:p w14:paraId="55A6B06F" w14:textId="77777777" w:rsidR="00393F6C" w:rsidRPr="00393F6C" w:rsidRDefault="00393F6C" w:rsidP="00393F6C">
            <w:r w:rsidRPr="00393F6C">
              <w:t>2016</w:t>
            </w:r>
          </w:p>
        </w:tc>
      </w:tr>
      <w:tr w:rsidR="00393F6C" w:rsidRPr="00393F6C" w14:paraId="421A6FF7" w14:textId="77777777" w:rsidTr="00181CF5">
        <w:tc>
          <w:tcPr>
            <w:tcW w:w="1413" w:type="dxa"/>
            <w:shd w:val="clear" w:color="auto" w:fill="auto"/>
          </w:tcPr>
          <w:p w14:paraId="76434A71" w14:textId="77777777" w:rsidR="00393F6C" w:rsidRPr="00393F6C" w:rsidRDefault="00393F6C" w:rsidP="00393F6C">
            <w:pPr>
              <w:jc w:val="both"/>
              <w:rPr>
                <w:rFonts w:eastAsia="SimSun"/>
                <w:color w:val="000000"/>
                <w:lang w:eastAsia="zh-CN"/>
              </w:rPr>
            </w:pPr>
            <w:r w:rsidRPr="00393F6C">
              <w:rPr>
                <w:rFonts w:eastAsia="SimSun"/>
                <w:color w:val="000000"/>
                <w:lang w:eastAsia="zh-CN"/>
              </w:rPr>
              <w:t xml:space="preserve">Palladium </w:t>
            </w:r>
          </w:p>
        </w:tc>
        <w:tc>
          <w:tcPr>
            <w:tcW w:w="6237" w:type="dxa"/>
            <w:shd w:val="clear" w:color="auto" w:fill="auto"/>
          </w:tcPr>
          <w:p w14:paraId="0E8BCFC2" w14:textId="77777777" w:rsidR="00393F6C" w:rsidRPr="00393F6C" w:rsidRDefault="00393F6C" w:rsidP="00393F6C">
            <w:r w:rsidRPr="00393F6C">
              <w:t>Access to Justice for Young People in Peri-Urban Port Vila</w:t>
            </w:r>
          </w:p>
        </w:tc>
        <w:tc>
          <w:tcPr>
            <w:tcW w:w="1276" w:type="dxa"/>
            <w:shd w:val="clear" w:color="auto" w:fill="auto"/>
          </w:tcPr>
          <w:p w14:paraId="24ADFEF3" w14:textId="77777777" w:rsidR="00393F6C" w:rsidRPr="00393F6C" w:rsidRDefault="00393F6C" w:rsidP="00393F6C">
            <w:r w:rsidRPr="00393F6C">
              <w:t>2017</w:t>
            </w:r>
          </w:p>
        </w:tc>
      </w:tr>
      <w:tr w:rsidR="00393F6C" w:rsidRPr="00393F6C" w14:paraId="5F0B8769" w14:textId="77777777" w:rsidTr="00181CF5">
        <w:tc>
          <w:tcPr>
            <w:tcW w:w="1413" w:type="dxa"/>
            <w:shd w:val="clear" w:color="auto" w:fill="auto"/>
          </w:tcPr>
          <w:p w14:paraId="0B463FB5" w14:textId="77777777" w:rsidR="00393F6C" w:rsidRPr="00393F6C" w:rsidRDefault="00393F6C" w:rsidP="00393F6C">
            <w:pPr>
              <w:jc w:val="both"/>
              <w:rPr>
                <w:rFonts w:eastAsia="SimSun"/>
                <w:color w:val="000000"/>
                <w:lang w:eastAsia="zh-CN"/>
              </w:rPr>
            </w:pPr>
            <w:r w:rsidRPr="00393F6C">
              <w:rPr>
                <w:rFonts w:eastAsia="SimSun"/>
                <w:color w:val="000000"/>
                <w:lang w:eastAsia="zh-CN"/>
              </w:rPr>
              <w:t>DFAT</w:t>
            </w:r>
          </w:p>
        </w:tc>
        <w:tc>
          <w:tcPr>
            <w:tcW w:w="6237" w:type="dxa"/>
            <w:shd w:val="clear" w:color="auto" w:fill="auto"/>
          </w:tcPr>
          <w:p w14:paraId="2106C897" w14:textId="77777777" w:rsidR="00393F6C" w:rsidRPr="00393F6C" w:rsidRDefault="00393F6C" w:rsidP="00393F6C">
            <w:bookmarkStart w:id="67" w:name="_Toc536608720"/>
            <w:bookmarkStart w:id="68" w:name="_Toc536608399"/>
            <w:bookmarkStart w:id="69" w:name="_Toc536542827"/>
            <w:bookmarkStart w:id="70" w:name="_Toc536443941"/>
            <w:bookmarkStart w:id="71" w:name="_Toc536093153"/>
            <w:bookmarkStart w:id="72" w:name="_Toc535838939"/>
            <w:bookmarkStart w:id="73" w:name="_Toc535500292"/>
            <w:bookmarkStart w:id="74" w:name="_Toc535500203"/>
            <w:bookmarkStart w:id="75" w:name="_Toc533071816"/>
            <w:bookmarkStart w:id="76" w:name="_Toc532972573"/>
            <w:bookmarkStart w:id="77" w:name="_Toc532971651"/>
            <w:bookmarkStart w:id="78" w:name="_Toc532970428"/>
            <w:bookmarkStart w:id="79" w:name="_Toc531435989"/>
            <w:bookmarkStart w:id="80" w:name="_Toc230561229"/>
            <w:bookmarkStart w:id="81" w:name="_Toc230561178"/>
            <w:bookmarkStart w:id="82" w:name="_Toc230561126"/>
            <w:bookmarkStart w:id="83" w:name="_Toc230560970"/>
            <w:bookmarkStart w:id="84" w:name="_Toc230560884"/>
            <w:bookmarkStart w:id="85" w:name="_Toc230560823"/>
            <w:bookmarkStart w:id="86" w:name="_Toc230560650"/>
            <w:bookmarkStart w:id="87" w:name="_Toc230560466"/>
            <w:bookmarkStart w:id="88" w:name="_Toc230560316"/>
            <w:bookmarkStart w:id="89" w:name="_Toc230560238"/>
            <w:bookmarkStart w:id="90" w:name="_Toc230560173"/>
            <w:bookmarkStart w:id="91" w:name="_Toc230560117"/>
            <w:bookmarkStart w:id="92" w:name="_Toc230560060"/>
            <w:bookmarkStart w:id="93" w:name="_Toc230559991"/>
            <w:r w:rsidRPr="00393F6C">
              <w:t xml:space="preserve">Fiduciary Risk Assessment of the </w:t>
            </w:r>
            <w:proofErr w:type="spellStart"/>
            <w:r w:rsidRPr="00393F6C">
              <w:t>MoIA</w:t>
            </w:r>
            <w:proofErr w:type="spellEnd"/>
            <w:r w:rsidRPr="00393F6C">
              <w:t xml:space="preserve"> and the VPF </w:t>
            </w:r>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tc>
        <w:tc>
          <w:tcPr>
            <w:tcW w:w="1276" w:type="dxa"/>
            <w:shd w:val="clear" w:color="auto" w:fill="auto"/>
          </w:tcPr>
          <w:p w14:paraId="1C4A076C" w14:textId="77777777" w:rsidR="00393F6C" w:rsidRPr="00393F6C" w:rsidRDefault="00393F6C" w:rsidP="00393F6C">
            <w:r w:rsidRPr="00393F6C">
              <w:t>2019</w:t>
            </w:r>
          </w:p>
        </w:tc>
      </w:tr>
      <w:tr w:rsidR="00393F6C" w:rsidRPr="00393F6C" w14:paraId="550DA9D9" w14:textId="77777777" w:rsidTr="00181CF5">
        <w:tc>
          <w:tcPr>
            <w:tcW w:w="1413" w:type="dxa"/>
            <w:shd w:val="clear" w:color="auto" w:fill="auto"/>
          </w:tcPr>
          <w:p w14:paraId="5856A46E" w14:textId="77777777" w:rsidR="00393F6C" w:rsidRPr="00393F6C" w:rsidRDefault="00393F6C" w:rsidP="00393F6C">
            <w:pPr>
              <w:jc w:val="both"/>
              <w:rPr>
                <w:rFonts w:eastAsia="SimSun"/>
                <w:color w:val="000000"/>
                <w:lang w:eastAsia="zh-CN"/>
              </w:rPr>
            </w:pPr>
            <w:r w:rsidRPr="00393F6C">
              <w:rPr>
                <w:rFonts w:eastAsia="SimSun"/>
                <w:color w:val="000000"/>
                <w:lang w:eastAsia="zh-CN"/>
              </w:rPr>
              <w:t>Judith Fleming</w:t>
            </w:r>
          </w:p>
        </w:tc>
        <w:tc>
          <w:tcPr>
            <w:tcW w:w="6237" w:type="dxa"/>
            <w:shd w:val="clear" w:color="auto" w:fill="auto"/>
          </w:tcPr>
          <w:p w14:paraId="0EEEEF46" w14:textId="77777777" w:rsidR="00393F6C" w:rsidRPr="00393F6C" w:rsidRDefault="00393F6C" w:rsidP="00393F6C">
            <w:r w:rsidRPr="00393F6C">
              <w:t>Draft report Authorised persons registered councillors</w:t>
            </w:r>
          </w:p>
        </w:tc>
        <w:tc>
          <w:tcPr>
            <w:tcW w:w="1276" w:type="dxa"/>
            <w:shd w:val="clear" w:color="auto" w:fill="auto"/>
          </w:tcPr>
          <w:p w14:paraId="7F5E05B3" w14:textId="77777777" w:rsidR="00393F6C" w:rsidRPr="00393F6C" w:rsidRDefault="00393F6C" w:rsidP="00393F6C">
            <w:r w:rsidRPr="00393F6C">
              <w:t>2019</w:t>
            </w:r>
          </w:p>
        </w:tc>
      </w:tr>
    </w:tbl>
    <w:p w14:paraId="0839D38F" w14:textId="77777777" w:rsidR="00E40A0F" w:rsidRDefault="00E40A0F" w:rsidP="00E40A0F">
      <w:pPr>
        <w:tabs>
          <w:tab w:val="left" w:pos="851"/>
        </w:tabs>
        <w:spacing w:after="0" w:line="240" w:lineRule="auto"/>
        <w:ind w:right="-46"/>
        <w:jc w:val="both"/>
        <w:rPr>
          <w:rFonts w:eastAsia="Times New Roman" w:cstheme="minorHAnsi"/>
          <w:b/>
          <w:bCs/>
          <w:lang w:eastAsia="en-AU"/>
        </w:rPr>
      </w:pPr>
    </w:p>
    <w:p w14:paraId="2D75D3BE" w14:textId="77777777" w:rsidR="00393F6C" w:rsidRPr="00393F6C" w:rsidRDefault="00393F6C" w:rsidP="00E40A0F">
      <w:pPr>
        <w:tabs>
          <w:tab w:val="left" w:pos="851"/>
        </w:tabs>
        <w:spacing w:after="0" w:line="240" w:lineRule="auto"/>
        <w:ind w:right="-46"/>
        <w:jc w:val="both"/>
        <w:rPr>
          <w:rFonts w:eastAsia="Times New Roman" w:cstheme="minorHAnsi"/>
          <w:b/>
          <w:bCs/>
          <w:lang w:eastAsia="en-AU"/>
        </w:rPr>
      </w:pPr>
      <w:r w:rsidRPr="00393F6C">
        <w:rPr>
          <w:rFonts w:eastAsia="Times New Roman" w:cstheme="minorHAnsi"/>
          <w:b/>
          <w:bCs/>
          <w:lang w:eastAsia="en-AU"/>
        </w:rPr>
        <w:t xml:space="preserve">Data collection and verification: interviews, focus group discussions </w:t>
      </w:r>
    </w:p>
    <w:p w14:paraId="1C48DBBE" w14:textId="77777777" w:rsidR="00393F6C" w:rsidRPr="00393F6C" w:rsidRDefault="00393F6C" w:rsidP="00E40A0F">
      <w:pPr>
        <w:spacing w:line="240" w:lineRule="auto"/>
        <w:jc w:val="both"/>
        <w:rPr>
          <w:rFonts w:ascii="Calibri" w:eastAsia="Calibri" w:hAnsi="Calibri" w:cs="Times New Roman"/>
        </w:rPr>
      </w:pPr>
      <w:r w:rsidRPr="00393F6C">
        <w:rPr>
          <w:rFonts w:ascii="Calibri" w:eastAsia="Calibri" w:hAnsi="Calibri" w:cs="DaunPenh"/>
        </w:rPr>
        <w:t xml:space="preserve">The evaluation team undertook a </w:t>
      </w:r>
      <w:r w:rsidR="003C6EB3" w:rsidRPr="00393F6C">
        <w:rPr>
          <w:rFonts w:ascii="Calibri" w:eastAsia="Calibri" w:hAnsi="Calibri" w:cs="DaunPenh"/>
        </w:rPr>
        <w:t>1</w:t>
      </w:r>
      <w:r w:rsidR="003C6EB3">
        <w:rPr>
          <w:rFonts w:ascii="Calibri" w:eastAsia="Calibri" w:hAnsi="Calibri" w:cs="DaunPenh"/>
        </w:rPr>
        <w:t>2</w:t>
      </w:r>
      <w:r w:rsidRPr="00393F6C">
        <w:rPr>
          <w:rFonts w:ascii="Calibri" w:eastAsia="Calibri" w:hAnsi="Calibri" w:cs="DaunPenh"/>
        </w:rPr>
        <w:t>-day visit to Vanuatu from 26 August to 6 September 2019, carrying out consultations with stakeholders in Port Vila</w:t>
      </w:r>
      <w:r w:rsidR="00E40A0F">
        <w:rPr>
          <w:rFonts w:ascii="Calibri" w:eastAsia="Calibri" w:hAnsi="Calibri" w:cs="DaunPenh"/>
        </w:rPr>
        <w:t xml:space="preserve"> and surrounding communities (Olin and </w:t>
      </w:r>
      <w:r w:rsidR="00E40A0F">
        <w:t xml:space="preserve">Tokyo </w:t>
      </w:r>
      <w:proofErr w:type="spellStart"/>
      <w:r w:rsidR="00E40A0F">
        <w:t>Buninga</w:t>
      </w:r>
      <w:proofErr w:type="spellEnd"/>
      <w:r w:rsidR="00E40A0F">
        <w:rPr>
          <w:rFonts w:ascii="Calibri" w:eastAsia="Calibri" w:hAnsi="Calibri" w:cs="DaunPenh"/>
        </w:rPr>
        <w:t xml:space="preserve">) </w:t>
      </w:r>
      <w:r w:rsidRPr="00393F6C">
        <w:rPr>
          <w:rFonts w:ascii="Calibri" w:eastAsia="Calibri" w:hAnsi="Calibri" w:cs="DaunPenh"/>
        </w:rPr>
        <w:t>and Santo. A</w:t>
      </w:r>
      <w:r w:rsidRPr="00393F6C">
        <w:rPr>
          <w:rFonts w:ascii="Calibri" w:eastAsia="Calibri" w:hAnsi="Calibri" w:cs="Times New Roman"/>
        </w:rPr>
        <w:t xml:space="preserve"> list of questions was developed as part of evaluation planning to obtain information to answer the key evaluation questions. These questions formed the basis of interviews and focus group discussions.</w:t>
      </w:r>
    </w:p>
    <w:p w14:paraId="3222D8F2" w14:textId="77777777" w:rsidR="00393F6C" w:rsidRPr="00393F6C" w:rsidRDefault="00393F6C" w:rsidP="00E40A0F">
      <w:pPr>
        <w:spacing w:line="240" w:lineRule="auto"/>
        <w:jc w:val="both"/>
        <w:rPr>
          <w:rFonts w:ascii="Calibri" w:eastAsia="Calibri" w:hAnsi="Calibri" w:cs="Times New Roman"/>
        </w:rPr>
      </w:pPr>
      <w:r w:rsidRPr="00393F6C">
        <w:rPr>
          <w:rFonts w:eastAsia="Times New Roman" w:cstheme="minorHAnsi"/>
          <w:b/>
          <w:bCs/>
          <w:lang w:eastAsia="en-AU"/>
        </w:rPr>
        <w:t>Data analysis and the formulation of judgements</w:t>
      </w:r>
    </w:p>
    <w:p w14:paraId="7DE99C58" w14:textId="77777777" w:rsidR="00393F6C" w:rsidRPr="00393F6C" w:rsidRDefault="00393F6C" w:rsidP="00E40A0F">
      <w:pPr>
        <w:spacing w:line="240" w:lineRule="auto"/>
        <w:jc w:val="both"/>
      </w:pPr>
      <w:r w:rsidRPr="00393F6C">
        <w:t xml:space="preserve">The evaluation team undertook reflection at the end of each day, with data analysis undertaken iteratively and tested with key internal stakeholders throughout the evaluation rather than in one discrete analysis section at the end of data collection. </w:t>
      </w:r>
    </w:p>
    <w:p w14:paraId="061FD369" w14:textId="77777777" w:rsidR="00393F6C" w:rsidRPr="00393F6C" w:rsidRDefault="00393F6C" w:rsidP="00E40A0F">
      <w:pPr>
        <w:spacing w:line="240" w:lineRule="auto"/>
        <w:jc w:val="both"/>
      </w:pPr>
      <w:r w:rsidRPr="00393F6C">
        <w:t xml:space="preserve">During the course of the evaluation, the team undertook a rapid assessment of the political economy of the policing and justice context in Vanuatu as a basis for assessing the performance of the </w:t>
      </w:r>
      <w:r w:rsidR="0081742C">
        <w:t>P</w:t>
      </w:r>
      <w:r w:rsidRPr="00393F6C">
        <w:t>rogram. In order to form an assessment of program effectiveness, individual “parts” of the Program</w:t>
      </w:r>
      <w:r w:rsidRPr="00393F6C">
        <w:rPr>
          <w:vertAlign w:val="superscript"/>
        </w:rPr>
        <w:footnoteReference w:id="90"/>
      </w:r>
      <w:r w:rsidRPr="00393F6C">
        <w:t xml:space="preserve"> were analysed in terms of political economy influences, quality of approach and progress to date, and results towards outcomes (whether ‘’results’’ were observable, regardless of their meeting intended objectives). Judgement is therefore based on the quality of inputs provided and whether the Program could have done things differently or better to effect greater change in light of the realities of the operating context. The activities were also analysed in terms of their capacity building approaches, sustainability and consideration of gender equality. Ratings scales were applied for some of the assessment criteria using the DFAT 1-6 Quality scale as a basis and are presented in Section 3, Finding 3. The analysis table presented </w:t>
      </w:r>
      <w:r w:rsidRPr="00F66FE0">
        <w:t>in Annex 5 provides</w:t>
      </w:r>
      <w:r w:rsidRPr="00393F6C">
        <w:t xml:space="preserve"> a detailed justification of the </w:t>
      </w:r>
      <w:r w:rsidR="00A0124D">
        <w:t>e</w:t>
      </w:r>
      <w:r w:rsidR="00A0124D" w:rsidRPr="00393F6C">
        <w:t xml:space="preserve">valuation </w:t>
      </w:r>
      <w:r w:rsidR="00A0124D">
        <w:t>te</w:t>
      </w:r>
      <w:r w:rsidR="00A0124D" w:rsidRPr="00393F6C">
        <w:t xml:space="preserve">am’s </w:t>
      </w:r>
      <w:r w:rsidRPr="00393F6C">
        <w:t xml:space="preserve">judgements of the effectiveness of individual assessments in narrative form. </w:t>
      </w:r>
    </w:p>
    <w:p w14:paraId="0DFE04F1" w14:textId="77777777" w:rsidR="00393F6C" w:rsidRPr="00393F6C" w:rsidRDefault="00393F6C" w:rsidP="00E40A0F">
      <w:pPr>
        <w:tabs>
          <w:tab w:val="left" w:pos="851"/>
        </w:tabs>
        <w:spacing w:after="0" w:line="240" w:lineRule="auto"/>
        <w:ind w:right="-46"/>
        <w:jc w:val="both"/>
        <w:rPr>
          <w:rFonts w:eastAsia="Times New Roman" w:cstheme="minorHAnsi"/>
          <w:b/>
          <w:bCs/>
          <w:lang w:eastAsia="en-AU"/>
        </w:rPr>
      </w:pPr>
      <w:r w:rsidRPr="00393F6C">
        <w:rPr>
          <w:rFonts w:eastAsia="Times New Roman" w:cstheme="minorHAnsi"/>
          <w:b/>
          <w:bCs/>
          <w:lang w:eastAsia="en-AU"/>
        </w:rPr>
        <w:t>Evaluation results presentation and Aide Memoire</w:t>
      </w:r>
    </w:p>
    <w:p w14:paraId="651041F4" w14:textId="77777777" w:rsidR="00393F6C" w:rsidRPr="00393F6C" w:rsidRDefault="00393F6C" w:rsidP="00E40A0F">
      <w:pPr>
        <w:spacing w:after="120" w:line="240" w:lineRule="auto"/>
        <w:rPr>
          <w:rFonts w:ascii="Calibri" w:eastAsia="Calibri" w:hAnsi="Calibri" w:cs="Times New Roman"/>
        </w:rPr>
      </w:pPr>
      <w:r w:rsidRPr="00393F6C">
        <w:rPr>
          <w:rFonts w:ascii="Calibri" w:eastAsia="Calibri" w:hAnsi="Calibri" w:cs="Times New Roman"/>
        </w:rPr>
        <w:t>An Aid</w:t>
      </w:r>
      <w:r w:rsidR="001D5F0A">
        <w:rPr>
          <w:rFonts w:ascii="Calibri" w:eastAsia="Calibri" w:hAnsi="Calibri" w:cs="Times New Roman"/>
        </w:rPr>
        <w:t>e</w:t>
      </w:r>
      <w:r w:rsidRPr="00393F6C">
        <w:rPr>
          <w:rFonts w:ascii="Calibri" w:eastAsia="Calibri" w:hAnsi="Calibri" w:cs="Times New Roman"/>
        </w:rPr>
        <w:t xml:space="preserve"> Memoire was drafted presenting preliminary findings. This was shared with a range of stakeholders at </w:t>
      </w:r>
      <w:r w:rsidR="001D5F0A">
        <w:rPr>
          <w:rFonts w:ascii="Calibri" w:eastAsia="Calibri" w:hAnsi="Calibri" w:cs="Times New Roman"/>
        </w:rPr>
        <w:t xml:space="preserve">an </w:t>
      </w:r>
      <w:r w:rsidRPr="00393F6C">
        <w:rPr>
          <w:rFonts w:ascii="Calibri" w:eastAsia="Calibri" w:hAnsi="Calibri" w:cs="Times New Roman"/>
        </w:rPr>
        <w:t xml:space="preserve">evaluation sharing and verification meeting held on the 6th of September 2019. The meeting was attended by representatives from DFAT, AFP, Palladium and </w:t>
      </w:r>
      <w:proofErr w:type="spellStart"/>
      <w:r w:rsidRPr="00393F6C">
        <w:rPr>
          <w:rFonts w:ascii="Calibri" w:eastAsia="Calibri" w:hAnsi="Calibri" w:cs="Times New Roman"/>
        </w:rPr>
        <w:t>GoV.</w:t>
      </w:r>
      <w:proofErr w:type="spellEnd"/>
      <w:r w:rsidRPr="00393F6C">
        <w:rPr>
          <w:rFonts w:ascii="Calibri" w:eastAsia="Calibri" w:hAnsi="Calibri" w:cs="Times New Roman"/>
        </w:rPr>
        <w:t xml:space="preserve"> During the meeting, evaluators presented and tested the preliminary findings and recommendations with staff. Two separate meetings were then held with DFAT Post to share findings internally. The feedback provided by stakeholders has been incorporated into this evaluation report. </w:t>
      </w:r>
    </w:p>
    <w:p w14:paraId="3BBF1485" w14:textId="77777777" w:rsidR="00393F6C" w:rsidRPr="00393F6C" w:rsidRDefault="00393F6C" w:rsidP="00E40A0F">
      <w:pPr>
        <w:tabs>
          <w:tab w:val="left" w:pos="851"/>
        </w:tabs>
        <w:spacing w:after="0" w:line="240" w:lineRule="auto"/>
        <w:ind w:right="-46"/>
        <w:jc w:val="both"/>
        <w:rPr>
          <w:rFonts w:eastAsia="Times New Roman" w:cstheme="minorHAnsi"/>
          <w:b/>
          <w:bCs/>
          <w:color w:val="44546A" w:themeColor="text2"/>
          <w:sz w:val="24"/>
          <w:szCs w:val="24"/>
          <w:lang w:eastAsia="en-AU"/>
        </w:rPr>
      </w:pPr>
      <w:r w:rsidRPr="00393F6C">
        <w:rPr>
          <w:rFonts w:eastAsia="Times New Roman" w:cstheme="minorHAnsi"/>
          <w:b/>
          <w:bCs/>
          <w:color w:val="44546A" w:themeColor="text2"/>
          <w:sz w:val="24"/>
          <w:szCs w:val="24"/>
          <w:lang w:eastAsia="en-AU"/>
        </w:rPr>
        <w:t xml:space="preserve">Stakeholders consulted </w:t>
      </w:r>
    </w:p>
    <w:p w14:paraId="2C82F4DB" w14:textId="77777777" w:rsidR="00F257C7" w:rsidRPr="009217CA" w:rsidRDefault="00F257C7" w:rsidP="00F257C7">
      <w:pPr>
        <w:spacing w:line="240" w:lineRule="auto"/>
        <w:jc w:val="both"/>
        <w:rPr>
          <w:rFonts w:ascii="Calibri" w:eastAsia="Calibri" w:hAnsi="Calibri" w:cs="DaunPenh"/>
        </w:rPr>
      </w:pPr>
      <w:r w:rsidRPr="002162D2">
        <w:t>The evaluation team undertook a 1</w:t>
      </w:r>
      <w:r>
        <w:t>2</w:t>
      </w:r>
      <w:r w:rsidRPr="002162D2">
        <w:t xml:space="preserve">-day visit to Vanuatu from 26 August to 6 September 2019, carrying out consultations with stakeholders in </w:t>
      </w:r>
      <w:r w:rsidRPr="00393F6C">
        <w:rPr>
          <w:rFonts w:ascii="Calibri" w:eastAsia="Calibri" w:hAnsi="Calibri" w:cs="DaunPenh"/>
        </w:rPr>
        <w:t>in Port Vila</w:t>
      </w:r>
      <w:r>
        <w:rPr>
          <w:rFonts w:ascii="Calibri" w:eastAsia="Calibri" w:hAnsi="Calibri" w:cs="DaunPenh"/>
        </w:rPr>
        <w:t xml:space="preserve"> and surrounding communities (Olin and </w:t>
      </w:r>
      <w:r>
        <w:t xml:space="preserve">Tokyo </w:t>
      </w:r>
      <w:proofErr w:type="spellStart"/>
      <w:r>
        <w:t>Buninga</w:t>
      </w:r>
      <w:proofErr w:type="spellEnd"/>
      <w:r>
        <w:rPr>
          <w:rFonts w:ascii="Calibri" w:eastAsia="Calibri" w:hAnsi="Calibri" w:cs="DaunPenh"/>
        </w:rPr>
        <w:t xml:space="preserve">) </w:t>
      </w:r>
      <w:r w:rsidRPr="00393F6C">
        <w:rPr>
          <w:rFonts w:ascii="Calibri" w:eastAsia="Calibri" w:hAnsi="Calibri" w:cs="DaunPenh"/>
        </w:rPr>
        <w:t>and Santo</w:t>
      </w:r>
      <w:r>
        <w:rPr>
          <w:rFonts w:ascii="Calibri" w:eastAsia="Calibri" w:hAnsi="Calibri" w:cs="DaunPenh"/>
        </w:rPr>
        <w:t xml:space="preserve"> (including community consultations in </w:t>
      </w:r>
      <w:proofErr w:type="spellStart"/>
      <w:r>
        <w:rPr>
          <w:rFonts w:ascii="Calibri" w:eastAsia="Calibri" w:hAnsi="Calibri" w:cs="DaunPenh"/>
        </w:rPr>
        <w:t>Saraday</w:t>
      </w:r>
      <w:proofErr w:type="spellEnd"/>
      <w:r>
        <w:rPr>
          <w:rFonts w:ascii="Calibri" w:eastAsia="Calibri" w:hAnsi="Calibri" w:cs="DaunPenh"/>
        </w:rPr>
        <w:t xml:space="preserve">). A series of interviews and small group discussions were held with government, program and civil society organisation (CSO) stakeholders. Focus group discussions were carried out with community members, including with youth, women, men, chiefs and APs. </w:t>
      </w:r>
      <w:r w:rsidRPr="002162D2">
        <w:t xml:space="preserve">A </w:t>
      </w:r>
      <w:r w:rsidRPr="00E76AC2">
        <w:t>total of 121 stakeholders</w:t>
      </w:r>
      <w:r>
        <w:t xml:space="preserve"> participated in consultations according to the breakdown of participant groups in Table 1 below</w:t>
      </w:r>
      <w:r>
        <w:rPr>
          <w:rStyle w:val="FootnoteReference"/>
        </w:rPr>
        <w:footnoteReference w:id="91"/>
      </w:r>
      <w:r>
        <w:t xml:space="preserve">. A </w:t>
      </w:r>
      <w:r w:rsidRPr="002162D2">
        <w:t>full list of the stakeholders engaged is provided in Annex 5.</w:t>
      </w:r>
      <w:r>
        <w:t>3</w:t>
      </w:r>
      <w:r w:rsidRPr="002162D2">
        <w:t>.</w:t>
      </w:r>
    </w:p>
    <w:p w14:paraId="36F8346D" w14:textId="77777777" w:rsidR="00F257C7" w:rsidRPr="004633A8" w:rsidRDefault="00F257C7" w:rsidP="00F257C7">
      <w:pPr>
        <w:spacing w:after="0" w:line="240" w:lineRule="auto"/>
        <w:jc w:val="both"/>
        <w:rPr>
          <w:b/>
        </w:rPr>
      </w:pPr>
      <w:r w:rsidRPr="004633A8">
        <w:rPr>
          <w:b/>
        </w:rPr>
        <w:t>Table 1: Breakdown of respondents according to stakeholder groups</w:t>
      </w:r>
    </w:p>
    <w:tbl>
      <w:tblPr>
        <w:tblStyle w:val="TableGrid"/>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2830"/>
        <w:gridCol w:w="6186"/>
      </w:tblGrid>
      <w:tr w:rsidR="00F257C7" w14:paraId="6FF78FEA" w14:textId="77777777" w:rsidTr="009724CE">
        <w:tc>
          <w:tcPr>
            <w:tcW w:w="2830" w:type="dxa"/>
          </w:tcPr>
          <w:p w14:paraId="6AFFFC48" w14:textId="77777777" w:rsidR="00F257C7" w:rsidRDefault="00F257C7" w:rsidP="009724CE">
            <w:r>
              <w:rPr>
                <w:rFonts w:eastAsia="Times New Roman" w:cstheme="minorHAnsi"/>
                <w:b/>
                <w:lang w:eastAsia="en-AU"/>
              </w:rPr>
              <w:t>52</w:t>
            </w:r>
            <w:r w:rsidRPr="00671955">
              <w:rPr>
                <w:rFonts w:eastAsia="Times New Roman" w:cstheme="minorHAnsi"/>
                <w:b/>
                <w:lang w:eastAsia="en-AU"/>
              </w:rPr>
              <w:t xml:space="preserve"> </w:t>
            </w:r>
            <w:proofErr w:type="spellStart"/>
            <w:r w:rsidRPr="00671955">
              <w:rPr>
                <w:rFonts w:eastAsia="Times New Roman" w:cstheme="minorHAnsi"/>
                <w:b/>
                <w:lang w:eastAsia="en-AU"/>
              </w:rPr>
              <w:t>GoV</w:t>
            </w:r>
            <w:proofErr w:type="spellEnd"/>
            <w:r w:rsidRPr="00671955">
              <w:rPr>
                <w:rFonts w:eastAsia="Times New Roman" w:cstheme="minorHAnsi"/>
                <w:b/>
                <w:lang w:eastAsia="en-AU"/>
              </w:rPr>
              <w:t xml:space="preserve"> stakeholders:</w:t>
            </w:r>
          </w:p>
        </w:tc>
        <w:tc>
          <w:tcPr>
            <w:tcW w:w="6186" w:type="dxa"/>
          </w:tcPr>
          <w:p w14:paraId="797E4951" w14:textId="77777777" w:rsidR="00F257C7" w:rsidRPr="00366992" w:rsidRDefault="00F257C7" w:rsidP="004E7C9F">
            <w:pPr>
              <w:numPr>
                <w:ilvl w:val="0"/>
                <w:numId w:val="4"/>
              </w:numPr>
              <w:ind w:left="426" w:right="-330" w:hanging="426"/>
              <w:contextualSpacing/>
              <w:jc w:val="both"/>
              <w:rPr>
                <w:rFonts w:eastAsia="Times New Roman" w:cstheme="minorHAnsi"/>
                <w:lang w:val="en-AU" w:eastAsia="en-AU"/>
              </w:rPr>
            </w:pPr>
            <w:proofErr w:type="spellStart"/>
            <w:r w:rsidRPr="00366992">
              <w:rPr>
                <w:rFonts w:eastAsia="Times New Roman" w:cstheme="minorHAnsi"/>
                <w:lang w:val="en-AU" w:eastAsia="en-AU"/>
              </w:rPr>
              <w:t>GoV</w:t>
            </w:r>
            <w:proofErr w:type="spellEnd"/>
            <w:r w:rsidRPr="00366992">
              <w:rPr>
                <w:rFonts w:eastAsia="Times New Roman" w:cstheme="minorHAnsi"/>
                <w:lang w:val="en-AU" w:eastAsia="en-AU"/>
              </w:rPr>
              <w:t xml:space="preserve"> Ministry of Justice and Community Services</w:t>
            </w:r>
            <w:r>
              <w:rPr>
                <w:rFonts w:eastAsia="Times New Roman" w:cstheme="minorHAnsi"/>
                <w:lang w:val="en-AU" w:eastAsia="en-AU"/>
              </w:rPr>
              <w:t xml:space="preserve"> (</w:t>
            </w:r>
            <w:r w:rsidRPr="00366992">
              <w:rPr>
                <w:rFonts w:eastAsia="Times New Roman" w:cstheme="minorHAnsi"/>
                <w:lang w:val="en-AU" w:eastAsia="en-AU"/>
              </w:rPr>
              <w:t>8</w:t>
            </w:r>
            <w:r>
              <w:rPr>
                <w:rFonts w:eastAsia="Times New Roman" w:cstheme="minorHAnsi"/>
                <w:lang w:val="en-AU" w:eastAsia="en-AU"/>
              </w:rPr>
              <w:t>)</w:t>
            </w:r>
          </w:p>
          <w:p w14:paraId="7CCFAFAB" w14:textId="77777777" w:rsidR="00F257C7" w:rsidRPr="00366992" w:rsidRDefault="00F257C7" w:rsidP="004E7C9F">
            <w:pPr>
              <w:numPr>
                <w:ilvl w:val="0"/>
                <w:numId w:val="4"/>
              </w:numPr>
              <w:ind w:left="426" w:right="-330" w:hanging="426"/>
              <w:contextualSpacing/>
              <w:jc w:val="both"/>
              <w:rPr>
                <w:rFonts w:eastAsia="Times New Roman" w:cstheme="minorHAnsi"/>
                <w:lang w:val="en-AU" w:eastAsia="en-AU"/>
              </w:rPr>
            </w:pPr>
            <w:r w:rsidRPr="00366992">
              <w:rPr>
                <w:rFonts w:eastAsia="Times New Roman" w:cstheme="minorHAnsi"/>
                <w:lang w:val="en-AU" w:eastAsia="en-AU"/>
              </w:rPr>
              <w:t>Ministry of Internal Affairs (1)</w:t>
            </w:r>
          </w:p>
          <w:p w14:paraId="46932E14" w14:textId="77777777" w:rsidR="00F257C7" w:rsidRPr="00366992" w:rsidRDefault="00F257C7" w:rsidP="004E7C9F">
            <w:pPr>
              <w:numPr>
                <w:ilvl w:val="0"/>
                <w:numId w:val="4"/>
              </w:numPr>
              <w:ind w:left="426" w:right="-330" w:hanging="426"/>
              <w:contextualSpacing/>
              <w:jc w:val="both"/>
              <w:rPr>
                <w:rFonts w:eastAsia="Times New Roman" w:cstheme="minorHAnsi"/>
                <w:lang w:val="en-AU" w:eastAsia="en-AU"/>
              </w:rPr>
            </w:pPr>
            <w:r w:rsidRPr="00366992">
              <w:rPr>
                <w:rFonts w:eastAsia="Times New Roman" w:cstheme="minorHAnsi"/>
                <w:lang w:val="en-AU" w:eastAsia="en-AU"/>
              </w:rPr>
              <w:t>Prime Minister’s Office (</w:t>
            </w:r>
            <w:r>
              <w:rPr>
                <w:rFonts w:eastAsia="Times New Roman" w:cstheme="minorHAnsi"/>
                <w:lang w:val="en-AU" w:eastAsia="en-AU"/>
              </w:rPr>
              <w:t>5</w:t>
            </w:r>
            <w:r w:rsidRPr="00366992">
              <w:rPr>
                <w:rFonts w:eastAsia="Times New Roman" w:cstheme="minorHAnsi"/>
                <w:lang w:val="en-AU" w:eastAsia="en-AU"/>
              </w:rPr>
              <w:t xml:space="preserve">) </w:t>
            </w:r>
          </w:p>
          <w:p w14:paraId="175B91F4" w14:textId="77777777" w:rsidR="00F257C7" w:rsidRPr="00366992" w:rsidRDefault="00F257C7" w:rsidP="004E7C9F">
            <w:pPr>
              <w:numPr>
                <w:ilvl w:val="0"/>
                <w:numId w:val="4"/>
              </w:numPr>
              <w:ind w:left="426" w:right="-330" w:hanging="426"/>
              <w:contextualSpacing/>
              <w:jc w:val="both"/>
              <w:rPr>
                <w:rFonts w:eastAsia="Times New Roman" w:cstheme="minorHAnsi"/>
                <w:lang w:val="en-AU" w:eastAsia="en-AU"/>
              </w:rPr>
            </w:pPr>
            <w:r w:rsidRPr="00366992">
              <w:rPr>
                <w:rFonts w:eastAsia="Times New Roman" w:cstheme="minorHAnsi"/>
                <w:lang w:val="en-AU" w:eastAsia="en-AU"/>
              </w:rPr>
              <w:t>Justice Agencies (15)</w:t>
            </w:r>
          </w:p>
          <w:p w14:paraId="2EFB0B91" w14:textId="77777777" w:rsidR="00F257C7" w:rsidRPr="007223D7" w:rsidRDefault="00F257C7" w:rsidP="004E7C9F">
            <w:pPr>
              <w:numPr>
                <w:ilvl w:val="0"/>
                <w:numId w:val="4"/>
              </w:numPr>
              <w:ind w:left="426" w:right="835" w:hanging="426"/>
              <w:contextualSpacing/>
              <w:jc w:val="both"/>
              <w:rPr>
                <w:rFonts w:eastAsia="Times New Roman" w:cstheme="minorHAnsi"/>
                <w:lang w:val="en-AU" w:eastAsia="en-AU"/>
              </w:rPr>
            </w:pPr>
            <w:r w:rsidRPr="00366992">
              <w:rPr>
                <w:rFonts w:eastAsia="Times New Roman" w:cstheme="minorHAnsi"/>
                <w:lang w:val="en-AU" w:eastAsia="en-AU"/>
              </w:rPr>
              <w:t>VPF (</w:t>
            </w:r>
            <w:r>
              <w:rPr>
                <w:rFonts w:eastAsia="Times New Roman" w:cstheme="minorHAnsi"/>
                <w:lang w:val="en-AU" w:eastAsia="en-AU"/>
              </w:rPr>
              <w:t>23</w:t>
            </w:r>
            <w:r w:rsidRPr="00366992">
              <w:rPr>
                <w:rFonts w:eastAsia="Times New Roman" w:cstheme="minorHAnsi"/>
                <w:lang w:val="en-AU" w:eastAsia="en-AU"/>
              </w:rPr>
              <w:t xml:space="preserve">: Commanders and officers </w:t>
            </w:r>
            <w:r>
              <w:rPr>
                <w:rFonts w:eastAsia="Times New Roman" w:cstheme="minorHAnsi"/>
                <w:lang w:val="en-AU" w:eastAsia="en-AU"/>
              </w:rPr>
              <w:t>10</w:t>
            </w:r>
            <w:r w:rsidRPr="00366992">
              <w:rPr>
                <w:rFonts w:eastAsia="Times New Roman" w:cstheme="minorHAnsi"/>
                <w:lang w:val="en-AU" w:eastAsia="en-AU"/>
              </w:rPr>
              <w:t xml:space="preserve">, FPU 1, WAN 3, </w:t>
            </w:r>
            <w:r>
              <w:rPr>
                <w:rFonts w:eastAsia="Times New Roman" w:cstheme="minorHAnsi"/>
                <w:lang w:val="en-AU" w:eastAsia="en-AU"/>
              </w:rPr>
              <w:t>PTC 2,</w:t>
            </w:r>
            <w:r w:rsidRPr="00366992">
              <w:rPr>
                <w:rFonts w:eastAsia="Times New Roman" w:cstheme="minorHAnsi"/>
                <w:lang w:val="en-AU" w:eastAsia="en-AU"/>
              </w:rPr>
              <w:t xml:space="preserve"> CSU </w:t>
            </w:r>
            <w:r>
              <w:rPr>
                <w:rFonts w:eastAsia="Times New Roman" w:cstheme="minorHAnsi"/>
                <w:lang w:val="en-AU" w:eastAsia="en-AU"/>
              </w:rPr>
              <w:t>5</w:t>
            </w:r>
            <w:r w:rsidRPr="00366992">
              <w:rPr>
                <w:rFonts w:eastAsia="Times New Roman" w:cstheme="minorHAnsi"/>
                <w:lang w:val="en-AU" w:eastAsia="en-AU"/>
              </w:rPr>
              <w:t>, CID 2)</w:t>
            </w:r>
          </w:p>
        </w:tc>
      </w:tr>
      <w:tr w:rsidR="00F257C7" w14:paraId="18C4F331" w14:textId="77777777" w:rsidTr="009724CE">
        <w:tc>
          <w:tcPr>
            <w:tcW w:w="2830" w:type="dxa"/>
          </w:tcPr>
          <w:p w14:paraId="075906D6" w14:textId="77777777" w:rsidR="00F257C7" w:rsidRDefault="00F257C7" w:rsidP="009724CE">
            <w:pPr>
              <w:rPr>
                <w:rFonts w:eastAsia="Times New Roman" w:cstheme="minorHAnsi"/>
                <w:b/>
                <w:lang w:eastAsia="en-AU"/>
              </w:rPr>
            </w:pPr>
            <w:r w:rsidRPr="00107E65">
              <w:rPr>
                <w:rFonts w:eastAsia="Times New Roman" w:cstheme="minorHAnsi"/>
                <w:b/>
                <w:lang w:eastAsia="en-AU"/>
              </w:rPr>
              <w:t>7</w:t>
            </w:r>
            <w:r w:rsidRPr="00634CDD">
              <w:rPr>
                <w:rFonts w:eastAsia="Times New Roman" w:cstheme="minorHAnsi"/>
                <w:lang w:eastAsia="en-AU"/>
              </w:rPr>
              <w:t xml:space="preserve"> </w:t>
            </w:r>
            <w:r w:rsidRPr="00634CDD">
              <w:rPr>
                <w:rFonts w:ascii="Calibri" w:eastAsia="Times New Roman" w:hAnsi="Calibri" w:cs="Calibri"/>
                <w:b/>
                <w:bCs/>
                <w:color w:val="000000"/>
                <w:lang w:eastAsia="en-AU"/>
              </w:rPr>
              <w:t>Australian High Commission</w:t>
            </w:r>
            <w:r>
              <w:rPr>
                <w:rFonts w:ascii="Calibri" w:eastAsia="Times New Roman" w:hAnsi="Calibri" w:cs="Calibri"/>
                <w:b/>
                <w:bCs/>
                <w:color w:val="000000"/>
                <w:lang w:eastAsia="en-AU"/>
              </w:rPr>
              <w:t xml:space="preserve"> staff</w:t>
            </w:r>
          </w:p>
        </w:tc>
        <w:tc>
          <w:tcPr>
            <w:tcW w:w="6186" w:type="dxa"/>
          </w:tcPr>
          <w:p w14:paraId="7D67F8E9" w14:textId="77777777" w:rsidR="00F257C7" w:rsidRPr="00366992" w:rsidRDefault="00F257C7" w:rsidP="004E7C9F">
            <w:pPr>
              <w:numPr>
                <w:ilvl w:val="0"/>
                <w:numId w:val="4"/>
              </w:numPr>
              <w:ind w:left="426" w:right="-330" w:hanging="426"/>
              <w:contextualSpacing/>
              <w:jc w:val="both"/>
              <w:rPr>
                <w:rFonts w:eastAsia="Times New Roman" w:cstheme="minorHAnsi"/>
                <w:lang w:eastAsia="en-AU"/>
              </w:rPr>
            </w:pPr>
            <w:r>
              <w:rPr>
                <w:rFonts w:eastAsia="Times New Roman" w:cstheme="minorHAnsi"/>
                <w:lang w:eastAsia="en-AU"/>
              </w:rPr>
              <w:t>Key program staff</w:t>
            </w:r>
          </w:p>
        </w:tc>
      </w:tr>
      <w:tr w:rsidR="00F257C7" w14:paraId="741A0330" w14:textId="77777777" w:rsidTr="009724CE">
        <w:tc>
          <w:tcPr>
            <w:tcW w:w="2830" w:type="dxa"/>
          </w:tcPr>
          <w:p w14:paraId="56B24BAF" w14:textId="77777777" w:rsidR="00F257C7" w:rsidRDefault="00F257C7" w:rsidP="009724CE">
            <w:r>
              <w:rPr>
                <w:rFonts w:eastAsia="Times New Roman" w:cstheme="minorHAnsi"/>
                <w:b/>
                <w:lang w:eastAsia="en-AU"/>
              </w:rPr>
              <w:t>20</w:t>
            </w:r>
            <w:r w:rsidRPr="00671955">
              <w:rPr>
                <w:rFonts w:eastAsia="Times New Roman" w:cstheme="minorHAnsi"/>
                <w:b/>
                <w:lang w:eastAsia="en-AU"/>
              </w:rPr>
              <w:t xml:space="preserve"> Program staff and advis</w:t>
            </w:r>
            <w:r>
              <w:rPr>
                <w:rFonts w:eastAsia="Times New Roman" w:cstheme="minorHAnsi"/>
                <w:b/>
                <w:lang w:eastAsia="en-AU"/>
              </w:rPr>
              <w:t>e</w:t>
            </w:r>
            <w:r w:rsidRPr="00671955">
              <w:rPr>
                <w:rFonts w:eastAsia="Times New Roman" w:cstheme="minorHAnsi"/>
                <w:b/>
                <w:lang w:eastAsia="en-AU"/>
              </w:rPr>
              <w:t>rs:</w:t>
            </w:r>
          </w:p>
        </w:tc>
        <w:tc>
          <w:tcPr>
            <w:tcW w:w="6186" w:type="dxa"/>
          </w:tcPr>
          <w:p w14:paraId="110E4AD9" w14:textId="77777777" w:rsidR="00F257C7" w:rsidRDefault="00F257C7" w:rsidP="004E7C9F">
            <w:pPr>
              <w:numPr>
                <w:ilvl w:val="0"/>
                <w:numId w:val="4"/>
              </w:numPr>
              <w:ind w:left="426" w:right="-330" w:hanging="426"/>
              <w:contextualSpacing/>
              <w:jc w:val="both"/>
              <w:rPr>
                <w:rFonts w:eastAsia="Times New Roman" w:cstheme="minorHAnsi"/>
                <w:lang w:eastAsia="en-AU"/>
              </w:rPr>
            </w:pPr>
            <w:r w:rsidRPr="00671955">
              <w:rPr>
                <w:rFonts w:eastAsia="Times New Roman" w:cstheme="minorHAnsi"/>
                <w:lang w:eastAsia="en-AU"/>
              </w:rPr>
              <w:t xml:space="preserve">Palladium Head Office Staff (3) </w:t>
            </w:r>
          </w:p>
          <w:p w14:paraId="6C5A2B3D" w14:textId="77777777" w:rsidR="00F257C7" w:rsidRDefault="00F257C7" w:rsidP="004E7C9F">
            <w:pPr>
              <w:numPr>
                <w:ilvl w:val="0"/>
                <w:numId w:val="4"/>
              </w:numPr>
              <w:ind w:left="426" w:right="-330" w:hanging="426"/>
              <w:contextualSpacing/>
              <w:jc w:val="both"/>
              <w:rPr>
                <w:rFonts w:eastAsia="Times New Roman" w:cstheme="minorHAnsi"/>
                <w:lang w:eastAsia="en-AU"/>
              </w:rPr>
            </w:pPr>
            <w:r>
              <w:rPr>
                <w:rFonts w:eastAsia="Times New Roman" w:cstheme="minorHAnsi"/>
                <w:lang w:eastAsia="en-AU"/>
              </w:rPr>
              <w:t>SRBJS</w:t>
            </w:r>
            <w:r w:rsidRPr="00671955">
              <w:rPr>
                <w:rFonts w:eastAsia="Times New Roman" w:cstheme="minorHAnsi"/>
                <w:lang w:eastAsia="en-AU"/>
              </w:rPr>
              <w:t xml:space="preserve"> Justice Advisers (9)</w:t>
            </w:r>
          </w:p>
          <w:p w14:paraId="5A39BD24" w14:textId="77777777" w:rsidR="00F257C7" w:rsidRPr="00366992" w:rsidRDefault="00F257C7" w:rsidP="004E7C9F">
            <w:pPr>
              <w:numPr>
                <w:ilvl w:val="0"/>
                <w:numId w:val="4"/>
              </w:numPr>
              <w:ind w:left="426" w:right="-330" w:hanging="426"/>
              <w:contextualSpacing/>
              <w:jc w:val="both"/>
              <w:rPr>
                <w:rFonts w:eastAsia="Times New Roman" w:cstheme="minorHAnsi"/>
                <w:lang w:eastAsia="en-AU"/>
              </w:rPr>
            </w:pPr>
            <w:r w:rsidRPr="00671955">
              <w:rPr>
                <w:rFonts w:eastAsia="Times New Roman" w:cstheme="minorHAnsi"/>
                <w:lang w:eastAsia="en-AU"/>
              </w:rPr>
              <w:t>and Policing Advis</w:t>
            </w:r>
            <w:r>
              <w:rPr>
                <w:rFonts w:eastAsia="Times New Roman" w:cstheme="minorHAnsi"/>
                <w:lang w:eastAsia="en-AU"/>
              </w:rPr>
              <w:t>e</w:t>
            </w:r>
            <w:r w:rsidRPr="00671955">
              <w:rPr>
                <w:rFonts w:eastAsia="Times New Roman" w:cstheme="minorHAnsi"/>
                <w:lang w:eastAsia="en-AU"/>
              </w:rPr>
              <w:t>rs (</w:t>
            </w:r>
            <w:r>
              <w:rPr>
                <w:rFonts w:eastAsia="Times New Roman" w:cstheme="minorHAnsi"/>
                <w:lang w:eastAsia="en-AU"/>
              </w:rPr>
              <w:t>8</w:t>
            </w:r>
            <w:r w:rsidRPr="00671955">
              <w:rPr>
                <w:rFonts w:eastAsia="Times New Roman" w:cstheme="minorHAnsi"/>
                <w:lang w:eastAsia="en-AU"/>
              </w:rPr>
              <w:t>)</w:t>
            </w:r>
          </w:p>
        </w:tc>
      </w:tr>
      <w:tr w:rsidR="00F257C7" w14:paraId="19E940A7" w14:textId="77777777" w:rsidTr="009724CE">
        <w:tc>
          <w:tcPr>
            <w:tcW w:w="2830" w:type="dxa"/>
          </w:tcPr>
          <w:p w14:paraId="24F944F8" w14:textId="77777777" w:rsidR="00F257C7" w:rsidRDefault="00F257C7" w:rsidP="009724CE">
            <w:r w:rsidRPr="003C34E3">
              <w:rPr>
                <w:rFonts w:eastAsia="Times New Roman" w:cstheme="minorHAnsi"/>
                <w:b/>
                <w:lang w:eastAsia="en-AU"/>
              </w:rPr>
              <w:t xml:space="preserve">4 staff from </w:t>
            </w:r>
            <w:r>
              <w:rPr>
                <w:rFonts w:eastAsia="Times New Roman" w:cstheme="minorHAnsi"/>
                <w:b/>
                <w:lang w:eastAsia="en-AU"/>
              </w:rPr>
              <w:t xml:space="preserve">two </w:t>
            </w:r>
            <w:r w:rsidRPr="003C34E3">
              <w:rPr>
                <w:rFonts w:eastAsia="Times New Roman" w:cstheme="minorHAnsi"/>
                <w:b/>
                <w:lang w:eastAsia="en-AU"/>
              </w:rPr>
              <w:t>CSOs:</w:t>
            </w:r>
          </w:p>
        </w:tc>
        <w:tc>
          <w:tcPr>
            <w:tcW w:w="6186" w:type="dxa"/>
          </w:tcPr>
          <w:p w14:paraId="09D7B3BE" w14:textId="77777777" w:rsidR="00F257C7" w:rsidRDefault="00F257C7" w:rsidP="004E7C9F">
            <w:pPr>
              <w:numPr>
                <w:ilvl w:val="0"/>
                <w:numId w:val="4"/>
              </w:numPr>
              <w:ind w:left="426" w:right="-330" w:hanging="426"/>
              <w:contextualSpacing/>
              <w:jc w:val="both"/>
              <w:rPr>
                <w:rFonts w:eastAsia="Times New Roman" w:cstheme="minorHAnsi"/>
                <w:lang w:eastAsia="en-AU"/>
              </w:rPr>
            </w:pPr>
            <w:r>
              <w:rPr>
                <w:rFonts w:eastAsia="Times New Roman" w:cstheme="minorHAnsi"/>
                <w:lang w:eastAsia="en-AU"/>
              </w:rPr>
              <w:t xml:space="preserve">Vanuatu Women’s Centre (VWC) (3) </w:t>
            </w:r>
          </w:p>
          <w:p w14:paraId="331724BD" w14:textId="77777777" w:rsidR="00F257C7" w:rsidRPr="004633A8" w:rsidRDefault="00F257C7" w:rsidP="004E7C9F">
            <w:pPr>
              <w:numPr>
                <w:ilvl w:val="0"/>
                <w:numId w:val="4"/>
              </w:numPr>
              <w:ind w:left="426" w:right="-330" w:hanging="426"/>
              <w:contextualSpacing/>
              <w:jc w:val="both"/>
              <w:rPr>
                <w:rFonts w:eastAsia="Times New Roman" w:cstheme="minorHAnsi"/>
                <w:lang w:eastAsia="en-AU"/>
              </w:rPr>
            </w:pPr>
            <w:r>
              <w:rPr>
                <w:rFonts w:cstheme="minorHAnsi"/>
              </w:rPr>
              <w:t>Vanuatu Society for People with Disability</w:t>
            </w:r>
            <w:r>
              <w:rPr>
                <w:rFonts w:eastAsia="Times New Roman" w:cstheme="minorHAnsi"/>
                <w:lang w:eastAsia="en-AU"/>
              </w:rPr>
              <w:t xml:space="preserve"> (VSPD) (1)</w:t>
            </w:r>
          </w:p>
        </w:tc>
      </w:tr>
      <w:tr w:rsidR="00F257C7" w14:paraId="42381E82" w14:textId="77777777" w:rsidTr="009724CE">
        <w:tc>
          <w:tcPr>
            <w:tcW w:w="2830" w:type="dxa"/>
          </w:tcPr>
          <w:p w14:paraId="2461FFEA" w14:textId="77777777" w:rsidR="00F257C7" w:rsidRPr="003C34E3" w:rsidRDefault="00F257C7" w:rsidP="009724CE">
            <w:pPr>
              <w:rPr>
                <w:rFonts w:eastAsia="Times New Roman" w:cstheme="minorHAnsi"/>
                <w:b/>
                <w:lang w:eastAsia="en-AU"/>
              </w:rPr>
            </w:pPr>
            <w:r>
              <w:rPr>
                <w:rFonts w:eastAsia="Times New Roman" w:cstheme="minorHAnsi"/>
                <w:b/>
                <w:lang w:eastAsia="en-AU"/>
              </w:rPr>
              <w:t>2 donor officials</w:t>
            </w:r>
          </w:p>
        </w:tc>
        <w:tc>
          <w:tcPr>
            <w:tcW w:w="6186" w:type="dxa"/>
          </w:tcPr>
          <w:p w14:paraId="5EA38527" w14:textId="77777777" w:rsidR="00F257C7" w:rsidRDefault="00F257C7" w:rsidP="004E7C9F">
            <w:pPr>
              <w:numPr>
                <w:ilvl w:val="0"/>
                <w:numId w:val="4"/>
              </w:numPr>
              <w:ind w:left="426" w:right="-330" w:hanging="426"/>
              <w:contextualSpacing/>
              <w:jc w:val="both"/>
              <w:rPr>
                <w:rFonts w:eastAsia="Times New Roman" w:cstheme="minorHAnsi"/>
                <w:lang w:eastAsia="en-AU"/>
              </w:rPr>
            </w:pPr>
            <w:r>
              <w:rPr>
                <w:rFonts w:eastAsia="Times New Roman" w:cstheme="minorHAnsi"/>
                <w:lang w:eastAsia="en-AU"/>
              </w:rPr>
              <w:t>Representatives of the New Zealand High Commission (2)</w:t>
            </w:r>
          </w:p>
        </w:tc>
      </w:tr>
      <w:tr w:rsidR="00F257C7" w14:paraId="40866C20" w14:textId="77777777" w:rsidTr="009724CE">
        <w:tc>
          <w:tcPr>
            <w:tcW w:w="2830" w:type="dxa"/>
          </w:tcPr>
          <w:p w14:paraId="7DF725EF" w14:textId="77777777" w:rsidR="00F257C7" w:rsidRDefault="00F257C7" w:rsidP="009724CE">
            <w:pPr>
              <w:rPr>
                <w:rFonts w:eastAsia="Times New Roman" w:cstheme="minorHAnsi"/>
                <w:b/>
                <w:lang w:eastAsia="en-AU"/>
              </w:rPr>
            </w:pPr>
            <w:r>
              <w:rPr>
                <w:rFonts w:eastAsia="Times New Roman" w:cstheme="minorHAnsi"/>
                <w:b/>
                <w:lang w:eastAsia="en-AU"/>
              </w:rPr>
              <w:t>36</w:t>
            </w:r>
            <w:r w:rsidRPr="003C34E3">
              <w:rPr>
                <w:rFonts w:eastAsia="Times New Roman" w:cstheme="minorHAnsi"/>
                <w:b/>
                <w:lang w:eastAsia="en-AU"/>
              </w:rPr>
              <w:t xml:space="preserve"> community members</w:t>
            </w:r>
          </w:p>
          <w:p w14:paraId="0D773152" w14:textId="77777777" w:rsidR="00F257C7" w:rsidRDefault="00F257C7" w:rsidP="009724CE">
            <w:pPr>
              <w:rPr>
                <w:rFonts w:eastAsia="Times New Roman" w:cstheme="minorHAnsi"/>
                <w:b/>
                <w:lang w:eastAsia="en-AU"/>
              </w:rPr>
            </w:pPr>
            <w:r>
              <w:rPr>
                <w:rFonts w:eastAsia="Times New Roman" w:cstheme="minorHAnsi"/>
                <w:b/>
                <w:lang w:eastAsia="en-AU"/>
              </w:rPr>
              <w:t>(15 women and 21 men)</w:t>
            </w:r>
          </w:p>
        </w:tc>
        <w:tc>
          <w:tcPr>
            <w:tcW w:w="6186" w:type="dxa"/>
          </w:tcPr>
          <w:p w14:paraId="30ABD50E" w14:textId="77777777" w:rsidR="00F257C7" w:rsidRPr="000731E3" w:rsidRDefault="00F257C7" w:rsidP="004E7C9F">
            <w:pPr>
              <w:numPr>
                <w:ilvl w:val="0"/>
                <w:numId w:val="4"/>
              </w:numPr>
              <w:ind w:left="426" w:hanging="426"/>
              <w:contextualSpacing/>
              <w:jc w:val="both"/>
              <w:rPr>
                <w:rFonts w:eastAsia="Times New Roman" w:cstheme="minorHAnsi"/>
                <w:lang w:eastAsia="en-AU"/>
              </w:rPr>
            </w:pPr>
            <w:r w:rsidRPr="00BC26F7">
              <w:rPr>
                <w:rFonts w:eastAsia="Times New Roman" w:cstheme="minorHAnsi"/>
                <w:lang w:eastAsia="en-AU"/>
              </w:rPr>
              <w:t xml:space="preserve">Tokyo </w:t>
            </w:r>
            <w:proofErr w:type="spellStart"/>
            <w:r w:rsidRPr="00BC26F7">
              <w:rPr>
                <w:rFonts w:eastAsia="Times New Roman" w:cstheme="minorHAnsi"/>
                <w:lang w:eastAsia="en-AU"/>
              </w:rPr>
              <w:t>Buninga</w:t>
            </w:r>
            <w:proofErr w:type="spellEnd"/>
            <w:r w:rsidRPr="000731E3">
              <w:rPr>
                <w:rFonts w:eastAsia="Times New Roman" w:cstheme="minorHAnsi"/>
                <w:lang w:eastAsia="en-AU"/>
              </w:rPr>
              <w:t xml:space="preserve"> </w:t>
            </w:r>
            <w:r>
              <w:rPr>
                <w:rFonts w:eastAsia="Times New Roman" w:cstheme="minorHAnsi"/>
                <w:lang w:eastAsia="en-AU"/>
              </w:rPr>
              <w:t xml:space="preserve">and </w:t>
            </w:r>
            <w:r w:rsidRPr="000731E3">
              <w:rPr>
                <w:rFonts w:eastAsia="Times New Roman" w:cstheme="minorHAnsi"/>
                <w:lang w:eastAsia="en-AU"/>
              </w:rPr>
              <w:t>Olin (AP pilot communit</w:t>
            </w:r>
            <w:r>
              <w:rPr>
                <w:rFonts w:eastAsia="Times New Roman" w:cstheme="minorHAnsi"/>
                <w:lang w:eastAsia="en-AU"/>
              </w:rPr>
              <w:t>ies</w:t>
            </w:r>
            <w:r w:rsidRPr="000731E3">
              <w:rPr>
                <w:rFonts w:eastAsia="Times New Roman" w:cstheme="minorHAnsi"/>
                <w:lang w:eastAsia="en-AU"/>
              </w:rPr>
              <w:t>)</w:t>
            </w:r>
            <w:r>
              <w:rPr>
                <w:rFonts w:eastAsia="Times New Roman" w:cstheme="minorHAnsi"/>
                <w:lang w:eastAsia="en-AU"/>
              </w:rPr>
              <w:t>, (7)</w:t>
            </w:r>
            <w:r w:rsidRPr="000731E3">
              <w:rPr>
                <w:rFonts w:eastAsia="Times New Roman" w:cstheme="minorHAnsi"/>
                <w:lang w:eastAsia="en-AU"/>
              </w:rPr>
              <w:t>:</w:t>
            </w:r>
            <w:r>
              <w:rPr>
                <w:rFonts w:eastAsia="Times New Roman" w:cstheme="minorHAnsi"/>
                <w:lang w:eastAsia="en-AU"/>
              </w:rPr>
              <w:t xml:space="preserve"> </w:t>
            </w:r>
            <w:r w:rsidRPr="000731E3">
              <w:rPr>
                <w:rFonts w:eastAsia="Times New Roman" w:cstheme="minorHAnsi"/>
                <w:lang w:eastAsia="en-AU"/>
              </w:rPr>
              <w:t>2 chiefs, 1</w:t>
            </w:r>
            <w:r>
              <w:rPr>
                <w:rFonts w:eastAsia="Times New Roman" w:cstheme="minorHAnsi"/>
                <w:lang w:eastAsia="en-AU"/>
              </w:rPr>
              <w:t xml:space="preserve"> </w:t>
            </w:r>
            <w:r w:rsidRPr="000731E3">
              <w:rPr>
                <w:rFonts w:eastAsia="Times New Roman" w:cstheme="minorHAnsi"/>
                <w:lang w:eastAsia="en-AU"/>
              </w:rPr>
              <w:t>AP and 1 AP spouse, 2 women, and 1 male youth representative</w:t>
            </w:r>
          </w:p>
          <w:p w14:paraId="4B1951C0" w14:textId="77777777" w:rsidR="00F257C7" w:rsidRDefault="00F257C7" w:rsidP="004E7C9F">
            <w:pPr>
              <w:numPr>
                <w:ilvl w:val="0"/>
                <w:numId w:val="4"/>
              </w:numPr>
              <w:ind w:left="426" w:hanging="426"/>
              <w:contextualSpacing/>
              <w:jc w:val="both"/>
              <w:rPr>
                <w:rFonts w:eastAsia="Times New Roman" w:cstheme="minorHAnsi"/>
                <w:lang w:eastAsia="en-AU"/>
              </w:rPr>
            </w:pPr>
            <w:proofErr w:type="spellStart"/>
            <w:r>
              <w:rPr>
                <w:rFonts w:eastAsia="Times New Roman" w:cstheme="minorHAnsi"/>
                <w:lang w:eastAsia="en-AU"/>
              </w:rPr>
              <w:t>Blacksands</w:t>
            </w:r>
            <w:proofErr w:type="spellEnd"/>
            <w:r>
              <w:rPr>
                <w:rFonts w:eastAsia="Times New Roman" w:cstheme="minorHAnsi"/>
                <w:lang w:eastAsia="en-AU"/>
              </w:rPr>
              <w:t xml:space="preserve">, outside Port Vila </w:t>
            </w:r>
            <w:r w:rsidRPr="00BC26F7">
              <w:rPr>
                <w:rFonts w:eastAsia="Times New Roman" w:cstheme="minorHAnsi"/>
                <w:lang w:eastAsia="en-AU"/>
              </w:rPr>
              <w:t>(Youth awareness raising</w:t>
            </w:r>
            <w:r>
              <w:rPr>
                <w:rFonts w:eastAsia="Times New Roman" w:cstheme="minorHAnsi"/>
                <w:lang w:eastAsia="en-AU"/>
              </w:rPr>
              <w:t xml:space="preserve"> project</w:t>
            </w:r>
            <w:r w:rsidRPr="00BC26F7">
              <w:rPr>
                <w:rFonts w:eastAsia="Times New Roman" w:cstheme="minorHAnsi"/>
                <w:lang w:eastAsia="en-AU"/>
              </w:rPr>
              <w:t>)</w:t>
            </w:r>
            <w:r>
              <w:rPr>
                <w:rFonts w:eastAsia="Times New Roman" w:cstheme="minorHAnsi"/>
                <w:lang w:eastAsia="en-AU"/>
              </w:rPr>
              <w:t xml:space="preserve"> (9)</w:t>
            </w:r>
            <w:r w:rsidRPr="00BC26F7">
              <w:rPr>
                <w:rFonts w:eastAsia="Times New Roman" w:cstheme="minorHAnsi"/>
                <w:lang w:eastAsia="en-AU"/>
              </w:rPr>
              <w:t xml:space="preserve">: 5 male youth, 4 women youth </w:t>
            </w:r>
          </w:p>
          <w:p w14:paraId="25622086" w14:textId="77777777" w:rsidR="00F257C7" w:rsidRPr="009A7EC5" w:rsidRDefault="00F257C7" w:rsidP="004E7C9F">
            <w:pPr>
              <w:numPr>
                <w:ilvl w:val="0"/>
                <w:numId w:val="4"/>
              </w:numPr>
              <w:ind w:left="426" w:hanging="426"/>
              <w:contextualSpacing/>
              <w:jc w:val="both"/>
              <w:rPr>
                <w:rFonts w:eastAsia="Times New Roman" w:cstheme="minorHAnsi"/>
                <w:lang w:eastAsia="en-AU"/>
              </w:rPr>
            </w:pPr>
            <w:proofErr w:type="spellStart"/>
            <w:r w:rsidRPr="00146E9A">
              <w:rPr>
                <w:rFonts w:eastAsia="Times New Roman" w:cstheme="minorHAnsi"/>
                <w:lang w:eastAsia="en-AU"/>
              </w:rPr>
              <w:t>Saraday</w:t>
            </w:r>
            <w:proofErr w:type="spellEnd"/>
            <w:r w:rsidRPr="00146E9A">
              <w:rPr>
                <w:rFonts w:eastAsia="Times New Roman" w:cstheme="minorHAnsi"/>
                <w:lang w:eastAsia="en-AU"/>
              </w:rPr>
              <w:t xml:space="preserve"> (AP pilot community) (2</w:t>
            </w:r>
            <w:r w:rsidR="00E76AC2">
              <w:rPr>
                <w:rFonts w:eastAsia="Times New Roman" w:cstheme="minorHAnsi"/>
                <w:lang w:eastAsia="en-AU"/>
              </w:rPr>
              <w:t>0</w:t>
            </w:r>
            <w:r w:rsidRPr="00146E9A">
              <w:rPr>
                <w:rFonts w:eastAsia="Times New Roman" w:cstheme="minorHAnsi"/>
                <w:lang w:eastAsia="en-AU"/>
              </w:rPr>
              <w:t xml:space="preserve">): </w:t>
            </w:r>
            <w:r>
              <w:rPr>
                <w:rFonts w:eastAsia="Times New Roman" w:cstheme="minorHAnsi"/>
                <w:lang w:eastAsia="en-AU"/>
              </w:rPr>
              <w:t>5 chiefs (male), 5 APs (1 male and 1 female),</w:t>
            </w:r>
            <w:r w:rsidR="00E76AC2">
              <w:rPr>
                <w:rFonts w:eastAsia="Times New Roman" w:cstheme="minorHAnsi"/>
                <w:lang w:eastAsia="en-AU"/>
              </w:rPr>
              <w:t xml:space="preserve"> 10 community members</w:t>
            </w:r>
            <w:r>
              <w:rPr>
                <w:rFonts w:eastAsia="Times New Roman" w:cstheme="minorHAnsi"/>
                <w:lang w:eastAsia="en-AU"/>
              </w:rPr>
              <w:t xml:space="preserve"> </w:t>
            </w:r>
            <w:r w:rsidR="00E76AC2">
              <w:rPr>
                <w:rFonts w:eastAsia="Times New Roman" w:cstheme="minorHAnsi"/>
                <w:lang w:eastAsia="en-AU"/>
              </w:rPr>
              <w:t>(</w:t>
            </w:r>
            <w:r w:rsidR="007264A5">
              <w:rPr>
                <w:rFonts w:eastAsia="Times New Roman" w:cstheme="minorHAnsi"/>
                <w:lang w:eastAsia="en-AU"/>
              </w:rPr>
              <w:t>2</w:t>
            </w:r>
            <w:r>
              <w:rPr>
                <w:rFonts w:eastAsia="Times New Roman" w:cstheme="minorHAnsi"/>
                <w:lang w:eastAsia="en-AU"/>
              </w:rPr>
              <w:t xml:space="preserve"> </w:t>
            </w:r>
            <w:r w:rsidR="00E76AC2">
              <w:rPr>
                <w:rFonts w:eastAsia="Times New Roman" w:cstheme="minorHAnsi"/>
                <w:lang w:eastAsia="en-AU"/>
              </w:rPr>
              <w:t>men</w:t>
            </w:r>
            <w:r>
              <w:rPr>
                <w:rFonts w:eastAsia="Times New Roman" w:cstheme="minorHAnsi"/>
                <w:lang w:eastAsia="en-AU"/>
              </w:rPr>
              <w:t xml:space="preserve"> and 8 women</w:t>
            </w:r>
            <w:r w:rsidR="00E76AC2">
              <w:rPr>
                <w:rFonts w:eastAsia="Times New Roman" w:cstheme="minorHAnsi"/>
                <w:lang w:eastAsia="en-AU"/>
              </w:rPr>
              <w:t>)</w:t>
            </w:r>
            <w:r>
              <w:rPr>
                <w:rFonts w:eastAsia="Times New Roman" w:cstheme="minorHAnsi"/>
                <w:lang w:eastAsia="en-AU"/>
              </w:rPr>
              <w:t>.</w:t>
            </w:r>
          </w:p>
        </w:tc>
      </w:tr>
    </w:tbl>
    <w:p w14:paraId="7FEEF158" w14:textId="77777777" w:rsidR="009A7EC5" w:rsidRPr="000731E3" w:rsidRDefault="009A7EC5" w:rsidP="004633A8">
      <w:pPr>
        <w:spacing w:line="240" w:lineRule="auto"/>
        <w:jc w:val="both"/>
        <w:rPr>
          <w:rFonts w:ascii="Calibri" w:eastAsia="Calibri" w:hAnsi="Calibri" w:cs="DaunPenh"/>
        </w:rPr>
      </w:pPr>
    </w:p>
    <w:p w14:paraId="0CADC87D" w14:textId="77777777" w:rsidR="00C93CAC" w:rsidRDefault="00C93CAC" w:rsidP="00C93CAC">
      <w:pPr>
        <w:spacing w:before="120" w:after="0"/>
        <w:rPr>
          <w:rFonts w:cstheme="minorHAnsi"/>
          <w:b/>
        </w:rPr>
      </w:pPr>
      <w:r>
        <w:rPr>
          <w:rFonts w:cstheme="minorHAnsi"/>
          <w:b/>
        </w:rPr>
        <w:t>List of stakeholders consulted</w:t>
      </w:r>
    </w:p>
    <w:p w14:paraId="01F11F48" w14:textId="77777777" w:rsidR="00C93CAC" w:rsidRPr="00C93CAC" w:rsidRDefault="00C93CAC" w:rsidP="00C93CAC">
      <w:pPr>
        <w:spacing w:before="120" w:after="0"/>
        <w:rPr>
          <w:rFonts w:cstheme="minorHAnsi"/>
          <w:b/>
        </w:rPr>
      </w:pPr>
      <w:r w:rsidRPr="00C93CAC">
        <w:rPr>
          <w:rFonts w:cstheme="minorHAnsi"/>
          <w:b/>
        </w:rPr>
        <w:t>Australian High Commission, Port Vila</w:t>
      </w:r>
    </w:p>
    <w:p w14:paraId="1A49C5A8" w14:textId="77777777" w:rsidR="00C93CAC" w:rsidRPr="00C93CAC" w:rsidRDefault="00C93CAC" w:rsidP="004E7C9F">
      <w:pPr>
        <w:numPr>
          <w:ilvl w:val="0"/>
          <w:numId w:val="12"/>
        </w:numPr>
        <w:spacing w:before="120" w:after="0"/>
        <w:ind w:left="714" w:hanging="357"/>
        <w:contextualSpacing/>
        <w:jc w:val="both"/>
        <w:rPr>
          <w:rFonts w:cstheme="minorHAnsi"/>
        </w:rPr>
      </w:pPr>
      <w:r w:rsidRPr="00C93CAC">
        <w:rPr>
          <w:rFonts w:cstheme="minorHAnsi"/>
        </w:rPr>
        <w:t xml:space="preserve">Jenny Da </w:t>
      </w:r>
      <w:proofErr w:type="spellStart"/>
      <w:r w:rsidRPr="00C93CAC">
        <w:rPr>
          <w:rFonts w:cstheme="minorHAnsi"/>
        </w:rPr>
        <w:t>Rin</w:t>
      </w:r>
      <w:proofErr w:type="spellEnd"/>
      <w:r w:rsidRPr="00C93CAC">
        <w:rPr>
          <w:rFonts w:cstheme="minorHAnsi"/>
        </w:rPr>
        <w:t>, High Commissioner</w:t>
      </w:r>
    </w:p>
    <w:p w14:paraId="1B306FDD" w14:textId="77777777" w:rsidR="00C93CAC" w:rsidRPr="00C93CAC" w:rsidRDefault="00C93CAC" w:rsidP="004E7C9F">
      <w:pPr>
        <w:numPr>
          <w:ilvl w:val="0"/>
          <w:numId w:val="12"/>
        </w:numPr>
        <w:spacing w:before="120" w:after="0"/>
        <w:contextualSpacing/>
        <w:jc w:val="both"/>
        <w:rPr>
          <w:rFonts w:cstheme="minorHAnsi"/>
        </w:rPr>
      </w:pPr>
      <w:r w:rsidRPr="00C93CAC">
        <w:rPr>
          <w:rFonts w:cstheme="minorHAnsi"/>
        </w:rPr>
        <w:t>Susan Ryle, Deputy High Commissioner</w:t>
      </w:r>
    </w:p>
    <w:p w14:paraId="2C4033C0" w14:textId="77777777" w:rsidR="00C93CAC" w:rsidRPr="00C93CAC" w:rsidRDefault="00C93CAC" w:rsidP="004E7C9F">
      <w:pPr>
        <w:numPr>
          <w:ilvl w:val="0"/>
          <w:numId w:val="12"/>
        </w:numPr>
        <w:spacing w:before="120" w:after="0"/>
        <w:contextualSpacing/>
        <w:jc w:val="both"/>
        <w:rPr>
          <w:rFonts w:cstheme="minorHAnsi"/>
        </w:rPr>
      </w:pPr>
      <w:r w:rsidRPr="00C93CAC">
        <w:rPr>
          <w:rFonts w:cstheme="minorHAnsi"/>
        </w:rPr>
        <w:t>Cathy McWilliam, First Secretary (Development Cooperation)</w:t>
      </w:r>
    </w:p>
    <w:p w14:paraId="360E04A6" w14:textId="77777777" w:rsidR="00C93CAC" w:rsidRPr="00C93CAC" w:rsidRDefault="00C93CAC" w:rsidP="004E7C9F">
      <w:pPr>
        <w:numPr>
          <w:ilvl w:val="0"/>
          <w:numId w:val="12"/>
        </w:numPr>
        <w:spacing w:before="120" w:after="0"/>
        <w:contextualSpacing/>
        <w:jc w:val="both"/>
        <w:rPr>
          <w:rFonts w:cstheme="minorHAnsi"/>
        </w:rPr>
      </w:pPr>
      <w:r w:rsidRPr="00C93CAC">
        <w:rPr>
          <w:rFonts w:cstheme="minorHAnsi"/>
        </w:rPr>
        <w:t>Helen Corrigan, SPM Humanitarian &amp; Recovery</w:t>
      </w:r>
    </w:p>
    <w:p w14:paraId="52D51B1C" w14:textId="77777777" w:rsidR="00C93CAC" w:rsidRPr="00C93CAC" w:rsidRDefault="00C93CAC" w:rsidP="004E7C9F">
      <w:pPr>
        <w:numPr>
          <w:ilvl w:val="0"/>
          <w:numId w:val="12"/>
        </w:numPr>
        <w:spacing w:before="120" w:after="0"/>
        <w:contextualSpacing/>
        <w:jc w:val="both"/>
        <w:rPr>
          <w:rFonts w:cstheme="minorHAnsi"/>
        </w:rPr>
      </w:pPr>
      <w:r w:rsidRPr="00C93CAC">
        <w:rPr>
          <w:rFonts w:cstheme="minorHAnsi"/>
        </w:rPr>
        <w:t>Alison George, Former First Secretary Education and Safer Communities</w:t>
      </w:r>
    </w:p>
    <w:p w14:paraId="547DF3F6" w14:textId="77777777" w:rsidR="00C93CAC" w:rsidRPr="00C93CAC" w:rsidRDefault="00C93CAC" w:rsidP="004E7C9F">
      <w:pPr>
        <w:numPr>
          <w:ilvl w:val="0"/>
          <w:numId w:val="12"/>
        </w:numPr>
        <w:spacing w:before="120" w:after="0"/>
        <w:contextualSpacing/>
        <w:jc w:val="both"/>
        <w:rPr>
          <w:rFonts w:cstheme="minorHAnsi"/>
        </w:rPr>
      </w:pPr>
      <w:r w:rsidRPr="00C93CAC">
        <w:rPr>
          <w:rFonts w:cstheme="minorHAnsi"/>
        </w:rPr>
        <w:t xml:space="preserve">Kylie Turnbull, Defence Attaché </w:t>
      </w:r>
    </w:p>
    <w:p w14:paraId="7F0508B1" w14:textId="77777777" w:rsidR="00C93CAC" w:rsidRPr="00C93CAC" w:rsidRDefault="00C93CAC" w:rsidP="004E7C9F">
      <w:pPr>
        <w:numPr>
          <w:ilvl w:val="0"/>
          <w:numId w:val="12"/>
        </w:numPr>
        <w:spacing w:before="120" w:after="0"/>
        <w:contextualSpacing/>
        <w:jc w:val="both"/>
        <w:rPr>
          <w:rFonts w:cstheme="minorHAnsi"/>
        </w:rPr>
      </w:pPr>
      <w:r w:rsidRPr="00C93CAC">
        <w:rPr>
          <w:rFonts w:cstheme="minorHAnsi"/>
        </w:rPr>
        <w:t>Jo Warden, Liaison Officer, Australian Federal Police</w:t>
      </w:r>
    </w:p>
    <w:p w14:paraId="7F2B76D1" w14:textId="77777777" w:rsidR="00C93CAC" w:rsidRPr="00C93CAC" w:rsidRDefault="00C93CAC" w:rsidP="00C93CAC">
      <w:pPr>
        <w:spacing w:before="120" w:after="0"/>
        <w:rPr>
          <w:rFonts w:cstheme="minorHAnsi"/>
          <w:b/>
        </w:rPr>
      </w:pPr>
      <w:r w:rsidRPr="00C93CAC">
        <w:rPr>
          <w:rFonts w:cstheme="minorHAnsi"/>
          <w:b/>
        </w:rPr>
        <w:t>Ministry of Justice and Community Services</w:t>
      </w:r>
    </w:p>
    <w:p w14:paraId="417A2E54" w14:textId="77777777" w:rsidR="00C93CAC" w:rsidRPr="00C93CAC" w:rsidRDefault="00C93CAC" w:rsidP="004E7C9F">
      <w:pPr>
        <w:numPr>
          <w:ilvl w:val="0"/>
          <w:numId w:val="12"/>
        </w:numPr>
        <w:spacing w:before="120" w:after="0"/>
        <w:ind w:left="714" w:hanging="357"/>
        <w:contextualSpacing/>
        <w:jc w:val="both"/>
        <w:rPr>
          <w:rFonts w:cstheme="minorHAnsi"/>
        </w:rPr>
      </w:pPr>
      <w:proofErr w:type="spellStart"/>
      <w:r w:rsidRPr="00C93CAC">
        <w:rPr>
          <w:rFonts w:cstheme="minorHAnsi"/>
        </w:rPr>
        <w:t>Dorosday</w:t>
      </w:r>
      <w:proofErr w:type="spellEnd"/>
      <w:r w:rsidRPr="00C93CAC">
        <w:rPr>
          <w:rFonts w:cstheme="minorHAnsi"/>
        </w:rPr>
        <w:t xml:space="preserve"> Kenneth, Director-General </w:t>
      </w:r>
    </w:p>
    <w:p w14:paraId="075036D8" w14:textId="77777777" w:rsidR="00C93CAC" w:rsidRPr="00C93CAC" w:rsidRDefault="00C93CAC" w:rsidP="004E7C9F">
      <w:pPr>
        <w:numPr>
          <w:ilvl w:val="0"/>
          <w:numId w:val="12"/>
        </w:numPr>
        <w:spacing w:before="120" w:after="0"/>
        <w:ind w:left="714" w:hanging="357"/>
        <w:contextualSpacing/>
        <w:jc w:val="both"/>
        <w:rPr>
          <w:rFonts w:cstheme="minorHAnsi"/>
        </w:rPr>
      </w:pPr>
      <w:r w:rsidRPr="00C93CAC">
        <w:rPr>
          <w:rFonts w:cstheme="minorHAnsi"/>
        </w:rPr>
        <w:t xml:space="preserve">James </w:t>
      </w:r>
      <w:proofErr w:type="spellStart"/>
      <w:r w:rsidRPr="00C93CAC">
        <w:rPr>
          <w:rFonts w:cstheme="minorHAnsi"/>
        </w:rPr>
        <w:t>Anga</w:t>
      </w:r>
      <w:proofErr w:type="spellEnd"/>
      <w:r w:rsidRPr="00C93CAC">
        <w:rPr>
          <w:rFonts w:cstheme="minorHAnsi"/>
        </w:rPr>
        <w:t>, Child Desk Officer</w:t>
      </w:r>
    </w:p>
    <w:p w14:paraId="2B54A648" w14:textId="77777777" w:rsidR="00C93CAC" w:rsidRPr="00C93CAC" w:rsidRDefault="00C93CAC" w:rsidP="004E7C9F">
      <w:pPr>
        <w:numPr>
          <w:ilvl w:val="0"/>
          <w:numId w:val="12"/>
        </w:numPr>
        <w:spacing w:before="120" w:after="0"/>
        <w:ind w:left="714" w:hanging="357"/>
        <w:contextualSpacing/>
        <w:jc w:val="both"/>
        <w:rPr>
          <w:rFonts w:cstheme="minorHAnsi"/>
        </w:rPr>
      </w:pPr>
      <w:r w:rsidRPr="00C93CAC">
        <w:rPr>
          <w:rFonts w:cstheme="minorHAnsi"/>
        </w:rPr>
        <w:t xml:space="preserve">Jocelyn </w:t>
      </w:r>
      <w:proofErr w:type="spellStart"/>
      <w:r w:rsidRPr="00C93CAC">
        <w:rPr>
          <w:rFonts w:cstheme="minorHAnsi"/>
        </w:rPr>
        <w:t>Loughman</w:t>
      </w:r>
      <w:proofErr w:type="spellEnd"/>
      <w:r w:rsidRPr="00C93CAC">
        <w:rPr>
          <w:rFonts w:cstheme="minorHAnsi"/>
        </w:rPr>
        <w:t>, M&amp;E Officer</w:t>
      </w:r>
    </w:p>
    <w:p w14:paraId="697BD944" w14:textId="77777777" w:rsidR="00C93CAC" w:rsidRPr="00C93CAC" w:rsidRDefault="00C93CAC" w:rsidP="004E7C9F">
      <w:pPr>
        <w:numPr>
          <w:ilvl w:val="0"/>
          <w:numId w:val="12"/>
        </w:numPr>
        <w:spacing w:before="120" w:after="0"/>
        <w:ind w:left="714" w:hanging="357"/>
        <w:contextualSpacing/>
        <w:jc w:val="both"/>
        <w:rPr>
          <w:rFonts w:cstheme="minorHAnsi"/>
        </w:rPr>
      </w:pPr>
      <w:r w:rsidRPr="00C93CAC">
        <w:rPr>
          <w:rFonts w:cstheme="minorHAnsi"/>
        </w:rPr>
        <w:t>Joe Massing, Infrastructure Officer</w:t>
      </w:r>
    </w:p>
    <w:p w14:paraId="4F4AFFFC" w14:textId="77777777" w:rsidR="00C93CAC" w:rsidRPr="00C93CAC" w:rsidRDefault="00C93CAC" w:rsidP="004E7C9F">
      <w:pPr>
        <w:numPr>
          <w:ilvl w:val="0"/>
          <w:numId w:val="12"/>
        </w:numPr>
        <w:spacing w:before="120" w:after="0"/>
        <w:ind w:left="714" w:hanging="357"/>
        <w:contextualSpacing/>
        <w:jc w:val="both"/>
        <w:rPr>
          <w:rFonts w:cstheme="minorHAnsi"/>
        </w:rPr>
      </w:pPr>
      <w:proofErr w:type="spellStart"/>
      <w:r w:rsidRPr="00C93CAC">
        <w:rPr>
          <w:rFonts w:cstheme="minorHAnsi"/>
        </w:rPr>
        <w:t>Ginette</w:t>
      </w:r>
      <w:proofErr w:type="spellEnd"/>
      <w:r w:rsidRPr="00C93CAC">
        <w:rPr>
          <w:rFonts w:cstheme="minorHAnsi"/>
        </w:rPr>
        <w:t xml:space="preserve"> Morris, Disability Rights &amp; Inclusive Development Officer</w:t>
      </w:r>
    </w:p>
    <w:p w14:paraId="0B4B512C" w14:textId="77777777" w:rsidR="00C93CAC" w:rsidRPr="00C93CAC" w:rsidRDefault="00C93CAC" w:rsidP="004E7C9F">
      <w:pPr>
        <w:numPr>
          <w:ilvl w:val="0"/>
          <w:numId w:val="12"/>
        </w:numPr>
        <w:spacing w:before="120" w:after="0"/>
        <w:ind w:left="714" w:hanging="357"/>
        <w:contextualSpacing/>
        <w:jc w:val="both"/>
        <w:rPr>
          <w:rFonts w:cstheme="minorHAnsi"/>
        </w:rPr>
      </w:pPr>
      <w:r w:rsidRPr="00C93CAC">
        <w:rPr>
          <w:rFonts w:cstheme="minorHAnsi"/>
        </w:rPr>
        <w:t xml:space="preserve">Louise </w:t>
      </w:r>
      <w:proofErr w:type="spellStart"/>
      <w:r w:rsidRPr="00C93CAC">
        <w:rPr>
          <w:rFonts w:cstheme="minorHAnsi"/>
        </w:rPr>
        <w:t>Nasak</w:t>
      </w:r>
      <w:proofErr w:type="spellEnd"/>
      <w:r w:rsidRPr="00C93CAC">
        <w:rPr>
          <w:rFonts w:cstheme="minorHAnsi"/>
        </w:rPr>
        <w:t>, Sector Capacity Development Officer</w:t>
      </w:r>
    </w:p>
    <w:p w14:paraId="6375CAAA" w14:textId="77777777" w:rsidR="00C93CAC" w:rsidRPr="00C93CAC" w:rsidRDefault="00C93CAC" w:rsidP="004E7C9F">
      <w:pPr>
        <w:numPr>
          <w:ilvl w:val="0"/>
          <w:numId w:val="12"/>
        </w:numPr>
        <w:spacing w:before="120" w:after="0"/>
        <w:ind w:left="714" w:hanging="357"/>
        <w:contextualSpacing/>
        <w:jc w:val="both"/>
        <w:rPr>
          <w:rFonts w:cstheme="minorHAnsi"/>
        </w:rPr>
      </w:pPr>
      <w:r w:rsidRPr="00C93CAC">
        <w:rPr>
          <w:rFonts w:cstheme="minorHAnsi"/>
        </w:rPr>
        <w:t xml:space="preserve">Ann </w:t>
      </w:r>
      <w:proofErr w:type="spellStart"/>
      <w:r w:rsidRPr="00C93CAC">
        <w:rPr>
          <w:rFonts w:cstheme="minorHAnsi"/>
        </w:rPr>
        <w:t>Pakoa</w:t>
      </w:r>
      <w:proofErr w:type="spellEnd"/>
      <w:r w:rsidRPr="00C93CAC">
        <w:rPr>
          <w:rFonts w:cstheme="minorHAnsi"/>
        </w:rPr>
        <w:t>, Principal Human Resources Officer</w:t>
      </w:r>
    </w:p>
    <w:p w14:paraId="38ECD91D" w14:textId="77777777" w:rsidR="00C93CAC" w:rsidRPr="00C93CAC" w:rsidRDefault="00C93CAC" w:rsidP="004E7C9F">
      <w:pPr>
        <w:numPr>
          <w:ilvl w:val="0"/>
          <w:numId w:val="12"/>
        </w:numPr>
        <w:spacing w:before="120" w:after="0"/>
        <w:ind w:left="714" w:hanging="357"/>
        <w:contextualSpacing/>
        <w:jc w:val="both"/>
        <w:rPr>
          <w:rFonts w:cstheme="minorHAnsi"/>
        </w:rPr>
      </w:pPr>
      <w:r w:rsidRPr="00C93CAC">
        <w:rPr>
          <w:rFonts w:cstheme="minorHAnsi"/>
        </w:rPr>
        <w:t>Cynthia Malachi, Senior Finance Officer</w:t>
      </w:r>
    </w:p>
    <w:p w14:paraId="715202F3" w14:textId="77777777" w:rsidR="00C93CAC" w:rsidRPr="00C93CAC" w:rsidRDefault="00C93CAC" w:rsidP="00C93CAC">
      <w:pPr>
        <w:spacing w:before="120" w:after="0"/>
        <w:rPr>
          <w:rFonts w:cstheme="minorHAnsi"/>
          <w:b/>
        </w:rPr>
      </w:pPr>
      <w:r w:rsidRPr="00C93CAC">
        <w:rPr>
          <w:rFonts w:cstheme="minorHAnsi"/>
          <w:b/>
        </w:rPr>
        <w:t>Ministry of Internal Affairs</w:t>
      </w:r>
    </w:p>
    <w:p w14:paraId="7248272D" w14:textId="77777777" w:rsidR="00C93CAC" w:rsidRPr="00C93CAC" w:rsidRDefault="00C93CAC" w:rsidP="004E7C9F">
      <w:pPr>
        <w:numPr>
          <w:ilvl w:val="0"/>
          <w:numId w:val="12"/>
        </w:numPr>
        <w:spacing w:before="120" w:after="0"/>
        <w:contextualSpacing/>
        <w:jc w:val="both"/>
        <w:rPr>
          <w:rFonts w:cstheme="minorHAnsi"/>
        </w:rPr>
      </w:pPr>
      <w:r w:rsidRPr="00C93CAC">
        <w:rPr>
          <w:rFonts w:cstheme="minorHAnsi"/>
        </w:rPr>
        <w:t>Cheryl Ala, Director-General</w:t>
      </w:r>
    </w:p>
    <w:p w14:paraId="5513CFC6" w14:textId="77777777" w:rsidR="00C93CAC" w:rsidRPr="00C93CAC" w:rsidRDefault="00C93CAC" w:rsidP="00C93CAC">
      <w:pPr>
        <w:spacing w:before="120" w:after="0"/>
        <w:rPr>
          <w:rFonts w:cstheme="minorHAnsi"/>
          <w:b/>
        </w:rPr>
      </w:pPr>
      <w:r w:rsidRPr="00C93CAC">
        <w:rPr>
          <w:rFonts w:cstheme="minorHAnsi"/>
          <w:b/>
        </w:rPr>
        <w:t>Prime Minister’s Office</w:t>
      </w:r>
    </w:p>
    <w:p w14:paraId="7416C474" w14:textId="77777777" w:rsidR="00C93CAC" w:rsidRPr="00C93CAC" w:rsidRDefault="00C93CAC" w:rsidP="004E7C9F">
      <w:pPr>
        <w:numPr>
          <w:ilvl w:val="0"/>
          <w:numId w:val="12"/>
        </w:numPr>
        <w:spacing w:before="120" w:after="0"/>
        <w:ind w:left="714" w:hanging="357"/>
        <w:contextualSpacing/>
        <w:jc w:val="both"/>
        <w:rPr>
          <w:rFonts w:cstheme="minorHAnsi"/>
        </w:rPr>
      </w:pPr>
      <w:proofErr w:type="spellStart"/>
      <w:r w:rsidRPr="00C93CAC">
        <w:rPr>
          <w:rFonts w:cstheme="minorHAnsi"/>
        </w:rPr>
        <w:t>Gregoire</w:t>
      </w:r>
      <w:proofErr w:type="spellEnd"/>
      <w:r w:rsidRPr="00C93CAC">
        <w:rPr>
          <w:rFonts w:cstheme="minorHAnsi"/>
        </w:rPr>
        <w:t xml:space="preserve"> </w:t>
      </w:r>
      <w:proofErr w:type="spellStart"/>
      <w:r w:rsidRPr="00C93CAC">
        <w:rPr>
          <w:rFonts w:cstheme="minorHAnsi"/>
        </w:rPr>
        <w:t>Nimbtik</w:t>
      </w:r>
      <w:proofErr w:type="spellEnd"/>
      <w:r w:rsidRPr="00C93CAC">
        <w:rPr>
          <w:rFonts w:cstheme="minorHAnsi"/>
        </w:rPr>
        <w:t>, Director-General</w:t>
      </w:r>
    </w:p>
    <w:p w14:paraId="287B9B11" w14:textId="77777777" w:rsidR="00C93CAC" w:rsidRPr="00C93CAC" w:rsidRDefault="00C93CAC" w:rsidP="004E7C9F">
      <w:pPr>
        <w:numPr>
          <w:ilvl w:val="0"/>
          <w:numId w:val="12"/>
        </w:numPr>
        <w:spacing w:before="120" w:after="0"/>
        <w:ind w:left="714" w:hanging="357"/>
        <w:contextualSpacing/>
        <w:jc w:val="both"/>
        <w:rPr>
          <w:rFonts w:cstheme="minorHAnsi"/>
        </w:rPr>
      </w:pPr>
      <w:r w:rsidRPr="00C93CAC">
        <w:rPr>
          <w:rFonts w:cstheme="minorHAnsi"/>
        </w:rPr>
        <w:t xml:space="preserve">Leith </w:t>
      </w:r>
      <w:proofErr w:type="spellStart"/>
      <w:r w:rsidRPr="00C93CAC">
        <w:rPr>
          <w:rFonts w:cstheme="minorHAnsi"/>
        </w:rPr>
        <w:t>Veremaito</w:t>
      </w:r>
      <w:proofErr w:type="spellEnd"/>
      <w:r w:rsidRPr="00C93CAC">
        <w:rPr>
          <w:rFonts w:cstheme="minorHAnsi"/>
        </w:rPr>
        <w:t xml:space="preserve">, Director, Department of Local Authorities </w:t>
      </w:r>
    </w:p>
    <w:p w14:paraId="28F897A5" w14:textId="77777777" w:rsidR="00C93CAC" w:rsidRPr="00C93CAC" w:rsidRDefault="00C93CAC" w:rsidP="004E7C9F">
      <w:pPr>
        <w:numPr>
          <w:ilvl w:val="0"/>
          <w:numId w:val="12"/>
        </w:numPr>
        <w:spacing w:before="120" w:after="0"/>
        <w:ind w:left="714" w:hanging="357"/>
        <w:contextualSpacing/>
        <w:jc w:val="both"/>
        <w:rPr>
          <w:rFonts w:cstheme="minorHAnsi"/>
        </w:rPr>
      </w:pPr>
      <w:r w:rsidRPr="00C93CAC">
        <w:rPr>
          <w:rFonts w:cstheme="minorHAnsi"/>
        </w:rPr>
        <w:t xml:space="preserve">Jerry </w:t>
      </w:r>
      <w:proofErr w:type="spellStart"/>
      <w:r w:rsidRPr="00C93CAC">
        <w:rPr>
          <w:rFonts w:cstheme="minorHAnsi"/>
        </w:rPr>
        <w:t>Lapi</w:t>
      </w:r>
      <w:proofErr w:type="spellEnd"/>
      <w:r w:rsidRPr="00C93CAC">
        <w:rPr>
          <w:rFonts w:cstheme="minorHAnsi"/>
        </w:rPr>
        <w:t>, Director DSPACC</w:t>
      </w:r>
    </w:p>
    <w:p w14:paraId="63DE5ED2" w14:textId="77777777" w:rsidR="00C93CAC" w:rsidRPr="00C93CAC" w:rsidRDefault="00C93CAC" w:rsidP="004E7C9F">
      <w:pPr>
        <w:numPr>
          <w:ilvl w:val="0"/>
          <w:numId w:val="12"/>
        </w:numPr>
        <w:spacing w:before="120" w:after="0"/>
        <w:ind w:left="714" w:hanging="357"/>
        <w:contextualSpacing/>
        <w:jc w:val="both"/>
        <w:rPr>
          <w:rFonts w:cstheme="minorHAnsi"/>
        </w:rPr>
      </w:pPr>
      <w:r w:rsidRPr="00C93CAC">
        <w:rPr>
          <w:rFonts w:cstheme="minorHAnsi"/>
        </w:rPr>
        <w:t>John Ezra, Sector Analyst Justice &amp; Education (DSPACC)</w:t>
      </w:r>
    </w:p>
    <w:p w14:paraId="64E87BDF" w14:textId="77777777" w:rsidR="00C93CAC" w:rsidRPr="00C93CAC" w:rsidRDefault="00C93CAC" w:rsidP="004E7C9F">
      <w:pPr>
        <w:numPr>
          <w:ilvl w:val="0"/>
          <w:numId w:val="12"/>
        </w:numPr>
        <w:spacing w:before="120" w:after="0"/>
        <w:ind w:left="714" w:hanging="357"/>
        <w:contextualSpacing/>
        <w:jc w:val="both"/>
        <w:rPr>
          <w:rFonts w:cstheme="minorHAnsi"/>
        </w:rPr>
      </w:pPr>
      <w:r w:rsidRPr="00C93CAC">
        <w:rPr>
          <w:rFonts w:cstheme="minorHAnsi"/>
        </w:rPr>
        <w:t xml:space="preserve">Jorge </w:t>
      </w:r>
      <w:proofErr w:type="spellStart"/>
      <w:r w:rsidRPr="00C93CAC">
        <w:rPr>
          <w:rFonts w:cstheme="minorHAnsi"/>
        </w:rPr>
        <w:t>Bouchot</w:t>
      </w:r>
      <w:proofErr w:type="spellEnd"/>
      <w:r w:rsidRPr="00C93CAC">
        <w:rPr>
          <w:rFonts w:cstheme="minorHAnsi"/>
        </w:rPr>
        <w:t xml:space="preserve"> </w:t>
      </w:r>
      <w:proofErr w:type="spellStart"/>
      <w:r w:rsidRPr="00C93CAC">
        <w:rPr>
          <w:rFonts w:cstheme="minorHAnsi"/>
        </w:rPr>
        <w:t>Viveros</w:t>
      </w:r>
      <w:proofErr w:type="spellEnd"/>
      <w:r w:rsidRPr="00C93CAC">
        <w:rPr>
          <w:rFonts w:cstheme="minorHAnsi"/>
        </w:rPr>
        <w:t xml:space="preserve">, Sector Analyst </w:t>
      </w:r>
      <w:proofErr w:type="spellStart"/>
      <w:r w:rsidR="00D347C1" w:rsidRPr="00C93CAC">
        <w:rPr>
          <w:rFonts w:cstheme="minorHAnsi"/>
        </w:rPr>
        <w:t>M</w:t>
      </w:r>
      <w:r w:rsidR="00D347C1">
        <w:rPr>
          <w:rFonts w:cstheme="minorHAnsi"/>
        </w:rPr>
        <w:t>o</w:t>
      </w:r>
      <w:r w:rsidR="00D347C1" w:rsidRPr="00C93CAC">
        <w:rPr>
          <w:rFonts w:cstheme="minorHAnsi"/>
        </w:rPr>
        <w:t>IA</w:t>
      </w:r>
      <w:proofErr w:type="spellEnd"/>
      <w:r w:rsidR="00D347C1" w:rsidRPr="00C93CAC">
        <w:rPr>
          <w:rFonts w:cstheme="minorHAnsi"/>
        </w:rPr>
        <w:t xml:space="preserve"> </w:t>
      </w:r>
      <w:r w:rsidRPr="00C93CAC">
        <w:rPr>
          <w:rFonts w:cstheme="minorHAnsi"/>
        </w:rPr>
        <w:t>(DSPACC)</w:t>
      </w:r>
    </w:p>
    <w:p w14:paraId="45E51532" w14:textId="77777777" w:rsidR="00C93CAC" w:rsidRPr="00C93CAC" w:rsidRDefault="00C93CAC" w:rsidP="00C93CAC">
      <w:pPr>
        <w:spacing w:before="120" w:after="0"/>
        <w:rPr>
          <w:rFonts w:cstheme="minorHAnsi"/>
          <w:b/>
        </w:rPr>
      </w:pPr>
      <w:r w:rsidRPr="00C93CAC">
        <w:rPr>
          <w:rFonts w:cstheme="minorHAnsi"/>
          <w:b/>
        </w:rPr>
        <w:t>Justice Agencies</w:t>
      </w:r>
    </w:p>
    <w:p w14:paraId="006AEA52" w14:textId="77777777" w:rsidR="00C93CAC" w:rsidRPr="00C93CAC" w:rsidRDefault="00C93CAC" w:rsidP="004E7C9F">
      <w:pPr>
        <w:numPr>
          <w:ilvl w:val="0"/>
          <w:numId w:val="13"/>
        </w:numPr>
        <w:spacing w:before="120" w:after="0"/>
        <w:contextualSpacing/>
        <w:jc w:val="both"/>
        <w:rPr>
          <w:rFonts w:cstheme="minorHAnsi"/>
        </w:rPr>
      </w:pPr>
      <w:r w:rsidRPr="00C93CAC">
        <w:rPr>
          <w:rFonts w:cstheme="minorHAnsi"/>
        </w:rPr>
        <w:t xml:space="preserve">Vincent </w:t>
      </w:r>
      <w:proofErr w:type="spellStart"/>
      <w:r w:rsidRPr="00C93CAC">
        <w:rPr>
          <w:rFonts w:cstheme="minorHAnsi"/>
        </w:rPr>
        <w:t>Lunabek</w:t>
      </w:r>
      <w:proofErr w:type="spellEnd"/>
      <w:r w:rsidRPr="00C93CAC">
        <w:rPr>
          <w:rFonts w:cstheme="minorHAnsi"/>
        </w:rPr>
        <w:t>, Chief Justice of Vanuatu</w:t>
      </w:r>
    </w:p>
    <w:p w14:paraId="20AC0663" w14:textId="77777777" w:rsidR="00C93CAC" w:rsidRPr="00C93CAC" w:rsidRDefault="00C93CAC" w:rsidP="004E7C9F">
      <w:pPr>
        <w:numPr>
          <w:ilvl w:val="0"/>
          <w:numId w:val="13"/>
        </w:numPr>
        <w:spacing w:before="120" w:after="0"/>
        <w:contextualSpacing/>
        <w:jc w:val="both"/>
        <w:rPr>
          <w:rFonts w:cstheme="minorHAnsi"/>
        </w:rPr>
      </w:pPr>
      <w:proofErr w:type="spellStart"/>
      <w:r w:rsidRPr="00C93CAC">
        <w:rPr>
          <w:rFonts w:cstheme="minorHAnsi"/>
        </w:rPr>
        <w:t>Josaia</w:t>
      </w:r>
      <w:proofErr w:type="spellEnd"/>
      <w:r w:rsidRPr="00C93CAC">
        <w:rPr>
          <w:rFonts w:cstheme="minorHAnsi"/>
        </w:rPr>
        <w:t xml:space="preserve"> </w:t>
      </w:r>
      <w:proofErr w:type="spellStart"/>
      <w:r w:rsidRPr="00C93CAC">
        <w:rPr>
          <w:rFonts w:cstheme="minorHAnsi"/>
        </w:rPr>
        <w:t>Naigulevu</w:t>
      </w:r>
      <w:proofErr w:type="spellEnd"/>
      <w:r w:rsidRPr="00C93CAC">
        <w:rPr>
          <w:rFonts w:cstheme="minorHAnsi"/>
        </w:rPr>
        <w:t>, Public Prosecutor</w:t>
      </w:r>
    </w:p>
    <w:p w14:paraId="027DB918" w14:textId="77777777" w:rsidR="00C93CAC" w:rsidRPr="00C93CAC" w:rsidRDefault="00C93CAC" w:rsidP="004E7C9F">
      <w:pPr>
        <w:numPr>
          <w:ilvl w:val="0"/>
          <w:numId w:val="13"/>
        </w:numPr>
        <w:spacing w:before="120" w:after="0"/>
        <w:contextualSpacing/>
        <w:jc w:val="both"/>
        <w:rPr>
          <w:rFonts w:cstheme="minorHAnsi"/>
        </w:rPr>
      </w:pPr>
      <w:r w:rsidRPr="00C93CAC">
        <w:rPr>
          <w:rFonts w:cstheme="minorHAnsi"/>
        </w:rPr>
        <w:t>Arnold Kiel, Attorney-General</w:t>
      </w:r>
    </w:p>
    <w:p w14:paraId="2C328461" w14:textId="77777777" w:rsidR="00C93CAC" w:rsidRPr="00C93CAC" w:rsidRDefault="00C93CAC" w:rsidP="004E7C9F">
      <w:pPr>
        <w:numPr>
          <w:ilvl w:val="0"/>
          <w:numId w:val="13"/>
        </w:numPr>
        <w:spacing w:before="120" w:after="0"/>
        <w:contextualSpacing/>
        <w:jc w:val="both"/>
        <w:rPr>
          <w:rFonts w:cstheme="minorHAnsi"/>
        </w:rPr>
      </w:pPr>
      <w:proofErr w:type="spellStart"/>
      <w:r w:rsidRPr="00C93CAC">
        <w:rPr>
          <w:rFonts w:cstheme="minorHAnsi"/>
        </w:rPr>
        <w:t>Hanneline</w:t>
      </w:r>
      <w:proofErr w:type="spellEnd"/>
      <w:r w:rsidRPr="00C93CAC">
        <w:rPr>
          <w:rFonts w:cstheme="minorHAnsi"/>
        </w:rPr>
        <w:t xml:space="preserve"> </w:t>
      </w:r>
      <w:proofErr w:type="spellStart"/>
      <w:r w:rsidRPr="00C93CAC">
        <w:rPr>
          <w:rFonts w:cstheme="minorHAnsi"/>
        </w:rPr>
        <w:t>Nalau</w:t>
      </w:r>
      <w:proofErr w:type="spellEnd"/>
      <w:r w:rsidRPr="00C93CAC">
        <w:rPr>
          <w:rFonts w:cstheme="minorHAnsi"/>
        </w:rPr>
        <w:t xml:space="preserve"> </w:t>
      </w:r>
      <w:proofErr w:type="spellStart"/>
      <w:r w:rsidRPr="00C93CAC">
        <w:rPr>
          <w:rFonts w:cstheme="minorHAnsi"/>
        </w:rPr>
        <w:t>ilo</w:t>
      </w:r>
      <w:proofErr w:type="spellEnd"/>
      <w:r w:rsidRPr="00C93CAC">
        <w:rPr>
          <w:rFonts w:cstheme="minorHAnsi"/>
        </w:rPr>
        <w:t>, Senior Magistrate, Santo</w:t>
      </w:r>
    </w:p>
    <w:p w14:paraId="290D5758" w14:textId="77777777" w:rsidR="00C93CAC" w:rsidRPr="00C93CAC" w:rsidRDefault="00C93CAC" w:rsidP="004E7C9F">
      <w:pPr>
        <w:numPr>
          <w:ilvl w:val="0"/>
          <w:numId w:val="13"/>
        </w:numPr>
        <w:spacing w:before="120" w:after="0"/>
        <w:contextualSpacing/>
        <w:jc w:val="both"/>
        <w:rPr>
          <w:rFonts w:cstheme="minorHAnsi"/>
        </w:rPr>
      </w:pPr>
      <w:r w:rsidRPr="00C93CAC">
        <w:rPr>
          <w:rFonts w:cstheme="minorHAnsi"/>
        </w:rPr>
        <w:t xml:space="preserve">Philip </w:t>
      </w:r>
      <w:proofErr w:type="spellStart"/>
      <w:r w:rsidRPr="00C93CAC">
        <w:rPr>
          <w:rFonts w:cstheme="minorHAnsi"/>
        </w:rPr>
        <w:t>Toaliu</w:t>
      </w:r>
      <w:proofErr w:type="spellEnd"/>
      <w:r w:rsidRPr="00C93CAC">
        <w:rPr>
          <w:rFonts w:cstheme="minorHAnsi"/>
        </w:rPr>
        <w:t>, OPP, Santo</w:t>
      </w:r>
    </w:p>
    <w:p w14:paraId="7FDC927C" w14:textId="77777777" w:rsidR="00C93CAC" w:rsidRPr="00C93CAC" w:rsidRDefault="00C93CAC" w:rsidP="004E7C9F">
      <w:pPr>
        <w:numPr>
          <w:ilvl w:val="0"/>
          <w:numId w:val="13"/>
        </w:numPr>
        <w:spacing w:before="120" w:after="0"/>
        <w:contextualSpacing/>
        <w:jc w:val="both"/>
        <w:rPr>
          <w:rFonts w:cstheme="minorHAnsi"/>
        </w:rPr>
      </w:pPr>
      <w:r w:rsidRPr="00C93CAC">
        <w:rPr>
          <w:rFonts w:cstheme="minorHAnsi"/>
        </w:rPr>
        <w:t xml:space="preserve">Damien Denson </w:t>
      </w:r>
      <w:proofErr w:type="spellStart"/>
      <w:r w:rsidRPr="00C93CAC">
        <w:rPr>
          <w:rFonts w:cstheme="minorHAnsi"/>
        </w:rPr>
        <w:t>Boe</w:t>
      </w:r>
      <w:proofErr w:type="spellEnd"/>
      <w:r w:rsidRPr="00C93CAC">
        <w:rPr>
          <w:rFonts w:cstheme="minorHAnsi"/>
        </w:rPr>
        <w:t>, OPP, Santo</w:t>
      </w:r>
    </w:p>
    <w:p w14:paraId="4BEC9A7E" w14:textId="77777777" w:rsidR="00C93CAC" w:rsidRPr="00C93CAC" w:rsidRDefault="00C93CAC" w:rsidP="004E7C9F">
      <w:pPr>
        <w:numPr>
          <w:ilvl w:val="0"/>
          <w:numId w:val="13"/>
        </w:numPr>
        <w:spacing w:before="120" w:after="0"/>
        <w:contextualSpacing/>
        <w:jc w:val="both"/>
        <w:rPr>
          <w:rFonts w:cstheme="minorHAnsi"/>
        </w:rPr>
      </w:pPr>
      <w:r w:rsidRPr="00C93CAC">
        <w:rPr>
          <w:rFonts w:cstheme="minorHAnsi"/>
        </w:rPr>
        <w:t xml:space="preserve">Jane </w:t>
      </w:r>
      <w:proofErr w:type="spellStart"/>
      <w:r w:rsidRPr="00C93CAC">
        <w:rPr>
          <w:rFonts w:cstheme="minorHAnsi"/>
        </w:rPr>
        <w:t>Tari</w:t>
      </w:r>
      <w:proofErr w:type="spellEnd"/>
      <w:r w:rsidRPr="00C93CAC">
        <w:rPr>
          <w:rFonts w:cstheme="minorHAnsi"/>
        </w:rPr>
        <w:t>, PSO, Santo</w:t>
      </w:r>
    </w:p>
    <w:p w14:paraId="4EEFA42C" w14:textId="77777777" w:rsidR="00C93CAC" w:rsidRPr="00C93CAC" w:rsidRDefault="00C93CAC" w:rsidP="004E7C9F">
      <w:pPr>
        <w:numPr>
          <w:ilvl w:val="0"/>
          <w:numId w:val="13"/>
        </w:numPr>
        <w:spacing w:before="120" w:after="0"/>
        <w:contextualSpacing/>
        <w:jc w:val="both"/>
        <w:rPr>
          <w:rFonts w:cstheme="minorHAnsi"/>
        </w:rPr>
      </w:pPr>
      <w:proofErr w:type="spellStart"/>
      <w:r w:rsidRPr="00C93CAC">
        <w:rPr>
          <w:rFonts w:cstheme="minorHAnsi"/>
        </w:rPr>
        <w:t>Betina</w:t>
      </w:r>
      <w:proofErr w:type="spellEnd"/>
      <w:r w:rsidRPr="00C93CAC">
        <w:rPr>
          <w:rFonts w:cstheme="minorHAnsi"/>
        </w:rPr>
        <w:t xml:space="preserve"> </w:t>
      </w:r>
      <w:proofErr w:type="spellStart"/>
      <w:r w:rsidRPr="00C93CAC">
        <w:rPr>
          <w:rFonts w:cstheme="minorHAnsi"/>
        </w:rPr>
        <w:t>Ngwele</w:t>
      </w:r>
      <w:proofErr w:type="spellEnd"/>
      <w:r w:rsidRPr="00C93CAC">
        <w:rPr>
          <w:rFonts w:cstheme="minorHAnsi"/>
        </w:rPr>
        <w:t>, OPP</w:t>
      </w:r>
    </w:p>
    <w:p w14:paraId="5A7A0200" w14:textId="77777777" w:rsidR="00C93CAC" w:rsidRPr="00C93CAC" w:rsidRDefault="00C93CAC" w:rsidP="004E7C9F">
      <w:pPr>
        <w:numPr>
          <w:ilvl w:val="0"/>
          <w:numId w:val="13"/>
        </w:numPr>
        <w:spacing w:before="120" w:after="0"/>
        <w:contextualSpacing/>
        <w:jc w:val="both"/>
        <w:rPr>
          <w:rFonts w:cstheme="minorHAnsi"/>
        </w:rPr>
      </w:pPr>
      <w:r w:rsidRPr="00C93CAC">
        <w:rPr>
          <w:rFonts w:cstheme="minorHAnsi"/>
        </w:rPr>
        <w:t>Ken Massing, OPP</w:t>
      </w:r>
    </w:p>
    <w:p w14:paraId="15ABA7EC" w14:textId="77777777" w:rsidR="00C93CAC" w:rsidRPr="00C93CAC" w:rsidRDefault="00C93CAC" w:rsidP="004E7C9F">
      <w:pPr>
        <w:numPr>
          <w:ilvl w:val="0"/>
          <w:numId w:val="13"/>
        </w:numPr>
        <w:spacing w:before="120" w:after="0"/>
        <w:contextualSpacing/>
        <w:jc w:val="both"/>
        <w:rPr>
          <w:rFonts w:cstheme="minorHAnsi"/>
        </w:rPr>
      </w:pPr>
      <w:r w:rsidRPr="00C93CAC">
        <w:rPr>
          <w:rFonts w:cstheme="minorHAnsi"/>
        </w:rPr>
        <w:t xml:space="preserve">Bryan </w:t>
      </w:r>
      <w:proofErr w:type="spellStart"/>
      <w:r w:rsidRPr="00C93CAC">
        <w:rPr>
          <w:rFonts w:cstheme="minorHAnsi"/>
        </w:rPr>
        <w:t>Livo</w:t>
      </w:r>
      <w:proofErr w:type="spellEnd"/>
      <w:r w:rsidRPr="00C93CAC">
        <w:rPr>
          <w:rFonts w:cstheme="minorHAnsi"/>
        </w:rPr>
        <w:t>, PSO</w:t>
      </w:r>
    </w:p>
    <w:p w14:paraId="7555CE1D" w14:textId="77777777" w:rsidR="00C93CAC" w:rsidRPr="00C93CAC" w:rsidRDefault="00C93CAC" w:rsidP="004E7C9F">
      <w:pPr>
        <w:numPr>
          <w:ilvl w:val="0"/>
          <w:numId w:val="13"/>
        </w:numPr>
        <w:spacing w:before="120" w:after="0"/>
        <w:contextualSpacing/>
        <w:jc w:val="both"/>
        <w:rPr>
          <w:rFonts w:cstheme="minorHAnsi"/>
        </w:rPr>
      </w:pPr>
      <w:r w:rsidRPr="00C93CAC">
        <w:rPr>
          <w:rFonts w:cstheme="minorHAnsi"/>
        </w:rPr>
        <w:t xml:space="preserve">Pauline </w:t>
      </w:r>
      <w:proofErr w:type="spellStart"/>
      <w:r w:rsidRPr="00C93CAC">
        <w:rPr>
          <w:rFonts w:cstheme="minorHAnsi"/>
        </w:rPr>
        <w:t>Malites</w:t>
      </w:r>
      <w:proofErr w:type="spellEnd"/>
      <w:r w:rsidRPr="00C93CAC">
        <w:rPr>
          <w:rFonts w:cstheme="minorHAnsi"/>
        </w:rPr>
        <w:t>, PSO</w:t>
      </w:r>
    </w:p>
    <w:p w14:paraId="77D13661" w14:textId="77777777" w:rsidR="00C93CAC" w:rsidRPr="00C93CAC" w:rsidRDefault="00C93CAC" w:rsidP="004E7C9F">
      <w:pPr>
        <w:numPr>
          <w:ilvl w:val="0"/>
          <w:numId w:val="13"/>
        </w:numPr>
        <w:spacing w:before="120" w:after="0"/>
        <w:contextualSpacing/>
        <w:jc w:val="both"/>
        <w:rPr>
          <w:rFonts w:cstheme="minorHAnsi"/>
        </w:rPr>
      </w:pPr>
      <w:r w:rsidRPr="00C93CAC">
        <w:rPr>
          <w:rFonts w:cstheme="minorHAnsi"/>
        </w:rPr>
        <w:t xml:space="preserve">Linda </w:t>
      </w:r>
      <w:proofErr w:type="spellStart"/>
      <w:r w:rsidRPr="00C93CAC">
        <w:rPr>
          <w:rFonts w:cstheme="minorHAnsi"/>
        </w:rPr>
        <w:t>Bakokoto</w:t>
      </w:r>
      <w:proofErr w:type="spellEnd"/>
      <w:r w:rsidRPr="00C93CAC">
        <w:rPr>
          <w:rFonts w:cstheme="minorHAnsi"/>
        </w:rPr>
        <w:t>, PSO</w:t>
      </w:r>
    </w:p>
    <w:p w14:paraId="30200D38" w14:textId="77777777" w:rsidR="00C93CAC" w:rsidRPr="00C93CAC" w:rsidRDefault="00C93CAC" w:rsidP="004E7C9F">
      <w:pPr>
        <w:numPr>
          <w:ilvl w:val="0"/>
          <w:numId w:val="13"/>
        </w:numPr>
        <w:spacing w:before="120" w:after="0"/>
        <w:contextualSpacing/>
        <w:jc w:val="both"/>
        <w:rPr>
          <w:rFonts w:cstheme="minorHAnsi"/>
        </w:rPr>
      </w:pPr>
      <w:r w:rsidRPr="00C93CAC">
        <w:rPr>
          <w:rFonts w:cstheme="minorHAnsi"/>
        </w:rPr>
        <w:t xml:space="preserve">Lorenzo </w:t>
      </w:r>
      <w:proofErr w:type="spellStart"/>
      <w:r w:rsidRPr="00C93CAC">
        <w:rPr>
          <w:rFonts w:cstheme="minorHAnsi"/>
        </w:rPr>
        <w:t>Moli</w:t>
      </w:r>
      <w:proofErr w:type="spellEnd"/>
      <w:r w:rsidRPr="00C93CAC">
        <w:rPr>
          <w:rFonts w:cstheme="minorHAnsi"/>
        </w:rPr>
        <w:t>, PSO</w:t>
      </w:r>
    </w:p>
    <w:p w14:paraId="58A7D90F" w14:textId="77777777" w:rsidR="00C93CAC" w:rsidRPr="00C93CAC" w:rsidRDefault="00C93CAC" w:rsidP="004E7C9F">
      <w:pPr>
        <w:numPr>
          <w:ilvl w:val="0"/>
          <w:numId w:val="13"/>
        </w:numPr>
        <w:spacing w:before="120" w:after="0"/>
        <w:contextualSpacing/>
        <w:jc w:val="both"/>
        <w:rPr>
          <w:rFonts w:cstheme="minorHAnsi"/>
        </w:rPr>
      </w:pPr>
      <w:proofErr w:type="spellStart"/>
      <w:r w:rsidRPr="00C93CAC">
        <w:rPr>
          <w:rFonts w:cstheme="minorHAnsi"/>
        </w:rPr>
        <w:t>Angelyne</w:t>
      </w:r>
      <w:proofErr w:type="spellEnd"/>
      <w:r w:rsidRPr="00C93CAC">
        <w:rPr>
          <w:rFonts w:cstheme="minorHAnsi"/>
        </w:rPr>
        <w:t xml:space="preserve"> </w:t>
      </w:r>
      <w:proofErr w:type="spellStart"/>
      <w:r w:rsidRPr="00C93CAC">
        <w:rPr>
          <w:rFonts w:cstheme="minorHAnsi"/>
        </w:rPr>
        <w:t>Dovo</w:t>
      </w:r>
      <w:proofErr w:type="spellEnd"/>
      <w:r w:rsidRPr="00C93CAC">
        <w:rPr>
          <w:rFonts w:cstheme="minorHAnsi"/>
        </w:rPr>
        <w:t>, SLO</w:t>
      </w:r>
    </w:p>
    <w:p w14:paraId="3A3F0BBC" w14:textId="77777777" w:rsidR="00C93CAC" w:rsidRPr="00C93CAC" w:rsidRDefault="00C93CAC" w:rsidP="004E7C9F">
      <w:pPr>
        <w:numPr>
          <w:ilvl w:val="0"/>
          <w:numId w:val="13"/>
        </w:numPr>
        <w:spacing w:before="120" w:after="0"/>
        <w:contextualSpacing/>
        <w:jc w:val="both"/>
        <w:rPr>
          <w:rFonts w:cstheme="minorHAnsi"/>
        </w:rPr>
      </w:pPr>
      <w:r w:rsidRPr="00C93CAC">
        <w:rPr>
          <w:rFonts w:cstheme="minorHAnsi"/>
        </w:rPr>
        <w:t xml:space="preserve">Frederick John </w:t>
      </w:r>
      <w:proofErr w:type="spellStart"/>
      <w:r w:rsidRPr="00C93CAC">
        <w:rPr>
          <w:rFonts w:cstheme="minorHAnsi"/>
        </w:rPr>
        <w:t>Gilu</w:t>
      </w:r>
      <w:proofErr w:type="spellEnd"/>
      <w:r w:rsidRPr="00C93CAC">
        <w:rPr>
          <w:rFonts w:cstheme="minorHAnsi"/>
        </w:rPr>
        <w:t>, SLO</w:t>
      </w:r>
    </w:p>
    <w:p w14:paraId="1FB20BBB" w14:textId="77777777" w:rsidR="00C93CAC" w:rsidRPr="00C93CAC" w:rsidRDefault="00C93CAC" w:rsidP="00C93CAC">
      <w:pPr>
        <w:spacing w:before="120" w:after="0"/>
        <w:rPr>
          <w:rFonts w:cstheme="minorHAnsi"/>
          <w:b/>
        </w:rPr>
      </w:pPr>
      <w:r w:rsidRPr="00C93CAC">
        <w:rPr>
          <w:rFonts w:cstheme="minorHAnsi"/>
          <w:b/>
        </w:rPr>
        <w:t>Vanuatu Police Force</w:t>
      </w:r>
    </w:p>
    <w:p w14:paraId="0C78D602" w14:textId="77777777" w:rsidR="00C93CAC" w:rsidRPr="00C93CAC" w:rsidRDefault="00C93CAC" w:rsidP="004E7C9F">
      <w:pPr>
        <w:numPr>
          <w:ilvl w:val="0"/>
          <w:numId w:val="13"/>
        </w:numPr>
        <w:spacing w:before="120" w:after="0"/>
        <w:contextualSpacing/>
        <w:jc w:val="both"/>
        <w:rPr>
          <w:rFonts w:cstheme="minorHAnsi"/>
        </w:rPr>
      </w:pPr>
      <w:r w:rsidRPr="00C93CAC">
        <w:rPr>
          <w:rFonts w:cstheme="minorHAnsi"/>
        </w:rPr>
        <w:t xml:space="preserve">Robson </w:t>
      </w:r>
      <w:proofErr w:type="spellStart"/>
      <w:r w:rsidRPr="00C93CAC">
        <w:rPr>
          <w:rFonts w:cstheme="minorHAnsi"/>
        </w:rPr>
        <w:t>Iavro</w:t>
      </w:r>
      <w:proofErr w:type="spellEnd"/>
      <w:r w:rsidRPr="00C93CAC">
        <w:rPr>
          <w:rFonts w:cstheme="minorHAnsi"/>
        </w:rPr>
        <w:t>, Acting Police Commissioner</w:t>
      </w:r>
    </w:p>
    <w:p w14:paraId="12B6D2BC" w14:textId="77777777" w:rsidR="00C93CAC" w:rsidRPr="00C93CAC" w:rsidRDefault="00C93CAC" w:rsidP="004E7C9F">
      <w:pPr>
        <w:numPr>
          <w:ilvl w:val="0"/>
          <w:numId w:val="13"/>
        </w:numPr>
        <w:spacing w:before="120" w:after="0"/>
        <w:contextualSpacing/>
        <w:jc w:val="both"/>
        <w:rPr>
          <w:rFonts w:cstheme="minorHAnsi"/>
        </w:rPr>
      </w:pPr>
      <w:r w:rsidRPr="00C93CAC">
        <w:rPr>
          <w:rFonts w:cstheme="minorHAnsi"/>
        </w:rPr>
        <w:t xml:space="preserve">George </w:t>
      </w:r>
      <w:proofErr w:type="spellStart"/>
      <w:r w:rsidRPr="00C93CAC">
        <w:rPr>
          <w:rFonts w:cstheme="minorHAnsi"/>
        </w:rPr>
        <w:t>Song</w:t>
      </w:r>
      <w:r w:rsidR="00DC135D">
        <w:rPr>
          <w:rFonts w:cstheme="minorHAnsi"/>
        </w:rPr>
        <w:t>i</w:t>
      </w:r>
      <w:proofErr w:type="spellEnd"/>
      <w:r w:rsidRPr="00C93CAC">
        <w:rPr>
          <w:rFonts w:cstheme="minorHAnsi"/>
        </w:rPr>
        <w:t>, Acting Commander North</w:t>
      </w:r>
    </w:p>
    <w:p w14:paraId="0ABF3F21" w14:textId="77777777" w:rsidR="00C93CAC" w:rsidRPr="00C93CAC" w:rsidRDefault="00C93CAC" w:rsidP="004E7C9F">
      <w:pPr>
        <w:numPr>
          <w:ilvl w:val="0"/>
          <w:numId w:val="13"/>
        </w:numPr>
        <w:spacing w:before="120" w:after="0"/>
        <w:contextualSpacing/>
        <w:jc w:val="both"/>
        <w:rPr>
          <w:rFonts w:cstheme="minorHAnsi"/>
        </w:rPr>
      </w:pPr>
      <w:proofErr w:type="spellStart"/>
      <w:r w:rsidRPr="00C93CAC">
        <w:rPr>
          <w:rFonts w:cstheme="minorHAnsi"/>
        </w:rPr>
        <w:t>Rexton</w:t>
      </w:r>
      <w:proofErr w:type="spellEnd"/>
      <w:r w:rsidRPr="00C93CAC">
        <w:rPr>
          <w:rFonts w:cstheme="minorHAnsi"/>
        </w:rPr>
        <w:t xml:space="preserve"> Langston, 2IC Santo</w:t>
      </w:r>
    </w:p>
    <w:p w14:paraId="65E59DBE" w14:textId="77777777" w:rsidR="00C93CAC" w:rsidRPr="00C93CAC" w:rsidRDefault="00C93CAC" w:rsidP="004E7C9F">
      <w:pPr>
        <w:numPr>
          <w:ilvl w:val="0"/>
          <w:numId w:val="13"/>
        </w:numPr>
        <w:spacing w:before="120" w:after="0"/>
        <w:contextualSpacing/>
        <w:jc w:val="both"/>
        <w:rPr>
          <w:rFonts w:cstheme="minorHAnsi"/>
        </w:rPr>
      </w:pPr>
      <w:r w:rsidRPr="00C93CAC">
        <w:rPr>
          <w:rFonts w:cstheme="minorHAnsi"/>
        </w:rPr>
        <w:t>Jackson Noel, Commander South</w:t>
      </w:r>
    </w:p>
    <w:p w14:paraId="34E16A2D" w14:textId="77777777" w:rsidR="00C93CAC" w:rsidRPr="00C93CAC" w:rsidRDefault="00C93CAC" w:rsidP="004E7C9F">
      <w:pPr>
        <w:numPr>
          <w:ilvl w:val="0"/>
          <w:numId w:val="13"/>
        </w:numPr>
        <w:spacing w:before="120" w:after="0"/>
        <w:contextualSpacing/>
        <w:jc w:val="both"/>
        <w:rPr>
          <w:rFonts w:cstheme="minorHAnsi"/>
        </w:rPr>
      </w:pPr>
      <w:r w:rsidRPr="00C93CAC">
        <w:rPr>
          <w:rFonts w:cstheme="minorHAnsi"/>
        </w:rPr>
        <w:t xml:space="preserve">Alan </w:t>
      </w:r>
      <w:proofErr w:type="spellStart"/>
      <w:r w:rsidRPr="00C93CAC">
        <w:rPr>
          <w:rFonts w:cstheme="minorHAnsi"/>
        </w:rPr>
        <w:t>Bani</w:t>
      </w:r>
      <w:proofErr w:type="spellEnd"/>
      <w:r w:rsidRPr="00C93CAC">
        <w:rPr>
          <w:rFonts w:cstheme="minorHAnsi"/>
        </w:rPr>
        <w:t>, 2IC to Commander South</w:t>
      </w:r>
    </w:p>
    <w:p w14:paraId="46B30641" w14:textId="77777777" w:rsidR="00C93CAC" w:rsidRPr="00A05C4C" w:rsidRDefault="00C93CAC" w:rsidP="004E7C9F">
      <w:pPr>
        <w:numPr>
          <w:ilvl w:val="0"/>
          <w:numId w:val="13"/>
        </w:numPr>
        <w:spacing w:before="120" w:after="0"/>
        <w:contextualSpacing/>
        <w:jc w:val="both"/>
        <w:rPr>
          <w:rFonts w:cstheme="minorHAnsi"/>
          <w:lang w:val="fr-CM"/>
        </w:rPr>
      </w:pPr>
      <w:r w:rsidRPr="00A05C4C">
        <w:rPr>
          <w:rFonts w:cstheme="minorHAnsi"/>
          <w:lang w:val="fr-CM"/>
        </w:rPr>
        <w:t xml:space="preserve">Samson </w:t>
      </w:r>
      <w:proofErr w:type="spellStart"/>
      <w:r w:rsidRPr="00A05C4C">
        <w:rPr>
          <w:rFonts w:cstheme="minorHAnsi"/>
          <w:lang w:val="fr-CM"/>
        </w:rPr>
        <w:t>Garae</w:t>
      </w:r>
      <w:proofErr w:type="spellEnd"/>
      <w:r w:rsidRPr="00A05C4C">
        <w:rPr>
          <w:rFonts w:cstheme="minorHAnsi"/>
          <w:lang w:val="fr-CM"/>
        </w:rPr>
        <w:t>, OIC Port Vila Police Station</w:t>
      </w:r>
    </w:p>
    <w:p w14:paraId="5D03D782" w14:textId="77777777" w:rsidR="00C93CAC" w:rsidRPr="00A05C4C" w:rsidRDefault="00C93CAC" w:rsidP="004E7C9F">
      <w:pPr>
        <w:numPr>
          <w:ilvl w:val="0"/>
          <w:numId w:val="13"/>
        </w:numPr>
        <w:spacing w:before="120" w:after="0"/>
        <w:contextualSpacing/>
        <w:jc w:val="both"/>
        <w:rPr>
          <w:rFonts w:cstheme="minorHAnsi"/>
          <w:lang w:val="fr-CM"/>
        </w:rPr>
      </w:pPr>
      <w:proofErr w:type="spellStart"/>
      <w:r w:rsidRPr="00A05C4C">
        <w:rPr>
          <w:rFonts w:cstheme="minorHAnsi"/>
          <w:lang w:val="fr-CM"/>
        </w:rPr>
        <w:t>Sergeant</w:t>
      </w:r>
      <w:proofErr w:type="spellEnd"/>
      <w:r w:rsidRPr="00A05C4C">
        <w:rPr>
          <w:rFonts w:cstheme="minorHAnsi"/>
          <w:lang w:val="fr-CM"/>
        </w:rPr>
        <w:t xml:space="preserve"> Phillip </w:t>
      </w:r>
      <w:proofErr w:type="spellStart"/>
      <w:r w:rsidRPr="00A05C4C">
        <w:rPr>
          <w:rFonts w:cstheme="minorHAnsi"/>
          <w:lang w:val="fr-CM"/>
        </w:rPr>
        <w:t>Sairas</w:t>
      </w:r>
      <w:proofErr w:type="spellEnd"/>
      <w:r w:rsidRPr="00A05C4C">
        <w:rPr>
          <w:rFonts w:cstheme="minorHAnsi"/>
          <w:lang w:val="fr-CM"/>
        </w:rPr>
        <w:t xml:space="preserve">, Crime </w:t>
      </w:r>
      <w:proofErr w:type="spellStart"/>
      <w:r w:rsidRPr="00A05C4C">
        <w:rPr>
          <w:rFonts w:cstheme="minorHAnsi"/>
          <w:lang w:val="fr-CM"/>
        </w:rPr>
        <w:t>Prevention</w:t>
      </w:r>
      <w:proofErr w:type="spellEnd"/>
      <w:r w:rsidRPr="00A05C4C">
        <w:rPr>
          <w:rFonts w:cstheme="minorHAnsi"/>
          <w:lang w:val="fr-CM"/>
        </w:rPr>
        <w:t xml:space="preserve"> Unit</w:t>
      </w:r>
    </w:p>
    <w:p w14:paraId="776F85A4" w14:textId="77777777" w:rsidR="00C93CAC" w:rsidRDefault="00C93CAC" w:rsidP="004E7C9F">
      <w:pPr>
        <w:numPr>
          <w:ilvl w:val="0"/>
          <w:numId w:val="13"/>
        </w:numPr>
        <w:spacing w:before="120" w:after="0"/>
        <w:contextualSpacing/>
        <w:jc w:val="both"/>
        <w:rPr>
          <w:rFonts w:cstheme="minorHAnsi"/>
        </w:rPr>
      </w:pPr>
      <w:r w:rsidRPr="00C93CAC">
        <w:rPr>
          <w:rFonts w:cstheme="minorHAnsi"/>
        </w:rPr>
        <w:t xml:space="preserve">Kristy </w:t>
      </w:r>
      <w:proofErr w:type="spellStart"/>
      <w:r w:rsidRPr="00C93CAC">
        <w:rPr>
          <w:rFonts w:cstheme="minorHAnsi"/>
        </w:rPr>
        <w:t>Tari</w:t>
      </w:r>
      <w:proofErr w:type="spellEnd"/>
      <w:r w:rsidRPr="00C93CAC">
        <w:rPr>
          <w:rFonts w:cstheme="minorHAnsi"/>
        </w:rPr>
        <w:t>, Drugs Unit</w:t>
      </w:r>
    </w:p>
    <w:p w14:paraId="0C66E89B" w14:textId="77777777" w:rsidR="00B168C7" w:rsidRPr="00DE55F6" w:rsidRDefault="00DE55F6" w:rsidP="004E7C9F">
      <w:pPr>
        <w:numPr>
          <w:ilvl w:val="0"/>
          <w:numId w:val="13"/>
        </w:numPr>
        <w:spacing w:before="120" w:after="0"/>
        <w:contextualSpacing/>
        <w:jc w:val="both"/>
        <w:rPr>
          <w:rFonts w:cstheme="minorHAnsi"/>
        </w:rPr>
      </w:pPr>
      <w:r w:rsidRPr="00DE55F6">
        <w:rPr>
          <w:rFonts w:cstheme="minorHAnsi"/>
        </w:rPr>
        <w:t>T</w:t>
      </w:r>
      <w:r w:rsidR="00B168C7" w:rsidRPr="00DE55F6">
        <w:rPr>
          <w:rFonts w:cstheme="minorHAnsi"/>
        </w:rPr>
        <w:t xml:space="preserve">wo officers met with in Santo as part of community consultations </w:t>
      </w:r>
    </w:p>
    <w:p w14:paraId="62F637E1" w14:textId="77777777" w:rsidR="00C93CAC" w:rsidRPr="00C93CAC" w:rsidRDefault="00C93CAC" w:rsidP="00C93CAC">
      <w:pPr>
        <w:spacing w:after="0"/>
        <w:jc w:val="both"/>
        <w:rPr>
          <w:rFonts w:cstheme="minorHAnsi"/>
        </w:rPr>
      </w:pPr>
      <w:r w:rsidRPr="00C93CAC">
        <w:rPr>
          <w:rFonts w:cstheme="minorHAnsi"/>
        </w:rPr>
        <w:t>PSU</w:t>
      </w:r>
    </w:p>
    <w:p w14:paraId="1ACAAE13" w14:textId="77777777" w:rsidR="00C93CAC" w:rsidRPr="00C93CAC" w:rsidRDefault="00C93CAC" w:rsidP="004E7C9F">
      <w:pPr>
        <w:numPr>
          <w:ilvl w:val="0"/>
          <w:numId w:val="13"/>
        </w:numPr>
        <w:spacing w:before="120" w:after="0"/>
        <w:contextualSpacing/>
        <w:jc w:val="both"/>
        <w:rPr>
          <w:rFonts w:cstheme="minorHAnsi"/>
        </w:rPr>
      </w:pPr>
      <w:r w:rsidRPr="00C93CAC">
        <w:rPr>
          <w:rFonts w:cstheme="minorHAnsi"/>
        </w:rPr>
        <w:t xml:space="preserve">Kami Toa, Assistant Director Professional Standards Unit </w:t>
      </w:r>
    </w:p>
    <w:p w14:paraId="6C84C1A0" w14:textId="77777777" w:rsidR="00C93CAC" w:rsidRPr="00C93CAC" w:rsidRDefault="00C93CAC" w:rsidP="004E7C9F">
      <w:pPr>
        <w:numPr>
          <w:ilvl w:val="0"/>
          <w:numId w:val="13"/>
        </w:numPr>
        <w:spacing w:before="120" w:after="0"/>
        <w:contextualSpacing/>
        <w:jc w:val="both"/>
        <w:rPr>
          <w:rFonts w:cstheme="minorHAnsi"/>
        </w:rPr>
      </w:pPr>
      <w:r w:rsidRPr="00C93CAC">
        <w:rPr>
          <w:rFonts w:cstheme="minorHAnsi"/>
        </w:rPr>
        <w:t xml:space="preserve">Sam </w:t>
      </w:r>
      <w:proofErr w:type="spellStart"/>
      <w:r w:rsidRPr="00C93CAC">
        <w:rPr>
          <w:rFonts w:cstheme="minorHAnsi"/>
        </w:rPr>
        <w:t>Tabawa</w:t>
      </w:r>
      <w:proofErr w:type="spellEnd"/>
      <w:r w:rsidRPr="00C93CAC">
        <w:rPr>
          <w:rFonts w:cstheme="minorHAnsi"/>
        </w:rPr>
        <w:t>, Professional Standards Unit</w:t>
      </w:r>
    </w:p>
    <w:p w14:paraId="3C051634" w14:textId="77777777" w:rsidR="00C93CAC" w:rsidRPr="00C93CAC" w:rsidRDefault="00C93CAC" w:rsidP="00C93CAC">
      <w:pPr>
        <w:spacing w:after="0"/>
        <w:jc w:val="both"/>
        <w:rPr>
          <w:rFonts w:cstheme="minorHAnsi"/>
        </w:rPr>
      </w:pPr>
      <w:r w:rsidRPr="00C93CAC">
        <w:rPr>
          <w:rFonts w:cstheme="minorHAnsi"/>
        </w:rPr>
        <w:t>FPU</w:t>
      </w:r>
    </w:p>
    <w:p w14:paraId="2A31A521" w14:textId="77777777" w:rsidR="00C93CAC" w:rsidRPr="00C93CAC" w:rsidRDefault="00C93CAC" w:rsidP="004E7C9F">
      <w:pPr>
        <w:numPr>
          <w:ilvl w:val="0"/>
          <w:numId w:val="13"/>
        </w:numPr>
        <w:spacing w:before="120" w:after="0"/>
        <w:contextualSpacing/>
        <w:jc w:val="both"/>
        <w:rPr>
          <w:rFonts w:cstheme="minorHAnsi"/>
        </w:rPr>
      </w:pPr>
      <w:r w:rsidRPr="00C93CAC">
        <w:rPr>
          <w:rFonts w:cstheme="minorHAnsi"/>
        </w:rPr>
        <w:t>Lily Joel, Family Protection Unit</w:t>
      </w:r>
    </w:p>
    <w:p w14:paraId="4D98AD77" w14:textId="77777777" w:rsidR="00C93CAC" w:rsidRPr="00C93CAC" w:rsidRDefault="00C93CAC" w:rsidP="00C93CAC">
      <w:pPr>
        <w:spacing w:after="0"/>
        <w:jc w:val="both"/>
        <w:rPr>
          <w:rFonts w:cstheme="minorHAnsi"/>
        </w:rPr>
      </w:pPr>
      <w:r w:rsidRPr="00C93CAC">
        <w:rPr>
          <w:rFonts w:cstheme="minorHAnsi"/>
        </w:rPr>
        <w:t>WAN</w:t>
      </w:r>
    </w:p>
    <w:p w14:paraId="75439D32" w14:textId="77777777" w:rsidR="00C93CAC" w:rsidRPr="00C93CAC" w:rsidRDefault="00C93CAC" w:rsidP="004E7C9F">
      <w:pPr>
        <w:numPr>
          <w:ilvl w:val="0"/>
          <w:numId w:val="13"/>
        </w:numPr>
        <w:spacing w:before="120" w:after="0"/>
        <w:contextualSpacing/>
        <w:jc w:val="both"/>
        <w:rPr>
          <w:rFonts w:cstheme="minorHAnsi"/>
        </w:rPr>
      </w:pPr>
      <w:r w:rsidRPr="00C93CAC">
        <w:rPr>
          <w:rFonts w:cstheme="minorHAnsi"/>
        </w:rPr>
        <w:t xml:space="preserve">Rita </w:t>
      </w:r>
      <w:proofErr w:type="spellStart"/>
      <w:r w:rsidRPr="00C93CAC">
        <w:rPr>
          <w:rFonts w:cstheme="minorHAnsi"/>
        </w:rPr>
        <w:t>Maliu</w:t>
      </w:r>
      <w:proofErr w:type="spellEnd"/>
      <w:r w:rsidR="00541D07">
        <w:rPr>
          <w:rFonts w:cstheme="minorHAnsi"/>
        </w:rPr>
        <w:t xml:space="preserve">, </w:t>
      </w:r>
      <w:proofErr w:type="spellStart"/>
      <w:r w:rsidRPr="00C93CAC">
        <w:rPr>
          <w:rFonts w:cstheme="minorHAnsi"/>
        </w:rPr>
        <w:t>Sgt.</w:t>
      </w:r>
      <w:proofErr w:type="spellEnd"/>
      <w:r w:rsidRPr="00C93CAC">
        <w:rPr>
          <w:rFonts w:cstheme="minorHAnsi"/>
        </w:rPr>
        <w:t xml:space="preserve"> Serious crimes &amp; CID and WAN member</w:t>
      </w:r>
    </w:p>
    <w:p w14:paraId="3DF287BE" w14:textId="77777777" w:rsidR="00C93CAC" w:rsidRPr="00C93CAC" w:rsidRDefault="00C93CAC" w:rsidP="004E7C9F">
      <w:pPr>
        <w:numPr>
          <w:ilvl w:val="0"/>
          <w:numId w:val="13"/>
        </w:numPr>
        <w:spacing w:before="120" w:after="0"/>
        <w:contextualSpacing/>
        <w:jc w:val="both"/>
        <w:rPr>
          <w:rFonts w:cstheme="minorHAnsi"/>
        </w:rPr>
      </w:pPr>
      <w:proofErr w:type="spellStart"/>
      <w:r w:rsidRPr="00C93CAC">
        <w:rPr>
          <w:rFonts w:cstheme="minorHAnsi"/>
        </w:rPr>
        <w:t>Sandrina</w:t>
      </w:r>
      <w:proofErr w:type="spellEnd"/>
      <w:r w:rsidRPr="00C93CAC">
        <w:rPr>
          <w:rFonts w:cstheme="minorHAnsi"/>
        </w:rPr>
        <w:t xml:space="preserve"> </w:t>
      </w:r>
      <w:proofErr w:type="spellStart"/>
      <w:r w:rsidRPr="00C93CAC">
        <w:rPr>
          <w:rFonts w:cstheme="minorHAnsi"/>
        </w:rPr>
        <w:t>Bila</w:t>
      </w:r>
      <w:proofErr w:type="spellEnd"/>
      <w:r w:rsidRPr="00C93CAC">
        <w:rPr>
          <w:rFonts w:cstheme="minorHAnsi"/>
        </w:rPr>
        <w:t>, Sgt CID and WAN member</w:t>
      </w:r>
    </w:p>
    <w:p w14:paraId="1C4E522D" w14:textId="77777777" w:rsidR="00C93CAC" w:rsidRPr="00C93CAC" w:rsidRDefault="00C93CAC" w:rsidP="004E7C9F">
      <w:pPr>
        <w:numPr>
          <w:ilvl w:val="0"/>
          <w:numId w:val="13"/>
        </w:numPr>
        <w:spacing w:before="120" w:after="0"/>
        <w:contextualSpacing/>
        <w:jc w:val="both"/>
        <w:rPr>
          <w:rFonts w:cstheme="minorHAnsi"/>
        </w:rPr>
      </w:pPr>
      <w:r w:rsidRPr="00C93CAC">
        <w:rPr>
          <w:rFonts w:cstheme="minorHAnsi"/>
        </w:rPr>
        <w:t xml:space="preserve">Janet </w:t>
      </w:r>
      <w:proofErr w:type="spellStart"/>
      <w:r w:rsidRPr="00C93CAC">
        <w:rPr>
          <w:rFonts w:cstheme="minorHAnsi"/>
        </w:rPr>
        <w:t>Boedovo</w:t>
      </w:r>
      <w:proofErr w:type="spellEnd"/>
      <w:r w:rsidRPr="00C93CAC">
        <w:rPr>
          <w:rFonts w:cstheme="minorHAnsi"/>
        </w:rPr>
        <w:t xml:space="preserve">, </w:t>
      </w:r>
      <w:proofErr w:type="spellStart"/>
      <w:r w:rsidRPr="00C93CAC">
        <w:rPr>
          <w:rFonts w:cstheme="minorHAnsi"/>
        </w:rPr>
        <w:t>Sgt.</w:t>
      </w:r>
      <w:proofErr w:type="spellEnd"/>
      <w:r w:rsidRPr="00C93CAC">
        <w:rPr>
          <w:rFonts w:cstheme="minorHAnsi"/>
        </w:rPr>
        <w:t xml:space="preserve"> CID and WAN member</w:t>
      </w:r>
    </w:p>
    <w:p w14:paraId="03B34D23" w14:textId="77777777" w:rsidR="00C93CAC" w:rsidRPr="00C93CAC" w:rsidRDefault="00C93CAC" w:rsidP="00C93CAC">
      <w:pPr>
        <w:spacing w:after="0"/>
        <w:jc w:val="both"/>
        <w:rPr>
          <w:rFonts w:cstheme="minorHAnsi"/>
        </w:rPr>
      </w:pPr>
      <w:r w:rsidRPr="00C93CAC">
        <w:rPr>
          <w:rFonts w:cstheme="minorHAnsi"/>
        </w:rPr>
        <w:t>PTC</w:t>
      </w:r>
    </w:p>
    <w:p w14:paraId="10A2E174" w14:textId="77777777" w:rsidR="00C93CAC" w:rsidRPr="00C93CAC" w:rsidRDefault="00C93CAC" w:rsidP="004E7C9F">
      <w:pPr>
        <w:numPr>
          <w:ilvl w:val="0"/>
          <w:numId w:val="13"/>
        </w:numPr>
        <w:spacing w:before="120" w:after="0"/>
        <w:contextualSpacing/>
        <w:jc w:val="both"/>
        <w:rPr>
          <w:rFonts w:cstheme="minorHAnsi"/>
        </w:rPr>
      </w:pPr>
      <w:r w:rsidRPr="00C93CAC">
        <w:rPr>
          <w:rFonts w:cstheme="minorHAnsi"/>
        </w:rPr>
        <w:t xml:space="preserve">Peter </w:t>
      </w:r>
      <w:proofErr w:type="spellStart"/>
      <w:r w:rsidRPr="00C93CAC">
        <w:rPr>
          <w:rFonts w:cstheme="minorHAnsi"/>
        </w:rPr>
        <w:t>Maru</w:t>
      </w:r>
      <w:proofErr w:type="spellEnd"/>
      <w:r w:rsidRPr="00C93CAC">
        <w:rPr>
          <w:rFonts w:cstheme="minorHAnsi"/>
        </w:rPr>
        <w:t>, Director, Police Training College</w:t>
      </w:r>
    </w:p>
    <w:p w14:paraId="53AFD949" w14:textId="77777777" w:rsidR="00C93CAC" w:rsidRPr="00C93CAC" w:rsidRDefault="00C93CAC" w:rsidP="004E7C9F">
      <w:pPr>
        <w:numPr>
          <w:ilvl w:val="0"/>
          <w:numId w:val="13"/>
        </w:numPr>
        <w:spacing w:before="120" w:after="0"/>
        <w:contextualSpacing/>
        <w:jc w:val="both"/>
        <w:rPr>
          <w:rFonts w:cstheme="minorHAnsi"/>
        </w:rPr>
      </w:pPr>
      <w:proofErr w:type="spellStart"/>
      <w:r w:rsidRPr="00C93CAC">
        <w:rPr>
          <w:rFonts w:cstheme="minorHAnsi"/>
        </w:rPr>
        <w:t>Iaken</w:t>
      </w:r>
      <w:proofErr w:type="spellEnd"/>
      <w:r w:rsidRPr="00C93CAC">
        <w:rPr>
          <w:rFonts w:cstheme="minorHAnsi"/>
        </w:rPr>
        <w:t xml:space="preserve"> </w:t>
      </w:r>
      <w:proofErr w:type="spellStart"/>
      <w:r w:rsidRPr="00C93CAC">
        <w:rPr>
          <w:rFonts w:cstheme="minorHAnsi"/>
        </w:rPr>
        <w:t>Ampen</w:t>
      </w:r>
      <w:proofErr w:type="spellEnd"/>
      <w:r w:rsidRPr="00C93CAC">
        <w:rPr>
          <w:rFonts w:cstheme="minorHAnsi"/>
        </w:rPr>
        <w:t>, Assistant Director Police Training College</w:t>
      </w:r>
    </w:p>
    <w:p w14:paraId="1C2F9D90" w14:textId="77777777" w:rsidR="00C93CAC" w:rsidRPr="00C93CAC" w:rsidRDefault="00C93CAC" w:rsidP="00C93CAC">
      <w:pPr>
        <w:spacing w:after="0"/>
        <w:jc w:val="both"/>
        <w:rPr>
          <w:rFonts w:cstheme="minorHAnsi"/>
        </w:rPr>
      </w:pPr>
      <w:r w:rsidRPr="00C93CAC">
        <w:rPr>
          <w:rFonts w:cstheme="minorHAnsi"/>
        </w:rPr>
        <w:t>CSU</w:t>
      </w:r>
    </w:p>
    <w:p w14:paraId="69BC6132" w14:textId="77777777" w:rsidR="00C93CAC" w:rsidRPr="00C93CAC" w:rsidRDefault="00C93CAC" w:rsidP="004E7C9F">
      <w:pPr>
        <w:numPr>
          <w:ilvl w:val="0"/>
          <w:numId w:val="13"/>
        </w:numPr>
        <w:spacing w:before="120" w:after="0"/>
        <w:contextualSpacing/>
        <w:jc w:val="both"/>
        <w:rPr>
          <w:rFonts w:cstheme="minorHAnsi"/>
        </w:rPr>
      </w:pPr>
      <w:r w:rsidRPr="00C93CAC">
        <w:rPr>
          <w:rFonts w:cstheme="minorHAnsi"/>
        </w:rPr>
        <w:t xml:space="preserve">Smith </w:t>
      </w:r>
      <w:proofErr w:type="spellStart"/>
      <w:r w:rsidRPr="00C93CAC">
        <w:rPr>
          <w:rFonts w:cstheme="minorHAnsi"/>
        </w:rPr>
        <w:t>Tebu</w:t>
      </w:r>
      <w:proofErr w:type="spellEnd"/>
      <w:r w:rsidRPr="00C93CAC">
        <w:rPr>
          <w:rFonts w:cstheme="minorHAnsi"/>
        </w:rPr>
        <w:t>, Director</w:t>
      </w:r>
    </w:p>
    <w:p w14:paraId="7AE9AABB" w14:textId="77777777" w:rsidR="00C93CAC" w:rsidRPr="00C93CAC" w:rsidRDefault="00C93CAC" w:rsidP="004E7C9F">
      <w:pPr>
        <w:numPr>
          <w:ilvl w:val="0"/>
          <w:numId w:val="13"/>
        </w:numPr>
        <w:spacing w:before="120" w:after="0"/>
        <w:contextualSpacing/>
        <w:jc w:val="both"/>
        <w:rPr>
          <w:rFonts w:cstheme="minorHAnsi"/>
        </w:rPr>
      </w:pPr>
      <w:r w:rsidRPr="00C93CAC">
        <w:rPr>
          <w:rFonts w:cstheme="minorHAnsi"/>
        </w:rPr>
        <w:t>Joe Jack, Finance Manager</w:t>
      </w:r>
    </w:p>
    <w:p w14:paraId="7147B387" w14:textId="77777777" w:rsidR="00C93CAC" w:rsidRPr="00C93CAC" w:rsidRDefault="00C93CAC" w:rsidP="004E7C9F">
      <w:pPr>
        <w:numPr>
          <w:ilvl w:val="0"/>
          <w:numId w:val="13"/>
        </w:numPr>
        <w:spacing w:before="120" w:after="0"/>
        <w:contextualSpacing/>
        <w:jc w:val="both"/>
        <w:rPr>
          <w:rFonts w:cstheme="minorHAnsi"/>
        </w:rPr>
      </w:pPr>
      <w:r w:rsidRPr="00C93CAC">
        <w:rPr>
          <w:rFonts w:cstheme="minorHAnsi"/>
        </w:rPr>
        <w:t xml:space="preserve">Jimmy </w:t>
      </w:r>
      <w:proofErr w:type="spellStart"/>
      <w:r w:rsidRPr="00C93CAC">
        <w:rPr>
          <w:rFonts w:cstheme="minorHAnsi"/>
        </w:rPr>
        <w:t>Avia</w:t>
      </w:r>
      <w:proofErr w:type="spellEnd"/>
      <w:r w:rsidRPr="00C93CAC">
        <w:rPr>
          <w:rFonts w:cstheme="minorHAnsi"/>
        </w:rPr>
        <w:t>, Senior Finance Officer</w:t>
      </w:r>
    </w:p>
    <w:p w14:paraId="66BF3BF3" w14:textId="77777777" w:rsidR="00C93CAC" w:rsidRPr="00C93CAC" w:rsidRDefault="00C93CAC" w:rsidP="004E7C9F">
      <w:pPr>
        <w:numPr>
          <w:ilvl w:val="0"/>
          <w:numId w:val="13"/>
        </w:numPr>
        <w:spacing w:before="120" w:after="0"/>
        <w:contextualSpacing/>
        <w:jc w:val="both"/>
        <w:rPr>
          <w:rFonts w:cstheme="minorHAnsi"/>
        </w:rPr>
      </w:pPr>
      <w:proofErr w:type="spellStart"/>
      <w:r w:rsidRPr="00C93CAC">
        <w:rPr>
          <w:rFonts w:cstheme="minorHAnsi"/>
        </w:rPr>
        <w:t>Netty</w:t>
      </w:r>
      <w:proofErr w:type="spellEnd"/>
      <w:r w:rsidRPr="00C93CAC">
        <w:rPr>
          <w:rFonts w:cstheme="minorHAnsi"/>
        </w:rPr>
        <w:t xml:space="preserve"> </w:t>
      </w:r>
      <w:proofErr w:type="spellStart"/>
      <w:r w:rsidRPr="00C93CAC">
        <w:rPr>
          <w:rFonts w:cstheme="minorHAnsi"/>
        </w:rPr>
        <w:t>Vuti</w:t>
      </w:r>
      <w:proofErr w:type="spellEnd"/>
      <w:r w:rsidRPr="00C93CAC">
        <w:rPr>
          <w:rFonts w:cstheme="minorHAnsi"/>
        </w:rPr>
        <w:t>, HR Manager</w:t>
      </w:r>
    </w:p>
    <w:p w14:paraId="516BC77F" w14:textId="77777777" w:rsidR="00C93CAC" w:rsidRPr="00C93CAC" w:rsidRDefault="00C93CAC" w:rsidP="004E7C9F">
      <w:pPr>
        <w:numPr>
          <w:ilvl w:val="0"/>
          <w:numId w:val="13"/>
        </w:numPr>
        <w:spacing w:before="120" w:after="0"/>
        <w:contextualSpacing/>
        <w:jc w:val="both"/>
        <w:rPr>
          <w:rFonts w:cstheme="minorHAnsi"/>
        </w:rPr>
      </w:pPr>
      <w:r w:rsidRPr="00C93CAC">
        <w:rPr>
          <w:rFonts w:cstheme="minorHAnsi"/>
        </w:rPr>
        <w:t xml:space="preserve">Lt Dora </w:t>
      </w:r>
      <w:proofErr w:type="spellStart"/>
      <w:r w:rsidRPr="00C93CAC">
        <w:rPr>
          <w:rFonts w:cstheme="minorHAnsi"/>
        </w:rPr>
        <w:t>Sahe</w:t>
      </w:r>
      <w:proofErr w:type="spellEnd"/>
      <w:r w:rsidRPr="00C93CAC">
        <w:rPr>
          <w:rFonts w:cstheme="minorHAnsi"/>
        </w:rPr>
        <w:t>, Senior HR Officer</w:t>
      </w:r>
    </w:p>
    <w:p w14:paraId="2ED13465" w14:textId="77777777" w:rsidR="00C93CAC" w:rsidRPr="00C93CAC" w:rsidRDefault="00C93CAC" w:rsidP="00C93CAC">
      <w:pPr>
        <w:spacing w:after="0"/>
        <w:jc w:val="both"/>
        <w:rPr>
          <w:rFonts w:cstheme="minorHAnsi"/>
        </w:rPr>
      </w:pPr>
      <w:r w:rsidRPr="00C93CAC">
        <w:rPr>
          <w:rFonts w:cstheme="minorHAnsi"/>
        </w:rPr>
        <w:t>CID</w:t>
      </w:r>
    </w:p>
    <w:p w14:paraId="2AD3D7B1" w14:textId="77777777" w:rsidR="00C93CAC" w:rsidRPr="00C93CAC" w:rsidRDefault="00C93CAC" w:rsidP="004E7C9F">
      <w:pPr>
        <w:numPr>
          <w:ilvl w:val="0"/>
          <w:numId w:val="13"/>
        </w:numPr>
        <w:spacing w:before="120" w:after="0"/>
        <w:contextualSpacing/>
        <w:jc w:val="both"/>
        <w:rPr>
          <w:rFonts w:cstheme="minorHAnsi"/>
        </w:rPr>
      </w:pPr>
      <w:r w:rsidRPr="00C93CAC">
        <w:rPr>
          <w:rFonts w:cstheme="minorHAnsi"/>
        </w:rPr>
        <w:t xml:space="preserve">Janet </w:t>
      </w:r>
      <w:proofErr w:type="spellStart"/>
      <w:r w:rsidRPr="00C93CAC">
        <w:rPr>
          <w:rFonts w:cstheme="minorHAnsi"/>
        </w:rPr>
        <w:t>Boedovo</w:t>
      </w:r>
      <w:proofErr w:type="spellEnd"/>
      <w:r w:rsidRPr="00C93CAC">
        <w:rPr>
          <w:rFonts w:cstheme="minorHAnsi"/>
        </w:rPr>
        <w:t xml:space="preserve">, </w:t>
      </w:r>
      <w:proofErr w:type="spellStart"/>
      <w:r w:rsidRPr="00C93CAC">
        <w:rPr>
          <w:rFonts w:cstheme="minorHAnsi"/>
        </w:rPr>
        <w:t>Sgt.</w:t>
      </w:r>
      <w:proofErr w:type="spellEnd"/>
      <w:r w:rsidRPr="00C93CAC">
        <w:rPr>
          <w:rFonts w:cstheme="minorHAnsi"/>
        </w:rPr>
        <w:t xml:space="preserve"> CID and WAN member</w:t>
      </w:r>
    </w:p>
    <w:p w14:paraId="1C066257" w14:textId="77777777" w:rsidR="00C93CAC" w:rsidRPr="00C93CAC" w:rsidRDefault="00C93CAC" w:rsidP="004E7C9F">
      <w:pPr>
        <w:numPr>
          <w:ilvl w:val="0"/>
          <w:numId w:val="13"/>
        </w:numPr>
        <w:spacing w:before="120" w:after="0"/>
        <w:contextualSpacing/>
        <w:jc w:val="both"/>
        <w:rPr>
          <w:rFonts w:cstheme="minorHAnsi"/>
        </w:rPr>
      </w:pPr>
      <w:r w:rsidRPr="00C93CAC">
        <w:rPr>
          <w:rFonts w:cstheme="minorHAnsi"/>
        </w:rPr>
        <w:t>Donald James, Acting Deputy Director CID</w:t>
      </w:r>
    </w:p>
    <w:p w14:paraId="3BF7708F" w14:textId="77777777" w:rsidR="00C93CAC" w:rsidRPr="00C93CAC" w:rsidRDefault="00C93CAC" w:rsidP="00C93CAC">
      <w:pPr>
        <w:spacing w:before="120" w:after="0"/>
        <w:rPr>
          <w:rFonts w:cstheme="minorHAnsi"/>
          <w:b/>
        </w:rPr>
      </w:pPr>
      <w:r w:rsidRPr="00C93CAC">
        <w:rPr>
          <w:rFonts w:cstheme="minorHAnsi"/>
          <w:b/>
        </w:rPr>
        <w:t>Palladium Head Office Staff</w:t>
      </w:r>
    </w:p>
    <w:p w14:paraId="1EA5E655" w14:textId="77777777" w:rsidR="00C93CAC" w:rsidRPr="00C93CAC" w:rsidRDefault="00C93CAC" w:rsidP="004E7C9F">
      <w:pPr>
        <w:numPr>
          <w:ilvl w:val="0"/>
          <w:numId w:val="13"/>
        </w:numPr>
        <w:spacing w:before="120" w:after="0"/>
        <w:contextualSpacing/>
        <w:jc w:val="both"/>
        <w:rPr>
          <w:rFonts w:cstheme="minorHAnsi"/>
        </w:rPr>
      </w:pPr>
      <w:r w:rsidRPr="00C93CAC">
        <w:rPr>
          <w:rFonts w:cstheme="minorHAnsi"/>
        </w:rPr>
        <w:t>Rob Nicol, Senior Manager</w:t>
      </w:r>
    </w:p>
    <w:p w14:paraId="5D821030" w14:textId="77777777" w:rsidR="00C93CAC" w:rsidRPr="00C93CAC" w:rsidRDefault="00C93CAC" w:rsidP="004E7C9F">
      <w:pPr>
        <w:numPr>
          <w:ilvl w:val="0"/>
          <w:numId w:val="13"/>
        </w:numPr>
        <w:spacing w:before="120" w:after="0"/>
        <w:contextualSpacing/>
        <w:jc w:val="both"/>
        <w:rPr>
          <w:rFonts w:cstheme="minorHAnsi"/>
        </w:rPr>
      </w:pPr>
      <w:r w:rsidRPr="00C93CAC">
        <w:rPr>
          <w:rFonts w:cstheme="minorHAnsi"/>
        </w:rPr>
        <w:t>Katrina Mackenzie, Program Coordinator (Justice) and Adviser to the OPP</w:t>
      </w:r>
    </w:p>
    <w:p w14:paraId="61B3DBF3" w14:textId="77777777" w:rsidR="00C93CAC" w:rsidRPr="00C93CAC" w:rsidRDefault="00C93CAC" w:rsidP="004E7C9F">
      <w:pPr>
        <w:numPr>
          <w:ilvl w:val="0"/>
          <w:numId w:val="13"/>
        </w:numPr>
        <w:spacing w:before="120" w:after="0"/>
        <w:contextualSpacing/>
        <w:jc w:val="both"/>
        <w:rPr>
          <w:rFonts w:cstheme="minorHAnsi"/>
        </w:rPr>
      </w:pPr>
      <w:proofErr w:type="spellStart"/>
      <w:r w:rsidRPr="00C93CAC">
        <w:rPr>
          <w:rFonts w:cstheme="minorHAnsi"/>
        </w:rPr>
        <w:t>Viran</w:t>
      </w:r>
      <w:proofErr w:type="spellEnd"/>
      <w:r w:rsidRPr="00C93CAC">
        <w:rPr>
          <w:rFonts w:cstheme="minorHAnsi"/>
        </w:rPr>
        <w:t xml:space="preserve"> </w:t>
      </w:r>
      <w:proofErr w:type="spellStart"/>
      <w:r w:rsidRPr="00C93CAC">
        <w:rPr>
          <w:rFonts w:cstheme="minorHAnsi"/>
        </w:rPr>
        <w:t>Molisa</w:t>
      </w:r>
      <w:proofErr w:type="spellEnd"/>
      <w:r w:rsidRPr="00C93CAC">
        <w:rPr>
          <w:rFonts w:cstheme="minorHAnsi"/>
        </w:rPr>
        <w:t xml:space="preserve"> </w:t>
      </w:r>
      <w:proofErr w:type="spellStart"/>
      <w:r w:rsidRPr="00C93CAC">
        <w:rPr>
          <w:rFonts w:cstheme="minorHAnsi"/>
        </w:rPr>
        <w:t>Trief</w:t>
      </w:r>
      <w:proofErr w:type="spellEnd"/>
      <w:r w:rsidRPr="00C93CAC">
        <w:rPr>
          <w:rFonts w:cstheme="minorHAnsi"/>
        </w:rPr>
        <w:t>, Former Program Coordinator (Justice)</w:t>
      </w:r>
    </w:p>
    <w:p w14:paraId="4C09E34D" w14:textId="77777777" w:rsidR="00C93CAC" w:rsidRPr="00C93CAC" w:rsidRDefault="008051FA" w:rsidP="00C93CAC">
      <w:pPr>
        <w:spacing w:before="120" w:after="0"/>
        <w:rPr>
          <w:rFonts w:cstheme="minorHAnsi"/>
          <w:b/>
        </w:rPr>
      </w:pPr>
      <w:r>
        <w:rPr>
          <w:rFonts w:cstheme="minorHAnsi"/>
          <w:b/>
        </w:rPr>
        <w:t>SRBJS</w:t>
      </w:r>
      <w:r w:rsidR="00C93CAC" w:rsidRPr="00C93CAC">
        <w:rPr>
          <w:rFonts w:cstheme="minorHAnsi"/>
          <w:b/>
        </w:rPr>
        <w:t xml:space="preserve"> Justice Advisers</w:t>
      </w:r>
    </w:p>
    <w:p w14:paraId="3261DBA3" w14:textId="77777777" w:rsidR="00C93CAC" w:rsidRPr="00C93CAC" w:rsidRDefault="00C93CAC" w:rsidP="004E7C9F">
      <w:pPr>
        <w:numPr>
          <w:ilvl w:val="0"/>
          <w:numId w:val="13"/>
        </w:numPr>
        <w:spacing w:before="120" w:after="0"/>
        <w:contextualSpacing/>
        <w:jc w:val="both"/>
        <w:rPr>
          <w:rFonts w:cstheme="minorHAnsi"/>
        </w:rPr>
      </w:pPr>
      <w:r w:rsidRPr="00C93CAC">
        <w:rPr>
          <w:rFonts w:cstheme="minorHAnsi"/>
        </w:rPr>
        <w:t>Sally Cobb, Monitoring and Evaluation Adviser</w:t>
      </w:r>
    </w:p>
    <w:p w14:paraId="6F33CDCF" w14:textId="77777777" w:rsidR="00C93CAC" w:rsidRPr="00C93CAC" w:rsidRDefault="00C93CAC" w:rsidP="004E7C9F">
      <w:pPr>
        <w:numPr>
          <w:ilvl w:val="0"/>
          <w:numId w:val="13"/>
        </w:numPr>
        <w:spacing w:before="120" w:after="0"/>
        <w:contextualSpacing/>
        <w:jc w:val="both"/>
        <w:rPr>
          <w:rFonts w:cstheme="minorHAnsi"/>
        </w:rPr>
      </w:pPr>
      <w:r w:rsidRPr="00C93CAC">
        <w:rPr>
          <w:rFonts w:cstheme="minorHAnsi"/>
        </w:rPr>
        <w:t>Richard Evans, Human Resources Management Adviser</w:t>
      </w:r>
    </w:p>
    <w:p w14:paraId="316B76FC" w14:textId="77777777" w:rsidR="00C93CAC" w:rsidRPr="00C93CAC" w:rsidRDefault="00C93CAC" w:rsidP="004E7C9F">
      <w:pPr>
        <w:numPr>
          <w:ilvl w:val="0"/>
          <w:numId w:val="13"/>
        </w:numPr>
        <w:spacing w:before="120" w:after="0"/>
        <w:contextualSpacing/>
        <w:jc w:val="both"/>
        <w:rPr>
          <w:rFonts w:cstheme="minorHAnsi"/>
        </w:rPr>
      </w:pPr>
      <w:r w:rsidRPr="00C93CAC">
        <w:rPr>
          <w:rFonts w:cstheme="minorHAnsi"/>
        </w:rPr>
        <w:t>Judith Fleming, Evaluator of AP Program and Former Magistrates’ Court Adviser</w:t>
      </w:r>
    </w:p>
    <w:p w14:paraId="02C073E6" w14:textId="77777777" w:rsidR="00C93CAC" w:rsidRPr="00C93CAC" w:rsidRDefault="00C93CAC" w:rsidP="004E7C9F">
      <w:pPr>
        <w:numPr>
          <w:ilvl w:val="0"/>
          <w:numId w:val="13"/>
        </w:numPr>
        <w:spacing w:before="120" w:after="0"/>
        <w:contextualSpacing/>
        <w:jc w:val="both"/>
        <w:rPr>
          <w:rFonts w:cstheme="minorHAnsi"/>
        </w:rPr>
      </w:pPr>
      <w:r w:rsidRPr="00C93CAC">
        <w:rPr>
          <w:rFonts w:cstheme="minorHAnsi"/>
        </w:rPr>
        <w:t>Amy Green, Training and Learning Adviser</w:t>
      </w:r>
    </w:p>
    <w:p w14:paraId="2C2AE392" w14:textId="77777777" w:rsidR="00C93CAC" w:rsidRPr="00C93CAC" w:rsidRDefault="00C93CAC" w:rsidP="004E7C9F">
      <w:pPr>
        <w:numPr>
          <w:ilvl w:val="0"/>
          <w:numId w:val="13"/>
        </w:numPr>
        <w:spacing w:before="120" w:after="0"/>
        <w:contextualSpacing/>
        <w:jc w:val="both"/>
        <w:rPr>
          <w:rFonts w:cstheme="minorHAnsi"/>
        </w:rPr>
      </w:pPr>
      <w:r w:rsidRPr="00C93CAC">
        <w:rPr>
          <w:rFonts w:cstheme="minorHAnsi"/>
        </w:rPr>
        <w:t xml:space="preserve">Tony </w:t>
      </w:r>
      <w:proofErr w:type="spellStart"/>
      <w:r w:rsidRPr="00C93CAC">
        <w:rPr>
          <w:rFonts w:cstheme="minorHAnsi"/>
        </w:rPr>
        <w:t>Lansdell</w:t>
      </w:r>
      <w:proofErr w:type="spellEnd"/>
      <w:r w:rsidRPr="00C93CAC">
        <w:rPr>
          <w:rFonts w:cstheme="minorHAnsi"/>
        </w:rPr>
        <w:t>, Case and Data Management Adviser</w:t>
      </w:r>
    </w:p>
    <w:p w14:paraId="0469278B" w14:textId="77777777" w:rsidR="00C93CAC" w:rsidRPr="00C93CAC" w:rsidRDefault="00C93CAC" w:rsidP="004E7C9F">
      <w:pPr>
        <w:numPr>
          <w:ilvl w:val="0"/>
          <w:numId w:val="13"/>
        </w:numPr>
        <w:spacing w:before="120" w:after="0"/>
        <w:contextualSpacing/>
        <w:jc w:val="both"/>
        <w:rPr>
          <w:rFonts w:cstheme="minorHAnsi"/>
        </w:rPr>
      </w:pPr>
      <w:r w:rsidRPr="00C93CAC">
        <w:rPr>
          <w:rFonts w:cstheme="minorHAnsi"/>
        </w:rPr>
        <w:t>Wayne Mills, Case Management Support Adviser to the SPD</w:t>
      </w:r>
    </w:p>
    <w:p w14:paraId="511EBF42" w14:textId="77777777" w:rsidR="00C93CAC" w:rsidRPr="00C93CAC" w:rsidRDefault="00C93CAC" w:rsidP="004E7C9F">
      <w:pPr>
        <w:numPr>
          <w:ilvl w:val="0"/>
          <w:numId w:val="13"/>
        </w:numPr>
        <w:spacing w:before="120" w:after="0"/>
        <w:contextualSpacing/>
        <w:jc w:val="both"/>
        <w:rPr>
          <w:rFonts w:cstheme="minorHAnsi"/>
        </w:rPr>
      </w:pPr>
      <w:r w:rsidRPr="00C93CAC">
        <w:rPr>
          <w:rFonts w:cstheme="minorHAnsi"/>
        </w:rPr>
        <w:t>Trisha Randhawa, Adviser to the PSO</w:t>
      </w:r>
    </w:p>
    <w:p w14:paraId="239C36EC" w14:textId="77777777" w:rsidR="00C93CAC" w:rsidRPr="00C93CAC" w:rsidRDefault="00C93CAC" w:rsidP="004E7C9F">
      <w:pPr>
        <w:numPr>
          <w:ilvl w:val="0"/>
          <w:numId w:val="13"/>
        </w:numPr>
        <w:spacing w:before="120" w:after="0"/>
        <w:contextualSpacing/>
        <w:jc w:val="both"/>
        <w:rPr>
          <w:rFonts w:cstheme="minorHAnsi"/>
        </w:rPr>
      </w:pPr>
      <w:r w:rsidRPr="00C93CAC">
        <w:rPr>
          <w:rFonts w:cstheme="minorHAnsi"/>
        </w:rPr>
        <w:t xml:space="preserve">Emma </w:t>
      </w:r>
      <w:proofErr w:type="spellStart"/>
      <w:r w:rsidRPr="00C93CAC">
        <w:rPr>
          <w:rFonts w:cstheme="minorHAnsi"/>
        </w:rPr>
        <w:t>Scadeng</w:t>
      </w:r>
      <w:proofErr w:type="spellEnd"/>
      <w:r w:rsidRPr="00C93CAC">
        <w:rPr>
          <w:rFonts w:cstheme="minorHAnsi"/>
        </w:rPr>
        <w:t>, Systems Officer</w:t>
      </w:r>
    </w:p>
    <w:p w14:paraId="3AF3BD72" w14:textId="77777777" w:rsidR="00C93CAC" w:rsidRPr="009A7EC5" w:rsidRDefault="00C93CAC" w:rsidP="004E7C9F">
      <w:pPr>
        <w:numPr>
          <w:ilvl w:val="0"/>
          <w:numId w:val="13"/>
        </w:numPr>
        <w:spacing w:before="120" w:after="0"/>
        <w:contextualSpacing/>
        <w:jc w:val="both"/>
        <w:rPr>
          <w:rFonts w:cstheme="minorHAnsi"/>
        </w:rPr>
      </w:pPr>
      <w:r w:rsidRPr="00C93CAC">
        <w:rPr>
          <w:rFonts w:cstheme="minorHAnsi"/>
        </w:rPr>
        <w:t>Polly Walker-</w:t>
      </w:r>
      <w:proofErr w:type="spellStart"/>
      <w:r w:rsidRPr="00C93CAC">
        <w:rPr>
          <w:rFonts w:cstheme="minorHAnsi"/>
        </w:rPr>
        <w:t>Dorras</w:t>
      </w:r>
      <w:proofErr w:type="spellEnd"/>
      <w:r w:rsidRPr="00C93CAC">
        <w:rPr>
          <w:rFonts w:cstheme="minorHAnsi"/>
        </w:rPr>
        <w:t>, Senior Program Officer</w:t>
      </w:r>
    </w:p>
    <w:p w14:paraId="33B7A3B8" w14:textId="77777777" w:rsidR="003C5477" w:rsidRPr="003C5477" w:rsidRDefault="008051FA" w:rsidP="003C5477">
      <w:pPr>
        <w:spacing w:before="120" w:after="0"/>
        <w:rPr>
          <w:rFonts w:cstheme="minorHAnsi"/>
          <w:b/>
        </w:rPr>
      </w:pPr>
      <w:r>
        <w:rPr>
          <w:rFonts w:cstheme="minorHAnsi"/>
          <w:b/>
        </w:rPr>
        <w:t>SRBJS</w:t>
      </w:r>
      <w:r w:rsidR="00C93CAC" w:rsidRPr="00C93CAC">
        <w:rPr>
          <w:rFonts w:cstheme="minorHAnsi"/>
          <w:b/>
        </w:rPr>
        <w:t xml:space="preserve"> Policing Advisers</w:t>
      </w:r>
    </w:p>
    <w:p w14:paraId="27109380" w14:textId="77777777" w:rsidR="003C5477" w:rsidRPr="003C5477" w:rsidRDefault="003C5477" w:rsidP="004E7C9F">
      <w:pPr>
        <w:numPr>
          <w:ilvl w:val="0"/>
          <w:numId w:val="13"/>
        </w:numPr>
        <w:spacing w:before="120" w:after="0"/>
        <w:contextualSpacing/>
        <w:jc w:val="both"/>
        <w:rPr>
          <w:rFonts w:cstheme="minorHAnsi"/>
        </w:rPr>
      </w:pPr>
      <w:r w:rsidRPr="003C5477">
        <w:rPr>
          <w:rFonts w:cstheme="minorHAnsi"/>
        </w:rPr>
        <w:t>Glyn Lewis, Adviser - VPF Police Commissioner and AFP Commander</w:t>
      </w:r>
    </w:p>
    <w:p w14:paraId="41F75E2E" w14:textId="77777777" w:rsidR="003C5477" w:rsidRPr="003C5477" w:rsidRDefault="003C5477" w:rsidP="004E7C9F">
      <w:pPr>
        <w:numPr>
          <w:ilvl w:val="0"/>
          <w:numId w:val="13"/>
        </w:numPr>
        <w:spacing w:before="120" w:after="0"/>
        <w:contextualSpacing/>
        <w:jc w:val="both"/>
        <w:rPr>
          <w:rFonts w:cstheme="minorHAnsi"/>
        </w:rPr>
      </w:pPr>
      <w:r w:rsidRPr="003C5477">
        <w:rPr>
          <w:rFonts w:cstheme="minorHAnsi"/>
        </w:rPr>
        <w:t xml:space="preserve">Angus Beveridge, Adviser - Professional Development and Professional Standards </w:t>
      </w:r>
    </w:p>
    <w:p w14:paraId="49E4EBE5" w14:textId="77777777" w:rsidR="003C5477" w:rsidRPr="003C5477" w:rsidRDefault="003C5477" w:rsidP="004E7C9F">
      <w:pPr>
        <w:numPr>
          <w:ilvl w:val="0"/>
          <w:numId w:val="13"/>
        </w:numPr>
        <w:spacing w:before="120" w:after="0"/>
        <w:contextualSpacing/>
        <w:jc w:val="both"/>
        <w:rPr>
          <w:rFonts w:cstheme="minorHAnsi"/>
        </w:rPr>
      </w:pPr>
      <w:r w:rsidRPr="003C5477">
        <w:rPr>
          <w:rFonts w:cstheme="minorHAnsi"/>
        </w:rPr>
        <w:t xml:space="preserve">Bronwyn Carter, Adviser - Northern Command </w:t>
      </w:r>
    </w:p>
    <w:p w14:paraId="6E3A7A38" w14:textId="77777777" w:rsidR="003C5477" w:rsidRPr="003C5477" w:rsidRDefault="003C5477" w:rsidP="004E7C9F">
      <w:pPr>
        <w:numPr>
          <w:ilvl w:val="0"/>
          <w:numId w:val="13"/>
        </w:numPr>
        <w:spacing w:before="120" w:after="0"/>
        <w:contextualSpacing/>
        <w:jc w:val="both"/>
        <w:rPr>
          <w:rFonts w:cstheme="minorHAnsi"/>
        </w:rPr>
      </w:pPr>
      <w:r w:rsidRPr="003C5477">
        <w:rPr>
          <w:rFonts w:cstheme="minorHAnsi"/>
        </w:rPr>
        <w:t xml:space="preserve">Cassandra Gunn, Former Adviser - Family Protection and Community Engagement </w:t>
      </w:r>
    </w:p>
    <w:p w14:paraId="546FA1DD" w14:textId="77777777" w:rsidR="003C5477" w:rsidRPr="003C5477" w:rsidRDefault="003C5477" w:rsidP="004E7C9F">
      <w:pPr>
        <w:numPr>
          <w:ilvl w:val="0"/>
          <w:numId w:val="13"/>
        </w:numPr>
        <w:spacing w:before="120" w:after="0"/>
        <w:contextualSpacing/>
        <w:jc w:val="both"/>
        <w:rPr>
          <w:rFonts w:cstheme="minorHAnsi"/>
        </w:rPr>
      </w:pPr>
      <w:r w:rsidRPr="003C5477">
        <w:rPr>
          <w:rFonts w:cstheme="minorHAnsi"/>
        </w:rPr>
        <w:t xml:space="preserve">Keith </w:t>
      </w:r>
      <w:proofErr w:type="spellStart"/>
      <w:r w:rsidRPr="003C5477">
        <w:rPr>
          <w:rFonts w:cstheme="minorHAnsi"/>
        </w:rPr>
        <w:t>Twyford</w:t>
      </w:r>
      <w:proofErr w:type="spellEnd"/>
      <w:r w:rsidRPr="003C5477">
        <w:rPr>
          <w:rFonts w:cstheme="minorHAnsi"/>
        </w:rPr>
        <w:t>, Former Adviser, Corporate Services Unit</w:t>
      </w:r>
    </w:p>
    <w:p w14:paraId="59A18E4D" w14:textId="77777777" w:rsidR="003C5477" w:rsidRPr="003C5477" w:rsidRDefault="003C5477" w:rsidP="004E7C9F">
      <w:pPr>
        <w:numPr>
          <w:ilvl w:val="0"/>
          <w:numId w:val="13"/>
        </w:numPr>
        <w:spacing w:before="120" w:after="0"/>
        <w:contextualSpacing/>
        <w:jc w:val="both"/>
        <w:rPr>
          <w:rFonts w:cstheme="minorHAnsi"/>
        </w:rPr>
      </w:pPr>
      <w:r w:rsidRPr="003C5477">
        <w:rPr>
          <w:rFonts w:cstheme="minorHAnsi"/>
        </w:rPr>
        <w:t xml:space="preserve">Scott </w:t>
      </w:r>
      <w:proofErr w:type="spellStart"/>
      <w:r w:rsidRPr="003C5477">
        <w:rPr>
          <w:rFonts w:cstheme="minorHAnsi"/>
        </w:rPr>
        <w:t>Utteridge</w:t>
      </w:r>
      <w:proofErr w:type="spellEnd"/>
      <w:r w:rsidRPr="003C5477">
        <w:rPr>
          <w:rFonts w:cstheme="minorHAnsi"/>
        </w:rPr>
        <w:t xml:space="preserve">, Adviser - General Duties </w:t>
      </w:r>
    </w:p>
    <w:p w14:paraId="25DCF2D8" w14:textId="77777777" w:rsidR="003C5477" w:rsidRPr="003C5477" w:rsidRDefault="003C5477" w:rsidP="004E7C9F">
      <w:pPr>
        <w:numPr>
          <w:ilvl w:val="0"/>
          <w:numId w:val="13"/>
        </w:numPr>
        <w:spacing w:before="120" w:after="0"/>
        <w:contextualSpacing/>
        <w:jc w:val="both"/>
        <w:rPr>
          <w:rFonts w:cstheme="minorHAnsi"/>
        </w:rPr>
      </w:pPr>
      <w:r w:rsidRPr="003C5477">
        <w:rPr>
          <w:rFonts w:cstheme="minorHAnsi"/>
        </w:rPr>
        <w:t xml:space="preserve">Anna </w:t>
      </w:r>
      <w:proofErr w:type="spellStart"/>
      <w:r w:rsidRPr="003C5477">
        <w:rPr>
          <w:rFonts w:cstheme="minorHAnsi"/>
        </w:rPr>
        <w:t>Wronski</w:t>
      </w:r>
      <w:proofErr w:type="spellEnd"/>
      <w:r w:rsidRPr="003C5477">
        <w:rPr>
          <w:rFonts w:cstheme="minorHAnsi"/>
        </w:rPr>
        <w:t>, Adviser - Investigations, Community Engagement and Systems and Processes</w:t>
      </w:r>
    </w:p>
    <w:p w14:paraId="285D1E43" w14:textId="77777777" w:rsidR="003C5477" w:rsidRPr="00C93CAC" w:rsidRDefault="003C5477" w:rsidP="004E7C9F">
      <w:pPr>
        <w:numPr>
          <w:ilvl w:val="0"/>
          <w:numId w:val="13"/>
        </w:numPr>
        <w:spacing w:before="120" w:after="0"/>
        <w:contextualSpacing/>
        <w:jc w:val="both"/>
        <w:rPr>
          <w:rFonts w:cstheme="minorHAnsi"/>
        </w:rPr>
      </w:pPr>
      <w:r w:rsidRPr="003C5477">
        <w:rPr>
          <w:rFonts w:cstheme="minorHAnsi"/>
        </w:rPr>
        <w:t>Wayne Mills, Case Management Support Adviser to the SPD</w:t>
      </w:r>
    </w:p>
    <w:p w14:paraId="175EC95C" w14:textId="77777777" w:rsidR="00C93CAC" w:rsidRPr="00C93CAC" w:rsidRDefault="00C93CAC" w:rsidP="00C93CAC">
      <w:pPr>
        <w:spacing w:before="120" w:after="0"/>
        <w:rPr>
          <w:rFonts w:asciiTheme="majorHAnsi" w:hAnsiTheme="majorHAnsi" w:cstheme="majorHAnsi"/>
          <w:u w:val="single"/>
        </w:rPr>
      </w:pPr>
      <w:r w:rsidRPr="00C93CAC">
        <w:rPr>
          <w:rFonts w:cstheme="minorHAnsi"/>
          <w:b/>
        </w:rPr>
        <w:t>New Zealand High Commission</w:t>
      </w:r>
    </w:p>
    <w:p w14:paraId="2A5F79CF" w14:textId="77777777" w:rsidR="003C5477" w:rsidRPr="003C5477" w:rsidRDefault="003C5477" w:rsidP="004E7C9F">
      <w:pPr>
        <w:numPr>
          <w:ilvl w:val="0"/>
          <w:numId w:val="13"/>
        </w:numPr>
        <w:spacing w:before="120" w:after="0"/>
        <w:contextualSpacing/>
        <w:jc w:val="both"/>
        <w:rPr>
          <w:rFonts w:cstheme="minorHAnsi"/>
        </w:rPr>
      </w:pPr>
      <w:proofErr w:type="spellStart"/>
      <w:r w:rsidRPr="003C5477">
        <w:rPr>
          <w:rFonts w:cstheme="minorHAnsi"/>
        </w:rPr>
        <w:t>Adham</w:t>
      </w:r>
      <w:proofErr w:type="spellEnd"/>
      <w:r w:rsidRPr="003C5477">
        <w:rPr>
          <w:rFonts w:cstheme="minorHAnsi"/>
        </w:rPr>
        <w:t xml:space="preserve"> Crichton, First Secretary, New Zealand High Commission Vanuatu</w:t>
      </w:r>
    </w:p>
    <w:p w14:paraId="2BD0B432" w14:textId="77777777" w:rsidR="003C5477" w:rsidRPr="003C5477" w:rsidRDefault="003C5477" w:rsidP="004E7C9F">
      <w:pPr>
        <w:numPr>
          <w:ilvl w:val="0"/>
          <w:numId w:val="13"/>
        </w:numPr>
        <w:spacing w:before="120" w:after="0"/>
        <w:contextualSpacing/>
        <w:jc w:val="both"/>
        <w:rPr>
          <w:rFonts w:cstheme="minorHAnsi"/>
        </w:rPr>
      </w:pPr>
      <w:r w:rsidRPr="003C5477">
        <w:rPr>
          <w:rFonts w:cstheme="minorHAnsi"/>
        </w:rPr>
        <w:t xml:space="preserve">Charlie </w:t>
      </w:r>
      <w:proofErr w:type="spellStart"/>
      <w:r w:rsidRPr="003C5477">
        <w:rPr>
          <w:rFonts w:cstheme="minorHAnsi"/>
        </w:rPr>
        <w:t>Mangawai</w:t>
      </w:r>
      <w:proofErr w:type="spellEnd"/>
      <w:r w:rsidRPr="003C5477">
        <w:rPr>
          <w:rFonts w:cstheme="minorHAnsi"/>
        </w:rPr>
        <w:t>, PM Justice and Politics, New Zealand High Commission Vanuatu</w:t>
      </w:r>
    </w:p>
    <w:p w14:paraId="009DAC46" w14:textId="77777777" w:rsidR="00C93CAC" w:rsidRPr="00C93CAC" w:rsidRDefault="00C93CAC" w:rsidP="00C93CAC">
      <w:pPr>
        <w:spacing w:before="120" w:after="0"/>
        <w:rPr>
          <w:rFonts w:cstheme="minorHAnsi"/>
          <w:b/>
        </w:rPr>
      </w:pPr>
      <w:r w:rsidRPr="00C93CAC">
        <w:rPr>
          <w:rFonts w:cstheme="minorHAnsi"/>
          <w:b/>
        </w:rPr>
        <w:t>Civil Society Organisations</w:t>
      </w:r>
    </w:p>
    <w:p w14:paraId="3BE69F32" w14:textId="77777777" w:rsidR="00C93CAC" w:rsidRPr="00C93CAC" w:rsidRDefault="00C93CAC" w:rsidP="004E7C9F">
      <w:pPr>
        <w:numPr>
          <w:ilvl w:val="0"/>
          <w:numId w:val="13"/>
        </w:numPr>
        <w:spacing w:before="120" w:after="0"/>
        <w:contextualSpacing/>
        <w:jc w:val="both"/>
        <w:rPr>
          <w:rFonts w:cstheme="minorHAnsi"/>
        </w:rPr>
      </w:pPr>
      <w:r w:rsidRPr="00C93CAC">
        <w:rPr>
          <w:rFonts w:cstheme="minorHAnsi"/>
        </w:rPr>
        <w:t xml:space="preserve">Judith </w:t>
      </w:r>
      <w:proofErr w:type="spellStart"/>
      <w:r w:rsidRPr="00C93CAC">
        <w:rPr>
          <w:rFonts w:cstheme="minorHAnsi"/>
        </w:rPr>
        <w:t>Iakavai</w:t>
      </w:r>
      <w:proofErr w:type="spellEnd"/>
      <w:r w:rsidRPr="00C93CAC">
        <w:rPr>
          <w:rFonts w:cstheme="minorHAnsi"/>
        </w:rPr>
        <w:t>, Program Manager Vanuatu Society for Disabled People</w:t>
      </w:r>
    </w:p>
    <w:p w14:paraId="197609A0" w14:textId="77777777" w:rsidR="003C5477" w:rsidRPr="003C5477" w:rsidRDefault="003C5477" w:rsidP="004E7C9F">
      <w:pPr>
        <w:numPr>
          <w:ilvl w:val="0"/>
          <w:numId w:val="13"/>
        </w:numPr>
        <w:spacing w:before="120" w:after="0"/>
        <w:contextualSpacing/>
        <w:jc w:val="both"/>
        <w:rPr>
          <w:rFonts w:cstheme="minorHAnsi"/>
        </w:rPr>
      </w:pPr>
      <w:proofErr w:type="spellStart"/>
      <w:r w:rsidRPr="003C5477">
        <w:rPr>
          <w:rFonts w:cstheme="minorHAnsi"/>
        </w:rPr>
        <w:t>Vola</w:t>
      </w:r>
      <w:proofErr w:type="spellEnd"/>
      <w:r w:rsidRPr="003C5477">
        <w:rPr>
          <w:rFonts w:cstheme="minorHAnsi"/>
        </w:rPr>
        <w:t xml:space="preserve"> </w:t>
      </w:r>
      <w:proofErr w:type="spellStart"/>
      <w:r w:rsidRPr="003C5477">
        <w:rPr>
          <w:rFonts w:cstheme="minorHAnsi"/>
        </w:rPr>
        <w:t>Matas</w:t>
      </w:r>
      <w:proofErr w:type="spellEnd"/>
      <w:r w:rsidRPr="003C5477">
        <w:rPr>
          <w:rFonts w:cstheme="minorHAnsi"/>
        </w:rPr>
        <w:t>, Senior Legal Officer and Deputy, Vanuatu Women’s Centre</w:t>
      </w:r>
    </w:p>
    <w:p w14:paraId="605BF080" w14:textId="77777777" w:rsidR="003C5477" w:rsidRPr="003C5477" w:rsidRDefault="003C5477" w:rsidP="004E7C9F">
      <w:pPr>
        <w:numPr>
          <w:ilvl w:val="0"/>
          <w:numId w:val="13"/>
        </w:numPr>
        <w:spacing w:before="120" w:after="0"/>
        <w:contextualSpacing/>
        <w:jc w:val="both"/>
        <w:rPr>
          <w:rFonts w:cstheme="minorHAnsi"/>
        </w:rPr>
      </w:pPr>
      <w:r w:rsidRPr="003C5477">
        <w:rPr>
          <w:rFonts w:cstheme="minorHAnsi"/>
        </w:rPr>
        <w:t xml:space="preserve">Margaret </w:t>
      </w:r>
      <w:proofErr w:type="spellStart"/>
      <w:r w:rsidRPr="003C5477">
        <w:rPr>
          <w:rFonts w:cstheme="minorHAnsi"/>
        </w:rPr>
        <w:t>Tekak</w:t>
      </w:r>
      <w:proofErr w:type="spellEnd"/>
      <w:r w:rsidRPr="003C5477">
        <w:rPr>
          <w:rFonts w:cstheme="minorHAnsi"/>
        </w:rPr>
        <w:t>, Assistant Legal Officer, Vanuatu Women’s Centre</w:t>
      </w:r>
    </w:p>
    <w:p w14:paraId="4226533D" w14:textId="77777777" w:rsidR="003C5477" w:rsidRPr="003C5477" w:rsidRDefault="00FC22CF" w:rsidP="004E7C9F">
      <w:pPr>
        <w:numPr>
          <w:ilvl w:val="0"/>
          <w:numId w:val="13"/>
        </w:numPr>
        <w:spacing w:before="120" w:after="0"/>
        <w:contextualSpacing/>
        <w:jc w:val="both"/>
        <w:rPr>
          <w:rFonts w:cstheme="minorHAnsi"/>
        </w:rPr>
      </w:pPr>
      <w:proofErr w:type="spellStart"/>
      <w:r w:rsidRPr="00FC22CF">
        <w:rPr>
          <w:rFonts w:cstheme="minorHAnsi"/>
        </w:rPr>
        <w:t>Viran</w:t>
      </w:r>
      <w:proofErr w:type="spellEnd"/>
      <w:r w:rsidRPr="00FC22CF">
        <w:rPr>
          <w:rFonts w:cstheme="minorHAnsi"/>
        </w:rPr>
        <w:t xml:space="preserve"> </w:t>
      </w:r>
      <w:proofErr w:type="spellStart"/>
      <w:r w:rsidRPr="00FC22CF">
        <w:rPr>
          <w:rFonts w:cstheme="minorHAnsi"/>
        </w:rPr>
        <w:t>Molisa</w:t>
      </w:r>
      <w:proofErr w:type="spellEnd"/>
      <w:r w:rsidRPr="00FC22CF">
        <w:rPr>
          <w:rFonts w:cstheme="minorHAnsi"/>
        </w:rPr>
        <w:t xml:space="preserve">, </w:t>
      </w:r>
      <w:r w:rsidR="003C5477" w:rsidRPr="00C93CAC">
        <w:rPr>
          <w:rFonts w:cstheme="minorHAnsi"/>
        </w:rPr>
        <w:t xml:space="preserve">Councillor </w:t>
      </w:r>
      <w:r>
        <w:rPr>
          <w:rFonts w:cstheme="minorHAnsi"/>
        </w:rPr>
        <w:t>M</w:t>
      </w:r>
      <w:r w:rsidR="003C5477" w:rsidRPr="00C93CAC">
        <w:rPr>
          <w:rFonts w:cstheme="minorHAnsi"/>
        </w:rPr>
        <w:t>anager</w:t>
      </w:r>
      <w:r w:rsidR="003C5477">
        <w:rPr>
          <w:rFonts w:cstheme="minorHAnsi"/>
        </w:rPr>
        <w:t xml:space="preserve">, </w:t>
      </w:r>
      <w:r w:rsidR="003C5477" w:rsidRPr="003C5477">
        <w:rPr>
          <w:rFonts w:cstheme="minorHAnsi"/>
        </w:rPr>
        <w:t>Vanuatu Women’s Centre</w:t>
      </w:r>
    </w:p>
    <w:p w14:paraId="535424D9" w14:textId="77777777" w:rsidR="00C93CAC" w:rsidRDefault="00C93CAC" w:rsidP="00E40A0F">
      <w:pPr>
        <w:tabs>
          <w:tab w:val="left" w:pos="851"/>
        </w:tabs>
        <w:spacing w:after="0" w:line="240" w:lineRule="auto"/>
        <w:ind w:right="-46"/>
        <w:jc w:val="both"/>
        <w:rPr>
          <w:rFonts w:eastAsia="Times New Roman" w:cstheme="minorHAnsi"/>
          <w:b/>
          <w:bCs/>
          <w:color w:val="44546A" w:themeColor="text2"/>
          <w:sz w:val="24"/>
          <w:szCs w:val="24"/>
          <w:lang w:eastAsia="en-AU"/>
        </w:rPr>
      </w:pPr>
    </w:p>
    <w:p w14:paraId="5E1682EE" w14:textId="77777777" w:rsidR="00393F6C" w:rsidRPr="00393F6C" w:rsidRDefault="00393F6C" w:rsidP="00E40A0F">
      <w:pPr>
        <w:tabs>
          <w:tab w:val="left" w:pos="851"/>
        </w:tabs>
        <w:spacing w:after="0" w:line="240" w:lineRule="auto"/>
        <w:ind w:right="-46"/>
        <w:jc w:val="both"/>
        <w:rPr>
          <w:rFonts w:eastAsia="Times New Roman" w:cstheme="minorHAnsi"/>
          <w:b/>
          <w:bCs/>
          <w:color w:val="44546A" w:themeColor="text2"/>
          <w:sz w:val="24"/>
          <w:szCs w:val="24"/>
          <w:lang w:eastAsia="en-AU"/>
        </w:rPr>
      </w:pPr>
      <w:r w:rsidRPr="00393F6C">
        <w:rPr>
          <w:rFonts w:eastAsia="Times New Roman" w:cstheme="minorHAnsi"/>
          <w:b/>
          <w:bCs/>
          <w:color w:val="44546A" w:themeColor="text2"/>
          <w:sz w:val="24"/>
          <w:szCs w:val="24"/>
          <w:lang w:eastAsia="en-AU"/>
        </w:rPr>
        <w:t>Limitations</w:t>
      </w:r>
    </w:p>
    <w:p w14:paraId="20A9C618" w14:textId="77777777" w:rsidR="00393F6C" w:rsidRPr="00393F6C" w:rsidRDefault="00393F6C" w:rsidP="00FF102D">
      <w:pPr>
        <w:spacing w:after="100" w:line="240" w:lineRule="auto"/>
        <w:jc w:val="both"/>
        <w:rPr>
          <w:rFonts w:ascii="Calibri" w:eastAsia="Calibri" w:hAnsi="Calibri" w:cs="DaunPenh"/>
        </w:rPr>
      </w:pPr>
      <w:r w:rsidRPr="00393F6C">
        <w:rPr>
          <w:rFonts w:ascii="Calibri" w:eastAsia="Calibri" w:hAnsi="Calibri" w:cs="DaunPenh"/>
        </w:rPr>
        <w:t xml:space="preserve">There were several limiting factors which need to be considered alongside the findings and analysis presented in this report. The limitations include: </w:t>
      </w:r>
    </w:p>
    <w:p w14:paraId="2C215432" w14:textId="77777777" w:rsidR="00393F6C" w:rsidRPr="00393F6C" w:rsidRDefault="00393F6C" w:rsidP="004E7C9F">
      <w:pPr>
        <w:numPr>
          <w:ilvl w:val="0"/>
          <w:numId w:val="4"/>
        </w:numPr>
        <w:spacing w:after="0" w:line="240" w:lineRule="auto"/>
        <w:ind w:left="426" w:right="-330" w:hanging="426"/>
        <w:contextualSpacing/>
        <w:jc w:val="both"/>
        <w:rPr>
          <w:rFonts w:eastAsia="Times New Roman" w:cstheme="minorHAnsi"/>
          <w:lang w:eastAsia="en-AU"/>
        </w:rPr>
      </w:pPr>
      <w:r w:rsidRPr="00393F6C">
        <w:rPr>
          <w:rFonts w:eastAsia="Times New Roman" w:cstheme="minorHAnsi"/>
          <w:lang w:eastAsia="en-AU"/>
        </w:rPr>
        <w:t xml:space="preserve">There was a lack of available community perceptions data from which to assess progress towards </w:t>
      </w:r>
      <w:r w:rsidR="009E0BA2">
        <w:rPr>
          <w:rFonts w:eastAsia="Times New Roman" w:cstheme="minorHAnsi"/>
          <w:lang w:eastAsia="en-AU"/>
        </w:rPr>
        <w:t>EOPOs</w:t>
      </w:r>
      <w:r w:rsidRPr="00393F6C">
        <w:rPr>
          <w:rFonts w:eastAsia="Times New Roman" w:cstheme="minorHAnsi"/>
          <w:lang w:eastAsia="en-AU"/>
        </w:rPr>
        <w:t xml:space="preserve">. While the </w:t>
      </w:r>
      <w:r w:rsidR="004341ED">
        <w:rPr>
          <w:rFonts w:eastAsia="Times New Roman" w:cstheme="minorHAnsi"/>
          <w:lang w:eastAsia="en-AU"/>
        </w:rPr>
        <w:t>e</w:t>
      </w:r>
      <w:r w:rsidRPr="00393F6C">
        <w:rPr>
          <w:rFonts w:eastAsia="Times New Roman" w:cstheme="minorHAnsi"/>
          <w:lang w:eastAsia="en-AU"/>
        </w:rPr>
        <w:t xml:space="preserve">valuation </w:t>
      </w:r>
      <w:r w:rsidR="004341ED">
        <w:rPr>
          <w:rFonts w:eastAsia="Times New Roman" w:cstheme="minorHAnsi"/>
          <w:lang w:eastAsia="en-AU"/>
        </w:rPr>
        <w:t>t</w:t>
      </w:r>
      <w:r w:rsidRPr="00393F6C">
        <w:rPr>
          <w:rFonts w:eastAsia="Times New Roman" w:cstheme="minorHAnsi"/>
          <w:lang w:eastAsia="en-AU"/>
        </w:rPr>
        <w:t xml:space="preserve">eam ran a series of interviews and focus group discussions to understand community perspectives and validate some of the changes reported by stakeholders and supported by perspectives, this was a small sample size and cannot be considered representative. </w:t>
      </w:r>
    </w:p>
    <w:p w14:paraId="15A7D4F6" w14:textId="77777777" w:rsidR="00393F6C" w:rsidRPr="00393F6C" w:rsidRDefault="00393F6C" w:rsidP="004E7C9F">
      <w:pPr>
        <w:numPr>
          <w:ilvl w:val="0"/>
          <w:numId w:val="4"/>
        </w:numPr>
        <w:spacing w:after="0" w:line="240" w:lineRule="auto"/>
        <w:ind w:left="426" w:right="-330" w:hanging="426"/>
        <w:contextualSpacing/>
        <w:jc w:val="both"/>
        <w:rPr>
          <w:rFonts w:eastAsia="Times New Roman" w:cstheme="minorHAnsi"/>
          <w:lang w:eastAsia="en-AU"/>
        </w:rPr>
      </w:pPr>
      <w:bookmarkStart w:id="94" w:name="_Hlk19916333"/>
      <w:r w:rsidRPr="00393F6C">
        <w:rPr>
          <w:rFonts w:eastAsia="Times New Roman" w:cstheme="minorHAnsi"/>
          <w:lang w:eastAsia="en-AU"/>
        </w:rPr>
        <w:t>The evaluation team consisted of two internal team members (from DFAT and the AFP). While all efforts were made to manage biases and t</w:t>
      </w:r>
      <w:r w:rsidRPr="00393F6C">
        <w:t xml:space="preserve">he team leader held </w:t>
      </w:r>
      <w:r w:rsidRPr="00393F6C">
        <w:rPr>
          <w:rFonts w:eastAsia="Times New Roman" w:cstheme="minorHAnsi"/>
          <w:lang w:val="en-US"/>
        </w:rPr>
        <w:t>responsibility for determining and framing findings and recommendations, supported by the triangulation of evaluation data</w:t>
      </w:r>
      <w:r w:rsidRPr="00393F6C">
        <w:t>, this may have influenced the evaluation team’s deliberations.</w:t>
      </w:r>
    </w:p>
    <w:p w14:paraId="62A1B031" w14:textId="77777777" w:rsidR="00393F6C" w:rsidRPr="00755567" w:rsidRDefault="008051FA" w:rsidP="004E7C9F">
      <w:pPr>
        <w:numPr>
          <w:ilvl w:val="0"/>
          <w:numId w:val="4"/>
        </w:numPr>
        <w:spacing w:after="0" w:line="240" w:lineRule="auto"/>
        <w:ind w:left="426" w:right="-330" w:hanging="426"/>
        <w:contextualSpacing/>
        <w:jc w:val="both"/>
        <w:rPr>
          <w:rFonts w:eastAsia="Times New Roman" w:cstheme="minorHAnsi"/>
          <w:lang w:eastAsia="en-AU"/>
        </w:rPr>
      </w:pPr>
      <w:r>
        <w:t>SRBJS</w:t>
      </w:r>
      <w:r w:rsidR="00393F6C" w:rsidRPr="00393F6C">
        <w:t xml:space="preserve"> is a large and complex project, comprised of 22 “parts”. Time constraints meant that the team had a relatively short amount of time to assess the </w:t>
      </w:r>
      <w:r w:rsidR="0081742C">
        <w:t>P</w:t>
      </w:r>
      <w:r w:rsidR="00393F6C" w:rsidRPr="00393F6C">
        <w:t xml:space="preserve">rogram. The team split into groups to cover more ground and has drawn strongly on supporting data to manage this limitation. While efforts were made to interview respondents in Santo and areas outside of </w:t>
      </w:r>
      <w:r w:rsidR="001E4CB0">
        <w:t xml:space="preserve">Port </w:t>
      </w:r>
      <w:r w:rsidR="00393F6C" w:rsidRPr="00393F6C">
        <w:t xml:space="preserve">Vila, the time afforded did not allow the team to gather perspectives from outer islands and regions. </w:t>
      </w:r>
    </w:p>
    <w:p w14:paraId="6FF124EF" w14:textId="77777777" w:rsidR="00755567" w:rsidRPr="00393F6C" w:rsidRDefault="00755567" w:rsidP="004E7C9F">
      <w:pPr>
        <w:numPr>
          <w:ilvl w:val="0"/>
          <w:numId w:val="4"/>
        </w:numPr>
        <w:spacing w:after="0" w:line="240" w:lineRule="auto"/>
        <w:ind w:left="425" w:right="-329" w:hanging="425"/>
        <w:contextualSpacing/>
        <w:jc w:val="both"/>
        <w:rPr>
          <w:rFonts w:eastAsia="Times New Roman" w:cstheme="minorHAnsi"/>
          <w:lang w:eastAsia="en-AU"/>
        </w:rPr>
      </w:pPr>
      <w:r>
        <w:t xml:space="preserve">The </w:t>
      </w:r>
      <w:r w:rsidR="004341ED">
        <w:t>e</w:t>
      </w:r>
      <w:r>
        <w:t xml:space="preserve">valuation </w:t>
      </w:r>
      <w:r w:rsidR="004341ED">
        <w:t>t</w:t>
      </w:r>
      <w:r>
        <w:t xml:space="preserve">eam was scheduled to </w:t>
      </w:r>
      <w:r w:rsidR="00A57427">
        <w:t>meet with</w:t>
      </w:r>
      <w:r w:rsidR="00B1646A">
        <w:t xml:space="preserve"> </w:t>
      </w:r>
      <w:r w:rsidR="001E2B50">
        <w:t xml:space="preserve">Wan </w:t>
      </w:r>
      <w:proofErr w:type="spellStart"/>
      <w:r w:rsidR="001E2B50">
        <w:t>Smol</w:t>
      </w:r>
      <w:proofErr w:type="spellEnd"/>
      <w:r w:rsidR="001E2B50">
        <w:t xml:space="preserve"> Bag</w:t>
      </w:r>
      <w:r w:rsidR="00A57427">
        <w:t xml:space="preserve"> and tour the premises</w:t>
      </w:r>
      <w:r w:rsidR="00121B43">
        <w:t>,</w:t>
      </w:r>
      <w:r w:rsidR="008A3A0D">
        <w:t xml:space="preserve"> however</w:t>
      </w:r>
      <w:r w:rsidR="00121B43">
        <w:t xml:space="preserve"> </w:t>
      </w:r>
      <w:r w:rsidR="00A57427">
        <w:t xml:space="preserve">this </w:t>
      </w:r>
      <w:r w:rsidR="00121B43">
        <w:t>meeting</w:t>
      </w:r>
      <w:r w:rsidR="00A57427">
        <w:t xml:space="preserve"> was</w:t>
      </w:r>
      <w:r w:rsidR="00121B43">
        <w:t xml:space="preserve"> cancelled </w:t>
      </w:r>
      <w:r w:rsidR="00E21B20">
        <w:t xml:space="preserve">for reasons outside the </w:t>
      </w:r>
      <w:r w:rsidR="004341ED">
        <w:t>e</w:t>
      </w:r>
      <w:r w:rsidR="00E21B20">
        <w:t xml:space="preserve">valuation </w:t>
      </w:r>
      <w:r w:rsidR="004341ED">
        <w:t>t</w:t>
      </w:r>
      <w:r w:rsidR="00E21B20">
        <w:t>eam’s control</w:t>
      </w:r>
      <w:r w:rsidR="001E2B50">
        <w:t>.</w:t>
      </w:r>
    </w:p>
    <w:bookmarkEnd w:id="94"/>
    <w:p w14:paraId="1122DC90" w14:textId="77777777" w:rsidR="00393F6C" w:rsidRPr="00393F6C" w:rsidRDefault="00393F6C" w:rsidP="00393F6C">
      <w:pPr>
        <w:spacing w:after="0"/>
        <w:ind w:left="426" w:right="-330"/>
        <w:contextualSpacing/>
        <w:jc w:val="both"/>
        <w:rPr>
          <w:rFonts w:eastAsia="Times New Roman" w:cstheme="minorHAnsi"/>
          <w:lang w:eastAsia="en-AU"/>
        </w:rPr>
      </w:pPr>
    </w:p>
    <w:p w14:paraId="01743DFC" w14:textId="77777777" w:rsidR="00E61D3C" w:rsidRPr="00E61D3C" w:rsidRDefault="00E61D3C" w:rsidP="00E673E1"/>
    <w:sectPr w:rsidR="00E61D3C" w:rsidRPr="00E61D3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F6C255" w14:textId="77777777" w:rsidR="0026007C" w:rsidRDefault="0026007C" w:rsidP="00C3099C">
      <w:pPr>
        <w:spacing w:after="0" w:line="240" w:lineRule="auto"/>
      </w:pPr>
      <w:r>
        <w:separator/>
      </w:r>
    </w:p>
  </w:endnote>
  <w:endnote w:type="continuationSeparator" w:id="0">
    <w:p w14:paraId="5F62C384" w14:textId="77777777" w:rsidR="0026007C" w:rsidRDefault="0026007C" w:rsidP="00C309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Oswald Light">
    <w:altName w:val="Arial Narrow"/>
    <w:charset w:val="4D"/>
    <w:family w:val="auto"/>
    <w:pitch w:val="variable"/>
    <w:sig w:usb0="2000020F" w:usb1="00000000" w:usb2="00000000" w:usb3="00000000" w:csb0="00000197" w:csb1="00000000"/>
  </w:font>
  <w:font w:name="Times New Roman (Body CS)">
    <w:altName w:val="Times New Roman"/>
    <w:charset w:val="00"/>
    <w:family w:val="roman"/>
    <w:pitch w:val="variable"/>
    <w:sig w:usb0="E0002AEF" w:usb1="C0007841" w:usb2="00000009" w:usb3="00000000" w:csb0="000001FF" w:csb1="00000000"/>
  </w:font>
  <w:font w:name="Oswald">
    <w:altName w:val="Arial Narrow"/>
    <w:charset w:val="4D"/>
    <w:family w:val="auto"/>
    <w:pitch w:val="variable"/>
    <w:sig w:usb0="2000020F" w:usb1="00000000" w:usb2="00000000" w:usb3="00000000" w:csb0="00000197" w:csb1="00000000"/>
  </w:font>
  <w:font w:name="Kenyan Coffee Rg">
    <w:altName w:val="Cambria"/>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Neue Light">
    <w:altName w:val="Microsoft YaHei"/>
    <w:charset w:val="00"/>
    <w:family w:val="swiss"/>
    <w:pitch w:val="variable"/>
    <w:sig w:usb0="00000001" w:usb1="5000205B" w:usb2="00000002" w:usb3="00000000" w:csb0="00000007" w:csb1="00000000"/>
  </w:font>
  <w:font w:name="MS Gothic">
    <w:altName w:val="ＭＳ ゴシック"/>
    <w:panose1 w:val="020B0609070205080204"/>
    <w:charset w:val="80"/>
    <w:family w:val="modern"/>
    <w:pitch w:val="fixed"/>
    <w:sig w:usb0="E00002FF" w:usb1="6AC7FDFB" w:usb2="08000012" w:usb3="00000000" w:csb0="0002009F" w:csb1="00000000"/>
  </w:font>
  <w:font w:name="DaunPenh">
    <w:charset w:val="00"/>
    <w:family w:val="auto"/>
    <w:pitch w:val="variable"/>
    <w:sig w:usb0="80000003" w:usb1="00000000" w:usb2="00010000" w:usb3="00000000" w:csb0="00000001" w:csb1="00000000"/>
  </w:font>
  <w:font w:name="Arial-ItalicMT">
    <w:altName w:val="Arial"/>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B5F78E" w14:textId="77777777" w:rsidR="00E70532" w:rsidRDefault="00E705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6609861"/>
      <w:docPartObj>
        <w:docPartGallery w:val="Page Numbers (Bottom of Page)"/>
        <w:docPartUnique/>
      </w:docPartObj>
    </w:sdtPr>
    <w:sdtEndPr>
      <w:rPr>
        <w:noProof/>
      </w:rPr>
    </w:sdtEndPr>
    <w:sdtContent>
      <w:p w14:paraId="7EF8F4EE" w14:textId="02AC9A97" w:rsidR="00705D48" w:rsidRDefault="00705D48" w:rsidP="00E4189A">
        <w:pPr>
          <w:pStyle w:val="Footer"/>
          <w:jc w:val="right"/>
        </w:pPr>
        <w:r>
          <w:t xml:space="preserve">Page | </w:t>
        </w:r>
        <w:r>
          <w:fldChar w:fldCharType="begin"/>
        </w:r>
        <w:r>
          <w:instrText xml:space="preserve"> PAGE   \* MERGEFORMAT </w:instrText>
        </w:r>
        <w:r>
          <w:fldChar w:fldCharType="separate"/>
        </w:r>
        <w:r w:rsidR="00E70532">
          <w:rPr>
            <w:noProof/>
          </w:rPr>
          <w:t>ii</w:t>
        </w:r>
        <w:r>
          <w:rPr>
            <w:noProof/>
          </w:rPr>
          <w:fldChar w:fldCharType="end"/>
        </w:r>
      </w:p>
    </w:sdtContent>
  </w:sdt>
  <w:p w14:paraId="2FD95675" w14:textId="77777777" w:rsidR="00705D48" w:rsidRDefault="00705D4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FAB6DA" w14:textId="77777777" w:rsidR="00705D48" w:rsidRDefault="00705D48">
    <w:pPr>
      <w:pStyle w:val="Footer"/>
      <w:pBdr>
        <w:top w:val="single" w:sz="4" w:space="1" w:color="D9D9D9" w:themeColor="background1" w:themeShade="D9"/>
      </w:pBdr>
      <w:jc w:val="right"/>
    </w:pPr>
    <w:r>
      <w:rPr>
        <w:color w:val="7F7F7F" w:themeColor="background1" w:themeShade="7F"/>
        <w:spacing w:val="60"/>
      </w:rPr>
      <w:t xml:space="preserve"> </w:t>
    </w:r>
  </w:p>
  <w:p w14:paraId="1E4593E7" w14:textId="77777777" w:rsidR="00705D48" w:rsidRDefault="00705D48" w:rsidP="00E4189A">
    <w:pPr>
      <w:pStyle w:val="Footer"/>
      <w:tabs>
        <w:tab w:val="clear" w:pos="4513"/>
        <w:tab w:val="clear" w:pos="9026"/>
        <w:tab w:val="left" w:pos="2310"/>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B7B514" w14:textId="77777777" w:rsidR="0026007C" w:rsidRDefault="0026007C" w:rsidP="00C3099C">
      <w:pPr>
        <w:spacing w:after="0" w:line="240" w:lineRule="auto"/>
      </w:pPr>
      <w:r>
        <w:separator/>
      </w:r>
    </w:p>
  </w:footnote>
  <w:footnote w:type="continuationSeparator" w:id="0">
    <w:p w14:paraId="7CF22EEA" w14:textId="77777777" w:rsidR="0026007C" w:rsidRDefault="0026007C" w:rsidP="00C3099C">
      <w:pPr>
        <w:spacing w:after="0" w:line="240" w:lineRule="auto"/>
      </w:pPr>
      <w:r>
        <w:continuationSeparator/>
      </w:r>
    </w:p>
  </w:footnote>
  <w:footnote w:id="1">
    <w:p w14:paraId="071C29E5" w14:textId="77777777" w:rsidR="00705D48" w:rsidRPr="00927634" w:rsidRDefault="00705D48" w:rsidP="00362913">
      <w:pPr>
        <w:pStyle w:val="FootnoteText"/>
        <w:rPr>
          <w:sz w:val="18"/>
          <w:szCs w:val="18"/>
        </w:rPr>
      </w:pPr>
      <w:r w:rsidRPr="00927634">
        <w:rPr>
          <w:rStyle w:val="FootnoteReference"/>
          <w:sz w:val="18"/>
          <w:szCs w:val="18"/>
        </w:rPr>
        <w:footnoteRef/>
      </w:r>
      <w:r w:rsidRPr="00927634">
        <w:rPr>
          <w:sz w:val="18"/>
          <w:szCs w:val="18"/>
        </w:rPr>
        <w:t xml:space="preserve"> The translation of </w:t>
      </w:r>
      <w:proofErr w:type="spellStart"/>
      <w:r w:rsidRPr="00927634">
        <w:rPr>
          <w:i/>
          <w:sz w:val="18"/>
          <w:szCs w:val="18"/>
        </w:rPr>
        <w:t>Stretem</w:t>
      </w:r>
      <w:proofErr w:type="spellEnd"/>
      <w:r w:rsidRPr="00927634">
        <w:rPr>
          <w:i/>
          <w:sz w:val="18"/>
          <w:szCs w:val="18"/>
        </w:rPr>
        <w:t xml:space="preserve"> Rod </w:t>
      </w:r>
      <w:proofErr w:type="spellStart"/>
      <w:r w:rsidRPr="00927634">
        <w:rPr>
          <w:i/>
          <w:sz w:val="18"/>
          <w:szCs w:val="18"/>
        </w:rPr>
        <w:t>Blong</w:t>
      </w:r>
      <w:proofErr w:type="spellEnd"/>
      <w:r w:rsidRPr="00927634">
        <w:rPr>
          <w:i/>
          <w:sz w:val="18"/>
          <w:szCs w:val="18"/>
        </w:rPr>
        <w:t xml:space="preserve"> </w:t>
      </w:r>
      <w:proofErr w:type="spellStart"/>
      <w:r w:rsidRPr="00927634">
        <w:rPr>
          <w:i/>
          <w:sz w:val="18"/>
          <w:szCs w:val="18"/>
        </w:rPr>
        <w:t>Jastis</w:t>
      </w:r>
      <w:proofErr w:type="spellEnd"/>
      <w:r w:rsidRPr="00927634">
        <w:rPr>
          <w:i/>
          <w:sz w:val="18"/>
          <w:szCs w:val="18"/>
        </w:rPr>
        <w:t xml:space="preserve"> </w:t>
      </w:r>
      <w:proofErr w:type="spellStart"/>
      <w:r w:rsidRPr="00927634">
        <w:rPr>
          <w:i/>
          <w:sz w:val="18"/>
          <w:szCs w:val="18"/>
        </w:rPr>
        <w:t>mo</w:t>
      </w:r>
      <w:proofErr w:type="spellEnd"/>
      <w:r w:rsidRPr="00927634">
        <w:rPr>
          <w:i/>
          <w:sz w:val="18"/>
          <w:szCs w:val="18"/>
        </w:rPr>
        <w:t xml:space="preserve"> </w:t>
      </w:r>
      <w:proofErr w:type="spellStart"/>
      <w:r w:rsidRPr="00927634">
        <w:rPr>
          <w:i/>
          <w:sz w:val="18"/>
          <w:szCs w:val="18"/>
        </w:rPr>
        <w:t>Sefti</w:t>
      </w:r>
      <w:proofErr w:type="spellEnd"/>
      <w:r w:rsidRPr="00927634">
        <w:rPr>
          <w:i/>
          <w:sz w:val="18"/>
          <w:szCs w:val="18"/>
        </w:rPr>
        <w:t xml:space="preserve"> long Vanuatu</w:t>
      </w:r>
      <w:r w:rsidRPr="00927634">
        <w:rPr>
          <w:sz w:val="18"/>
          <w:szCs w:val="18"/>
        </w:rPr>
        <w:t xml:space="preserve"> is a straight road to justice and safety in Vanuatu.</w:t>
      </w:r>
      <w:r>
        <w:rPr>
          <w:sz w:val="18"/>
          <w:szCs w:val="18"/>
        </w:rPr>
        <w:t xml:space="preserve"> </w:t>
      </w:r>
      <w:r w:rsidRPr="00927634">
        <w:rPr>
          <w:sz w:val="18"/>
          <w:szCs w:val="18"/>
        </w:rPr>
        <w:t>Justice is understood in its broadest sense, accounting for local, contextualised conceptions of the term.</w:t>
      </w:r>
    </w:p>
  </w:footnote>
  <w:footnote w:id="2">
    <w:p w14:paraId="5E7FF761" w14:textId="77777777" w:rsidR="00705D48" w:rsidRPr="00034BBB" w:rsidRDefault="00705D48" w:rsidP="00034BBB">
      <w:pPr>
        <w:spacing w:after="0" w:line="240" w:lineRule="auto"/>
        <w:rPr>
          <w:sz w:val="18"/>
          <w:szCs w:val="18"/>
          <w:shd w:val="clear" w:color="auto" w:fill="FFFFFF" w:themeFill="background1"/>
          <w:lang w:val="en-GB"/>
        </w:rPr>
      </w:pPr>
      <w:r>
        <w:rPr>
          <w:rStyle w:val="FootnoteReference"/>
        </w:rPr>
        <w:footnoteRef/>
      </w:r>
      <w:r>
        <w:t xml:space="preserve"> </w:t>
      </w:r>
      <w:r w:rsidRPr="0095743A">
        <w:rPr>
          <w:sz w:val="18"/>
          <w:szCs w:val="18"/>
          <w:shd w:val="clear" w:color="auto" w:fill="FFFFFF" w:themeFill="background1"/>
          <w:lang w:val="en-GB"/>
        </w:rPr>
        <w:t>DFAT provide</w:t>
      </w:r>
      <w:r>
        <w:rPr>
          <w:sz w:val="18"/>
          <w:szCs w:val="18"/>
          <w:shd w:val="clear" w:color="auto" w:fill="FFFFFF" w:themeFill="background1"/>
          <w:lang w:val="en-GB"/>
        </w:rPr>
        <w:t>s</w:t>
      </w:r>
      <w:r w:rsidRPr="0095743A">
        <w:rPr>
          <w:sz w:val="18"/>
          <w:szCs w:val="18"/>
          <w:shd w:val="clear" w:color="auto" w:fill="FFFFFF" w:themeFill="background1"/>
          <w:lang w:val="en-GB"/>
        </w:rPr>
        <w:t xml:space="preserve"> separate and complementary support to </w:t>
      </w:r>
      <w:r>
        <w:rPr>
          <w:sz w:val="18"/>
          <w:szCs w:val="18"/>
          <w:shd w:val="clear" w:color="auto" w:fill="FFFFFF" w:themeFill="background1"/>
          <w:lang w:val="en-GB"/>
        </w:rPr>
        <w:t>Vanuatu Women’s Centre (VWC)</w:t>
      </w:r>
      <w:r w:rsidRPr="0095743A">
        <w:rPr>
          <w:sz w:val="18"/>
          <w:szCs w:val="18"/>
          <w:shd w:val="clear" w:color="auto" w:fill="FFFFFF" w:themeFill="background1"/>
          <w:lang w:val="en-GB"/>
        </w:rPr>
        <w:t xml:space="preserve"> through another program which has been critical to this Program’s gender work. VWC are often the first port of call for many victims, and VWC plays a key role in linking them into the system and providing support. There is opportunity to explore ways to strengthen coordination better these two programs. </w:t>
      </w:r>
    </w:p>
  </w:footnote>
  <w:footnote w:id="3">
    <w:p w14:paraId="6E421F20" w14:textId="77777777" w:rsidR="00705D48" w:rsidRPr="0016430A" w:rsidRDefault="00705D48" w:rsidP="001B6F9A">
      <w:pPr>
        <w:pStyle w:val="FootnoteText"/>
        <w:jc w:val="both"/>
        <w:rPr>
          <w:sz w:val="18"/>
          <w:szCs w:val="18"/>
        </w:rPr>
      </w:pPr>
      <w:r w:rsidRPr="0016430A">
        <w:rPr>
          <w:rStyle w:val="FootnoteReference"/>
          <w:sz w:val="18"/>
          <w:szCs w:val="18"/>
        </w:rPr>
        <w:footnoteRef/>
      </w:r>
      <w:r w:rsidRPr="0016430A">
        <w:rPr>
          <w:sz w:val="18"/>
          <w:szCs w:val="18"/>
        </w:rPr>
        <w:t xml:space="preserve"> The above study of collaboration found that: “The VPF, SPD and OPP collaborate on case management; investigations and prosecutions. This has the benefit of overt and willing collaborators within leadership.” PJSPV Thinking about working together as a sector for our shared goals, 2016, p.5.</w:t>
      </w:r>
    </w:p>
  </w:footnote>
  <w:footnote w:id="4">
    <w:p w14:paraId="79B0F520" w14:textId="77777777" w:rsidR="00705D48" w:rsidRPr="00927634" w:rsidRDefault="00705D48">
      <w:pPr>
        <w:pStyle w:val="FootnoteText"/>
        <w:rPr>
          <w:sz w:val="18"/>
          <w:szCs w:val="18"/>
        </w:rPr>
      </w:pPr>
      <w:r w:rsidRPr="00927634">
        <w:rPr>
          <w:rStyle w:val="FootnoteReference"/>
          <w:sz w:val="18"/>
          <w:szCs w:val="18"/>
        </w:rPr>
        <w:footnoteRef/>
      </w:r>
      <w:r w:rsidRPr="00927634">
        <w:rPr>
          <w:sz w:val="18"/>
          <w:szCs w:val="18"/>
        </w:rPr>
        <w:t xml:space="preserve"> The translation of </w:t>
      </w:r>
      <w:proofErr w:type="spellStart"/>
      <w:r w:rsidRPr="00927634">
        <w:rPr>
          <w:i/>
          <w:sz w:val="18"/>
          <w:szCs w:val="18"/>
        </w:rPr>
        <w:t>Stretem</w:t>
      </w:r>
      <w:proofErr w:type="spellEnd"/>
      <w:r w:rsidRPr="00927634">
        <w:rPr>
          <w:i/>
          <w:sz w:val="18"/>
          <w:szCs w:val="18"/>
        </w:rPr>
        <w:t xml:space="preserve"> Rod </w:t>
      </w:r>
      <w:proofErr w:type="spellStart"/>
      <w:r w:rsidRPr="00927634">
        <w:rPr>
          <w:i/>
          <w:sz w:val="18"/>
          <w:szCs w:val="18"/>
        </w:rPr>
        <w:t>Blong</w:t>
      </w:r>
      <w:proofErr w:type="spellEnd"/>
      <w:r w:rsidRPr="00927634">
        <w:rPr>
          <w:i/>
          <w:sz w:val="18"/>
          <w:szCs w:val="18"/>
        </w:rPr>
        <w:t xml:space="preserve"> </w:t>
      </w:r>
      <w:proofErr w:type="spellStart"/>
      <w:r w:rsidRPr="00927634">
        <w:rPr>
          <w:i/>
          <w:sz w:val="18"/>
          <w:szCs w:val="18"/>
        </w:rPr>
        <w:t>Jastis</w:t>
      </w:r>
      <w:proofErr w:type="spellEnd"/>
      <w:r w:rsidRPr="00927634">
        <w:rPr>
          <w:i/>
          <w:sz w:val="18"/>
          <w:szCs w:val="18"/>
        </w:rPr>
        <w:t xml:space="preserve"> </w:t>
      </w:r>
      <w:proofErr w:type="spellStart"/>
      <w:r w:rsidRPr="00927634">
        <w:rPr>
          <w:i/>
          <w:sz w:val="18"/>
          <w:szCs w:val="18"/>
        </w:rPr>
        <w:t>mo</w:t>
      </w:r>
      <w:proofErr w:type="spellEnd"/>
      <w:r w:rsidRPr="00927634">
        <w:rPr>
          <w:i/>
          <w:sz w:val="18"/>
          <w:szCs w:val="18"/>
        </w:rPr>
        <w:t xml:space="preserve"> </w:t>
      </w:r>
      <w:proofErr w:type="spellStart"/>
      <w:r w:rsidRPr="00927634">
        <w:rPr>
          <w:i/>
          <w:sz w:val="18"/>
          <w:szCs w:val="18"/>
        </w:rPr>
        <w:t>Sefti</w:t>
      </w:r>
      <w:proofErr w:type="spellEnd"/>
      <w:r w:rsidRPr="00927634">
        <w:rPr>
          <w:i/>
          <w:sz w:val="18"/>
          <w:szCs w:val="18"/>
        </w:rPr>
        <w:t xml:space="preserve"> long Vanuatu</w:t>
      </w:r>
      <w:r w:rsidRPr="00927634">
        <w:rPr>
          <w:sz w:val="18"/>
          <w:szCs w:val="18"/>
        </w:rPr>
        <w:t xml:space="preserve"> is a straight road to justice and safety in Vanuatu.</w:t>
      </w:r>
      <w:r>
        <w:rPr>
          <w:sz w:val="18"/>
          <w:szCs w:val="18"/>
        </w:rPr>
        <w:t xml:space="preserve"> </w:t>
      </w:r>
      <w:r w:rsidRPr="00927634">
        <w:rPr>
          <w:sz w:val="18"/>
          <w:szCs w:val="18"/>
        </w:rPr>
        <w:t>Justice is understood in its broadest sense, accounting for local, contextualised conceptions of the term.</w:t>
      </w:r>
    </w:p>
  </w:footnote>
  <w:footnote w:id="5">
    <w:p w14:paraId="14B8B90D" w14:textId="77777777" w:rsidR="00705D48" w:rsidRPr="00E71C94" w:rsidRDefault="00705D48" w:rsidP="000B2E8E">
      <w:pPr>
        <w:spacing w:after="0" w:line="240" w:lineRule="auto"/>
        <w:jc w:val="both"/>
        <w:outlineLvl w:val="0"/>
        <w:rPr>
          <w:sz w:val="18"/>
          <w:szCs w:val="18"/>
        </w:rPr>
      </w:pPr>
      <w:r w:rsidRPr="00E71C94">
        <w:rPr>
          <w:rStyle w:val="FootnoteReference"/>
          <w:sz w:val="18"/>
          <w:szCs w:val="18"/>
        </w:rPr>
        <w:footnoteRef/>
      </w:r>
      <w:r w:rsidRPr="00E71C94">
        <w:rPr>
          <w:sz w:val="18"/>
          <w:szCs w:val="18"/>
        </w:rPr>
        <w:t xml:space="preserve"> These are outlined in the Australian Government Step Up of the 2017 </w:t>
      </w:r>
      <w:hyperlink r:id="rId1" w:history="1">
        <w:r w:rsidRPr="00E71C94">
          <w:rPr>
            <w:rStyle w:val="Hyperlink"/>
            <w:sz w:val="18"/>
            <w:szCs w:val="18"/>
          </w:rPr>
          <w:t>Foreign Policy White Paper</w:t>
        </w:r>
      </w:hyperlink>
      <w:r w:rsidRPr="00E71C94">
        <w:rPr>
          <w:sz w:val="18"/>
          <w:szCs w:val="18"/>
        </w:rPr>
        <w:t xml:space="preserve"> and the agreement with the </w:t>
      </w:r>
      <w:proofErr w:type="spellStart"/>
      <w:r w:rsidRPr="00E71C94">
        <w:rPr>
          <w:sz w:val="18"/>
          <w:szCs w:val="18"/>
        </w:rPr>
        <w:t>GoV</w:t>
      </w:r>
      <w:proofErr w:type="spellEnd"/>
      <w:r w:rsidRPr="00E71C94">
        <w:rPr>
          <w:sz w:val="18"/>
          <w:szCs w:val="18"/>
        </w:rPr>
        <w:t xml:space="preserve"> o</w:t>
      </w:r>
      <w:r>
        <w:rPr>
          <w:sz w:val="18"/>
          <w:szCs w:val="18"/>
        </w:rPr>
        <w:t xml:space="preserve">n </w:t>
      </w:r>
      <w:r w:rsidRPr="00E71C94">
        <w:rPr>
          <w:sz w:val="18"/>
          <w:szCs w:val="18"/>
        </w:rPr>
        <w:t xml:space="preserve">“Enhanced Security Cooperation” (ESC) </w:t>
      </w:r>
      <w:hyperlink r:id="rId2" w:history="1">
        <w:r w:rsidRPr="00E71C94">
          <w:rPr>
            <w:rStyle w:val="Hyperlink"/>
            <w:sz w:val="18"/>
            <w:szCs w:val="18"/>
          </w:rPr>
          <w:t>announced</w:t>
        </w:r>
      </w:hyperlink>
      <w:r w:rsidRPr="00E71C94">
        <w:rPr>
          <w:sz w:val="18"/>
          <w:szCs w:val="18"/>
        </w:rPr>
        <w:t xml:space="preserve"> by Prime Minister Morrison in November 2018.</w:t>
      </w:r>
    </w:p>
  </w:footnote>
  <w:footnote w:id="6">
    <w:p w14:paraId="0D9FD4E8" w14:textId="77777777" w:rsidR="00705D48" w:rsidRPr="00EB1B90" w:rsidRDefault="00705D48" w:rsidP="00EB1B90">
      <w:pPr>
        <w:spacing w:line="240" w:lineRule="auto"/>
        <w:jc w:val="both"/>
        <w:rPr>
          <w:sz w:val="20"/>
        </w:rPr>
      </w:pPr>
      <w:r w:rsidRPr="00E71C94">
        <w:rPr>
          <w:rStyle w:val="FootnoteReference"/>
          <w:sz w:val="18"/>
          <w:szCs w:val="18"/>
        </w:rPr>
        <w:footnoteRef/>
      </w:r>
      <w:r w:rsidRPr="00E71C94">
        <w:rPr>
          <w:sz w:val="18"/>
          <w:szCs w:val="18"/>
        </w:rPr>
        <w:t xml:space="preserve"> </w:t>
      </w:r>
      <w:bookmarkStart w:id="21" w:name="_Hlk20407358"/>
      <w:r w:rsidRPr="00E71C94">
        <w:rPr>
          <w:sz w:val="18"/>
          <w:szCs w:val="18"/>
        </w:rPr>
        <w:t xml:space="preserve">Source: </w:t>
      </w:r>
      <w:r w:rsidRPr="00E71C94">
        <w:rPr>
          <w:rFonts w:cstheme="minorHAnsi"/>
          <w:color w:val="000000"/>
          <w:sz w:val="18"/>
          <w:szCs w:val="18"/>
        </w:rPr>
        <w:t>National Survey conducted by VWC and the National Statistics Office (NSO)</w:t>
      </w:r>
      <w:r w:rsidRPr="00E71C94">
        <w:rPr>
          <w:noProof/>
          <w:sz w:val="18"/>
          <w:szCs w:val="18"/>
        </w:rPr>
        <w:t xml:space="preserve"> 'Vanuatu National Survey on Women’s Lives and Family Relationships', 2011</w:t>
      </w:r>
      <w:r w:rsidRPr="00E71C94">
        <w:rPr>
          <w:sz w:val="18"/>
          <w:szCs w:val="18"/>
        </w:rPr>
        <w:t xml:space="preserve">. This survey was carried out eight years prior to the evaluation, with a range of respondents indicating </w:t>
      </w:r>
      <w:r>
        <w:rPr>
          <w:sz w:val="18"/>
          <w:szCs w:val="18"/>
        </w:rPr>
        <w:t xml:space="preserve">their view </w:t>
      </w:r>
      <w:r w:rsidRPr="00E71C94">
        <w:rPr>
          <w:sz w:val="18"/>
          <w:szCs w:val="18"/>
        </w:rPr>
        <w:t>that this statistic had increased.</w:t>
      </w:r>
      <w:r>
        <w:rPr>
          <w:sz w:val="20"/>
        </w:rPr>
        <w:t xml:space="preserve"> </w:t>
      </w:r>
      <w:bookmarkEnd w:id="21"/>
    </w:p>
  </w:footnote>
  <w:footnote w:id="7">
    <w:p w14:paraId="47B79010" w14:textId="77777777" w:rsidR="00705D48" w:rsidRPr="00E64617" w:rsidRDefault="00705D48">
      <w:pPr>
        <w:pStyle w:val="FootnoteText"/>
        <w:rPr>
          <w:sz w:val="18"/>
          <w:szCs w:val="18"/>
        </w:rPr>
      </w:pPr>
      <w:r w:rsidRPr="00E64617">
        <w:rPr>
          <w:rStyle w:val="FootnoteReference"/>
          <w:sz w:val="18"/>
          <w:szCs w:val="18"/>
        </w:rPr>
        <w:footnoteRef/>
      </w:r>
      <w:r w:rsidRPr="00E64617">
        <w:rPr>
          <w:sz w:val="18"/>
          <w:szCs w:val="18"/>
        </w:rPr>
        <w:t xml:space="preserve"> Source: The World Justice Project: </w:t>
      </w:r>
      <w:hyperlink r:id="rId3" w:history="1">
        <w:r w:rsidRPr="00E64617">
          <w:rPr>
            <w:rStyle w:val="Hyperlink"/>
            <w:sz w:val="18"/>
            <w:szCs w:val="18"/>
          </w:rPr>
          <w:t>Vanuatu Chief's Legal Education Pilot Program</w:t>
        </w:r>
      </w:hyperlink>
      <w:r>
        <w:rPr>
          <w:sz w:val="18"/>
          <w:szCs w:val="18"/>
        </w:rPr>
        <w:t>.</w:t>
      </w:r>
    </w:p>
  </w:footnote>
  <w:footnote w:id="8">
    <w:p w14:paraId="681E9019" w14:textId="77777777" w:rsidR="00705D48" w:rsidRPr="00E64617" w:rsidRDefault="00705D48" w:rsidP="00AC47CD">
      <w:pPr>
        <w:spacing w:after="0" w:line="240" w:lineRule="auto"/>
        <w:jc w:val="both"/>
        <w:rPr>
          <w:sz w:val="18"/>
          <w:szCs w:val="18"/>
        </w:rPr>
      </w:pPr>
      <w:r w:rsidRPr="00E64617">
        <w:rPr>
          <w:rStyle w:val="FootnoteReference"/>
          <w:sz w:val="18"/>
          <w:szCs w:val="18"/>
        </w:rPr>
        <w:footnoteRef/>
      </w:r>
      <w:r w:rsidRPr="00E64617">
        <w:rPr>
          <w:sz w:val="18"/>
          <w:szCs w:val="18"/>
        </w:rPr>
        <w:t xml:space="preserve"> Source: NSO and VWC </w:t>
      </w:r>
      <w:r w:rsidRPr="00E64617">
        <w:rPr>
          <w:noProof/>
          <w:sz w:val="18"/>
          <w:szCs w:val="18"/>
        </w:rPr>
        <w:t>'Vanuatu National Survey on Women’s Lives and Family Relationships', 2011, p.23.</w:t>
      </w:r>
    </w:p>
  </w:footnote>
  <w:footnote w:id="9">
    <w:p w14:paraId="778B0A90" w14:textId="77777777" w:rsidR="00705D48" w:rsidRPr="00E63E66" w:rsidRDefault="00705D48" w:rsidP="000D168F">
      <w:pPr>
        <w:pStyle w:val="FootnoteText"/>
        <w:rPr>
          <w:sz w:val="18"/>
          <w:szCs w:val="18"/>
        </w:rPr>
      </w:pPr>
      <w:r w:rsidRPr="00E64617">
        <w:rPr>
          <w:rStyle w:val="FootnoteReference"/>
          <w:sz w:val="18"/>
          <w:szCs w:val="18"/>
        </w:rPr>
        <w:footnoteRef/>
      </w:r>
      <w:r w:rsidRPr="00E64617">
        <w:rPr>
          <w:sz w:val="18"/>
          <w:szCs w:val="18"/>
        </w:rPr>
        <w:t xml:space="preserve"> The </w:t>
      </w:r>
      <w:hyperlink r:id="rId4" w:history="1">
        <w:r w:rsidRPr="00E64617">
          <w:rPr>
            <w:rStyle w:val="Hyperlink"/>
            <w:sz w:val="18"/>
            <w:szCs w:val="18"/>
          </w:rPr>
          <w:t>FPA</w:t>
        </w:r>
      </w:hyperlink>
      <w:r w:rsidRPr="00E64617">
        <w:rPr>
          <w:sz w:val="18"/>
          <w:szCs w:val="18"/>
        </w:rPr>
        <w:t xml:space="preserve"> was enacted in 2008.</w:t>
      </w:r>
    </w:p>
  </w:footnote>
  <w:footnote w:id="10">
    <w:p w14:paraId="2C211D57" w14:textId="77777777" w:rsidR="00705D48" w:rsidRPr="000C1075" w:rsidRDefault="00705D48">
      <w:pPr>
        <w:pStyle w:val="FootnoteText"/>
        <w:rPr>
          <w:sz w:val="18"/>
          <w:szCs w:val="18"/>
        </w:rPr>
      </w:pPr>
      <w:r w:rsidRPr="008F7A26">
        <w:rPr>
          <w:rStyle w:val="FootnoteReference"/>
          <w:sz w:val="18"/>
          <w:szCs w:val="18"/>
        </w:rPr>
        <w:footnoteRef/>
      </w:r>
      <w:r w:rsidRPr="008F7A26">
        <w:rPr>
          <w:sz w:val="18"/>
          <w:szCs w:val="18"/>
        </w:rPr>
        <w:t xml:space="preserve"> Parts of the </w:t>
      </w:r>
      <w:r>
        <w:rPr>
          <w:sz w:val="18"/>
          <w:szCs w:val="18"/>
        </w:rPr>
        <w:t>P</w:t>
      </w:r>
      <w:r w:rsidRPr="008F7A26">
        <w:rPr>
          <w:sz w:val="18"/>
          <w:szCs w:val="18"/>
        </w:rPr>
        <w:t>rogram were determined by participating Agency and/or Adviser focus and/or budget allocations for cross-sector activity.</w:t>
      </w:r>
    </w:p>
  </w:footnote>
  <w:footnote w:id="11">
    <w:p w14:paraId="0D6F6328" w14:textId="77777777" w:rsidR="00705D48" w:rsidRPr="00D63FC7" w:rsidRDefault="00705D48" w:rsidP="00D63FC7">
      <w:pPr>
        <w:spacing w:after="0" w:line="240" w:lineRule="auto"/>
        <w:rPr>
          <w:sz w:val="18"/>
          <w:szCs w:val="18"/>
        </w:rPr>
      </w:pPr>
      <w:r w:rsidRPr="00D63FC7">
        <w:rPr>
          <w:rStyle w:val="FootnoteReference"/>
          <w:sz w:val="18"/>
          <w:szCs w:val="18"/>
        </w:rPr>
        <w:footnoteRef/>
      </w:r>
      <w:r w:rsidRPr="00D63FC7">
        <w:rPr>
          <w:sz w:val="18"/>
          <w:szCs w:val="18"/>
        </w:rPr>
        <w:t xml:space="preserve"> The design document features a program logic with three EOPOs as displayed </w:t>
      </w:r>
      <w:r w:rsidRPr="0083248E">
        <w:rPr>
          <w:sz w:val="18"/>
          <w:szCs w:val="18"/>
        </w:rPr>
        <w:t>in Figure 8.</w:t>
      </w:r>
      <w:r>
        <w:rPr>
          <w:sz w:val="18"/>
          <w:szCs w:val="18"/>
        </w:rPr>
        <w:t xml:space="preserve"> </w:t>
      </w:r>
      <w:r w:rsidRPr="00D63FC7">
        <w:rPr>
          <w:sz w:val="18"/>
          <w:szCs w:val="18"/>
        </w:rPr>
        <w:t xml:space="preserve">While DFAT M&amp;E Standards 1.8 and 1.9 require EOPOs to </w:t>
      </w:r>
      <w:proofErr w:type="gramStart"/>
      <w:r w:rsidRPr="00D63FC7">
        <w:rPr>
          <w:sz w:val="18"/>
          <w:szCs w:val="18"/>
        </w:rPr>
        <w:t>expressed</w:t>
      </w:r>
      <w:proofErr w:type="gramEnd"/>
      <w:r w:rsidRPr="00D63FC7">
        <w:rPr>
          <w:sz w:val="18"/>
          <w:szCs w:val="18"/>
        </w:rPr>
        <w:t xml:space="preserve"> as outcomes that can realistically be achieved within the program time frame and not expressed as open-ended outcomes such as “improved capacity”, the EOPOs featured in the </w:t>
      </w:r>
      <w:bookmarkStart w:id="31" w:name="_Hlk21608591"/>
      <w:r w:rsidRPr="00D63FC7">
        <w:rPr>
          <w:sz w:val="18"/>
          <w:szCs w:val="18"/>
        </w:rPr>
        <w:t xml:space="preserve">SRBJS </w:t>
      </w:r>
      <w:bookmarkEnd w:id="31"/>
      <w:r w:rsidRPr="00D63FC7">
        <w:rPr>
          <w:sz w:val="18"/>
          <w:szCs w:val="18"/>
        </w:rPr>
        <w:t xml:space="preserve">program logic are framed as open-ended high-level goals. </w:t>
      </w:r>
    </w:p>
  </w:footnote>
  <w:footnote w:id="12">
    <w:p w14:paraId="053BB320" w14:textId="77777777" w:rsidR="00705D48" w:rsidRPr="0083248E" w:rsidRDefault="00705D48" w:rsidP="0083248E">
      <w:pPr>
        <w:spacing w:after="0"/>
        <w:rPr>
          <w:noProof/>
          <w:lang w:val="en-US" w:eastAsia="en-AU"/>
        </w:rPr>
      </w:pPr>
      <w:r w:rsidRPr="00BD21DF">
        <w:rPr>
          <w:rStyle w:val="FootnoteReference"/>
          <w:sz w:val="18"/>
          <w:szCs w:val="18"/>
        </w:rPr>
        <w:footnoteRef/>
      </w:r>
      <w:r>
        <w:rPr>
          <w:sz w:val="18"/>
          <w:szCs w:val="18"/>
        </w:rPr>
        <w:t xml:space="preserve"> </w:t>
      </w:r>
      <w:r w:rsidRPr="00BD21DF">
        <w:rPr>
          <w:sz w:val="18"/>
          <w:szCs w:val="18"/>
        </w:rPr>
        <w:t xml:space="preserve">Annex 5.2 </w:t>
      </w:r>
      <w:r>
        <w:rPr>
          <w:sz w:val="18"/>
          <w:szCs w:val="18"/>
        </w:rPr>
        <w:t xml:space="preserve">Figure 10 </w:t>
      </w:r>
      <w:r w:rsidRPr="0083248E">
        <w:rPr>
          <w:sz w:val="18"/>
          <w:szCs w:val="18"/>
        </w:rPr>
        <w:t>shows an increase in Family Protection offences being reported to VPF, while substantial drop in Offences against the Person</w:t>
      </w:r>
      <w:r>
        <w:rPr>
          <w:sz w:val="18"/>
          <w:szCs w:val="18"/>
        </w:rPr>
        <w:t>.</w:t>
      </w:r>
    </w:p>
  </w:footnote>
  <w:footnote w:id="13">
    <w:p w14:paraId="5E5391F0" w14:textId="77777777" w:rsidR="00705D48" w:rsidRPr="00BD21DF" w:rsidRDefault="00705D48" w:rsidP="000E4B79">
      <w:pPr>
        <w:pStyle w:val="FootnoteText"/>
        <w:rPr>
          <w:sz w:val="18"/>
          <w:szCs w:val="18"/>
        </w:rPr>
      </w:pPr>
      <w:r w:rsidRPr="00BD21DF">
        <w:rPr>
          <w:rStyle w:val="FootnoteReference"/>
          <w:sz w:val="18"/>
          <w:szCs w:val="18"/>
        </w:rPr>
        <w:footnoteRef/>
      </w:r>
      <w:r w:rsidRPr="00BD21DF">
        <w:rPr>
          <w:sz w:val="18"/>
          <w:szCs w:val="18"/>
        </w:rPr>
        <w:t xml:space="preserve"> CMS data indicates that in the </w:t>
      </w:r>
      <w:r>
        <w:rPr>
          <w:sz w:val="18"/>
          <w:szCs w:val="18"/>
        </w:rPr>
        <w:t>Magistrates’ Court</w:t>
      </w:r>
      <w:r w:rsidRPr="00BD21DF">
        <w:rPr>
          <w:sz w:val="18"/>
          <w:szCs w:val="18"/>
        </w:rPr>
        <w:t xml:space="preserve"> for Offences against Morality </w:t>
      </w:r>
      <w:r>
        <w:rPr>
          <w:sz w:val="18"/>
          <w:szCs w:val="18"/>
        </w:rPr>
        <w:t>prosecuted</w:t>
      </w:r>
      <w:r w:rsidRPr="00BD21DF">
        <w:rPr>
          <w:sz w:val="18"/>
          <w:szCs w:val="18"/>
        </w:rPr>
        <w:t xml:space="preserve"> by OPP, guilty outcomes have increased. For </w:t>
      </w:r>
      <w:r>
        <w:rPr>
          <w:sz w:val="18"/>
          <w:szCs w:val="18"/>
        </w:rPr>
        <w:t>the Supreme Court</w:t>
      </w:r>
      <w:r w:rsidRPr="00BD21DF">
        <w:rPr>
          <w:sz w:val="18"/>
          <w:szCs w:val="18"/>
        </w:rPr>
        <w:t xml:space="preserve">, there has been no change as a very high percentage </w:t>
      </w:r>
      <w:r>
        <w:rPr>
          <w:sz w:val="18"/>
          <w:szCs w:val="18"/>
        </w:rPr>
        <w:t>are</w:t>
      </w:r>
      <w:r w:rsidRPr="00BD21DF">
        <w:rPr>
          <w:sz w:val="18"/>
          <w:szCs w:val="18"/>
        </w:rPr>
        <w:t xml:space="preserve"> found guilty.</w:t>
      </w:r>
      <w:r>
        <w:rPr>
          <w:sz w:val="18"/>
          <w:szCs w:val="18"/>
        </w:rPr>
        <w:t xml:space="preserve"> </w:t>
      </w:r>
    </w:p>
  </w:footnote>
  <w:footnote w:id="14">
    <w:p w14:paraId="471290AF" w14:textId="77777777" w:rsidR="00705D48" w:rsidRDefault="00705D48" w:rsidP="000E4B79">
      <w:pPr>
        <w:pStyle w:val="FootnoteText"/>
      </w:pPr>
      <w:r w:rsidRPr="00BD21DF">
        <w:rPr>
          <w:rStyle w:val="FootnoteReference"/>
          <w:sz w:val="18"/>
          <w:szCs w:val="18"/>
        </w:rPr>
        <w:footnoteRef/>
      </w:r>
      <w:r w:rsidRPr="00BD21DF">
        <w:rPr>
          <w:sz w:val="18"/>
          <w:szCs w:val="18"/>
        </w:rPr>
        <w:t xml:space="preserve"> SRBJS Jan-June 2019 progress report, </w:t>
      </w:r>
      <w:r>
        <w:rPr>
          <w:sz w:val="18"/>
          <w:szCs w:val="18"/>
        </w:rPr>
        <w:t>p.</w:t>
      </w:r>
      <w:r w:rsidRPr="00BD21DF">
        <w:rPr>
          <w:sz w:val="18"/>
          <w:szCs w:val="18"/>
        </w:rPr>
        <w:t>45.</w:t>
      </w:r>
    </w:p>
  </w:footnote>
  <w:footnote w:id="15">
    <w:p w14:paraId="2E456404" w14:textId="77777777" w:rsidR="00705D48" w:rsidRPr="00EF7649" w:rsidRDefault="00705D48">
      <w:pPr>
        <w:pStyle w:val="FootnoteText"/>
        <w:rPr>
          <w:sz w:val="18"/>
          <w:szCs w:val="18"/>
        </w:rPr>
      </w:pPr>
      <w:r w:rsidRPr="00EF7649">
        <w:rPr>
          <w:rStyle w:val="FootnoteReference"/>
          <w:sz w:val="18"/>
          <w:szCs w:val="18"/>
        </w:rPr>
        <w:footnoteRef/>
      </w:r>
      <w:r w:rsidRPr="00EF7649">
        <w:rPr>
          <w:sz w:val="18"/>
          <w:szCs w:val="18"/>
        </w:rPr>
        <w:t xml:space="preserve"> Prosecutors are making applications for the suppression of victim names, closing courts and screening offenders, in accordance with the Prosecution Guidelines. During the two Court of Appeal sessions held between January and June 2019 the Court has directly and indirectly supported the use of these mechanisms to assist vulnerable victims to give their best evidence and an uplift in sexual assault sentences</w:t>
      </w:r>
      <w:r>
        <w:rPr>
          <w:sz w:val="18"/>
          <w:szCs w:val="18"/>
        </w:rPr>
        <w:t xml:space="preserve">. Source: </w:t>
      </w:r>
      <w:r w:rsidRPr="00BD21DF">
        <w:rPr>
          <w:sz w:val="18"/>
          <w:szCs w:val="18"/>
        </w:rPr>
        <w:t xml:space="preserve">SRBJS Jan-June 2019 progress report, </w:t>
      </w:r>
      <w:r w:rsidRPr="00EF7649">
        <w:rPr>
          <w:sz w:val="18"/>
          <w:szCs w:val="18"/>
        </w:rPr>
        <w:t>pp.21, 33-34</w:t>
      </w:r>
      <w:r>
        <w:rPr>
          <w:sz w:val="18"/>
          <w:szCs w:val="18"/>
        </w:rPr>
        <w:t>.</w:t>
      </w:r>
    </w:p>
  </w:footnote>
  <w:footnote w:id="16">
    <w:p w14:paraId="371AAA25" w14:textId="77777777" w:rsidR="00705D48" w:rsidRPr="00F67961" w:rsidRDefault="00705D48" w:rsidP="00B1646A">
      <w:pPr>
        <w:pStyle w:val="FootnoteText"/>
        <w:rPr>
          <w:sz w:val="18"/>
          <w:szCs w:val="18"/>
        </w:rPr>
      </w:pPr>
      <w:r w:rsidRPr="00F67961">
        <w:rPr>
          <w:rStyle w:val="FootnoteReference"/>
          <w:sz w:val="18"/>
          <w:szCs w:val="18"/>
        </w:rPr>
        <w:footnoteRef/>
      </w:r>
      <w:r w:rsidRPr="00F67961">
        <w:rPr>
          <w:sz w:val="18"/>
          <w:szCs w:val="18"/>
        </w:rPr>
        <w:t xml:space="preserve"> SRBJS Jan-June 2019 progress report, Page10</w:t>
      </w:r>
      <w:r>
        <w:rPr>
          <w:sz w:val="18"/>
          <w:szCs w:val="18"/>
        </w:rPr>
        <w:t>. NB the previous six monthly report does not state the number of TPOs for direct comparison.</w:t>
      </w:r>
    </w:p>
  </w:footnote>
  <w:footnote w:id="17">
    <w:p w14:paraId="14FE2C3B" w14:textId="77777777" w:rsidR="00705D48" w:rsidRPr="00F67961" w:rsidRDefault="00705D48" w:rsidP="00B1646A">
      <w:pPr>
        <w:spacing w:after="0"/>
        <w:rPr>
          <w:sz w:val="18"/>
          <w:szCs w:val="18"/>
        </w:rPr>
      </w:pPr>
      <w:r w:rsidRPr="00F67961">
        <w:rPr>
          <w:rStyle w:val="FootnoteReference"/>
          <w:sz w:val="18"/>
          <w:szCs w:val="18"/>
        </w:rPr>
        <w:footnoteRef/>
      </w:r>
      <w:r w:rsidRPr="00F67961">
        <w:rPr>
          <w:sz w:val="18"/>
          <w:szCs w:val="18"/>
        </w:rPr>
        <w:t xml:space="preserve"> Annex 5.1: Figure 2</w:t>
      </w:r>
      <w:r>
        <w:rPr>
          <w:sz w:val="18"/>
          <w:szCs w:val="18"/>
        </w:rPr>
        <w:t>7</w:t>
      </w:r>
      <w:r w:rsidRPr="00F67961">
        <w:rPr>
          <w:sz w:val="18"/>
          <w:szCs w:val="18"/>
        </w:rPr>
        <w:t>: VFP – Victim gender analysis</w:t>
      </w:r>
      <w:r>
        <w:rPr>
          <w:sz w:val="18"/>
          <w:szCs w:val="18"/>
        </w:rPr>
        <w:t>.</w:t>
      </w:r>
    </w:p>
  </w:footnote>
  <w:footnote w:id="18">
    <w:p w14:paraId="75F37E4A" w14:textId="77777777" w:rsidR="00705D48" w:rsidRPr="009B1CB6" w:rsidRDefault="00705D48" w:rsidP="00251FC4">
      <w:pPr>
        <w:pStyle w:val="FootnoteText"/>
        <w:rPr>
          <w:sz w:val="18"/>
          <w:szCs w:val="18"/>
        </w:rPr>
      </w:pPr>
      <w:r w:rsidRPr="009B1CB6">
        <w:rPr>
          <w:rStyle w:val="FootnoteReference"/>
          <w:sz w:val="18"/>
          <w:szCs w:val="18"/>
        </w:rPr>
        <w:footnoteRef/>
      </w:r>
      <w:r w:rsidRPr="009B1CB6">
        <w:rPr>
          <w:sz w:val="18"/>
          <w:szCs w:val="18"/>
        </w:rPr>
        <w:t xml:space="preserve"> See Finding 4.</w:t>
      </w:r>
    </w:p>
  </w:footnote>
  <w:footnote w:id="19">
    <w:p w14:paraId="1940D931" w14:textId="77777777" w:rsidR="00705D48" w:rsidRPr="009B1CB6" w:rsidRDefault="00705D48" w:rsidP="00251FC4">
      <w:pPr>
        <w:pStyle w:val="FootnoteText"/>
        <w:rPr>
          <w:sz w:val="18"/>
          <w:szCs w:val="18"/>
        </w:rPr>
      </w:pPr>
      <w:r w:rsidRPr="009B1CB6">
        <w:rPr>
          <w:rStyle w:val="FootnoteReference"/>
          <w:sz w:val="18"/>
          <w:szCs w:val="18"/>
        </w:rPr>
        <w:footnoteRef/>
      </w:r>
      <w:r w:rsidRPr="009B1CB6">
        <w:rPr>
          <w:sz w:val="18"/>
          <w:szCs w:val="18"/>
        </w:rPr>
        <w:t xml:space="preserve"> More on the EOPOs of this Program is found under Finding </w:t>
      </w:r>
      <w:r>
        <w:rPr>
          <w:sz w:val="18"/>
          <w:szCs w:val="18"/>
        </w:rPr>
        <w:t>7</w:t>
      </w:r>
      <w:r w:rsidRPr="009B1CB6">
        <w:rPr>
          <w:sz w:val="18"/>
          <w:szCs w:val="18"/>
        </w:rPr>
        <w:t>.</w:t>
      </w:r>
    </w:p>
  </w:footnote>
  <w:footnote w:id="20">
    <w:p w14:paraId="67D8ED76" w14:textId="77777777" w:rsidR="00705D48" w:rsidRPr="00F67961" w:rsidRDefault="00705D48" w:rsidP="000E4B79">
      <w:pPr>
        <w:pStyle w:val="FootnoteText"/>
        <w:rPr>
          <w:sz w:val="18"/>
          <w:szCs w:val="18"/>
        </w:rPr>
      </w:pPr>
      <w:r w:rsidRPr="00F67961">
        <w:rPr>
          <w:rStyle w:val="FootnoteReference"/>
          <w:sz w:val="18"/>
          <w:szCs w:val="18"/>
        </w:rPr>
        <w:footnoteRef/>
      </w:r>
      <w:r w:rsidRPr="00F67961">
        <w:rPr>
          <w:sz w:val="18"/>
          <w:szCs w:val="18"/>
        </w:rPr>
        <w:t xml:space="preserve"> Discussed later under Finding </w:t>
      </w:r>
      <w:r>
        <w:rPr>
          <w:sz w:val="18"/>
          <w:szCs w:val="18"/>
        </w:rPr>
        <w:t>7</w:t>
      </w:r>
      <w:r w:rsidRPr="00F67961">
        <w:rPr>
          <w:sz w:val="18"/>
          <w:szCs w:val="18"/>
        </w:rPr>
        <w:t>.</w:t>
      </w:r>
    </w:p>
  </w:footnote>
  <w:footnote w:id="21">
    <w:p w14:paraId="081ABEB5" w14:textId="77777777" w:rsidR="00705D48" w:rsidRDefault="00705D48" w:rsidP="000E4B79">
      <w:pPr>
        <w:pStyle w:val="FootnoteText"/>
      </w:pPr>
      <w:r w:rsidRPr="00F67961">
        <w:rPr>
          <w:rStyle w:val="FootnoteReference"/>
          <w:sz w:val="18"/>
          <w:szCs w:val="18"/>
        </w:rPr>
        <w:footnoteRef/>
      </w:r>
      <w:r w:rsidRPr="00F67961">
        <w:rPr>
          <w:sz w:val="18"/>
          <w:szCs w:val="18"/>
        </w:rPr>
        <w:t xml:space="preserve"> Note the ratings for gender and capacity development were undertaken for synthesis purposes only, and the table provides narrative description of the analysis, rather than raw scores.</w:t>
      </w:r>
      <w:r>
        <w:rPr>
          <w:sz w:val="18"/>
          <w:szCs w:val="18"/>
        </w:rPr>
        <w:t xml:space="preserve"> </w:t>
      </w:r>
      <w:r w:rsidRPr="00F67961">
        <w:rPr>
          <w:sz w:val="18"/>
          <w:szCs w:val="18"/>
        </w:rPr>
        <w:t>In the analysis, different scales were used for different criteria (for their individual purpose) and applied later to a 1-6 scale.</w:t>
      </w:r>
    </w:p>
  </w:footnote>
  <w:footnote w:id="22">
    <w:p w14:paraId="0512DC61" w14:textId="77777777" w:rsidR="00705D48" w:rsidRPr="00583FF8" w:rsidRDefault="00705D48" w:rsidP="000E4B79">
      <w:pPr>
        <w:pStyle w:val="FootnoteText"/>
        <w:rPr>
          <w:sz w:val="18"/>
          <w:szCs w:val="18"/>
        </w:rPr>
      </w:pPr>
      <w:r w:rsidRPr="00583FF8">
        <w:rPr>
          <w:rStyle w:val="FootnoteReference"/>
          <w:sz w:val="18"/>
          <w:szCs w:val="18"/>
        </w:rPr>
        <w:footnoteRef/>
      </w:r>
      <w:r w:rsidRPr="00583FF8">
        <w:rPr>
          <w:sz w:val="18"/>
          <w:szCs w:val="18"/>
        </w:rPr>
        <w:t xml:space="preserve"> This table uses the original separate rating scales of each criteria assessed.</w:t>
      </w:r>
    </w:p>
  </w:footnote>
  <w:footnote w:id="23">
    <w:p w14:paraId="3F9D38AD" w14:textId="77777777" w:rsidR="00705D48" w:rsidRDefault="00705D48">
      <w:pPr>
        <w:pStyle w:val="FootnoteText"/>
      </w:pPr>
      <w:r>
        <w:rPr>
          <w:rStyle w:val="FootnoteReference"/>
        </w:rPr>
        <w:footnoteRef/>
      </w:r>
      <w:r>
        <w:t xml:space="preserve"> The evaluation team included these agencies and functions of the justice system because they are part of the chain of justice approach that the Program advocates, even though there are no current activities.</w:t>
      </w:r>
    </w:p>
  </w:footnote>
  <w:footnote w:id="24">
    <w:p w14:paraId="0D940A9C" w14:textId="77777777" w:rsidR="00705D48" w:rsidRPr="00583FF8" w:rsidRDefault="00705D48" w:rsidP="00251FC4">
      <w:pPr>
        <w:pStyle w:val="FootnoteText"/>
        <w:rPr>
          <w:sz w:val="18"/>
          <w:szCs w:val="18"/>
        </w:rPr>
      </w:pPr>
      <w:r w:rsidRPr="00583FF8">
        <w:rPr>
          <w:rStyle w:val="FootnoteReference"/>
          <w:sz w:val="18"/>
          <w:szCs w:val="18"/>
        </w:rPr>
        <w:footnoteRef/>
      </w:r>
      <w:r w:rsidRPr="00583FF8">
        <w:rPr>
          <w:sz w:val="18"/>
          <w:szCs w:val="18"/>
        </w:rPr>
        <w:t xml:space="preserve"> </w:t>
      </w:r>
      <w:r w:rsidRPr="00583FF8">
        <w:rPr>
          <w:rFonts w:cstheme="minorHAnsi"/>
          <w:color w:val="000000" w:themeColor="text1"/>
          <w:sz w:val="18"/>
          <w:szCs w:val="18"/>
          <w:lang w:val="en-US"/>
        </w:rPr>
        <w:t>Aggregate Development Results (</w:t>
      </w:r>
      <w:r w:rsidRPr="00583FF8">
        <w:rPr>
          <w:rFonts w:cstheme="minorHAnsi"/>
          <w:color w:val="000000" w:themeColor="text1"/>
          <w:sz w:val="18"/>
          <w:szCs w:val="18"/>
        </w:rPr>
        <w:t xml:space="preserve">SRBJS-VAPJP </w:t>
      </w:r>
      <w:r w:rsidRPr="00583FF8">
        <w:rPr>
          <w:rFonts w:cstheme="minorHAnsi"/>
          <w:color w:val="000000" w:themeColor="text1"/>
          <w:sz w:val="18"/>
          <w:szCs w:val="18"/>
          <w:lang w:val="en-US"/>
        </w:rPr>
        <w:t>January-June 2019</w:t>
      </w:r>
      <w:r>
        <w:rPr>
          <w:rFonts w:cstheme="minorHAnsi"/>
          <w:color w:val="000000" w:themeColor="text1"/>
          <w:sz w:val="18"/>
          <w:szCs w:val="18"/>
          <w:lang w:val="en-US"/>
        </w:rPr>
        <w:t xml:space="preserve">, </w:t>
      </w:r>
      <w:proofErr w:type="spellStart"/>
      <w:r>
        <w:rPr>
          <w:rFonts w:cstheme="minorHAnsi"/>
          <w:color w:val="000000" w:themeColor="text1"/>
          <w:sz w:val="18"/>
          <w:szCs w:val="18"/>
          <w:lang w:val="en-US"/>
        </w:rPr>
        <w:t>Pg</w:t>
      </w:r>
      <w:proofErr w:type="spellEnd"/>
      <w:r>
        <w:rPr>
          <w:rFonts w:cstheme="minorHAnsi"/>
          <w:color w:val="000000" w:themeColor="text1"/>
          <w:sz w:val="18"/>
          <w:szCs w:val="18"/>
          <w:lang w:val="en-US"/>
        </w:rPr>
        <w:t xml:space="preserve"> 8).</w:t>
      </w:r>
    </w:p>
  </w:footnote>
  <w:footnote w:id="25">
    <w:p w14:paraId="0367BA46" w14:textId="77777777" w:rsidR="00705D48" w:rsidRPr="00583FF8" w:rsidRDefault="00705D48" w:rsidP="00251FC4">
      <w:pPr>
        <w:pStyle w:val="FootnoteText"/>
        <w:spacing w:line="276" w:lineRule="auto"/>
        <w:rPr>
          <w:rFonts w:cstheme="minorHAnsi"/>
          <w:color w:val="000000" w:themeColor="text1"/>
          <w:sz w:val="18"/>
          <w:szCs w:val="18"/>
          <w:lang w:val="en-US"/>
        </w:rPr>
      </w:pPr>
      <w:r w:rsidRPr="00583FF8">
        <w:rPr>
          <w:rStyle w:val="FootnoteReference"/>
          <w:sz w:val="18"/>
          <w:szCs w:val="18"/>
        </w:rPr>
        <w:footnoteRef/>
      </w:r>
      <w:r w:rsidRPr="00583FF8">
        <w:rPr>
          <w:sz w:val="18"/>
          <w:szCs w:val="18"/>
        </w:rPr>
        <w:t xml:space="preserve"> </w:t>
      </w:r>
      <w:bookmarkStart w:id="32" w:name="_Hlk21615728"/>
      <w:r w:rsidRPr="00583FF8">
        <w:rPr>
          <w:rFonts w:cstheme="minorHAnsi"/>
          <w:color w:val="000000" w:themeColor="text1"/>
          <w:sz w:val="18"/>
          <w:szCs w:val="18"/>
        </w:rPr>
        <w:t>SRBJS</w:t>
      </w:r>
      <w:bookmarkEnd w:id="32"/>
      <w:r w:rsidRPr="00583FF8">
        <w:rPr>
          <w:rFonts w:cstheme="minorHAnsi"/>
          <w:color w:val="000000" w:themeColor="text1"/>
          <w:sz w:val="18"/>
          <w:szCs w:val="18"/>
        </w:rPr>
        <w:t xml:space="preserve">-VAPJP </w:t>
      </w:r>
      <w:r w:rsidRPr="00583FF8">
        <w:rPr>
          <w:rFonts w:cstheme="minorHAnsi"/>
          <w:color w:val="000000" w:themeColor="text1"/>
          <w:sz w:val="18"/>
          <w:szCs w:val="18"/>
          <w:lang w:val="en-US"/>
        </w:rPr>
        <w:t>Number Reach and Coverage Table (January-June 2019) (Attachment D)</w:t>
      </w:r>
    </w:p>
  </w:footnote>
  <w:footnote w:id="26">
    <w:p w14:paraId="3D61BA5D" w14:textId="77777777" w:rsidR="00705D48" w:rsidRDefault="00705D48" w:rsidP="00251FC4">
      <w:pPr>
        <w:pStyle w:val="FootnoteText"/>
      </w:pPr>
      <w:r w:rsidRPr="00583FF8">
        <w:rPr>
          <w:rStyle w:val="FootnoteReference"/>
          <w:sz w:val="18"/>
          <w:szCs w:val="18"/>
        </w:rPr>
        <w:footnoteRef/>
      </w:r>
      <w:r w:rsidRPr="00583FF8">
        <w:rPr>
          <w:sz w:val="18"/>
          <w:szCs w:val="18"/>
        </w:rPr>
        <w:t xml:space="preserve"> </w:t>
      </w:r>
      <w:r w:rsidRPr="00583FF8">
        <w:rPr>
          <w:rFonts w:cstheme="minorHAnsi"/>
          <w:color w:val="000000" w:themeColor="text1"/>
          <w:sz w:val="18"/>
          <w:szCs w:val="18"/>
        </w:rPr>
        <w:t xml:space="preserve">SRBJS-VAPJP </w:t>
      </w:r>
      <w:r w:rsidRPr="00583FF8">
        <w:rPr>
          <w:rFonts w:cstheme="minorHAnsi"/>
          <w:color w:val="000000" w:themeColor="text1"/>
          <w:sz w:val="18"/>
          <w:szCs w:val="18"/>
          <w:lang w:val="en-US"/>
        </w:rPr>
        <w:t>Sustainability Targets tracking table (January-June 2019) (available on request).</w:t>
      </w:r>
    </w:p>
  </w:footnote>
  <w:footnote w:id="27">
    <w:p w14:paraId="69375EB2" w14:textId="77777777" w:rsidR="00705D48" w:rsidRPr="0066319B" w:rsidRDefault="00705D48">
      <w:pPr>
        <w:pStyle w:val="FootnoteText"/>
        <w:rPr>
          <w:sz w:val="18"/>
          <w:szCs w:val="18"/>
        </w:rPr>
      </w:pPr>
      <w:r w:rsidRPr="0066319B">
        <w:rPr>
          <w:rStyle w:val="FootnoteReference"/>
          <w:sz w:val="18"/>
          <w:szCs w:val="18"/>
        </w:rPr>
        <w:footnoteRef/>
      </w:r>
      <w:r>
        <w:rPr>
          <w:sz w:val="18"/>
          <w:szCs w:val="18"/>
        </w:rPr>
        <w:t xml:space="preserve"> </w:t>
      </w:r>
      <w:r w:rsidRPr="0066319B">
        <w:rPr>
          <w:sz w:val="18"/>
          <w:szCs w:val="18"/>
        </w:rPr>
        <w:t>There have been changes throughout all of VPF including Commissioner (multiple changes), Northern Commander, and many other senior ranks.</w:t>
      </w:r>
    </w:p>
  </w:footnote>
  <w:footnote w:id="28">
    <w:p w14:paraId="0C38B57F" w14:textId="77777777" w:rsidR="00705D48" w:rsidRDefault="00705D48" w:rsidP="00251FC4">
      <w:pPr>
        <w:pStyle w:val="FootnoteText"/>
      </w:pPr>
      <w:r w:rsidRPr="0066319B">
        <w:rPr>
          <w:rStyle w:val="FootnoteReference"/>
          <w:sz w:val="18"/>
          <w:szCs w:val="18"/>
        </w:rPr>
        <w:footnoteRef/>
      </w:r>
      <w:r w:rsidRPr="0066319B">
        <w:rPr>
          <w:sz w:val="18"/>
          <w:szCs w:val="18"/>
        </w:rPr>
        <w:t xml:space="preserve"> </w:t>
      </w:r>
      <w:r w:rsidRPr="0066319B">
        <w:rPr>
          <w:rFonts w:cstheme="minorHAnsi"/>
          <w:color w:val="000000" w:themeColor="text1"/>
          <w:sz w:val="18"/>
          <w:szCs w:val="18"/>
          <w:lang w:val="en-US"/>
        </w:rPr>
        <w:t>More on this is found under Finding 5.</w:t>
      </w:r>
    </w:p>
  </w:footnote>
  <w:footnote w:id="29">
    <w:p w14:paraId="76979303" w14:textId="77777777" w:rsidR="00705D48" w:rsidRPr="00F369EF" w:rsidRDefault="00705D48" w:rsidP="00251FC4">
      <w:pPr>
        <w:pStyle w:val="FootnoteText"/>
        <w:rPr>
          <w:rFonts w:cstheme="minorHAnsi"/>
          <w:color w:val="000000" w:themeColor="text1"/>
          <w:sz w:val="18"/>
          <w:szCs w:val="18"/>
          <w:lang w:val="en-US"/>
        </w:rPr>
      </w:pPr>
      <w:r>
        <w:rPr>
          <w:rStyle w:val="FootnoteReference"/>
        </w:rPr>
        <w:footnoteRef/>
      </w:r>
      <w:r>
        <w:t xml:space="preserve"> </w:t>
      </w:r>
      <w:r w:rsidRPr="00F369EF">
        <w:rPr>
          <w:rFonts w:cstheme="minorHAnsi"/>
          <w:color w:val="000000" w:themeColor="text1"/>
          <w:sz w:val="18"/>
          <w:szCs w:val="18"/>
          <w:lang w:val="en-US"/>
        </w:rPr>
        <w:t>Naturally some Advisers are more inclined to want to respond to practical tangible requests for infrastructure, vehicles and consumables than others who may redirect requests to be linked to policy changes or conditions linked to a work program.</w:t>
      </w:r>
      <w:r>
        <w:rPr>
          <w:rFonts w:cstheme="minorHAnsi"/>
          <w:color w:val="000000" w:themeColor="text1"/>
          <w:sz w:val="18"/>
          <w:szCs w:val="18"/>
          <w:lang w:val="en-US"/>
        </w:rPr>
        <w:t xml:space="preserve"> </w:t>
      </w:r>
      <w:r w:rsidRPr="00F369EF">
        <w:rPr>
          <w:rFonts w:cstheme="minorHAnsi"/>
          <w:color w:val="000000" w:themeColor="text1"/>
          <w:sz w:val="18"/>
          <w:szCs w:val="18"/>
          <w:lang w:val="en-US"/>
        </w:rPr>
        <w:t xml:space="preserve">Overall, the </w:t>
      </w:r>
      <w:r>
        <w:rPr>
          <w:rFonts w:cstheme="minorHAnsi"/>
          <w:color w:val="000000" w:themeColor="text1"/>
          <w:sz w:val="18"/>
          <w:szCs w:val="18"/>
          <w:lang w:val="en-US"/>
        </w:rPr>
        <w:t>evaluation</w:t>
      </w:r>
      <w:r w:rsidRPr="00F369EF">
        <w:rPr>
          <w:rFonts w:cstheme="minorHAnsi"/>
          <w:color w:val="000000" w:themeColor="text1"/>
          <w:sz w:val="18"/>
          <w:szCs w:val="18"/>
          <w:lang w:val="en-US"/>
        </w:rPr>
        <w:t xml:space="preserve"> team considers Advisers to be conscious of making these choices, but the </w:t>
      </w:r>
      <w:r>
        <w:rPr>
          <w:rFonts w:cstheme="minorHAnsi"/>
          <w:color w:val="000000" w:themeColor="text1"/>
          <w:sz w:val="18"/>
          <w:szCs w:val="18"/>
          <w:lang w:val="en-US"/>
        </w:rPr>
        <w:t>P</w:t>
      </w:r>
      <w:r w:rsidRPr="00F369EF">
        <w:rPr>
          <w:rFonts w:cstheme="minorHAnsi"/>
          <w:color w:val="000000" w:themeColor="text1"/>
          <w:sz w:val="18"/>
          <w:szCs w:val="18"/>
          <w:lang w:val="en-US"/>
        </w:rPr>
        <w:t>rogram as a whole needs a better mechanism to provide calibrated responses with clearer strategy.</w:t>
      </w:r>
    </w:p>
  </w:footnote>
  <w:footnote w:id="30">
    <w:p w14:paraId="2FEFDE0A" w14:textId="77777777" w:rsidR="00705D48" w:rsidRPr="00B41A64" w:rsidRDefault="00705D48" w:rsidP="0048161F">
      <w:pPr>
        <w:pStyle w:val="FootnoteText"/>
        <w:rPr>
          <w:lang w:val="en-GB"/>
        </w:rPr>
      </w:pPr>
      <w:r>
        <w:rPr>
          <w:rStyle w:val="FootnoteReference"/>
        </w:rPr>
        <w:footnoteRef/>
      </w:r>
      <w:r>
        <w:rPr>
          <w:rStyle w:val="FootnoteReference"/>
        </w:rPr>
        <w:footnoteRef/>
      </w:r>
      <w:r>
        <w:t xml:space="preserve"> </w:t>
      </w:r>
      <w:r w:rsidRPr="00B41A64">
        <w:rPr>
          <w:sz w:val="18"/>
          <w:szCs w:val="18"/>
        </w:rPr>
        <w:t xml:space="preserve">This definition is adapted from a definition provided in the </w:t>
      </w:r>
      <w:hyperlink r:id="rId5" w:history="1">
        <w:r w:rsidRPr="00B41A64">
          <w:rPr>
            <w:rStyle w:val="Hyperlink"/>
            <w:sz w:val="18"/>
            <w:szCs w:val="18"/>
          </w:rPr>
          <w:t>Jamaican Justice System Reform Task Force Final Report</w:t>
        </w:r>
      </w:hyperlink>
      <w:r w:rsidRPr="00B41A64">
        <w:rPr>
          <w:sz w:val="18"/>
          <w:szCs w:val="18"/>
        </w:rPr>
        <w:t xml:space="preserve">, June 2007, </w:t>
      </w:r>
      <w:r>
        <w:rPr>
          <w:sz w:val="18"/>
          <w:szCs w:val="18"/>
        </w:rPr>
        <w:t>p.</w:t>
      </w:r>
      <w:r w:rsidRPr="00B41A64">
        <w:rPr>
          <w:sz w:val="18"/>
          <w:szCs w:val="18"/>
        </w:rPr>
        <w:t>129.</w:t>
      </w:r>
      <w:r>
        <w:rPr>
          <w:sz w:val="18"/>
          <w:szCs w:val="18"/>
        </w:rPr>
        <w:t xml:space="preserve"> The diagram </w:t>
      </w:r>
      <w:r w:rsidRPr="008F3F53">
        <w:rPr>
          <w:sz w:val="18"/>
          <w:szCs w:val="18"/>
        </w:rPr>
        <w:t xml:space="preserve">represented in Figure 3 is sourced from: Geneva Centre for the Democratic Control of Armed Forces, “The Justice Sector”, </w:t>
      </w:r>
      <w:proofErr w:type="gramStart"/>
      <w:r w:rsidRPr="008F3F53">
        <w:rPr>
          <w:sz w:val="18"/>
          <w:szCs w:val="18"/>
        </w:rPr>
        <w:t>SSR</w:t>
      </w:r>
      <w:proofErr w:type="gramEnd"/>
      <w:r w:rsidRPr="008F3F53">
        <w:rPr>
          <w:sz w:val="18"/>
          <w:szCs w:val="18"/>
        </w:rPr>
        <w:t xml:space="preserve"> Backgrounder Series</w:t>
      </w:r>
      <w:r w:rsidRPr="00885619">
        <w:rPr>
          <w:sz w:val="18"/>
          <w:szCs w:val="18"/>
        </w:rPr>
        <w:t xml:space="preserve"> (Geneva: DCAF, 2015).</w:t>
      </w:r>
    </w:p>
  </w:footnote>
  <w:footnote w:id="31">
    <w:p w14:paraId="2025FA87" w14:textId="77777777" w:rsidR="00705D48" w:rsidRPr="0016430A" w:rsidRDefault="00705D48" w:rsidP="0048161F">
      <w:pPr>
        <w:pStyle w:val="FootnoteText"/>
        <w:rPr>
          <w:sz w:val="18"/>
          <w:szCs w:val="18"/>
        </w:rPr>
      </w:pPr>
      <w:r w:rsidRPr="0016430A">
        <w:rPr>
          <w:rStyle w:val="FootnoteReference"/>
          <w:sz w:val="18"/>
          <w:szCs w:val="18"/>
        </w:rPr>
        <w:footnoteRef/>
      </w:r>
      <w:r w:rsidRPr="0016430A">
        <w:rPr>
          <w:sz w:val="18"/>
          <w:szCs w:val="18"/>
        </w:rPr>
        <w:t xml:space="preserve"> SRBJS 2017-2020 Program Design Document, 2017, p.18. </w:t>
      </w:r>
    </w:p>
  </w:footnote>
  <w:footnote w:id="32">
    <w:p w14:paraId="6C08DF29" w14:textId="77777777" w:rsidR="00705D48" w:rsidRPr="0016430A" w:rsidRDefault="00705D48" w:rsidP="0048161F">
      <w:pPr>
        <w:pStyle w:val="FootnoteText"/>
        <w:jc w:val="both"/>
        <w:rPr>
          <w:sz w:val="18"/>
          <w:szCs w:val="18"/>
        </w:rPr>
      </w:pPr>
      <w:r w:rsidRPr="0016430A">
        <w:rPr>
          <w:rStyle w:val="FootnoteReference"/>
          <w:sz w:val="18"/>
          <w:szCs w:val="18"/>
        </w:rPr>
        <w:footnoteRef/>
      </w:r>
      <w:r w:rsidRPr="0016430A">
        <w:rPr>
          <w:sz w:val="18"/>
          <w:szCs w:val="18"/>
        </w:rPr>
        <w:t xml:space="preserve"> The above study of collaboration found that: “The VPF, SPD and OPP collaborate on case management; investigations and prosecutions. This has the benefit of overt and willing collaborators within leadership.” PJSPV Thinking about working together as a sector for our shared goals, 2016, p.5.</w:t>
      </w:r>
    </w:p>
  </w:footnote>
  <w:footnote w:id="33">
    <w:p w14:paraId="2B662B18" w14:textId="77777777" w:rsidR="00705D48" w:rsidRPr="0016430A" w:rsidRDefault="00705D48" w:rsidP="0048161F">
      <w:pPr>
        <w:pStyle w:val="FootnoteText"/>
        <w:rPr>
          <w:sz w:val="18"/>
          <w:szCs w:val="18"/>
        </w:rPr>
      </w:pPr>
      <w:r w:rsidRPr="0016430A">
        <w:rPr>
          <w:rStyle w:val="FootnoteReference"/>
          <w:sz w:val="18"/>
          <w:szCs w:val="18"/>
        </w:rPr>
        <w:footnoteRef/>
      </w:r>
      <w:r w:rsidRPr="0016430A">
        <w:rPr>
          <w:sz w:val="18"/>
          <w:szCs w:val="18"/>
        </w:rPr>
        <w:t xml:space="preserve"> Source: PJSPV, ‘Thinking about working together as a sector for our shared goals’ 2016, p.5.</w:t>
      </w:r>
    </w:p>
  </w:footnote>
  <w:footnote w:id="34">
    <w:p w14:paraId="099013A9" w14:textId="77777777" w:rsidR="00705D48" w:rsidRPr="0016430A" w:rsidRDefault="00705D48" w:rsidP="0048161F">
      <w:pPr>
        <w:pStyle w:val="FootnoteText"/>
        <w:rPr>
          <w:sz w:val="18"/>
          <w:szCs w:val="18"/>
        </w:rPr>
      </w:pPr>
      <w:r w:rsidRPr="0016430A">
        <w:rPr>
          <w:rStyle w:val="FootnoteReference"/>
          <w:sz w:val="18"/>
          <w:szCs w:val="18"/>
        </w:rPr>
        <w:footnoteRef/>
      </w:r>
      <w:r w:rsidRPr="0016430A">
        <w:rPr>
          <w:sz w:val="18"/>
          <w:szCs w:val="18"/>
        </w:rPr>
        <w:t xml:space="preserve"> </w:t>
      </w:r>
      <w:r w:rsidRPr="0016430A">
        <w:rPr>
          <w:rFonts w:ascii="Calibri" w:hAnsi="Calibri" w:cs="Calibri"/>
          <w:sz w:val="18"/>
          <w:szCs w:val="18"/>
        </w:rPr>
        <w:t>See Annex 5.2 Figure 7: ‘Offences assigned to VPF Units over last five years’ (only the Port Vila Serious Crimes Unit has a larger offence load at 16%). See also Figure 8: ‘Offence load by Unit over last 5 years’, and Figure 9: ‘Offence load by Unit over last 5 years – EFATE’.</w:t>
      </w:r>
    </w:p>
  </w:footnote>
  <w:footnote w:id="35">
    <w:p w14:paraId="774EE8FF" w14:textId="77777777" w:rsidR="00705D48" w:rsidRPr="00A241F0" w:rsidRDefault="00705D48" w:rsidP="0048161F">
      <w:pPr>
        <w:spacing w:after="0"/>
        <w:rPr>
          <w:b/>
          <w:noProof/>
          <w:lang w:val="en-GB" w:eastAsia="en-AU"/>
        </w:rPr>
      </w:pPr>
      <w:r w:rsidRPr="0016430A">
        <w:rPr>
          <w:rStyle w:val="FootnoteReference"/>
          <w:sz w:val="18"/>
          <w:szCs w:val="18"/>
        </w:rPr>
        <w:footnoteRef/>
      </w:r>
      <w:r w:rsidRPr="0016430A">
        <w:rPr>
          <w:sz w:val="18"/>
          <w:szCs w:val="18"/>
        </w:rPr>
        <w:t xml:space="preserve"> </w:t>
      </w:r>
      <w:r w:rsidRPr="0016430A">
        <w:rPr>
          <w:rFonts w:ascii="Calibri" w:hAnsi="Calibri" w:cs="Calibri"/>
          <w:sz w:val="18"/>
          <w:szCs w:val="18"/>
        </w:rPr>
        <w:t>See Annex 5.2 Figure 26: VFP – Victim gender analysis since 2015 which show the high number of women experiencing FSV:</w:t>
      </w:r>
      <w:r w:rsidRPr="0016430A">
        <w:rPr>
          <w:sz w:val="18"/>
          <w:szCs w:val="18"/>
        </w:rPr>
        <w:t xml:space="preserve"> </w:t>
      </w:r>
      <w:r w:rsidRPr="0016430A">
        <w:rPr>
          <w:rFonts w:ascii="Calibri" w:hAnsi="Calibri" w:cs="Calibri"/>
          <w:sz w:val="18"/>
          <w:szCs w:val="18"/>
        </w:rPr>
        <w:t>Offences against morality victims (M</w:t>
      </w:r>
      <w:proofErr w:type="gramStart"/>
      <w:r w:rsidRPr="0016430A">
        <w:rPr>
          <w:rFonts w:ascii="Calibri" w:hAnsi="Calibri" w:cs="Calibri"/>
          <w:sz w:val="18"/>
          <w:szCs w:val="18"/>
        </w:rPr>
        <w:t>:68</w:t>
      </w:r>
      <w:proofErr w:type="gramEnd"/>
      <w:r w:rsidRPr="0016430A">
        <w:rPr>
          <w:rFonts w:ascii="Calibri" w:hAnsi="Calibri" w:cs="Calibri"/>
          <w:sz w:val="18"/>
          <w:szCs w:val="18"/>
        </w:rPr>
        <w:t>, W:853) and Family Protection Act Offences (M: 294, W: 1328).</w:t>
      </w:r>
      <w:r>
        <w:rPr>
          <w:rFonts w:ascii="Calibri" w:hAnsi="Calibri" w:cs="Calibri"/>
          <w:sz w:val="18"/>
          <w:szCs w:val="18"/>
        </w:rPr>
        <w:t xml:space="preserve"> </w:t>
      </w:r>
    </w:p>
  </w:footnote>
  <w:footnote w:id="36">
    <w:p w14:paraId="294D7E17" w14:textId="77777777" w:rsidR="00705D48" w:rsidRPr="00F369EF" w:rsidRDefault="00705D48" w:rsidP="000B017A">
      <w:pPr>
        <w:pStyle w:val="FootnoteText"/>
        <w:rPr>
          <w:rFonts w:ascii="Calibri" w:hAnsi="Calibri" w:cs="Calibri"/>
          <w:sz w:val="18"/>
          <w:szCs w:val="18"/>
        </w:rPr>
      </w:pPr>
      <w:r>
        <w:rPr>
          <w:rStyle w:val="FootnoteReference"/>
        </w:rPr>
        <w:footnoteRef/>
      </w:r>
      <w:r>
        <w:t xml:space="preserve"> </w:t>
      </w:r>
      <w:r w:rsidRPr="00F369EF">
        <w:rPr>
          <w:rFonts w:ascii="Calibri" w:hAnsi="Calibri" w:cs="Calibri"/>
          <w:sz w:val="18"/>
          <w:szCs w:val="18"/>
        </w:rPr>
        <w:t>See Finding 1 and associated Annex</w:t>
      </w:r>
      <w:r>
        <w:rPr>
          <w:rFonts w:ascii="Calibri" w:hAnsi="Calibri" w:cs="Calibri"/>
          <w:sz w:val="18"/>
          <w:szCs w:val="18"/>
        </w:rPr>
        <w:t>.</w:t>
      </w:r>
    </w:p>
  </w:footnote>
  <w:footnote w:id="37">
    <w:p w14:paraId="1CEB1126" w14:textId="77777777" w:rsidR="00705D48" w:rsidRDefault="00705D48" w:rsidP="000B017A">
      <w:pPr>
        <w:pStyle w:val="FootnoteText"/>
      </w:pPr>
      <w:r>
        <w:rPr>
          <w:rStyle w:val="FootnoteReference"/>
        </w:rPr>
        <w:footnoteRef/>
      </w:r>
      <w:r>
        <w:t xml:space="preserve"> </w:t>
      </w:r>
      <w:hyperlink r:id="rId6" w:history="1">
        <w:r w:rsidRPr="00E86045">
          <w:rPr>
            <w:rStyle w:val="Hyperlink"/>
          </w:rPr>
          <w:t>https://www.fpwhitepaper.gov.au/</w:t>
        </w:r>
      </w:hyperlink>
      <w:r>
        <w:t xml:space="preserve"> Retrieved 19/09/19</w:t>
      </w:r>
    </w:p>
  </w:footnote>
  <w:footnote w:id="38">
    <w:p w14:paraId="00FD9BA7" w14:textId="77777777" w:rsidR="00705D48" w:rsidRDefault="00705D48" w:rsidP="000B017A">
      <w:pPr>
        <w:pStyle w:val="FootnoteText"/>
      </w:pPr>
      <w:r>
        <w:rPr>
          <w:rStyle w:val="FootnoteReference"/>
        </w:rPr>
        <w:footnoteRef/>
      </w:r>
      <w:r>
        <w:t xml:space="preserve"> </w:t>
      </w:r>
      <w:hyperlink r:id="rId7" w:history="1">
        <w:r w:rsidRPr="00E86045">
          <w:rPr>
            <w:rStyle w:val="Hyperlink"/>
          </w:rPr>
          <w:t>https://www.pm.gov.au/media/enhanced-security-cooperation-vanuatu</w:t>
        </w:r>
      </w:hyperlink>
      <w:r>
        <w:t xml:space="preserve"> Retrieved 10/09/19</w:t>
      </w:r>
    </w:p>
  </w:footnote>
  <w:footnote w:id="39">
    <w:p w14:paraId="1C48F5AA" w14:textId="77777777" w:rsidR="00705D48" w:rsidRPr="00D82BE1" w:rsidRDefault="00705D48" w:rsidP="000B017A">
      <w:pPr>
        <w:pStyle w:val="FootnoteText"/>
        <w:rPr>
          <w:sz w:val="18"/>
          <w:szCs w:val="18"/>
        </w:rPr>
      </w:pPr>
      <w:r w:rsidRPr="00D82BE1">
        <w:rPr>
          <w:rStyle w:val="FootnoteReference"/>
          <w:sz w:val="18"/>
          <w:szCs w:val="18"/>
        </w:rPr>
        <w:footnoteRef/>
      </w:r>
      <w:r w:rsidRPr="00D82BE1">
        <w:rPr>
          <w:sz w:val="18"/>
          <w:szCs w:val="18"/>
        </w:rPr>
        <w:t xml:space="preserve"> </w:t>
      </w:r>
      <w:r>
        <w:rPr>
          <w:sz w:val="18"/>
          <w:szCs w:val="18"/>
        </w:rPr>
        <w:t>D</w:t>
      </w:r>
      <w:r w:rsidRPr="007C48AA">
        <w:rPr>
          <w:sz w:val="18"/>
          <w:szCs w:val="18"/>
        </w:rPr>
        <w:t>etailed cost categories and percentage allocations</w:t>
      </w:r>
      <w:r>
        <w:rPr>
          <w:sz w:val="18"/>
          <w:szCs w:val="18"/>
        </w:rPr>
        <w:t xml:space="preserve"> are available in Annex 5.3</w:t>
      </w:r>
      <w:r w:rsidRPr="007C48AA">
        <w:rPr>
          <w:sz w:val="18"/>
          <w:szCs w:val="18"/>
        </w:rPr>
        <w:t>.</w:t>
      </w:r>
    </w:p>
  </w:footnote>
  <w:footnote w:id="40">
    <w:p w14:paraId="360543BD" w14:textId="77777777" w:rsidR="00705D48" w:rsidRPr="00D82BE1" w:rsidRDefault="00705D48" w:rsidP="000B017A">
      <w:pPr>
        <w:pStyle w:val="FootnoteText"/>
        <w:rPr>
          <w:sz w:val="18"/>
          <w:szCs w:val="18"/>
        </w:rPr>
      </w:pPr>
      <w:r w:rsidRPr="00D82BE1">
        <w:rPr>
          <w:rStyle w:val="FootnoteReference"/>
          <w:sz w:val="18"/>
          <w:szCs w:val="18"/>
        </w:rPr>
        <w:footnoteRef/>
      </w:r>
      <w:r w:rsidRPr="00D82BE1">
        <w:rPr>
          <w:sz w:val="18"/>
          <w:szCs w:val="18"/>
        </w:rPr>
        <w:t xml:space="preserve"> </w:t>
      </w:r>
      <w:r w:rsidRPr="00B21E17">
        <w:rPr>
          <w:sz w:val="18"/>
          <w:szCs w:val="18"/>
        </w:rPr>
        <w:t>See Annex 5.1 related to effectiveness in light of the political economy, quality, capacity building approach, gender considerations</w:t>
      </w:r>
      <w:r w:rsidRPr="00D82BE1">
        <w:rPr>
          <w:sz w:val="18"/>
          <w:szCs w:val="18"/>
        </w:rPr>
        <w:t xml:space="preserve"> and progress to date.</w:t>
      </w:r>
    </w:p>
  </w:footnote>
  <w:footnote w:id="41">
    <w:p w14:paraId="03048BDC" w14:textId="77777777" w:rsidR="00705D48" w:rsidRDefault="00705D48" w:rsidP="000B017A">
      <w:pPr>
        <w:pStyle w:val="FootnoteText"/>
      </w:pPr>
      <w:r w:rsidRPr="00D82BE1">
        <w:rPr>
          <w:rStyle w:val="FootnoteReference"/>
          <w:sz w:val="18"/>
          <w:szCs w:val="18"/>
        </w:rPr>
        <w:footnoteRef/>
      </w:r>
      <w:r w:rsidRPr="00D82BE1">
        <w:rPr>
          <w:sz w:val="18"/>
          <w:szCs w:val="18"/>
        </w:rPr>
        <w:t xml:space="preserve"> AFP adviser and on-costs were estimated in line with the </w:t>
      </w:r>
      <w:r>
        <w:rPr>
          <w:sz w:val="18"/>
          <w:szCs w:val="18"/>
        </w:rPr>
        <w:t>DFAT Aid Adviser Remuneration Framework</w:t>
      </w:r>
      <w:r w:rsidRPr="00D82BE1">
        <w:rPr>
          <w:sz w:val="18"/>
          <w:szCs w:val="18"/>
        </w:rPr>
        <w:t xml:space="preserve"> for this purpose.</w:t>
      </w:r>
      <w:r>
        <w:rPr>
          <w:sz w:val="18"/>
          <w:szCs w:val="18"/>
        </w:rPr>
        <w:t xml:space="preserve"> Management only costs were excluded (Finance, admin, ops, office) – general Advisers were distributed across relevant program areas. A detailed spreadsheet of cost categories and dollar values is available separately.</w:t>
      </w:r>
    </w:p>
  </w:footnote>
  <w:footnote w:id="42">
    <w:p w14:paraId="607618CA" w14:textId="77777777" w:rsidR="00705D48" w:rsidRPr="00177F0B" w:rsidRDefault="00705D48" w:rsidP="00992506">
      <w:pPr>
        <w:pStyle w:val="CommentText"/>
        <w:spacing w:after="0"/>
        <w:rPr>
          <w:sz w:val="18"/>
          <w:szCs w:val="18"/>
        </w:rPr>
      </w:pPr>
      <w:r w:rsidRPr="00177F0B">
        <w:rPr>
          <w:rStyle w:val="FootnoteReference"/>
          <w:sz w:val="18"/>
          <w:szCs w:val="18"/>
        </w:rPr>
        <w:footnoteRef/>
      </w:r>
      <w:r w:rsidRPr="00177F0B">
        <w:rPr>
          <w:sz w:val="18"/>
          <w:szCs w:val="18"/>
        </w:rPr>
        <w:t xml:space="preserve"> </w:t>
      </w:r>
      <w:r>
        <w:rPr>
          <w:sz w:val="18"/>
          <w:szCs w:val="18"/>
        </w:rPr>
        <w:t xml:space="preserve">The 2018 Progress report outlines the range of investments introduced as a result of the </w:t>
      </w:r>
      <w:proofErr w:type="spellStart"/>
      <w:r>
        <w:rPr>
          <w:sz w:val="18"/>
          <w:szCs w:val="18"/>
        </w:rPr>
        <w:t>GoA’s</w:t>
      </w:r>
      <w:proofErr w:type="spellEnd"/>
      <w:r>
        <w:rPr>
          <w:sz w:val="18"/>
          <w:szCs w:val="18"/>
        </w:rPr>
        <w:t xml:space="preserve"> Pacific Step Up (as described in the context analysis of this report. It states ‘</w:t>
      </w:r>
      <w:r w:rsidRPr="00177F0B">
        <w:rPr>
          <w:rFonts w:cs="Times New Roman"/>
          <w:sz w:val="18"/>
          <w:szCs w:val="18"/>
        </w:rPr>
        <w:t>These investments will bring a mix of positive returns along with substantial risks that will need management by donors, program managers and VPF alike.”</w:t>
      </w:r>
      <w:r>
        <w:rPr>
          <w:sz w:val="18"/>
          <w:szCs w:val="18"/>
        </w:rPr>
        <w:t xml:space="preserve"> </w:t>
      </w:r>
      <w:r w:rsidRPr="00177F0B">
        <w:rPr>
          <w:sz w:val="18"/>
          <w:szCs w:val="18"/>
        </w:rPr>
        <w:t>SRBJS Progress Report July-Dec 2018, p.9</w:t>
      </w:r>
      <w:r>
        <w:rPr>
          <w:sz w:val="18"/>
          <w:szCs w:val="18"/>
        </w:rPr>
        <w:t>.</w:t>
      </w:r>
    </w:p>
  </w:footnote>
  <w:footnote w:id="43">
    <w:p w14:paraId="2DA1DB1F" w14:textId="77777777" w:rsidR="00705D48" w:rsidRPr="00CC6589" w:rsidRDefault="00705D48" w:rsidP="000B017A">
      <w:pPr>
        <w:pStyle w:val="FootnoteText"/>
        <w:rPr>
          <w:sz w:val="18"/>
          <w:szCs w:val="18"/>
        </w:rPr>
      </w:pPr>
      <w:r w:rsidRPr="00CC6589">
        <w:rPr>
          <w:rStyle w:val="FootnoteReference"/>
          <w:sz w:val="18"/>
          <w:szCs w:val="18"/>
        </w:rPr>
        <w:footnoteRef/>
      </w:r>
      <w:r w:rsidRPr="00CC6589">
        <w:rPr>
          <w:sz w:val="18"/>
          <w:szCs w:val="18"/>
        </w:rPr>
        <w:t xml:space="preserve"> </w:t>
      </w:r>
      <w:r>
        <w:rPr>
          <w:sz w:val="18"/>
          <w:szCs w:val="18"/>
        </w:rPr>
        <w:t xml:space="preserve">E.g. </w:t>
      </w:r>
      <w:r>
        <w:rPr>
          <w:rFonts w:cstheme="majorHAnsi"/>
          <w:sz w:val="18"/>
          <w:szCs w:val="18"/>
        </w:rPr>
        <w:t>SRBJS</w:t>
      </w:r>
      <w:r w:rsidRPr="00CC6589">
        <w:rPr>
          <w:rFonts w:cstheme="majorHAnsi"/>
          <w:sz w:val="18"/>
          <w:szCs w:val="18"/>
        </w:rPr>
        <w:t>-AFP Progress Report July-Dec 2018, p.7.</w:t>
      </w:r>
    </w:p>
  </w:footnote>
  <w:footnote w:id="44">
    <w:p w14:paraId="356007A8" w14:textId="77777777" w:rsidR="00705D48" w:rsidRDefault="00705D48" w:rsidP="000B017A">
      <w:pPr>
        <w:pStyle w:val="FootnoteText"/>
      </w:pPr>
      <w:r>
        <w:rPr>
          <w:rStyle w:val="FootnoteReference"/>
        </w:rPr>
        <w:footnoteRef/>
      </w:r>
      <w:r>
        <w:t xml:space="preserve"> </w:t>
      </w:r>
      <w:r w:rsidRPr="007A6BA7">
        <w:rPr>
          <w:sz w:val="18"/>
          <w:szCs w:val="18"/>
        </w:rPr>
        <w:t>Draft evaluation report on the AC/RC Pilot, 2019 p.31</w:t>
      </w:r>
      <w:r>
        <w:rPr>
          <w:sz w:val="18"/>
          <w:szCs w:val="18"/>
        </w:rPr>
        <w:t>.</w:t>
      </w:r>
    </w:p>
  </w:footnote>
  <w:footnote w:id="45">
    <w:p w14:paraId="4012983D" w14:textId="77777777" w:rsidR="00705D48" w:rsidRPr="003709A7" w:rsidRDefault="00705D48" w:rsidP="000059AB">
      <w:pPr>
        <w:pStyle w:val="FootnoteText"/>
        <w:rPr>
          <w:sz w:val="18"/>
          <w:szCs w:val="18"/>
        </w:rPr>
      </w:pPr>
      <w:r w:rsidRPr="003709A7">
        <w:rPr>
          <w:rStyle w:val="FootnoteReference"/>
          <w:sz w:val="18"/>
          <w:szCs w:val="18"/>
        </w:rPr>
        <w:footnoteRef/>
      </w:r>
      <w:r w:rsidRPr="003709A7">
        <w:rPr>
          <w:sz w:val="18"/>
          <w:szCs w:val="18"/>
        </w:rPr>
        <w:t xml:space="preserve"> Despite excellent evidence-based results in prosecuting FSV, results are not outlined and touted in program reports</w:t>
      </w:r>
      <w:r>
        <w:rPr>
          <w:sz w:val="18"/>
          <w:szCs w:val="18"/>
        </w:rPr>
        <w:t xml:space="preserve"> as the Program has not had access to PIMS/CMS data. </w:t>
      </w:r>
      <w:r w:rsidRPr="003709A7">
        <w:rPr>
          <w:sz w:val="18"/>
          <w:szCs w:val="18"/>
        </w:rPr>
        <w:t xml:space="preserve">The four AQCs provided and reviewed (2013, 2015, 2018, </w:t>
      </w:r>
      <w:proofErr w:type="gramStart"/>
      <w:r w:rsidRPr="003709A7">
        <w:rPr>
          <w:sz w:val="18"/>
          <w:szCs w:val="18"/>
        </w:rPr>
        <w:t>2019</w:t>
      </w:r>
      <w:proofErr w:type="gramEnd"/>
      <w:r w:rsidRPr="003709A7">
        <w:rPr>
          <w:sz w:val="18"/>
          <w:szCs w:val="18"/>
        </w:rPr>
        <w:t xml:space="preserve">) each only scored gender at a four, despite tangible and significant progress. </w:t>
      </w:r>
      <w:r>
        <w:rPr>
          <w:sz w:val="18"/>
          <w:szCs w:val="18"/>
        </w:rPr>
        <w:t>SRBJS</w:t>
      </w:r>
      <w:r w:rsidRPr="003709A7">
        <w:rPr>
          <w:sz w:val="18"/>
          <w:szCs w:val="18"/>
        </w:rPr>
        <w:t xml:space="preserve">’s ability to tell its gender story is potentially linked to issues related to program level M&amp;E discussed in Finding </w:t>
      </w:r>
      <w:r>
        <w:rPr>
          <w:sz w:val="18"/>
          <w:szCs w:val="18"/>
        </w:rPr>
        <w:t>7.</w:t>
      </w:r>
    </w:p>
  </w:footnote>
  <w:footnote w:id="46">
    <w:p w14:paraId="24673EB1" w14:textId="77777777" w:rsidR="00705D48" w:rsidRPr="00E10069" w:rsidRDefault="00705D48" w:rsidP="000059AB">
      <w:pPr>
        <w:pStyle w:val="FootnoteText"/>
        <w:rPr>
          <w:sz w:val="18"/>
          <w:szCs w:val="18"/>
        </w:rPr>
      </w:pPr>
      <w:r w:rsidRPr="00E10069">
        <w:rPr>
          <w:rStyle w:val="FootnoteReference"/>
          <w:sz w:val="18"/>
          <w:szCs w:val="18"/>
        </w:rPr>
        <w:footnoteRef/>
      </w:r>
      <w:r w:rsidRPr="00E10069">
        <w:rPr>
          <w:sz w:val="18"/>
          <w:szCs w:val="18"/>
        </w:rPr>
        <w:t xml:space="preserve"> </w:t>
      </w:r>
      <w:r>
        <w:rPr>
          <w:sz w:val="18"/>
          <w:szCs w:val="18"/>
        </w:rPr>
        <w:t xml:space="preserve">Another barrier to government assuming funding of the AP initiative is government’s perception that other donors entering the </w:t>
      </w:r>
      <w:r w:rsidRPr="00E10069">
        <w:rPr>
          <w:sz w:val="18"/>
          <w:szCs w:val="18"/>
        </w:rPr>
        <w:t>gender equality space (</w:t>
      </w:r>
      <w:r>
        <w:rPr>
          <w:sz w:val="18"/>
          <w:szCs w:val="18"/>
        </w:rPr>
        <w:t xml:space="preserve">such as </w:t>
      </w:r>
      <w:r w:rsidRPr="00E10069">
        <w:rPr>
          <w:sz w:val="18"/>
          <w:szCs w:val="18"/>
        </w:rPr>
        <w:t xml:space="preserve">NZ – Pacific Partnership </w:t>
      </w:r>
      <w:r>
        <w:rPr>
          <w:sz w:val="18"/>
          <w:szCs w:val="18"/>
        </w:rPr>
        <w:t>and</w:t>
      </w:r>
      <w:r w:rsidRPr="00E10069">
        <w:rPr>
          <w:sz w:val="18"/>
          <w:szCs w:val="18"/>
        </w:rPr>
        <w:t xml:space="preserve"> EU – Spotlight)</w:t>
      </w:r>
      <w:r>
        <w:rPr>
          <w:sz w:val="18"/>
          <w:szCs w:val="18"/>
        </w:rPr>
        <w:t xml:space="preserve"> are likely to provide funding.</w:t>
      </w:r>
    </w:p>
  </w:footnote>
  <w:footnote w:id="47">
    <w:p w14:paraId="27DCE0AC" w14:textId="77777777" w:rsidR="00705D48" w:rsidRPr="00DE2C6C" w:rsidRDefault="00705D48" w:rsidP="000059AB">
      <w:pPr>
        <w:autoSpaceDE w:val="0"/>
        <w:autoSpaceDN w:val="0"/>
        <w:adjustRightInd w:val="0"/>
        <w:spacing w:after="0" w:line="240" w:lineRule="auto"/>
        <w:rPr>
          <w:rFonts w:ascii="Calibri" w:hAnsi="Calibri" w:cs="Calibri"/>
          <w:sz w:val="18"/>
          <w:szCs w:val="18"/>
        </w:rPr>
      </w:pPr>
      <w:r w:rsidRPr="003709A7">
        <w:rPr>
          <w:rStyle w:val="FootnoteReference"/>
          <w:sz w:val="18"/>
          <w:szCs w:val="18"/>
        </w:rPr>
        <w:footnoteRef/>
      </w:r>
      <w:r w:rsidRPr="003709A7">
        <w:rPr>
          <w:sz w:val="18"/>
          <w:szCs w:val="18"/>
        </w:rPr>
        <w:t xml:space="preserve"> </w:t>
      </w:r>
      <w:r w:rsidRPr="003709A7">
        <w:rPr>
          <w:rFonts w:ascii="Calibri" w:hAnsi="Calibri" w:cs="Calibri"/>
          <w:sz w:val="18"/>
          <w:szCs w:val="18"/>
        </w:rPr>
        <w:t xml:space="preserve">The two aims of the gender strategy are: </w:t>
      </w:r>
      <w:proofErr w:type="spellStart"/>
      <w:r w:rsidRPr="003709A7">
        <w:rPr>
          <w:rFonts w:ascii="Calibri" w:hAnsi="Calibri" w:cs="Calibri"/>
          <w:sz w:val="18"/>
          <w:szCs w:val="18"/>
        </w:rPr>
        <w:t>i</w:t>
      </w:r>
      <w:proofErr w:type="spellEnd"/>
      <w:r w:rsidRPr="003709A7">
        <w:rPr>
          <w:rFonts w:ascii="Calibri" w:hAnsi="Calibri" w:cs="Calibri"/>
          <w:sz w:val="18"/>
          <w:szCs w:val="18"/>
        </w:rPr>
        <w:t xml:space="preserve">) to provide guidance for the mainstreaming of a strong and effective “gender lens” across the entire program which seeks to be gender transformative wherever possible; and 2) strengthening the specific programming that is targeted at enhancing women’s access to justice; reducing inequity; supporting effective responses to and elimination of gender based violence; and building women’s capacity and leadership. Source: Gender </w:t>
      </w:r>
      <w:r>
        <w:rPr>
          <w:rFonts w:ascii="Calibri" w:hAnsi="Calibri" w:cs="Calibri"/>
          <w:sz w:val="18"/>
          <w:szCs w:val="18"/>
        </w:rPr>
        <w:t>SRBJS</w:t>
      </w:r>
      <w:r w:rsidRPr="003709A7">
        <w:rPr>
          <w:rFonts w:ascii="Calibri" w:hAnsi="Calibri" w:cs="Calibri"/>
          <w:sz w:val="18"/>
          <w:szCs w:val="18"/>
        </w:rPr>
        <w:t xml:space="preserve"> Gender Strategy 2017-2020, Palladium, 2017, </w:t>
      </w:r>
      <w:r>
        <w:rPr>
          <w:rFonts w:ascii="Calibri" w:hAnsi="Calibri" w:cs="Calibri"/>
          <w:sz w:val="18"/>
          <w:szCs w:val="18"/>
        </w:rPr>
        <w:t>p.</w:t>
      </w:r>
      <w:r w:rsidRPr="003709A7">
        <w:rPr>
          <w:rFonts w:ascii="Calibri" w:hAnsi="Calibri" w:cs="Calibri"/>
          <w:sz w:val="18"/>
          <w:szCs w:val="18"/>
        </w:rPr>
        <w:t>6.</w:t>
      </w:r>
    </w:p>
  </w:footnote>
  <w:footnote w:id="48">
    <w:p w14:paraId="5FA3EE30" w14:textId="77777777" w:rsidR="00705D48" w:rsidRPr="003709A7" w:rsidRDefault="00705D48" w:rsidP="000059AB">
      <w:pPr>
        <w:pStyle w:val="FootnoteText"/>
        <w:rPr>
          <w:sz w:val="18"/>
          <w:szCs w:val="18"/>
        </w:rPr>
      </w:pPr>
      <w:r w:rsidRPr="003709A7">
        <w:rPr>
          <w:rStyle w:val="FootnoteReference"/>
          <w:sz w:val="18"/>
          <w:szCs w:val="18"/>
        </w:rPr>
        <w:footnoteRef/>
      </w:r>
      <w:r w:rsidRPr="003709A7">
        <w:rPr>
          <w:sz w:val="18"/>
          <w:szCs w:val="18"/>
        </w:rPr>
        <w:t xml:space="preserve"> Source: </w:t>
      </w:r>
      <w:r>
        <w:rPr>
          <w:sz w:val="18"/>
          <w:szCs w:val="18"/>
        </w:rPr>
        <w:t>SRBJS</w:t>
      </w:r>
      <w:r w:rsidRPr="003709A7">
        <w:rPr>
          <w:sz w:val="18"/>
          <w:szCs w:val="18"/>
        </w:rPr>
        <w:t xml:space="preserve"> AQC, DFAT 2018, </w:t>
      </w:r>
      <w:r>
        <w:rPr>
          <w:sz w:val="18"/>
          <w:szCs w:val="18"/>
        </w:rPr>
        <w:t>p.</w:t>
      </w:r>
      <w:r w:rsidRPr="003709A7">
        <w:rPr>
          <w:sz w:val="18"/>
          <w:szCs w:val="18"/>
        </w:rPr>
        <w:t xml:space="preserve">4. </w:t>
      </w:r>
    </w:p>
  </w:footnote>
  <w:footnote w:id="49">
    <w:p w14:paraId="2EF5A11F" w14:textId="77777777" w:rsidR="00705D48" w:rsidRPr="003709A7" w:rsidRDefault="00705D48" w:rsidP="000059AB">
      <w:pPr>
        <w:autoSpaceDE w:val="0"/>
        <w:autoSpaceDN w:val="0"/>
        <w:adjustRightInd w:val="0"/>
        <w:spacing w:after="0" w:line="240" w:lineRule="auto"/>
        <w:rPr>
          <w:rFonts w:ascii="Calibri" w:hAnsi="Calibri" w:cs="Calibri"/>
          <w:sz w:val="18"/>
          <w:szCs w:val="18"/>
        </w:rPr>
      </w:pPr>
      <w:r w:rsidRPr="003709A7">
        <w:rPr>
          <w:rStyle w:val="FootnoteReference"/>
          <w:sz w:val="18"/>
          <w:szCs w:val="18"/>
        </w:rPr>
        <w:footnoteRef/>
      </w:r>
      <w:r w:rsidRPr="003709A7">
        <w:rPr>
          <w:sz w:val="18"/>
          <w:szCs w:val="18"/>
        </w:rPr>
        <w:t xml:space="preserve"> </w:t>
      </w:r>
      <w:r w:rsidRPr="003709A7">
        <w:rPr>
          <w:rFonts w:ascii="Calibri" w:hAnsi="Calibri" w:cs="Calibri"/>
          <w:sz w:val="18"/>
          <w:szCs w:val="18"/>
        </w:rPr>
        <w:t xml:space="preserve">Vanuatu is part of a regional network of 22 countries (Pacific Islands Chiefs of Police WAN) in which women’s workforce issues are elevated through a chain of command which requires signatory countries police force command to address reported issues. More information can be accessed </w:t>
      </w:r>
      <w:hyperlink r:id="rId8" w:history="1">
        <w:proofErr w:type="gramStart"/>
        <w:r w:rsidRPr="003709A7">
          <w:rPr>
            <w:rStyle w:val="Hyperlink"/>
            <w:rFonts w:ascii="Calibri" w:hAnsi="Calibri" w:cs="Calibri"/>
            <w:sz w:val="18"/>
            <w:szCs w:val="18"/>
          </w:rPr>
          <w:t>Here</w:t>
        </w:r>
        <w:proofErr w:type="gramEnd"/>
      </w:hyperlink>
      <w:r w:rsidRPr="003709A7">
        <w:rPr>
          <w:rFonts w:ascii="Calibri" w:hAnsi="Calibri" w:cs="Calibri"/>
          <w:sz w:val="18"/>
          <w:szCs w:val="18"/>
        </w:rPr>
        <w:t>.</w:t>
      </w:r>
    </w:p>
  </w:footnote>
  <w:footnote w:id="50">
    <w:p w14:paraId="2032FB81" w14:textId="77777777" w:rsidR="00705D48" w:rsidRPr="00091DC3" w:rsidRDefault="00705D48" w:rsidP="000059AB">
      <w:pPr>
        <w:spacing w:after="0" w:line="240" w:lineRule="auto"/>
        <w:rPr>
          <w:b/>
          <w:noProof/>
          <w:lang w:eastAsia="en-AU"/>
        </w:rPr>
      </w:pPr>
      <w:r w:rsidRPr="003709A7">
        <w:rPr>
          <w:rStyle w:val="FootnoteReference"/>
          <w:sz w:val="18"/>
          <w:szCs w:val="18"/>
        </w:rPr>
        <w:footnoteRef/>
      </w:r>
      <w:r>
        <w:rPr>
          <w:sz w:val="18"/>
          <w:szCs w:val="18"/>
        </w:rPr>
        <w:t xml:space="preserve"> </w:t>
      </w:r>
      <w:r w:rsidRPr="003709A7">
        <w:rPr>
          <w:sz w:val="18"/>
          <w:szCs w:val="18"/>
        </w:rPr>
        <w:t xml:space="preserve">As </w:t>
      </w:r>
      <w:r w:rsidRPr="003709A7">
        <w:rPr>
          <w:rFonts w:ascii="Calibri" w:eastAsia="Calibri" w:hAnsi="Calibri" w:cs="Times New Roman"/>
          <w:sz w:val="18"/>
          <w:szCs w:val="18"/>
        </w:rPr>
        <w:t>illustrated in Annex 5.2</w:t>
      </w:r>
      <w:r w:rsidRPr="003709A7">
        <w:rPr>
          <w:sz w:val="18"/>
          <w:szCs w:val="18"/>
        </w:rPr>
        <w:t xml:space="preserve"> </w:t>
      </w:r>
      <w:r w:rsidRPr="003709A7">
        <w:rPr>
          <w:rFonts w:ascii="Calibri" w:eastAsia="Calibri" w:hAnsi="Calibri" w:cs="Times New Roman"/>
          <w:sz w:val="18"/>
          <w:szCs w:val="18"/>
        </w:rPr>
        <w:t xml:space="preserve">Figure 29: ‘VPF- gender analysis of POI/Accused since 2015’ the majority of FSV cases are committed by men. </w:t>
      </w:r>
      <w:r>
        <w:rPr>
          <w:rFonts w:ascii="Calibri" w:eastAsia="Calibri" w:hAnsi="Calibri" w:cs="Times New Roman"/>
          <w:sz w:val="18"/>
          <w:szCs w:val="18"/>
        </w:rPr>
        <w:t>SRBJS</w:t>
      </w:r>
      <w:r w:rsidRPr="003709A7">
        <w:rPr>
          <w:rFonts w:ascii="Calibri" w:eastAsia="Calibri" w:hAnsi="Calibri" w:cs="Times New Roman"/>
          <w:sz w:val="18"/>
          <w:szCs w:val="18"/>
        </w:rPr>
        <w:t xml:space="preserve"> provides capacity development support to PSO lawyers who represent those charged.</w:t>
      </w:r>
    </w:p>
  </w:footnote>
  <w:footnote w:id="51">
    <w:p w14:paraId="5EE74426" w14:textId="77777777" w:rsidR="00705D48" w:rsidRPr="003709A7" w:rsidRDefault="00705D48" w:rsidP="000059AB">
      <w:pPr>
        <w:spacing w:after="0" w:line="240" w:lineRule="auto"/>
        <w:rPr>
          <w:rFonts w:ascii="Calibri" w:eastAsia="Calibri" w:hAnsi="Calibri" w:cs="Times New Roman"/>
          <w:sz w:val="18"/>
          <w:szCs w:val="18"/>
        </w:rPr>
      </w:pPr>
      <w:r w:rsidRPr="003709A7">
        <w:rPr>
          <w:rStyle w:val="FootnoteReference"/>
          <w:sz w:val="18"/>
          <w:szCs w:val="18"/>
        </w:rPr>
        <w:footnoteRef/>
      </w:r>
      <w:r w:rsidRPr="003709A7">
        <w:rPr>
          <w:sz w:val="18"/>
          <w:szCs w:val="18"/>
        </w:rPr>
        <w:t xml:space="preserve"> </w:t>
      </w:r>
      <w:r w:rsidRPr="003709A7">
        <w:rPr>
          <w:rFonts w:ascii="Calibri" w:eastAsia="Calibri" w:hAnsi="Calibri" w:cs="Times New Roman"/>
          <w:sz w:val="18"/>
          <w:szCs w:val="18"/>
        </w:rPr>
        <w:t xml:space="preserve">Figure 32: ‘All offences - Case files submitted (CFS) to Prosecution’. This data shows that substantial increase in CFS being submitted to Prosecution (including for </w:t>
      </w:r>
      <w:r>
        <w:rPr>
          <w:rFonts w:ascii="Calibri" w:eastAsia="Calibri" w:hAnsi="Calibri" w:cs="Times New Roman"/>
          <w:sz w:val="18"/>
          <w:szCs w:val="18"/>
        </w:rPr>
        <w:t>FPA</w:t>
      </w:r>
      <w:r w:rsidRPr="003709A7">
        <w:rPr>
          <w:rFonts w:ascii="Calibri" w:eastAsia="Calibri" w:hAnsi="Calibri" w:cs="Times New Roman"/>
          <w:sz w:val="18"/>
          <w:szCs w:val="18"/>
        </w:rPr>
        <w:t xml:space="preserve"> offences and offences against morality) reflecting the increased focus on case management of investigations by VPF officers.</w:t>
      </w:r>
    </w:p>
  </w:footnote>
  <w:footnote w:id="52">
    <w:p w14:paraId="692E6029" w14:textId="77777777" w:rsidR="00705D48" w:rsidRPr="007903FF" w:rsidRDefault="00705D48" w:rsidP="000059AB">
      <w:pPr>
        <w:pStyle w:val="FootnoteText"/>
        <w:rPr>
          <w:sz w:val="18"/>
          <w:szCs w:val="18"/>
        </w:rPr>
      </w:pPr>
      <w:r w:rsidRPr="003709A7">
        <w:rPr>
          <w:rStyle w:val="FootnoteReference"/>
          <w:sz w:val="18"/>
          <w:szCs w:val="18"/>
        </w:rPr>
        <w:footnoteRef/>
      </w:r>
      <w:r w:rsidRPr="003709A7">
        <w:rPr>
          <w:sz w:val="18"/>
          <w:szCs w:val="18"/>
        </w:rPr>
        <w:t xml:space="preserve"> </w:t>
      </w:r>
      <w:r>
        <w:rPr>
          <w:rFonts w:cstheme="minorHAnsi"/>
          <w:color w:val="000000" w:themeColor="text1"/>
          <w:sz w:val="18"/>
          <w:szCs w:val="18"/>
        </w:rPr>
        <w:t>W</w:t>
      </w:r>
      <w:r w:rsidRPr="003709A7">
        <w:rPr>
          <w:rFonts w:cstheme="minorHAnsi"/>
          <w:color w:val="000000" w:themeColor="text1"/>
          <w:sz w:val="18"/>
          <w:szCs w:val="18"/>
        </w:rPr>
        <w:t xml:space="preserve">hile </w:t>
      </w:r>
      <w:r>
        <w:rPr>
          <w:rFonts w:cstheme="minorHAnsi"/>
          <w:color w:val="000000" w:themeColor="text1"/>
          <w:sz w:val="18"/>
          <w:szCs w:val="18"/>
        </w:rPr>
        <w:t xml:space="preserve">FSU </w:t>
      </w:r>
      <w:r w:rsidRPr="003709A7">
        <w:rPr>
          <w:rFonts w:cstheme="minorHAnsi"/>
          <w:color w:val="000000" w:themeColor="text1"/>
          <w:sz w:val="18"/>
          <w:szCs w:val="18"/>
        </w:rPr>
        <w:t xml:space="preserve">has the highest </w:t>
      </w:r>
      <w:r w:rsidRPr="007903FF">
        <w:rPr>
          <w:rFonts w:cstheme="minorHAnsi"/>
          <w:color w:val="000000" w:themeColor="text1"/>
          <w:sz w:val="18"/>
          <w:szCs w:val="18"/>
        </w:rPr>
        <w:t xml:space="preserve">number of cases assigned to them in PIMS in the last 2.5 years– 10% more than for SPD Port Vila), it currently has four </w:t>
      </w:r>
      <w:r w:rsidRPr="007903FF">
        <w:rPr>
          <w:noProof/>
          <w:sz w:val="18"/>
          <w:szCs w:val="18"/>
          <w:lang w:val="en-US" w:eastAsia="en-AU"/>
        </w:rPr>
        <w:t xml:space="preserve">out of its set staffing allocation of 12. </w:t>
      </w:r>
    </w:p>
  </w:footnote>
  <w:footnote w:id="53">
    <w:p w14:paraId="332BF67D" w14:textId="77777777" w:rsidR="00705D48" w:rsidRPr="003709A7" w:rsidRDefault="00705D48" w:rsidP="000059AB">
      <w:pPr>
        <w:spacing w:after="0" w:line="240" w:lineRule="auto"/>
        <w:rPr>
          <w:b/>
          <w:noProof/>
          <w:sz w:val="18"/>
          <w:szCs w:val="18"/>
          <w:lang w:eastAsia="en-AU"/>
        </w:rPr>
      </w:pPr>
      <w:r w:rsidRPr="003709A7">
        <w:rPr>
          <w:rStyle w:val="FootnoteReference"/>
          <w:sz w:val="18"/>
          <w:szCs w:val="18"/>
        </w:rPr>
        <w:footnoteRef/>
      </w:r>
      <w:r w:rsidRPr="003709A7">
        <w:rPr>
          <w:sz w:val="18"/>
          <w:szCs w:val="18"/>
        </w:rPr>
        <w:t xml:space="preserve"> Annex 5.2 </w:t>
      </w:r>
      <w:r w:rsidRPr="003709A7">
        <w:rPr>
          <w:noProof/>
          <w:sz w:val="18"/>
          <w:szCs w:val="18"/>
          <w:lang w:eastAsia="en-AU"/>
        </w:rPr>
        <w:t>Figure 16: OPP – offences registered</w:t>
      </w:r>
    </w:p>
  </w:footnote>
  <w:footnote w:id="54">
    <w:p w14:paraId="389BDAF9" w14:textId="77777777" w:rsidR="00705D48" w:rsidRPr="003709A7" w:rsidRDefault="00705D48" w:rsidP="000059AB">
      <w:pPr>
        <w:pStyle w:val="FootnoteText"/>
        <w:rPr>
          <w:sz w:val="18"/>
          <w:szCs w:val="18"/>
        </w:rPr>
      </w:pPr>
      <w:r w:rsidRPr="009668C9">
        <w:rPr>
          <w:rStyle w:val="FootnoteReference"/>
          <w:sz w:val="18"/>
          <w:szCs w:val="18"/>
        </w:rPr>
        <w:footnoteRef/>
      </w:r>
      <w:r w:rsidRPr="009668C9">
        <w:rPr>
          <w:sz w:val="18"/>
          <w:szCs w:val="18"/>
        </w:rPr>
        <w:t xml:space="preserve"> </w:t>
      </w:r>
      <w:r w:rsidRPr="009668C9">
        <w:rPr>
          <w:rFonts w:ascii="Calibri" w:eastAsia="Calibri" w:hAnsi="Calibri" w:cs="Times New Roman"/>
          <w:sz w:val="18"/>
          <w:szCs w:val="18"/>
        </w:rPr>
        <w:t xml:space="preserve">At the time of this evaluation, there are currently 186 family violence matters dealt with by 4 females and 1 male prosecutor, and 36 serious crime matters (which are reportedly considered more important) are dealt with by four male prosecutors. Source: information provided during an interview. </w:t>
      </w:r>
    </w:p>
  </w:footnote>
  <w:footnote w:id="55">
    <w:p w14:paraId="4E2C59D3" w14:textId="77777777" w:rsidR="00705D48" w:rsidRPr="003709A7" w:rsidRDefault="00705D48" w:rsidP="000059AB">
      <w:pPr>
        <w:pStyle w:val="FootnoteText"/>
        <w:tabs>
          <w:tab w:val="left" w:pos="5186"/>
        </w:tabs>
        <w:rPr>
          <w:sz w:val="18"/>
          <w:szCs w:val="18"/>
        </w:rPr>
      </w:pPr>
      <w:r w:rsidRPr="003709A7">
        <w:rPr>
          <w:rStyle w:val="FootnoteReference"/>
          <w:sz w:val="18"/>
          <w:szCs w:val="18"/>
        </w:rPr>
        <w:footnoteRef/>
      </w:r>
      <w:r w:rsidRPr="003709A7">
        <w:rPr>
          <w:sz w:val="18"/>
          <w:szCs w:val="18"/>
        </w:rPr>
        <w:t xml:space="preserve"> See Annex 5.2 Figure 19: ‘Protection Orders – Magistrates</w:t>
      </w:r>
      <w:r>
        <w:rPr>
          <w:sz w:val="18"/>
          <w:szCs w:val="18"/>
        </w:rPr>
        <w:t>’</w:t>
      </w:r>
      <w:r w:rsidRPr="003709A7">
        <w:rPr>
          <w:sz w:val="18"/>
          <w:szCs w:val="18"/>
        </w:rPr>
        <w:t xml:space="preserve"> Court’ and </w:t>
      </w:r>
      <w:r w:rsidRPr="003709A7">
        <w:rPr>
          <w:noProof/>
          <w:sz w:val="18"/>
          <w:szCs w:val="18"/>
          <w:lang w:eastAsia="en-AU"/>
        </w:rPr>
        <w:t>Figure 23: ‘Court cases – total volumes</w:t>
      </w:r>
      <w:r>
        <w:rPr>
          <w:noProof/>
          <w:sz w:val="18"/>
          <w:szCs w:val="18"/>
          <w:lang w:eastAsia="en-AU"/>
        </w:rPr>
        <w:t>.</w:t>
      </w:r>
      <w:r w:rsidRPr="003709A7">
        <w:rPr>
          <w:noProof/>
          <w:sz w:val="18"/>
          <w:szCs w:val="18"/>
          <w:lang w:eastAsia="en-AU"/>
        </w:rPr>
        <w:t>’</w:t>
      </w:r>
      <w:r w:rsidRPr="003709A7">
        <w:rPr>
          <w:sz w:val="18"/>
          <w:szCs w:val="18"/>
        </w:rPr>
        <w:tab/>
        <w:t xml:space="preserve"> </w:t>
      </w:r>
    </w:p>
  </w:footnote>
  <w:footnote w:id="56">
    <w:p w14:paraId="167EC58D" w14:textId="77777777" w:rsidR="00705D48" w:rsidRPr="003709A7" w:rsidRDefault="00705D48" w:rsidP="000059AB">
      <w:pPr>
        <w:spacing w:after="0" w:line="240" w:lineRule="auto"/>
        <w:rPr>
          <w:sz w:val="18"/>
          <w:szCs w:val="18"/>
        </w:rPr>
      </w:pPr>
      <w:r w:rsidRPr="003709A7">
        <w:rPr>
          <w:rStyle w:val="FootnoteReference"/>
          <w:sz w:val="18"/>
          <w:szCs w:val="18"/>
        </w:rPr>
        <w:footnoteRef/>
      </w:r>
      <w:r w:rsidRPr="003709A7">
        <w:rPr>
          <w:sz w:val="18"/>
          <w:szCs w:val="18"/>
        </w:rPr>
        <w:t xml:space="preserve"> See Annex 5.2 Figure 38: ‘Average days from Date of Offence to Decision at Court’. This data shows </w:t>
      </w:r>
      <w:proofErr w:type="gramStart"/>
      <w:r w:rsidRPr="003709A7">
        <w:rPr>
          <w:sz w:val="18"/>
          <w:szCs w:val="18"/>
        </w:rPr>
        <w:t>Visible</w:t>
      </w:r>
      <w:proofErr w:type="gramEnd"/>
      <w:r w:rsidRPr="003709A7">
        <w:rPr>
          <w:sz w:val="18"/>
          <w:szCs w:val="18"/>
        </w:rPr>
        <w:t xml:space="preserve"> improvement in last 2 years for those victims of Family Protection offences seeing justice in quicker time</w:t>
      </w:r>
      <w:r>
        <w:rPr>
          <w:sz w:val="18"/>
          <w:szCs w:val="18"/>
        </w:rPr>
        <w:t>.</w:t>
      </w:r>
    </w:p>
  </w:footnote>
  <w:footnote w:id="57">
    <w:p w14:paraId="186D7A28" w14:textId="77777777" w:rsidR="00705D48" w:rsidRPr="00B9262C" w:rsidRDefault="00705D48" w:rsidP="000059AB">
      <w:pPr>
        <w:spacing w:after="0" w:line="240" w:lineRule="auto"/>
        <w:rPr>
          <w:rFonts w:ascii="Calibri" w:eastAsia="Calibri" w:hAnsi="Calibri" w:cs="Times New Roman"/>
        </w:rPr>
      </w:pPr>
      <w:r w:rsidRPr="003709A7">
        <w:rPr>
          <w:rStyle w:val="FootnoteReference"/>
          <w:sz w:val="18"/>
          <w:szCs w:val="18"/>
        </w:rPr>
        <w:footnoteRef/>
      </w:r>
      <w:r w:rsidRPr="003709A7">
        <w:rPr>
          <w:sz w:val="18"/>
          <w:szCs w:val="18"/>
        </w:rPr>
        <w:t xml:space="preserve"> </w:t>
      </w:r>
      <w:r w:rsidRPr="003709A7">
        <w:rPr>
          <w:rFonts w:ascii="Calibri" w:eastAsia="Calibri" w:hAnsi="Calibri" w:cs="Times New Roman"/>
          <w:sz w:val="18"/>
          <w:szCs w:val="18"/>
        </w:rPr>
        <w:t>See Annex 5.2 Figure 33: ‘Protection Orders – Magistrates</w:t>
      </w:r>
      <w:r>
        <w:rPr>
          <w:rFonts w:ascii="Calibri" w:eastAsia="Calibri" w:hAnsi="Calibri" w:cs="Times New Roman"/>
          <w:sz w:val="18"/>
          <w:szCs w:val="18"/>
        </w:rPr>
        <w:t>’</w:t>
      </w:r>
      <w:r w:rsidRPr="003709A7">
        <w:rPr>
          <w:rFonts w:ascii="Calibri" w:eastAsia="Calibri" w:hAnsi="Calibri" w:cs="Times New Roman"/>
          <w:sz w:val="18"/>
          <w:szCs w:val="18"/>
        </w:rPr>
        <w:t xml:space="preserve"> Court – Outcomes (results)’. It evidences that less matters – in % terms - being withdrawn or dismissed by the Court - a positive reflection in the dealing with matters by the Judiciary.</w:t>
      </w:r>
    </w:p>
  </w:footnote>
  <w:footnote w:id="58">
    <w:p w14:paraId="3AF41265" w14:textId="77777777" w:rsidR="00705D48" w:rsidRPr="003709A7" w:rsidRDefault="00705D48" w:rsidP="000059AB">
      <w:pPr>
        <w:pStyle w:val="FootnoteText"/>
        <w:rPr>
          <w:sz w:val="18"/>
          <w:szCs w:val="18"/>
        </w:rPr>
      </w:pPr>
      <w:r w:rsidRPr="003709A7">
        <w:rPr>
          <w:rStyle w:val="FootnoteReference"/>
          <w:sz w:val="18"/>
          <w:szCs w:val="18"/>
        </w:rPr>
        <w:footnoteRef/>
      </w:r>
      <w:r w:rsidRPr="003709A7">
        <w:rPr>
          <w:sz w:val="18"/>
          <w:szCs w:val="18"/>
        </w:rPr>
        <w:t xml:space="preserve"> VWC has trained over 500 officers. There are four levels of training - receptive men who progress through all four levels form part of the network. Three police officers have done all stages and 60 have done two stages.</w:t>
      </w:r>
    </w:p>
  </w:footnote>
  <w:footnote w:id="59">
    <w:p w14:paraId="40727991" w14:textId="77777777" w:rsidR="00705D48" w:rsidRPr="00F71650" w:rsidRDefault="00705D48" w:rsidP="000059AB">
      <w:pPr>
        <w:pStyle w:val="FootnoteText"/>
        <w:rPr>
          <w:sz w:val="18"/>
          <w:szCs w:val="18"/>
        </w:rPr>
      </w:pPr>
      <w:r w:rsidRPr="003709A7">
        <w:rPr>
          <w:rStyle w:val="FootnoteReference"/>
          <w:sz w:val="18"/>
          <w:szCs w:val="18"/>
        </w:rPr>
        <w:footnoteRef/>
      </w:r>
      <w:r w:rsidRPr="003709A7">
        <w:rPr>
          <w:sz w:val="18"/>
          <w:szCs w:val="18"/>
        </w:rPr>
        <w:t xml:space="preserve"> VSPD has also been performing a similar role for people with disability, however it lacks knowledge of the court system </w:t>
      </w:r>
      <w:r w:rsidRPr="00F71650">
        <w:rPr>
          <w:sz w:val="18"/>
          <w:szCs w:val="18"/>
        </w:rPr>
        <w:t xml:space="preserve">and processes. </w:t>
      </w:r>
    </w:p>
  </w:footnote>
  <w:footnote w:id="60">
    <w:p w14:paraId="02AE9775" w14:textId="77777777" w:rsidR="00705D48" w:rsidRPr="00F71650" w:rsidRDefault="00705D48" w:rsidP="000059AB">
      <w:pPr>
        <w:spacing w:after="0" w:line="240" w:lineRule="auto"/>
        <w:rPr>
          <w:rFonts w:ascii="Calibri" w:hAnsi="Calibri" w:cs="Calibri"/>
          <w:b/>
          <w:bCs/>
          <w:sz w:val="18"/>
          <w:szCs w:val="18"/>
        </w:rPr>
      </w:pPr>
      <w:r w:rsidRPr="00F71650">
        <w:rPr>
          <w:rStyle w:val="FootnoteReference"/>
          <w:sz w:val="18"/>
          <w:szCs w:val="18"/>
        </w:rPr>
        <w:footnoteRef/>
      </w:r>
      <w:r w:rsidRPr="00F71650">
        <w:rPr>
          <w:sz w:val="18"/>
          <w:szCs w:val="18"/>
        </w:rPr>
        <w:t xml:space="preserve"> </w:t>
      </w:r>
      <w:r w:rsidRPr="00F71650">
        <w:rPr>
          <w:rFonts w:ascii="Calibri" w:eastAsia="Calibri" w:hAnsi="Calibri" w:cs="Times New Roman"/>
          <w:sz w:val="18"/>
          <w:szCs w:val="18"/>
        </w:rPr>
        <w:t xml:space="preserve">During 2019, </w:t>
      </w:r>
      <w:r w:rsidRPr="00F71650">
        <w:rPr>
          <w:rFonts w:ascii="Calibri" w:hAnsi="Calibri" w:cs="Calibri"/>
          <w:sz w:val="18"/>
          <w:szCs w:val="18"/>
        </w:rPr>
        <w:t>the SRBJS targets for participation of women in training were met during reporting period (100% of all women in justice agencies; 30% of those accessing VPF training are women). 34 per cent of the VPF recruits in the period were women (12 women, 23 men). (</w:t>
      </w:r>
      <w:proofErr w:type="gramStart"/>
      <w:r w:rsidRPr="00F71650">
        <w:rPr>
          <w:rFonts w:ascii="Calibri" w:hAnsi="Calibri" w:cs="Calibri"/>
          <w:sz w:val="18"/>
          <w:szCs w:val="18"/>
        </w:rPr>
        <w:t>from</w:t>
      </w:r>
      <w:proofErr w:type="gramEnd"/>
      <w:r w:rsidRPr="00F71650">
        <w:rPr>
          <w:rFonts w:ascii="Calibri" w:hAnsi="Calibri" w:cs="Calibri"/>
          <w:sz w:val="18"/>
          <w:szCs w:val="18"/>
        </w:rPr>
        <w:t xml:space="preserve"> the cohort from June – Dec 2018).  </w:t>
      </w:r>
    </w:p>
  </w:footnote>
  <w:footnote w:id="61">
    <w:p w14:paraId="7EF50691" w14:textId="77777777" w:rsidR="00705D48" w:rsidRPr="00F71650" w:rsidRDefault="00705D48" w:rsidP="000059AB">
      <w:pPr>
        <w:pStyle w:val="FootnoteText"/>
        <w:rPr>
          <w:sz w:val="18"/>
          <w:szCs w:val="18"/>
        </w:rPr>
      </w:pPr>
      <w:r w:rsidRPr="00F71650">
        <w:rPr>
          <w:rStyle w:val="FootnoteReference"/>
          <w:sz w:val="18"/>
          <w:szCs w:val="18"/>
        </w:rPr>
        <w:footnoteRef/>
      </w:r>
      <w:r w:rsidRPr="00F71650">
        <w:rPr>
          <w:sz w:val="18"/>
          <w:szCs w:val="18"/>
        </w:rPr>
        <w:t xml:space="preserve"> </w:t>
      </w:r>
      <w:r w:rsidRPr="00F71650">
        <w:rPr>
          <w:noProof/>
          <w:sz w:val="18"/>
          <w:szCs w:val="18"/>
          <w:lang w:val="en-US" w:eastAsia="en-AU"/>
        </w:rPr>
        <w:t>The FPU holds responsibility for investigating domestic and sexual violence including statements,</w:t>
      </w:r>
      <w:r w:rsidRPr="00F71650">
        <w:rPr>
          <w:sz w:val="18"/>
          <w:szCs w:val="18"/>
        </w:rPr>
        <w:t xml:space="preserve"> evidence, crime scene, and submission to prosecutions.</w:t>
      </w:r>
    </w:p>
  </w:footnote>
  <w:footnote w:id="62">
    <w:p w14:paraId="1909E92F" w14:textId="77777777" w:rsidR="00705D48" w:rsidRPr="003709A7" w:rsidRDefault="00705D48" w:rsidP="000059AB">
      <w:pPr>
        <w:spacing w:after="0" w:line="240" w:lineRule="auto"/>
        <w:rPr>
          <w:rFonts w:ascii="Calibri" w:hAnsi="Calibri" w:cs="Calibri"/>
          <w:sz w:val="18"/>
          <w:szCs w:val="18"/>
        </w:rPr>
      </w:pPr>
      <w:r w:rsidRPr="00F71650">
        <w:rPr>
          <w:rStyle w:val="FootnoteReference"/>
          <w:sz w:val="18"/>
          <w:szCs w:val="18"/>
        </w:rPr>
        <w:footnoteRef/>
      </w:r>
      <w:r w:rsidRPr="00F71650">
        <w:rPr>
          <w:sz w:val="18"/>
          <w:szCs w:val="18"/>
        </w:rPr>
        <w:t xml:space="preserve"> </w:t>
      </w:r>
      <w:r w:rsidRPr="00F71650">
        <w:rPr>
          <w:rFonts w:ascii="Calibri" w:hAnsi="Calibri" w:cs="Calibri"/>
          <w:sz w:val="18"/>
          <w:szCs w:val="18"/>
        </w:rPr>
        <w:t>See Annex 5.2 Figure 7: ‘Offences assigned to VPF Units over</w:t>
      </w:r>
      <w:r w:rsidRPr="003709A7">
        <w:rPr>
          <w:rFonts w:ascii="Calibri" w:hAnsi="Calibri" w:cs="Calibri"/>
          <w:sz w:val="18"/>
          <w:szCs w:val="18"/>
        </w:rPr>
        <w:t xml:space="preserve"> last five years’ (only the Port Vila serious crimes unit has a larger offence load at 16%). See also Figure 8: ‘Offence load by Unit over last 5 years’, and Figure 9: ‘Offence load by Unit over last 5 years – EFATE’.</w:t>
      </w:r>
    </w:p>
  </w:footnote>
  <w:footnote w:id="63">
    <w:p w14:paraId="2C4367E6" w14:textId="77777777" w:rsidR="00705D48" w:rsidRPr="007903FF" w:rsidRDefault="00705D48" w:rsidP="000059AB">
      <w:pPr>
        <w:pStyle w:val="FootnoteText"/>
        <w:rPr>
          <w:sz w:val="18"/>
          <w:szCs w:val="18"/>
        </w:rPr>
      </w:pPr>
      <w:r w:rsidRPr="007903FF">
        <w:rPr>
          <w:rStyle w:val="FootnoteReference"/>
          <w:sz w:val="18"/>
          <w:szCs w:val="18"/>
        </w:rPr>
        <w:footnoteRef/>
      </w:r>
      <w:r w:rsidRPr="007903FF">
        <w:rPr>
          <w:sz w:val="18"/>
          <w:szCs w:val="18"/>
        </w:rPr>
        <w:t xml:space="preserve"> Two additional recruits are to be assigned. </w:t>
      </w:r>
      <w:r>
        <w:rPr>
          <w:sz w:val="18"/>
          <w:szCs w:val="18"/>
        </w:rPr>
        <w:t xml:space="preserve"> </w:t>
      </w:r>
    </w:p>
  </w:footnote>
  <w:footnote w:id="64">
    <w:p w14:paraId="30F5A265" w14:textId="77777777" w:rsidR="00705D48" w:rsidRPr="003709A7" w:rsidRDefault="00705D48" w:rsidP="000059AB">
      <w:pPr>
        <w:pStyle w:val="FootnoteText"/>
        <w:rPr>
          <w:sz w:val="18"/>
          <w:szCs w:val="18"/>
        </w:rPr>
      </w:pPr>
      <w:r w:rsidRPr="003709A7">
        <w:rPr>
          <w:rStyle w:val="FootnoteReference"/>
          <w:sz w:val="18"/>
          <w:szCs w:val="18"/>
        </w:rPr>
        <w:footnoteRef/>
      </w:r>
      <w:r w:rsidRPr="003709A7">
        <w:rPr>
          <w:sz w:val="18"/>
          <w:szCs w:val="18"/>
        </w:rPr>
        <w:t xml:space="preserve"> Some respondents noted there had been some improvements in this area, with more officers now aware of and carrying out duties associated with the FPA. This is supported by increases in reporting of FSV offences. However, respondents also reported that this was dependent on the particular officer rather than a systematic policy </w:t>
      </w:r>
      <w:r>
        <w:rPr>
          <w:sz w:val="18"/>
          <w:szCs w:val="18"/>
        </w:rPr>
        <w:t xml:space="preserve">or culture </w:t>
      </w:r>
      <w:r w:rsidRPr="003709A7">
        <w:rPr>
          <w:sz w:val="18"/>
          <w:szCs w:val="18"/>
        </w:rPr>
        <w:t>mandated by command.</w:t>
      </w:r>
    </w:p>
  </w:footnote>
  <w:footnote w:id="65">
    <w:p w14:paraId="5A63CD3D" w14:textId="77777777" w:rsidR="00705D48" w:rsidRPr="002074BF" w:rsidRDefault="00705D48" w:rsidP="000059AB">
      <w:pPr>
        <w:pStyle w:val="FootnoteText"/>
        <w:jc w:val="both"/>
        <w:rPr>
          <w:sz w:val="18"/>
          <w:szCs w:val="18"/>
        </w:rPr>
      </w:pPr>
      <w:r w:rsidRPr="003709A7">
        <w:rPr>
          <w:rStyle w:val="FootnoteReference"/>
          <w:sz w:val="18"/>
          <w:szCs w:val="18"/>
        </w:rPr>
        <w:footnoteRef/>
      </w:r>
      <w:r w:rsidRPr="003709A7">
        <w:rPr>
          <w:sz w:val="18"/>
          <w:szCs w:val="18"/>
        </w:rPr>
        <w:t xml:space="preserve"> The 2015 evaluation of the participation of women in the VPF found that the percentage of women in the VPF was 13.9%.</w:t>
      </w:r>
      <w:r>
        <w:rPr>
          <w:sz w:val="18"/>
          <w:szCs w:val="18"/>
        </w:rPr>
        <w:t xml:space="preserve"> </w:t>
      </w:r>
      <w:r w:rsidRPr="003709A7">
        <w:rPr>
          <w:sz w:val="18"/>
          <w:szCs w:val="18"/>
        </w:rPr>
        <w:t>At the time, there were 3 women in leadership roles: 1 Superintendent, 1 Chief Inspector and 1 Inspector. The percentage of women in leadership positions was 0.44% of the total number of VPF members, and 3.1% of the total number of women. (Evaluation of the Participation of Women in the VPF, June-July 2015, p.23).</w:t>
      </w:r>
      <w:r>
        <w:rPr>
          <w:sz w:val="18"/>
          <w:szCs w:val="18"/>
        </w:rPr>
        <w:t xml:space="preserve"> </w:t>
      </w:r>
    </w:p>
  </w:footnote>
  <w:footnote w:id="66">
    <w:p w14:paraId="41C5811D" w14:textId="77777777" w:rsidR="00705D48" w:rsidRPr="003709A7" w:rsidRDefault="00705D48" w:rsidP="000059AB">
      <w:pPr>
        <w:autoSpaceDE w:val="0"/>
        <w:autoSpaceDN w:val="0"/>
        <w:adjustRightInd w:val="0"/>
        <w:spacing w:after="0" w:line="240" w:lineRule="auto"/>
        <w:rPr>
          <w:sz w:val="18"/>
          <w:szCs w:val="18"/>
        </w:rPr>
      </w:pPr>
      <w:r w:rsidRPr="003709A7">
        <w:rPr>
          <w:rStyle w:val="FootnoteReference"/>
          <w:sz w:val="18"/>
          <w:szCs w:val="18"/>
        </w:rPr>
        <w:footnoteRef/>
      </w:r>
      <w:r w:rsidRPr="003709A7">
        <w:rPr>
          <w:sz w:val="18"/>
          <w:szCs w:val="18"/>
        </w:rPr>
        <w:t xml:space="preserve"> </w:t>
      </w:r>
      <w:r w:rsidRPr="003709A7">
        <w:rPr>
          <w:rFonts w:ascii="Calibri" w:hAnsi="Calibri" w:cs="Calibri"/>
          <w:sz w:val="18"/>
          <w:szCs w:val="18"/>
        </w:rPr>
        <w:t xml:space="preserve">Some examples include the appointment of female officers to the VPF Executive (currently there are no female officers appointed above Senior Inspector and only 2/83 (2%) of Senior Officers over Inspector level are women), and the development of a policy on equity in women’s representation in VPF activities. Source: </w:t>
      </w:r>
      <w:r>
        <w:rPr>
          <w:rFonts w:ascii="Calibri" w:hAnsi="Calibri" w:cs="Calibri"/>
          <w:sz w:val="18"/>
          <w:szCs w:val="18"/>
        </w:rPr>
        <w:t>SRBJS</w:t>
      </w:r>
      <w:r w:rsidRPr="003709A7">
        <w:rPr>
          <w:rFonts w:ascii="Calibri" w:hAnsi="Calibri" w:cs="Calibri"/>
          <w:sz w:val="18"/>
          <w:szCs w:val="18"/>
        </w:rPr>
        <w:t xml:space="preserve"> Progress Report, January - June 2019, Attachment G, </w:t>
      </w:r>
      <w:r>
        <w:rPr>
          <w:rFonts w:ascii="Calibri" w:hAnsi="Calibri" w:cs="Calibri"/>
          <w:sz w:val="18"/>
          <w:szCs w:val="18"/>
        </w:rPr>
        <w:t>pp.</w:t>
      </w:r>
      <w:r w:rsidRPr="003709A7">
        <w:rPr>
          <w:rFonts w:ascii="Calibri" w:hAnsi="Calibri" w:cs="Calibri"/>
          <w:sz w:val="18"/>
          <w:szCs w:val="18"/>
        </w:rPr>
        <w:t>6-7.</w:t>
      </w:r>
    </w:p>
  </w:footnote>
  <w:footnote w:id="67">
    <w:p w14:paraId="50F71B36" w14:textId="77777777" w:rsidR="00705D48" w:rsidRPr="002C1011" w:rsidRDefault="00705D48" w:rsidP="00C75BD1">
      <w:pPr>
        <w:pStyle w:val="FootnoteText"/>
        <w:rPr>
          <w:sz w:val="18"/>
          <w:szCs w:val="18"/>
        </w:rPr>
      </w:pPr>
      <w:r w:rsidRPr="002C1011">
        <w:rPr>
          <w:rStyle w:val="FootnoteReference"/>
          <w:sz w:val="18"/>
          <w:szCs w:val="18"/>
        </w:rPr>
        <w:footnoteRef/>
      </w:r>
      <w:r w:rsidRPr="002C1011">
        <w:rPr>
          <w:sz w:val="18"/>
          <w:szCs w:val="18"/>
        </w:rPr>
        <w:t xml:space="preserve"> </w:t>
      </w:r>
      <w:r>
        <w:rPr>
          <w:sz w:val="18"/>
          <w:szCs w:val="18"/>
        </w:rPr>
        <w:t>SRBJS</w:t>
      </w:r>
      <w:r w:rsidRPr="002C1011">
        <w:rPr>
          <w:sz w:val="18"/>
          <w:szCs w:val="18"/>
        </w:rPr>
        <w:t xml:space="preserve"> Project Design Document, DFAT 2016, </w:t>
      </w:r>
      <w:r>
        <w:rPr>
          <w:sz w:val="18"/>
          <w:szCs w:val="18"/>
        </w:rPr>
        <w:t>p.</w:t>
      </w:r>
      <w:r w:rsidRPr="002C1011">
        <w:rPr>
          <w:sz w:val="18"/>
          <w:szCs w:val="18"/>
        </w:rPr>
        <w:t xml:space="preserve"> 10.</w:t>
      </w:r>
    </w:p>
  </w:footnote>
  <w:footnote w:id="68">
    <w:p w14:paraId="32DBD31D" w14:textId="77777777" w:rsidR="00705D48" w:rsidRDefault="00705D48" w:rsidP="00C75BD1">
      <w:pPr>
        <w:pStyle w:val="FootnoteText"/>
      </w:pPr>
      <w:r>
        <w:rPr>
          <w:rStyle w:val="FootnoteReference"/>
        </w:rPr>
        <w:footnoteRef/>
      </w:r>
      <w:r>
        <w:t xml:space="preserve"> </w:t>
      </w:r>
      <w:r w:rsidRPr="003709A7">
        <w:rPr>
          <w:sz w:val="18"/>
          <w:szCs w:val="18"/>
        </w:rPr>
        <w:t>Draft Evaluation of the AP-RC Pilot, p.</w:t>
      </w:r>
      <w:r>
        <w:rPr>
          <w:sz w:val="18"/>
          <w:szCs w:val="18"/>
        </w:rPr>
        <w:t>6.</w:t>
      </w:r>
    </w:p>
  </w:footnote>
  <w:footnote w:id="69">
    <w:p w14:paraId="363ED9F9" w14:textId="77777777" w:rsidR="00705D48" w:rsidRPr="00EE06E8" w:rsidRDefault="00705D48" w:rsidP="00EE06E8">
      <w:pPr>
        <w:spacing w:after="0" w:line="240" w:lineRule="auto"/>
        <w:jc w:val="both"/>
        <w:rPr>
          <w:rFonts w:eastAsia="Times New Roman" w:cstheme="minorHAnsi"/>
          <w:sz w:val="18"/>
          <w:szCs w:val="18"/>
          <w:lang w:eastAsia="en-AU"/>
        </w:rPr>
      </w:pPr>
      <w:bookmarkStart w:id="42" w:name="_Hlk21688567"/>
      <w:r w:rsidRPr="00EE06E8">
        <w:rPr>
          <w:rStyle w:val="FootnoteReference"/>
          <w:sz w:val="18"/>
          <w:szCs w:val="18"/>
        </w:rPr>
        <w:footnoteRef/>
      </w:r>
      <w:r w:rsidRPr="00EE06E8">
        <w:rPr>
          <w:sz w:val="18"/>
          <w:szCs w:val="18"/>
        </w:rPr>
        <w:t xml:space="preserve"> Respondents from </w:t>
      </w:r>
      <w:r w:rsidRPr="00EE06E8">
        <w:rPr>
          <w:rFonts w:eastAsia="Times New Roman" w:cstheme="minorHAnsi"/>
          <w:sz w:val="18"/>
          <w:szCs w:val="18"/>
          <w:lang w:eastAsia="en-AU"/>
        </w:rPr>
        <w:t xml:space="preserve">Tokyo </w:t>
      </w:r>
      <w:proofErr w:type="spellStart"/>
      <w:r w:rsidRPr="00EE06E8">
        <w:rPr>
          <w:rFonts w:eastAsia="Times New Roman" w:cstheme="minorHAnsi"/>
          <w:sz w:val="18"/>
          <w:szCs w:val="18"/>
          <w:lang w:eastAsia="en-AU"/>
        </w:rPr>
        <w:t>Buninga</w:t>
      </w:r>
      <w:proofErr w:type="spellEnd"/>
      <w:r w:rsidRPr="00EE06E8">
        <w:rPr>
          <w:rFonts w:eastAsia="Times New Roman" w:cstheme="minorHAnsi"/>
          <w:sz w:val="18"/>
          <w:szCs w:val="18"/>
          <w:lang w:eastAsia="en-AU"/>
        </w:rPr>
        <w:t xml:space="preserve"> and Olin reported that their communities were part of a “</w:t>
      </w:r>
      <w:proofErr w:type="spellStart"/>
      <w:r w:rsidRPr="00EE06E8">
        <w:rPr>
          <w:rFonts w:eastAsia="Times New Roman" w:cstheme="minorHAnsi"/>
          <w:sz w:val="18"/>
          <w:szCs w:val="18"/>
          <w:lang w:eastAsia="en-AU"/>
        </w:rPr>
        <w:t>Nasara</w:t>
      </w:r>
      <w:proofErr w:type="spellEnd"/>
      <w:r w:rsidRPr="00EE06E8">
        <w:rPr>
          <w:rFonts w:eastAsia="Times New Roman" w:cstheme="minorHAnsi"/>
          <w:sz w:val="18"/>
          <w:szCs w:val="18"/>
          <w:lang w:eastAsia="en-AU"/>
        </w:rPr>
        <w:t>” which has four chiefs in the area. As not all of the four chiefs had been engaged, some communities were unable to approach APs. F</w:t>
      </w:r>
      <w:r>
        <w:rPr>
          <w:rFonts w:eastAsia="Times New Roman" w:cstheme="minorHAnsi"/>
          <w:sz w:val="18"/>
          <w:szCs w:val="18"/>
          <w:lang w:eastAsia="en-AU"/>
        </w:rPr>
        <w:t>ocus group</w:t>
      </w:r>
      <w:r w:rsidRPr="00EE06E8">
        <w:rPr>
          <w:rFonts w:eastAsia="Times New Roman" w:cstheme="minorHAnsi"/>
          <w:sz w:val="18"/>
          <w:szCs w:val="18"/>
          <w:lang w:eastAsia="en-AU"/>
        </w:rPr>
        <w:t xml:space="preserve"> respondents also noted that </w:t>
      </w:r>
      <w:r>
        <w:rPr>
          <w:rFonts w:eastAsia="Times New Roman" w:cstheme="minorHAnsi"/>
          <w:sz w:val="18"/>
          <w:szCs w:val="18"/>
          <w:lang w:eastAsia="en-AU"/>
        </w:rPr>
        <w:t>some of the roles played by</w:t>
      </w:r>
      <w:r w:rsidRPr="00EE06E8">
        <w:rPr>
          <w:rFonts w:eastAsia="Times New Roman" w:cstheme="minorHAnsi"/>
          <w:sz w:val="18"/>
          <w:szCs w:val="18"/>
          <w:lang w:eastAsia="en-AU"/>
        </w:rPr>
        <w:t xml:space="preserve"> AP</w:t>
      </w:r>
      <w:r>
        <w:rPr>
          <w:rFonts w:eastAsia="Times New Roman" w:cstheme="minorHAnsi"/>
          <w:sz w:val="18"/>
          <w:szCs w:val="18"/>
          <w:lang w:eastAsia="en-AU"/>
        </w:rPr>
        <w:t>s traditionally belong to chiefs, and that the level of support and endorsement provided by the chief for the AP (which influences community uptake) was dependent on each chief’s personal understanding and level of support for the project.</w:t>
      </w:r>
      <w:bookmarkEnd w:id="42"/>
    </w:p>
  </w:footnote>
  <w:footnote w:id="70">
    <w:p w14:paraId="243D0884" w14:textId="77777777" w:rsidR="00705D48" w:rsidRPr="00DD63C5" w:rsidRDefault="00705D48" w:rsidP="00C75BD1">
      <w:pPr>
        <w:spacing w:after="0" w:line="240" w:lineRule="auto"/>
        <w:jc w:val="both"/>
        <w:rPr>
          <w:sz w:val="18"/>
          <w:szCs w:val="18"/>
        </w:rPr>
      </w:pPr>
      <w:r w:rsidRPr="00DD63C5">
        <w:rPr>
          <w:rStyle w:val="FootnoteReference"/>
          <w:sz w:val="18"/>
          <w:szCs w:val="18"/>
        </w:rPr>
        <w:footnoteRef/>
      </w:r>
      <w:r w:rsidRPr="00DD63C5">
        <w:rPr>
          <w:sz w:val="18"/>
          <w:szCs w:val="18"/>
        </w:rPr>
        <w:t xml:space="preserve"> A </w:t>
      </w:r>
      <w:r w:rsidRPr="00DD63C5">
        <w:rPr>
          <w:rFonts w:cstheme="minorHAnsi"/>
          <w:color w:val="000000"/>
          <w:sz w:val="18"/>
          <w:szCs w:val="18"/>
        </w:rPr>
        <w:t>National Survey conducted eight years ago by VWC and the NSO</w:t>
      </w:r>
      <w:r w:rsidRPr="00DD63C5">
        <w:rPr>
          <w:noProof/>
          <w:sz w:val="18"/>
          <w:szCs w:val="18"/>
        </w:rPr>
        <w:t xml:space="preserve"> 'Vanuatu National Survey on Women’s Lives and Family Relationships', 2011</w:t>
      </w:r>
      <w:r w:rsidRPr="00DD63C5">
        <w:rPr>
          <w:sz w:val="18"/>
          <w:szCs w:val="18"/>
        </w:rPr>
        <w:t xml:space="preserve">. </w:t>
      </w:r>
    </w:p>
  </w:footnote>
  <w:footnote w:id="71">
    <w:p w14:paraId="547C6860" w14:textId="77777777" w:rsidR="00705D48" w:rsidRPr="007A6AE6" w:rsidRDefault="00705D48" w:rsidP="00C75BD1">
      <w:pPr>
        <w:spacing w:after="0" w:line="240" w:lineRule="auto"/>
        <w:jc w:val="both"/>
        <w:rPr>
          <w:rFonts w:ascii="Calibri" w:eastAsia="Calibri" w:hAnsi="Calibri" w:cs="Times New Roman"/>
          <w:sz w:val="18"/>
          <w:szCs w:val="18"/>
        </w:rPr>
      </w:pPr>
      <w:r w:rsidRPr="007A6AE6">
        <w:rPr>
          <w:rStyle w:val="FootnoteReference"/>
          <w:sz w:val="18"/>
          <w:szCs w:val="18"/>
        </w:rPr>
        <w:footnoteRef/>
      </w:r>
      <w:r w:rsidRPr="007A6AE6">
        <w:rPr>
          <w:sz w:val="18"/>
          <w:szCs w:val="18"/>
        </w:rPr>
        <w:t xml:space="preserve"> </w:t>
      </w:r>
      <w:r w:rsidRPr="007A6AE6">
        <w:rPr>
          <w:rFonts w:ascii="Calibri" w:eastAsia="Calibri" w:hAnsi="Calibri" w:cs="Times New Roman"/>
          <w:sz w:val="18"/>
          <w:szCs w:val="18"/>
        </w:rPr>
        <w:t xml:space="preserve">Source: A global study conducted by UNFPA, 2018 which can be accessed </w:t>
      </w:r>
      <w:hyperlink r:id="rId9" w:history="1">
        <w:r w:rsidRPr="007A6AE6">
          <w:rPr>
            <w:rStyle w:val="Hyperlink"/>
            <w:rFonts w:ascii="Calibri" w:eastAsia="Calibri" w:hAnsi="Calibri" w:cs="Times New Roman"/>
            <w:sz w:val="18"/>
            <w:szCs w:val="18"/>
          </w:rPr>
          <w:t>here</w:t>
        </w:r>
      </w:hyperlink>
      <w:r>
        <w:rPr>
          <w:rStyle w:val="Hyperlink"/>
          <w:rFonts w:ascii="Calibri" w:eastAsia="Calibri" w:hAnsi="Calibri" w:cs="Times New Roman"/>
          <w:sz w:val="18"/>
          <w:szCs w:val="18"/>
        </w:rPr>
        <w:t>.</w:t>
      </w:r>
    </w:p>
  </w:footnote>
  <w:footnote w:id="72">
    <w:p w14:paraId="43BCFC19" w14:textId="77777777" w:rsidR="00705D48" w:rsidRPr="00DC35FF" w:rsidRDefault="00705D48" w:rsidP="00C70E58">
      <w:pPr>
        <w:pStyle w:val="FootnoteText"/>
        <w:rPr>
          <w:sz w:val="18"/>
          <w:szCs w:val="18"/>
        </w:rPr>
      </w:pPr>
      <w:r w:rsidRPr="00DC35FF">
        <w:rPr>
          <w:rStyle w:val="FootnoteReference"/>
          <w:sz w:val="18"/>
          <w:szCs w:val="18"/>
        </w:rPr>
        <w:footnoteRef/>
      </w:r>
      <w:r w:rsidRPr="00DC35FF">
        <w:rPr>
          <w:sz w:val="18"/>
          <w:szCs w:val="18"/>
        </w:rPr>
        <w:t xml:space="preserve"> NB in most theoretic frameworks, there are four levels, with the fifth of “community” which is included in </w:t>
      </w:r>
      <w:r>
        <w:rPr>
          <w:sz w:val="18"/>
          <w:szCs w:val="18"/>
        </w:rPr>
        <w:t>th</w:t>
      </w:r>
      <w:r w:rsidRPr="00DC35FF">
        <w:rPr>
          <w:sz w:val="18"/>
          <w:szCs w:val="18"/>
        </w:rPr>
        <w:t xml:space="preserve">e </w:t>
      </w:r>
      <w:r>
        <w:rPr>
          <w:sz w:val="18"/>
          <w:szCs w:val="18"/>
        </w:rPr>
        <w:t>SRBJS</w:t>
      </w:r>
      <w:r w:rsidRPr="00DC35FF">
        <w:rPr>
          <w:sz w:val="18"/>
          <w:szCs w:val="18"/>
        </w:rPr>
        <w:t xml:space="preserve"> design being more related to another approach – that of supply and demand for good governance, rather than a ‘level’ or layer of capacity development. </w:t>
      </w:r>
      <w:hyperlink r:id="rId10" w:history="1">
        <w:r w:rsidRPr="00DC35FF">
          <w:rPr>
            <w:rStyle w:val="Hyperlink"/>
          </w:rPr>
          <w:t>https://www.clearwatervic.com.au/about-us/what-is-capacity-building.php</w:t>
        </w:r>
      </w:hyperlink>
      <w:r w:rsidRPr="00DC35FF">
        <w:rPr>
          <w:sz w:val="18"/>
          <w:szCs w:val="18"/>
        </w:rPr>
        <w:t xml:space="preserve"> retrieved 20/09/19</w:t>
      </w:r>
    </w:p>
  </w:footnote>
  <w:footnote w:id="73">
    <w:p w14:paraId="44202106" w14:textId="77777777" w:rsidR="00705D48" w:rsidRPr="004E53F7" w:rsidRDefault="00705D48">
      <w:pPr>
        <w:pStyle w:val="FootnoteText"/>
        <w:rPr>
          <w:sz w:val="18"/>
          <w:szCs w:val="18"/>
        </w:rPr>
      </w:pPr>
      <w:r>
        <w:rPr>
          <w:rStyle w:val="FootnoteReference"/>
        </w:rPr>
        <w:footnoteRef/>
      </w:r>
      <w:r>
        <w:t xml:space="preserve"> </w:t>
      </w:r>
      <w:r w:rsidRPr="004E53F7">
        <w:rPr>
          <w:sz w:val="18"/>
          <w:szCs w:val="18"/>
        </w:rPr>
        <w:t>Rhodes, D and Antoine, E. 2013</w:t>
      </w:r>
      <w:r w:rsidRPr="004E53F7">
        <w:rPr>
          <w:i/>
          <w:iCs/>
          <w:sz w:val="18"/>
          <w:szCs w:val="18"/>
        </w:rPr>
        <w:t>, Practitioners’ Handbook for Capacity Development: A Cross-Cultural Approach,</w:t>
      </w:r>
      <w:r w:rsidRPr="004E53F7">
        <w:rPr>
          <w:sz w:val="18"/>
          <w:szCs w:val="18"/>
        </w:rPr>
        <w:t> Leadership Strategies.</w:t>
      </w:r>
    </w:p>
  </w:footnote>
  <w:footnote w:id="74">
    <w:p w14:paraId="1F9FCA22" w14:textId="77777777" w:rsidR="00705D48" w:rsidRPr="00DC35FF" w:rsidRDefault="00705D48" w:rsidP="00C70E58">
      <w:pPr>
        <w:pStyle w:val="FootnoteText"/>
        <w:rPr>
          <w:sz w:val="18"/>
          <w:szCs w:val="18"/>
        </w:rPr>
      </w:pPr>
      <w:r w:rsidRPr="00DC35FF">
        <w:rPr>
          <w:rStyle w:val="FootnoteReference"/>
          <w:sz w:val="18"/>
          <w:szCs w:val="18"/>
        </w:rPr>
        <w:footnoteRef/>
      </w:r>
      <w:r w:rsidRPr="00DC35FF">
        <w:rPr>
          <w:sz w:val="18"/>
          <w:szCs w:val="18"/>
        </w:rPr>
        <w:t xml:space="preserve"> </w:t>
      </w:r>
      <w:r>
        <w:rPr>
          <w:sz w:val="18"/>
          <w:szCs w:val="18"/>
        </w:rPr>
        <w:t xml:space="preserve">Source: </w:t>
      </w:r>
      <w:hyperlink r:id="rId11" w:history="1">
        <w:r w:rsidRPr="000B174D">
          <w:rPr>
            <w:rStyle w:val="Hyperlink"/>
            <w:sz w:val="18"/>
            <w:szCs w:val="18"/>
          </w:rPr>
          <w:t>Building State Capability</w:t>
        </w:r>
      </w:hyperlink>
      <w:r>
        <w:rPr>
          <w:sz w:val="18"/>
          <w:szCs w:val="18"/>
        </w:rPr>
        <w:t xml:space="preserve">, Centre for international Development, University of Harvard, </w:t>
      </w:r>
      <w:r w:rsidRPr="00DC35FF">
        <w:rPr>
          <w:sz w:val="18"/>
          <w:szCs w:val="18"/>
        </w:rPr>
        <w:t>retrieved 20/09/19</w:t>
      </w:r>
    </w:p>
  </w:footnote>
  <w:footnote w:id="75">
    <w:p w14:paraId="501A43DB" w14:textId="77777777" w:rsidR="00705D48" w:rsidRPr="00DC35FF" w:rsidRDefault="00705D48" w:rsidP="00E37847">
      <w:pPr>
        <w:autoSpaceDE w:val="0"/>
        <w:autoSpaceDN w:val="0"/>
        <w:adjustRightInd w:val="0"/>
        <w:spacing w:after="0"/>
        <w:rPr>
          <w:sz w:val="18"/>
          <w:szCs w:val="18"/>
        </w:rPr>
      </w:pPr>
      <w:r w:rsidRPr="00DC35FF">
        <w:rPr>
          <w:rStyle w:val="FootnoteReference"/>
          <w:sz w:val="18"/>
          <w:szCs w:val="18"/>
        </w:rPr>
        <w:footnoteRef/>
      </w:r>
      <w:r w:rsidRPr="00DC35FF">
        <w:rPr>
          <w:sz w:val="18"/>
          <w:szCs w:val="18"/>
        </w:rPr>
        <w:t xml:space="preserve"> Justice and Community Services Sector Capacity Development Strategy, 2017-2020,</w:t>
      </w:r>
      <w:r w:rsidRPr="00DC35FF">
        <w:rPr>
          <w:rFonts w:ascii="Arial-ItalicMT" w:hAnsi="Arial-ItalicMT" w:cs="Arial-ItalicMT"/>
          <w:i/>
          <w:iCs/>
          <w:color w:val="2D2E2D"/>
          <w:sz w:val="18"/>
          <w:szCs w:val="18"/>
        </w:rPr>
        <w:t xml:space="preserve"> </w:t>
      </w:r>
      <w:r w:rsidRPr="00DC35FF">
        <w:rPr>
          <w:sz w:val="18"/>
          <w:szCs w:val="18"/>
        </w:rPr>
        <w:t xml:space="preserve">Dr Vicki </w:t>
      </w:r>
      <w:proofErr w:type="spellStart"/>
      <w:r w:rsidRPr="00DC35FF">
        <w:rPr>
          <w:sz w:val="18"/>
          <w:szCs w:val="18"/>
        </w:rPr>
        <w:t>Vaartjes</w:t>
      </w:r>
      <w:proofErr w:type="spellEnd"/>
      <w:r w:rsidRPr="00DC35FF">
        <w:rPr>
          <w:sz w:val="18"/>
          <w:szCs w:val="18"/>
        </w:rPr>
        <w:t xml:space="preserve">, Capacity Development &amp; Leadership Adviser (Justice), May 2017, </w:t>
      </w:r>
    </w:p>
  </w:footnote>
  <w:footnote w:id="76">
    <w:p w14:paraId="1AAA09AB" w14:textId="77777777" w:rsidR="00705D48" w:rsidRPr="00DC35FF" w:rsidRDefault="00705D48" w:rsidP="00C70E58">
      <w:pPr>
        <w:pStyle w:val="FootnoteText"/>
        <w:rPr>
          <w:sz w:val="18"/>
          <w:szCs w:val="18"/>
        </w:rPr>
      </w:pPr>
      <w:r w:rsidRPr="00DC35FF">
        <w:rPr>
          <w:rStyle w:val="FootnoteReference"/>
          <w:sz w:val="18"/>
          <w:szCs w:val="18"/>
        </w:rPr>
        <w:footnoteRef/>
      </w:r>
      <w:r w:rsidRPr="00DC35FF">
        <w:rPr>
          <w:sz w:val="18"/>
          <w:szCs w:val="18"/>
        </w:rPr>
        <w:t xml:space="preserve"> Justice and Community Services Sector Capacity Development Strategy, 2017-2020,</w:t>
      </w:r>
      <w:r w:rsidRPr="00DC35FF">
        <w:rPr>
          <w:rFonts w:ascii="Arial-ItalicMT" w:hAnsi="Arial-ItalicMT" w:cs="Arial-ItalicMT"/>
          <w:i/>
          <w:iCs/>
          <w:color w:val="2D2E2D"/>
          <w:sz w:val="18"/>
          <w:szCs w:val="18"/>
        </w:rPr>
        <w:t xml:space="preserve"> </w:t>
      </w:r>
      <w:r w:rsidRPr="00DC35FF">
        <w:rPr>
          <w:sz w:val="18"/>
          <w:szCs w:val="18"/>
        </w:rPr>
        <w:t xml:space="preserve">Dr Vicki </w:t>
      </w:r>
      <w:proofErr w:type="spellStart"/>
      <w:r w:rsidRPr="00DC35FF">
        <w:rPr>
          <w:sz w:val="18"/>
          <w:szCs w:val="18"/>
        </w:rPr>
        <w:t>Vaartjes</w:t>
      </w:r>
      <w:proofErr w:type="spellEnd"/>
      <w:r w:rsidRPr="00DC35FF">
        <w:rPr>
          <w:sz w:val="18"/>
          <w:szCs w:val="18"/>
        </w:rPr>
        <w:t>, Capacity Development &amp; Leadership Adviser (Justice), May 2017 – particularly Fig 7 page 20.</w:t>
      </w:r>
    </w:p>
  </w:footnote>
  <w:footnote w:id="77">
    <w:p w14:paraId="0841A830" w14:textId="77777777" w:rsidR="00705D48" w:rsidRDefault="00705D48">
      <w:pPr>
        <w:pStyle w:val="FootnoteText"/>
      </w:pPr>
      <w:r>
        <w:rPr>
          <w:rStyle w:val="FootnoteReference"/>
        </w:rPr>
        <w:footnoteRef/>
      </w:r>
      <w:r>
        <w:t xml:space="preserve"> Rhodes</w:t>
      </w:r>
      <w:proofErr w:type="gramStart"/>
      <w:r>
        <w:t>,  op</w:t>
      </w:r>
      <w:proofErr w:type="gramEnd"/>
      <w:r>
        <w:t xml:space="preserve"> cit.</w:t>
      </w:r>
    </w:p>
  </w:footnote>
  <w:footnote w:id="78">
    <w:p w14:paraId="59DDDC5A" w14:textId="77777777" w:rsidR="00705D48" w:rsidRDefault="00705D48" w:rsidP="00C70E58">
      <w:pPr>
        <w:pStyle w:val="FootnoteText"/>
      </w:pPr>
      <w:r w:rsidRPr="00DC35FF">
        <w:rPr>
          <w:rStyle w:val="FootnoteReference"/>
          <w:sz w:val="18"/>
          <w:szCs w:val="18"/>
        </w:rPr>
        <w:footnoteRef/>
      </w:r>
      <w:r w:rsidRPr="00DC35FF">
        <w:rPr>
          <w:sz w:val="18"/>
          <w:szCs w:val="18"/>
        </w:rPr>
        <w:t xml:space="preserve"> </w:t>
      </w:r>
      <w:r>
        <w:rPr>
          <w:sz w:val="18"/>
          <w:szCs w:val="18"/>
        </w:rPr>
        <w:t>Ibid.</w:t>
      </w:r>
    </w:p>
  </w:footnote>
  <w:footnote w:id="79">
    <w:p w14:paraId="2F5B5B43" w14:textId="77777777" w:rsidR="00705D48" w:rsidRDefault="00705D48">
      <w:pPr>
        <w:pStyle w:val="FootnoteText"/>
      </w:pPr>
      <w:r>
        <w:rPr>
          <w:rStyle w:val="FootnoteReference"/>
        </w:rPr>
        <w:footnoteRef/>
      </w:r>
      <w:r>
        <w:t xml:space="preserve"> Ibid.</w:t>
      </w:r>
    </w:p>
  </w:footnote>
  <w:footnote w:id="80">
    <w:p w14:paraId="5EC8E8C3" w14:textId="77777777" w:rsidR="00705D48" w:rsidRPr="00186294" w:rsidRDefault="00705D48" w:rsidP="00C70E58">
      <w:pPr>
        <w:pStyle w:val="FootnoteText"/>
        <w:rPr>
          <w:sz w:val="18"/>
          <w:szCs w:val="18"/>
        </w:rPr>
      </w:pPr>
      <w:r w:rsidRPr="00186294">
        <w:rPr>
          <w:rStyle w:val="FootnoteReference"/>
          <w:sz w:val="18"/>
          <w:szCs w:val="18"/>
        </w:rPr>
        <w:footnoteRef/>
      </w:r>
      <w:r w:rsidRPr="00186294">
        <w:rPr>
          <w:sz w:val="18"/>
          <w:szCs w:val="18"/>
        </w:rPr>
        <w:t xml:space="preserve"> Activities such as the training for VPF recruits could be used in this manner if this approach was a guiding framework for capacity development and the </w:t>
      </w:r>
      <w:r>
        <w:rPr>
          <w:sz w:val="18"/>
          <w:szCs w:val="18"/>
        </w:rPr>
        <w:t>P</w:t>
      </w:r>
      <w:r w:rsidRPr="00186294">
        <w:rPr>
          <w:sz w:val="18"/>
          <w:szCs w:val="18"/>
        </w:rPr>
        <w:t>rogram’s theory of change.</w:t>
      </w:r>
    </w:p>
  </w:footnote>
  <w:footnote w:id="81">
    <w:p w14:paraId="5C966F5C" w14:textId="77777777" w:rsidR="00705D48" w:rsidRPr="00186294" w:rsidRDefault="00705D48" w:rsidP="00C70E58">
      <w:pPr>
        <w:pStyle w:val="FootnoteText"/>
        <w:rPr>
          <w:sz w:val="18"/>
          <w:szCs w:val="18"/>
        </w:rPr>
      </w:pPr>
      <w:r w:rsidRPr="00186294">
        <w:rPr>
          <w:rStyle w:val="FootnoteReference"/>
          <w:sz w:val="18"/>
          <w:szCs w:val="18"/>
        </w:rPr>
        <w:footnoteRef/>
      </w:r>
      <w:r w:rsidRPr="00186294">
        <w:rPr>
          <w:sz w:val="18"/>
          <w:szCs w:val="18"/>
        </w:rPr>
        <w:t xml:space="preserve"> Justice and Community Services Sector Capacity Development Strategy, 2017-2020,</w:t>
      </w:r>
      <w:r w:rsidRPr="00186294">
        <w:rPr>
          <w:rFonts w:ascii="Arial-ItalicMT" w:hAnsi="Arial-ItalicMT" w:cs="Arial-ItalicMT"/>
          <w:i/>
          <w:iCs/>
          <w:color w:val="2D2E2D"/>
          <w:sz w:val="18"/>
          <w:szCs w:val="18"/>
        </w:rPr>
        <w:t xml:space="preserve"> </w:t>
      </w:r>
      <w:r w:rsidRPr="00186294">
        <w:rPr>
          <w:sz w:val="18"/>
          <w:szCs w:val="18"/>
        </w:rPr>
        <w:t xml:space="preserve">Dr Vicki </w:t>
      </w:r>
      <w:proofErr w:type="spellStart"/>
      <w:r w:rsidRPr="00186294">
        <w:rPr>
          <w:sz w:val="18"/>
          <w:szCs w:val="18"/>
        </w:rPr>
        <w:t>Vaartjes</w:t>
      </w:r>
      <w:proofErr w:type="spellEnd"/>
      <w:r w:rsidRPr="00186294">
        <w:rPr>
          <w:sz w:val="18"/>
          <w:szCs w:val="18"/>
        </w:rPr>
        <w:t>, Capacity Development &amp; Leadership Adviser (Justice), May 2017</w:t>
      </w:r>
    </w:p>
  </w:footnote>
  <w:footnote w:id="82">
    <w:p w14:paraId="123AF331" w14:textId="77777777" w:rsidR="00705D48" w:rsidRDefault="00705D48" w:rsidP="00C70E58">
      <w:pPr>
        <w:pStyle w:val="FootnoteText"/>
      </w:pPr>
      <w:r w:rsidRPr="00186294">
        <w:rPr>
          <w:rStyle w:val="FootnoteReference"/>
          <w:sz w:val="18"/>
          <w:szCs w:val="18"/>
        </w:rPr>
        <w:footnoteRef/>
      </w:r>
      <w:r w:rsidRPr="00186294">
        <w:rPr>
          <w:sz w:val="18"/>
          <w:szCs w:val="18"/>
        </w:rPr>
        <w:t xml:space="preserve"> The monitoring of progress is extensive, but tells too many stories in too many different ways to enable an overview analysis of where we are at now compared to expectations. As a result, it is being managed and reported on as multiple separate projects, not one coherent program.</w:t>
      </w:r>
      <w:r>
        <w:rPr>
          <w:sz w:val="22"/>
          <w:szCs w:val="22"/>
        </w:rPr>
        <w:t xml:space="preserve"> </w:t>
      </w:r>
    </w:p>
  </w:footnote>
  <w:footnote w:id="83">
    <w:p w14:paraId="7A905F50" w14:textId="77777777" w:rsidR="00705D48" w:rsidRDefault="00705D48">
      <w:pPr>
        <w:pStyle w:val="FootnoteText"/>
      </w:pPr>
      <w:r>
        <w:rPr>
          <w:rStyle w:val="FootnoteReference"/>
        </w:rPr>
        <w:footnoteRef/>
      </w:r>
      <w:r>
        <w:t>Additional examples were provided to DFAT and management separately on these examples.</w:t>
      </w:r>
    </w:p>
  </w:footnote>
  <w:footnote w:id="84">
    <w:p w14:paraId="0FA568F7" w14:textId="77777777" w:rsidR="00705D48" w:rsidRPr="00C71CCC" w:rsidRDefault="00705D48" w:rsidP="00C70E58">
      <w:pPr>
        <w:pStyle w:val="FootnoteText"/>
        <w:rPr>
          <w:sz w:val="18"/>
          <w:szCs w:val="18"/>
        </w:rPr>
      </w:pPr>
      <w:r w:rsidRPr="00C71CCC">
        <w:rPr>
          <w:rStyle w:val="FootnoteReference"/>
          <w:sz w:val="18"/>
          <w:szCs w:val="18"/>
        </w:rPr>
        <w:footnoteRef/>
      </w:r>
      <w:r w:rsidRPr="00C71CCC">
        <w:rPr>
          <w:sz w:val="18"/>
          <w:szCs w:val="18"/>
        </w:rPr>
        <w:t xml:space="preserve"> </w:t>
      </w:r>
      <w:r>
        <w:rPr>
          <w:sz w:val="18"/>
          <w:szCs w:val="18"/>
        </w:rPr>
        <w:t>O</w:t>
      </w:r>
      <w:r w:rsidRPr="00C71CCC">
        <w:rPr>
          <w:sz w:val="18"/>
          <w:szCs w:val="18"/>
        </w:rPr>
        <w:t>r alternatively to an outcomes/vision focus could be the guiding strategy for the Theory of Change.</w:t>
      </w:r>
    </w:p>
  </w:footnote>
  <w:footnote w:id="85">
    <w:p w14:paraId="57B88A98" w14:textId="77777777" w:rsidR="00705D48" w:rsidRPr="00C71CCC" w:rsidRDefault="00705D48" w:rsidP="00E37847">
      <w:pPr>
        <w:pStyle w:val="FootnoteText"/>
        <w:rPr>
          <w:sz w:val="18"/>
          <w:szCs w:val="18"/>
        </w:rPr>
      </w:pPr>
      <w:r w:rsidRPr="00C71CCC">
        <w:rPr>
          <w:rStyle w:val="FootnoteReference"/>
          <w:sz w:val="18"/>
          <w:szCs w:val="18"/>
        </w:rPr>
        <w:footnoteRef/>
      </w:r>
      <w:r w:rsidRPr="00C71CCC">
        <w:rPr>
          <w:sz w:val="18"/>
          <w:szCs w:val="18"/>
        </w:rPr>
        <w:t xml:space="preserve"> There is good information about achievements in each of the </w:t>
      </w:r>
      <w:r>
        <w:rPr>
          <w:sz w:val="18"/>
          <w:szCs w:val="18"/>
        </w:rPr>
        <w:t>EOPOs</w:t>
      </w:r>
      <w:r w:rsidRPr="00C71CCC">
        <w:rPr>
          <w:sz w:val="18"/>
          <w:szCs w:val="18"/>
        </w:rPr>
        <w:t>, as demonstrated in this Review, but no consistent methodology to report on change over time.</w:t>
      </w:r>
    </w:p>
  </w:footnote>
  <w:footnote w:id="86">
    <w:p w14:paraId="5DA9D244" w14:textId="77777777" w:rsidR="00705D48" w:rsidRDefault="00705D48" w:rsidP="00E37847">
      <w:pPr>
        <w:pStyle w:val="FootnoteText"/>
      </w:pPr>
      <w:r w:rsidRPr="00C71CCC">
        <w:rPr>
          <w:rStyle w:val="FootnoteReference"/>
          <w:sz w:val="18"/>
          <w:szCs w:val="18"/>
        </w:rPr>
        <w:footnoteRef/>
      </w:r>
      <w:r w:rsidRPr="00C71CCC">
        <w:rPr>
          <w:sz w:val="18"/>
          <w:szCs w:val="18"/>
        </w:rPr>
        <w:t xml:space="preserve"> See the latest Six-Monthly Report, Jan to June 2019</w:t>
      </w:r>
      <w:r>
        <w:rPr>
          <w:sz w:val="18"/>
          <w:szCs w:val="18"/>
        </w:rPr>
        <w:t>.</w:t>
      </w:r>
    </w:p>
  </w:footnote>
  <w:footnote w:id="87">
    <w:p w14:paraId="56F46DDE" w14:textId="77777777" w:rsidR="00705D48" w:rsidRPr="0041736B" w:rsidRDefault="00705D48" w:rsidP="0041736B">
      <w:pPr>
        <w:autoSpaceDE w:val="0"/>
        <w:autoSpaceDN w:val="0"/>
        <w:adjustRightInd w:val="0"/>
        <w:spacing w:after="0" w:line="240" w:lineRule="auto"/>
        <w:rPr>
          <w:rFonts w:cstheme="minorHAnsi"/>
          <w:sz w:val="18"/>
          <w:szCs w:val="18"/>
        </w:rPr>
      </w:pPr>
      <w:r w:rsidRPr="0041736B">
        <w:rPr>
          <w:rStyle w:val="FootnoteReference"/>
          <w:rFonts w:cstheme="minorHAnsi"/>
          <w:sz w:val="18"/>
          <w:szCs w:val="18"/>
        </w:rPr>
        <w:footnoteRef/>
      </w:r>
      <w:r w:rsidRPr="0041736B">
        <w:rPr>
          <w:rFonts w:cstheme="minorHAnsi"/>
          <w:sz w:val="18"/>
          <w:szCs w:val="18"/>
        </w:rPr>
        <w:t xml:space="preserve"> </w:t>
      </w:r>
      <w:r w:rsidRPr="00CA427C">
        <w:rPr>
          <w:rFonts w:cstheme="minorHAnsi"/>
          <w:sz w:val="18"/>
          <w:szCs w:val="18"/>
        </w:rPr>
        <w:t>SRBJS</w:t>
      </w:r>
      <w:r w:rsidRPr="0041736B">
        <w:rPr>
          <w:rFonts w:cstheme="minorHAnsi"/>
          <w:sz w:val="18"/>
          <w:szCs w:val="18"/>
        </w:rPr>
        <w:t xml:space="preserve"> </w:t>
      </w:r>
      <w:proofErr w:type="gramStart"/>
      <w:r w:rsidRPr="0041736B">
        <w:rPr>
          <w:rFonts w:cstheme="minorHAnsi"/>
          <w:sz w:val="18"/>
          <w:szCs w:val="18"/>
        </w:rPr>
        <w:t>Justice &amp;</w:t>
      </w:r>
      <w:proofErr w:type="gramEnd"/>
      <w:r w:rsidRPr="0041736B">
        <w:rPr>
          <w:rFonts w:cstheme="minorHAnsi"/>
          <w:sz w:val="18"/>
          <w:szCs w:val="18"/>
        </w:rPr>
        <w:t xml:space="preserve"> Community Services</w:t>
      </w:r>
      <w:r>
        <w:rPr>
          <w:rFonts w:cstheme="minorHAnsi"/>
          <w:sz w:val="18"/>
          <w:szCs w:val="18"/>
        </w:rPr>
        <w:t xml:space="preserve"> </w:t>
      </w:r>
      <w:r w:rsidRPr="0041736B">
        <w:rPr>
          <w:rFonts w:cstheme="minorHAnsi"/>
          <w:sz w:val="18"/>
          <w:szCs w:val="18"/>
        </w:rPr>
        <w:t>Sector Capacity Development</w:t>
      </w:r>
      <w:r>
        <w:rPr>
          <w:rFonts w:cstheme="minorHAnsi"/>
          <w:sz w:val="18"/>
          <w:szCs w:val="18"/>
        </w:rPr>
        <w:t xml:space="preserve"> </w:t>
      </w:r>
      <w:r w:rsidRPr="0041736B">
        <w:rPr>
          <w:rFonts w:cstheme="minorHAnsi"/>
          <w:sz w:val="18"/>
          <w:szCs w:val="18"/>
        </w:rPr>
        <w:t>Strategy 2017 – 2020</w:t>
      </w:r>
      <w:r>
        <w:rPr>
          <w:rFonts w:cstheme="minorHAnsi"/>
          <w:sz w:val="18"/>
          <w:szCs w:val="18"/>
        </w:rPr>
        <w:t xml:space="preserve">, Palladium, </w:t>
      </w:r>
      <w:proofErr w:type="spellStart"/>
      <w:r w:rsidRPr="0041736B">
        <w:rPr>
          <w:rFonts w:cstheme="minorHAnsi"/>
          <w:sz w:val="18"/>
          <w:szCs w:val="18"/>
        </w:rPr>
        <w:t>Pg</w:t>
      </w:r>
      <w:proofErr w:type="spellEnd"/>
      <w:r w:rsidRPr="0041736B">
        <w:rPr>
          <w:rFonts w:cstheme="minorHAnsi"/>
          <w:sz w:val="18"/>
          <w:szCs w:val="18"/>
        </w:rPr>
        <w:t xml:space="preserve"> 20. </w:t>
      </w:r>
    </w:p>
  </w:footnote>
  <w:footnote w:id="88">
    <w:p w14:paraId="7A27BE74" w14:textId="77777777" w:rsidR="00705D48" w:rsidRDefault="00705D48" w:rsidP="00816000">
      <w:pPr>
        <w:pStyle w:val="FootnoteText"/>
      </w:pPr>
      <w:r w:rsidRPr="00816000">
        <w:rPr>
          <w:rStyle w:val="FootnoteReference"/>
          <w:sz w:val="18"/>
          <w:szCs w:val="18"/>
        </w:rPr>
        <w:footnoteRef/>
      </w:r>
      <w:r w:rsidRPr="00816000">
        <w:rPr>
          <w:rStyle w:val="FootnoteReference"/>
          <w:sz w:val="18"/>
          <w:szCs w:val="18"/>
        </w:rPr>
        <w:t xml:space="preserve"> </w:t>
      </w:r>
      <w:r w:rsidRPr="00816000">
        <w:rPr>
          <w:sz w:val="18"/>
          <w:szCs w:val="18"/>
        </w:rPr>
        <w:t>In 2018, upon a DFAT request to report on the percentage of annual work plan achieved, the Contractor reported that 60% of the annual work plan was achieved.</w:t>
      </w:r>
    </w:p>
  </w:footnote>
  <w:footnote w:id="89">
    <w:p w14:paraId="61C25C0E" w14:textId="77777777" w:rsidR="00705D48" w:rsidRPr="002C753E" w:rsidRDefault="00705D48" w:rsidP="00E37847">
      <w:pPr>
        <w:pStyle w:val="FootnoteText"/>
        <w:rPr>
          <w:sz w:val="18"/>
          <w:szCs w:val="18"/>
        </w:rPr>
      </w:pPr>
      <w:r w:rsidRPr="002C753E">
        <w:rPr>
          <w:rStyle w:val="FootnoteReference"/>
          <w:sz w:val="18"/>
          <w:szCs w:val="18"/>
        </w:rPr>
        <w:footnoteRef/>
      </w:r>
      <w:r w:rsidRPr="002C753E">
        <w:rPr>
          <w:sz w:val="18"/>
          <w:szCs w:val="18"/>
        </w:rPr>
        <w:t xml:space="preserve"> SRBJS Progress Report, Jan-June 2019, pp.29-30.</w:t>
      </w:r>
    </w:p>
  </w:footnote>
  <w:footnote w:id="90">
    <w:p w14:paraId="78525EEC" w14:textId="77777777" w:rsidR="00705D48" w:rsidRPr="000C1075" w:rsidRDefault="00705D48" w:rsidP="00393F6C">
      <w:pPr>
        <w:pStyle w:val="FootnoteText"/>
        <w:rPr>
          <w:sz w:val="18"/>
          <w:szCs w:val="18"/>
        </w:rPr>
      </w:pPr>
      <w:r w:rsidRPr="000C1075">
        <w:rPr>
          <w:rStyle w:val="FootnoteReference"/>
          <w:sz w:val="18"/>
          <w:szCs w:val="18"/>
        </w:rPr>
        <w:footnoteRef/>
      </w:r>
      <w:r w:rsidRPr="000C1075">
        <w:rPr>
          <w:sz w:val="18"/>
          <w:szCs w:val="18"/>
        </w:rPr>
        <w:t xml:space="preserve"> Parts of the </w:t>
      </w:r>
      <w:r>
        <w:rPr>
          <w:sz w:val="18"/>
          <w:szCs w:val="18"/>
        </w:rPr>
        <w:t>P</w:t>
      </w:r>
      <w:r w:rsidRPr="000C1075">
        <w:rPr>
          <w:sz w:val="18"/>
          <w:szCs w:val="18"/>
        </w:rPr>
        <w:t>rogram were determined by participating Agency and/or Adviser focus and/or budget allocations for cross-sector activity.</w:t>
      </w:r>
    </w:p>
  </w:footnote>
  <w:footnote w:id="91">
    <w:p w14:paraId="0B107BC6" w14:textId="77777777" w:rsidR="00705D48" w:rsidRPr="008F7A26" w:rsidRDefault="00705D48" w:rsidP="00F257C7">
      <w:pPr>
        <w:pStyle w:val="FootnoteText"/>
        <w:rPr>
          <w:sz w:val="18"/>
          <w:szCs w:val="18"/>
        </w:rPr>
      </w:pPr>
      <w:r w:rsidRPr="008F7A26">
        <w:rPr>
          <w:rStyle w:val="FootnoteReference"/>
          <w:sz w:val="18"/>
          <w:szCs w:val="18"/>
        </w:rPr>
        <w:footnoteRef/>
      </w:r>
      <w:r w:rsidRPr="008F7A26">
        <w:rPr>
          <w:sz w:val="18"/>
          <w:szCs w:val="18"/>
        </w:rPr>
        <w:t xml:space="preserve"> The stakeholder figures include those interviewed as part of the evaluation process and </w:t>
      </w:r>
      <w:r>
        <w:rPr>
          <w:sz w:val="18"/>
          <w:szCs w:val="18"/>
        </w:rPr>
        <w:t xml:space="preserve">does </w:t>
      </w:r>
      <w:r w:rsidRPr="008F7A26">
        <w:rPr>
          <w:sz w:val="18"/>
          <w:szCs w:val="18"/>
        </w:rPr>
        <w:t>not encompass the wider range of stakeholders engaged in testing and sharing of evaluation findings</w:t>
      </w:r>
      <w:r>
        <w:rPr>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01F9AF" w14:textId="77777777" w:rsidR="00E70532" w:rsidRDefault="00E7053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BBC51B" w14:textId="77777777" w:rsidR="00E70532" w:rsidRDefault="00E7053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145ECC" w14:textId="77777777" w:rsidR="00E70532" w:rsidRDefault="00E705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31E0E"/>
    <w:multiLevelType w:val="hybridMultilevel"/>
    <w:tmpl w:val="59F816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EA3A01"/>
    <w:multiLevelType w:val="hybridMultilevel"/>
    <w:tmpl w:val="006EE4CA"/>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5D862C1"/>
    <w:multiLevelType w:val="multilevel"/>
    <w:tmpl w:val="A3E2814E"/>
    <w:lvl w:ilvl="0">
      <w:start w:val="1"/>
      <w:numFmt w:val="decimal"/>
      <w:pStyle w:val="Heading1"/>
      <w:lvlText w:val="%1"/>
      <w:lvlJc w:val="left"/>
      <w:pPr>
        <w:ind w:left="432" w:hanging="432"/>
      </w:pPr>
      <w:rPr>
        <w:rFonts w:hint="default"/>
        <w:b/>
      </w:rPr>
    </w:lvl>
    <w:lvl w:ilvl="1">
      <w:start w:val="1"/>
      <w:numFmt w:val="decimal"/>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070F74C9"/>
    <w:multiLevelType w:val="multilevel"/>
    <w:tmpl w:val="2514CC5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07C00C65"/>
    <w:multiLevelType w:val="hybridMultilevel"/>
    <w:tmpl w:val="AC7C8070"/>
    <w:lvl w:ilvl="0" w:tplc="BD388EFE">
      <w:start w:val="1"/>
      <w:numFmt w:val="bullet"/>
      <w:lvlText w:val=""/>
      <w:lvlJc w:val="left"/>
      <w:pPr>
        <w:ind w:left="360" w:hanging="360"/>
      </w:pPr>
      <w:rPr>
        <w:rFonts w:ascii="Symbol" w:hAnsi="Symbol" w:hint="default"/>
        <w:color w:val="44546A" w:themeColor="text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AF926DB"/>
    <w:multiLevelType w:val="multilevel"/>
    <w:tmpl w:val="A2263B9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0D3F5487"/>
    <w:multiLevelType w:val="multilevel"/>
    <w:tmpl w:val="32E6163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0F293E5C"/>
    <w:multiLevelType w:val="multilevel"/>
    <w:tmpl w:val="3FC24690"/>
    <w:lvl w:ilvl="0">
      <w:start w:val="15"/>
      <w:numFmt w:val="decimal"/>
      <w:lvlText w:val="%1"/>
      <w:lvlJc w:val="left"/>
      <w:pPr>
        <w:ind w:left="390" w:hanging="390"/>
      </w:pPr>
      <w:rPr>
        <w:rFonts w:eastAsiaTheme="minorHAnsi" w:cstheme="minorBidi" w:hint="default"/>
      </w:rPr>
    </w:lvl>
    <w:lvl w:ilvl="1">
      <w:start w:val="1"/>
      <w:numFmt w:val="decimal"/>
      <w:lvlText w:val="%1.%2"/>
      <w:lvlJc w:val="left"/>
      <w:pPr>
        <w:ind w:left="390" w:hanging="390"/>
      </w:pPr>
      <w:rPr>
        <w:rFonts w:eastAsiaTheme="minorHAnsi" w:cstheme="minorBidi" w:hint="default"/>
      </w:rPr>
    </w:lvl>
    <w:lvl w:ilvl="2">
      <w:start w:val="1"/>
      <w:numFmt w:val="decimal"/>
      <w:lvlText w:val="%1.%2.%3"/>
      <w:lvlJc w:val="left"/>
      <w:pPr>
        <w:ind w:left="720" w:hanging="720"/>
      </w:pPr>
      <w:rPr>
        <w:rFonts w:eastAsiaTheme="minorHAnsi" w:cstheme="minorBidi" w:hint="default"/>
      </w:rPr>
    </w:lvl>
    <w:lvl w:ilvl="3">
      <w:start w:val="1"/>
      <w:numFmt w:val="decimal"/>
      <w:lvlText w:val="%1.%2.%3.%4"/>
      <w:lvlJc w:val="left"/>
      <w:pPr>
        <w:ind w:left="720" w:hanging="720"/>
      </w:pPr>
      <w:rPr>
        <w:rFonts w:eastAsiaTheme="minorHAnsi" w:cstheme="minorBidi" w:hint="default"/>
      </w:rPr>
    </w:lvl>
    <w:lvl w:ilvl="4">
      <w:start w:val="1"/>
      <w:numFmt w:val="decimal"/>
      <w:lvlText w:val="%1.%2.%3.%4.%5"/>
      <w:lvlJc w:val="left"/>
      <w:pPr>
        <w:ind w:left="1080" w:hanging="1080"/>
      </w:pPr>
      <w:rPr>
        <w:rFonts w:eastAsiaTheme="minorHAnsi" w:cstheme="minorBidi" w:hint="default"/>
      </w:rPr>
    </w:lvl>
    <w:lvl w:ilvl="5">
      <w:start w:val="1"/>
      <w:numFmt w:val="decimal"/>
      <w:lvlText w:val="%1.%2.%3.%4.%5.%6"/>
      <w:lvlJc w:val="left"/>
      <w:pPr>
        <w:ind w:left="1080" w:hanging="1080"/>
      </w:pPr>
      <w:rPr>
        <w:rFonts w:eastAsiaTheme="minorHAnsi" w:cstheme="minorBidi" w:hint="default"/>
      </w:rPr>
    </w:lvl>
    <w:lvl w:ilvl="6">
      <w:start w:val="1"/>
      <w:numFmt w:val="decimal"/>
      <w:lvlText w:val="%1.%2.%3.%4.%5.%6.%7"/>
      <w:lvlJc w:val="left"/>
      <w:pPr>
        <w:ind w:left="1440" w:hanging="1440"/>
      </w:pPr>
      <w:rPr>
        <w:rFonts w:eastAsiaTheme="minorHAnsi" w:cstheme="minorBidi" w:hint="default"/>
      </w:rPr>
    </w:lvl>
    <w:lvl w:ilvl="7">
      <w:start w:val="1"/>
      <w:numFmt w:val="decimal"/>
      <w:lvlText w:val="%1.%2.%3.%4.%5.%6.%7.%8"/>
      <w:lvlJc w:val="left"/>
      <w:pPr>
        <w:ind w:left="1440" w:hanging="1440"/>
      </w:pPr>
      <w:rPr>
        <w:rFonts w:eastAsiaTheme="minorHAnsi" w:cstheme="minorBidi" w:hint="default"/>
      </w:rPr>
    </w:lvl>
    <w:lvl w:ilvl="8">
      <w:start w:val="1"/>
      <w:numFmt w:val="decimal"/>
      <w:lvlText w:val="%1.%2.%3.%4.%5.%6.%7.%8.%9"/>
      <w:lvlJc w:val="left"/>
      <w:pPr>
        <w:ind w:left="1440" w:hanging="1440"/>
      </w:pPr>
      <w:rPr>
        <w:rFonts w:eastAsiaTheme="minorHAnsi" w:cstheme="minorBidi" w:hint="default"/>
      </w:rPr>
    </w:lvl>
  </w:abstractNum>
  <w:abstractNum w:abstractNumId="8" w15:restartNumberingAfterBreak="0">
    <w:nsid w:val="11C275C9"/>
    <w:multiLevelType w:val="multilevel"/>
    <w:tmpl w:val="E18E83A8"/>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166A0EE9"/>
    <w:multiLevelType w:val="hybridMultilevel"/>
    <w:tmpl w:val="51EAE5D4"/>
    <w:lvl w:ilvl="0" w:tplc="8D5A20D4">
      <w:start w:val="1"/>
      <w:numFmt w:val="bullet"/>
      <w:lvlText w:val=""/>
      <w:lvlJc w:val="left"/>
      <w:pPr>
        <w:ind w:left="720" w:hanging="360"/>
      </w:pPr>
      <w:rPr>
        <w:rFonts w:ascii="Wingdings" w:hAnsi="Wingdings"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AEA49F3"/>
    <w:multiLevelType w:val="multilevel"/>
    <w:tmpl w:val="50B480FA"/>
    <w:lvl w:ilvl="0">
      <w:start w:val="14"/>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1C547D49"/>
    <w:multiLevelType w:val="multilevel"/>
    <w:tmpl w:val="4528A286"/>
    <w:lvl w:ilvl="0">
      <w:start w:val="12"/>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1CA33EE3"/>
    <w:multiLevelType w:val="multilevel"/>
    <w:tmpl w:val="BE2E99F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21101892"/>
    <w:multiLevelType w:val="multilevel"/>
    <w:tmpl w:val="6BB6B91E"/>
    <w:lvl w:ilvl="0">
      <w:start w:val="18"/>
      <w:numFmt w:val="decimal"/>
      <w:lvlText w:val="%1"/>
      <w:lvlJc w:val="left"/>
      <w:pPr>
        <w:ind w:left="390" w:hanging="390"/>
      </w:pPr>
      <w:rPr>
        <w:rFonts w:eastAsia="Times New Roman" w:cstheme="minorHAnsi" w:hint="default"/>
      </w:rPr>
    </w:lvl>
    <w:lvl w:ilvl="1">
      <w:start w:val="1"/>
      <w:numFmt w:val="decimal"/>
      <w:lvlText w:val="%1.%2"/>
      <w:lvlJc w:val="left"/>
      <w:pPr>
        <w:ind w:left="390" w:hanging="390"/>
      </w:pPr>
      <w:rPr>
        <w:rFonts w:eastAsia="Times New Roman" w:cstheme="minorHAnsi" w:hint="default"/>
      </w:rPr>
    </w:lvl>
    <w:lvl w:ilvl="2">
      <w:start w:val="1"/>
      <w:numFmt w:val="decimal"/>
      <w:lvlText w:val="%1.%2.%3"/>
      <w:lvlJc w:val="left"/>
      <w:pPr>
        <w:ind w:left="720" w:hanging="720"/>
      </w:pPr>
      <w:rPr>
        <w:rFonts w:eastAsia="Times New Roman" w:cstheme="minorHAnsi" w:hint="default"/>
      </w:rPr>
    </w:lvl>
    <w:lvl w:ilvl="3">
      <w:start w:val="1"/>
      <w:numFmt w:val="decimal"/>
      <w:lvlText w:val="%1.%2.%3.%4"/>
      <w:lvlJc w:val="left"/>
      <w:pPr>
        <w:ind w:left="720" w:hanging="720"/>
      </w:pPr>
      <w:rPr>
        <w:rFonts w:eastAsia="Times New Roman" w:cstheme="minorHAnsi" w:hint="default"/>
      </w:rPr>
    </w:lvl>
    <w:lvl w:ilvl="4">
      <w:start w:val="1"/>
      <w:numFmt w:val="decimal"/>
      <w:lvlText w:val="%1.%2.%3.%4.%5"/>
      <w:lvlJc w:val="left"/>
      <w:pPr>
        <w:ind w:left="1080" w:hanging="1080"/>
      </w:pPr>
      <w:rPr>
        <w:rFonts w:eastAsia="Times New Roman" w:cstheme="minorHAnsi" w:hint="default"/>
      </w:rPr>
    </w:lvl>
    <w:lvl w:ilvl="5">
      <w:start w:val="1"/>
      <w:numFmt w:val="decimal"/>
      <w:lvlText w:val="%1.%2.%3.%4.%5.%6"/>
      <w:lvlJc w:val="left"/>
      <w:pPr>
        <w:ind w:left="1080" w:hanging="1080"/>
      </w:pPr>
      <w:rPr>
        <w:rFonts w:eastAsia="Times New Roman" w:cstheme="minorHAnsi" w:hint="default"/>
      </w:rPr>
    </w:lvl>
    <w:lvl w:ilvl="6">
      <w:start w:val="1"/>
      <w:numFmt w:val="decimal"/>
      <w:lvlText w:val="%1.%2.%3.%4.%5.%6.%7"/>
      <w:lvlJc w:val="left"/>
      <w:pPr>
        <w:ind w:left="1440" w:hanging="1440"/>
      </w:pPr>
      <w:rPr>
        <w:rFonts w:eastAsia="Times New Roman" w:cstheme="minorHAnsi" w:hint="default"/>
      </w:rPr>
    </w:lvl>
    <w:lvl w:ilvl="7">
      <w:start w:val="1"/>
      <w:numFmt w:val="decimal"/>
      <w:lvlText w:val="%1.%2.%3.%4.%5.%6.%7.%8"/>
      <w:lvlJc w:val="left"/>
      <w:pPr>
        <w:ind w:left="1440" w:hanging="1440"/>
      </w:pPr>
      <w:rPr>
        <w:rFonts w:eastAsia="Times New Roman" w:cstheme="minorHAnsi" w:hint="default"/>
      </w:rPr>
    </w:lvl>
    <w:lvl w:ilvl="8">
      <w:start w:val="1"/>
      <w:numFmt w:val="decimal"/>
      <w:lvlText w:val="%1.%2.%3.%4.%5.%6.%7.%8.%9"/>
      <w:lvlJc w:val="left"/>
      <w:pPr>
        <w:ind w:left="1440" w:hanging="1440"/>
      </w:pPr>
      <w:rPr>
        <w:rFonts w:eastAsia="Times New Roman" w:cstheme="minorHAnsi" w:hint="default"/>
      </w:rPr>
    </w:lvl>
  </w:abstractNum>
  <w:abstractNum w:abstractNumId="14" w15:restartNumberingAfterBreak="0">
    <w:nsid w:val="21B2642A"/>
    <w:multiLevelType w:val="hybridMultilevel"/>
    <w:tmpl w:val="D90E801C"/>
    <w:lvl w:ilvl="0" w:tplc="59D4AFD6">
      <w:start w:val="1"/>
      <w:numFmt w:val="bullet"/>
      <w:lvlText w:val=""/>
      <w:lvlJc w:val="left"/>
      <w:pPr>
        <w:ind w:left="360" w:hanging="360"/>
      </w:pPr>
      <w:rPr>
        <w:rFonts w:ascii="Symbol" w:hAnsi="Symbol" w:hint="default"/>
        <w:color w:val="44546A" w:themeColor="text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26D6AE2"/>
    <w:multiLevelType w:val="hybridMultilevel"/>
    <w:tmpl w:val="4814A7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2803E00"/>
    <w:multiLevelType w:val="hybridMultilevel"/>
    <w:tmpl w:val="A844C3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3052147"/>
    <w:multiLevelType w:val="hybridMultilevel"/>
    <w:tmpl w:val="B002C2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8FB50B2"/>
    <w:multiLevelType w:val="multilevel"/>
    <w:tmpl w:val="EEC47264"/>
    <w:lvl w:ilvl="0">
      <w:start w:val="2"/>
      <w:numFmt w:val="decimal"/>
      <w:lvlText w:val="%1"/>
      <w:lvlJc w:val="left"/>
      <w:pPr>
        <w:ind w:left="360" w:hanging="360"/>
      </w:pPr>
      <w:rPr>
        <w:rFonts w:ascii="Calibri" w:hAnsi="Calibri" w:cs="Calibri" w:hint="default"/>
      </w:rPr>
    </w:lvl>
    <w:lvl w:ilvl="1">
      <w:start w:val="1"/>
      <w:numFmt w:val="decimal"/>
      <w:lvlText w:val="%1.%2"/>
      <w:lvlJc w:val="left"/>
      <w:pPr>
        <w:ind w:left="360" w:hanging="360"/>
      </w:pPr>
      <w:rPr>
        <w:rFonts w:ascii="Calibri" w:hAnsi="Calibri" w:cs="Calibri" w:hint="default"/>
      </w:rPr>
    </w:lvl>
    <w:lvl w:ilvl="2">
      <w:start w:val="1"/>
      <w:numFmt w:val="decimal"/>
      <w:lvlText w:val="%1.%2.%3"/>
      <w:lvlJc w:val="left"/>
      <w:pPr>
        <w:ind w:left="720" w:hanging="720"/>
      </w:pPr>
      <w:rPr>
        <w:rFonts w:ascii="Calibri" w:hAnsi="Calibri" w:cs="Calibri" w:hint="default"/>
      </w:rPr>
    </w:lvl>
    <w:lvl w:ilvl="3">
      <w:start w:val="1"/>
      <w:numFmt w:val="decimal"/>
      <w:lvlText w:val="%1.%2.%3.%4"/>
      <w:lvlJc w:val="left"/>
      <w:pPr>
        <w:ind w:left="720" w:hanging="720"/>
      </w:pPr>
      <w:rPr>
        <w:rFonts w:ascii="Calibri" w:hAnsi="Calibri" w:cs="Calibri" w:hint="default"/>
      </w:rPr>
    </w:lvl>
    <w:lvl w:ilvl="4">
      <w:start w:val="1"/>
      <w:numFmt w:val="decimal"/>
      <w:lvlText w:val="%1.%2.%3.%4.%5"/>
      <w:lvlJc w:val="left"/>
      <w:pPr>
        <w:ind w:left="1080" w:hanging="1080"/>
      </w:pPr>
      <w:rPr>
        <w:rFonts w:ascii="Calibri" w:hAnsi="Calibri" w:cs="Calibri" w:hint="default"/>
      </w:rPr>
    </w:lvl>
    <w:lvl w:ilvl="5">
      <w:start w:val="1"/>
      <w:numFmt w:val="decimal"/>
      <w:lvlText w:val="%1.%2.%3.%4.%5.%6"/>
      <w:lvlJc w:val="left"/>
      <w:pPr>
        <w:ind w:left="1080" w:hanging="1080"/>
      </w:pPr>
      <w:rPr>
        <w:rFonts w:ascii="Calibri" w:hAnsi="Calibri" w:cs="Calibri" w:hint="default"/>
      </w:rPr>
    </w:lvl>
    <w:lvl w:ilvl="6">
      <w:start w:val="1"/>
      <w:numFmt w:val="decimal"/>
      <w:lvlText w:val="%1.%2.%3.%4.%5.%6.%7"/>
      <w:lvlJc w:val="left"/>
      <w:pPr>
        <w:ind w:left="1440" w:hanging="1440"/>
      </w:pPr>
      <w:rPr>
        <w:rFonts w:ascii="Calibri" w:hAnsi="Calibri" w:cs="Calibri" w:hint="default"/>
      </w:rPr>
    </w:lvl>
    <w:lvl w:ilvl="7">
      <w:start w:val="1"/>
      <w:numFmt w:val="decimal"/>
      <w:lvlText w:val="%1.%2.%3.%4.%5.%6.%7.%8"/>
      <w:lvlJc w:val="left"/>
      <w:pPr>
        <w:ind w:left="1440" w:hanging="1440"/>
      </w:pPr>
      <w:rPr>
        <w:rFonts w:ascii="Calibri" w:hAnsi="Calibri" w:cs="Calibri" w:hint="default"/>
      </w:rPr>
    </w:lvl>
    <w:lvl w:ilvl="8">
      <w:start w:val="1"/>
      <w:numFmt w:val="decimal"/>
      <w:lvlText w:val="%1.%2.%3.%4.%5.%6.%7.%8.%9"/>
      <w:lvlJc w:val="left"/>
      <w:pPr>
        <w:ind w:left="1440" w:hanging="1440"/>
      </w:pPr>
      <w:rPr>
        <w:rFonts w:ascii="Calibri" w:hAnsi="Calibri" w:cs="Calibri" w:hint="default"/>
      </w:rPr>
    </w:lvl>
  </w:abstractNum>
  <w:abstractNum w:abstractNumId="19" w15:restartNumberingAfterBreak="0">
    <w:nsid w:val="2C5D1C4B"/>
    <w:multiLevelType w:val="multilevel"/>
    <w:tmpl w:val="43F0DB66"/>
    <w:lvl w:ilvl="0">
      <w:start w:val="12"/>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2D20564F"/>
    <w:multiLevelType w:val="hybridMultilevel"/>
    <w:tmpl w:val="04A22854"/>
    <w:lvl w:ilvl="0" w:tplc="95462E0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F41020E"/>
    <w:multiLevelType w:val="multilevel"/>
    <w:tmpl w:val="3ED49D98"/>
    <w:lvl w:ilvl="0">
      <w:start w:val="13"/>
      <w:numFmt w:val="decimal"/>
      <w:lvlText w:val="%1"/>
      <w:lvlJc w:val="left"/>
      <w:pPr>
        <w:ind w:left="390" w:hanging="390"/>
      </w:pPr>
      <w:rPr>
        <w:rFonts w:hint="default"/>
      </w:rPr>
    </w:lvl>
    <w:lvl w:ilvl="1">
      <w:start w:val="14"/>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2F7F5D95"/>
    <w:multiLevelType w:val="hybridMultilevel"/>
    <w:tmpl w:val="D3142A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FDE1245"/>
    <w:multiLevelType w:val="multilevel"/>
    <w:tmpl w:val="49443C0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32D0213C"/>
    <w:multiLevelType w:val="multilevel"/>
    <w:tmpl w:val="4312790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352C261F"/>
    <w:multiLevelType w:val="multilevel"/>
    <w:tmpl w:val="5D18CD90"/>
    <w:lvl w:ilvl="0">
      <w:start w:val="1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37C70A91"/>
    <w:multiLevelType w:val="hybridMultilevel"/>
    <w:tmpl w:val="3E8AB800"/>
    <w:lvl w:ilvl="0" w:tplc="0C09000F">
      <w:start w:val="1"/>
      <w:numFmt w:val="decimal"/>
      <w:lvlText w:val="%1."/>
      <w:lvlJc w:val="left"/>
      <w:pPr>
        <w:ind w:left="360" w:hanging="360"/>
      </w:pPr>
      <w:rPr>
        <w:rFonts w:hint="default"/>
      </w:rPr>
    </w:lvl>
    <w:lvl w:ilvl="1" w:tplc="0C090013">
      <w:start w:val="1"/>
      <w:numFmt w:val="upperRoman"/>
      <w:lvlText w:val="%2."/>
      <w:lvlJc w:val="right"/>
      <w:pPr>
        <w:ind w:left="1080" w:hanging="360"/>
      </w:pPr>
    </w:lvl>
    <w:lvl w:ilvl="2" w:tplc="0C09001B">
      <w:start w:val="1"/>
      <w:numFmt w:val="lowerRoman"/>
      <w:lvlText w:val="%3."/>
      <w:lvlJc w:val="right"/>
      <w:pPr>
        <w:ind w:left="1800" w:hanging="180"/>
      </w:pPr>
    </w:lvl>
    <w:lvl w:ilvl="3" w:tplc="047AF8D8">
      <w:numFmt w:val="bullet"/>
      <w:lvlText w:val="-"/>
      <w:lvlJc w:val="left"/>
      <w:pPr>
        <w:ind w:left="2520" w:hanging="360"/>
      </w:pPr>
      <w:rPr>
        <w:rFonts w:ascii="Calibri" w:eastAsiaTheme="minorHAnsi" w:hAnsi="Calibri" w:cs="Calibri" w:hint="default"/>
      </w:r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37D353CF"/>
    <w:multiLevelType w:val="multilevel"/>
    <w:tmpl w:val="EEB8AFE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39A10681"/>
    <w:multiLevelType w:val="multilevel"/>
    <w:tmpl w:val="7ECE4150"/>
    <w:lvl w:ilvl="0">
      <w:start w:val="5"/>
      <w:numFmt w:val="decimal"/>
      <w:lvlText w:val="%1"/>
      <w:lvlJc w:val="left"/>
      <w:pPr>
        <w:ind w:left="380" w:hanging="3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3A9C30B6"/>
    <w:multiLevelType w:val="hybridMultilevel"/>
    <w:tmpl w:val="FDA665C6"/>
    <w:lvl w:ilvl="0" w:tplc="0C09000F">
      <w:start w:val="1"/>
      <w:numFmt w:val="decimal"/>
      <w:lvlText w:val="%1."/>
      <w:lvlJc w:val="left"/>
      <w:pPr>
        <w:ind w:left="360" w:hanging="360"/>
      </w:pPr>
      <w:rPr>
        <w:rFonts w:hint="default"/>
      </w:r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3AA22596"/>
    <w:multiLevelType w:val="multilevel"/>
    <w:tmpl w:val="5D18CD90"/>
    <w:lvl w:ilvl="0">
      <w:start w:val="13"/>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3B7D7176"/>
    <w:multiLevelType w:val="multilevel"/>
    <w:tmpl w:val="FF3E73D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3E131D85"/>
    <w:multiLevelType w:val="multilevel"/>
    <w:tmpl w:val="82F8F272"/>
    <w:lvl w:ilvl="0">
      <w:start w:val="4"/>
      <w:numFmt w:val="decimal"/>
      <w:lvlText w:val="%1"/>
      <w:lvlJc w:val="left"/>
      <w:pPr>
        <w:ind w:left="360" w:hanging="360"/>
      </w:pPr>
      <w:rPr>
        <w:rFonts w:ascii="Calibri" w:eastAsia="Calibri" w:hAnsi="Calibri" w:cs="Times New Roman" w:hint="default"/>
      </w:rPr>
    </w:lvl>
    <w:lvl w:ilvl="1">
      <w:start w:val="1"/>
      <w:numFmt w:val="decimal"/>
      <w:lvlText w:val="%1.%2"/>
      <w:lvlJc w:val="left"/>
      <w:pPr>
        <w:ind w:left="360" w:hanging="360"/>
      </w:pPr>
      <w:rPr>
        <w:rFonts w:ascii="Calibri" w:eastAsia="Calibri" w:hAnsi="Calibri" w:cs="Times New Roman" w:hint="default"/>
        <w:sz w:val="22"/>
        <w:szCs w:val="22"/>
      </w:rPr>
    </w:lvl>
    <w:lvl w:ilvl="2">
      <w:start w:val="1"/>
      <w:numFmt w:val="decimal"/>
      <w:lvlText w:val="%1.%2.%3"/>
      <w:lvlJc w:val="left"/>
      <w:pPr>
        <w:ind w:left="720" w:hanging="720"/>
      </w:pPr>
      <w:rPr>
        <w:rFonts w:ascii="Calibri" w:eastAsia="Calibri" w:hAnsi="Calibri" w:cs="Times New Roman" w:hint="default"/>
      </w:rPr>
    </w:lvl>
    <w:lvl w:ilvl="3">
      <w:start w:val="1"/>
      <w:numFmt w:val="decimal"/>
      <w:lvlText w:val="%1.%2.%3.%4"/>
      <w:lvlJc w:val="left"/>
      <w:pPr>
        <w:ind w:left="720" w:hanging="720"/>
      </w:pPr>
      <w:rPr>
        <w:rFonts w:ascii="Calibri" w:eastAsia="Calibri" w:hAnsi="Calibri" w:cs="Times New Roman" w:hint="default"/>
      </w:rPr>
    </w:lvl>
    <w:lvl w:ilvl="4">
      <w:start w:val="1"/>
      <w:numFmt w:val="decimal"/>
      <w:lvlText w:val="%1.%2.%3.%4.%5"/>
      <w:lvlJc w:val="left"/>
      <w:pPr>
        <w:ind w:left="1080" w:hanging="1080"/>
      </w:pPr>
      <w:rPr>
        <w:rFonts w:ascii="Calibri" w:eastAsia="Calibri" w:hAnsi="Calibri" w:cs="Times New Roman" w:hint="default"/>
      </w:rPr>
    </w:lvl>
    <w:lvl w:ilvl="5">
      <w:start w:val="1"/>
      <w:numFmt w:val="decimal"/>
      <w:lvlText w:val="%1.%2.%3.%4.%5.%6"/>
      <w:lvlJc w:val="left"/>
      <w:pPr>
        <w:ind w:left="1080" w:hanging="1080"/>
      </w:pPr>
      <w:rPr>
        <w:rFonts w:ascii="Calibri" w:eastAsia="Calibri" w:hAnsi="Calibri" w:cs="Times New Roman" w:hint="default"/>
      </w:rPr>
    </w:lvl>
    <w:lvl w:ilvl="6">
      <w:start w:val="1"/>
      <w:numFmt w:val="decimal"/>
      <w:lvlText w:val="%1.%2.%3.%4.%5.%6.%7"/>
      <w:lvlJc w:val="left"/>
      <w:pPr>
        <w:ind w:left="1440" w:hanging="1440"/>
      </w:pPr>
      <w:rPr>
        <w:rFonts w:ascii="Calibri" w:eastAsia="Calibri" w:hAnsi="Calibri" w:cs="Times New Roman" w:hint="default"/>
      </w:rPr>
    </w:lvl>
    <w:lvl w:ilvl="7">
      <w:start w:val="1"/>
      <w:numFmt w:val="decimal"/>
      <w:lvlText w:val="%1.%2.%3.%4.%5.%6.%7.%8"/>
      <w:lvlJc w:val="left"/>
      <w:pPr>
        <w:ind w:left="1440" w:hanging="1440"/>
      </w:pPr>
      <w:rPr>
        <w:rFonts w:ascii="Calibri" w:eastAsia="Calibri" w:hAnsi="Calibri" w:cs="Times New Roman" w:hint="default"/>
      </w:rPr>
    </w:lvl>
    <w:lvl w:ilvl="8">
      <w:start w:val="1"/>
      <w:numFmt w:val="decimal"/>
      <w:lvlText w:val="%1.%2.%3.%4.%5.%6.%7.%8.%9"/>
      <w:lvlJc w:val="left"/>
      <w:pPr>
        <w:ind w:left="1440" w:hanging="1440"/>
      </w:pPr>
      <w:rPr>
        <w:rFonts w:ascii="Calibri" w:eastAsia="Calibri" w:hAnsi="Calibri" w:cs="Times New Roman" w:hint="default"/>
      </w:rPr>
    </w:lvl>
  </w:abstractNum>
  <w:abstractNum w:abstractNumId="33" w15:restartNumberingAfterBreak="0">
    <w:nsid w:val="3E341D90"/>
    <w:multiLevelType w:val="multilevel"/>
    <w:tmpl w:val="8A60215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418A03EC"/>
    <w:multiLevelType w:val="hybridMultilevel"/>
    <w:tmpl w:val="62A00B98"/>
    <w:lvl w:ilvl="0" w:tplc="0C09000F">
      <w:start w:val="1"/>
      <w:numFmt w:val="decimal"/>
      <w:lvlText w:val="%1."/>
      <w:lvlJc w:val="left"/>
      <w:pPr>
        <w:ind w:left="360" w:hanging="360"/>
      </w:pPr>
      <w:rPr>
        <w:rFonts w:hint="default"/>
      </w:rPr>
    </w:lvl>
    <w:lvl w:ilvl="1" w:tplc="0C090013">
      <w:start w:val="1"/>
      <w:numFmt w:val="upperRoman"/>
      <w:lvlText w:val="%2."/>
      <w:lvlJc w:val="right"/>
      <w:pPr>
        <w:ind w:left="1080" w:hanging="360"/>
      </w:pPr>
    </w:lvl>
    <w:lvl w:ilvl="2" w:tplc="0C09001B">
      <w:start w:val="1"/>
      <w:numFmt w:val="lowerRoman"/>
      <w:lvlText w:val="%3."/>
      <w:lvlJc w:val="right"/>
      <w:pPr>
        <w:ind w:left="1800" w:hanging="180"/>
      </w:pPr>
    </w:lvl>
    <w:lvl w:ilvl="3" w:tplc="047AF8D8">
      <w:numFmt w:val="bullet"/>
      <w:lvlText w:val="-"/>
      <w:lvlJc w:val="left"/>
      <w:pPr>
        <w:ind w:left="2520" w:hanging="360"/>
      </w:pPr>
      <w:rPr>
        <w:rFonts w:ascii="Calibri" w:eastAsiaTheme="minorHAnsi" w:hAnsi="Calibri" w:cs="Calibri" w:hint="default"/>
      </w:r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42D64B34"/>
    <w:multiLevelType w:val="hybridMultilevel"/>
    <w:tmpl w:val="EAC05874"/>
    <w:lvl w:ilvl="0" w:tplc="CBB0A452">
      <w:start w:val="1"/>
      <w:numFmt w:val="bullet"/>
      <w:lvlText w:val=""/>
      <w:lvlJc w:val="left"/>
      <w:pPr>
        <w:ind w:left="360" w:hanging="360"/>
      </w:pPr>
      <w:rPr>
        <w:rFonts w:ascii="Symbol" w:hAnsi="Symbol" w:hint="default"/>
        <w:color w:val="44546A" w:themeColor="text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43F97016"/>
    <w:multiLevelType w:val="multilevel"/>
    <w:tmpl w:val="97D2F84E"/>
    <w:lvl w:ilvl="0">
      <w:start w:val="10"/>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447A4E82"/>
    <w:multiLevelType w:val="multilevel"/>
    <w:tmpl w:val="50B480FA"/>
    <w:lvl w:ilvl="0">
      <w:start w:val="16"/>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44D307DF"/>
    <w:multiLevelType w:val="hybridMultilevel"/>
    <w:tmpl w:val="D56876B0"/>
    <w:lvl w:ilvl="0" w:tplc="C12679EE">
      <w:start w:val="1"/>
      <w:numFmt w:val="decimal"/>
      <w:lvlText w:val="%1."/>
      <w:lvlJc w:val="left"/>
      <w:pPr>
        <w:ind w:left="502" w:hanging="360"/>
      </w:pPr>
      <w:rPr>
        <w:b/>
        <w:bCs/>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15:restartNumberingAfterBreak="0">
    <w:nsid w:val="45C2679D"/>
    <w:multiLevelType w:val="multilevel"/>
    <w:tmpl w:val="6D1A093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4A4455B9"/>
    <w:multiLevelType w:val="multilevel"/>
    <w:tmpl w:val="C78AB6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15:restartNumberingAfterBreak="0">
    <w:nsid w:val="4C593587"/>
    <w:multiLevelType w:val="multilevel"/>
    <w:tmpl w:val="513022EA"/>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15:restartNumberingAfterBreak="0">
    <w:nsid w:val="4EFB386F"/>
    <w:multiLevelType w:val="multilevel"/>
    <w:tmpl w:val="6BB6B91E"/>
    <w:lvl w:ilvl="0">
      <w:start w:val="18"/>
      <w:numFmt w:val="decimal"/>
      <w:lvlText w:val="%1"/>
      <w:lvlJc w:val="left"/>
      <w:pPr>
        <w:ind w:left="390" w:hanging="390"/>
      </w:pPr>
      <w:rPr>
        <w:rFonts w:eastAsia="Times New Roman" w:cstheme="minorHAnsi" w:hint="default"/>
      </w:rPr>
    </w:lvl>
    <w:lvl w:ilvl="1">
      <w:start w:val="1"/>
      <w:numFmt w:val="decimal"/>
      <w:lvlText w:val="%1.%2"/>
      <w:lvlJc w:val="left"/>
      <w:pPr>
        <w:ind w:left="390" w:hanging="390"/>
      </w:pPr>
      <w:rPr>
        <w:rFonts w:eastAsia="Times New Roman" w:cstheme="minorHAnsi" w:hint="default"/>
      </w:rPr>
    </w:lvl>
    <w:lvl w:ilvl="2">
      <w:start w:val="1"/>
      <w:numFmt w:val="decimal"/>
      <w:lvlText w:val="%1.%2.%3"/>
      <w:lvlJc w:val="left"/>
      <w:pPr>
        <w:ind w:left="720" w:hanging="720"/>
      </w:pPr>
      <w:rPr>
        <w:rFonts w:eastAsia="Times New Roman" w:cstheme="minorHAnsi" w:hint="default"/>
      </w:rPr>
    </w:lvl>
    <w:lvl w:ilvl="3">
      <w:start w:val="1"/>
      <w:numFmt w:val="decimal"/>
      <w:lvlText w:val="%1.%2.%3.%4"/>
      <w:lvlJc w:val="left"/>
      <w:pPr>
        <w:ind w:left="720" w:hanging="720"/>
      </w:pPr>
      <w:rPr>
        <w:rFonts w:eastAsia="Times New Roman" w:cstheme="minorHAnsi" w:hint="default"/>
      </w:rPr>
    </w:lvl>
    <w:lvl w:ilvl="4">
      <w:start w:val="1"/>
      <w:numFmt w:val="decimal"/>
      <w:lvlText w:val="%1.%2.%3.%4.%5"/>
      <w:lvlJc w:val="left"/>
      <w:pPr>
        <w:ind w:left="1080" w:hanging="1080"/>
      </w:pPr>
      <w:rPr>
        <w:rFonts w:eastAsia="Times New Roman" w:cstheme="minorHAnsi" w:hint="default"/>
      </w:rPr>
    </w:lvl>
    <w:lvl w:ilvl="5">
      <w:start w:val="1"/>
      <w:numFmt w:val="decimal"/>
      <w:lvlText w:val="%1.%2.%3.%4.%5.%6"/>
      <w:lvlJc w:val="left"/>
      <w:pPr>
        <w:ind w:left="1080" w:hanging="1080"/>
      </w:pPr>
      <w:rPr>
        <w:rFonts w:eastAsia="Times New Roman" w:cstheme="minorHAnsi" w:hint="default"/>
      </w:rPr>
    </w:lvl>
    <w:lvl w:ilvl="6">
      <w:start w:val="1"/>
      <w:numFmt w:val="decimal"/>
      <w:lvlText w:val="%1.%2.%3.%4.%5.%6.%7"/>
      <w:lvlJc w:val="left"/>
      <w:pPr>
        <w:ind w:left="1440" w:hanging="1440"/>
      </w:pPr>
      <w:rPr>
        <w:rFonts w:eastAsia="Times New Roman" w:cstheme="minorHAnsi" w:hint="default"/>
      </w:rPr>
    </w:lvl>
    <w:lvl w:ilvl="7">
      <w:start w:val="1"/>
      <w:numFmt w:val="decimal"/>
      <w:lvlText w:val="%1.%2.%3.%4.%5.%6.%7.%8"/>
      <w:lvlJc w:val="left"/>
      <w:pPr>
        <w:ind w:left="1440" w:hanging="1440"/>
      </w:pPr>
      <w:rPr>
        <w:rFonts w:eastAsia="Times New Roman" w:cstheme="minorHAnsi" w:hint="default"/>
      </w:rPr>
    </w:lvl>
    <w:lvl w:ilvl="8">
      <w:start w:val="1"/>
      <w:numFmt w:val="decimal"/>
      <w:lvlText w:val="%1.%2.%3.%4.%5.%6.%7.%8.%9"/>
      <w:lvlJc w:val="left"/>
      <w:pPr>
        <w:ind w:left="1440" w:hanging="1440"/>
      </w:pPr>
      <w:rPr>
        <w:rFonts w:eastAsia="Times New Roman" w:cstheme="minorHAnsi" w:hint="default"/>
      </w:rPr>
    </w:lvl>
  </w:abstractNum>
  <w:abstractNum w:abstractNumId="43" w15:restartNumberingAfterBreak="0">
    <w:nsid w:val="537915FA"/>
    <w:multiLevelType w:val="multilevel"/>
    <w:tmpl w:val="5D18CD90"/>
    <w:lvl w:ilvl="0">
      <w:start w:val="1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15:restartNumberingAfterBreak="0">
    <w:nsid w:val="59113CB0"/>
    <w:multiLevelType w:val="hybridMultilevel"/>
    <w:tmpl w:val="F4B800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A0F2C37"/>
    <w:multiLevelType w:val="multilevel"/>
    <w:tmpl w:val="50B480FA"/>
    <w:lvl w:ilvl="0">
      <w:start w:val="17"/>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6" w15:restartNumberingAfterBreak="0">
    <w:nsid w:val="5CCF3CF6"/>
    <w:multiLevelType w:val="hybridMultilevel"/>
    <w:tmpl w:val="BF2EDC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CD106DB"/>
    <w:multiLevelType w:val="multilevel"/>
    <w:tmpl w:val="50B480FA"/>
    <w:lvl w:ilvl="0">
      <w:start w:val="17"/>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8" w15:restartNumberingAfterBreak="0">
    <w:nsid w:val="5D1B230E"/>
    <w:multiLevelType w:val="hybridMultilevel"/>
    <w:tmpl w:val="0D6410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5D56043A"/>
    <w:multiLevelType w:val="multilevel"/>
    <w:tmpl w:val="69AEB596"/>
    <w:numStyleLink w:val="BulletsList"/>
  </w:abstractNum>
  <w:abstractNum w:abstractNumId="50" w15:restartNumberingAfterBreak="0">
    <w:nsid w:val="5FEB1634"/>
    <w:multiLevelType w:val="multilevel"/>
    <w:tmpl w:val="00089E32"/>
    <w:lvl w:ilvl="0">
      <w:start w:val="13"/>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60A2724A"/>
    <w:multiLevelType w:val="multilevel"/>
    <w:tmpl w:val="50B480FA"/>
    <w:lvl w:ilvl="0">
      <w:start w:val="16"/>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2" w15:restartNumberingAfterBreak="0">
    <w:nsid w:val="642F3DBB"/>
    <w:multiLevelType w:val="multilevel"/>
    <w:tmpl w:val="3AC2937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3" w15:restartNumberingAfterBreak="0">
    <w:nsid w:val="688B7AC9"/>
    <w:multiLevelType w:val="multilevel"/>
    <w:tmpl w:val="81BEF9D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4" w15:restartNumberingAfterBreak="0">
    <w:nsid w:val="6AC4374A"/>
    <w:multiLevelType w:val="multilevel"/>
    <w:tmpl w:val="5D18CD90"/>
    <w:lvl w:ilvl="0">
      <w:start w:val="13"/>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5" w15:restartNumberingAfterBreak="0">
    <w:nsid w:val="6CB353CD"/>
    <w:multiLevelType w:val="hybridMultilevel"/>
    <w:tmpl w:val="5D82AB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6D262400"/>
    <w:multiLevelType w:val="hybridMultilevel"/>
    <w:tmpl w:val="821E22C2"/>
    <w:lvl w:ilvl="0" w:tplc="C10CA284">
      <w:start w:val="1"/>
      <w:numFmt w:val="bullet"/>
      <w:lvlText w:val=""/>
      <w:lvlJc w:val="left"/>
      <w:pPr>
        <w:ind w:left="436" w:hanging="360"/>
      </w:pPr>
      <w:rPr>
        <w:rFonts w:ascii="Wingdings" w:hAnsi="Wingdings" w:hint="default"/>
        <w:color w:val="002060"/>
        <w:sz w:val="22"/>
        <w:szCs w:val="22"/>
      </w:rPr>
    </w:lvl>
    <w:lvl w:ilvl="1" w:tplc="0C090003">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57" w15:restartNumberingAfterBreak="0">
    <w:nsid w:val="6FE0464F"/>
    <w:multiLevelType w:val="multilevel"/>
    <w:tmpl w:val="054A31B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8" w15:restartNumberingAfterBreak="0">
    <w:nsid w:val="73107305"/>
    <w:multiLevelType w:val="multilevel"/>
    <w:tmpl w:val="69AEB596"/>
    <w:styleLink w:val="BulletsList"/>
    <w:lvl w:ilvl="0">
      <w:start w:val="1"/>
      <w:numFmt w:val="bullet"/>
      <w:pStyle w:val="Bullet1"/>
      <w:lvlText w:val=""/>
      <w:lvlJc w:val="left"/>
      <w:pPr>
        <w:tabs>
          <w:tab w:val="num" w:pos="284"/>
        </w:tabs>
        <w:ind w:left="284" w:hanging="284"/>
      </w:pPr>
      <w:rPr>
        <w:rFonts w:ascii="Symbol" w:hAnsi="Symbol" w:hint="default"/>
        <w:color w:val="4472C4" w:themeColor="accent1"/>
      </w:rPr>
    </w:lvl>
    <w:lvl w:ilvl="1">
      <w:start w:val="1"/>
      <w:numFmt w:val="bullet"/>
      <w:pStyle w:val="Bullet2"/>
      <w:lvlText w:val="–"/>
      <w:lvlJc w:val="left"/>
      <w:pPr>
        <w:tabs>
          <w:tab w:val="num" w:pos="568"/>
        </w:tabs>
        <w:ind w:left="568" w:hanging="284"/>
      </w:pPr>
      <w:rPr>
        <w:rFonts w:ascii="Arial" w:hAnsi="Arial" w:hint="default"/>
        <w:color w:val="4472C4" w:themeColor="accent1"/>
      </w:rPr>
    </w:lvl>
    <w:lvl w:ilvl="2">
      <w:start w:val="1"/>
      <w:numFmt w:val="bullet"/>
      <w:pStyle w:val="Bullet3"/>
      <w:lvlText w:val="»"/>
      <w:lvlJc w:val="left"/>
      <w:pPr>
        <w:tabs>
          <w:tab w:val="num" w:pos="852"/>
        </w:tabs>
        <w:ind w:left="852" w:hanging="285"/>
      </w:pPr>
      <w:rPr>
        <w:rFonts w:ascii="Arial" w:hAnsi="Arial" w:hint="default"/>
        <w:color w:val="4472C4" w:themeColor="accent1"/>
      </w:rPr>
    </w:lvl>
    <w:lvl w:ilvl="3">
      <w:start w:val="1"/>
      <w:numFmt w:val="decimal"/>
      <w:lvlText w:val="(%4)"/>
      <w:lvlJc w:val="left"/>
      <w:pPr>
        <w:tabs>
          <w:tab w:val="num" w:pos="1136"/>
        </w:tabs>
        <w:ind w:left="1136" w:firstLine="0"/>
      </w:pPr>
      <w:rPr>
        <w:rFonts w:hint="default"/>
      </w:rPr>
    </w:lvl>
    <w:lvl w:ilvl="4">
      <w:start w:val="1"/>
      <w:numFmt w:val="lowerLetter"/>
      <w:lvlText w:val="(%5)"/>
      <w:lvlJc w:val="left"/>
      <w:pPr>
        <w:tabs>
          <w:tab w:val="num" w:pos="1420"/>
        </w:tabs>
        <w:ind w:left="1420" w:firstLine="0"/>
      </w:pPr>
      <w:rPr>
        <w:rFonts w:hint="default"/>
      </w:rPr>
    </w:lvl>
    <w:lvl w:ilvl="5">
      <w:start w:val="1"/>
      <w:numFmt w:val="lowerRoman"/>
      <w:lvlText w:val="(%6)"/>
      <w:lvlJc w:val="left"/>
      <w:pPr>
        <w:tabs>
          <w:tab w:val="num" w:pos="1704"/>
        </w:tabs>
        <w:ind w:left="1704" w:firstLine="0"/>
      </w:pPr>
      <w:rPr>
        <w:rFonts w:hint="default"/>
      </w:rPr>
    </w:lvl>
    <w:lvl w:ilvl="6">
      <w:start w:val="1"/>
      <w:numFmt w:val="decimal"/>
      <w:lvlText w:val="%7."/>
      <w:lvlJc w:val="left"/>
      <w:pPr>
        <w:tabs>
          <w:tab w:val="num" w:pos="1988"/>
        </w:tabs>
        <w:ind w:left="1988" w:firstLine="0"/>
      </w:pPr>
      <w:rPr>
        <w:rFonts w:hint="default"/>
      </w:rPr>
    </w:lvl>
    <w:lvl w:ilvl="7">
      <w:start w:val="1"/>
      <w:numFmt w:val="lowerLetter"/>
      <w:lvlText w:val="%8."/>
      <w:lvlJc w:val="left"/>
      <w:pPr>
        <w:tabs>
          <w:tab w:val="num" w:pos="2272"/>
        </w:tabs>
        <w:ind w:left="2272" w:firstLine="0"/>
      </w:pPr>
      <w:rPr>
        <w:rFonts w:hint="default"/>
      </w:rPr>
    </w:lvl>
    <w:lvl w:ilvl="8">
      <w:start w:val="1"/>
      <w:numFmt w:val="lowerRoman"/>
      <w:lvlText w:val="%9."/>
      <w:lvlJc w:val="left"/>
      <w:pPr>
        <w:tabs>
          <w:tab w:val="num" w:pos="2556"/>
        </w:tabs>
        <w:ind w:left="2556" w:firstLine="0"/>
      </w:pPr>
      <w:rPr>
        <w:rFonts w:hint="default"/>
      </w:rPr>
    </w:lvl>
  </w:abstractNum>
  <w:abstractNum w:abstractNumId="59" w15:restartNumberingAfterBreak="0">
    <w:nsid w:val="779612FE"/>
    <w:multiLevelType w:val="hybridMultilevel"/>
    <w:tmpl w:val="FDA665C6"/>
    <w:lvl w:ilvl="0" w:tplc="0C09000F">
      <w:start w:val="1"/>
      <w:numFmt w:val="decimal"/>
      <w:lvlText w:val="%1."/>
      <w:lvlJc w:val="left"/>
      <w:pPr>
        <w:ind w:left="360" w:hanging="360"/>
      </w:pPr>
      <w:rPr>
        <w:rFonts w:hint="default"/>
      </w:r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0" w15:restartNumberingAfterBreak="0">
    <w:nsid w:val="7A166956"/>
    <w:multiLevelType w:val="multilevel"/>
    <w:tmpl w:val="DAE04B74"/>
    <w:lvl w:ilvl="0">
      <w:start w:val="15"/>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1" w15:restartNumberingAfterBreak="0">
    <w:nsid w:val="7A393C96"/>
    <w:multiLevelType w:val="hybridMultilevel"/>
    <w:tmpl w:val="2B6E75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15:restartNumberingAfterBreak="0">
    <w:nsid w:val="7D05099E"/>
    <w:multiLevelType w:val="multilevel"/>
    <w:tmpl w:val="96605DE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2"/>
  </w:num>
  <w:num w:numId="2">
    <w:abstractNumId w:val="57"/>
  </w:num>
  <w:num w:numId="3">
    <w:abstractNumId w:val="59"/>
  </w:num>
  <w:num w:numId="4">
    <w:abstractNumId w:val="56"/>
  </w:num>
  <w:num w:numId="5">
    <w:abstractNumId w:val="58"/>
  </w:num>
  <w:num w:numId="6">
    <w:abstractNumId w:val="49"/>
  </w:num>
  <w:num w:numId="7">
    <w:abstractNumId w:val="1"/>
  </w:num>
  <w:num w:numId="8">
    <w:abstractNumId w:val="28"/>
  </w:num>
  <w:num w:numId="9">
    <w:abstractNumId w:val="14"/>
  </w:num>
  <w:num w:numId="10">
    <w:abstractNumId w:val="39"/>
  </w:num>
  <w:num w:numId="11">
    <w:abstractNumId w:val="35"/>
  </w:num>
  <w:num w:numId="12">
    <w:abstractNumId w:val="0"/>
  </w:num>
  <w:num w:numId="13">
    <w:abstractNumId w:val="15"/>
  </w:num>
  <w:num w:numId="14">
    <w:abstractNumId w:val="20"/>
  </w:num>
  <w:num w:numId="15">
    <w:abstractNumId w:val="17"/>
  </w:num>
  <w:num w:numId="16">
    <w:abstractNumId w:val="22"/>
  </w:num>
  <w:num w:numId="17">
    <w:abstractNumId w:val="55"/>
  </w:num>
  <w:num w:numId="18">
    <w:abstractNumId w:val="16"/>
  </w:num>
  <w:num w:numId="19">
    <w:abstractNumId w:val="41"/>
  </w:num>
  <w:num w:numId="20">
    <w:abstractNumId w:val="8"/>
  </w:num>
  <w:num w:numId="21">
    <w:abstractNumId w:val="36"/>
  </w:num>
  <w:num w:numId="22">
    <w:abstractNumId w:val="25"/>
  </w:num>
  <w:num w:numId="23">
    <w:abstractNumId w:val="11"/>
  </w:num>
  <w:num w:numId="24">
    <w:abstractNumId w:val="50"/>
  </w:num>
  <w:num w:numId="25">
    <w:abstractNumId w:val="10"/>
  </w:num>
  <w:num w:numId="26">
    <w:abstractNumId w:val="47"/>
  </w:num>
  <w:num w:numId="27">
    <w:abstractNumId w:val="42"/>
  </w:num>
  <w:num w:numId="28">
    <w:abstractNumId w:val="48"/>
  </w:num>
  <w:num w:numId="29">
    <w:abstractNumId w:val="46"/>
  </w:num>
  <w:num w:numId="30">
    <w:abstractNumId w:val="44"/>
  </w:num>
  <w:num w:numId="31">
    <w:abstractNumId w:val="9"/>
  </w:num>
  <w:num w:numId="32">
    <w:abstractNumId w:val="53"/>
  </w:num>
  <w:num w:numId="33">
    <w:abstractNumId w:val="61"/>
  </w:num>
  <w:num w:numId="34">
    <w:abstractNumId w:val="4"/>
  </w:num>
  <w:num w:numId="35">
    <w:abstractNumId w:val="38"/>
  </w:num>
  <w:num w:numId="36">
    <w:abstractNumId w:val="7"/>
  </w:num>
  <w:num w:numId="37">
    <w:abstractNumId w:val="51"/>
  </w:num>
  <w:num w:numId="38">
    <w:abstractNumId w:val="52"/>
  </w:num>
  <w:num w:numId="39">
    <w:abstractNumId w:val="32"/>
  </w:num>
  <w:num w:numId="40">
    <w:abstractNumId w:val="27"/>
  </w:num>
  <w:num w:numId="41">
    <w:abstractNumId w:val="24"/>
  </w:num>
  <w:num w:numId="42">
    <w:abstractNumId w:val="5"/>
  </w:num>
  <w:num w:numId="43">
    <w:abstractNumId w:val="29"/>
  </w:num>
  <w:num w:numId="44">
    <w:abstractNumId w:val="12"/>
  </w:num>
  <w:num w:numId="45">
    <w:abstractNumId w:val="33"/>
  </w:num>
  <w:num w:numId="46">
    <w:abstractNumId w:val="3"/>
  </w:num>
  <w:num w:numId="47">
    <w:abstractNumId w:val="6"/>
  </w:num>
  <w:num w:numId="48">
    <w:abstractNumId w:val="23"/>
  </w:num>
  <w:num w:numId="49">
    <w:abstractNumId w:val="19"/>
  </w:num>
  <w:num w:numId="50">
    <w:abstractNumId w:val="43"/>
  </w:num>
  <w:num w:numId="51">
    <w:abstractNumId w:val="54"/>
  </w:num>
  <w:num w:numId="52">
    <w:abstractNumId w:val="30"/>
  </w:num>
  <w:num w:numId="53">
    <w:abstractNumId w:val="37"/>
  </w:num>
  <w:num w:numId="54">
    <w:abstractNumId w:val="45"/>
  </w:num>
  <w:num w:numId="55">
    <w:abstractNumId w:val="13"/>
  </w:num>
  <w:num w:numId="56">
    <w:abstractNumId w:val="60"/>
  </w:num>
  <w:num w:numId="57">
    <w:abstractNumId w:val="21"/>
  </w:num>
  <w:num w:numId="58">
    <w:abstractNumId w:val="40"/>
  </w:num>
  <w:num w:numId="59">
    <w:abstractNumId w:val="18"/>
  </w:num>
  <w:num w:numId="60">
    <w:abstractNumId w:val="62"/>
  </w:num>
  <w:num w:numId="61">
    <w:abstractNumId w:val="31"/>
  </w:num>
  <w:num w:numId="62">
    <w:abstractNumId w:val="34"/>
  </w:num>
  <w:num w:numId="63">
    <w:abstractNumId w:val="26"/>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ctiveWritingStyle w:appName="MSWord" w:lang="fr-CM" w:vendorID="64" w:dllVersion="6" w:nlCheck="1" w:checkStyle="0"/>
  <w:activeWritingStyle w:appName="MSWord" w:lang="en-AU" w:vendorID="64" w:dllVersion="6" w:nlCheck="1" w:checkStyle="1"/>
  <w:activeWritingStyle w:appName="MSWord" w:lang="en-US" w:vendorID="64" w:dllVersion="6" w:nlCheck="1" w:checkStyle="1"/>
  <w:activeWritingStyle w:appName="MSWord" w:lang="en-GB" w:vendorID="64" w:dllVersion="6" w:nlCheck="1" w:checkStyle="1"/>
  <w:activeWritingStyle w:appName="MSWord" w:lang="en-AU"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fr-CM" w:vendorID="64" w:dllVersion="4096" w:nlCheck="1" w:checkStyle="0"/>
  <w:activeWritingStyle w:appName="MSWord" w:lang="en-AU"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fr-CM" w:vendorID="64" w:dllVersion="131078" w:nlCheck="1" w:checkStyle="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6155"/>
    <w:rsid w:val="00002ECD"/>
    <w:rsid w:val="000059AB"/>
    <w:rsid w:val="0000632A"/>
    <w:rsid w:val="0000796C"/>
    <w:rsid w:val="00011521"/>
    <w:rsid w:val="00017800"/>
    <w:rsid w:val="00020B7E"/>
    <w:rsid w:val="00023E3A"/>
    <w:rsid w:val="0002431F"/>
    <w:rsid w:val="00024A4F"/>
    <w:rsid w:val="000305BC"/>
    <w:rsid w:val="00031B7A"/>
    <w:rsid w:val="000322B8"/>
    <w:rsid w:val="00033591"/>
    <w:rsid w:val="000336EC"/>
    <w:rsid w:val="00033DB0"/>
    <w:rsid w:val="00033F56"/>
    <w:rsid w:val="00034BBB"/>
    <w:rsid w:val="000366E4"/>
    <w:rsid w:val="00040DD2"/>
    <w:rsid w:val="00042618"/>
    <w:rsid w:val="00043200"/>
    <w:rsid w:val="00045709"/>
    <w:rsid w:val="000463F4"/>
    <w:rsid w:val="00046963"/>
    <w:rsid w:val="000476A4"/>
    <w:rsid w:val="00051A14"/>
    <w:rsid w:val="00052082"/>
    <w:rsid w:val="00055FA9"/>
    <w:rsid w:val="00057F73"/>
    <w:rsid w:val="000601C4"/>
    <w:rsid w:val="0006108F"/>
    <w:rsid w:val="0006205C"/>
    <w:rsid w:val="00070A40"/>
    <w:rsid w:val="00072B41"/>
    <w:rsid w:val="000731E3"/>
    <w:rsid w:val="00075963"/>
    <w:rsid w:val="000779C1"/>
    <w:rsid w:val="00080927"/>
    <w:rsid w:val="00080F26"/>
    <w:rsid w:val="0008333E"/>
    <w:rsid w:val="000844F9"/>
    <w:rsid w:val="00086840"/>
    <w:rsid w:val="00092F70"/>
    <w:rsid w:val="0009334B"/>
    <w:rsid w:val="00093652"/>
    <w:rsid w:val="00096B17"/>
    <w:rsid w:val="00097E8D"/>
    <w:rsid w:val="000A25C7"/>
    <w:rsid w:val="000A2893"/>
    <w:rsid w:val="000B017A"/>
    <w:rsid w:val="000B03F4"/>
    <w:rsid w:val="000B132F"/>
    <w:rsid w:val="000B174D"/>
    <w:rsid w:val="000B19AE"/>
    <w:rsid w:val="000B1C3B"/>
    <w:rsid w:val="000B255F"/>
    <w:rsid w:val="000B2E8E"/>
    <w:rsid w:val="000B38C6"/>
    <w:rsid w:val="000B3D8B"/>
    <w:rsid w:val="000B6184"/>
    <w:rsid w:val="000B7FA8"/>
    <w:rsid w:val="000C1075"/>
    <w:rsid w:val="000C35F4"/>
    <w:rsid w:val="000C5D82"/>
    <w:rsid w:val="000C6B0A"/>
    <w:rsid w:val="000C6D9D"/>
    <w:rsid w:val="000C7CA7"/>
    <w:rsid w:val="000D053B"/>
    <w:rsid w:val="000D168F"/>
    <w:rsid w:val="000D396F"/>
    <w:rsid w:val="000D3E99"/>
    <w:rsid w:val="000D401A"/>
    <w:rsid w:val="000D4241"/>
    <w:rsid w:val="000D5983"/>
    <w:rsid w:val="000D5F19"/>
    <w:rsid w:val="000D6DFA"/>
    <w:rsid w:val="000D708D"/>
    <w:rsid w:val="000E3515"/>
    <w:rsid w:val="000E44CA"/>
    <w:rsid w:val="000E4B79"/>
    <w:rsid w:val="000E4C33"/>
    <w:rsid w:val="000F0E88"/>
    <w:rsid w:val="000F161B"/>
    <w:rsid w:val="000F3423"/>
    <w:rsid w:val="000F4511"/>
    <w:rsid w:val="000F7090"/>
    <w:rsid w:val="0010286E"/>
    <w:rsid w:val="00103842"/>
    <w:rsid w:val="0010775B"/>
    <w:rsid w:val="00107E65"/>
    <w:rsid w:val="00107E85"/>
    <w:rsid w:val="001100DF"/>
    <w:rsid w:val="0011057B"/>
    <w:rsid w:val="00110CA4"/>
    <w:rsid w:val="00110CF5"/>
    <w:rsid w:val="00111466"/>
    <w:rsid w:val="00112BEF"/>
    <w:rsid w:val="00113128"/>
    <w:rsid w:val="00113C35"/>
    <w:rsid w:val="00114737"/>
    <w:rsid w:val="00116ABE"/>
    <w:rsid w:val="001209D6"/>
    <w:rsid w:val="00121B43"/>
    <w:rsid w:val="00124249"/>
    <w:rsid w:val="001322FB"/>
    <w:rsid w:val="00137530"/>
    <w:rsid w:val="001377D9"/>
    <w:rsid w:val="001416E9"/>
    <w:rsid w:val="00144610"/>
    <w:rsid w:val="00146E9A"/>
    <w:rsid w:val="00157909"/>
    <w:rsid w:val="00157E6C"/>
    <w:rsid w:val="00161225"/>
    <w:rsid w:val="00161FFA"/>
    <w:rsid w:val="001628E0"/>
    <w:rsid w:val="0016430A"/>
    <w:rsid w:val="00165DEA"/>
    <w:rsid w:val="0016655B"/>
    <w:rsid w:val="00171CCA"/>
    <w:rsid w:val="00172141"/>
    <w:rsid w:val="001727EE"/>
    <w:rsid w:val="00172986"/>
    <w:rsid w:val="0017346B"/>
    <w:rsid w:val="00174F56"/>
    <w:rsid w:val="00177351"/>
    <w:rsid w:val="00177769"/>
    <w:rsid w:val="001777AE"/>
    <w:rsid w:val="001803F5"/>
    <w:rsid w:val="00181CF5"/>
    <w:rsid w:val="00182799"/>
    <w:rsid w:val="00183418"/>
    <w:rsid w:val="001835B5"/>
    <w:rsid w:val="0019225F"/>
    <w:rsid w:val="00192266"/>
    <w:rsid w:val="00192FAE"/>
    <w:rsid w:val="00195FD5"/>
    <w:rsid w:val="00197E3C"/>
    <w:rsid w:val="001A266C"/>
    <w:rsid w:val="001A2CBA"/>
    <w:rsid w:val="001A31FD"/>
    <w:rsid w:val="001A5F34"/>
    <w:rsid w:val="001A6B87"/>
    <w:rsid w:val="001A7E05"/>
    <w:rsid w:val="001B08CD"/>
    <w:rsid w:val="001B0FC4"/>
    <w:rsid w:val="001B2513"/>
    <w:rsid w:val="001B50E5"/>
    <w:rsid w:val="001B5BFF"/>
    <w:rsid w:val="001B6F9A"/>
    <w:rsid w:val="001B7899"/>
    <w:rsid w:val="001C1F8F"/>
    <w:rsid w:val="001C2890"/>
    <w:rsid w:val="001C3844"/>
    <w:rsid w:val="001C4244"/>
    <w:rsid w:val="001C478A"/>
    <w:rsid w:val="001C4C13"/>
    <w:rsid w:val="001C6636"/>
    <w:rsid w:val="001C6AD2"/>
    <w:rsid w:val="001C7F37"/>
    <w:rsid w:val="001D0E2E"/>
    <w:rsid w:val="001D0F98"/>
    <w:rsid w:val="001D1F9B"/>
    <w:rsid w:val="001D2013"/>
    <w:rsid w:val="001D5F0A"/>
    <w:rsid w:val="001D66B3"/>
    <w:rsid w:val="001D6CDD"/>
    <w:rsid w:val="001D6DD0"/>
    <w:rsid w:val="001E234E"/>
    <w:rsid w:val="001E2B50"/>
    <w:rsid w:val="001E4CB0"/>
    <w:rsid w:val="001E55A4"/>
    <w:rsid w:val="001E707E"/>
    <w:rsid w:val="001F2C05"/>
    <w:rsid w:val="001F41B5"/>
    <w:rsid w:val="001F794F"/>
    <w:rsid w:val="0020223E"/>
    <w:rsid w:val="0020398B"/>
    <w:rsid w:val="00204D41"/>
    <w:rsid w:val="00207322"/>
    <w:rsid w:val="00210223"/>
    <w:rsid w:val="0021247A"/>
    <w:rsid w:val="00212D98"/>
    <w:rsid w:val="0021483B"/>
    <w:rsid w:val="002162D2"/>
    <w:rsid w:val="00216F12"/>
    <w:rsid w:val="002171AC"/>
    <w:rsid w:val="00217C42"/>
    <w:rsid w:val="002226E0"/>
    <w:rsid w:val="00222DE8"/>
    <w:rsid w:val="00224BC8"/>
    <w:rsid w:val="0023041B"/>
    <w:rsid w:val="00232E13"/>
    <w:rsid w:val="0023324D"/>
    <w:rsid w:val="00233F6A"/>
    <w:rsid w:val="00237A02"/>
    <w:rsid w:val="00237EB4"/>
    <w:rsid w:val="002401AE"/>
    <w:rsid w:val="00244282"/>
    <w:rsid w:val="00247EAB"/>
    <w:rsid w:val="00251454"/>
    <w:rsid w:val="00251FC4"/>
    <w:rsid w:val="00252195"/>
    <w:rsid w:val="00252E69"/>
    <w:rsid w:val="002538BF"/>
    <w:rsid w:val="0026007C"/>
    <w:rsid w:val="0026186E"/>
    <w:rsid w:val="002634A8"/>
    <w:rsid w:val="00264E4B"/>
    <w:rsid w:val="00266457"/>
    <w:rsid w:val="00271A9B"/>
    <w:rsid w:val="00273502"/>
    <w:rsid w:val="00274804"/>
    <w:rsid w:val="00274ADF"/>
    <w:rsid w:val="00274C49"/>
    <w:rsid w:val="00275787"/>
    <w:rsid w:val="0028091D"/>
    <w:rsid w:val="00281741"/>
    <w:rsid w:val="00281B8A"/>
    <w:rsid w:val="00283A04"/>
    <w:rsid w:val="00285DEB"/>
    <w:rsid w:val="00287F3E"/>
    <w:rsid w:val="002904EF"/>
    <w:rsid w:val="00294923"/>
    <w:rsid w:val="002A3672"/>
    <w:rsid w:val="002B0559"/>
    <w:rsid w:val="002B0610"/>
    <w:rsid w:val="002B4693"/>
    <w:rsid w:val="002B6499"/>
    <w:rsid w:val="002B6508"/>
    <w:rsid w:val="002B7FB0"/>
    <w:rsid w:val="002C0080"/>
    <w:rsid w:val="002C18B6"/>
    <w:rsid w:val="002C1C35"/>
    <w:rsid w:val="002C1E22"/>
    <w:rsid w:val="002C7C2D"/>
    <w:rsid w:val="002D1B5B"/>
    <w:rsid w:val="002D2806"/>
    <w:rsid w:val="002D7459"/>
    <w:rsid w:val="002E0A4D"/>
    <w:rsid w:val="002E11D1"/>
    <w:rsid w:val="002E542A"/>
    <w:rsid w:val="002E6411"/>
    <w:rsid w:val="002E6452"/>
    <w:rsid w:val="002E6793"/>
    <w:rsid w:val="002F1A1D"/>
    <w:rsid w:val="00311228"/>
    <w:rsid w:val="00321B3E"/>
    <w:rsid w:val="00321DDA"/>
    <w:rsid w:val="003251A9"/>
    <w:rsid w:val="00327591"/>
    <w:rsid w:val="00327932"/>
    <w:rsid w:val="00327EC3"/>
    <w:rsid w:val="00330749"/>
    <w:rsid w:val="003311F9"/>
    <w:rsid w:val="00331868"/>
    <w:rsid w:val="00334448"/>
    <w:rsid w:val="003357F8"/>
    <w:rsid w:val="003423BB"/>
    <w:rsid w:val="003441C7"/>
    <w:rsid w:val="00345CC8"/>
    <w:rsid w:val="003536EA"/>
    <w:rsid w:val="00354185"/>
    <w:rsid w:val="00360914"/>
    <w:rsid w:val="00360DA1"/>
    <w:rsid w:val="00361907"/>
    <w:rsid w:val="00362065"/>
    <w:rsid w:val="00362913"/>
    <w:rsid w:val="00365E74"/>
    <w:rsid w:val="00365F58"/>
    <w:rsid w:val="00366992"/>
    <w:rsid w:val="003709A7"/>
    <w:rsid w:val="00371410"/>
    <w:rsid w:val="00382ABC"/>
    <w:rsid w:val="0038411D"/>
    <w:rsid w:val="00385C3A"/>
    <w:rsid w:val="00385EC0"/>
    <w:rsid w:val="003922A1"/>
    <w:rsid w:val="00392886"/>
    <w:rsid w:val="00393CB3"/>
    <w:rsid w:val="00393F6C"/>
    <w:rsid w:val="003965FA"/>
    <w:rsid w:val="003A0541"/>
    <w:rsid w:val="003A3A33"/>
    <w:rsid w:val="003A3C83"/>
    <w:rsid w:val="003A58A1"/>
    <w:rsid w:val="003A5B1D"/>
    <w:rsid w:val="003A6A2F"/>
    <w:rsid w:val="003A6C56"/>
    <w:rsid w:val="003B0E29"/>
    <w:rsid w:val="003B34ED"/>
    <w:rsid w:val="003B4FAD"/>
    <w:rsid w:val="003B68B3"/>
    <w:rsid w:val="003C0419"/>
    <w:rsid w:val="003C1B8B"/>
    <w:rsid w:val="003C1F87"/>
    <w:rsid w:val="003C2759"/>
    <w:rsid w:val="003C34E3"/>
    <w:rsid w:val="003C3F92"/>
    <w:rsid w:val="003C5477"/>
    <w:rsid w:val="003C66C4"/>
    <w:rsid w:val="003C6EB3"/>
    <w:rsid w:val="003D0091"/>
    <w:rsid w:val="003D13BE"/>
    <w:rsid w:val="003D1529"/>
    <w:rsid w:val="003D6C68"/>
    <w:rsid w:val="003E3E47"/>
    <w:rsid w:val="003E5027"/>
    <w:rsid w:val="003F0596"/>
    <w:rsid w:val="003F150A"/>
    <w:rsid w:val="003F3BA4"/>
    <w:rsid w:val="00402908"/>
    <w:rsid w:val="00403708"/>
    <w:rsid w:val="00406A9B"/>
    <w:rsid w:val="00411D5D"/>
    <w:rsid w:val="004132C0"/>
    <w:rsid w:val="00414150"/>
    <w:rsid w:val="0041736B"/>
    <w:rsid w:val="004177C4"/>
    <w:rsid w:val="0042055C"/>
    <w:rsid w:val="0042096B"/>
    <w:rsid w:val="00423A48"/>
    <w:rsid w:val="00424E5C"/>
    <w:rsid w:val="00425BB0"/>
    <w:rsid w:val="0042723E"/>
    <w:rsid w:val="004277D2"/>
    <w:rsid w:val="0043041E"/>
    <w:rsid w:val="004341ED"/>
    <w:rsid w:val="00435B2C"/>
    <w:rsid w:val="00437B7F"/>
    <w:rsid w:val="004417F9"/>
    <w:rsid w:val="0044180F"/>
    <w:rsid w:val="00441F25"/>
    <w:rsid w:val="00441F6B"/>
    <w:rsid w:val="004431E5"/>
    <w:rsid w:val="00444960"/>
    <w:rsid w:val="00445760"/>
    <w:rsid w:val="00447480"/>
    <w:rsid w:val="0045305E"/>
    <w:rsid w:val="004541A8"/>
    <w:rsid w:val="00456F16"/>
    <w:rsid w:val="00462215"/>
    <w:rsid w:val="004633A8"/>
    <w:rsid w:val="0046486D"/>
    <w:rsid w:val="004657A6"/>
    <w:rsid w:val="00467737"/>
    <w:rsid w:val="004677AC"/>
    <w:rsid w:val="00470334"/>
    <w:rsid w:val="00470FE1"/>
    <w:rsid w:val="0047150F"/>
    <w:rsid w:val="0048161F"/>
    <w:rsid w:val="0048180E"/>
    <w:rsid w:val="004836CA"/>
    <w:rsid w:val="004840CD"/>
    <w:rsid w:val="00485CE8"/>
    <w:rsid w:val="00490CB3"/>
    <w:rsid w:val="004910F3"/>
    <w:rsid w:val="00491675"/>
    <w:rsid w:val="0049486B"/>
    <w:rsid w:val="0049491F"/>
    <w:rsid w:val="004963E2"/>
    <w:rsid w:val="004A070F"/>
    <w:rsid w:val="004A0E66"/>
    <w:rsid w:val="004A50F9"/>
    <w:rsid w:val="004A5781"/>
    <w:rsid w:val="004A62DC"/>
    <w:rsid w:val="004B0B4F"/>
    <w:rsid w:val="004B23C3"/>
    <w:rsid w:val="004B3525"/>
    <w:rsid w:val="004B3E4E"/>
    <w:rsid w:val="004B5EDC"/>
    <w:rsid w:val="004B6088"/>
    <w:rsid w:val="004C31BD"/>
    <w:rsid w:val="004C3957"/>
    <w:rsid w:val="004C4715"/>
    <w:rsid w:val="004C4BF1"/>
    <w:rsid w:val="004D5B2D"/>
    <w:rsid w:val="004E4550"/>
    <w:rsid w:val="004E4BEE"/>
    <w:rsid w:val="004E53F7"/>
    <w:rsid w:val="004E7AB4"/>
    <w:rsid w:val="004E7C9F"/>
    <w:rsid w:val="004F2144"/>
    <w:rsid w:val="004F4F52"/>
    <w:rsid w:val="004F55B4"/>
    <w:rsid w:val="00503D89"/>
    <w:rsid w:val="00504C23"/>
    <w:rsid w:val="0050682F"/>
    <w:rsid w:val="005105F8"/>
    <w:rsid w:val="00511F75"/>
    <w:rsid w:val="00513E9D"/>
    <w:rsid w:val="005145CE"/>
    <w:rsid w:val="00515456"/>
    <w:rsid w:val="00516155"/>
    <w:rsid w:val="0051643A"/>
    <w:rsid w:val="005165CB"/>
    <w:rsid w:val="00526A23"/>
    <w:rsid w:val="005271BD"/>
    <w:rsid w:val="00534D61"/>
    <w:rsid w:val="00536044"/>
    <w:rsid w:val="005367EC"/>
    <w:rsid w:val="0054028F"/>
    <w:rsid w:val="00541D07"/>
    <w:rsid w:val="00543891"/>
    <w:rsid w:val="00544237"/>
    <w:rsid w:val="00545B4D"/>
    <w:rsid w:val="00546160"/>
    <w:rsid w:val="00551184"/>
    <w:rsid w:val="00556C00"/>
    <w:rsid w:val="005575F4"/>
    <w:rsid w:val="005578EE"/>
    <w:rsid w:val="00564538"/>
    <w:rsid w:val="00565A1A"/>
    <w:rsid w:val="00565A3D"/>
    <w:rsid w:val="00565F95"/>
    <w:rsid w:val="00566C1C"/>
    <w:rsid w:val="00571ABE"/>
    <w:rsid w:val="00572F73"/>
    <w:rsid w:val="0058366E"/>
    <w:rsid w:val="00583FF8"/>
    <w:rsid w:val="00584F4E"/>
    <w:rsid w:val="00591623"/>
    <w:rsid w:val="0059258A"/>
    <w:rsid w:val="00595151"/>
    <w:rsid w:val="005968A9"/>
    <w:rsid w:val="005975F2"/>
    <w:rsid w:val="005A3769"/>
    <w:rsid w:val="005A545B"/>
    <w:rsid w:val="005B02FE"/>
    <w:rsid w:val="005B1106"/>
    <w:rsid w:val="005B3D51"/>
    <w:rsid w:val="005B3FF4"/>
    <w:rsid w:val="005B44E2"/>
    <w:rsid w:val="005B4E54"/>
    <w:rsid w:val="005B545E"/>
    <w:rsid w:val="005B56FE"/>
    <w:rsid w:val="005B59C4"/>
    <w:rsid w:val="005B68DF"/>
    <w:rsid w:val="005B6954"/>
    <w:rsid w:val="005C29CB"/>
    <w:rsid w:val="005C2A8A"/>
    <w:rsid w:val="005C360A"/>
    <w:rsid w:val="005C4B84"/>
    <w:rsid w:val="005C520B"/>
    <w:rsid w:val="005C763C"/>
    <w:rsid w:val="005C76BB"/>
    <w:rsid w:val="005D4A89"/>
    <w:rsid w:val="005D658B"/>
    <w:rsid w:val="005D7081"/>
    <w:rsid w:val="005E1FFF"/>
    <w:rsid w:val="005E3A1F"/>
    <w:rsid w:val="005E3CCD"/>
    <w:rsid w:val="005E5606"/>
    <w:rsid w:val="005E5BAC"/>
    <w:rsid w:val="005E75A6"/>
    <w:rsid w:val="005E7CD2"/>
    <w:rsid w:val="005F06BC"/>
    <w:rsid w:val="005F3519"/>
    <w:rsid w:val="005F7C35"/>
    <w:rsid w:val="006035E6"/>
    <w:rsid w:val="00603866"/>
    <w:rsid w:val="0060628E"/>
    <w:rsid w:val="00607DAD"/>
    <w:rsid w:val="00612197"/>
    <w:rsid w:val="006133CD"/>
    <w:rsid w:val="00621C83"/>
    <w:rsid w:val="00623B7B"/>
    <w:rsid w:val="0062788A"/>
    <w:rsid w:val="006278D9"/>
    <w:rsid w:val="006302FD"/>
    <w:rsid w:val="00632016"/>
    <w:rsid w:val="006321A8"/>
    <w:rsid w:val="006344DC"/>
    <w:rsid w:val="00634CDD"/>
    <w:rsid w:val="00640780"/>
    <w:rsid w:val="00640D1A"/>
    <w:rsid w:val="00653119"/>
    <w:rsid w:val="0065314C"/>
    <w:rsid w:val="0065584C"/>
    <w:rsid w:val="00661B6D"/>
    <w:rsid w:val="00661EA0"/>
    <w:rsid w:val="0066319B"/>
    <w:rsid w:val="00665286"/>
    <w:rsid w:val="0066624F"/>
    <w:rsid w:val="00671955"/>
    <w:rsid w:val="00671AE2"/>
    <w:rsid w:val="00671BDD"/>
    <w:rsid w:val="0067249E"/>
    <w:rsid w:val="00675366"/>
    <w:rsid w:val="00676314"/>
    <w:rsid w:val="00677BFF"/>
    <w:rsid w:val="006824ED"/>
    <w:rsid w:val="006829CB"/>
    <w:rsid w:val="00684089"/>
    <w:rsid w:val="00687860"/>
    <w:rsid w:val="00691084"/>
    <w:rsid w:val="006937C5"/>
    <w:rsid w:val="00693EC7"/>
    <w:rsid w:val="006A0A83"/>
    <w:rsid w:val="006A0F77"/>
    <w:rsid w:val="006A2BB7"/>
    <w:rsid w:val="006A49D9"/>
    <w:rsid w:val="006A53AA"/>
    <w:rsid w:val="006B0D9D"/>
    <w:rsid w:val="006B0E23"/>
    <w:rsid w:val="006B1821"/>
    <w:rsid w:val="006B19D3"/>
    <w:rsid w:val="006B1DAB"/>
    <w:rsid w:val="006B5A8C"/>
    <w:rsid w:val="006C3DB6"/>
    <w:rsid w:val="006C720F"/>
    <w:rsid w:val="006D5815"/>
    <w:rsid w:val="006D5F32"/>
    <w:rsid w:val="006D6089"/>
    <w:rsid w:val="006D60D1"/>
    <w:rsid w:val="006D62E1"/>
    <w:rsid w:val="006E0479"/>
    <w:rsid w:val="006E0570"/>
    <w:rsid w:val="006E20FA"/>
    <w:rsid w:val="006E2213"/>
    <w:rsid w:val="006E3EE1"/>
    <w:rsid w:val="006E4055"/>
    <w:rsid w:val="006E426A"/>
    <w:rsid w:val="006E4EF0"/>
    <w:rsid w:val="006E5435"/>
    <w:rsid w:val="006F1555"/>
    <w:rsid w:val="006F189F"/>
    <w:rsid w:val="006F1E98"/>
    <w:rsid w:val="006F2CF9"/>
    <w:rsid w:val="006F5AA2"/>
    <w:rsid w:val="006F727F"/>
    <w:rsid w:val="006F760D"/>
    <w:rsid w:val="00700D72"/>
    <w:rsid w:val="0070532C"/>
    <w:rsid w:val="00705D48"/>
    <w:rsid w:val="007106A9"/>
    <w:rsid w:val="0071111E"/>
    <w:rsid w:val="007113ED"/>
    <w:rsid w:val="0071582F"/>
    <w:rsid w:val="00715E34"/>
    <w:rsid w:val="007204AE"/>
    <w:rsid w:val="00720B4A"/>
    <w:rsid w:val="00721785"/>
    <w:rsid w:val="00721911"/>
    <w:rsid w:val="007223D7"/>
    <w:rsid w:val="0072335D"/>
    <w:rsid w:val="00723C85"/>
    <w:rsid w:val="00724869"/>
    <w:rsid w:val="007250E8"/>
    <w:rsid w:val="007264A5"/>
    <w:rsid w:val="007272D4"/>
    <w:rsid w:val="0073133C"/>
    <w:rsid w:val="00731B16"/>
    <w:rsid w:val="00732CBA"/>
    <w:rsid w:val="00736490"/>
    <w:rsid w:val="00740BCE"/>
    <w:rsid w:val="0074575A"/>
    <w:rsid w:val="0075059B"/>
    <w:rsid w:val="00750827"/>
    <w:rsid w:val="0075220F"/>
    <w:rsid w:val="00753A47"/>
    <w:rsid w:val="00754D78"/>
    <w:rsid w:val="00755567"/>
    <w:rsid w:val="00755D4A"/>
    <w:rsid w:val="00757ED0"/>
    <w:rsid w:val="00757EF1"/>
    <w:rsid w:val="007609F9"/>
    <w:rsid w:val="00761D61"/>
    <w:rsid w:val="00763C14"/>
    <w:rsid w:val="0076791B"/>
    <w:rsid w:val="00767C69"/>
    <w:rsid w:val="0077026A"/>
    <w:rsid w:val="00773211"/>
    <w:rsid w:val="007766D8"/>
    <w:rsid w:val="00776ADE"/>
    <w:rsid w:val="00781DA0"/>
    <w:rsid w:val="007828B6"/>
    <w:rsid w:val="0078371A"/>
    <w:rsid w:val="00784BFF"/>
    <w:rsid w:val="007903FF"/>
    <w:rsid w:val="00791E85"/>
    <w:rsid w:val="00792176"/>
    <w:rsid w:val="0079377C"/>
    <w:rsid w:val="007952E0"/>
    <w:rsid w:val="007A0116"/>
    <w:rsid w:val="007A3232"/>
    <w:rsid w:val="007A39C7"/>
    <w:rsid w:val="007B120E"/>
    <w:rsid w:val="007B1723"/>
    <w:rsid w:val="007B24C5"/>
    <w:rsid w:val="007B28E4"/>
    <w:rsid w:val="007B28E7"/>
    <w:rsid w:val="007B55C8"/>
    <w:rsid w:val="007B7CEA"/>
    <w:rsid w:val="007C08A3"/>
    <w:rsid w:val="007C0C8E"/>
    <w:rsid w:val="007C1EFB"/>
    <w:rsid w:val="007C340A"/>
    <w:rsid w:val="007C48AA"/>
    <w:rsid w:val="007C4ED4"/>
    <w:rsid w:val="007C7260"/>
    <w:rsid w:val="007D01CA"/>
    <w:rsid w:val="007D4E7B"/>
    <w:rsid w:val="007D607B"/>
    <w:rsid w:val="007D6388"/>
    <w:rsid w:val="007D6C58"/>
    <w:rsid w:val="007D7BCA"/>
    <w:rsid w:val="007E29F0"/>
    <w:rsid w:val="007E2DA7"/>
    <w:rsid w:val="007E61F8"/>
    <w:rsid w:val="007E6555"/>
    <w:rsid w:val="007F0A8E"/>
    <w:rsid w:val="007F0CEB"/>
    <w:rsid w:val="007F37A6"/>
    <w:rsid w:val="0080315F"/>
    <w:rsid w:val="008051FA"/>
    <w:rsid w:val="00806986"/>
    <w:rsid w:val="00813803"/>
    <w:rsid w:val="00813889"/>
    <w:rsid w:val="008139FD"/>
    <w:rsid w:val="0081561C"/>
    <w:rsid w:val="00816000"/>
    <w:rsid w:val="008173CE"/>
    <w:rsid w:val="0081742C"/>
    <w:rsid w:val="00817C8A"/>
    <w:rsid w:val="008251AC"/>
    <w:rsid w:val="00826717"/>
    <w:rsid w:val="00827025"/>
    <w:rsid w:val="00827FEB"/>
    <w:rsid w:val="0083248E"/>
    <w:rsid w:val="00832E0D"/>
    <w:rsid w:val="008331ED"/>
    <w:rsid w:val="00835806"/>
    <w:rsid w:val="00841294"/>
    <w:rsid w:val="00844947"/>
    <w:rsid w:val="00846104"/>
    <w:rsid w:val="008461EE"/>
    <w:rsid w:val="0084638C"/>
    <w:rsid w:val="008468B8"/>
    <w:rsid w:val="00852010"/>
    <w:rsid w:val="008555AE"/>
    <w:rsid w:val="00870CC0"/>
    <w:rsid w:val="00871CD2"/>
    <w:rsid w:val="00875F69"/>
    <w:rsid w:val="00881127"/>
    <w:rsid w:val="00886D9F"/>
    <w:rsid w:val="008901D4"/>
    <w:rsid w:val="00891AB0"/>
    <w:rsid w:val="00893528"/>
    <w:rsid w:val="00893FD9"/>
    <w:rsid w:val="008945F8"/>
    <w:rsid w:val="00894948"/>
    <w:rsid w:val="008969D6"/>
    <w:rsid w:val="008A05AD"/>
    <w:rsid w:val="008A1BB3"/>
    <w:rsid w:val="008A1BE7"/>
    <w:rsid w:val="008A3809"/>
    <w:rsid w:val="008A388F"/>
    <w:rsid w:val="008A3A0D"/>
    <w:rsid w:val="008A583D"/>
    <w:rsid w:val="008B14DB"/>
    <w:rsid w:val="008B36B8"/>
    <w:rsid w:val="008B3F16"/>
    <w:rsid w:val="008B52CD"/>
    <w:rsid w:val="008B6E28"/>
    <w:rsid w:val="008C4308"/>
    <w:rsid w:val="008C5BE5"/>
    <w:rsid w:val="008C670D"/>
    <w:rsid w:val="008D03F1"/>
    <w:rsid w:val="008D0E79"/>
    <w:rsid w:val="008D3488"/>
    <w:rsid w:val="008D3F36"/>
    <w:rsid w:val="008D46CB"/>
    <w:rsid w:val="008D6C2B"/>
    <w:rsid w:val="008D7F4C"/>
    <w:rsid w:val="008E0E95"/>
    <w:rsid w:val="008E1009"/>
    <w:rsid w:val="008E23C8"/>
    <w:rsid w:val="008E486F"/>
    <w:rsid w:val="008E5633"/>
    <w:rsid w:val="008E5AFB"/>
    <w:rsid w:val="008F3F53"/>
    <w:rsid w:val="008F407D"/>
    <w:rsid w:val="008F7A26"/>
    <w:rsid w:val="00902487"/>
    <w:rsid w:val="009051B4"/>
    <w:rsid w:val="009053D1"/>
    <w:rsid w:val="009054C6"/>
    <w:rsid w:val="00906936"/>
    <w:rsid w:val="00906A86"/>
    <w:rsid w:val="0090770B"/>
    <w:rsid w:val="00915FE8"/>
    <w:rsid w:val="00921657"/>
    <w:rsid w:val="009217CA"/>
    <w:rsid w:val="00921EB0"/>
    <w:rsid w:val="009228D9"/>
    <w:rsid w:val="00924E79"/>
    <w:rsid w:val="00926E46"/>
    <w:rsid w:val="00927634"/>
    <w:rsid w:val="0093132A"/>
    <w:rsid w:val="0093146D"/>
    <w:rsid w:val="00932736"/>
    <w:rsid w:val="00933F29"/>
    <w:rsid w:val="009360C6"/>
    <w:rsid w:val="009375CF"/>
    <w:rsid w:val="0094075A"/>
    <w:rsid w:val="00940EC9"/>
    <w:rsid w:val="00942FC2"/>
    <w:rsid w:val="00944A2F"/>
    <w:rsid w:val="00951581"/>
    <w:rsid w:val="00952F39"/>
    <w:rsid w:val="00953CAE"/>
    <w:rsid w:val="00954735"/>
    <w:rsid w:val="00955ECF"/>
    <w:rsid w:val="009637CE"/>
    <w:rsid w:val="009668C9"/>
    <w:rsid w:val="009672A4"/>
    <w:rsid w:val="009705CD"/>
    <w:rsid w:val="00970E0E"/>
    <w:rsid w:val="009724CE"/>
    <w:rsid w:val="009744D3"/>
    <w:rsid w:val="0097626C"/>
    <w:rsid w:val="00976652"/>
    <w:rsid w:val="00982F94"/>
    <w:rsid w:val="00992506"/>
    <w:rsid w:val="00993EE5"/>
    <w:rsid w:val="00995131"/>
    <w:rsid w:val="009A273C"/>
    <w:rsid w:val="009A4E9F"/>
    <w:rsid w:val="009A5072"/>
    <w:rsid w:val="009A5455"/>
    <w:rsid w:val="009A68DF"/>
    <w:rsid w:val="009A7AA9"/>
    <w:rsid w:val="009A7E08"/>
    <w:rsid w:val="009A7EC5"/>
    <w:rsid w:val="009B1CB6"/>
    <w:rsid w:val="009B53A7"/>
    <w:rsid w:val="009B5675"/>
    <w:rsid w:val="009B6B60"/>
    <w:rsid w:val="009C1093"/>
    <w:rsid w:val="009C149F"/>
    <w:rsid w:val="009C5D55"/>
    <w:rsid w:val="009C693B"/>
    <w:rsid w:val="009C6E0A"/>
    <w:rsid w:val="009C7226"/>
    <w:rsid w:val="009D0BDE"/>
    <w:rsid w:val="009D0C89"/>
    <w:rsid w:val="009D204E"/>
    <w:rsid w:val="009D2E5C"/>
    <w:rsid w:val="009D4CDA"/>
    <w:rsid w:val="009D6731"/>
    <w:rsid w:val="009D723C"/>
    <w:rsid w:val="009E0849"/>
    <w:rsid w:val="009E0BA2"/>
    <w:rsid w:val="009F234B"/>
    <w:rsid w:val="009F276A"/>
    <w:rsid w:val="009F36F9"/>
    <w:rsid w:val="009F6B09"/>
    <w:rsid w:val="00A005A6"/>
    <w:rsid w:val="00A00FF9"/>
    <w:rsid w:val="00A0124D"/>
    <w:rsid w:val="00A0159B"/>
    <w:rsid w:val="00A01BBE"/>
    <w:rsid w:val="00A03389"/>
    <w:rsid w:val="00A0340A"/>
    <w:rsid w:val="00A04479"/>
    <w:rsid w:val="00A05C4C"/>
    <w:rsid w:val="00A061F2"/>
    <w:rsid w:val="00A06A45"/>
    <w:rsid w:val="00A0711C"/>
    <w:rsid w:val="00A11772"/>
    <w:rsid w:val="00A124AF"/>
    <w:rsid w:val="00A137E7"/>
    <w:rsid w:val="00A16022"/>
    <w:rsid w:val="00A16217"/>
    <w:rsid w:val="00A163F4"/>
    <w:rsid w:val="00A209F5"/>
    <w:rsid w:val="00A22049"/>
    <w:rsid w:val="00A23A50"/>
    <w:rsid w:val="00A24833"/>
    <w:rsid w:val="00A249E3"/>
    <w:rsid w:val="00A25AC9"/>
    <w:rsid w:val="00A26910"/>
    <w:rsid w:val="00A306DF"/>
    <w:rsid w:val="00A33C9A"/>
    <w:rsid w:val="00A344B4"/>
    <w:rsid w:val="00A348E2"/>
    <w:rsid w:val="00A401EB"/>
    <w:rsid w:val="00A427A6"/>
    <w:rsid w:val="00A43A15"/>
    <w:rsid w:val="00A43CA9"/>
    <w:rsid w:val="00A4502F"/>
    <w:rsid w:val="00A517C3"/>
    <w:rsid w:val="00A57427"/>
    <w:rsid w:val="00A61EBE"/>
    <w:rsid w:val="00A66BA8"/>
    <w:rsid w:val="00A705FC"/>
    <w:rsid w:val="00A74906"/>
    <w:rsid w:val="00A75463"/>
    <w:rsid w:val="00A75573"/>
    <w:rsid w:val="00A766B7"/>
    <w:rsid w:val="00A80068"/>
    <w:rsid w:val="00A829F2"/>
    <w:rsid w:val="00A83338"/>
    <w:rsid w:val="00A8355F"/>
    <w:rsid w:val="00A85386"/>
    <w:rsid w:val="00A87FBC"/>
    <w:rsid w:val="00A93798"/>
    <w:rsid w:val="00A95C52"/>
    <w:rsid w:val="00A97C86"/>
    <w:rsid w:val="00AA0430"/>
    <w:rsid w:val="00AA163F"/>
    <w:rsid w:val="00AA1BE0"/>
    <w:rsid w:val="00AA1C86"/>
    <w:rsid w:val="00AA1FF2"/>
    <w:rsid w:val="00AA2B9E"/>
    <w:rsid w:val="00AA3640"/>
    <w:rsid w:val="00AA5164"/>
    <w:rsid w:val="00AA6010"/>
    <w:rsid w:val="00AA6A3C"/>
    <w:rsid w:val="00AB0923"/>
    <w:rsid w:val="00AB4AB4"/>
    <w:rsid w:val="00AC47CD"/>
    <w:rsid w:val="00AD0DC0"/>
    <w:rsid w:val="00AD675B"/>
    <w:rsid w:val="00AD7AB3"/>
    <w:rsid w:val="00AE0B9F"/>
    <w:rsid w:val="00AE0FBE"/>
    <w:rsid w:val="00AE29D5"/>
    <w:rsid w:val="00AE50AF"/>
    <w:rsid w:val="00AE6A1C"/>
    <w:rsid w:val="00AE7172"/>
    <w:rsid w:val="00AF157E"/>
    <w:rsid w:val="00AF2F88"/>
    <w:rsid w:val="00AF537E"/>
    <w:rsid w:val="00AF5CAB"/>
    <w:rsid w:val="00B02EFC"/>
    <w:rsid w:val="00B05CF1"/>
    <w:rsid w:val="00B05FDA"/>
    <w:rsid w:val="00B06890"/>
    <w:rsid w:val="00B12A0B"/>
    <w:rsid w:val="00B1646A"/>
    <w:rsid w:val="00B168C7"/>
    <w:rsid w:val="00B1793A"/>
    <w:rsid w:val="00B21E17"/>
    <w:rsid w:val="00B33AB6"/>
    <w:rsid w:val="00B347CE"/>
    <w:rsid w:val="00B359A5"/>
    <w:rsid w:val="00B35EA6"/>
    <w:rsid w:val="00B40A59"/>
    <w:rsid w:val="00B44E09"/>
    <w:rsid w:val="00B50300"/>
    <w:rsid w:val="00B5105B"/>
    <w:rsid w:val="00B510C8"/>
    <w:rsid w:val="00B54610"/>
    <w:rsid w:val="00B55D78"/>
    <w:rsid w:val="00B57414"/>
    <w:rsid w:val="00B574E9"/>
    <w:rsid w:val="00B64293"/>
    <w:rsid w:val="00B65098"/>
    <w:rsid w:val="00B6664E"/>
    <w:rsid w:val="00B67B8C"/>
    <w:rsid w:val="00B7205C"/>
    <w:rsid w:val="00B7207E"/>
    <w:rsid w:val="00B7297A"/>
    <w:rsid w:val="00B743FE"/>
    <w:rsid w:val="00B86143"/>
    <w:rsid w:val="00B868EE"/>
    <w:rsid w:val="00B87A99"/>
    <w:rsid w:val="00B90D9B"/>
    <w:rsid w:val="00B93D7E"/>
    <w:rsid w:val="00B9772A"/>
    <w:rsid w:val="00BA0BBA"/>
    <w:rsid w:val="00BA14ED"/>
    <w:rsid w:val="00BA6D07"/>
    <w:rsid w:val="00BA7F5E"/>
    <w:rsid w:val="00BB6C95"/>
    <w:rsid w:val="00BB6FAB"/>
    <w:rsid w:val="00BC00AF"/>
    <w:rsid w:val="00BC12C4"/>
    <w:rsid w:val="00BC26F7"/>
    <w:rsid w:val="00BC3ED8"/>
    <w:rsid w:val="00BD02A0"/>
    <w:rsid w:val="00BD0B73"/>
    <w:rsid w:val="00BD20EC"/>
    <w:rsid w:val="00BD4B45"/>
    <w:rsid w:val="00BD5288"/>
    <w:rsid w:val="00BD7DA6"/>
    <w:rsid w:val="00BE4F65"/>
    <w:rsid w:val="00BE707C"/>
    <w:rsid w:val="00BF08DA"/>
    <w:rsid w:val="00BF1683"/>
    <w:rsid w:val="00BF1B0E"/>
    <w:rsid w:val="00BF3D31"/>
    <w:rsid w:val="00BF546C"/>
    <w:rsid w:val="00C0089E"/>
    <w:rsid w:val="00C048DD"/>
    <w:rsid w:val="00C1156F"/>
    <w:rsid w:val="00C1271B"/>
    <w:rsid w:val="00C130F1"/>
    <w:rsid w:val="00C13A27"/>
    <w:rsid w:val="00C17B10"/>
    <w:rsid w:val="00C20B33"/>
    <w:rsid w:val="00C21A13"/>
    <w:rsid w:val="00C27CC6"/>
    <w:rsid w:val="00C3099C"/>
    <w:rsid w:val="00C31A9B"/>
    <w:rsid w:val="00C350AB"/>
    <w:rsid w:val="00C417A7"/>
    <w:rsid w:val="00C41AE3"/>
    <w:rsid w:val="00C42759"/>
    <w:rsid w:val="00C4543E"/>
    <w:rsid w:val="00C464B7"/>
    <w:rsid w:val="00C466D2"/>
    <w:rsid w:val="00C4778C"/>
    <w:rsid w:val="00C5279C"/>
    <w:rsid w:val="00C55D92"/>
    <w:rsid w:val="00C603B3"/>
    <w:rsid w:val="00C60DEA"/>
    <w:rsid w:val="00C62894"/>
    <w:rsid w:val="00C671BB"/>
    <w:rsid w:val="00C70917"/>
    <w:rsid w:val="00C70E58"/>
    <w:rsid w:val="00C71A8F"/>
    <w:rsid w:val="00C74C27"/>
    <w:rsid w:val="00C75935"/>
    <w:rsid w:val="00C75BD1"/>
    <w:rsid w:val="00C93B15"/>
    <w:rsid w:val="00C93CAC"/>
    <w:rsid w:val="00C95C39"/>
    <w:rsid w:val="00C968E1"/>
    <w:rsid w:val="00CA07A0"/>
    <w:rsid w:val="00CA36FE"/>
    <w:rsid w:val="00CA427C"/>
    <w:rsid w:val="00CA468C"/>
    <w:rsid w:val="00CA48CD"/>
    <w:rsid w:val="00CB11B0"/>
    <w:rsid w:val="00CB18C0"/>
    <w:rsid w:val="00CB252A"/>
    <w:rsid w:val="00CB4668"/>
    <w:rsid w:val="00CB58FA"/>
    <w:rsid w:val="00CC00AF"/>
    <w:rsid w:val="00CC0F1D"/>
    <w:rsid w:val="00CC152F"/>
    <w:rsid w:val="00CC615A"/>
    <w:rsid w:val="00CC6499"/>
    <w:rsid w:val="00CC7873"/>
    <w:rsid w:val="00CD2401"/>
    <w:rsid w:val="00CD501C"/>
    <w:rsid w:val="00CD7E32"/>
    <w:rsid w:val="00CE0818"/>
    <w:rsid w:val="00CE0A04"/>
    <w:rsid w:val="00CE1B80"/>
    <w:rsid w:val="00CE2527"/>
    <w:rsid w:val="00CE3594"/>
    <w:rsid w:val="00CE793E"/>
    <w:rsid w:val="00CF4C88"/>
    <w:rsid w:val="00CF684B"/>
    <w:rsid w:val="00D000DB"/>
    <w:rsid w:val="00D01218"/>
    <w:rsid w:val="00D01689"/>
    <w:rsid w:val="00D04E80"/>
    <w:rsid w:val="00D06080"/>
    <w:rsid w:val="00D064D8"/>
    <w:rsid w:val="00D13C29"/>
    <w:rsid w:val="00D17406"/>
    <w:rsid w:val="00D175D6"/>
    <w:rsid w:val="00D216AF"/>
    <w:rsid w:val="00D24708"/>
    <w:rsid w:val="00D270A9"/>
    <w:rsid w:val="00D33835"/>
    <w:rsid w:val="00D347C1"/>
    <w:rsid w:val="00D3690B"/>
    <w:rsid w:val="00D57B18"/>
    <w:rsid w:val="00D6008B"/>
    <w:rsid w:val="00D605DC"/>
    <w:rsid w:val="00D60C3D"/>
    <w:rsid w:val="00D61C96"/>
    <w:rsid w:val="00D63485"/>
    <w:rsid w:val="00D63F39"/>
    <w:rsid w:val="00D63FC7"/>
    <w:rsid w:val="00D71115"/>
    <w:rsid w:val="00D73B8F"/>
    <w:rsid w:val="00D76A5A"/>
    <w:rsid w:val="00D76AEC"/>
    <w:rsid w:val="00D77930"/>
    <w:rsid w:val="00D80130"/>
    <w:rsid w:val="00D8154C"/>
    <w:rsid w:val="00D82BE1"/>
    <w:rsid w:val="00D82EA7"/>
    <w:rsid w:val="00D8742B"/>
    <w:rsid w:val="00D90AE5"/>
    <w:rsid w:val="00D93381"/>
    <w:rsid w:val="00D94E03"/>
    <w:rsid w:val="00D97194"/>
    <w:rsid w:val="00DA4D68"/>
    <w:rsid w:val="00DA632C"/>
    <w:rsid w:val="00DA6415"/>
    <w:rsid w:val="00DB00F8"/>
    <w:rsid w:val="00DB0778"/>
    <w:rsid w:val="00DB2209"/>
    <w:rsid w:val="00DB41FA"/>
    <w:rsid w:val="00DB580A"/>
    <w:rsid w:val="00DB6FC4"/>
    <w:rsid w:val="00DB74A4"/>
    <w:rsid w:val="00DC135D"/>
    <w:rsid w:val="00DC19FE"/>
    <w:rsid w:val="00DC1AE3"/>
    <w:rsid w:val="00DC2F6A"/>
    <w:rsid w:val="00DC4576"/>
    <w:rsid w:val="00DC5B63"/>
    <w:rsid w:val="00DC6634"/>
    <w:rsid w:val="00DD05B0"/>
    <w:rsid w:val="00DD32E2"/>
    <w:rsid w:val="00DD6817"/>
    <w:rsid w:val="00DD6C13"/>
    <w:rsid w:val="00DE4D64"/>
    <w:rsid w:val="00DE55F6"/>
    <w:rsid w:val="00DE7666"/>
    <w:rsid w:val="00DF02F3"/>
    <w:rsid w:val="00DF22D4"/>
    <w:rsid w:val="00DF4A18"/>
    <w:rsid w:val="00DF4BE1"/>
    <w:rsid w:val="00DF5049"/>
    <w:rsid w:val="00DF7536"/>
    <w:rsid w:val="00DF7BD2"/>
    <w:rsid w:val="00E00026"/>
    <w:rsid w:val="00E020FE"/>
    <w:rsid w:val="00E03285"/>
    <w:rsid w:val="00E05038"/>
    <w:rsid w:val="00E05BD6"/>
    <w:rsid w:val="00E0623C"/>
    <w:rsid w:val="00E10069"/>
    <w:rsid w:val="00E11D45"/>
    <w:rsid w:val="00E12DA0"/>
    <w:rsid w:val="00E1357C"/>
    <w:rsid w:val="00E1370F"/>
    <w:rsid w:val="00E14227"/>
    <w:rsid w:val="00E14887"/>
    <w:rsid w:val="00E1511C"/>
    <w:rsid w:val="00E165AD"/>
    <w:rsid w:val="00E21B20"/>
    <w:rsid w:val="00E22133"/>
    <w:rsid w:val="00E25391"/>
    <w:rsid w:val="00E27061"/>
    <w:rsid w:val="00E31BD4"/>
    <w:rsid w:val="00E359C1"/>
    <w:rsid w:val="00E37847"/>
    <w:rsid w:val="00E40461"/>
    <w:rsid w:val="00E40A0F"/>
    <w:rsid w:val="00E4189A"/>
    <w:rsid w:val="00E41B3C"/>
    <w:rsid w:val="00E42BA8"/>
    <w:rsid w:val="00E46D09"/>
    <w:rsid w:val="00E4782C"/>
    <w:rsid w:val="00E5167E"/>
    <w:rsid w:val="00E519CF"/>
    <w:rsid w:val="00E53220"/>
    <w:rsid w:val="00E56B19"/>
    <w:rsid w:val="00E61B78"/>
    <w:rsid w:val="00E61D3C"/>
    <w:rsid w:val="00E63D8D"/>
    <w:rsid w:val="00E64617"/>
    <w:rsid w:val="00E64B5C"/>
    <w:rsid w:val="00E673E1"/>
    <w:rsid w:val="00E70532"/>
    <w:rsid w:val="00E719D0"/>
    <w:rsid w:val="00E71C94"/>
    <w:rsid w:val="00E71F30"/>
    <w:rsid w:val="00E72D8F"/>
    <w:rsid w:val="00E74389"/>
    <w:rsid w:val="00E762C9"/>
    <w:rsid w:val="00E762FD"/>
    <w:rsid w:val="00E765B8"/>
    <w:rsid w:val="00E76AC2"/>
    <w:rsid w:val="00E77A9B"/>
    <w:rsid w:val="00E813C9"/>
    <w:rsid w:val="00E81B2E"/>
    <w:rsid w:val="00E82500"/>
    <w:rsid w:val="00E84918"/>
    <w:rsid w:val="00E9145E"/>
    <w:rsid w:val="00E92350"/>
    <w:rsid w:val="00E9288F"/>
    <w:rsid w:val="00E94411"/>
    <w:rsid w:val="00EA1ADE"/>
    <w:rsid w:val="00EA3CB2"/>
    <w:rsid w:val="00EA4867"/>
    <w:rsid w:val="00EA4974"/>
    <w:rsid w:val="00EB1B90"/>
    <w:rsid w:val="00EB46D7"/>
    <w:rsid w:val="00EB5B7C"/>
    <w:rsid w:val="00EB5C80"/>
    <w:rsid w:val="00EB5EF1"/>
    <w:rsid w:val="00EB68B8"/>
    <w:rsid w:val="00EB6FD6"/>
    <w:rsid w:val="00EC1487"/>
    <w:rsid w:val="00EC1A4D"/>
    <w:rsid w:val="00EC431E"/>
    <w:rsid w:val="00EC45D6"/>
    <w:rsid w:val="00EC5CBC"/>
    <w:rsid w:val="00EC62E6"/>
    <w:rsid w:val="00EC6788"/>
    <w:rsid w:val="00ED0564"/>
    <w:rsid w:val="00ED3295"/>
    <w:rsid w:val="00ED3677"/>
    <w:rsid w:val="00ED5385"/>
    <w:rsid w:val="00ED617A"/>
    <w:rsid w:val="00EE06E8"/>
    <w:rsid w:val="00EE19CD"/>
    <w:rsid w:val="00EE3C2A"/>
    <w:rsid w:val="00EE451F"/>
    <w:rsid w:val="00EE4A71"/>
    <w:rsid w:val="00EF018A"/>
    <w:rsid w:val="00EF258C"/>
    <w:rsid w:val="00EF43AB"/>
    <w:rsid w:val="00EF5EBC"/>
    <w:rsid w:val="00EF600B"/>
    <w:rsid w:val="00EF639E"/>
    <w:rsid w:val="00EF7649"/>
    <w:rsid w:val="00EF782F"/>
    <w:rsid w:val="00F03534"/>
    <w:rsid w:val="00F05B9F"/>
    <w:rsid w:val="00F068CB"/>
    <w:rsid w:val="00F06E63"/>
    <w:rsid w:val="00F078E6"/>
    <w:rsid w:val="00F07A77"/>
    <w:rsid w:val="00F1171F"/>
    <w:rsid w:val="00F16F44"/>
    <w:rsid w:val="00F17953"/>
    <w:rsid w:val="00F20206"/>
    <w:rsid w:val="00F20A41"/>
    <w:rsid w:val="00F21060"/>
    <w:rsid w:val="00F22985"/>
    <w:rsid w:val="00F23B61"/>
    <w:rsid w:val="00F257C7"/>
    <w:rsid w:val="00F266E6"/>
    <w:rsid w:val="00F26EF2"/>
    <w:rsid w:val="00F308E7"/>
    <w:rsid w:val="00F32632"/>
    <w:rsid w:val="00F327EB"/>
    <w:rsid w:val="00F359B0"/>
    <w:rsid w:val="00F369EF"/>
    <w:rsid w:val="00F40081"/>
    <w:rsid w:val="00F424C3"/>
    <w:rsid w:val="00F50BC3"/>
    <w:rsid w:val="00F52054"/>
    <w:rsid w:val="00F522D0"/>
    <w:rsid w:val="00F533A9"/>
    <w:rsid w:val="00F54838"/>
    <w:rsid w:val="00F54B92"/>
    <w:rsid w:val="00F56A5A"/>
    <w:rsid w:val="00F56F56"/>
    <w:rsid w:val="00F579AE"/>
    <w:rsid w:val="00F60D59"/>
    <w:rsid w:val="00F62BD9"/>
    <w:rsid w:val="00F63902"/>
    <w:rsid w:val="00F63AA5"/>
    <w:rsid w:val="00F64C16"/>
    <w:rsid w:val="00F64C3D"/>
    <w:rsid w:val="00F6543E"/>
    <w:rsid w:val="00F6584D"/>
    <w:rsid w:val="00F660B4"/>
    <w:rsid w:val="00F66123"/>
    <w:rsid w:val="00F6647A"/>
    <w:rsid w:val="00F66FE0"/>
    <w:rsid w:val="00F6702C"/>
    <w:rsid w:val="00F71650"/>
    <w:rsid w:val="00F71A80"/>
    <w:rsid w:val="00F7620B"/>
    <w:rsid w:val="00F77DF3"/>
    <w:rsid w:val="00F81896"/>
    <w:rsid w:val="00F81B5C"/>
    <w:rsid w:val="00F81DD3"/>
    <w:rsid w:val="00F81E0F"/>
    <w:rsid w:val="00F82815"/>
    <w:rsid w:val="00F83FB7"/>
    <w:rsid w:val="00F84562"/>
    <w:rsid w:val="00F85933"/>
    <w:rsid w:val="00F908A4"/>
    <w:rsid w:val="00F920B5"/>
    <w:rsid w:val="00F94228"/>
    <w:rsid w:val="00FA06DE"/>
    <w:rsid w:val="00FA3768"/>
    <w:rsid w:val="00FA3DED"/>
    <w:rsid w:val="00FA58C1"/>
    <w:rsid w:val="00FB24AB"/>
    <w:rsid w:val="00FB25C9"/>
    <w:rsid w:val="00FB42C8"/>
    <w:rsid w:val="00FB6DBD"/>
    <w:rsid w:val="00FC22CF"/>
    <w:rsid w:val="00FC7876"/>
    <w:rsid w:val="00FD079D"/>
    <w:rsid w:val="00FD280A"/>
    <w:rsid w:val="00FD3FE2"/>
    <w:rsid w:val="00FD44D3"/>
    <w:rsid w:val="00FD5B13"/>
    <w:rsid w:val="00FD6B78"/>
    <w:rsid w:val="00FD7C7A"/>
    <w:rsid w:val="00FE0CD3"/>
    <w:rsid w:val="00FE18DC"/>
    <w:rsid w:val="00FE400C"/>
    <w:rsid w:val="00FF0122"/>
    <w:rsid w:val="00FF0230"/>
    <w:rsid w:val="00FF08B4"/>
    <w:rsid w:val="00FF102D"/>
    <w:rsid w:val="00FF1D1E"/>
    <w:rsid w:val="00FF1D28"/>
    <w:rsid w:val="00FF6E7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9D37D8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A89"/>
  </w:style>
  <w:style w:type="paragraph" w:styleId="Heading1">
    <w:name w:val="heading 1"/>
    <w:basedOn w:val="Normal"/>
    <w:next w:val="Normal"/>
    <w:link w:val="Heading1Char"/>
    <w:uiPriority w:val="99"/>
    <w:qFormat/>
    <w:rsid w:val="00C3099C"/>
    <w:pPr>
      <w:keepNext/>
      <w:keepLines/>
      <w:numPr>
        <w:numId w:val="1"/>
      </w:numPr>
      <w:spacing w:before="480" w:after="0" w:line="240" w:lineRule="auto"/>
      <w:outlineLvl w:val="0"/>
    </w:pPr>
    <w:rPr>
      <w:rFonts w:ascii="Calibri" w:eastAsiaTheme="majorEastAsia" w:hAnsi="Calibri" w:cstheme="majorBidi"/>
      <w:b/>
      <w:bCs/>
      <w:color w:val="007EB9"/>
      <w:sz w:val="28"/>
      <w:szCs w:val="32"/>
    </w:rPr>
  </w:style>
  <w:style w:type="paragraph" w:styleId="Heading3">
    <w:name w:val="heading 3"/>
    <w:aliases w:val="h3,h31,h32,h33,h34,h35,h36,h37,h38,h39"/>
    <w:basedOn w:val="Normal"/>
    <w:next w:val="Normal"/>
    <w:link w:val="Heading3Char"/>
    <w:uiPriority w:val="99"/>
    <w:qFormat/>
    <w:rsid w:val="00C3099C"/>
    <w:pPr>
      <w:keepNext/>
      <w:numPr>
        <w:ilvl w:val="2"/>
        <w:numId w:val="1"/>
      </w:numPr>
      <w:spacing w:before="240" w:after="60" w:line="240" w:lineRule="auto"/>
      <w:outlineLvl w:val="2"/>
    </w:pPr>
    <w:rPr>
      <w:rFonts w:asciiTheme="majorHAnsi" w:hAnsiTheme="majorHAnsi"/>
      <w:b/>
      <w:color w:val="007EB9"/>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heading">
    <w:name w:val="Subheading"/>
    <w:basedOn w:val="Normal"/>
    <w:qFormat/>
    <w:rsid w:val="00516155"/>
    <w:pPr>
      <w:tabs>
        <w:tab w:val="left" w:pos="7780"/>
      </w:tabs>
      <w:spacing w:after="0" w:line="240" w:lineRule="auto"/>
    </w:pPr>
    <w:rPr>
      <w:rFonts w:ascii="Oswald Light" w:hAnsi="Oswald Light" w:cs="Times New Roman (Body CS)"/>
      <w:color w:val="B7432A"/>
      <w:spacing w:val="30"/>
    </w:rPr>
  </w:style>
  <w:style w:type="character" w:customStyle="1" w:styleId="MajorHeading">
    <w:name w:val="Major Heading"/>
    <w:basedOn w:val="DefaultParagraphFont"/>
    <w:uiPriority w:val="1"/>
    <w:qFormat/>
    <w:rsid w:val="00516155"/>
    <w:rPr>
      <w:rFonts w:ascii="Oswald" w:hAnsi="Oswald" w:cs="Times New Roman (Body CS)"/>
      <w:b/>
      <w:color w:val="0E1428"/>
      <w:spacing w:val="120"/>
      <w:sz w:val="52"/>
      <w:szCs w:val="52"/>
    </w:rPr>
  </w:style>
  <w:style w:type="character" w:customStyle="1" w:styleId="Heading">
    <w:name w:val="Heading"/>
    <w:basedOn w:val="DefaultParagraphFont"/>
    <w:uiPriority w:val="1"/>
    <w:qFormat/>
    <w:rsid w:val="0043041E"/>
    <w:rPr>
      <w:rFonts w:ascii="Oswald Light" w:hAnsi="Oswald Light" w:cs="Times New Roman (Body CS)"/>
      <w:color w:val="0E1428"/>
      <w:sz w:val="36"/>
      <w:szCs w:val="36"/>
    </w:rPr>
  </w:style>
  <w:style w:type="paragraph" w:styleId="ListParagraph">
    <w:name w:val="List Paragraph"/>
    <w:aliases w:val="List Paragraph1,Recommendation,List Paragraph11,L,F5 List Paragraph,Dot pt,CV text,Table text,List Paragraph111,Medium Grid 1 - Accent 21,Numbered Paragraph,List Paragraph2,Bulleted Para,NFP GP Bulleted List,FooterText,numbered,列出段落,列出段落1"/>
    <w:basedOn w:val="Normal"/>
    <w:link w:val="ListParagraphChar"/>
    <w:uiPriority w:val="34"/>
    <w:qFormat/>
    <w:rsid w:val="0043041E"/>
    <w:pPr>
      <w:spacing w:after="0" w:line="240" w:lineRule="auto"/>
      <w:ind w:left="720"/>
      <w:contextualSpacing/>
    </w:pPr>
    <w:rPr>
      <w:sz w:val="24"/>
      <w:szCs w:val="24"/>
    </w:rPr>
  </w:style>
  <w:style w:type="character" w:customStyle="1" w:styleId="ListParagraphChar">
    <w:name w:val="List Paragraph Char"/>
    <w:aliases w:val="List Paragraph1 Char,Recommendation Char,List Paragraph11 Char,L Char,F5 List Paragraph Char,Dot pt Char,CV text Char,Table text Char,List Paragraph111 Char,Medium Grid 1 - Accent 21 Char,Numbered Paragraph Char,List Paragraph2 Char"/>
    <w:basedOn w:val="DefaultParagraphFont"/>
    <w:link w:val="ListParagraph"/>
    <w:uiPriority w:val="34"/>
    <w:qFormat/>
    <w:locked/>
    <w:rsid w:val="0043041E"/>
    <w:rPr>
      <w:sz w:val="24"/>
      <w:szCs w:val="24"/>
    </w:rPr>
  </w:style>
  <w:style w:type="paragraph" w:customStyle="1" w:styleId="SDAHeading1">
    <w:name w:val="SDA Heading 1"/>
    <w:basedOn w:val="Normal"/>
    <w:link w:val="SDAHeading1Char"/>
    <w:qFormat/>
    <w:rsid w:val="004417F9"/>
    <w:pPr>
      <w:pageBreakBefore/>
      <w:pBdr>
        <w:bottom w:val="single" w:sz="4" w:space="10" w:color="C9916C"/>
      </w:pBdr>
      <w:spacing w:before="1200" w:after="200" w:line="240" w:lineRule="auto"/>
    </w:pPr>
    <w:rPr>
      <w:b/>
      <w:smallCaps/>
      <w:color w:val="CF5D27"/>
      <w:sz w:val="60"/>
      <w:szCs w:val="60"/>
    </w:rPr>
  </w:style>
  <w:style w:type="character" w:customStyle="1" w:styleId="SDAHeading1Char">
    <w:name w:val="SDA Heading 1 Char"/>
    <w:basedOn w:val="DefaultParagraphFont"/>
    <w:link w:val="SDAHeading1"/>
    <w:rsid w:val="004417F9"/>
    <w:rPr>
      <w:b/>
      <w:smallCaps/>
      <w:color w:val="CF5D27"/>
      <w:sz w:val="60"/>
      <w:szCs w:val="60"/>
    </w:rPr>
  </w:style>
  <w:style w:type="table" w:styleId="TableGrid">
    <w:name w:val="Table Grid"/>
    <w:basedOn w:val="TableNormal"/>
    <w:uiPriority w:val="39"/>
    <w:rsid w:val="00E14227"/>
    <w:pPr>
      <w:spacing w:after="0" w:line="240" w:lineRule="auto"/>
    </w:pPr>
    <w:rPr>
      <w:rFonts w:eastAsiaTheme="minorEastAsia"/>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9"/>
    <w:rsid w:val="00C3099C"/>
    <w:rPr>
      <w:rFonts w:ascii="Calibri" w:eastAsiaTheme="majorEastAsia" w:hAnsi="Calibri" w:cstheme="majorBidi"/>
      <w:b/>
      <w:bCs/>
      <w:color w:val="007EB9"/>
      <w:sz w:val="28"/>
      <w:szCs w:val="32"/>
    </w:rPr>
  </w:style>
  <w:style w:type="character" w:customStyle="1" w:styleId="Heading3Char">
    <w:name w:val="Heading 3 Char"/>
    <w:aliases w:val="h3 Char,h31 Char,h32 Char,h33 Char,h34 Char,h35 Char,h36 Char,h37 Char,h38 Char,h39 Char"/>
    <w:basedOn w:val="DefaultParagraphFont"/>
    <w:link w:val="Heading3"/>
    <w:uiPriority w:val="99"/>
    <w:rsid w:val="00C3099C"/>
    <w:rPr>
      <w:rFonts w:asciiTheme="majorHAnsi" w:hAnsiTheme="majorHAnsi"/>
      <w:b/>
      <w:color w:val="007EB9"/>
      <w:szCs w:val="26"/>
    </w:rPr>
  </w:style>
  <w:style w:type="paragraph" w:customStyle="1" w:styleId="SDANumberedheading2">
    <w:name w:val="SDA Numbered heading 2"/>
    <w:basedOn w:val="Normal"/>
    <w:link w:val="SDANumberedheading2Char"/>
    <w:qFormat/>
    <w:rsid w:val="00C3099C"/>
    <w:pPr>
      <w:spacing w:line="240" w:lineRule="auto"/>
      <w:ind w:left="426"/>
      <w:outlineLvl w:val="1"/>
    </w:pPr>
    <w:rPr>
      <w:rFonts w:eastAsia="Calibri" w:cstheme="minorHAnsi"/>
      <w:b/>
      <w:noProof/>
      <w:color w:val="757575"/>
      <w:sz w:val="30"/>
      <w:szCs w:val="30"/>
      <w:lang w:eastAsia="en-AU"/>
    </w:rPr>
  </w:style>
  <w:style w:type="character" w:customStyle="1" w:styleId="SDANumberedheading2Char">
    <w:name w:val="SDA Numbered heading 2 Char"/>
    <w:basedOn w:val="DefaultParagraphFont"/>
    <w:link w:val="SDANumberedheading2"/>
    <w:rsid w:val="00C3099C"/>
    <w:rPr>
      <w:rFonts w:eastAsia="Calibri" w:cstheme="minorHAnsi"/>
      <w:b/>
      <w:noProof/>
      <w:color w:val="757575"/>
      <w:sz w:val="30"/>
      <w:szCs w:val="30"/>
      <w:lang w:eastAsia="en-AU"/>
    </w:rPr>
  </w:style>
  <w:style w:type="paragraph" w:styleId="FootnoteText">
    <w:name w:val="footnote text"/>
    <w:aliases w:val="Footnote Text1,FOOTNOTES,fn,single space Char,single space,ft,Fußnote,ft Char Char,Footnote Text Char Char Char Char,Footnote Text Char Char Char Char Char,Footnote Text Char Char Char Char Char Char Char Char Char,Footnote reference,FA Fu"/>
    <w:basedOn w:val="Normal"/>
    <w:link w:val="FootnoteTextChar"/>
    <w:uiPriority w:val="99"/>
    <w:unhideWhenUsed/>
    <w:rsid w:val="00C3099C"/>
    <w:pPr>
      <w:spacing w:after="0" w:line="240" w:lineRule="auto"/>
    </w:pPr>
    <w:rPr>
      <w:sz w:val="20"/>
      <w:szCs w:val="20"/>
    </w:rPr>
  </w:style>
  <w:style w:type="character" w:customStyle="1" w:styleId="FootnoteTextChar">
    <w:name w:val="Footnote Text Char"/>
    <w:aliases w:val="Footnote Text1 Char,FOOTNOTES Char,fn Char,single space Char Char,single space Char1,ft Char,Fußnote Char,ft Char Char Char,Footnote Text Char Char Char Char Char1,Footnote Text Char Char Char Char Char Char,Footnote reference Char"/>
    <w:basedOn w:val="DefaultParagraphFont"/>
    <w:link w:val="FootnoteText"/>
    <w:uiPriority w:val="99"/>
    <w:rsid w:val="00C3099C"/>
    <w:rPr>
      <w:sz w:val="20"/>
      <w:szCs w:val="20"/>
    </w:rPr>
  </w:style>
  <w:style w:type="character" w:styleId="FootnoteReference">
    <w:name w:val="footnote reference"/>
    <w:aliases w:val="ftref,16 Point,Superscript 6 Point,BVI fnr,Footnote text,Footnotes refss,Ref,de nota al pie,4_G,Footnote number,Texto de nota al pie,Appel note de bas de page,referencia nota al pie,Ref. de nota al pie.,Footnote symbol,Footnote,norma"/>
    <w:basedOn w:val="DefaultParagraphFont"/>
    <w:link w:val="referencianotaalpieChar"/>
    <w:uiPriority w:val="99"/>
    <w:unhideWhenUsed/>
    <w:qFormat/>
    <w:rsid w:val="00C3099C"/>
    <w:rPr>
      <w:vertAlign w:val="superscript"/>
    </w:rPr>
  </w:style>
  <w:style w:type="paragraph" w:customStyle="1" w:styleId="Default">
    <w:name w:val="Default"/>
    <w:rsid w:val="00906936"/>
    <w:pPr>
      <w:autoSpaceDE w:val="0"/>
      <w:autoSpaceDN w:val="0"/>
      <w:adjustRightInd w:val="0"/>
      <w:spacing w:after="0" w:line="240" w:lineRule="auto"/>
    </w:pPr>
    <w:rPr>
      <w:rFonts w:ascii="Kenyan Coffee Rg" w:hAnsi="Kenyan Coffee Rg" w:cs="Kenyan Coffee Rg"/>
      <w:color w:val="000000"/>
      <w:sz w:val="24"/>
      <w:szCs w:val="24"/>
    </w:rPr>
  </w:style>
  <w:style w:type="paragraph" w:customStyle="1" w:styleId="referencianotaalpieChar">
    <w:name w:val="referencia nota al pie Char"/>
    <w:aliases w:val="BVI fnr Char,BVI fnr Car Car Char,BVI fnr Car Char,BVI fnr Car Car Car Car Char Char,BVI fnr Char Char Char Char,BVI fnr Car Car Char Char Char Char"/>
    <w:basedOn w:val="Normal"/>
    <w:link w:val="FootnoteReference"/>
    <w:uiPriority w:val="99"/>
    <w:rsid w:val="00114737"/>
    <w:pPr>
      <w:spacing w:line="240" w:lineRule="exact"/>
    </w:pPr>
    <w:rPr>
      <w:vertAlign w:val="superscript"/>
    </w:rPr>
  </w:style>
  <w:style w:type="paragraph" w:customStyle="1" w:styleId="Bullet1">
    <w:name w:val="Bullet 1"/>
    <w:basedOn w:val="Normal"/>
    <w:qFormat/>
    <w:rsid w:val="00F078E6"/>
    <w:pPr>
      <w:numPr>
        <w:numId w:val="6"/>
      </w:numPr>
      <w:tabs>
        <w:tab w:val="left" w:pos="567"/>
      </w:tabs>
      <w:suppressAutoHyphens/>
      <w:spacing w:before="60" w:after="60" w:line="260" w:lineRule="atLeast"/>
    </w:pPr>
    <w:rPr>
      <w:color w:val="44546A" w:themeColor="text2"/>
      <w:lang w:val="en-GB"/>
    </w:rPr>
  </w:style>
  <w:style w:type="paragraph" w:customStyle="1" w:styleId="Bullet2">
    <w:name w:val="Bullet 2"/>
    <w:basedOn w:val="Bullet1"/>
    <w:qFormat/>
    <w:rsid w:val="00F078E6"/>
    <w:pPr>
      <w:numPr>
        <w:ilvl w:val="1"/>
      </w:numPr>
      <w:tabs>
        <w:tab w:val="clear" w:pos="568"/>
        <w:tab w:val="left" w:pos="851"/>
      </w:tabs>
    </w:pPr>
  </w:style>
  <w:style w:type="paragraph" w:customStyle="1" w:styleId="Bullet3">
    <w:name w:val="Bullet 3"/>
    <w:basedOn w:val="Bullet2"/>
    <w:qFormat/>
    <w:rsid w:val="00F078E6"/>
    <w:pPr>
      <w:numPr>
        <w:ilvl w:val="2"/>
      </w:numPr>
      <w:tabs>
        <w:tab w:val="clear" w:pos="852"/>
        <w:tab w:val="left" w:pos="1134"/>
      </w:tabs>
    </w:pPr>
  </w:style>
  <w:style w:type="numbering" w:customStyle="1" w:styleId="BulletsList">
    <w:name w:val="Bullets List"/>
    <w:uiPriority w:val="99"/>
    <w:rsid w:val="00F078E6"/>
    <w:pPr>
      <w:numPr>
        <w:numId w:val="5"/>
      </w:numPr>
    </w:pPr>
  </w:style>
  <w:style w:type="character" w:styleId="Strong">
    <w:name w:val="Strong"/>
    <w:basedOn w:val="DefaultParagraphFont"/>
    <w:uiPriority w:val="22"/>
    <w:qFormat/>
    <w:rsid w:val="00F078E6"/>
    <w:rPr>
      <w:b/>
      <w:bCs/>
      <w:color w:val="44546A" w:themeColor="text2"/>
    </w:rPr>
  </w:style>
  <w:style w:type="paragraph" w:styleId="Header">
    <w:name w:val="header"/>
    <w:basedOn w:val="Normal"/>
    <w:link w:val="HeaderChar"/>
    <w:uiPriority w:val="99"/>
    <w:unhideWhenUsed/>
    <w:rsid w:val="004E7A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7AB4"/>
  </w:style>
  <w:style w:type="paragraph" w:styleId="Footer">
    <w:name w:val="footer"/>
    <w:basedOn w:val="Normal"/>
    <w:link w:val="FooterChar"/>
    <w:uiPriority w:val="99"/>
    <w:unhideWhenUsed/>
    <w:rsid w:val="004E7A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7AB4"/>
  </w:style>
  <w:style w:type="paragraph" w:styleId="HTMLPreformatted">
    <w:name w:val="HTML Preformatted"/>
    <w:basedOn w:val="Normal"/>
    <w:link w:val="HTMLPreformattedChar"/>
    <w:uiPriority w:val="99"/>
    <w:semiHidden/>
    <w:unhideWhenUsed/>
    <w:rsid w:val="005165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AU"/>
    </w:rPr>
  </w:style>
  <w:style w:type="character" w:customStyle="1" w:styleId="HTMLPreformattedChar">
    <w:name w:val="HTML Preformatted Char"/>
    <w:basedOn w:val="DefaultParagraphFont"/>
    <w:link w:val="HTMLPreformatted"/>
    <w:uiPriority w:val="99"/>
    <w:semiHidden/>
    <w:rsid w:val="005165CB"/>
    <w:rPr>
      <w:rFonts w:ascii="Courier New" w:eastAsia="Times New Roman" w:hAnsi="Courier New" w:cs="Courier New"/>
      <w:sz w:val="20"/>
      <w:szCs w:val="20"/>
      <w:lang w:eastAsia="en-AU"/>
    </w:rPr>
  </w:style>
  <w:style w:type="table" w:customStyle="1" w:styleId="TableGrid1">
    <w:name w:val="Table Grid1"/>
    <w:basedOn w:val="TableNormal"/>
    <w:next w:val="TableGrid"/>
    <w:uiPriority w:val="39"/>
    <w:rsid w:val="00CA07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A07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07A0"/>
    <w:rPr>
      <w:rFonts w:ascii="Segoe UI" w:hAnsi="Segoe UI" w:cs="Segoe UI"/>
      <w:sz w:val="18"/>
      <w:szCs w:val="18"/>
    </w:rPr>
  </w:style>
  <w:style w:type="character" w:styleId="CommentReference">
    <w:name w:val="annotation reference"/>
    <w:basedOn w:val="DefaultParagraphFont"/>
    <w:uiPriority w:val="99"/>
    <w:semiHidden/>
    <w:unhideWhenUsed/>
    <w:rsid w:val="00110CF5"/>
    <w:rPr>
      <w:sz w:val="16"/>
      <w:szCs w:val="16"/>
    </w:rPr>
  </w:style>
  <w:style w:type="paragraph" w:styleId="CommentText">
    <w:name w:val="annotation text"/>
    <w:basedOn w:val="Normal"/>
    <w:link w:val="CommentTextChar"/>
    <w:uiPriority w:val="99"/>
    <w:unhideWhenUsed/>
    <w:rsid w:val="00110CF5"/>
    <w:pPr>
      <w:spacing w:line="240" w:lineRule="auto"/>
    </w:pPr>
    <w:rPr>
      <w:sz w:val="20"/>
      <w:szCs w:val="20"/>
    </w:rPr>
  </w:style>
  <w:style w:type="character" w:customStyle="1" w:styleId="CommentTextChar">
    <w:name w:val="Comment Text Char"/>
    <w:basedOn w:val="DefaultParagraphFont"/>
    <w:link w:val="CommentText"/>
    <w:uiPriority w:val="99"/>
    <w:rsid w:val="00110CF5"/>
    <w:rPr>
      <w:sz w:val="20"/>
      <w:szCs w:val="20"/>
    </w:rPr>
  </w:style>
  <w:style w:type="paragraph" w:styleId="TOCHeading">
    <w:name w:val="TOC Heading"/>
    <w:basedOn w:val="Heading1"/>
    <w:next w:val="Normal"/>
    <w:uiPriority w:val="39"/>
    <w:unhideWhenUsed/>
    <w:qFormat/>
    <w:rsid w:val="0058366E"/>
    <w:pPr>
      <w:numPr>
        <w:numId w:val="0"/>
      </w:numPr>
      <w:spacing w:before="240" w:line="259" w:lineRule="auto"/>
      <w:outlineLvl w:val="9"/>
    </w:pPr>
    <w:rPr>
      <w:rFonts w:asciiTheme="majorHAnsi" w:hAnsiTheme="majorHAnsi"/>
      <w:b w:val="0"/>
      <w:bCs w:val="0"/>
      <w:color w:val="2F5496" w:themeColor="accent1" w:themeShade="BF"/>
      <w:sz w:val="32"/>
      <w:lang w:val="en-US"/>
    </w:rPr>
  </w:style>
  <w:style w:type="paragraph" w:styleId="TOC2">
    <w:name w:val="toc 2"/>
    <w:basedOn w:val="Normal"/>
    <w:next w:val="Normal"/>
    <w:autoRedefine/>
    <w:uiPriority w:val="39"/>
    <w:unhideWhenUsed/>
    <w:rsid w:val="0058366E"/>
    <w:pPr>
      <w:spacing w:after="100"/>
      <w:ind w:left="220"/>
    </w:pPr>
  </w:style>
  <w:style w:type="paragraph" w:styleId="TOC1">
    <w:name w:val="toc 1"/>
    <w:basedOn w:val="Normal"/>
    <w:next w:val="Normal"/>
    <w:autoRedefine/>
    <w:uiPriority w:val="39"/>
    <w:unhideWhenUsed/>
    <w:rsid w:val="0058366E"/>
    <w:pPr>
      <w:spacing w:after="100"/>
    </w:pPr>
  </w:style>
  <w:style w:type="paragraph" w:styleId="TOC3">
    <w:name w:val="toc 3"/>
    <w:basedOn w:val="Normal"/>
    <w:next w:val="Normal"/>
    <w:autoRedefine/>
    <w:uiPriority w:val="39"/>
    <w:unhideWhenUsed/>
    <w:rsid w:val="0058366E"/>
    <w:pPr>
      <w:spacing w:after="100"/>
      <w:ind w:left="440"/>
    </w:pPr>
    <w:rPr>
      <w:rFonts w:eastAsiaTheme="minorEastAsia"/>
      <w:lang w:eastAsia="en-AU"/>
    </w:rPr>
  </w:style>
  <w:style w:type="paragraph" w:styleId="TOC4">
    <w:name w:val="toc 4"/>
    <w:basedOn w:val="Normal"/>
    <w:next w:val="Normal"/>
    <w:autoRedefine/>
    <w:uiPriority w:val="39"/>
    <w:unhideWhenUsed/>
    <w:rsid w:val="0058366E"/>
    <w:pPr>
      <w:spacing w:after="100"/>
      <w:ind w:left="660"/>
    </w:pPr>
    <w:rPr>
      <w:rFonts w:eastAsiaTheme="minorEastAsia"/>
      <w:lang w:eastAsia="en-AU"/>
    </w:rPr>
  </w:style>
  <w:style w:type="paragraph" w:styleId="TOC5">
    <w:name w:val="toc 5"/>
    <w:basedOn w:val="Normal"/>
    <w:next w:val="Normal"/>
    <w:autoRedefine/>
    <w:uiPriority w:val="39"/>
    <w:unhideWhenUsed/>
    <w:rsid w:val="0058366E"/>
    <w:pPr>
      <w:spacing w:after="100"/>
      <w:ind w:left="880"/>
    </w:pPr>
    <w:rPr>
      <w:rFonts w:eastAsiaTheme="minorEastAsia"/>
      <w:lang w:eastAsia="en-AU"/>
    </w:rPr>
  </w:style>
  <w:style w:type="paragraph" w:styleId="TOC6">
    <w:name w:val="toc 6"/>
    <w:basedOn w:val="Normal"/>
    <w:next w:val="Normal"/>
    <w:autoRedefine/>
    <w:uiPriority w:val="39"/>
    <w:unhideWhenUsed/>
    <w:rsid w:val="0058366E"/>
    <w:pPr>
      <w:spacing w:after="100"/>
      <w:ind w:left="1100"/>
    </w:pPr>
    <w:rPr>
      <w:rFonts w:eastAsiaTheme="minorEastAsia"/>
      <w:lang w:eastAsia="en-AU"/>
    </w:rPr>
  </w:style>
  <w:style w:type="paragraph" w:styleId="TOC7">
    <w:name w:val="toc 7"/>
    <w:basedOn w:val="Normal"/>
    <w:next w:val="Normal"/>
    <w:autoRedefine/>
    <w:uiPriority w:val="39"/>
    <w:unhideWhenUsed/>
    <w:rsid w:val="0058366E"/>
    <w:pPr>
      <w:spacing w:after="100"/>
      <w:ind w:left="1320"/>
    </w:pPr>
    <w:rPr>
      <w:rFonts w:eastAsiaTheme="minorEastAsia"/>
      <w:lang w:eastAsia="en-AU"/>
    </w:rPr>
  </w:style>
  <w:style w:type="paragraph" w:styleId="TOC8">
    <w:name w:val="toc 8"/>
    <w:basedOn w:val="Normal"/>
    <w:next w:val="Normal"/>
    <w:autoRedefine/>
    <w:uiPriority w:val="39"/>
    <w:unhideWhenUsed/>
    <w:rsid w:val="0058366E"/>
    <w:pPr>
      <w:spacing w:after="100"/>
      <w:ind w:left="1540"/>
    </w:pPr>
    <w:rPr>
      <w:rFonts w:eastAsiaTheme="minorEastAsia"/>
      <w:lang w:eastAsia="en-AU"/>
    </w:rPr>
  </w:style>
  <w:style w:type="paragraph" w:styleId="TOC9">
    <w:name w:val="toc 9"/>
    <w:basedOn w:val="Normal"/>
    <w:next w:val="Normal"/>
    <w:autoRedefine/>
    <w:uiPriority w:val="39"/>
    <w:unhideWhenUsed/>
    <w:rsid w:val="0058366E"/>
    <w:pPr>
      <w:spacing w:after="100"/>
      <w:ind w:left="1760"/>
    </w:pPr>
    <w:rPr>
      <w:rFonts w:eastAsiaTheme="minorEastAsia"/>
      <w:lang w:eastAsia="en-AU"/>
    </w:rPr>
  </w:style>
  <w:style w:type="character" w:styleId="Hyperlink">
    <w:name w:val="Hyperlink"/>
    <w:basedOn w:val="DefaultParagraphFont"/>
    <w:uiPriority w:val="99"/>
    <w:unhideWhenUsed/>
    <w:rsid w:val="0058366E"/>
    <w:rPr>
      <w:color w:val="0563C1" w:themeColor="hyperlink"/>
      <w:u w:val="single"/>
    </w:rPr>
  </w:style>
  <w:style w:type="character" w:customStyle="1" w:styleId="UnresolvedMention1">
    <w:name w:val="Unresolved Mention1"/>
    <w:basedOn w:val="DefaultParagraphFont"/>
    <w:uiPriority w:val="99"/>
    <w:semiHidden/>
    <w:unhideWhenUsed/>
    <w:rsid w:val="0058366E"/>
    <w:rPr>
      <w:color w:val="605E5C"/>
      <w:shd w:val="clear" w:color="auto" w:fill="E1DFDD"/>
    </w:rPr>
  </w:style>
  <w:style w:type="table" w:customStyle="1" w:styleId="TableGrid2">
    <w:name w:val="Table Grid2"/>
    <w:basedOn w:val="TableNormal"/>
    <w:next w:val="TableGrid"/>
    <w:uiPriority w:val="39"/>
    <w:rsid w:val="00393F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709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48161F"/>
    <w:pPr>
      <w:spacing w:after="200" w:line="240" w:lineRule="auto"/>
    </w:pPr>
    <w:rPr>
      <w:i/>
      <w:iCs/>
      <w:color w:val="44546A" w:themeColor="text2"/>
      <w:sz w:val="18"/>
      <w:szCs w:val="18"/>
      <w:lang w:val="en-GB"/>
    </w:rPr>
  </w:style>
  <w:style w:type="paragraph" w:customStyle="1" w:styleId="SDAbodytext">
    <w:name w:val="SDA body text"/>
    <w:basedOn w:val="Normal"/>
    <w:link w:val="SDAbodytextChar"/>
    <w:qFormat/>
    <w:rsid w:val="000D396F"/>
    <w:pPr>
      <w:spacing w:before="120" w:after="120" w:line="240" w:lineRule="auto"/>
    </w:pPr>
  </w:style>
  <w:style w:type="character" w:customStyle="1" w:styleId="SDAbodytextChar">
    <w:name w:val="SDA body text Char"/>
    <w:basedOn w:val="DefaultParagraphFont"/>
    <w:link w:val="SDAbodytext"/>
    <w:rsid w:val="000D396F"/>
  </w:style>
  <w:style w:type="character" w:customStyle="1" w:styleId="e24kjd">
    <w:name w:val="e24kjd"/>
    <w:basedOn w:val="DefaultParagraphFont"/>
    <w:rsid w:val="000D168F"/>
  </w:style>
  <w:style w:type="paragraph" w:customStyle="1" w:styleId="HeidiBody">
    <w:name w:val="Heidi Body"/>
    <w:basedOn w:val="Normal"/>
    <w:qFormat/>
    <w:rsid w:val="008A1B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12" w:lineRule="auto"/>
    </w:pPr>
    <w:rPr>
      <w:rFonts w:ascii="Arial" w:hAnsi="Arial" w:cs="Helvetica Neue Light"/>
      <w:szCs w:val="20"/>
      <w:lang w:val="en-US"/>
    </w:rPr>
  </w:style>
  <w:style w:type="table" w:customStyle="1" w:styleId="TableGrid11">
    <w:name w:val="Table Grid11"/>
    <w:basedOn w:val="TableNormal"/>
    <w:next w:val="TableGrid"/>
    <w:uiPriority w:val="39"/>
    <w:rsid w:val="00D82BE1"/>
    <w:pPr>
      <w:spacing w:after="0" w:line="240" w:lineRule="auto"/>
    </w:pPr>
    <w:rPr>
      <w:rFonts w:eastAsiaTheme="minorEastAsia"/>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C70E58"/>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944A2F"/>
    <w:rPr>
      <w:b/>
      <w:bCs/>
    </w:rPr>
  </w:style>
  <w:style w:type="character" w:customStyle="1" w:styleId="CommentSubjectChar">
    <w:name w:val="Comment Subject Char"/>
    <w:basedOn w:val="CommentTextChar"/>
    <w:link w:val="CommentSubject"/>
    <w:uiPriority w:val="99"/>
    <w:semiHidden/>
    <w:rsid w:val="00944A2F"/>
    <w:rPr>
      <w:b/>
      <w:bCs/>
      <w:sz w:val="20"/>
      <w:szCs w:val="20"/>
    </w:rPr>
  </w:style>
  <w:style w:type="paragraph" w:styleId="NoSpacing">
    <w:name w:val="No Spacing"/>
    <w:link w:val="NoSpacingChar"/>
    <w:uiPriority w:val="1"/>
    <w:qFormat/>
    <w:rsid w:val="00603866"/>
    <w:pPr>
      <w:spacing w:after="0" w:line="240" w:lineRule="auto"/>
    </w:pPr>
    <w:rPr>
      <w:rFonts w:eastAsiaTheme="minorEastAsia"/>
      <w:lang w:val="en-US" w:eastAsia="zh-CN"/>
    </w:rPr>
  </w:style>
  <w:style w:type="character" w:customStyle="1" w:styleId="NoSpacingChar">
    <w:name w:val="No Spacing Char"/>
    <w:basedOn w:val="DefaultParagraphFont"/>
    <w:link w:val="NoSpacing"/>
    <w:uiPriority w:val="1"/>
    <w:rsid w:val="00603866"/>
    <w:rPr>
      <w:rFonts w:eastAsiaTheme="minorEastAsia"/>
      <w:lang w:val="en-US" w:eastAsia="zh-CN"/>
    </w:rPr>
  </w:style>
  <w:style w:type="character" w:styleId="FollowedHyperlink">
    <w:name w:val="FollowedHyperlink"/>
    <w:basedOn w:val="DefaultParagraphFont"/>
    <w:uiPriority w:val="99"/>
    <w:semiHidden/>
    <w:unhideWhenUsed/>
    <w:rsid w:val="0075220F"/>
    <w:rPr>
      <w:color w:val="954F72" w:themeColor="followedHyperlink"/>
      <w:u w:val="single"/>
    </w:rPr>
  </w:style>
  <w:style w:type="character" w:customStyle="1" w:styleId="UnresolvedMention2">
    <w:name w:val="Unresolved Mention2"/>
    <w:basedOn w:val="DefaultParagraphFont"/>
    <w:uiPriority w:val="99"/>
    <w:semiHidden/>
    <w:unhideWhenUsed/>
    <w:rsid w:val="00E64617"/>
    <w:rPr>
      <w:color w:val="605E5C"/>
      <w:shd w:val="clear" w:color="auto" w:fill="E1DFDD"/>
    </w:rPr>
  </w:style>
  <w:style w:type="table" w:customStyle="1" w:styleId="TableGrid5">
    <w:name w:val="Table Grid5"/>
    <w:basedOn w:val="TableNormal"/>
    <w:next w:val="TableGrid"/>
    <w:uiPriority w:val="39"/>
    <w:rsid w:val="00024A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4E53F7"/>
    <w:rPr>
      <w:i/>
      <w:iCs/>
    </w:rPr>
  </w:style>
  <w:style w:type="character" w:customStyle="1" w:styleId="apple-converted-space">
    <w:name w:val="apple-converted-space"/>
    <w:basedOn w:val="DefaultParagraphFont"/>
    <w:rsid w:val="004E53F7"/>
  </w:style>
  <w:style w:type="paragraph" w:styleId="Revision">
    <w:name w:val="Revision"/>
    <w:hidden/>
    <w:uiPriority w:val="99"/>
    <w:semiHidden/>
    <w:rsid w:val="006302F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345090">
      <w:bodyDiv w:val="1"/>
      <w:marLeft w:val="0"/>
      <w:marRight w:val="0"/>
      <w:marTop w:val="0"/>
      <w:marBottom w:val="0"/>
      <w:divBdr>
        <w:top w:val="none" w:sz="0" w:space="0" w:color="auto"/>
        <w:left w:val="none" w:sz="0" w:space="0" w:color="auto"/>
        <w:bottom w:val="none" w:sz="0" w:space="0" w:color="auto"/>
        <w:right w:val="none" w:sz="0" w:space="0" w:color="auto"/>
      </w:divBdr>
    </w:div>
    <w:div w:id="91316909">
      <w:bodyDiv w:val="1"/>
      <w:marLeft w:val="0"/>
      <w:marRight w:val="0"/>
      <w:marTop w:val="0"/>
      <w:marBottom w:val="0"/>
      <w:divBdr>
        <w:top w:val="none" w:sz="0" w:space="0" w:color="auto"/>
        <w:left w:val="none" w:sz="0" w:space="0" w:color="auto"/>
        <w:bottom w:val="none" w:sz="0" w:space="0" w:color="auto"/>
        <w:right w:val="none" w:sz="0" w:space="0" w:color="auto"/>
      </w:divBdr>
    </w:div>
    <w:div w:id="322587812">
      <w:bodyDiv w:val="1"/>
      <w:marLeft w:val="0"/>
      <w:marRight w:val="0"/>
      <w:marTop w:val="0"/>
      <w:marBottom w:val="0"/>
      <w:divBdr>
        <w:top w:val="none" w:sz="0" w:space="0" w:color="auto"/>
        <w:left w:val="none" w:sz="0" w:space="0" w:color="auto"/>
        <w:bottom w:val="none" w:sz="0" w:space="0" w:color="auto"/>
        <w:right w:val="none" w:sz="0" w:space="0" w:color="auto"/>
      </w:divBdr>
    </w:div>
    <w:div w:id="334916970">
      <w:bodyDiv w:val="1"/>
      <w:marLeft w:val="0"/>
      <w:marRight w:val="0"/>
      <w:marTop w:val="0"/>
      <w:marBottom w:val="0"/>
      <w:divBdr>
        <w:top w:val="none" w:sz="0" w:space="0" w:color="auto"/>
        <w:left w:val="none" w:sz="0" w:space="0" w:color="auto"/>
        <w:bottom w:val="none" w:sz="0" w:space="0" w:color="auto"/>
        <w:right w:val="none" w:sz="0" w:space="0" w:color="auto"/>
      </w:divBdr>
    </w:div>
    <w:div w:id="355473066">
      <w:bodyDiv w:val="1"/>
      <w:marLeft w:val="0"/>
      <w:marRight w:val="0"/>
      <w:marTop w:val="0"/>
      <w:marBottom w:val="0"/>
      <w:divBdr>
        <w:top w:val="none" w:sz="0" w:space="0" w:color="auto"/>
        <w:left w:val="none" w:sz="0" w:space="0" w:color="auto"/>
        <w:bottom w:val="none" w:sz="0" w:space="0" w:color="auto"/>
        <w:right w:val="none" w:sz="0" w:space="0" w:color="auto"/>
      </w:divBdr>
    </w:div>
    <w:div w:id="462619424">
      <w:bodyDiv w:val="1"/>
      <w:marLeft w:val="0"/>
      <w:marRight w:val="0"/>
      <w:marTop w:val="0"/>
      <w:marBottom w:val="0"/>
      <w:divBdr>
        <w:top w:val="none" w:sz="0" w:space="0" w:color="auto"/>
        <w:left w:val="none" w:sz="0" w:space="0" w:color="auto"/>
        <w:bottom w:val="none" w:sz="0" w:space="0" w:color="auto"/>
        <w:right w:val="none" w:sz="0" w:space="0" w:color="auto"/>
      </w:divBdr>
    </w:div>
    <w:div w:id="513689544">
      <w:bodyDiv w:val="1"/>
      <w:marLeft w:val="0"/>
      <w:marRight w:val="0"/>
      <w:marTop w:val="0"/>
      <w:marBottom w:val="0"/>
      <w:divBdr>
        <w:top w:val="none" w:sz="0" w:space="0" w:color="auto"/>
        <w:left w:val="none" w:sz="0" w:space="0" w:color="auto"/>
        <w:bottom w:val="none" w:sz="0" w:space="0" w:color="auto"/>
        <w:right w:val="none" w:sz="0" w:space="0" w:color="auto"/>
      </w:divBdr>
    </w:div>
    <w:div w:id="532042601">
      <w:bodyDiv w:val="1"/>
      <w:marLeft w:val="0"/>
      <w:marRight w:val="0"/>
      <w:marTop w:val="0"/>
      <w:marBottom w:val="0"/>
      <w:divBdr>
        <w:top w:val="none" w:sz="0" w:space="0" w:color="auto"/>
        <w:left w:val="none" w:sz="0" w:space="0" w:color="auto"/>
        <w:bottom w:val="none" w:sz="0" w:space="0" w:color="auto"/>
        <w:right w:val="none" w:sz="0" w:space="0" w:color="auto"/>
      </w:divBdr>
    </w:div>
    <w:div w:id="549611192">
      <w:bodyDiv w:val="1"/>
      <w:marLeft w:val="0"/>
      <w:marRight w:val="0"/>
      <w:marTop w:val="0"/>
      <w:marBottom w:val="0"/>
      <w:divBdr>
        <w:top w:val="none" w:sz="0" w:space="0" w:color="auto"/>
        <w:left w:val="none" w:sz="0" w:space="0" w:color="auto"/>
        <w:bottom w:val="none" w:sz="0" w:space="0" w:color="auto"/>
        <w:right w:val="none" w:sz="0" w:space="0" w:color="auto"/>
      </w:divBdr>
    </w:div>
    <w:div w:id="584412467">
      <w:bodyDiv w:val="1"/>
      <w:marLeft w:val="0"/>
      <w:marRight w:val="0"/>
      <w:marTop w:val="0"/>
      <w:marBottom w:val="0"/>
      <w:divBdr>
        <w:top w:val="none" w:sz="0" w:space="0" w:color="auto"/>
        <w:left w:val="none" w:sz="0" w:space="0" w:color="auto"/>
        <w:bottom w:val="none" w:sz="0" w:space="0" w:color="auto"/>
        <w:right w:val="none" w:sz="0" w:space="0" w:color="auto"/>
      </w:divBdr>
    </w:div>
    <w:div w:id="616376752">
      <w:bodyDiv w:val="1"/>
      <w:marLeft w:val="0"/>
      <w:marRight w:val="0"/>
      <w:marTop w:val="0"/>
      <w:marBottom w:val="0"/>
      <w:divBdr>
        <w:top w:val="none" w:sz="0" w:space="0" w:color="auto"/>
        <w:left w:val="none" w:sz="0" w:space="0" w:color="auto"/>
        <w:bottom w:val="none" w:sz="0" w:space="0" w:color="auto"/>
        <w:right w:val="none" w:sz="0" w:space="0" w:color="auto"/>
      </w:divBdr>
    </w:div>
    <w:div w:id="719018402">
      <w:bodyDiv w:val="1"/>
      <w:marLeft w:val="0"/>
      <w:marRight w:val="0"/>
      <w:marTop w:val="0"/>
      <w:marBottom w:val="0"/>
      <w:divBdr>
        <w:top w:val="none" w:sz="0" w:space="0" w:color="auto"/>
        <w:left w:val="none" w:sz="0" w:space="0" w:color="auto"/>
        <w:bottom w:val="none" w:sz="0" w:space="0" w:color="auto"/>
        <w:right w:val="none" w:sz="0" w:space="0" w:color="auto"/>
      </w:divBdr>
    </w:div>
    <w:div w:id="812411783">
      <w:bodyDiv w:val="1"/>
      <w:marLeft w:val="0"/>
      <w:marRight w:val="0"/>
      <w:marTop w:val="0"/>
      <w:marBottom w:val="0"/>
      <w:divBdr>
        <w:top w:val="none" w:sz="0" w:space="0" w:color="auto"/>
        <w:left w:val="none" w:sz="0" w:space="0" w:color="auto"/>
        <w:bottom w:val="none" w:sz="0" w:space="0" w:color="auto"/>
        <w:right w:val="none" w:sz="0" w:space="0" w:color="auto"/>
      </w:divBdr>
    </w:div>
    <w:div w:id="1284117593">
      <w:bodyDiv w:val="1"/>
      <w:marLeft w:val="0"/>
      <w:marRight w:val="0"/>
      <w:marTop w:val="0"/>
      <w:marBottom w:val="0"/>
      <w:divBdr>
        <w:top w:val="none" w:sz="0" w:space="0" w:color="auto"/>
        <w:left w:val="none" w:sz="0" w:space="0" w:color="auto"/>
        <w:bottom w:val="none" w:sz="0" w:space="0" w:color="auto"/>
        <w:right w:val="none" w:sz="0" w:space="0" w:color="auto"/>
      </w:divBdr>
    </w:div>
    <w:div w:id="1366323075">
      <w:bodyDiv w:val="1"/>
      <w:marLeft w:val="0"/>
      <w:marRight w:val="0"/>
      <w:marTop w:val="0"/>
      <w:marBottom w:val="0"/>
      <w:divBdr>
        <w:top w:val="none" w:sz="0" w:space="0" w:color="auto"/>
        <w:left w:val="none" w:sz="0" w:space="0" w:color="auto"/>
        <w:bottom w:val="none" w:sz="0" w:space="0" w:color="auto"/>
        <w:right w:val="none" w:sz="0" w:space="0" w:color="auto"/>
      </w:divBdr>
    </w:div>
    <w:div w:id="1618296794">
      <w:bodyDiv w:val="1"/>
      <w:marLeft w:val="0"/>
      <w:marRight w:val="0"/>
      <w:marTop w:val="0"/>
      <w:marBottom w:val="0"/>
      <w:divBdr>
        <w:top w:val="none" w:sz="0" w:space="0" w:color="auto"/>
        <w:left w:val="none" w:sz="0" w:space="0" w:color="auto"/>
        <w:bottom w:val="none" w:sz="0" w:space="0" w:color="auto"/>
        <w:right w:val="none" w:sz="0" w:space="0" w:color="auto"/>
      </w:divBdr>
    </w:div>
    <w:div w:id="1625309396">
      <w:bodyDiv w:val="1"/>
      <w:marLeft w:val="0"/>
      <w:marRight w:val="0"/>
      <w:marTop w:val="0"/>
      <w:marBottom w:val="0"/>
      <w:divBdr>
        <w:top w:val="none" w:sz="0" w:space="0" w:color="auto"/>
        <w:left w:val="none" w:sz="0" w:space="0" w:color="auto"/>
        <w:bottom w:val="none" w:sz="0" w:space="0" w:color="auto"/>
        <w:right w:val="none" w:sz="0" w:space="0" w:color="auto"/>
      </w:divBdr>
    </w:div>
    <w:div w:id="1638149258">
      <w:bodyDiv w:val="1"/>
      <w:marLeft w:val="0"/>
      <w:marRight w:val="0"/>
      <w:marTop w:val="0"/>
      <w:marBottom w:val="0"/>
      <w:divBdr>
        <w:top w:val="none" w:sz="0" w:space="0" w:color="auto"/>
        <w:left w:val="none" w:sz="0" w:space="0" w:color="auto"/>
        <w:bottom w:val="none" w:sz="0" w:space="0" w:color="auto"/>
        <w:right w:val="none" w:sz="0" w:space="0" w:color="auto"/>
      </w:divBdr>
    </w:div>
    <w:div w:id="1646012622">
      <w:bodyDiv w:val="1"/>
      <w:marLeft w:val="0"/>
      <w:marRight w:val="0"/>
      <w:marTop w:val="0"/>
      <w:marBottom w:val="0"/>
      <w:divBdr>
        <w:top w:val="none" w:sz="0" w:space="0" w:color="auto"/>
        <w:left w:val="none" w:sz="0" w:space="0" w:color="auto"/>
        <w:bottom w:val="none" w:sz="0" w:space="0" w:color="auto"/>
        <w:right w:val="none" w:sz="0" w:space="0" w:color="auto"/>
      </w:divBdr>
    </w:div>
    <w:div w:id="1660647620">
      <w:bodyDiv w:val="1"/>
      <w:marLeft w:val="0"/>
      <w:marRight w:val="0"/>
      <w:marTop w:val="0"/>
      <w:marBottom w:val="0"/>
      <w:divBdr>
        <w:top w:val="none" w:sz="0" w:space="0" w:color="auto"/>
        <w:left w:val="none" w:sz="0" w:space="0" w:color="auto"/>
        <w:bottom w:val="none" w:sz="0" w:space="0" w:color="auto"/>
        <w:right w:val="none" w:sz="0" w:space="0" w:color="auto"/>
      </w:divBdr>
    </w:div>
    <w:div w:id="1692872011">
      <w:bodyDiv w:val="1"/>
      <w:marLeft w:val="0"/>
      <w:marRight w:val="0"/>
      <w:marTop w:val="0"/>
      <w:marBottom w:val="0"/>
      <w:divBdr>
        <w:top w:val="none" w:sz="0" w:space="0" w:color="auto"/>
        <w:left w:val="none" w:sz="0" w:space="0" w:color="auto"/>
        <w:bottom w:val="none" w:sz="0" w:space="0" w:color="auto"/>
        <w:right w:val="none" w:sz="0" w:space="0" w:color="auto"/>
      </w:divBdr>
    </w:div>
    <w:div w:id="1813907081">
      <w:bodyDiv w:val="1"/>
      <w:marLeft w:val="0"/>
      <w:marRight w:val="0"/>
      <w:marTop w:val="0"/>
      <w:marBottom w:val="0"/>
      <w:divBdr>
        <w:top w:val="none" w:sz="0" w:space="0" w:color="auto"/>
        <w:left w:val="none" w:sz="0" w:space="0" w:color="auto"/>
        <w:bottom w:val="none" w:sz="0" w:space="0" w:color="auto"/>
        <w:right w:val="none" w:sz="0" w:space="0" w:color="auto"/>
      </w:divBdr>
    </w:div>
    <w:div w:id="1817721983">
      <w:bodyDiv w:val="1"/>
      <w:marLeft w:val="0"/>
      <w:marRight w:val="0"/>
      <w:marTop w:val="0"/>
      <w:marBottom w:val="0"/>
      <w:divBdr>
        <w:top w:val="none" w:sz="0" w:space="0" w:color="auto"/>
        <w:left w:val="none" w:sz="0" w:space="0" w:color="auto"/>
        <w:bottom w:val="none" w:sz="0" w:space="0" w:color="auto"/>
        <w:right w:val="none" w:sz="0" w:space="0" w:color="auto"/>
      </w:divBdr>
    </w:div>
    <w:div w:id="1858688224">
      <w:bodyDiv w:val="1"/>
      <w:marLeft w:val="0"/>
      <w:marRight w:val="0"/>
      <w:marTop w:val="0"/>
      <w:marBottom w:val="0"/>
      <w:divBdr>
        <w:top w:val="none" w:sz="0" w:space="0" w:color="auto"/>
        <w:left w:val="none" w:sz="0" w:space="0" w:color="auto"/>
        <w:bottom w:val="none" w:sz="0" w:space="0" w:color="auto"/>
        <w:right w:val="none" w:sz="0" w:space="0" w:color="auto"/>
      </w:divBdr>
    </w:div>
    <w:div w:id="1930774055">
      <w:bodyDiv w:val="1"/>
      <w:marLeft w:val="0"/>
      <w:marRight w:val="0"/>
      <w:marTop w:val="0"/>
      <w:marBottom w:val="0"/>
      <w:divBdr>
        <w:top w:val="none" w:sz="0" w:space="0" w:color="auto"/>
        <w:left w:val="none" w:sz="0" w:space="0" w:color="auto"/>
        <w:bottom w:val="none" w:sz="0" w:space="0" w:color="auto"/>
        <w:right w:val="none" w:sz="0" w:space="0" w:color="auto"/>
      </w:divBdr>
    </w:div>
    <w:div w:id="1935432134">
      <w:bodyDiv w:val="1"/>
      <w:marLeft w:val="0"/>
      <w:marRight w:val="0"/>
      <w:marTop w:val="0"/>
      <w:marBottom w:val="0"/>
      <w:divBdr>
        <w:top w:val="none" w:sz="0" w:space="0" w:color="auto"/>
        <w:left w:val="none" w:sz="0" w:space="0" w:color="auto"/>
        <w:bottom w:val="none" w:sz="0" w:space="0" w:color="auto"/>
        <w:right w:val="none" w:sz="0" w:space="0" w:color="auto"/>
      </w:divBdr>
    </w:div>
    <w:div w:id="2025009161">
      <w:bodyDiv w:val="1"/>
      <w:marLeft w:val="0"/>
      <w:marRight w:val="0"/>
      <w:marTop w:val="0"/>
      <w:marBottom w:val="0"/>
      <w:divBdr>
        <w:top w:val="none" w:sz="0" w:space="0" w:color="auto"/>
        <w:left w:val="none" w:sz="0" w:space="0" w:color="auto"/>
        <w:bottom w:val="none" w:sz="0" w:space="0" w:color="auto"/>
        <w:right w:val="none" w:sz="0" w:space="0" w:color="auto"/>
      </w:divBdr>
    </w:div>
    <w:div w:id="2033993082">
      <w:bodyDiv w:val="1"/>
      <w:marLeft w:val="0"/>
      <w:marRight w:val="0"/>
      <w:marTop w:val="0"/>
      <w:marBottom w:val="0"/>
      <w:divBdr>
        <w:top w:val="none" w:sz="0" w:space="0" w:color="auto"/>
        <w:left w:val="none" w:sz="0" w:space="0" w:color="auto"/>
        <w:bottom w:val="none" w:sz="0" w:space="0" w:color="auto"/>
        <w:right w:val="none" w:sz="0" w:space="0" w:color="auto"/>
      </w:divBdr>
    </w:div>
    <w:div w:id="2043364590">
      <w:bodyDiv w:val="1"/>
      <w:marLeft w:val="0"/>
      <w:marRight w:val="0"/>
      <w:marTop w:val="0"/>
      <w:marBottom w:val="0"/>
      <w:divBdr>
        <w:top w:val="none" w:sz="0" w:space="0" w:color="auto"/>
        <w:left w:val="none" w:sz="0" w:space="0" w:color="auto"/>
        <w:bottom w:val="none" w:sz="0" w:space="0" w:color="auto"/>
        <w:right w:val="none" w:sz="0" w:space="0" w:color="auto"/>
      </w:divBdr>
    </w:div>
    <w:div w:id="2129011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0.wmf"/><Relationship Id="rId26" Type="http://schemas.openxmlformats.org/officeDocument/2006/relationships/image" Target="media/image100.emf"/><Relationship Id="rId39" Type="http://schemas.openxmlformats.org/officeDocument/2006/relationships/image" Target="media/image22.emf"/><Relationship Id="rId21" Type="http://schemas.openxmlformats.org/officeDocument/2006/relationships/image" Target="media/image7.emf"/><Relationship Id="rId34" Type="http://schemas.openxmlformats.org/officeDocument/2006/relationships/image" Target="media/image17.emf"/><Relationship Id="rId42" Type="http://schemas.openxmlformats.org/officeDocument/2006/relationships/image" Target="media/image25.emf"/><Relationship Id="rId47" Type="http://schemas.openxmlformats.org/officeDocument/2006/relationships/image" Target="media/image30.emf"/><Relationship Id="rId50" Type="http://schemas.openxmlformats.org/officeDocument/2006/relationships/image" Target="media/image33.emf"/><Relationship Id="rId55" Type="http://schemas.openxmlformats.org/officeDocument/2006/relationships/image" Target="media/image38.emf"/><Relationship Id="rId63" Type="http://schemas.openxmlformats.org/officeDocument/2006/relationships/image" Target="media/image46.emf"/><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emf"/><Relationship Id="rId32" Type="http://schemas.openxmlformats.org/officeDocument/2006/relationships/image" Target="media/image15.emf"/><Relationship Id="rId37" Type="http://schemas.openxmlformats.org/officeDocument/2006/relationships/image" Target="media/image20.emf"/><Relationship Id="rId40" Type="http://schemas.openxmlformats.org/officeDocument/2006/relationships/image" Target="media/image23.emf"/><Relationship Id="rId45" Type="http://schemas.openxmlformats.org/officeDocument/2006/relationships/image" Target="media/image28.emf"/><Relationship Id="rId53" Type="http://schemas.openxmlformats.org/officeDocument/2006/relationships/image" Target="media/image36.emf"/><Relationship Id="rId58" Type="http://schemas.openxmlformats.org/officeDocument/2006/relationships/image" Target="media/image41.emf"/><Relationship Id="rId66" Type="http://schemas.openxmlformats.org/officeDocument/2006/relationships/image" Target="media/image49.emf"/><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emf"/><Relationship Id="rId28" Type="http://schemas.openxmlformats.org/officeDocument/2006/relationships/hyperlink" Target="https://www.unfpa.org/gender-based-violence" TargetMode="External"/><Relationship Id="rId36" Type="http://schemas.openxmlformats.org/officeDocument/2006/relationships/image" Target="media/image19.emf"/><Relationship Id="rId49" Type="http://schemas.openxmlformats.org/officeDocument/2006/relationships/image" Target="media/image32.emf"/><Relationship Id="rId57" Type="http://schemas.openxmlformats.org/officeDocument/2006/relationships/image" Target="media/image40.emf"/><Relationship Id="rId61" Type="http://schemas.openxmlformats.org/officeDocument/2006/relationships/image" Target="media/image44.emf"/><Relationship Id="rId10" Type="http://schemas.openxmlformats.org/officeDocument/2006/relationships/footer" Target="footer1.xml"/><Relationship Id="rId19" Type="http://schemas.openxmlformats.org/officeDocument/2006/relationships/image" Target="media/image5.emf"/><Relationship Id="rId31" Type="http://schemas.openxmlformats.org/officeDocument/2006/relationships/image" Target="media/image14.emf"/><Relationship Id="rId44" Type="http://schemas.openxmlformats.org/officeDocument/2006/relationships/image" Target="media/image27.emf"/><Relationship Id="rId52" Type="http://schemas.openxmlformats.org/officeDocument/2006/relationships/image" Target="media/image35.emf"/><Relationship Id="rId60" Type="http://schemas.openxmlformats.org/officeDocument/2006/relationships/image" Target="media/image43.emf"/><Relationship Id="rId65" Type="http://schemas.openxmlformats.org/officeDocument/2006/relationships/image" Target="media/image48.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8.emf"/><Relationship Id="rId27" Type="http://schemas.openxmlformats.org/officeDocument/2006/relationships/image" Target="media/image110.emf"/><Relationship Id="rId30" Type="http://schemas.openxmlformats.org/officeDocument/2006/relationships/image" Target="media/image13.emf"/><Relationship Id="rId35" Type="http://schemas.openxmlformats.org/officeDocument/2006/relationships/image" Target="media/image18.emf"/><Relationship Id="rId43" Type="http://schemas.openxmlformats.org/officeDocument/2006/relationships/image" Target="media/image26.emf"/><Relationship Id="rId48" Type="http://schemas.openxmlformats.org/officeDocument/2006/relationships/image" Target="media/image31.emf"/><Relationship Id="rId56" Type="http://schemas.openxmlformats.org/officeDocument/2006/relationships/image" Target="media/image39.emf"/><Relationship Id="rId64" Type="http://schemas.openxmlformats.org/officeDocument/2006/relationships/image" Target="media/image47.emf"/><Relationship Id="rId69"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34.e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wmf"/><Relationship Id="rId25" Type="http://schemas.openxmlformats.org/officeDocument/2006/relationships/image" Target="media/image11.emf"/><Relationship Id="rId33" Type="http://schemas.openxmlformats.org/officeDocument/2006/relationships/image" Target="media/image16.emf"/><Relationship Id="rId38" Type="http://schemas.openxmlformats.org/officeDocument/2006/relationships/image" Target="media/image21.emf"/><Relationship Id="rId46" Type="http://schemas.openxmlformats.org/officeDocument/2006/relationships/image" Target="media/image29.emf"/><Relationship Id="rId59" Type="http://schemas.openxmlformats.org/officeDocument/2006/relationships/image" Target="media/image42.emf"/><Relationship Id="rId67" Type="http://schemas.openxmlformats.org/officeDocument/2006/relationships/image" Target="media/image50.emf"/><Relationship Id="rId20" Type="http://schemas.openxmlformats.org/officeDocument/2006/relationships/image" Target="media/image6.jpeg"/><Relationship Id="rId41" Type="http://schemas.openxmlformats.org/officeDocument/2006/relationships/image" Target="media/image24.emf"/><Relationship Id="rId54" Type="http://schemas.openxmlformats.org/officeDocument/2006/relationships/image" Target="media/image37.emf"/><Relationship Id="rId62" Type="http://schemas.openxmlformats.org/officeDocument/2006/relationships/image" Target="media/image45.emf"/></Relationships>
</file>

<file path=word/_rels/footnotes.xml.rels><?xml version="1.0" encoding="UTF-8" standalone="yes"?>
<Relationships xmlns="http://schemas.openxmlformats.org/package/2006/relationships"><Relationship Id="rId8" Type="http://schemas.openxmlformats.org/officeDocument/2006/relationships/hyperlink" Target="https://www.afp.gov.au/news-media/platypus/women-uniform" TargetMode="External"/><Relationship Id="rId3" Type="http://schemas.openxmlformats.org/officeDocument/2006/relationships/hyperlink" Target="https://worldjusticeproject.org/our-work/programs/vanuatu-chiefs-legal-education-pilot-program" TargetMode="External"/><Relationship Id="rId7" Type="http://schemas.openxmlformats.org/officeDocument/2006/relationships/hyperlink" Target="https://www.pm.gov.au/media/enhanced-security-cooperation-vanuatu" TargetMode="External"/><Relationship Id="rId2" Type="http://schemas.openxmlformats.org/officeDocument/2006/relationships/hyperlink" Target="https://www.pm.gov.au/media/enhanced-security-cooperation-vanuatu" TargetMode="External"/><Relationship Id="rId1" Type="http://schemas.openxmlformats.org/officeDocument/2006/relationships/hyperlink" Target="https://www.fpwhitepaper.gov.au/" TargetMode="External"/><Relationship Id="rId6" Type="http://schemas.openxmlformats.org/officeDocument/2006/relationships/hyperlink" Target="https://www.fpwhitepaper.gov.au/" TargetMode="External"/><Relationship Id="rId11" Type="http://schemas.openxmlformats.org/officeDocument/2006/relationships/hyperlink" Target="https://bsc.cid.harvard.edu/" TargetMode="External"/><Relationship Id="rId5" Type="http://schemas.openxmlformats.org/officeDocument/2006/relationships/hyperlink" Target="https://tbinternet.ohchr.org/Treaties/CCPR/Shared%20Documents/JAM/INT_CCPR_NGO_JAM_103_9244_E.pdf" TargetMode="External"/><Relationship Id="rId10" Type="http://schemas.openxmlformats.org/officeDocument/2006/relationships/hyperlink" Target="https://www.clearwatervic.com.au/about-us/what-is-capacity-building.php" TargetMode="External"/><Relationship Id="rId4" Type="http://schemas.openxmlformats.org/officeDocument/2006/relationships/hyperlink" Target="http://www.ilo.org/dyn/natlex/docs/ELECTRONIC/88503/101220/F1853954544/VUT88503.pdf" TargetMode="External"/><Relationship Id="rId9" Type="http://schemas.openxmlformats.org/officeDocument/2006/relationships/hyperlink" Target="https://www.unfpa.org/publications/young-persons-disabilit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FCA319-37D2-403D-B1B0-477AF9970F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91</Pages>
  <Words>30282</Words>
  <Characters>172613</Characters>
  <Application>Microsoft Office Word</Application>
  <DocSecurity>0</DocSecurity>
  <Lines>1438</Lines>
  <Paragraphs>404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Vanuatu-Australia Policing and Justice Program Evaluation Report</dc:title>
  <dc:subject/>
  <dc:creator/>
  <cp:keywords/>
  <dc:description/>
  <cp:lastModifiedBy/>
  <cp:revision>1</cp:revision>
  <dcterms:created xsi:type="dcterms:W3CDTF">2020-03-27T00:29:00Z</dcterms:created>
  <dcterms:modified xsi:type="dcterms:W3CDTF">2020-03-27T00:30:00Z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ef0f40cf-81e1-4fc8-a883-447728e18518</vt:lpwstr>
  </property>
  <property fmtid="{D5CDD505-2E9C-101B-9397-08002B2CF9AE}" pid="3" name="SEC">
    <vt:lpwstr>UNCLASSIFIED</vt:lpwstr>
  </property>
  <property fmtid="{D5CDD505-2E9C-101B-9397-08002B2CF9AE}" pid="4" name="DLM">
    <vt:lpwstr>No DLM</vt:lpwstr>
  </property>
</Properties>
</file>