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CB" w:rsidRDefault="00CE1D35">
      <w:pPr>
        <w:pStyle w:val="ListBullet"/>
      </w:pPr>
      <w:r>
        <w:rPr>
          <w:noProof/>
        </w:rPr>
        <w:drawing>
          <wp:anchor distT="0" distB="0" distL="114300" distR="116840" simplePos="0" relativeHeight="2" behindDoc="1" locked="0" layoutInCell="1" allowOverlap="1" wp14:anchorId="61ED8572" wp14:editId="702556A7">
            <wp:simplePos x="0" y="0"/>
            <wp:positionH relativeFrom="page">
              <wp:align>left</wp:align>
            </wp:positionH>
            <wp:positionV relativeFrom="page">
              <wp:align>top</wp:align>
            </wp:positionV>
            <wp:extent cx="7560310" cy="10461625"/>
            <wp:effectExtent l="0" t="0" r="254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8"/>
                    <a:stretch>
                      <a:fillRect/>
                    </a:stretch>
                  </pic:blipFill>
                  <pic:spPr bwMode="auto">
                    <a:xfrm>
                      <a:off x="0" y="0"/>
                      <a:ext cx="7560310" cy="10461625"/>
                    </a:xfrm>
                    <a:prstGeom prst="rect">
                      <a:avLst/>
                    </a:prstGeom>
                  </pic:spPr>
                </pic:pic>
              </a:graphicData>
            </a:graphic>
          </wp:anchor>
        </w:drawing>
      </w:r>
    </w:p>
    <w:p w:rsidR="00E974CB" w:rsidRDefault="00E974CB">
      <w:pPr>
        <w:pStyle w:val="ListBullet"/>
      </w:pPr>
    </w:p>
    <w:p w:rsidR="00E974CB" w:rsidRDefault="00E974CB">
      <w:pPr>
        <w:pStyle w:val="ListBullet"/>
      </w:pPr>
    </w:p>
    <w:p w:rsidR="00E974CB" w:rsidRDefault="00E974CB">
      <w:pPr>
        <w:pStyle w:val="ListBullet"/>
      </w:pPr>
    </w:p>
    <w:p w:rsidR="00E974CB" w:rsidRDefault="00E974CB">
      <w:pPr>
        <w:spacing w:after="200" w:line="276" w:lineRule="auto"/>
        <w:rPr>
          <w:b/>
        </w:rPr>
      </w:pPr>
    </w:p>
    <w:p w:rsidR="00E974CB" w:rsidRDefault="00E974CB">
      <w:pPr>
        <w:spacing w:after="200" w:line="276" w:lineRule="auto"/>
        <w:rPr>
          <w:b/>
        </w:rPr>
      </w:pPr>
    </w:p>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E974CB"/>
    <w:p w:rsidR="00E974CB" w:rsidRDefault="004806CF">
      <w:pPr>
        <w:pStyle w:val="Title"/>
        <w:spacing w:before="120" w:after="120" w:line="600" w:lineRule="exact"/>
        <w:rPr>
          <w:spacing w:val="-20"/>
          <w:sz w:val="60"/>
        </w:rPr>
      </w:pPr>
      <w:r>
        <w:rPr>
          <w:noProof/>
          <w:lang w:val="en-AU" w:eastAsia="en-AU"/>
        </w:rPr>
        <w:drawing>
          <wp:anchor distT="0" distB="0" distL="114300" distR="114300" simplePos="0" relativeHeight="3" behindDoc="1" locked="0" layoutInCell="1" allowOverlap="1" wp14:anchorId="637A489D" wp14:editId="6540AA4A">
            <wp:simplePos x="0" y="0"/>
            <wp:positionH relativeFrom="page">
              <wp:posOffset>872490</wp:posOffset>
            </wp:positionH>
            <wp:positionV relativeFrom="page">
              <wp:posOffset>1561465</wp:posOffset>
            </wp:positionV>
            <wp:extent cx="3167380" cy="554355"/>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9"/>
                    <a:stretch>
                      <a:fillRect/>
                    </a:stretch>
                  </pic:blipFill>
                  <pic:spPr bwMode="auto">
                    <a:xfrm>
                      <a:off x="0" y="0"/>
                      <a:ext cx="3167380" cy="554355"/>
                    </a:xfrm>
                    <a:prstGeom prst="rect">
                      <a:avLst/>
                    </a:prstGeom>
                  </pic:spPr>
                </pic:pic>
              </a:graphicData>
            </a:graphic>
          </wp:anchor>
        </w:drawing>
      </w:r>
      <w:r>
        <w:rPr>
          <w:spacing w:val="-20"/>
          <w:sz w:val="60"/>
        </w:rPr>
        <w:t xml:space="preserve">Aid Program Performance </w:t>
      </w:r>
    </w:p>
    <w:p w:rsidR="00E974CB" w:rsidRDefault="004806CF">
      <w:pPr>
        <w:pStyle w:val="Title"/>
        <w:spacing w:before="120" w:after="120" w:line="600" w:lineRule="exact"/>
        <w:rPr>
          <w:spacing w:val="-20"/>
          <w:sz w:val="60"/>
        </w:rPr>
      </w:pPr>
      <w:r>
        <w:rPr>
          <w:spacing w:val="-20"/>
          <w:sz w:val="60"/>
        </w:rPr>
        <w:t>Report 2016-17</w:t>
      </w:r>
    </w:p>
    <w:p w:rsidR="00E974CB" w:rsidRDefault="004806CF">
      <w:r>
        <w:rPr>
          <w:sz w:val="40"/>
        </w:rPr>
        <w:t xml:space="preserve">Vietnam </w:t>
      </w:r>
    </w:p>
    <w:p w:rsidR="00E974CB" w:rsidRDefault="004806CF">
      <w:pPr>
        <w:rPr>
          <w:sz w:val="24"/>
        </w:rPr>
        <w:sectPr w:rsidR="00E974CB">
          <w:headerReference w:type="even" r:id="rId10"/>
          <w:headerReference w:type="default" r:id="rId11"/>
          <w:footerReference w:type="even" r:id="rId12"/>
          <w:footerReference w:type="default" r:id="rId13"/>
          <w:headerReference w:type="first" r:id="rId14"/>
          <w:footerReference w:type="first" r:id="rId15"/>
          <w:pgSz w:w="11906" w:h="16838"/>
          <w:pgMar w:top="1952" w:right="1134" w:bottom="851" w:left="1134" w:header="1814" w:footer="567" w:gutter="0"/>
          <w:cols w:space="720"/>
          <w:formProt w:val="0"/>
          <w:docGrid w:linePitch="360" w:charSpace="-2049"/>
        </w:sectPr>
      </w:pPr>
      <w:r>
        <w:rPr>
          <w:sz w:val="24"/>
        </w:rPr>
        <w:t>September 2017</w:t>
      </w:r>
    </w:p>
    <w:p w:rsidR="00E974CB" w:rsidRPr="00B04ABE"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04ABE">
        <w:rPr>
          <w:rFonts w:asciiTheme="majorHAnsi" w:eastAsiaTheme="majorEastAsia" w:hAnsiTheme="majorHAnsi" w:cstheme="majorBidi"/>
          <w:caps/>
          <w:color w:val="auto"/>
          <w:sz w:val="38"/>
          <w:szCs w:val="26"/>
          <w:lang w:val="en-GB" w:eastAsia="en-US"/>
        </w:rPr>
        <w:lastRenderedPageBreak/>
        <w:t>Key Messages</w:t>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p>
    <w:p w:rsidR="00A72C40" w:rsidRPr="00E53550" w:rsidRDefault="00A96916" w:rsidP="00A72C40">
      <w:pPr>
        <w:jc w:val="both"/>
        <w:rPr>
          <w:color w:val="auto"/>
          <w:sz w:val="21"/>
          <w:szCs w:val="21"/>
        </w:rPr>
      </w:pPr>
      <w:r w:rsidRPr="00E53550">
        <w:rPr>
          <w:color w:val="auto"/>
          <w:sz w:val="21"/>
          <w:szCs w:val="21"/>
        </w:rPr>
        <w:t xml:space="preserve">2016-2017 was a transition year for the </w:t>
      </w:r>
      <w:r w:rsidR="005A60BD" w:rsidRPr="00E53550">
        <w:rPr>
          <w:color w:val="auto"/>
          <w:sz w:val="21"/>
          <w:szCs w:val="21"/>
        </w:rPr>
        <w:t xml:space="preserve">$86.5 million </w:t>
      </w:r>
      <w:r w:rsidRPr="00E53550">
        <w:rPr>
          <w:color w:val="auto"/>
          <w:sz w:val="21"/>
          <w:szCs w:val="21"/>
        </w:rPr>
        <w:t xml:space="preserve">Vietnam program. We closed down seven investments </w:t>
      </w:r>
      <w:r w:rsidR="005A60BD" w:rsidRPr="00E53550">
        <w:rPr>
          <w:color w:val="auto"/>
          <w:sz w:val="21"/>
          <w:szCs w:val="21"/>
        </w:rPr>
        <w:t xml:space="preserve">from the previous aid strategy </w:t>
      </w:r>
      <w:r w:rsidRPr="00E53550">
        <w:rPr>
          <w:color w:val="auto"/>
          <w:sz w:val="21"/>
          <w:szCs w:val="21"/>
        </w:rPr>
        <w:t xml:space="preserve">and ensured that on-going investments remained on track. At the same time, we designed and secured Vietnamese Government approval for </w:t>
      </w:r>
      <w:r w:rsidR="00CE1D35" w:rsidRPr="00E53550">
        <w:rPr>
          <w:color w:val="auto"/>
          <w:sz w:val="21"/>
          <w:szCs w:val="21"/>
        </w:rPr>
        <w:t>three</w:t>
      </w:r>
      <w:r w:rsidRPr="00E53550">
        <w:rPr>
          <w:color w:val="auto"/>
          <w:sz w:val="21"/>
          <w:szCs w:val="21"/>
        </w:rPr>
        <w:t xml:space="preserve"> of five new aid investments </w:t>
      </w:r>
      <w:r w:rsidR="004743E3">
        <w:rPr>
          <w:color w:val="auto"/>
          <w:sz w:val="21"/>
          <w:szCs w:val="21"/>
        </w:rPr>
        <w:t xml:space="preserve">– Aus4 Reform, Aus4Transport and Aus4Equality – </w:t>
      </w:r>
      <w:r w:rsidRPr="00E53550">
        <w:rPr>
          <w:color w:val="auto"/>
          <w:sz w:val="21"/>
          <w:szCs w:val="21"/>
        </w:rPr>
        <w:t>that will advance our new economic partnership with Vietnam, as outlined in the Aid Investment Plan. Due to Vietnam’s complex approval process, and the innovative nature of the program</w:t>
      </w:r>
      <w:r w:rsidR="008D7EAF" w:rsidRPr="00E53550">
        <w:rPr>
          <w:color w:val="auto"/>
          <w:sz w:val="21"/>
          <w:szCs w:val="21"/>
        </w:rPr>
        <w:t>s</w:t>
      </w:r>
      <w:r w:rsidRPr="00E53550">
        <w:rPr>
          <w:color w:val="auto"/>
          <w:sz w:val="21"/>
          <w:szCs w:val="21"/>
        </w:rPr>
        <w:t xml:space="preserve">, we have not yet secured Vietnamese approval for </w:t>
      </w:r>
      <w:r w:rsidR="00D51579" w:rsidRPr="00E53550">
        <w:rPr>
          <w:color w:val="auto"/>
          <w:sz w:val="21"/>
          <w:szCs w:val="21"/>
        </w:rPr>
        <w:t xml:space="preserve">the </w:t>
      </w:r>
      <w:r w:rsidR="008D7EAF" w:rsidRPr="00E53550">
        <w:rPr>
          <w:color w:val="auto"/>
          <w:sz w:val="21"/>
          <w:szCs w:val="21"/>
        </w:rPr>
        <w:t xml:space="preserve">two </w:t>
      </w:r>
      <w:r w:rsidR="004743E3">
        <w:rPr>
          <w:color w:val="auto"/>
          <w:sz w:val="21"/>
          <w:szCs w:val="21"/>
        </w:rPr>
        <w:t xml:space="preserve">remaining </w:t>
      </w:r>
      <w:r w:rsidR="008D7EAF" w:rsidRPr="00E53550">
        <w:rPr>
          <w:color w:val="auto"/>
          <w:sz w:val="21"/>
          <w:szCs w:val="21"/>
        </w:rPr>
        <w:t>new</w:t>
      </w:r>
      <w:r w:rsidRPr="00E53550">
        <w:rPr>
          <w:color w:val="auto"/>
          <w:sz w:val="21"/>
          <w:szCs w:val="21"/>
        </w:rPr>
        <w:t xml:space="preserve"> investment</w:t>
      </w:r>
      <w:r w:rsidR="00CE1D35" w:rsidRPr="00E53550">
        <w:rPr>
          <w:color w:val="auto"/>
          <w:sz w:val="21"/>
          <w:szCs w:val="21"/>
        </w:rPr>
        <w:t>s</w:t>
      </w:r>
      <w:r w:rsidR="004743E3">
        <w:rPr>
          <w:color w:val="auto"/>
          <w:sz w:val="21"/>
          <w:szCs w:val="21"/>
        </w:rPr>
        <w:t xml:space="preserve"> – </w:t>
      </w:r>
      <w:r w:rsidR="00CE1D35" w:rsidRPr="00E53550">
        <w:rPr>
          <w:color w:val="auto"/>
          <w:sz w:val="21"/>
          <w:szCs w:val="21"/>
        </w:rPr>
        <w:t>Aus4Water and Aus4Innovation</w:t>
      </w:r>
      <w:r w:rsidR="00D51579" w:rsidRPr="00E53550">
        <w:rPr>
          <w:color w:val="auto"/>
          <w:sz w:val="21"/>
          <w:szCs w:val="21"/>
        </w:rPr>
        <w:t xml:space="preserve"> </w:t>
      </w:r>
      <w:r w:rsidR="004743E3">
        <w:rPr>
          <w:color w:val="auto"/>
          <w:sz w:val="21"/>
          <w:szCs w:val="21"/>
        </w:rPr>
        <w:t>–</w:t>
      </w:r>
      <w:r w:rsidR="00D51579" w:rsidRPr="00E53550">
        <w:rPr>
          <w:color w:val="auto"/>
          <w:sz w:val="21"/>
          <w:szCs w:val="21"/>
        </w:rPr>
        <w:t xml:space="preserve"> </w:t>
      </w:r>
      <w:r w:rsidR="00D85A4A" w:rsidRPr="00E53550">
        <w:rPr>
          <w:color w:val="auto"/>
          <w:sz w:val="21"/>
          <w:szCs w:val="21"/>
        </w:rPr>
        <w:t xml:space="preserve">with </w:t>
      </w:r>
      <w:r w:rsidR="00CE1D35" w:rsidRPr="00E53550">
        <w:rPr>
          <w:color w:val="auto"/>
          <w:sz w:val="21"/>
          <w:szCs w:val="21"/>
        </w:rPr>
        <w:t xml:space="preserve">the latter </w:t>
      </w:r>
      <w:r w:rsidR="004743E3">
        <w:rPr>
          <w:color w:val="auto"/>
          <w:sz w:val="21"/>
          <w:szCs w:val="21"/>
        </w:rPr>
        <w:t xml:space="preserve">currently </w:t>
      </w:r>
      <w:r w:rsidR="00A63A4B" w:rsidRPr="00E53550">
        <w:rPr>
          <w:color w:val="auto"/>
          <w:sz w:val="21"/>
          <w:szCs w:val="21"/>
        </w:rPr>
        <w:t>being designed</w:t>
      </w:r>
      <w:r w:rsidRPr="00E53550">
        <w:rPr>
          <w:color w:val="auto"/>
          <w:sz w:val="21"/>
          <w:szCs w:val="21"/>
        </w:rPr>
        <w:t>.</w:t>
      </w:r>
      <w:r w:rsidR="00A72C40" w:rsidRPr="00E53550">
        <w:rPr>
          <w:color w:val="auto"/>
          <w:sz w:val="21"/>
          <w:szCs w:val="21"/>
        </w:rPr>
        <w:t xml:space="preserve"> </w:t>
      </w:r>
    </w:p>
    <w:p w:rsidR="00A72C40" w:rsidRPr="00E53550" w:rsidRDefault="00FA5D94" w:rsidP="00A72C40">
      <w:pPr>
        <w:jc w:val="both"/>
        <w:rPr>
          <w:color w:val="auto"/>
          <w:sz w:val="21"/>
          <w:szCs w:val="21"/>
        </w:rPr>
      </w:pPr>
      <w:r w:rsidRPr="00E53550">
        <w:rPr>
          <w:color w:val="auto"/>
          <w:sz w:val="21"/>
          <w:szCs w:val="21"/>
        </w:rPr>
        <w:t xml:space="preserve">We held a successful High Level Consultation (HLC) on Development Cooperation in Canberra on </w:t>
      </w:r>
      <w:r w:rsidR="0075255F" w:rsidRPr="00E53550">
        <w:rPr>
          <w:color w:val="auto"/>
          <w:sz w:val="21"/>
          <w:szCs w:val="21"/>
        </w:rPr>
        <w:t>31</w:t>
      </w:r>
      <w:r w:rsidRPr="00E53550">
        <w:rPr>
          <w:color w:val="auto"/>
          <w:sz w:val="21"/>
          <w:szCs w:val="21"/>
        </w:rPr>
        <w:t xml:space="preserve"> March 2017, where we secured Vietnam’s support for our preferred approach to an economic partnership, which integrates our economic, trade and development objectives. We</w:t>
      </w:r>
      <w:r w:rsidR="004806CF" w:rsidRPr="00E53550">
        <w:rPr>
          <w:color w:val="auto"/>
          <w:sz w:val="21"/>
          <w:szCs w:val="21"/>
        </w:rPr>
        <w:t xml:space="preserve"> pitched a new ‘economic partnership’ Ministerial meeting,</w:t>
      </w:r>
      <w:r w:rsidRPr="00E53550">
        <w:rPr>
          <w:color w:val="auto"/>
          <w:sz w:val="21"/>
          <w:szCs w:val="21"/>
        </w:rPr>
        <w:t xml:space="preserve"> which we </w:t>
      </w:r>
      <w:r w:rsidR="004806CF" w:rsidRPr="00E53550">
        <w:rPr>
          <w:color w:val="auto"/>
          <w:sz w:val="21"/>
          <w:szCs w:val="21"/>
        </w:rPr>
        <w:t xml:space="preserve">expect </w:t>
      </w:r>
      <w:r w:rsidRPr="00E53550">
        <w:rPr>
          <w:color w:val="auto"/>
          <w:sz w:val="21"/>
          <w:szCs w:val="21"/>
        </w:rPr>
        <w:t>to</w:t>
      </w:r>
      <w:r w:rsidR="004806CF" w:rsidRPr="00E53550">
        <w:rPr>
          <w:color w:val="auto"/>
          <w:sz w:val="21"/>
          <w:szCs w:val="21"/>
        </w:rPr>
        <w:t xml:space="preserve"> be agreed in</w:t>
      </w:r>
      <w:r w:rsidR="0039044E" w:rsidRPr="00E53550">
        <w:rPr>
          <w:color w:val="auto"/>
          <w:sz w:val="21"/>
          <w:szCs w:val="21"/>
        </w:rPr>
        <w:t xml:space="preserve"> time for announc</w:t>
      </w:r>
      <w:bookmarkStart w:id="0" w:name="_GoBack"/>
      <w:bookmarkEnd w:id="0"/>
      <w:r w:rsidR="0039044E" w:rsidRPr="00E53550">
        <w:rPr>
          <w:color w:val="auto"/>
          <w:sz w:val="21"/>
          <w:szCs w:val="21"/>
        </w:rPr>
        <w:t>ement late in 2017 or early 2018</w:t>
      </w:r>
      <w:r w:rsidR="004806CF" w:rsidRPr="00E53550">
        <w:rPr>
          <w:color w:val="auto"/>
          <w:sz w:val="21"/>
          <w:szCs w:val="21"/>
        </w:rPr>
        <w:t xml:space="preserve">. </w:t>
      </w:r>
      <w:r w:rsidR="00A72C40" w:rsidRPr="00E53550">
        <w:rPr>
          <w:color w:val="auto"/>
          <w:sz w:val="21"/>
          <w:szCs w:val="21"/>
        </w:rPr>
        <w:t xml:space="preserve">A consistent feature of our approach to economic partnership is to leverage better expenditure or policy choices by Vietnam to address its development challenges, drawing on Australian experiences of initiatives to date.  </w:t>
      </w:r>
    </w:p>
    <w:p w:rsidR="00FA5D94" w:rsidRPr="00E53550" w:rsidRDefault="00FA5D94">
      <w:pPr>
        <w:jc w:val="both"/>
        <w:rPr>
          <w:color w:val="auto"/>
          <w:sz w:val="21"/>
          <w:szCs w:val="21"/>
        </w:rPr>
      </w:pPr>
      <w:r w:rsidRPr="00E53550">
        <w:rPr>
          <w:color w:val="auto"/>
          <w:sz w:val="21"/>
          <w:szCs w:val="21"/>
        </w:rPr>
        <w:t xml:space="preserve">We </w:t>
      </w:r>
      <w:r w:rsidR="005A60BD" w:rsidRPr="00E53550">
        <w:rPr>
          <w:color w:val="auto"/>
          <w:sz w:val="21"/>
          <w:szCs w:val="21"/>
        </w:rPr>
        <w:t>were</w:t>
      </w:r>
      <w:r w:rsidRPr="00E53550">
        <w:rPr>
          <w:color w:val="auto"/>
          <w:sz w:val="21"/>
          <w:szCs w:val="21"/>
        </w:rPr>
        <w:t xml:space="preserve"> more influential in </w:t>
      </w:r>
      <w:r w:rsidR="00A72C40" w:rsidRPr="00E53550">
        <w:rPr>
          <w:color w:val="auto"/>
          <w:sz w:val="21"/>
          <w:szCs w:val="21"/>
        </w:rPr>
        <w:t xml:space="preserve">engaging in </w:t>
      </w:r>
      <w:r w:rsidRPr="00E53550">
        <w:rPr>
          <w:color w:val="auto"/>
          <w:sz w:val="21"/>
          <w:szCs w:val="21"/>
        </w:rPr>
        <w:t xml:space="preserve">Vietnam’s policy debate </w:t>
      </w:r>
      <w:r w:rsidR="00A72C40" w:rsidRPr="00E53550">
        <w:rPr>
          <w:color w:val="auto"/>
          <w:sz w:val="21"/>
          <w:szCs w:val="21"/>
        </w:rPr>
        <w:t xml:space="preserve">but we have some way to go in realising our </w:t>
      </w:r>
      <w:r w:rsidR="0075255F" w:rsidRPr="00E53550">
        <w:rPr>
          <w:color w:val="auto"/>
          <w:sz w:val="21"/>
          <w:szCs w:val="21"/>
        </w:rPr>
        <w:t>aspirations</w:t>
      </w:r>
      <w:r w:rsidR="0086209B" w:rsidRPr="00E53550">
        <w:rPr>
          <w:color w:val="auto"/>
          <w:sz w:val="21"/>
          <w:szCs w:val="21"/>
        </w:rPr>
        <w:t>.</w:t>
      </w:r>
      <w:r w:rsidR="0075255F" w:rsidRPr="00E53550">
        <w:rPr>
          <w:color w:val="auto"/>
          <w:sz w:val="21"/>
          <w:szCs w:val="21"/>
        </w:rPr>
        <w:t xml:space="preserve"> </w:t>
      </w:r>
      <w:r w:rsidR="00A72C40" w:rsidRPr="00E53550">
        <w:rPr>
          <w:color w:val="auto"/>
          <w:sz w:val="21"/>
          <w:szCs w:val="21"/>
        </w:rPr>
        <w:t>This year, for the first time, w</w:t>
      </w:r>
      <w:r w:rsidR="0086209B" w:rsidRPr="00E53550">
        <w:rPr>
          <w:color w:val="auto"/>
          <w:sz w:val="21"/>
          <w:szCs w:val="21"/>
        </w:rPr>
        <w:t xml:space="preserve">e </w:t>
      </w:r>
      <w:r w:rsidR="00A72C40" w:rsidRPr="00E53550">
        <w:rPr>
          <w:color w:val="auto"/>
          <w:sz w:val="21"/>
          <w:szCs w:val="21"/>
        </w:rPr>
        <w:t>worked with</w:t>
      </w:r>
      <w:r w:rsidR="0086209B" w:rsidRPr="00E53550">
        <w:rPr>
          <w:color w:val="auto"/>
          <w:sz w:val="21"/>
          <w:szCs w:val="21"/>
        </w:rPr>
        <w:t xml:space="preserve"> the Communist Party of Vietnam’s Economic Commission</w:t>
      </w:r>
      <w:r w:rsidR="00A72C40" w:rsidRPr="00E53550">
        <w:rPr>
          <w:color w:val="auto"/>
          <w:sz w:val="21"/>
          <w:szCs w:val="21"/>
        </w:rPr>
        <w:t xml:space="preserve"> to co-host a forum focused on private sector development, which </w:t>
      </w:r>
      <w:r w:rsidR="0086209B" w:rsidRPr="00E53550">
        <w:rPr>
          <w:color w:val="auto"/>
          <w:sz w:val="21"/>
          <w:szCs w:val="21"/>
        </w:rPr>
        <w:t xml:space="preserve">provided a platform to advocate for economic reform and feature </w:t>
      </w:r>
      <w:r w:rsidR="005A60BD" w:rsidRPr="00E53550">
        <w:rPr>
          <w:color w:val="auto"/>
          <w:sz w:val="21"/>
          <w:szCs w:val="21"/>
        </w:rPr>
        <w:t>our support as economic partners</w:t>
      </w:r>
      <w:r w:rsidR="00A72C40" w:rsidRPr="00E53550">
        <w:rPr>
          <w:color w:val="auto"/>
          <w:sz w:val="21"/>
          <w:szCs w:val="21"/>
        </w:rPr>
        <w:t>. We continue to engage</w:t>
      </w:r>
      <w:r w:rsidR="0086209B" w:rsidRPr="00E53550">
        <w:rPr>
          <w:color w:val="auto"/>
          <w:sz w:val="21"/>
          <w:szCs w:val="21"/>
        </w:rPr>
        <w:t xml:space="preserve"> formal</w:t>
      </w:r>
      <w:r w:rsidR="00A72C40" w:rsidRPr="00E53550">
        <w:rPr>
          <w:color w:val="auto"/>
          <w:sz w:val="21"/>
          <w:szCs w:val="21"/>
        </w:rPr>
        <w:t>ly</w:t>
      </w:r>
      <w:r w:rsidR="0086209B" w:rsidRPr="00E53550">
        <w:rPr>
          <w:color w:val="auto"/>
          <w:sz w:val="21"/>
          <w:szCs w:val="21"/>
        </w:rPr>
        <w:t xml:space="preserve"> and informal</w:t>
      </w:r>
      <w:r w:rsidR="00A72C40" w:rsidRPr="00E53550">
        <w:rPr>
          <w:color w:val="auto"/>
          <w:sz w:val="21"/>
          <w:szCs w:val="21"/>
        </w:rPr>
        <w:t xml:space="preserve">ly to advocate for sustained economic reform </w:t>
      </w:r>
      <w:r w:rsidR="0086209B" w:rsidRPr="00E53550">
        <w:rPr>
          <w:color w:val="auto"/>
          <w:sz w:val="21"/>
          <w:szCs w:val="21"/>
        </w:rPr>
        <w:t>through Vietnam’s development and business fora.</w:t>
      </w:r>
      <w:r w:rsidR="0075255F" w:rsidRPr="00E53550">
        <w:rPr>
          <w:color w:val="auto"/>
          <w:sz w:val="21"/>
          <w:szCs w:val="21"/>
        </w:rPr>
        <w:t xml:space="preserve"> Our influence is growing in human resource development and gender equality but </w:t>
      </w:r>
      <w:r w:rsidR="00660797" w:rsidRPr="00E53550">
        <w:rPr>
          <w:color w:val="auto"/>
          <w:sz w:val="21"/>
          <w:szCs w:val="21"/>
        </w:rPr>
        <w:t>these are</w:t>
      </w:r>
      <w:r w:rsidR="0075255F" w:rsidRPr="00E53550">
        <w:rPr>
          <w:color w:val="auto"/>
          <w:sz w:val="21"/>
          <w:szCs w:val="21"/>
        </w:rPr>
        <w:t xml:space="preserve"> sensitive policy </w:t>
      </w:r>
      <w:r w:rsidR="00660797" w:rsidRPr="00E53550">
        <w:rPr>
          <w:color w:val="auto"/>
          <w:sz w:val="21"/>
          <w:szCs w:val="21"/>
        </w:rPr>
        <w:t>issues</w:t>
      </w:r>
      <w:r w:rsidR="0075255F" w:rsidRPr="00E53550">
        <w:rPr>
          <w:color w:val="auto"/>
          <w:sz w:val="21"/>
          <w:szCs w:val="21"/>
        </w:rPr>
        <w:t xml:space="preserve"> where innovation is difficult to achieve.</w:t>
      </w:r>
    </w:p>
    <w:p w:rsidR="00E974CB" w:rsidRPr="00E53550" w:rsidRDefault="00FA5D94">
      <w:pPr>
        <w:jc w:val="both"/>
        <w:rPr>
          <w:color w:val="auto"/>
          <w:sz w:val="21"/>
          <w:szCs w:val="21"/>
        </w:rPr>
      </w:pPr>
      <w:r w:rsidRPr="00E53550">
        <w:rPr>
          <w:color w:val="auto"/>
          <w:sz w:val="21"/>
          <w:szCs w:val="21"/>
        </w:rPr>
        <w:t xml:space="preserve">We achieved our innovation objectives for 2016-17, and laid the groundwork for a strong </w:t>
      </w:r>
      <w:r w:rsidR="0075255F" w:rsidRPr="00E53550">
        <w:rPr>
          <w:color w:val="auto"/>
          <w:sz w:val="21"/>
          <w:szCs w:val="21"/>
        </w:rPr>
        <w:t>future agenda</w:t>
      </w:r>
      <w:r w:rsidRPr="00E53550">
        <w:rPr>
          <w:color w:val="auto"/>
          <w:sz w:val="21"/>
          <w:szCs w:val="21"/>
        </w:rPr>
        <w:t>. We established a new ‘Australia in Vietnam Innovation Champion’</w:t>
      </w:r>
      <w:r w:rsidR="005A60BD" w:rsidRPr="00E53550">
        <w:rPr>
          <w:color w:val="auto"/>
          <w:sz w:val="21"/>
          <w:szCs w:val="21"/>
        </w:rPr>
        <w:t xml:space="preserve"> (the first in Australia’s diplomatic network)</w:t>
      </w:r>
      <w:r w:rsidRPr="00E53550">
        <w:rPr>
          <w:color w:val="auto"/>
          <w:sz w:val="21"/>
          <w:szCs w:val="21"/>
        </w:rPr>
        <w:t xml:space="preserve"> to provide leadership and strategic advice on driving forward our internal and external innovation agenda. We</w:t>
      </w:r>
      <w:r w:rsidR="004806CF" w:rsidRPr="00E53550">
        <w:rPr>
          <w:color w:val="auto"/>
          <w:sz w:val="21"/>
          <w:szCs w:val="21"/>
        </w:rPr>
        <w:t xml:space="preserve"> introduced new technologies and business practices</w:t>
      </w:r>
      <w:r w:rsidR="005A60BD" w:rsidRPr="00E53550">
        <w:rPr>
          <w:color w:val="auto"/>
          <w:sz w:val="21"/>
          <w:szCs w:val="21"/>
        </w:rPr>
        <w:t xml:space="preserve"> through aid investments</w:t>
      </w:r>
      <w:r w:rsidR="004806CF" w:rsidRPr="00E53550">
        <w:rPr>
          <w:color w:val="auto"/>
          <w:sz w:val="21"/>
          <w:szCs w:val="21"/>
        </w:rPr>
        <w:t xml:space="preserve"> </w:t>
      </w:r>
      <w:r w:rsidR="005A60BD" w:rsidRPr="00E53550">
        <w:rPr>
          <w:color w:val="auto"/>
          <w:sz w:val="21"/>
          <w:szCs w:val="21"/>
        </w:rPr>
        <w:t>to help</w:t>
      </w:r>
      <w:r w:rsidR="004806CF" w:rsidRPr="00E53550">
        <w:rPr>
          <w:color w:val="auto"/>
          <w:sz w:val="21"/>
          <w:szCs w:val="21"/>
        </w:rPr>
        <w:t xml:space="preserve"> the local private sector </w:t>
      </w:r>
      <w:r w:rsidR="005A60BD" w:rsidRPr="00E53550">
        <w:rPr>
          <w:color w:val="auto"/>
          <w:sz w:val="21"/>
          <w:szCs w:val="21"/>
        </w:rPr>
        <w:t>provide</w:t>
      </w:r>
      <w:r w:rsidR="004806CF" w:rsidRPr="00E53550">
        <w:rPr>
          <w:color w:val="auto"/>
          <w:sz w:val="21"/>
          <w:szCs w:val="21"/>
        </w:rPr>
        <w:t xml:space="preserve"> access for some of the poorest Vietnamese communities to clean and safe water. </w:t>
      </w:r>
      <w:r w:rsidRPr="00E53550">
        <w:rPr>
          <w:color w:val="auto"/>
          <w:sz w:val="21"/>
          <w:szCs w:val="21"/>
        </w:rPr>
        <w:t>We demonstrated the developmen</w:t>
      </w:r>
      <w:r w:rsidR="0075255F" w:rsidRPr="00E53550">
        <w:rPr>
          <w:color w:val="auto"/>
          <w:sz w:val="21"/>
          <w:szCs w:val="21"/>
        </w:rPr>
        <w:t>t impact of technology transfer</w:t>
      </w:r>
      <w:r w:rsidRPr="00E53550">
        <w:rPr>
          <w:color w:val="auto"/>
          <w:sz w:val="21"/>
          <w:szCs w:val="21"/>
        </w:rPr>
        <w:t>. To raise awareness, w</w:t>
      </w:r>
      <w:r w:rsidR="004806CF" w:rsidRPr="00E53550">
        <w:rPr>
          <w:color w:val="auto"/>
          <w:sz w:val="21"/>
          <w:szCs w:val="21"/>
        </w:rPr>
        <w:t xml:space="preserve">e produced a series of short videos to highlight the breadth and depth of </w:t>
      </w:r>
      <w:r w:rsidR="0075255F" w:rsidRPr="00E53550">
        <w:rPr>
          <w:color w:val="auto"/>
          <w:sz w:val="21"/>
          <w:szCs w:val="21"/>
        </w:rPr>
        <w:t>our</w:t>
      </w:r>
      <w:r w:rsidR="004806CF" w:rsidRPr="00E53550">
        <w:rPr>
          <w:color w:val="auto"/>
          <w:sz w:val="21"/>
          <w:szCs w:val="21"/>
        </w:rPr>
        <w:t xml:space="preserve"> innovation partnership</w:t>
      </w:r>
      <w:r w:rsidRPr="00E53550">
        <w:rPr>
          <w:color w:val="auto"/>
          <w:sz w:val="21"/>
          <w:szCs w:val="21"/>
        </w:rPr>
        <w:t>, which was</w:t>
      </w:r>
      <w:r w:rsidR="004806CF" w:rsidRPr="00E53550">
        <w:rPr>
          <w:color w:val="auto"/>
          <w:sz w:val="21"/>
          <w:szCs w:val="21"/>
        </w:rPr>
        <w:t xml:space="preserve"> featured during Deputy Prime Minister Hue’s July 2017 visit to DFAT’s innovationXchange in Canberra.</w:t>
      </w:r>
    </w:p>
    <w:p w:rsidR="00E974CB" w:rsidRPr="00E53550" w:rsidRDefault="00FA5D94">
      <w:pPr>
        <w:jc w:val="both"/>
        <w:rPr>
          <w:color w:val="auto"/>
          <w:sz w:val="21"/>
          <w:szCs w:val="21"/>
        </w:rPr>
      </w:pPr>
      <w:r w:rsidRPr="00E53550">
        <w:rPr>
          <w:color w:val="auto"/>
          <w:sz w:val="21"/>
          <w:szCs w:val="21"/>
        </w:rPr>
        <w:t>I</w:t>
      </w:r>
      <w:r w:rsidR="004806CF" w:rsidRPr="00E53550">
        <w:rPr>
          <w:color w:val="auto"/>
          <w:sz w:val="21"/>
          <w:szCs w:val="21"/>
        </w:rPr>
        <w:t>n November 2016</w:t>
      </w:r>
      <w:r w:rsidR="00014BBC" w:rsidRPr="00E53550">
        <w:rPr>
          <w:color w:val="auto"/>
          <w:sz w:val="21"/>
          <w:szCs w:val="21"/>
        </w:rPr>
        <w:t>,</w:t>
      </w:r>
      <w:r w:rsidR="004806CF" w:rsidRPr="00E53550">
        <w:rPr>
          <w:color w:val="auto"/>
          <w:sz w:val="21"/>
          <w:szCs w:val="21"/>
        </w:rPr>
        <w:t xml:space="preserve"> we released a comprehensive Gender Strategy for Australia in Vietnam – which reflects the work of all Australian agencies represented in Vietnam, and both our Hanoi and Ho Chi Minh City posts.  That strategy outlines a number of policy changes that we are seeking to influence. Our new Aus4Equality program, focused on the Northern Mountainous region, will be the largest ever grant program in Vietn</w:t>
      </w:r>
      <w:r w:rsidR="005A60BD" w:rsidRPr="00E53550">
        <w:rPr>
          <w:color w:val="auto"/>
          <w:sz w:val="21"/>
          <w:szCs w:val="21"/>
        </w:rPr>
        <w:t xml:space="preserve">am focused on gender equality, and </w:t>
      </w:r>
      <w:r w:rsidR="0075255F" w:rsidRPr="00E53550">
        <w:rPr>
          <w:color w:val="auto"/>
          <w:sz w:val="21"/>
          <w:szCs w:val="21"/>
        </w:rPr>
        <w:t xml:space="preserve">will </w:t>
      </w:r>
      <w:r w:rsidR="005A60BD" w:rsidRPr="00E53550">
        <w:rPr>
          <w:color w:val="auto"/>
          <w:sz w:val="21"/>
          <w:szCs w:val="21"/>
        </w:rPr>
        <w:t>entrench our position as the bilateral partner of choice on gender issues.</w:t>
      </w:r>
    </w:p>
    <w:p w:rsidR="00E974CB" w:rsidRPr="00E53550" w:rsidRDefault="004806CF">
      <w:pPr>
        <w:jc w:val="both"/>
        <w:rPr>
          <w:color w:val="auto"/>
          <w:sz w:val="21"/>
          <w:szCs w:val="21"/>
        </w:rPr>
      </w:pPr>
      <w:r w:rsidRPr="00E53550">
        <w:rPr>
          <w:i/>
          <w:noProof/>
          <w:color w:val="auto"/>
          <w:sz w:val="21"/>
          <w:szCs w:val="21"/>
          <w:lang w:val="en-AU" w:eastAsia="en-AU"/>
        </w:rPr>
        <w:drawing>
          <wp:anchor distT="0" distB="0" distL="114300" distR="114300" simplePos="0" relativeHeight="49" behindDoc="0" locked="0" layoutInCell="1" allowOverlap="1" wp14:anchorId="7CD1D15D" wp14:editId="1859DFFD">
            <wp:simplePos x="0" y="0"/>
            <wp:positionH relativeFrom="column">
              <wp:posOffset>4710430</wp:posOffset>
            </wp:positionH>
            <wp:positionV relativeFrom="paragraph">
              <wp:posOffset>53975</wp:posOffset>
            </wp:positionV>
            <wp:extent cx="1335405" cy="1334135"/>
            <wp:effectExtent l="0" t="0" r="0" b="0"/>
            <wp:wrapSquare wrapText="bothSides"/>
            <wp:docPr id="5" name="Picture 36" descr="G:\Common\DFAT\Strategic Communications\1 GENERIC\1 Branding guidelines &amp; logos\AusforVietnam logos as of 20 March 2017\English logos\EN logo in JPG format\Aus4Vietnam logo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 descr="G:\Common\DFAT\Strategic Communications\1 GENERIC\1 Branding guidelines &amp; logos\AusforVietnam logos as of 20 March 2017\English logos\EN logo in JPG format\Aus4Vietnam logo EN.jpg"/>
                    <pic:cNvPicPr>
                      <a:picLocks noChangeAspect="1" noChangeArrowheads="1"/>
                    </pic:cNvPicPr>
                  </pic:nvPicPr>
                  <pic:blipFill>
                    <a:blip r:embed="rId16"/>
                    <a:stretch>
                      <a:fillRect/>
                    </a:stretch>
                  </pic:blipFill>
                  <pic:spPr bwMode="auto">
                    <a:xfrm>
                      <a:off x="0" y="0"/>
                      <a:ext cx="1335405" cy="1334135"/>
                    </a:xfrm>
                    <a:prstGeom prst="rect">
                      <a:avLst/>
                    </a:prstGeom>
                  </pic:spPr>
                </pic:pic>
              </a:graphicData>
            </a:graphic>
          </wp:anchor>
        </w:drawing>
      </w:r>
      <w:r w:rsidR="0086209B" w:rsidRPr="00E53550">
        <w:rPr>
          <w:color w:val="auto"/>
          <w:sz w:val="21"/>
          <w:szCs w:val="21"/>
        </w:rPr>
        <w:t>W</w:t>
      </w:r>
      <w:r w:rsidRPr="00E53550">
        <w:rPr>
          <w:color w:val="auto"/>
          <w:sz w:val="21"/>
          <w:szCs w:val="21"/>
        </w:rPr>
        <w:t>e comprehensively overhauled our aid program branding</w:t>
      </w:r>
      <w:r w:rsidR="0086209B" w:rsidRPr="00E53550">
        <w:rPr>
          <w:color w:val="auto"/>
          <w:sz w:val="21"/>
          <w:szCs w:val="21"/>
        </w:rPr>
        <w:t xml:space="preserve"> in 2016-17 </w:t>
      </w:r>
      <w:r w:rsidR="0075255F" w:rsidRPr="00E53550">
        <w:rPr>
          <w:color w:val="auto"/>
          <w:sz w:val="21"/>
          <w:szCs w:val="21"/>
        </w:rPr>
        <w:t xml:space="preserve">- </w:t>
      </w:r>
      <w:r w:rsidR="0086209B" w:rsidRPr="00E53550">
        <w:rPr>
          <w:color w:val="auto"/>
          <w:sz w:val="21"/>
          <w:szCs w:val="21"/>
        </w:rPr>
        <w:t xml:space="preserve">based on feedback from stakeholders </w:t>
      </w:r>
      <w:r w:rsidR="0075255F" w:rsidRPr="00E53550">
        <w:rPr>
          <w:color w:val="auto"/>
          <w:sz w:val="21"/>
          <w:szCs w:val="21"/>
        </w:rPr>
        <w:t xml:space="preserve">- </w:t>
      </w:r>
      <w:r w:rsidR="0086209B" w:rsidRPr="00E53550">
        <w:rPr>
          <w:color w:val="auto"/>
          <w:sz w:val="21"/>
          <w:szCs w:val="21"/>
        </w:rPr>
        <w:t>to simplify and unify our messaging</w:t>
      </w:r>
      <w:r w:rsidRPr="00E53550">
        <w:rPr>
          <w:color w:val="auto"/>
          <w:sz w:val="21"/>
          <w:szCs w:val="21"/>
        </w:rPr>
        <w:t xml:space="preserve">.  Our new ‘Aus4Vietnam’ branding (Figure 1), which translates neatly into Vietnamese, is cutting through in-country compared with the former long and traditional project titles.  The simplified branding helps all staff explain how our various aid projects and priorities fit together into a strategic whole.  </w:t>
      </w:r>
    </w:p>
    <w:p w:rsidR="00E974CB" w:rsidRPr="00E53550" w:rsidRDefault="004806CF">
      <w:pPr>
        <w:jc w:val="both"/>
        <w:rPr>
          <w:color w:val="auto"/>
          <w:sz w:val="21"/>
          <w:szCs w:val="21"/>
        </w:rPr>
      </w:pPr>
      <w:r w:rsidRPr="00E53550">
        <w:rPr>
          <w:noProof/>
          <w:color w:val="auto"/>
          <w:sz w:val="21"/>
          <w:szCs w:val="21"/>
          <w:lang w:val="en-AU" w:eastAsia="en-AU"/>
        </w:rPr>
        <mc:AlternateContent>
          <mc:Choice Requires="wps">
            <w:drawing>
              <wp:anchor distT="0" distB="0" distL="114300" distR="114300" simplePos="0" relativeHeight="6" behindDoc="0" locked="0" layoutInCell="1" allowOverlap="1" wp14:anchorId="4AF2A27C" wp14:editId="59504404">
                <wp:simplePos x="0" y="0"/>
                <wp:positionH relativeFrom="column">
                  <wp:posOffset>4662805</wp:posOffset>
                </wp:positionH>
                <wp:positionV relativeFrom="paragraph">
                  <wp:posOffset>147955</wp:posOffset>
                </wp:positionV>
                <wp:extent cx="1512570" cy="382905"/>
                <wp:effectExtent l="0" t="0" r="0" b="0"/>
                <wp:wrapSquare wrapText="bothSides"/>
                <wp:docPr id="6" name="Text Box 37"/>
                <wp:cNvGraphicFramePr/>
                <a:graphic xmlns:a="http://schemas.openxmlformats.org/drawingml/2006/main">
                  <a:graphicData uri="http://schemas.microsoft.com/office/word/2010/wordprocessingShape">
                    <wps:wsp>
                      <wps:cNvSpPr/>
                      <wps:spPr>
                        <a:xfrm>
                          <a:off x="0" y="0"/>
                          <a:ext cx="1512000" cy="382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33E43" w:rsidRDefault="00733E43">
                            <w:pPr>
                              <w:pStyle w:val="Caption"/>
                            </w:pPr>
                            <w:r>
                              <w:rPr>
                                <w:sz w:val="16"/>
                                <w:szCs w:val="16"/>
                              </w:rPr>
                              <w:t xml:space="preserve">Figure </w:t>
                            </w:r>
                            <w:r>
                              <w:rPr>
                                <w:sz w:val="16"/>
                                <w:szCs w:val="16"/>
                              </w:rPr>
                              <w:fldChar w:fldCharType="begin"/>
                            </w:r>
                            <w:r>
                              <w:instrText>SEQ Figure \* ARABIC</w:instrText>
                            </w:r>
                            <w:r>
                              <w:fldChar w:fldCharType="separate"/>
                            </w:r>
                            <w:r w:rsidR="00B959B9">
                              <w:rPr>
                                <w:noProof/>
                              </w:rPr>
                              <w:t>1</w:t>
                            </w:r>
                            <w:r>
                              <w:fldChar w:fldCharType="end"/>
                            </w:r>
                            <w:r>
                              <w:rPr>
                                <w:sz w:val="16"/>
                                <w:szCs w:val="16"/>
                              </w:rPr>
                              <w:t xml:space="preserve"> - Aus4Vietnam Infographic</w:t>
                            </w:r>
                          </w:p>
                        </w:txbxContent>
                      </wps:txbx>
                      <wps:bodyPr lIns="0" tIns="0" rIns="0" bIns="0">
                        <a:prstTxWarp prst="textNoShape">
                          <a:avLst/>
                        </a:prstTxWarp>
                        <a:noAutofit/>
                      </wps:bodyPr>
                    </wps:wsp>
                  </a:graphicData>
                </a:graphic>
              </wp:anchor>
            </w:drawing>
          </mc:Choice>
          <mc:Fallback>
            <w:pict>
              <v:rect w14:anchorId="4AF2A27C" id="Text Box 37" o:spid="_x0000_s1026" style="position:absolute;left:0;text-align:left;margin-left:367.15pt;margin-top:11.65pt;width:119.1pt;height:30.1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" stroked="f">
                <v:textbox inset="0,0,0,0">
                  <w:txbxContent>
                    <w:p w:rsidR="00733E43" w:rsidRDefault="00733E43">
                      <w:pPr>
                        <w:pStyle w:val="Caption"/>
                      </w:pPr>
                      <w:r>
                        <w:rPr>
                          <w:sz w:val="16"/>
                          <w:szCs w:val="16"/>
                        </w:rPr>
                        <w:t xml:space="preserve">Figure </w:t>
                      </w:r>
                      <w:r>
                        <w:rPr>
                          <w:sz w:val="16"/>
                          <w:szCs w:val="16"/>
                        </w:rPr>
                        <w:fldChar w:fldCharType="begin"/>
                      </w:r>
                      <w:r>
                        <w:instrText>SEQ Figure \* ARABIC</w:instrText>
                      </w:r>
                      <w:r>
                        <w:fldChar w:fldCharType="separate"/>
                      </w:r>
                      <w:r w:rsidR="00B959B9">
                        <w:rPr>
                          <w:noProof/>
                        </w:rPr>
                        <w:t>1</w:t>
                      </w:r>
                      <w:r>
                        <w:fldChar w:fldCharType="end"/>
                      </w:r>
                      <w:r>
                        <w:rPr>
                          <w:sz w:val="16"/>
                          <w:szCs w:val="16"/>
                        </w:rPr>
                        <w:t xml:space="preserve"> - Aus4Vietnam Infographic</w:t>
                      </w:r>
                    </w:p>
                  </w:txbxContent>
                </v:textbox>
                <w10:wrap type="square"/>
              </v:rect>
            </w:pict>
          </mc:Fallback>
        </mc:AlternateContent>
      </w:r>
      <w:r w:rsidRPr="00E53550">
        <w:rPr>
          <w:color w:val="auto"/>
          <w:sz w:val="21"/>
          <w:szCs w:val="21"/>
        </w:rPr>
        <w:t xml:space="preserve">While pursuing our </w:t>
      </w:r>
      <w:r w:rsidR="0086209B" w:rsidRPr="00E53550">
        <w:rPr>
          <w:color w:val="auto"/>
          <w:sz w:val="21"/>
          <w:szCs w:val="21"/>
        </w:rPr>
        <w:t>forward agenda</w:t>
      </w:r>
      <w:r w:rsidRPr="00E53550">
        <w:rPr>
          <w:color w:val="auto"/>
          <w:sz w:val="21"/>
          <w:szCs w:val="21"/>
        </w:rPr>
        <w:t>, we also made progress dur</w:t>
      </w:r>
      <w:r w:rsidR="005A60BD" w:rsidRPr="00E53550">
        <w:rPr>
          <w:color w:val="auto"/>
          <w:sz w:val="21"/>
          <w:szCs w:val="21"/>
        </w:rPr>
        <w:t>ing 2016-17 on implementation. </w:t>
      </w:r>
      <w:r w:rsidRPr="00E53550">
        <w:rPr>
          <w:color w:val="auto"/>
          <w:sz w:val="21"/>
          <w:szCs w:val="21"/>
        </w:rPr>
        <w:t>We navigated the complex final stages of the Cao Lanh Bridge project with 91 per cent of the project complete</w:t>
      </w:r>
      <w:r w:rsidR="00F10EA5" w:rsidRPr="00E53550">
        <w:rPr>
          <w:color w:val="auto"/>
          <w:sz w:val="21"/>
          <w:szCs w:val="21"/>
        </w:rPr>
        <w:t>d</w:t>
      </w:r>
      <w:r w:rsidRPr="00E53550">
        <w:rPr>
          <w:color w:val="auto"/>
          <w:sz w:val="21"/>
          <w:szCs w:val="21"/>
        </w:rPr>
        <w:t xml:space="preserve"> </w:t>
      </w:r>
      <w:r w:rsidR="001E0068" w:rsidRPr="00E53550">
        <w:rPr>
          <w:color w:val="auto"/>
          <w:sz w:val="21"/>
          <w:szCs w:val="21"/>
        </w:rPr>
        <w:t>by June 2017,</w:t>
      </w:r>
      <w:r w:rsidRPr="00E53550">
        <w:rPr>
          <w:color w:val="auto"/>
          <w:sz w:val="21"/>
          <w:szCs w:val="21"/>
        </w:rPr>
        <w:t xml:space="preserve"> and we are on track for completion </w:t>
      </w:r>
      <w:r w:rsidR="001E0068" w:rsidRPr="00E53550">
        <w:rPr>
          <w:color w:val="auto"/>
          <w:sz w:val="21"/>
          <w:szCs w:val="21"/>
        </w:rPr>
        <w:t>by</w:t>
      </w:r>
      <w:r w:rsidRPr="00E53550">
        <w:rPr>
          <w:color w:val="auto"/>
          <w:sz w:val="21"/>
          <w:szCs w:val="21"/>
        </w:rPr>
        <w:t xml:space="preserve"> the end of </w:t>
      </w:r>
      <w:r w:rsidR="001E0068" w:rsidRPr="00E53550">
        <w:rPr>
          <w:color w:val="auto"/>
          <w:sz w:val="21"/>
          <w:szCs w:val="21"/>
        </w:rPr>
        <w:t>the year</w:t>
      </w:r>
      <w:r w:rsidRPr="00E53550">
        <w:rPr>
          <w:color w:val="auto"/>
          <w:sz w:val="21"/>
          <w:szCs w:val="21"/>
        </w:rPr>
        <w:t xml:space="preserve">.  We also bedded down the new Aus4Skills program, awarding 80 scholarships, </w:t>
      </w:r>
      <w:r w:rsidR="005A60BD" w:rsidRPr="00E53550">
        <w:rPr>
          <w:color w:val="auto"/>
          <w:sz w:val="21"/>
          <w:szCs w:val="21"/>
        </w:rPr>
        <w:t>of</w:t>
      </w:r>
      <w:r w:rsidRPr="00E53550">
        <w:rPr>
          <w:color w:val="auto"/>
          <w:sz w:val="21"/>
          <w:szCs w:val="21"/>
        </w:rPr>
        <w:t xml:space="preserve"> which 69 per cent were </w:t>
      </w:r>
      <w:r w:rsidR="005A60BD" w:rsidRPr="00E53550">
        <w:rPr>
          <w:color w:val="auto"/>
          <w:sz w:val="21"/>
          <w:szCs w:val="21"/>
        </w:rPr>
        <w:t>awarded to women</w:t>
      </w:r>
      <w:r w:rsidRPr="00E53550">
        <w:rPr>
          <w:color w:val="auto"/>
          <w:sz w:val="21"/>
          <w:szCs w:val="21"/>
        </w:rPr>
        <w:t xml:space="preserve">.  We have continued to drive a consolidation agenda, reducing our portfolio from 20 to 16 investments (noting that two investments were extended and to be closed by December 2017).  Our Aid Management Steering Committee, chaired by the Ambassador and meeting monthly, is actively managing budgets and risk for our aid program. It was recognised in a 2016-17 DFAT Internal Audit as best practice.  </w:t>
      </w:r>
    </w:p>
    <w:p w:rsidR="00E974CB" w:rsidRPr="00E53550" w:rsidRDefault="0086209B">
      <w:pPr>
        <w:jc w:val="both"/>
        <w:rPr>
          <w:color w:val="auto"/>
          <w:sz w:val="21"/>
          <w:szCs w:val="21"/>
        </w:rPr>
      </w:pPr>
      <w:r w:rsidRPr="00E53550">
        <w:rPr>
          <w:color w:val="auto"/>
          <w:sz w:val="21"/>
          <w:szCs w:val="21"/>
        </w:rPr>
        <w:lastRenderedPageBreak/>
        <w:t>There are several k</w:t>
      </w:r>
      <w:r w:rsidR="004806CF" w:rsidRPr="00E53550">
        <w:rPr>
          <w:color w:val="auto"/>
          <w:sz w:val="21"/>
          <w:szCs w:val="21"/>
        </w:rPr>
        <w:t>ey lesson</w:t>
      </w:r>
      <w:r w:rsidR="005A60BD" w:rsidRPr="00E53550">
        <w:rPr>
          <w:color w:val="auto"/>
          <w:sz w:val="21"/>
          <w:szCs w:val="21"/>
        </w:rPr>
        <w:t>s</w:t>
      </w:r>
      <w:r w:rsidR="004806CF" w:rsidRPr="00E53550">
        <w:rPr>
          <w:color w:val="auto"/>
          <w:sz w:val="21"/>
          <w:szCs w:val="21"/>
        </w:rPr>
        <w:t xml:space="preserve"> from the year</w:t>
      </w:r>
      <w:r w:rsidRPr="00E53550">
        <w:rPr>
          <w:color w:val="auto"/>
          <w:sz w:val="21"/>
          <w:szCs w:val="21"/>
        </w:rPr>
        <w:t>. O</w:t>
      </w:r>
      <w:r w:rsidR="004806CF" w:rsidRPr="00E53550">
        <w:rPr>
          <w:color w:val="auto"/>
          <w:sz w:val="21"/>
          <w:szCs w:val="21"/>
        </w:rPr>
        <w:t xml:space="preserve">ur staff </w:t>
      </w:r>
      <w:r w:rsidRPr="00E53550">
        <w:rPr>
          <w:color w:val="auto"/>
          <w:sz w:val="21"/>
          <w:szCs w:val="21"/>
        </w:rPr>
        <w:t xml:space="preserve">need new skills and additional agility </w:t>
      </w:r>
      <w:r w:rsidR="004806CF" w:rsidRPr="00E53550">
        <w:rPr>
          <w:color w:val="auto"/>
          <w:sz w:val="21"/>
          <w:szCs w:val="21"/>
        </w:rPr>
        <w:t xml:space="preserve">to be </w:t>
      </w:r>
      <w:r w:rsidRPr="00E53550">
        <w:rPr>
          <w:color w:val="auto"/>
          <w:sz w:val="21"/>
          <w:szCs w:val="21"/>
        </w:rPr>
        <w:t xml:space="preserve">effective </w:t>
      </w:r>
      <w:r w:rsidR="004806CF" w:rsidRPr="00E53550">
        <w:rPr>
          <w:color w:val="auto"/>
          <w:sz w:val="21"/>
          <w:szCs w:val="21"/>
        </w:rPr>
        <w:t xml:space="preserve">influencers.  As we roll out new programs that are about policy reforms and influencing government spending, we will need new perspectives and skills, and to spend less time doing traditional program management.  This will be one of the challenges we seek to address in our workforce planning (as outlined in </w:t>
      </w:r>
      <w:r w:rsidR="00845273" w:rsidRPr="00E53550">
        <w:rPr>
          <w:color w:val="auto"/>
          <w:sz w:val="21"/>
          <w:szCs w:val="21"/>
        </w:rPr>
        <w:t xml:space="preserve">Hanoi Post’s </w:t>
      </w:r>
      <w:r w:rsidR="004806CF" w:rsidRPr="00E53550">
        <w:rPr>
          <w:color w:val="auto"/>
          <w:sz w:val="21"/>
          <w:szCs w:val="21"/>
        </w:rPr>
        <w:t>2017-18 Post Business Plan).</w:t>
      </w:r>
      <w:r w:rsidRPr="00E53550">
        <w:rPr>
          <w:color w:val="auto"/>
          <w:sz w:val="21"/>
          <w:szCs w:val="21"/>
        </w:rPr>
        <w:t xml:space="preserve"> The complex Vietnamese approval processes proved challenging: our staff needed to change tack on a number of occasions, draw experience from other donors and take a more strategic approach to secure the necessary approvals. These lessons are being applied to secure approval for the outstanding aid investment</w:t>
      </w:r>
      <w:r w:rsidR="00D51579" w:rsidRPr="00E53550">
        <w:rPr>
          <w:color w:val="auto"/>
          <w:sz w:val="21"/>
          <w:szCs w:val="21"/>
        </w:rPr>
        <w:t>s</w:t>
      </w:r>
      <w:r w:rsidRPr="00E53550">
        <w:rPr>
          <w:color w:val="auto"/>
          <w:sz w:val="21"/>
          <w:szCs w:val="21"/>
        </w:rPr>
        <w:t>.</w:t>
      </w:r>
    </w:p>
    <w:p w:rsidR="00E974CB" w:rsidRPr="00B04ABE"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87A57">
        <w:rPr>
          <w:rFonts w:asciiTheme="majorHAnsi" w:eastAsiaTheme="majorEastAsia" w:hAnsiTheme="majorHAnsi" w:cstheme="majorBidi"/>
          <w:caps/>
          <w:color w:val="auto"/>
          <w:sz w:val="38"/>
          <w:szCs w:val="26"/>
          <w:lang w:val="en-GB" w:eastAsia="en-US"/>
        </w:rPr>
        <w:t xml:space="preserve">Context </w:t>
      </w:r>
      <w:r w:rsidRPr="00B87A57">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p>
    <w:p w:rsidR="00D85A4A" w:rsidRPr="00E53550" w:rsidRDefault="00D85A4A" w:rsidP="00D85A4A">
      <w:pPr>
        <w:jc w:val="both"/>
        <w:rPr>
          <w:color w:val="auto"/>
          <w:sz w:val="21"/>
          <w:szCs w:val="21"/>
        </w:rPr>
      </w:pPr>
      <w:r w:rsidRPr="00E53550">
        <w:rPr>
          <w:color w:val="auto"/>
          <w:sz w:val="21"/>
          <w:szCs w:val="21"/>
        </w:rPr>
        <w:t xml:space="preserve">Vietnam reached middle-income status in 2010 and continues to be a development success story, underscored by impressive poverty reduction and sustained economic growth. Vietnam achieved most Millennium Development Goals – many of them ahead of time – and the </w:t>
      </w:r>
      <w:r w:rsidRPr="00E53550">
        <w:rPr>
          <w:i/>
          <w:color w:val="auto"/>
          <w:sz w:val="21"/>
          <w:szCs w:val="21"/>
        </w:rPr>
        <w:t>National Action Plan on Sustainable Development</w:t>
      </w:r>
      <w:r w:rsidRPr="00E53550">
        <w:rPr>
          <w:color w:val="auto"/>
          <w:sz w:val="21"/>
          <w:szCs w:val="21"/>
        </w:rPr>
        <w:t xml:space="preserve"> (launched in July 2017) demonstrates Vietnam’s commitment to realising the global Sustainable Development Goals (SDGs). </w:t>
      </w:r>
      <w:r w:rsidRPr="00E53550">
        <w:rPr>
          <w:iCs/>
          <w:color w:val="auto"/>
          <w:sz w:val="21"/>
          <w:szCs w:val="21"/>
        </w:rPr>
        <w:t>Vietnam’s</w:t>
      </w:r>
      <w:r w:rsidRPr="00E53550">
        <w:rPr>
          <w:i/>
          <w:iCs/>
          <w:color w:val="auto"/>
          <w:sz w:val="21"/>
          <w:szCs w:val="21"/>
        </w:rPr>
        <w:t xml:space="preserve"> Socio-Economic Development Plan 2016-2020</w:t>
      </w:r>
      <w:r w:rsidRPr="00E53550">
        <w:rPr>
          <w:color w:val="auto"/>
          <w:sz w:val="21"/>
          <w:szCs w:val="21"/>
        </w:rPr>
        <w:t xml:space="preserve"> lays out the roadmap for the country’s economic and social development for the next five years.</w:t>
      </w:r>
    </w:p>
    <w:p w:rsidR="00D85A4A" w:rsidRPr="00E53550" w:rsidRDefault="00D85A4A" w:rsidP="00D85A4A">
      <w:pPr>
        <w:jc w:val="both"/>
        <w:rPr>
          <w:color w:val="auto"/>
          <w:sz w:val="21"/>
          <w:szCs w:val="21"/>
        </w:rPr>
      </w:pPr>
      <w:r w:rsidRPr="00E53550">
        <w:rPr>
          <w:color w:val="auto"/>
          <w:sz w:val="21"/>
          <w:szCs w:val="21"/>
        </w:rPr>
        <w:t xml:space="preserve">Vietnam continues to move towards being more dynamic, market oriented, integrated, and connected to regional and global markets. Despite challenging global conditions, GDP growth was 6.2 per cent in 2016, though it dropped to 5.7 per cent for the first half of 2017, falling short of the Government of Vietnam’s target of 6.7 per cent. </w:t>
      </w:r>
    </w:p>
    <w:p w:rsidR="00B87A57" w:rsidRPr="00E53550" w:rsidRDefault="00D85A4A" w:rsidP="00D85A4A">
      <w:pPr>
        <w:jc w:val="both"/>
        <w:rPr>
          <w:color w:val="auto"/>
          <w:sz w:val="21"/>
          <w:szCs w:val="21"/>
        </w:rPr>
      </w:pPr>
      <w:r w:rsidRPr="00E53550">
        <w:rPr>
          <w:color w:val="auto"/>
          <w:sz w:val="21"/>
          <w:szCs w:val="21"/>
        </w:rPr>
        <w:t xml:space="preserve">On balance, Vietnam’s medium-term economic outlook remains positive, but challenges persist. Vietnam’s total public debt, estimated at 62 per cent of GDP, is quickly approaching the legally mandated ceiling of 65 per cent of GDP, which is constraining public finance options. Much-needed investments in infrastructure exceed the public resources available, and the ability to mobilise private sector resources remains weak. The availability of international finance is becoming more expensive for Vietnam with shorter </w:t>
      </w:r>
      <w:r w:rsidR="008D7EAF" w:rsidRPr="00E53550">
        <w:rPr>
          <w:color w:val="auto"/>
          <w:sz w:val="21"/>
          <w:szCs w:val="21"/>
        </w:rPr>
        <w:t>payback</w:t>
      </w:r>
      <w:r w:rsidRPr="00E53550">
        <w:rPr>
          <w:color w:val="auto"/>
          <w:sz w:val="21"/>
          <w:szCs w:val="21"/>
        </w:rPr>
        <w:t xml:space="preserve"> periods. Vietnam has already graduated from the World Bank’s International Development Assistance to International Bank for Reconstruction and Development in July 2017 and is expected to graduate from the Asian Development Bank (ADB) Asian Development Fund to Ordinary Capital Resources by the end of 2018. The emergence of the Asian Infrastructure Investment Bank will provide even more commercially based development finance, but will do little to relieve Vietnam’s reliance on externally sourced money. </w:t>
      </w:r>
    </w:p>
    <w:p w:rsidR="00D85A4A" w:rsidRPr="00E53550" w:rsidRDefault="00D85A4A" w:rsidP="00D85A4A">
      <w:pPr>
        <w:jc w:val="both"/>
        <w:rPr>
          <w:color w:val="auto"/>
          <w:sz w:val="21"/>
          <w:szCs w:val="21"/>
        </w:rPr>
      </w:pPr>
      <w:r w:rsidRPr="00E53550">
        <w:rPr>
          <w:color w:val="auto"/>
          <w:sz w:val="21"/>
          <w:szCs w:val="21"/>
        </w:rPr>
        <w:t>Slow implementation of structural and fiscal reforms may limit medium term growth prospects. Vietnam’s economy remains susceptible to further slowdown in the global economy and a potential rise in protectionist trade and investment policies internationally. In 2016-17, Vietnam continued to seek regional and global opportunities for further international integration. Vietnam is actively negotiating new free-trade agreements (FTAs), including the Vietnam-E</w:t>
      </w:r>
      <w:r w:rsidR="004743E3">
        <w:rPr>
          <w:color w:val="auto"/>
          <w:sz w:val="21"/>
          <w:szCs w:val="21"/>
        </w:rPr>
        <w:t xml:space="preserve">uropean </w:t>
      </w:r>
      <w:r w:rsidRPr="00E53550">
        <w:rPr>
          <w:color w:val="auto"/>
          <w:sz w:val="21"/>
          <w:szCs w:val="21"/>
        </w:rPr>
        <w:t>U</w:t>
      </w:r>
      <w:r w:rsidR="004743E3">
        <w:rPr>
          <w:color w:val="auto"/>
          <w:sz w:val="21"/>
          <w:szCs w:val="21"/>
        </w:rPr>
        <w:t>nion</w:t>
      </w:r>
      <w:r w:rsidRPr="00E53550">
        <w:rPr>
          <w:color w:val="auto"/>
          <w:sz w:val="21"/>
          <w:szCs w:val="21"/>
        </w:rPr>
        <w:t xml:space="preserve"> FTA, the Regional Comprehensive Economic Partnership (RCEP), and the Trans-Pacific Partnership (TPP). </w:t>
      </w:r>
    </w:p>
    <w:p w:rsidR="00B87A57" w:rsidRPr="00E53550" w:rsidRDefault="00D85A4A" w:rsidP="00D85A4A">
      <w:pPr>
        <w:jc w:val="both"/>
        <w:rPr>
          <w:color w:val="auto"/>
          <w:sz w:val="21"/>
          <w:szCs w:val="21"/>
        </w:rPr>
      </w:pPr>
      <w:r w:rsidRPr="00E53550">
        <w:rPr>
          <w:color w:val="auto"/>
          <w:sz w:val="21"/>
          <w:szCs w:val="21"/>
        </w:rPr>
        <w:t>Rapid demographic and social change will also have an impact on Vietnam in the coming years. Vietnam’s population reached 94 million in 2016 and is expected to expand to 120 million by 2050. Currently, 70 percent of the population is under 35 years of age, with a life expectancy of almost 73 years. However, as noted by the I</w:t>
      </w:r>
      <w:r w:rsidR="008D7EAF" w:rsidRPr="00E53550">
        <w:rPr>
          <w:color w:val="auto"/>
          <w:sz w:val="21"/>
          <w:szCs w:val="21"/>
        </w:rPr>
        <w:t xml:space="preserve">nternational </w:t>
      </w:r>
      <w:r w:rsidRPr="00E53550">
        <w:rPr>
          <w:color w:val="auto"/>
          <w:sz w:val="21"/>
          <w:szCs w:val="21"/>
        </w:rPr>
        <w:t>M</w:t>
      </w:r>
      <w:r w:rsidR="008D7EAF" w:rsidRPr="00E53550">
        <w:rPr>
          <w:color w:val="auto"/>
          <w:sz w:val="21"/>
          <w:szCs w:val="21"/>
        </w:rPr>
        <w:t xml:space="preserve">onetary </w:t>
      </w:r>
      <w:r w:rsidRPr="00E53550">
        <w:rPr>
          <w:color w:val="auto"/>
          <w:sz w:val="21"/>
          <w:szCs w:val="21"/>
        </w:rPr>
        <w:t>F</w:t>
      </w:r>
      <w:r w:rsidR="008D7EAF" w:rsidRPr="00E53550">
        <w:rPr>
          <w:color w:val="auto"/>
          <w:sz w:val="21"/>
          <w:szCs w:val="21"/>
        </w:rPr>
        <w:t>und</w:t>
      </w:r>
      <w:r w:rsidRPr="00E53550">
        <w:rPr>
          <w:color w:val="auto"/>
          <w:sz w:val="21"/>
          <w:szCs w:val="21"/>
        </w:rPr>
        <w:t xml:space="preserve">, continued delays to structural economic reforms see Vietnam at risk of growing old before it gets rich. The workforce also lacks many of the </w:t>
      </w:r>
      <w:r w:rsidR="00B87A57" w:rsidRPr="00E53550">
        <w:rPr>
          <w:color w:val="auto"/>
          <w:sz w:val="21"/>
          <w:szCs w:val="21"/>
        </w:rPr>
        <w:t>skills needed</w:t>
      </w:r>
      <w:r w:rsidRPr="00E53550">
        <w:rPr>
          <w:color w:val="auto"/>
          <w:sz w:val="21"/>
          <w:szCs w:val="21"/>
        </w:rPr>
        <w:t xml:space="preserve"> to fuel innovation, grow the private sector and lift the quality of public governance. </w:t>
      </w:r>
    </w:p>
    <w:p w:rsidR="00D85A4A" w:rsidRPr="00E53550" w:rsidRDefault="00D85A4A" w:rsidP="00D85A4A">
      <w:pPr>
        <w:jc w:val="both"/>
        <w:rPr>
          <w:color w:val="auto"/>
          <w:sz w:val="21"/>
          <w:szCs w:val="21"/>
        </w:rPr>
      </w:pPr>
      <w:r w:rsidRPr="00E53550">
        <w:rPr>
          <w:color w:val="auto"/>
          <w:sz w:val="21"/>
          <w:szCs w:val="21"/>
        </w:rPr>
        <w:t xml:space="preserve">Poverty gains since Doi Moi - the substantial economic reforms which began in 1986 - remain fragile, with stubborn pockets of poverty concentrated in rural areas and among ethnic minorities. Vietnam is highly vulnerable to climate change and natural disasters, particularly in its productive agriculture sector, and natural assets are exploited unsustainably. Weak institutions, often with overlapping mandates and responsibilities, and inadequate processes for coordination and public disbursement, continue to impede effectiveness and efficiency. </w:t>
      </w:r>
    </w:p>
    <w:p w:rsidR="00D85A4A" w:rsidRPr="00E53550" w:rsidRDefault="00D85A4A" w:rsidP="00D85A4A">
      <w:pPr>
        <w:jc w:val="both"/>
        <w:rPr>
          <w:color w:val="auto"/>
          <w:sz w:val="21"/>
          <w:szCs w:val="21"/>
        </w:rPr>
      </w:pPr>
      <w:r w:rsidRPr="00E53550">
        <w:rPr>
          <w:color w:val="auto"/>
          <w:sz w:val="21"/>
          <w:szCs w:val="21"/>
        </w:rPr>
        <w:t xml:space="preserve">Women’s economic empowerment is improving. Female-headed households are less likely to be poor than male-headed households, and primary and secondary school net enrolment rates are about equal for boys and girls. Women’s labour force participation rate is within 10 per cent of men’s – a smaller gap than in most comparable countries – and there has been an upward trend in the share of women in paid work. However gender gaps persist, including women’s limited access to high-level leadership positions in both public and private sectors, and a pay gap </w:t>
      </w:r>
      <w:r w:rsidRPr="00E53550">
        <w:rPr>
          <w:color w:val="auto"/>
          <w:sz w:val="21"/>
          <w:szCs w:val="21"/>
        </w:rPr>
        <w:lastRenderedPageBreak/>
        <w:t>where women earn 20 per cent less than men. Women also make up a large share of the country’s unpaid workers, particularly in agriculture.</w:t>
      </w:r>
    </w:p>
    <w:p w:rsidR="00D85A4A" w:rsidRPr="00E53550" w:rsidRDefault="00D85A4A" w:rsidP="00D85A4A">
      <w:pPr>
        <w:jc w:val="both"/>
        <w:rPr>
          <w:color w:val="auto"/>
          <w:sz w:val="21"/>
          <w:szCs w:val="21"/>
        </w:rPr>
      </w:pPr>
      <w:r w:rsidRPr="00E53550">
        <w:rPr>
          <w:color w:val="auto"/>
          <w:sz w:val="21"/>
          <w:szCs w:val="21"/>
        </w:rPr>
        <w:t xml:space="preserve">Australia’s </w:t>
      </w:r>
      <w:r w:rsidRPr="00E53550">
        <w:rPr>
          <w:i/>
          <w:iCs/>
          <w:color w:val="auto"/>
          <w:sz w:val="21"/>
          <w:szCs w:val="21"/>
        </w:rPr>
        <w:t>Aid Investment Plan (AIP) Vietnam 2015-16 to 2019-20</w:t>
      </w:r>
      <w:r w:rsidRPr="00E53550">
        <w:rPr>
          <w:color w:val="auto"/>
          <w:sz w:val="21"/>
          <w:szCs w:val="21"/>
        </w:rPr>
        <w:t xml:space="preserve"> remains relevant and well-matched to Vietnam’s economic and development needs. The continued transition towards an economic partnership with Vietnam ensures our development assistance complements broader economic diplomacy efforts and encourages greater regional economic integration.</w:t>
      </w:r>
    </w:p>
    <w:p w:rsidR="00D85A4A" w:rsidRPr="00E53550" w:rsidRDefault="00D85A4A" w:rsidP="00D85A4A">
      <w:pPr>
        <w:jc w:val="both"/>
        <w:rPr>
          <w:color w:val="auto"/>
          <w:sz w:val="21"/>
          <w:szCs w:val="21"/>
        </w:rPr>
      </w:pPr>
      <w:r w:rsidRPr="00E53550">
        <w:rPr>
          <w:color w:val="auto"/>
          <w:sz w:val="21"/>
          <w:szCs w:val="21"/>
        </w:rPr>
        <w:t>In 2016, Australia maintained its position as the</w:t>
      </w:r>
      <w:r w:rsidR="00021611">
        <w:rPr>
          <w:color w:val="auto"/>
          <w:sz w:val="21"/>
          <w:szCs w:val="21"/>
        </w:rPr>
        <w:t xml:space="preserve"> ninth</w:t>
      </w:r>
      <w:r w:rsidRPr="00E53550">
        <w:rPr>
          <w:color w:val="auto"/>
          <w:sz w:val="21"/>
          <w:szCs w:val="21"/>
        </w:rPr>
        <w:t xml:space="preserve"> largest donor in Vietnam. The major multilateral banks (World Bank and ADB) and the U</w:t>
      </w:r>
      <w:r w:rsidR="004743E3">
        <w:rPr>
          <w:color w:val="auto"/>
          <w:sz w:val="21"/>
          <w:szCs w:val="21"/>
        </w:rPr>
        <w:t xml:space="preserve">nited </w:t>
      </w:r>
      <w:r w:rsidRPr="00E53550">
        <w:rPr>
          <w:color w:val="auto"/>
          <w:sz w:val="21"/>
          <w:szCs w:val="21"/>
        </w:rPr>
        <w:t>N</w:t>
      </w:r>
      <w:r w:rsidR="004743E3">
        <w:rPr>
          <w:color w:val="auto"/>
          <w:sz w:val="21"/>
          <w:szCs w:val="21"/>
        </w:rPr>
        <w:t>ations</w:t>
      </w:r>
      <w:r w:rsidRPr="00E53550">
        <w:rPr>
          <w:color w:val="auto"/>
          <w:sz w:val="21"/>
          <w:szCs w:val="21"/>
        </w:rPr>
        <w:t xml:space="preserve"> continue to be important development partners along with Japan, Korea, Germany, France, U</w:t>
      </w:r>
      <w:r w:rsidR="004743E3">
        <w:rPr>
          <w:color w:val="auto"/>
          <w:sz w:val="21"/>
          <w:szCs w:val="21"/>
        </w:rPr>
        <w:t xml:space="preserve">nited </w:t>
      </w:r>
      <w:r w:rsidRPr="00E53550">
        <w:rPr>
          <w:color w:val="auto"/>
          <w:sz w:val="21"/>
          <w:szCs w:val="21"/>
        </w:rPr>
        <w:t>S</w:t>
      </w:r>
      <w:r w:rsidR="004743E3">
        <w:rPr>
          <w:color w:val="auto"/>
          <w:sz w:val="21"/>
          <w:szCs w:val="21"/>
        </w:rPr>
        <w:t>tates</w:t>
      </w:r>
      <w:r w:rsidRPr="00E53550">
        <w:rPr>
          <w:color w:val="auto"/>
          <w:sz w:val="21"/>
          <w:szCs w:val="21"/>
        </w:rPr>
        <w:t xml:space="preserve"> and the E</w:t>
      </w:r>
      <w:r w:rsidR="004743E3">
        <w:rPr>
          <w:color w:val="auto"/>
          <w:sz w:val="21"/>
          <w:szCs w:val="21"/>
        </w:rPr>
        <w:t xml:space="preserve">uropean </w:t>
      </w:r>
      <w:r w:rsidRPr="00E53550">
        <w:rPr>
          <w:color w:val="auto"/>
          <w:sz w:val="21"/>
          <w:szCs w:val="21"/>
        </w:rPr>
        <w:t>U</w:t>
      </w:r>
      <w:r w:rsidR="004743E3">
        <w:rPr>
          <w:color w:val="auto"/>
          <w:sz w:val="21"/>
          <w:szCs w:val="21"/>
        </w:rPr>
        <w:t>nion</w:t>
      </w:r>
      <w:r w:rsidRPr="00E53550">
        <w:rPr>
          <w:color w:val="auto"/>
          <w:sz w:val="21"/>
          <w:szCs w:val="21"/>
        </w:rPr>
        <w:t>.</w:t>
      </w:r>
    </w:p>
    <w:p w:rsidR="00E974CB" w:rsidRPr="00B87A57"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87A57">
        <w:rPr>
          <w:rFonts w:asciiTheme="majorHAnsi" w:eastAsiaTheme="majorEastAsia" w:hAnsiTheme="majorHAnsi" w:cstheme="majorBidi"/>
          <w:caps/>
          <w:color w:val="auto"/>
          <w:sz w:val="38"/>
          <w:szCs w:val="26"/>
          <w:lang w:val="en-GB" w:eastAsia="en-US"/>
        </w:rPr>
        <w:t>Expenditure</w:t>
      </w:r>
    </w:p>
    <w:p w:rsidR="00E974CB" w:rsidRPr="00E53550" w:rsidRDefault="004806CF">
      <w:pPr>
        <w:jc w:val="both"/>
        <w:rPr>
          <w:color w:val="auto"/>
          <w:sz w:val="21"/>
          <w:szCs w:val="21"/>
        </w:rPr>
      </w:pPr>
      <w:r w:rsidRPr="00E53550">
        <w:rPr>
          <w:color w:val="auto"/>
          <w:sz w:val="21"/>
          <w:szCs w:val="21"/>
        </w:rPr>
        <w:t xml:space="preserve">Total ODA expenditure for 2016-17 is set out in Table 1. Expenditure represents a slight increase on last financial year reflecting the stabilisation of allocations to Vietnam from Australia’s overall ODA budget. The low expenditure under Objective 3 reflects the delays in Government of Vietnam approvals of new designs. </w:t>
      </w:r>
      <w:r w:rsidR="00123631" w:rsidRPr="00E53550">
        <w:rPr>
          <w:color w:val="auto"/>
          <w:sz w:val="21"/>
          <w:szCs w:val="21"/>
        </w:rPr>
        <w:t xml:space="preserve">The Aid Management </w:t>
      </w:r>
      <w:r w:rsidR="004743E3">
        <w:rPr>
          <w:color w:val="auto"/>
          <w:sz w:val="21"/>
          <w:szCs w:val="21"/>
        </w:rPr>
        <w:t xml:space="preserve">Steering </w:t>
      </w:r>
      <w:r w:rsidR="00123631" w:rsidRPr="00E53550">
        <w:rPr>
          <w:color w:val="auto"/>
          <w:sz w:val="21"/>
          <w:szCs w:val="21"/>
        </w:rPr>
        <w:t>Committee agree</w:t>
      </w:r>
      <w:r w:rsidR="004743E3">
        <w:rPr>
          <w:color w:val="auto"/>
          <w:sz w:val="21"/>
          <w:szCs w:val="21"/>
        </w:rPr>
        <w:t>d</w:t>
      </w:r>
      <w:r w:rsidR="00123631" w:rsidRPr="00E53550">
        <w:rPr>
          <w:color w:val="auto"/>
          <w:sz w:val="21"/>
          <w:szCs w:val="21"/>
        </w:rPr>
        <w:t xml:space="preserve"> a reallocation plan to mitigate the impacts of these delays on bilateral disbursement by end September 2017. </w:t>
      </w:r>
      <w:r w:rsidRPr="00E53550">
        <w:rPr>
          <w:color w:val="auto"/>
          <w:sz w:val="21"/>
          <w:szCs w:val="21"/>
        </w:rPr>
        <w:t>Expenditure for Objective 3 will accelerate in the next APPR reporting period. Similarly, the low expenditure on innovation reflects that this work was only established in 2017, with implementation expected in late 2017.</w:t>
      </w:r>
    </w:p>
    <w:p w:rsidR="00E96873" w:rsidRPr="00B87A57" w:rsidRDefault="00E96873">
      <w:pPr>
        <w:rPr>
          <w:color w:val="auto"/>
        </w:rPr>
      </w:pPr>
      <w:r w:rsidRPr="00B87A57">
        <w:rPr>
          <w:noProof/>
          <w:color w:val="auto"/>
          <w:lang w:val="en-AU" w:eastAsia="en-AU"/>
        </w:rPr>
        <w:drawing>
          <wp:inline distT="0" distB="0" distL="0" distR="0" wp14:anchorId="774E268A" wp14:editId="0C297B37">
            <wp:extent cx="6120130" cy="422006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4220067"/>
                    </a:xfrm>
                    <a:prstGeom prst="rect">
                      <a:avLst/>
                    </a:prstGeom>
                    <a:noFill/>
                    <a:ln>
                      <a:noFill/>
                    </a:ln>
                  </pic:spPr>
                </pic:pic>
              </a:graphicData>
            </a:graphic>
          </wp:inline>
        </w:drawing>
      </w:r>
    </w:p>
    <w:p w:rsidR="00E974CB" w:rsidRPr="00B87A57"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87A57">
        <w:rPr>
          <w:rFonts w:asciiTheme="majorHAnsi" w:eastAsiaTheme="majorEastAsia" w:hAnsiTheme="majorHAnsi" w:cstheme="majorBidi"/>
          <w:caps/>
          <w:color w:val="auto"/>
          <w:sz w:val="38"/>
          <w:szCs w:val="26"/>
          <w:lang w:val="en-GB" w:eastAsia="en-US"/>
        </w:rPr>
        <w:t>Progress towards AIP Objectives</w:t>
      </w:r>
      <w:r w:rsidRPr="00B87A57">
        <w:rPr>
          <w:rFonts w:asciiTheme="majorHAnsi" w:eastAsiaTheme="majorEastAsia" w:hAnsiTheme="majorHAnsi" w:cstheme="majorBidi"/>
          <w:caps/>
          <w:color w:val="auto"/>
          <w:sz w:val="38"/>
          <w:szCs w:val="26"/>
          <w:lang w:val="en-GB" w:eastAsia="en-US"/>
        </w:rPr>
        <w:tab/>
      </w:r>
    </w:p>
    <w:p w:rsidR="00E974CB" w:rsidRPr="00E53550" w:rsidRDefault="004806CF">
      <w:pPr>
        <w:keepNext/>
        <w:spacing w:before="80" w:after="80" w:line="280" w:lineRule="atLeast"/>
        <w:jc w:val="both"/>
        <w:rPr>
          <w:color w:val="auto"/>
          <w:sz w:val="21"/>
          <w:szCs w:val="21"/>
        </w:rPr>
      </w:pPr>
      <w:r w:rsidRPr="00E53550">
        <w:rPr>
          <w:color w:val="auto"/>
          <w:sz w:val="21"/>
          <w:szCs w:val="21"/>
        </w:rPr>
        <w:t xml:space="preserve">The amber rating for Objective 3 reflects the delays in Government of Vietnam approval processes for our major </w:t>
      </w:r>
      <w:r w:rsidR="004743E3">
        <w:rPr>
          <w:color w:val="auto"/>
          <w:sz w:val="21"/>
          <w:szCs w:val="21"/>
        </w:rPr>
        <w:t>projects</w:t>
      </w:r>
      <w:r w:rsidR="004743E3" w:rsidRPr="00E53550">
        <w:rPr>
          <w:color w:val="auto"/>
          <w:sz w:val="21"/>
          <w:szCs w:val="21"/>
        </w:rPr>
        <w:t xml:space="preserve"> </w:t>
      </w:r>
      <w:r w:rsidRPr="00E53550">
        <w:rPr>
          <w:color w:val="auto"/>
          <w:sz w:val="21"/>
          <w:szCs w:val="21"/>
        </w:rPr>
        <w:t xml:space="preserve">under Aus4Equality. The delays have primarily resulted from the Government of Vietnam’s introduction of a new process under Decree 16 that adds an additional requirement for the Prime Minister to approve all ODA projects at the concept stage. </w:t>
      </w:r>
      <w:r w:rsidR="00A17544">
        <w:rPr>
          <w:color w:val="auto"/>
          <w:sz w:val="21"/>
          <w:szCs w:val="21"/>
        </w:rPr>
        <w:t xml:space="preserve">Nevertheless, </w:t>
      </w:r>
      <w:r w:rsidR="004743E3">
        <w:rPr>
          <w:color w:val="auto"/>
          <w:sz w:val="21"/>
          <w:szCs w:val="21"/>
        </w:rPr>
        <w:t xml:space="preserve">the </w:t>
      </w:r>
      <w:r w:rsidR="00A17544">
        <w:rPr>
          <w:color w:val="auto"/>
          <w:sz w:val="21"/>
          <w:szCs w:val="21"/>
        </w:rPr>
        <w:t>majority of the work has been done and</w:t>
      </w:r>
      <w:r w:rsidRPr="00E53550">
        <w:rPr>
          <w:color w:val="auto"/>
          <w:sz w:val="21"/>
          <w:szCs w:val="21"/>
        </w:rPr>
        <w:t xml:space="preserve"> we expect the new designs to be approved in the coming reporting period.</w:t>
      </w:r>
    </w:p>
    <w:p w:rsidR="00E974CB" w:rsidRPr="00B87A57" w:rsidRDefault="004806CF" w:rsidP="00621D6D">
      <w:pPr>
        <w:pStyle w:val="Caption"/>
        <w:keepNext/>
        <w:rPr>
          <w:b w:val="0"/>
          <w:color w:val="auto"/>
          <w:sz w:val="24"/>
        </w:rPr>
      </w:pPr>
      <w:r w:rsidRPr="00621D6D">
        <w:rPr>
          <w:color w:val="auto"/>
          <w:sz w:val="22"/>
          <w:szCs w:val="22"/>
        </w:rPr>
        <w:t>Table</w:t>
      </w:r>
      <w:r w:rsidRPr="00B87A57">
        <w:rPr>
          <w:color w:val="auto"/>
          <w:sz w:val="24"/>
        </w:rPr>
        <w:t xml:space="preserve"> 2 Rating of the </w:t>
      </w:r>
      <w:r w:rsidR="004743E3">
        <w:rPr>
          <w:color w:val="auto"/>
          <w:sz w:val="24"/>
        </w:rPr>
        <w:t>p</w:t>
      </w:r>
      <w:r w:rsidRPr="00B87A57">
        <w:rPr>
          <w:color w:val="auto"/>
          <w:sz w:val="24"/>
        </w:rPr>
        <w:t xml:space="preserve">rogram's </w:t>
      </w:r>
      <w:r w:rsidR="004743E3">
        <w:rPr>
          <w:color w:val="auto"/>
          <w:sz w:val="24"/>
        </w:rPr>
        <w:t>p</w:t>
      </w:r>
      <w:r w:rsidRPr="00B87A57">
        <w:rPr>
          <w:color w:val="auto"/>
          <w:sz w:val="24"/>
        </w:rPr>
        <w:t xml:space="preserve">rogress towards Australia’s </w:t>
      </w:r>
      <w:r w:rsidR="004743E3">
        <w:rPr>
          <w:color w:val="auto"/>
          <w:sz w:val="24"/>
        </w:rPr>
        <w:t>a</w:t>
      </w:r>
      <w:r w:rsidRPr="00B87A57">
        <w:rPr>
          <w:color w:val="auto"/>
          <w:sz w:val="24"/>
        </w:rPr>
        <w:t xml:space="preserve">id </w:t>
      </w:r>
      <w:r w:rsidR="004743E3">
        <w:rPr>
          <w:color w:val="auto"/>
          <w:sz w:val="24"/>
        </w:rPr>
        <w:t>o</w:t>
      </w:r>
      <w:r w:rsidRPr="00B87A57">
        <w:rPr>
          <w:color w:val="auto"/>
          <w:sz w:val="24"/>
        </w:rPr>
        <w:t>bjectives</w:t>
      </w:r>
    </w:p>
    <w:tbl>
      <w:tblPr>
        <w:tblStyle w:val="APPR"/>
        <w:tblW w:w="4850" w:type="pct"/>
        <w:tblLook w:val="0000" w:firstRow="0" w:lastRow="0" w:firstColumn="0" w:lastColumn="0" w:noHBand="0" w:noVBand="0"/>
      </w:tblPr>
      <w:tblGrid>
        <w:gridCol w:w="6752"/>
        <w:gridCol w:w="1320"/>
        <w:gridCol w:w="1277"/>
      </w:tblGrid>
      <w:tr w:rsidR="00E974CB" w:rsidRPr="00B87A57" w:rsidTr="00621D6D">
        <w:trPr>
          <w:trHeight w:val="651"/>
        </w:trPr>
        <w:tc>
          <w:tcPr>
            <w:tcW w:w="6752" w:type="dxa"/>
            <w:tcBorders>
              <w:bottom w:val="nil"/>
            </w:tcBorders>
            <w:shd w:val="clear" w:color="auto" w:fill="auto"/>
          </w:tcPr>
          <w:p w:rsidR="00E974CB" w:rsidRPr="00B87A57" w:rsidRDefault="004806CF">
            <w:pPr>
              <w:pStyle w:val="NormalIndented"/>
              <w:spacing w:after="0" w:line="240" w:lineRule="auto"/>
              <w:rPr>
                <w:color w:val="auto"/>
                <w:sz w:val="18"/>
              </w:rPr>
            </w:pPr>
            <w:r w:rsidRPr="00B87A57">
              <w:rPr>
                <w:rFonts w:ascii="Franklin Gothic Book" w:hAnsi="Franklin Gothic Book"/>
                <w:color w:val="auto"/>
                <w:sz w:val="18"/>
              </w:rPr>
              <w:t>Objective</w:t>
            </w:r>
          </w:p>
        </w:tc>
        <w:tc>
          <w:tcPr>
            <w:tcW w:w="1320" w:type="dxa"/>
            <w:tcBorders>
              <w:bottom w:val="nil"/>
            </w:tcBorders>
            <w:shd w:val="clear" w:color="auto" w:fill="auto"/>
          </w:tcPr>
          <w:p w:rsidR="00E974CB" w:rsidRPr="00B87A57" w:rsidRDefault="004806CF">
            <w:pPr>
              <w:pStyle w:val="NormalIndented"/>
              <w:spacing w:after="0" w:line="240" w:lineRule="auto"/>
              <w:rPr>
                <w:color w:val="auto"/>
                <w:sz w:val="18"/>
              </w:rPr>
            </w:pPr>
            <w:r w:rsidRPr="00B87A57">
              <w:rPr>
                <w:rFonts w:ascii="Franklin Gothic Book" w:hAnsi="Franklin Gothic Book"/>
                <w:color w:val="auto"/>
                <w:sz w:val="18"/>
              </w:rPr>
              <w:t>Previous Rating</w:t>
            </w:r>
          </w:p>
        </w:tc>
        <w:tc>
          <w:tcPr>
            <w:tcW w:w="1277" w:type="dxa"/>
            <w:tcBorders>
              <w:bottom w:val="nil"/>
            </w:tcBorders>
            <w:shd w:val="clear" w:color="auto" w:fill="auto"/>
          </w:tcPr>
          <w:p w:rsidR="00E974CB" w:rsidRPr="00B87A57" w:rsidRDefault="004806CF">
            <w:pPr>
              <w:pStyle w:val="NormalIndented"/>
              <w:spacing w:after="0" w:line="240" w:lineRule="auto"/>
              <w:rPr>
                <w:color w:val="auto"/>
                <w:sz w:val="18"/>
              </w:rPr>
            </w:pPr>
            <w:r w:rsidRPr="00B87A57">
              <w:rPr>
                <w:rFonts w:ascii="Franklin Gothic Book" w:hAnsi="Franklin Gothic Book"/>
                <w:color w:val="auto"/>
                <w:sz w:val="18"/>
              </w:rPr>
              <w:t>Current Rating</w:t>
            </w:r>
          </w:p>
        </w:tc>
      </w:tr>
      <w:tr w:rsidR="00E974CB" w:rsidRPr="00B87A57" w:rsidTr="00621D6D">
        <w:trPr>
          <w:cnfStyle w:val="000000010000" w:firstRow="0" w:lastRow="0" w:firstColumn="0" w:lastColumn="0" w:oddVBand="0" w:evenVBand="0" w:oddHBand="0" w:evenHBand="1" w:firstRowFirstColumn="0" w:firstRowLastColumn="0" w:lastRowFirstColumn="0" w:lastRowLastColumn="0"/>
        </w:trPr>
        <w:tc>
          <w:tcPr>
            <w:tcW w:w="6752" w:type="dxa"/>
            <w:shd w:val="clear" w:color="auto" w:fill="auto"/>
          </w:tcPr>
          <w:p w:rsidR="00E974CB" w:rsidRPr="00B87A57" w:rsidRDefault="004806CF">
            <w:pPr>
              <w:pStyle w:val="NormalIndented"/>
              <w:spacing w:after="0" w:line="240" w:lineRule="auto"/>
              <w:rPr>
                <w:color w:val="auto"/>
                <w:sz w:val="16"/>
              </w:rPr>
            </w:pPr>
            <w:r w:rsidRPr="00B87A57">
              <w:rPr>
                <w:rFonts w:ascii="Franklin Gothic Book" w:hAnsi="Franklin Gothic Book"/>
                <w:color w:val="auto"/>
                <w:sz w:val="16"/>
              </w:rPr>
              <w:t>Objective 1: Enabling and engaging the private sector for development</w:t>
            </w:r>
          </w:p>
        </w:tc>
        <w:tc>
          <w:tcPr>
            <w:tcW w:w="1320" w:type="dxa"/>
            <w:shd w:val="clear" w:color="auto" w:fill="72AF2F"/>
          </w:tcPr>
          <w:p w:rsidR="00E974CB" w:rsidRPr="00504096" w:rsidRDefault="004806CF" w:rsidP="00621D6D">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Green</w:t>
            </w:r>
          </w:p>
        </w:tc>
        <w:tc>
          <w:tcPr>
            <w:tcW w:w="1277" w:type="dxa"/>
            <w:shd w:val="clear" w:color="auto" w:fill="72AF2F"/>
          </w:tcPr>
          <w:p w:rsidR="00E974CB" w:rsidRPr="00504096" w:rsidRDefault="004806CF">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Green</w:t>
            </w:r>
          </w:p>
        </w:tc>
      </w:tr>
      <w:tr w:rsidR="00E974CB" w:rsidRPr="00B87A57" w:rsidTr="00621D6D">
        <w:tc>
          <w:tcPr>
            <w:tcW w:w="6752" w:type="dxa"/>
            <w:tcBorders>
              <w:top w:val="nil"/>
              <w:bottom w:val="nil"/>
            </w:tcBorders>
            <w:shd w:val="clear" w:color="auto" w:fill="auto"/>
          </w:tcPr>
          <w:p w:rsidR="00E974CB" w:rsidRPr="00B87A57" w:rsidRDefault="004806CF">
            <w:pPr>
              <w:pStyle w:val="NormalIndented"/>
              <w:spacing w:after="0" w:line="240" w:lineRule="auto"/>
              <w:rPr>
                <w:color w:val="auto"/>
                <w:sz w:val="16"/>
              </w:rPr>
            </w:pPr>
            <w:r w:rsidRPr="00B87A57">
              <w:rPr>
                <w:rFonts w:ascii="Franklin Gothic Book" w:hAnsi="Franklin Gothic Book"/>
                <w:color w:val="auto"/>
                <w:sz w:val="16"/>
              </w:rPr>
              <w:t>Objective 2: Assisting the development and employment of a highly skilled workforce</w:t>
            </w:r>
          </w:p>
        </w:tc>
        <w:tc>
          <w:tcPr>
            <w:tcW w:w="1320" w:type="dxa"/>
            <w:tcBorders>
              <w:top w:val="nil"/>
              <w:bottom w:val="nil"/>
            </w:tcBorders>
            <w:shd w:val="clear" w:color="auto" w:fill="72AF2F"/>
          </w:tcPr>
          <w:p w:rsidR="00E974CB" w:rsidRPr="00504096" w:rsidRDefault="004806CF" w:rsidP="00621D6D">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Green</w:t>
            </w:r>
          </w:p>
        </w:tc>
        <w:tc>
          <w:tcPr>
            <w:tcW w:w="1277" w:type="dxa"/>
            <w:tcBorders>
              <w:top w:val="nil"/>
              <w:bottom w:val="nil"/>
            </w:tcBorders>
            <w:shd w:val="clear" w:color="auto" w:fill="72AF2F"/>
          </w:tcPr>
          <w:p w:rsidR="00E974CB" w:rsidRPr="00504096" w:rsidRDefault="004806CF">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Green</w:t>
            </w:r>
          </w:p>
        </w:tc>
      </w:tr>
      <w:tr w:rsidR="00E974CB" w:rsidRPr="00B87A57" w:rsidTr="00621D6D">
        <w:trPr>
          <w:cnfStyle w:val="000000010000" w:firstRow="0" w:lastRow="0" w:firstColumn="0" w:lastColumn="0" w:oddVBand="0" w:evenVBand="0" w:oddHBand="0" w:evenHBand="1" w:firstRowFirstColumn="0" w:firstRowLastColumn="0" w:lastRowFirstColumn="0" w:lastRowLastColumn="0"/>
        </w:trPr>
        <w:tc>
          <w:tcPr>
            <w:tcW w:w="6752" w:type="dxa"/>
            <w:shd w:val="clear" w:color="auto" w:fill="auto"/>
          </w:tcPr>
          <w:p w:rsidR="00E974CB" w:rsidRPr="00B87A57" w:rsidRDefault="004806CF">
            <w:pPr>
              <w:pStyle w:val="NormalIndented"/>
              <w:spacing w:after="0" w:line="240" w:lineRule="auto"/>
              <w:rPr>
                <w:color w:val="auto"/>
                <w:sz w:val="16"/>
              </w:rPr>
            </w:pPr>
            <w:r w:rsidRPr="00B87A57">
              <w:rPr>
                <w:rFonts w:ascii="Franklin Gothic Book" w:hAnsi="Franklin Gothic Book"/>
                <w:color w:val="auto"/>
                <w:sz w:val="16"/>
              </w:rPr>
              <w:t>Objective 3: Promoting women’s economic empowerment, including ethnic minorities</w:t>
            </w:r>
          </w:p>
        </w:tc>
        <w:tc>
          <w:tcPr>
            <w:tcW w:w="1320" w:type="dxa"/>
            <w:shd w:val="clear" w:color="auto" w:fill="72AF2F"/>
            <w:vAlign w:val="center"/>
          </w:tcPr>
          <w:p w:rsidR="00E974CB" w:rsidRPr="00504096" w:rsidRDefault="004806CF" w:rsidP="00621D6D">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Green</w:t>
            </w:r>
          </w:p>
        </w:tc>
        <w:tc>
          <w:tcPr>
            <w:tcW w:w="1277" w:type="dxa"/>
            <w:shd w:val="clear" w:color="auto" w:fill="E36C0A"/>
          </w:tcPr>
          <w:p w:rsidR="00E974CB" w:rsidRPr="00504096" w:rsidRDefault="004806CF">
            <w:pPr>
              <w:pStyle w:val="NormalIndented"/>
              <w:spacing w:after="0" w:line="240" w:lineRule="auto"/>
              <w:rPr>
                <w:color w:val="FFFFFF" w:themeColor="background1"/>
                <w:sz w:val="16"/>
              </w:rPr>
            </w:pPr>
            <w:r w:rsidRPr="00504096">
              <w:rPr>
                <w:rFonts w:ascii="Franklin Gothic Book" w:hAnsi="Franklin Gothic Book"/>
                <w:color w:val="FFFFFF" w:themeColor="background1"/>
                <w:sz w:val="16"/>
              </w:rPr>
              <w:t>Amber</w:t>
            </w:r>
          </w:p>
        </w:tc>
      </w:tr>
    </w:tbl>
    <w:p w:rsidR="00E974CB" w:rsidRPr="00B87A57" w:rsidRDefault="00621D6D">
      <w:pPr>
        <w:pStyle w:val="NormalIndented"/>
        <w:rPr>
          <w:color w:val="auto"/>
          <w:sz w:val="16"/>
        </w:rPr>
      </w:pPr>
      <w:r>
        <w:rPr>
          <w:rFonts w:ascii="Webdings" w:eastAsia="Webdings" w:hAnsi="Webdings" w:cs="Webdings"/>
          <w:color w:val="72AF2F"/>
          <w:sz w:val="16"/>
        </w:rPr>
        <w:t></w:t>
      </w:r>
      <w:r w:rsidR="004806CF" w:rsidRPr="00B87A57">
        <w:rPr>
          <w:color w:val="auto"/>
          <w:sz w:val="16"/>
        </w:rPr>
        <w:t xml:space="preserve">  </w:t>
      </w:r>
      <w:r w:rsidR="004806CF" w:rsidRPr="00B87A57">
        <w:rPr>
          <w:b/>
          <w:color w:val="auto"/>
          <w:sz w:val="16"/>
        </w:rPr>
        <w:t>Green</w:t>
      </w:r>
      <w:r w:rsidR="004806CF" w:rsidRPr="00B87A57">
        <w:rPr>
          <w:color w:val="auto"/>
          <w:sz w:val="16"/>
        </w:rPr>
        <w:t>. Progress is as expected at this stage of implementation and it is likely that the objective will be achieved. Standard program management practices are sufficient.</w:t>
      </w:r>
    </w:p>
    <w:p w:rsidR="00E974CB" w:rsidRPr="00B87A57" w:rsidRDefault="00621D6D">
      <w:pPr>
        <w:pStyle w:val="NormalIndented"/>
        <w:rPr>
          <w:color w:val="auto"/>
          <w:sz w:val="16"/>
        </w:rPr>
      </w:pPr>
      <w:r>
        <w:rPr>
          <w:rFonts w:ascii="Webdings" w:eastAsia="Webdings" w:hAnsi="Webdings" w:cs="Webdings"/>
          <w:color w:val="E36C0A"/>
          <w:sz w:val="16"/>
        </w:rPr>
        <w:t></w:t>
      </w:r>
      <w:r w:rsidR="004806CF" w:rsidRPr="00B87A57">
        <w:rPr>
          <w:color w:val="auto"/>
          <w:sz w:val="16"/>
        </w:rPr>
        <w:t xml:space="preserve">  </w:t>
      </w:r>
      <w:r w:rsidR="004806CF" w:rsidRPr="00B87A57">
        <w:rPr>
          <w:b/>
          <w:color w:val="auto"/>
          <w:sz w:val="16"/>
        </w:rPr>
        <w:t>Amber</w:t>
      </w:r>
      <w:r w:rsidR="004806CF" w:rsidRPr="00B87A57">
        <w:rPr>
          <w:color w:val="auto"/>
          <w:sz w:val="16"/>
        </w:rPr>
        <w:t>. Progress is somewhat less than expected at this stage of implementation and restorative action will be necessary if the objective is to be achieved. Close performance monitoring is recommended.</w:t>
      </w:r>
    </w:p>
    <w:p w:rsidR="00E974CB" w:rsidRPr="00B87A57" w:rsidRDefault="00621D6D">
      <w:pPr>
        <w:pStyle w:val="NormalIndented"/>
        <w:rPr>
          <w:color w:val="auto"/>
          <w:sz w:val="16"/>
        </w:rPr>
      </w:pPr>
      <w:r>
        <w:rPr>
          <w:rFonts w:ascii="Webdings" w:eastAsia="Webdings" w:hAnsi="Webdings" w:cs="Webdings"/>
          <w:color w:val="FF0000"/>
          <w:sz w:val="16"/>
        </w:rPr>
        <w:t></w:t>
      </w:r>
      <w:r w:rsidR="004806CF" w:rsidRPr="00B87A57">
        <w:rPr>
          <w:color w:val="auto"/>
          <w:sz w:val="16"/>
        </w:rPr>
        <w:t xml:space="preserve">  </w:t>
      </w:r>
      <w:r w:rsidR="004806CF" w:rsidRPr="00B87A57">
        <w:rPr>
          <w:b/>
          <w:color w:val="auto"/>
          <w:sz w:val="16"/>
        </w:rPr>
        <w:t>Red.</w:t>
      </w:r>
      <w:r w:rsidR="004806CF" w:rsidRPr="00B87A57">
        <w:rPr>
          <w:color w:val="auto"/>
          <w:sz w:val="16"/>
        </w:rPr>
        <w:t xml:space="preserve"> Progress is significantly less than expected at this stage of implementation and the objective is not likely to be met given available resources and priorities. Recasting the objective may be required.</w:t>
      </w:r>
    </w:p>
    <w:p w:rsidR="00E974CB" w:rsidRPr="00E53550" w:rsidRDefault="004806CF">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E53550">
        <w:rPr>
          <w:rFonts w:asciiTheme="majorHAnsi" w:eastAsiaTheme="majorEastAsia" w:hAnsiTheme="majorHAnsi" w:cstheme="majorBidi"/>
          <w:caps/>
          <w:color w:val="auto"/>
          <w:sz w:val="38"/>
          <w:szCs w:val="26"/>
          <w:lang w:val="en-GB" w:eastAsia="en-US"/>
        </w:rPr>
        <w:t>Objective 1 - Enabling and engaging the private sector for development</w:t>
      </w:r>
    </w:p>
    <w:p w:rsidR="00E974CB" w:rsidRPr="00E53550" w:rsidRDefault="004806CF">
      <w:pPr>
        <w:rPr>
          <w:color w:val="auto"/>
        </w:rPr>
      </w:pPr>
      <w:r w:rsidRPr="00E53550">
        <w:rPr>
          <w:color w:val="auto"/>
          <w:sz w:val="24"/>
          <w:szCs w:val="24"/>
        </w:rPr>
        <w:t xml:space="preserve">Contributes to SDGs: </w:t>
      </w:r>
    </w:p>
    <w:p w:rsidR="00E974CB" w:rsidRDefault="004806CF">
      <w:r>
        <w:rPr>
          <w:noProof/>
          <w:sz w:val="24"/>
          <w:szCs w:val="24"/>
          <w:lang w:val="en-AU" w:eastAsia="en-AU"/>
        </w:rPr>
        <w:drawing>
          <wp:inline distT="0" distB="0" distL="0" distR="0" wp14:anchorId="2E68A2DB" wp14:editId="7F3C7609">
            <wp:extent cx="612140" cy="612140"/>
            <wp:effectExtent l="0" t="0" r="0" b="0"/>
            <wp:docPr id="10" name="Image33"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3"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4D89263D" wp14:editId="218CCC73">
            <wp:extent cx="612140" cy="612140"/>
            <wp:effectExtent l="0" t="0" r="0" b="0"/>
            <wp:docPr id="11"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9"/>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318C2CE6" wp14:editId="69A33437">
            <wp:extent cx="612140" cy="612140"/>
            <wp:effectExtent l="0" t="0" r="0" b="0"/>
            <wp:docPr id="12"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1"/>
                    <pic:cNvPicPr>
                      <a:picLocks noChangeAspect="1" noChangeArrowheads="1"/>
                    </pic:cNvPicPr>
                  </pic:nvPicPr>
                  <pic:blipFill>
                    <a:blip r:embed="rId20"/>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351718D1" wp14:editId="521FE6E9">
            <wp:extent cx="609600" cy="609600"/>
            <wp:effectExtent l="0" t="0" r="0" b="0"/>
            <wp:docPr id="13" name="Image42"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2"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Pr>
          <w:noProof/>
          <w:sz w:val="24"/>
          <w:szCs w:val="24"/>
          <w:lang w:val="en-AU" w:eastAsia="en-AU"/>
        </w:rPr>
        <w:drawing>
          <wp:inline distT="0" distB="0" distL="0" distR="0" wp14:anchorId="2CEA6272" wp14:editId="61F06781">
            <wp:extent cx="612140" cy="612140"/>
            <wp:effectExtent l="0" t="0" r="0" b="0"/>
            <wp:docPr id="14"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5"/>
                    <pic:cNvPicPr>
                      <a:picLocks noChangeAspect="1" noChangeArrowheads="1"/>
                    </pic:cNvPicPr>
                  </pic:nvPicPr>
                  <pic:blipFill>
                    <a:blip r:embed="rId22"/>
                    <a:stretch>
                      <a:fillRect/>
                    </a:stretch>
                  </pic:blipFill>
                  <pic:spPr bwMode="auto">
                    <a:xfrm>
                      <a:off x="0" y="0"/>
                      <a:ext cx="612140" cy="612140"/>
                    </a:xfrm>
                    <a:prstGeom prst="rect">
                      <a:avLst/>
                    </a:prstGeom>
                  </pic:spPr>
                </pic:pic>
              </a:graphicData>
            </a:graphic>
          </wp:inline>
        </w:drawing>
      </w:r>
      <w:r w:rsidR="00036008" w:rsidRPr="00F25E1E">
        <w:rPr>
          <w:rFonts w:cs="Times New Roman"/>
          <w:noProof/>
          <w:color w:val="auto"/>
          <w:lang w:val="en-AU" w:eastAsia="en-AU"/>
        </w:rPr>
        <w:drawing>
          <wp:inline distT="0" distB="0" distL="0" distR="0" wp14:anchorId="3F91A224" wp14:editId="51060BBB">
            <wp:extent cx="611505" cy="6115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Pr>
          <w:noProof/>
          <w:sz w:val="24"/>
          <w:szCs w:val="24"/>
          <w:lang w:val="en-AU" w:eastAsia="en-AU"/>
        </w:rPr>
        <w:drawing>
          <wp:inline distT="0" distB="0" distL="0" distR="0" wp14:anchorId="4FCEF6F2" wp14:editId="61A78467">
            <wp:extent cx="607060" cy="607060"/>
            <wp:effectExtent l="0" t="0" r="2540" b="2540"/>
            <wp:docPr id="15" name="Imag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0"/>
                    <pic:cNvPicPr>
                      <a:picLocks noChangeAspect="1" noChangeArrowheads="1"/>
                    </pic:cNvPicPr>
                  </pic:nvPicPr>
                  <pic:blipFill>
                    <a:blip r:embed="rId24"/>
                    <a:stretch>
                      <a:fillRect/>
                    </a:stretch>
                  </pic:blipFill>
                  <pic:spPr bwMode="auto">
                    <a:xfrm>
                      <a:off x="0" y="0"/>
                      <a:ext cx="607060" cy="607060"/>
                    </a:xfrm>
                    <a:prstGeom prst="rect">
                      <a:avLst/>
                    </a:prstGeom>
                  </pic:spPr>
                </pic:pic>
              </a:graphicData>
            </a:graphic>
          </wp:inline>
        </w:drawing>
      </w:r>
    </w:p>
    <w:p w:rsidR="00E974CB" w:rsidRPr="00E53550" w:rsidRDefault="004806CF">
      <w:pPr>
        <w:rPr>
          <w:color w:val="auto"/>
          <w:sz w:val="21"/>
          <w:szCs w:val="21"/>
        </w:rPr>
      </w:pPr>
      <w:r w:rsidRPr="00E53550">
        <w:rPr>
          <w:color w:val="auto"/>
          <w:sz w:val="21"/>
          <w:szCs w:val="21"/>
        </w:rPr>
        <w:t xml:space="preserve">Progress against this objective remains on track in 2016-17. </w:t>
      </w:r>
    </w:p>
    <w:p w:rsidR="005B0C96" w:rsidRPr="00E53550" w:rsidRDefault="005B0C96" w:rsidP="005B0C96">
      <w:pPr>
        <w:jc w:val="both"/>
        <w:rPr>
          <w:i/>
          <w:color w:val="auto"/>
          <w:sz w:val="21"/>
          <w:szCs w:val="21"/>
        </w:rPr>
      </w:pPr>
      <w:r w:rsidRPr="00E53550">
        <w:rPr>
          <w:i/>
          <w:color w:val="auto"/>
          <w:sz w:val="21"/>
          <w:szCs w:val="21"/>
        </w:rPr>
        <w:t xml:space="preserve">Economic </w:t>
      </w:r>
      <w:r w:rsidR="004743E3">
        <w:rPr>
          <w:i/>
          <w:color w:val="auto"/>
          <w:sz w:val="21"/>
          <w:szCs w:val="21"/>
        </w:rPr>
        <w:t>r</w:t>
      </w:r>
      <w:r w:rsidRPr="00E53550">
        <w:rPr>
          <w:i/>
          <w:color w:val="auto"/>
          <w:sz w:val="21"/>
          <w:szCs w:val="21"/>
        </w:rPr>
        <w:t>eform</w:t>
      </w:r>
    </w:p>
    <w:p w:rsidR="005B0C96" w:rsidRDefault="005B0C96" w:rsidP="005B0C96">
      <w:pPr>
        <w:jc w:val="both"/>
        <w:rPr>
          <w:color w:val="auto"/>
          <w:sz w:val="21"/>
          <w:szCs w:val="21"/>
        </w:rPr>
      </w:pPr>
      <w:r w:rsidRPr="00E53550">
        <w:rPr>
          <w:color w:val="auto"/>
          <w:sz w:val="21"/>
          <w:szCs w:val="21"/>
        </w:rPr>
        <w:t xml:space="preserve">The Restructuring for a more Competitive Vietnam (RCV) program is supporting the Government of Vietnam in its economic reform agenda with a focus on reducing the regulatory burden on business, strengthening competition and improving efficiency in the rice sector. </w:t>
      </w:r>
      <w:r>
        <w:rPr>
          <w:color w:val="auto"/>
          <w:sz w:val="21"/>
          <w:szCs w:val="21"/>
        </w:rPr>
        <w:t>The focus areas of RCV are also consistent with commitments under regional trade agreements, including the TPP and the Vietnam</w:t>
      </w:r>
      <w:r w:rsidR="004743E3">
        <w:rPr>
          <w:color w:val="auto"/>
          <w:sz w:val="21"/>
          <w:szCs w:val="21"/>
        </w:rPr>
        <w:t>-European Union</w:t>
      </w:r>
      <w:r>
        <w:rPr>
          <w:color w:val="auto"/>
          <w:sz w:val="21"/>
          <w:szCs w:val="21"/>
        </w:rPr>
        <w:t xml:space="preserve"> FTA. By supporting Vietnam to meet its commitments under the TPP, we help ensure that the transformational impacts on the Vietnamese economy will be delivered and an effective private sector for Vietnam.  </w:t>
      </w:r>
    </w:p>
    <w:p w:rsidR="005B0C96" w:rsidRPr="00E53550" w:rsidRDefault="005B0C96" w:rsidP="005B0C96">
      <w:pPr>
        <w:jc w:val="both"/>
        <w:rPr>
          <w:color w:val="auto"/>
          <w:sz w:val="21"/>
          <w:szCs w:val="21"/>
        </w:rPr>
      </w:pPr>
      <w:r w:rsidRPr="00E53550">
        <w:rPr>
          <w:color w:val="auto"/>
          <w:sz w:val="21"/>
          <w:szCs w:val="21"/>
        </w:rPr>
        <w:t>RCV has grown in influence across the policy agenda</w:t>
      </w:r>
      <w:r>
        <w:rPr>
          <w:color w:val="auto"/>
          <w:sz w:val="21"/>
          <w:szCs w:val="21"/>
        </w:rPr>
        <w:t xml:space="preserve"> by continuing to work closely with Government </w:t>
      </w:r>
      <w:r w:rsidR="004743E3">
        <w:rPr>
          <w:color w:val="auto"/>
          <w:sz w:val="21"/>
          <w:szCs w:val="21"/>
        </w:rPr>
        <w:t xml:space="preserve">of Vietnam </w:t>
      </w:r>
      <w:r>
        <w:rPr>
          <w:color w:val="auto"/>
          <w:sz w:val="21"/>
          <w:szCs w:val="21"/>
        </w:rPr>
        <w:t>partners</w:t>
      </w:r>
      <w:r w:rsidRPr="00E53550">
        <w:rPr>
          <w:color w:val="auto"/>
          <w:sz w:val="21"/>
          <w:szCs w:val="21"/>
        </w:rPr>
        <w:t>. In 2017, through the engagement of the RCV program, the Australian Ambassador and the Chairman of the Party’s Economic Committee co-chaired the Communist Party Economic Forum, one of the biggest and most important economic conferences in Vietnam. Our growing cooperation with the Party’s Economic Committee has given us access to an important player and has allowed us to demonstrate Australian capability and experience. It has also reinforced our position as an economic partner of choice.</w:t>
      </w:r>
    </w:p>
    <w:p w:rsidR="005B0C96" w:rsidRDefault="005B0C96" w:rsidP="005B0C96">
      <w:pPr>
        <w:jc w:val="both"/>
        <w:rPr>
          <w:color w:val="auto"/>
          <w:sz w:val="21"/>
          <w:szCs w:val="21"/>
        </w:rPr>
      </w:pPr>
      <w:r w:rsidRPr="00E53550">
        <w:rPr>
          <w:color w:val="auto"/>
          <w:sz w:val="21"/>
          <w:szCs w:val="21"/>
        </w:rPr>
        <w:t xml:space="preserve">The 2016 mid-term review of the project found that the program </w:t>
      </w:r>
      <w:r w:rsidR="004743E3">
        <w:rPr>
          <w:color w:val="auto"/>
          <w:sz w:val="21"/>
          <w:szCs w:val="21"/>
        </w:rPr>
        <w:t xml:space="preserve">had </w:t>
      </w:r>
      <w:r w:rsidRPr="00E53550">
        <w:rPr>
          <w:color w:val="auto"/>
          <w:sz w:val="21"/>
          <w:szCs w:val="21"/>
        </w:rPr>
        <w:t xml:space="preserve">already delivered some impressive achievements. It has contributed to removing more than 3,000 business conditions, reducing the number of sectors closed to private investors from 51 to </w:t>
      </w:r>
      <w:r w:rsidR="004743E3">
        <w:rPr>
          <w:color w:val="auto"/>
          <w:sz w:val="21"/>
          <w:szCs w:val="21"/>
        </w:rPr>
        <w:t>six</w:t>
      </w:r>
      <w:r w:rsidRPr="00E53550">
        <w:rPr>
          <w:color w:val="auto"/>
          <w:sz w:val="21"/>
          <w:szCs w:val="21"/>
        </w:rPr>
        <w:t xml:space="preserve"> and reducing the average time to start a business from 34 to 10 days through reforms to Vietnam’s Enterprise and Investment Laws. The program has also strengthened relationships between Australian institutions and their Vietnamese counterparts. For example, the program supported a comprehensive review of competition policy undertaken by the program’s key partner, the Central Institute for Economic Management (CIEM). This review drew heavily on the methodology of Australia’s own Competition Policy Review (the 2015 Harper Review) including through close consultation with the private sector, an area that has traditionally been a weakness of Vietnamese policymaking. The recommendations will feed directly into the drafting of the new </w:t>
      </w:r>
      <w:r w:rsidR="004743E3">
        <w:rPr>
          <w:color w:val="auto"/>
          <w:sz w:val="21"/>
          <w:szCs w:val="21"/>
        </w:rPr>
        <w:t>C</w:t>
      </w:r>
      <w:r w:rsidRPr="00E53550">
        <w:rPr>
          <w:color w:val="auto"/>
          <w:sz w:val="21"/>
          <w:szCs w:val="21"/>
        </w:rPr>
        <w:t xml:space="preserve">ompetition </w:t>
      </w:r>
      <w:r w:rsidR="004743E3">
        <w:rPr>
          <w:color w:val="auto"/>
          <w:sz w:val="21"/>
          <w:szCs w:val="21"/>
        </w:rPr>
        <w:t>L</w:t>
      </w:r>
      <w:r w:rsidRPr="00E53550">
        <w:rPr>
          <w:color w:val="auto"/>
          <w:sz w:val="21"/>
          <w:szCs w:val="21"/>
        </w:rPr>
        <w:t xml:space="preserve">aw scheduled for review by the National Assembly in October 2017. </w:t>
      </w:r>
    </w:p>
    <w:p w:rsidR="005B0C96" w:rsidRPr="00E53550" w:rsidRDefault="005B0C96" w:rsidP="005B0C96">
      <w:pPr>
        <w:jc w:val="both"/>
        <w:rPr>
          <w:color w:val="auto"/>
          <w:sz w:val="21"/>
          <w:szCs w:val="21"/>
        </w:rPr>
      </w:pPr>
      <w:r w:rsidRPr="00E53550">
        <w:rPr>
          <w:color w:val="auto"/>
          <w:sz w:val="21"/>
          <w:szCs w:val="21"/>
        </w:rPr>
        <w:t xml:space="preserve">Building on key lessons from RCV, Australia’s new economic reform </w:t>
      </w:r>
      <w:r>
        <w:rPr>
          <w:color w:val="auto"/>
          <w:sz w:val="21"/>
          <w:szCs w:val="21"/>
        </w:rPr>
        <w:t>program</w:t>
      </w:r>
      <w:r w:rsidRPr="00E53550">
        <w:rPr>
          <w:color w:val="auto"/>
          <w:sz w:val="21"/>
          <w:szCs w:val="21"/>
        </w:rPr>
        <w:t xml:space="preserve">, Aus4Reform, has been approved by the two Governments and will commence in late 2017. This </w:t>
      </w:r>
      <w:r>
        <w:rPr>
          <w:color w:val="auto"/>
          <w:sz w:val="21"/>
          <w:szCs w:val="21"/>
        </w:rPr>
        <w:t>program</w:t>
      </w:r>
      <w:r w:rsidRPr="00E53550">
        <w:rPr>
          <w:color w:val="auto"/>
          <w:sz w:val="21"/>
          <w:szCs w:val="21"/>
        </w:rPr>
        <w:t xml:space="preserve"> </w:t>
      </w:r>
      <w:r>
        <w:rPr>
          <w:color w:val="auto"/>
          <w:sz w:val="21"/>
          <w:szCs w:val="21"/>
        </w:rPr>
        <w:t>will continue much of the good work of RCV, ensuring</w:t>
      </w:r>
      <w:r w:rsidRPr="00E53550">
        <w:rPr>
          <w:color w:val="auto"/>
          <w:sz w:val="21"/>
          <w:szCs w:val="21"/>
        </w:rPr>
        <w:t xml:space="preserve"> the Government of Vietnam remains in the driving seat to take forward politically difficult reforms. The program is also placing a stronger emphasis on addressing the gender impacts of reform and continuing to foster strong relationships between Australian Institutions and Vietnamese counterparts. </w:t>
      </w:r>
    </w:p>
    <w:p w:rsidR="005B0C96" w:rsidRDefault="005B0C96" w:rsidP="005B0C96">
      <w:pPr>
        <w:jc w:val="both"/>
        <w:rPr>
          <w:color w:val="auto"/>
          <w:sz w:val="21"/>
          <w:szCs w:val="21"/>
        </w:rPr>
      </w:pPr>
      <w:r w:rsidRPr="00E53550">
        <w:rPr>
          <w:color w:val="auto"/>
          <w:sz w:val="21"/>
          <w:szCs w:val="21"/>
        </w:rPr>
        <w:t>From early 2017, Australia has also been working with the World Bank to further promote Vietnam’s economic integration under a new</w:t>
      </w:r>
      <w:r w:rsidR="004743E3">
        <w:rPr>
          <w:color w:val="auto"/>
          <w:sz w:val="21"/>
          <w:szCs w:val="21"/>
        </w:rPr>
        <w:t xml:space="preserve"> second</w:t>
      </w:r>
      <w:r w:rsidRPr="00E53550">
        <w:rPr>
          <w:color w:val="auto"/>
          <w:sz w:val="21"/>
          <w:szCs w:val="21"/>
        </w:rPr>
        <w:t xml:space="preserve"> phase of the Australia-</w:t>
      </w:r>
      <w:r w:rsidR="004743E3">
        <w:rPr>
          <w:color w:val="auto"/>
          <w:sz w:val="21"/>
          <w:szCs w:val="21"/>
        </w:rPr>
        <w:t xml:space="preserve">World </w:t>
      </w:r>
      <w:r w:rsidRPr="00E53550">
        <w:rPr>
          <w:color w:val="auto"/>
          <w:sz w:val="21"/>
          <w:szCs w:val="21"/>
        </w:rPr>
        <w:t xml:space="preserve">Bank </w:t>
      </w:r>
      <w:r w:rsidR="004743E3">
        <w:rPr>
          <w:color w:val="auto"/>
          <w:sz w:val="21"/>
          <w:szCs w:val="21"/>
        </w:rPr>
        <w:t xml:space="preserve">Strategic </w:t>
      </w:r>
      <w:r w:rsidRPr="00E53550">
        <w:rPr>
          <w:color w:val="auto"/>
          <w:sz w:val="21"/>
          <w:szCs w:val="21"/>
        </w:rPr>
        <w:t xml:space="preserve">Partnership (ABP2). This pillar of the ABP2 will focus on improving logistics performance and reducing the negative impact of non-tariff barriers on Vietnam’s capacity to integrate into global value chains. </w:t>
      </w:r>
    </w:p>
    <w:p w:rsidR="005B0C96" w:rsidRDefault="005B0C96" w:rsidP="005B0C96">
      <w:pPr>
        <w:rPr>
          <w:rFonts w:ascii="Calibri" w:eastAsiaTheme="minorHAnsi" w:hAnsi="Calibri"/>
          <w:color w:val="auto"/>
          <w:lang w:val="en-AU"/>
        </w:rPr>
      </w:pPr>
      <w:r>
        <w:rPr>
          <w:color w:val="auto"/>
          <w:sz w:val="21"/>
          <w:szCs w:val="21"/>
        </w:rPr>
        <w:t xml:space="preserve">We are supporting </w:t>
      </w:r>
      <w:r w:rsidR="004743E3">
        <w:rPr>
          <w:color w:val="auto"/>
          <w:sz w:val="21"/>
          <w:szCs w:val="21"/>
        </w:rPr>
        <w:t xml:space="preserve">not only </w:t>
      </w:r>
      <w:r>
        <w:rPr>
          <w:color w:val="auto"/>
          <w:sz w:val="21"/>
          <w:szCs w:val="21"/>
        </w:rPr>
        <w:t>long</w:t>
      </w:r>
      <w:r w:rsidR="004743E3">
        <w:rPr>
          <w:color w:val="auto"/>
          <w:sz w:val="21"/>
          <w:szCs w:val="21"/>
        </w:rPr>
        <w:t>-</w:t>
      </w:r>
      <w:r>
        <w:rPr>
          <w:color w:val="auto"/>
          <w:sz w:val="21"/>
          <w:szCs w:val="21"/>
        </w:rPr>
        <w:t>term reforms, but also short</w:t>
      </w:r>
      <w:r w:rsidR="004743E3">
        <w:rPr>
          <w:color w:val="auto"/>
          <w:sz w:val="21"/>
          <w:szCs w:val="21"/>
        </w:rPr>
        <w:t>-</w:t>
      </w:r>
      <w:r>
        <w:rPr>
          <w:color w:val="auto"/>
          <w:sz w:val="21"/>
          <w:szCs w:val="21"/>
        </w:rPr>
        <w:t xml:space="preserve">term opportunities.  Under ABP2, we were able to respond swiftly as part of our influencing agenda on the TPP by tasking the World Bank to prepare modelling on the </w:t>
      </w:r>
      <w:r w:rsidR="00310CE8" w:rsidRPr="00310CE8">
        <w:rPr>
          <w:color w:val="auto"/>
          <w:sz w:val="21"/>
          <w:szCs w:val="21"/>
        </w:rPr>
        <w:t>ongoing benefits to Vietnam of the TPP following the withdrawal of the United States</w:t>
      </w:r>
      <w:r>
        <w:rPr>
          <w:color w:val="auto"/>
          <w:sz w:val="21"/>
          <w:szCs w:val="21"/>
        </w:rPr>
        <w:t xml:space="preserve">.  That modelling will be </w:t>
      </w:r>
      <w:r w:rsidR="004743E3">
        <w:rPr>
          <w:color w:val="auto"/>
          <w:sz w:val="21"/>
          <w:szCs w:val="21"/>
        </w:rPr>
        <w:t xml:space="preserve">a </w:t>
      </w:r>
      <w:r>
        <w:rPr>
          <w:color w:val="auto"/>
          <w:sz w:val="21"/>
          <w:szCs w:val="21"/>
        </w:rPr>
        <w:t xml:space="preserve">key piece of information for the Government of Vietnam as its makes decisions on whether to support TPP11 in the lead up to the November 2017 APEC meetings.  Under Post’s innovative Economic Diplomacy Fund, </w:t>
      </w:r>
      <w:r w:rsidRPr="005B0C96">
        <w:rPr>
          <w:color w:val="auto"/>
          <w:sz w:val="21"/>
          <w:szCs w:val="21"/>
        </w:rPr>
        <w:t>Austrade was able to fund the participation of the Australian Energy Regulator in a recent Australian energy business mission to Vietnam. This helped boost the credibility of the mission with Vietnamese counterparts, in turn increasing the access and influence of the regulator when engaging on critical reform issues.</w:t>
      </w:r>
    </w:p>
    <w:p w:rsidR="00CF48C6" w:rsidRDefault="00CF48C6" w:rsidP="00CF48C6">
      <w:pPr>
        <w:jc w:val="both"/>
        <w:rPr>
          <w:i/>
          <w:color w:val="auto"/>
          <w:sz w:val="21"/>
          <w:szCs w:val="21"/>
        </w:rPr>
      </w:pPr>
      <w:r w:rsidRPr="00E53550">
        <w:rPr>
          <w:i/>
          <w:color w:val="auto"/>
          <w:sz w:val="21"/>
          <w:szCs w:val="21"/>
        </w:rPr>
        <w:t xml:space="preserve">Transport </w:t>
      </w:r>
      <w:r w:rsidR="004743E3">
        <w:rPr>
          <w:i/>
          <w:color w:val="auto"/>
          <w:sz w:val="21"/>
          <w:szCs w:val="21"/>
        </w:rPr>
        <w:t>i</w:t>
      </w:r>
      <w:r w:rsidRPr="00E53550">
        <w:rPr>
          <w:i/>
          <w:color w:val="auto"/>
          <w:sz w:val="21"/>
          <w:szCs w:val="21"/>
        </w:rPr>
        <w:t>nfrastructure</w:t>
      </w:r>
    </w:p>
    <w:p w:rsidR="00CF48C6" w:rsidRPr="00E53550" w:rsidRDefault="00CF48C6" w:rsidP="00CF48C6">
      <w:pPr>
        <w:jc w:val="both"/>
        <w:rPr>
          <w:color w:val="auto"/>
          <w:sz w:val="21"/>
          <w:szCs w:val="21"/>
        </w:rPr>
      </w:pPr>
      <w:r w:rsidRPr="00E53550">
        <w:rPr>
          <w:color w:val="auto"/>
          <w:sz w:val="21"/>
          <w:szCs w:val="21"/>
        </w:rPr>
        <w:t xml:space="preserve">Our flagship investment in the transport sector, the Cao Lanh Bridge, will help to improve connectivity from the Southern Mekong Delta to Ho Chi Minh City </w:t>
      </w:r>
      <w:r w:rsidR="004743E3">
        <w:rPr>
          <w:color w:val="auto"/>
          <w:sz w:val="21"/>
          <w:szCs w:val="21"/>
        </w:rPr>
        <w:t>and</w:t>
      </w:r>
      <w:r w:rsidRPr="00E53550">
        <w:rPr>
          <w:color w:val="auto"/>
          <w:sz w:val="21"/>
          <w:szCs w:val="21"/>
        </w:rPr>
        <w:t xml:space="preserve"> provide a critical link to markets in Thailand and Cambodia. Once complete, it will serve around 170,000 users per day. As </w:t>
      </w:r>
      <w:r w:rsidR="007A21B0" w:rsidRPr="00E53550">
        <w:rPr>
          <w:color w:val="auto"/>
          <w:sz w:val="21"/>
          <w:szCs w:val="21"/>
        </w:rPr>
        <w:t xml:space="preserve">of </w:t>
      </w:r>
      <w:r w:rsidRPr="00E53550">
        <w:rPr>
          <w:color w:val="auto"/>
          <w:sz w:val="21"/>
          <w:szCs w:val="21"/>
        </w:rPr>
        <w:t xml:space="preserve">30 June 2017, the bridge </w:t>
      </w:r>
      <w:r w:rsidR="004743E3">
        <w:rPr>
          <w:color w:val="auto"/>
          <w:sz w:val="21"/>
          <w:szCs w:val="21"/>
        </w:rPr>
        <w:t>was</w:t>
      </w:r>
      <w:r w:rsidRPr="00E53550">
        <w:rPr>
          <w:color w:val="auto"/>
          <w:sz w:val="21"/>
          <w:szCs w:val="21"/>
        </w:rPr>
        <w:t xml:space="preserve"> 91 per cent complete and based on current progress will be delivered on schedule and under budget in late 2017. </w:t>
      </w:r>
      <w:r w:rsidR="001E0E25">
        <w:rPr>
          <w:color w:val="auto"/>
          <w:sz w:val="21"/>
          <w:szCs w:val="21"/>
        </w:rPr>
        <w:t>The best practice approach to r</w:t>
      </w:r>
      <w:r w:rsidR="001E0E25" w:rsidRPr="00E53550">
        <w:rPr>
          <w:color w:val="auto"/>
          <w:sz w:val="21"/>
          <w:szCs w:val="21"/>
        </w:rPr>
        <w:t xml:space="preserve">esettlement </w:t>
      </w:r>
      <w:r w:rsidRPr="00E53550">
        <w:rPr>
          <w:color w:val="auto"/>
          <w:sz w:val="21"/>
          <w:szCs w:val="21"/>
        </w:rPr>
        <w:t xml:space="preserve">is almost fully complete with only one household remaining to be resettled out of around 1,800 households across the entire project. The project’s independent resettlement monitoring specialist has reported that the project’s grievance redress mechanism is working well with households and provincial authorities having negotiated compensation without the need for judicial review. </w:t>
      </w:r>
    </w:p>
    <w:p w:rsidR="00CF48C6" w:rsidRPr="00E53550" w:rsidRDefault="00CF48C6" w:rsidP="00CF48C6">
      <w:pPr>
        <w:jc w:val="both"/>
        <w:rPr>
          <w:color w:val="auto"/>
          <w:sz w:val="21"/>
          <w:szCs w:val="21"/>
        </w:rPr>
      </w:pPr>
      <w:r w:rsidRPr="00E53550">
        <w:rPr>
          <w:color w:val="auto"/>
          <w:sz w:val="21"/>
          <w:szCs w:val="21"/>
        </w:rPr>
        <w:t xml:space="preserve">As our largest investment in mainland South-East Asia, Australia is undertaking a detailed evaluation to understand the final impacts of the bridge on the residents of Dong Thap and neighbouring provinces.  The first stage of this evaluation, a detailed benchmark survey, was completed in April 2017. </w:t>
      </w:r>
    </w:p>
    <w:p w:rsidR="00CF48C6" w:rsidRPr="00E53550" w:rsidRDefault="00CF48C6" w:rsidP="00CF48C6">
      <w:pPr>
        <w:jc w:val="both"/>
        <w:rPr>
          <w:color w:val="auto"/>
          <w:sz w:val="21"/>
          <w:szCs w:val="21"/>
        </w:rPr>
      </w:pPr>
      <w:r w:rsidRPr="00E53550">
        <w:rPr>
          <w:color w:val="auto"/>
          <w:sz w:val="21"/>
          <w:szCs w:val="21"/>
        </w:rPr>
        <w:t xml:space="preserve">Despite nearing completion, risks still remain for the project. Two workers died due to health and safety incidents during 2016-17. </w:t>
      </w:r>
      <w:r w:rsidR="00BC7AE0">
        <w:rPr>
          <w:color w:val="auto"/>
          <w:sz w:val="21"/>
          <w:szCs w:val="21"/>
        </w:rPr>
        <w:t xml:space="preserve">Immediately on being notified, Post </w:t>
      </w:r>
      <w:r w:rsidR="004743E3">
        <w:rPr>
          <w:color w:val="auto"/>
          <w:sz w:val="21"/>
          <w:szCs w:val="21"/>
        </w:rPr>
        <w:t>m</w:t>
      </w:r>
      <w:r w:rsidR="00BC7AE0">
        <w:rPr>
          <w:color w:val="auto"/>
          <w:sz w:val="21"/>
          <w:szCs w:val="21"/>
        </w:rPr>
        <w:t>anagement worked with partners</w:t>
      </w:r>
      <w:r w:rsidR="001E0E25">
        <w:rPr>
          <w:color w:val="auto"/>
          <w:sz w:val="21"/>
          <w:szCs w:val="21"/>
        </w:rPr>
        <w:t xml:space="preserve"> and contractors to make sure they completed</w:t>
      </w:r>
      <w:r w:rsidR="00BC7AE0">
        <w:rPr>
          <w:color w:val="auto"/>
          <w:sz w:val="21"/>
          <w:szCs w:val="21"/>
        </w:rPr>
        <w:t xml:space="preserve"> </w:t>
      </w:r>
      <w:r w:rsidR="001E0E25">
        <w:rPr>
          <w:color w:val="auto"/>
          <w:sz w:val="21"/>
          <w:szCs w:val="21"/>
        </w:rPr>
        <w:t>a</w:t>
      </w:r>
      <w:r w:rsidRPr="00E53550">
        <w:rPr>
          <w:color w:val="auto"/>
          <w:sz w:val="21"/>
          <w:szCs w:val="21"/>
        </w:rPr>
        <w:t xml:space="preserve"> comprehensive review of safety procedures</w:t>
      </w:r>
      <w:r w:rsidR="001E0E25">
        <w:rPr>
          <w:color w:val="auto"/>
          <w:sz w:val="21"/>
          <w:szCs w:val="21"/>
        </w:rPr>
        <w:t>. This</w:t>
      </w:r>
      <w:r w:rsidRPr="00E53550">
        <w:rPr>
          <w:color w:val="auto"/>
          <w:sz w:val="21"/>
          <w:szCs w:val="21"/>
        </w:rPr>
        <w:t xml:space="preserve"> highlighted good safety plans had been developed but had not been comprehensively implemented by contractors. </w:t>
      </w:r>
      <w:r w:rsidR="001E0E25">
        <w:rPr>
          <w:color w:val="auto"/>
          <w:sz w:val="21"/>
          <w:szCs w:val="21"/>
        </w:rPr>
        <w:t>A</w:t>
      </w:r>
      <w:r w:rsidRPr="00E53550">
        <w:rPr>
          <w:color w:val="auto"/>
          <w:sz w:val="21"/>
          <w:szCs w:val="21"/>
        </w:rPr>
        <w:t>dditional specialist health and safety personnel have now been mobilised to supervise construction, including enforcing stop work orders if required.  Since these measures have been introduced</w:t>
      </w:r>
      <w:r w:rsidR="004743E3">
        <w:rPr>
          <w:color w:val="auto"/>
          <w:sz w:val="21"/>
          <w:szCs w:val="21"/>
        </w:rPr>
        <w:t>,</w:t>
      </w:r>
      <w:r w:rsidRPr="00E53550">
        <w:rPr>
          <w:color w:val="auto"/>
          <w:sz w:val="21"/>
          <w:szCs w:val="21"/>
        </w:rPr>
        <w:t xml:space="preserve"> there have been no further serious accidents.</w:t>
      </w:r>
    </w:p>
    <w:p w:rsidR="00CF48C6" w:rsidRPr="00E53550" w:rsidRDefault="00CF48C6" w:rsidP="00CF48C6">
      <w:pPr>
        <w:jc w:val="both"/>
        <w:rPr>
          <w:color w:val="auto"/>
          <w:sz w:val="21"/>
          <w:szCs w:val="21"/>
        </w:rPr>
      </w:pPr>
      <w:r w:rsidRPr="00E53550">
        <w:rPr>
          <w:color w:val="auto"/>
          <w:sz w:val="21"/>
          <w:szCs w:val="21"/>
        </w:rPr>
        <w:t xml:space="preserve">We have invested heavily on project preparation to ensure construction is high quality and to accelerate progress. For example, the design of the Cao Lanh </w:t>
      </w:r>
      <w:r w:rsidR="004743E3">
        <w:rPr>
          <w:color w:val="auto"/>
          <w:sz w:val="21"/>
          <w:szCs w:val="21"/>
        </w:rPr>
        <w:t>B</w:t>
      </w:r>
      <w:r w:rsidRPr="00E53550">
        <w:rPr>
          <w:color w:val="auto"/>
          <w:sz w:val="21"/>
          <w:szCs w:val="21"/>
        </w:rPr>
        <w:t xml:space="preserve">ridge included new measures to address climate change and soft soils </w:t>
      </w:r>
      <w:r w:rsidR="004743E3">
        <w:rPr>
          <w:color w:val="auto"/>
          <w:sz w:val="21"/>
          <w:szCs w:val="21"/>
        </w:rPr>
        <w:t>–</w:t>
      </w:r>
      <w:r w:rsidR="004743E3" w:rsidRPr="00E53550">
        <w:rPr>
          <w:color w:val="auto"/>
          <w:sz w:val="21"/>
          <w:szCs w:val="21"/>
        </w:rPr>
        <w:t xml:space="preserve"> </w:t>
      </w:r>
      <w:r w:rsidRPr="00E53550">
        <w:rPr>
          <w:color w:val="auto"/>
          <w:sz w:val="21"/>
          <w:szCs w:val="21"/>
        </w:rPr>
        <w:t xml:space="preserve">the first of their kind in Vietnam. The project also introduced an independent engineering review mechanism to provide an additional safeguard on quality control. These measures have helped to reduce long-term maintenance costs and accelerate construction progress by identifying and resolving engineering issues early. Lessons from our engagement </w:t>
      </w:r>
      <w:r w:rsidR="001E0E25">
        <w:rPr>
          <w:color w:val="auto"/>
          <w:sz w:val="21"/>
          <w:szCs w:val="21"/>
        </w:rPr>
        <w:t>in hard infrastructure for over 20 years</w:t>
      </w:r>
      <w:r w:rsidR="00D56AC4">
        <w:rPr>
          <w:color w:val="auto"/>
          <w:sz w:val="21"/>
          <w:szCs w:val="21"/>
        </w:rPr>
        <w:t xml:space="preserve">, including </w:t>
      </w:r>
      <w:r w:rsidR="001E0E25">
        <w:rPr>
          <w:color w:val="auto"/>
          <w:sz w:val="21"/>
          <w:szCs w:val="21"/>
        </w:rPr>
        <w:t xml:space="preserve">on </w:t>
      </w:r>
      <w:r w:rsidR="00D56AC4">
        <w:rPr>
          <w:color w:val="auto"/>
          <w:sz w:val="21"/>
          <w:szCs w:val="21"/>
        </w:rPr>
        <w:t xml:space="preserve">the importance of climate change adaptation, </w:t>
      </w:r>
      <w:r w:rsidR="001E0E25">
        <w:rPr>
          <w:color w:val="auto"/>
          <w:sz w:val="21"/>
          <w:szCs w:val="21"/>
        </w:rPr>
        <w:t xml:space="preserve">will be essential elements of </w:t>
      </w:r>
      <w:r w:rsidRPr="00E53550">
        <w:rPr>
          <w:color w:val="auto"/>
          <w:sz w:val="21"/>
          <w:szCs w:val="21"/>
        </w:rPr>
        <w:t xml:space="preserve">our new transport </w:t>
      </w:r>
      <w:r w:rsidR="004743E3">
        <w:rPr>
          <w:color w:val="auto"/>
          <w:sz w:val="21"/>
          <w:szCs w:val="21"/>
        </w:rPr>
        <w:t>sector initiative,</w:t>
      </w:r>
      <w:r w:rsidRPr="00E53550">
        <w:rPr>
          <w:color w:val="auto"/>
          <w:sz w:val="21"/>
          <w:szCs w:val="21"/>
        </w:rPr>
        <w:t xml:space="preserve"> Aus4</w:t>
      </w:r>
      <w:r w:rsidR="00036008">
        <w:rPr>
          <w:color w:val="auto"/>
          <w:sz w:val="21"/>
          <w:szCs w:val="21"/>
        </w:rPr>
        <w:t>T</w:t>
      </w:r>
      <w:r w:rsidRPr="00E53550">
        <w:rPr>
          <w:color w:val="auto"/>
          <w:sz w:val="21"/>
          <w:szCs w:val="21"/>
        </w:rPr>
        <w:t xml:space="preserve">ransport. </w:t>
      </w:r>
      <w:r w:rsidR="001E0E25">
        <w:rPr>
          <w:color w:val="auto"/>
          <w:sz w:val="21"/>
          <w:szCs w:val="21"/>
        </w:rPr>
        <w:t xml:space="preserve">Through the new </w:t>
      </w:r>
      <w:r w:rsidR="004743E3">
        <w:rPr>
          <w:color w:val="auto"/>
          <w:sz w:val="21"/>
          <w:szCs w:val="21"/>
        </w:rPr>
        <w:t>initiative</w:t>
      </w:r>
      <w:r w:rsidR="001E0E25">
        <w:rPr>
          <w:color w:val="auto"/>
          <w:sz w:val="21"/>
          <w:szCs w:val="21"/>
        </w:rPr>
        <w:t xml:space="preserve">, Australia will influence better early stage project preparation for new transport infrastructure, including on climate change and gender. </w:t>
      </w:r>
      <w:r w:rsidR="001E0E25" w:rsidRPr="00E53550">
        <w:rPr>
          <w:color w:val="auto"/>
          <w:sz w:val="21"/>
          <w:szCs w:val="21"/>
        </w:rPr>
        <w:t xml:space="preserve">This will help grow the pipeline of new </w:t>
      </w:r>
      <w:r w:rsidR="004743E3">
        <w:rPr>
          <w:color w:val="auto"/>
          <w:sz w:val="21"/>
          <w:szCs w:val="21"/>
        </w:rPr>
        <w:t xml:space="preserve">transport </w:t>
      </w:r>
      <w:r w:rsidR="001E0E25" w:rsidRPr="00E53550">
        <w:rPr>
          <w:color w:val="auto"/>
          <w:sz w:val="21"/>
          <w:szCs w:val="21"/>
        </w:rPr>
        <w:t xml:space="preserve">projects and stimulate increased private sector investment by reducing risk. </w:t>
      </w:r>
      <w:r w:rsidR="001E0E25">
        <w:rPr>
          <w:color w:val="auto"/>
          <w:sz w:val="21"/>
          <w:szCs w:val="21"/>
        </w:rPr>
        <w:t xml:space="preserve">Ultimately, it will lead to more sustainable and higher quality pieces of infrastructure for Vietnam.  Our influence will extend well beyond the dollars we spend. </w:t>
      </w:r>
      <w:r w:rsidRPr="00E53550">
        <w:rPr>
          <w:color w:val="auto"/>
          <w:sz w:val="21"/>
          <w:szCs w:val="21"/>
        </w:rPr>
        <w:t>This program is due to start in January 2018.</w:t>
      </w:r>
    </w:p>
    <w:p w:rsidR="00CF48C6" w:rsidRPr="00E53550" w:rsidRDefault="00CF48C6" w:rsidP="00504096">
      <w:pPr>
        <w:keepNext/>
        <w:jc w:val="both"/>
        <w:rPr>
          <w:i/>
          <w:color w:val="auto"/>
          <w:sz w:val="21"/>
          <w:szCs w:val="21"/>
        </w:rPr>
      </w:pPr>
      <w:r w:rsidRPr="00E53550">
        <w:rPr>
          <w:i/>
          <w:color w:val="auto"/>
          <w:sz w:val="21"/>
          <w:szCs w:val="21"/>
        </w:rPr>
        <w:t>Innovation</w:t>
      </w:r>
    </w:p>
    <w:p w:rsidR="00CF48C6" w:rsidRPr="00E53550" w:rsidRDefault="00CF48C6" w:rsidP="00CF48C6">
      <w:pPr>
        <w:jc w:val="both"/>
        <w:rPr>
          <w:color w:val="auto"/>
          <w:sz w:val="21"/>
          <w:szCs w:val="21"/>
        </w:rPr>
      </w:pPr>
      <w:r w:rsidRPr="00E53550">
        <w:rPr>
          <w:color w:val="auto"/>
          <w:sz w:val="21"/>
          <w:szCs w:val="21"/>
        </w:rPr>
        <w:t xml:space="preserve">Promoting innovation in the private sector is a feature of our assistance under this objective. We are supporting the Vietnam Climate Innovation Centre (VCIC) </w:t>
      </w:r>
      <w:r w:rsidR="00661528" w:rsidRPr="00E53550">
        <w:rPr>
          <w:color w:val="auto"/>
          <w:sz w:val="21"/>
          <w:szCs w:val="21"/>
        </w:rPr>
        <w:t>to turn</w:t>
      </w:r>
      <w:r w:rsidRPr="00E53550">
        <w:rPr>
          <w:color w:val="auto"/>
          <w:sz w:val="21"/>
          <w:szCs w:val="21"/>
        </w:rPr>
        <w:t xml:space="preserve"> climate challenges into opportunities for growth. Until this year, VCIC </w:t>
      </w:r>
      <w:r w:rsidR="00036008">
        <w:rPr>
          <w:color w:val="auto"/>
          <w:sz w:val="21"/>
          <w:szCs w:val="21"/>
        </w:rPr>
        <w:t>was</w:t>
      </w:r>
      <w:r w:rsidRPr="00E53550">
        <w:rPr>
          <w:color w:val="auto"/>
          <w:sz w:val="21"/>
          <w:szCs w:val="21"/>
        </w:rPr>
        <w:t xml:space="preserve"> one of our poorer performing investments</w:t>
      </w:r>
      <w:r w:rsidR="00154BD3">
        <w:rPr>
          <w:color w:val="auto"/>
          <w:sz w:val="21"/>
          <w:szCs w:val="21"/>
        </w:rPr>
        <w:t xml:space="preserve"> –</w:t>
      </w:r>
      <w:r w:rsidRPr="00E53550">
        <w:rPr>
          <w:color w:val="auto"/>
          <w:sz w:val="21"/>
          <w:szCs w:val="21"/>
        </w:rPr>
        <w:t xml:space="preserve"> delayed because</w:t>
      </w:r>
      <w:r w:rsidR="00154BD3">
        <w:rPr>
          <w:color w:val="auto"/>
          <w:sz w:val="21"/>
          <w:szCs w:val="21"/>
        </w:rPr>
        <w:t>,</w:t>
      </w:r>
      <w:r w:rsidRPr="00E53550">
        <w:rPr>
          <w:color w:val="auto"/>
          <w:sz w:val="21"/>
          <w:szCs w:val="21"/>
        </w:rPr>
        <w:t xml:space="preserve"> under Vietnamese law, private sector institutions are not eligible to receive ODA funds. This issue has now been resolved by hosting the centre in the Ministry of Science and Technology and the project is performing well. Through its first selection round, th</w:t>
      </w:r>
      <w:r w:rsidR="00036008">
        <w:rPr>
          <w:color w:val="auto"/>
          <w:sz w:val="21"/>
          <w:szCs w:val="21"/>
        </w:rPr>
        <w:t>e</w:t>
      </w:r>
      <w:r w:rsidRPr="00E53550">
        <w:rPr>
          <w:color w:val="auto"/>
          <w:sz w:val="21"/>
          <w:szCs w:val="21"/>
        </w:rPr>
        <w:t xml:space="preserve"> centre supported 18 small and medium enterprises</w:t>
      </w:r>
      <w:r w:rsidR="007829BE">
        <w:rPr>
          <w:color w:val="auto"/>
          <w:sz w:val="21"/>
          <w:szCs w:val="21"/>
        </w:rPr>
        <w:t xml:space="preserve"> (SMEs)</w:t>
      </w:r>
      <w:r w:rsidRPr="00E53550">
        <w:rPr>
          <w:color w:val="auto"/>
          <w:sz w:val="21"/>
          <w:szCs w:val="21"/>
        </w:rPr>
        <w:t xml:space="preserve"> to commercialise and scale up innovative private sector solutions to climate change.  One such enterprise is Dichung Taxi, which has created an online platform to share empty car seats. Dichung’s ultimate goal is to have 500,000 vehicles join its ridesharing platform, reducing carbon emissions by 66,000 tons and saving 20 million litres of petrol per year. </w:t>
      </w:r>
      <w:r w:rsidR="007829BE">
        <w:rPr>
          <w:color w:val="auto"/>
          <w:sz w:val="21"/>
          <w:szCs w:val="21"/>
        </w:rPr>
        <w:t xml:space="preserve">Of the 18 SMEs being supported, eight are led by female entrepreneurs and another three have women on their board, exceeding </w:t>
      </w:r>
      <w:r w:rsidR="00154BD3">
        <w:rPr>
          <w:color w:val="auto"/>
          <w:sz w:val="21"/>
          <w:szCs w:val="21"/>
        </w:rPr>
        <w:t xml:space="preserve">VCIC’s </w:t>
      </w:r>
      <w:r w:rsidR="007829BE">
        <w:rPr>
          <w:color w:val="auto"/>
          <w:sz w:val="21"/>
          <w:szCs w:val="21"/>
        </w:rPr>
        <w:t>gender equality target.</w:t>
      </w:r>
    </w:p>
    <w:p w:rsidR="00CF48C6" w:rsidRPr="00E53550" w:rsidRDefault="00CF48C6" w:rsidP="00CF48C6">
      <w:pPr>
        <w:jc w:val="both"/>
        <w:rPr>
          <w:color w:val="auto"/>
          <w:sz w:val="21"/>
          <w:szCs w:val="21"/>
        </w:rPr>
      </w:pPr>
      <w:r w:rsidRPr="00E53550">
        <w:rPr>
          <w:color w:val="auto"/>
          <w:sz w:val="21"/>
          <w:szCs w:val="21"/>
        </w:rPr>
        <w:t>In the water sector, we introduced new technologies and business practices to help the local private sector improve access to clean and safe water for some of the poorest communities in Vietnam. Through a partnership with East Meets West and the Australian Water Association</w:t>
      </w:r>
      <w:r w:rsidR="0003247D">
        <w:rPr>
          <w:color w:val="auto"/>
          <w:sz w:val="21"/>
          <w:szCs w:val="21"/>
        </w:rPr>
        <w:t>,</w:t>
      </w:r>
      <w:r w:rsidRPr="00E53550">
        <w:rPr>
          <w:color w:val="auto"/>
          <w:sz w:val="21"/>
          <w:szCs w:val="21"/>
        </w:rPr>
        <w:t xml:space="preserve"> we introduc</w:t>
      </w:r>
      <w:r w:rsidR="0003247D">
        <w:rPr>
          <w:color w:val="auto"/>
          <w:sz w:val="21"/>
          <w:szCs w:val="21"/>
        </w:rPr>
        <w:t>ed</w:t>
      </w:r>
      <w:r w:rsidRPr="00E53550">
        <w:rPr>
          <w:color w:val="auto"/>
          <w:sz w:val="21"/>
          <w:szCs w:val="21"/>
        </w:rPr>
        <w:t xml:space="preserve"> new Australian technologies like micro membrane filtration kiosks to rural areas of Son La where piped water is not feasible. These kiosks have capacity to provide up to 20,000 litres of high quality drinking water per day at costs less than one third of that of bottled water (the only safe alternative available to households). The kiosk has only been in operation for a few months but</w:t>
      </w:r>
      <w:r w:rsidR="00154BD3">
        <w:rPr>
          <w:color w:val="auto"/>
          <w:sz w:val="21"/>
          <w:szCs w:val="21"/>
        </w:rPr>
        <w:t>,</w:t>
      </w:r>
      <w:r w:rsidRPr="00E53550">
        <w:rPr>
          <w:color w:val="auto"/>
          <w:sz w:val="21"/>
          <w:szCs w:val="21"/>
        </w:rPr>
        <w:t xml:space="preserve"> despite lower costs than alternatives</w:t>
      </w:r>
      <w:r w:rsidR="00154BD3">
        <w:rPr>
          <w:color w:val="auto"/>
          <w:sz w:val="21"/>
          <w:szCs w:val="21"/>
        </w:rPr>
        <w:t>,</w:t>
      </w:r>
      <w:r w:rsidRPr="00E53550">
        <w:rPr>
          <w:color w:val="auto"/>
          <w:sz w:val="21"/>
          <w:szCs w:val="21"/>
        </w:rPr>
        <w:t xml:space="preserve"> demand is currently lower than expected. We are investigating the reasons for this before the model can be rolled out to other provinces.</w:t>
      </w:r>
    </w:p>
    <w:p w:rsidR="00CF48C6" w:rsidRDefault="0003247D" w:rsidP="00CF48C6">
      <w:pPr>
        <w:jc w:val="both"/>
      </w:pPr>
      <w:r>
        <w:rPr>
          <w:color w:val="auto"/>
          <w:sz w:val="21"/>
          <w:szCs w:val="21"/>
        </w:rPr>
        <w:t xml:space="preserve">These small projects on innovation and private sector engagement in the </w:t>
      </w:r>
      <w:r w:rsidR="001631A3">
        <w:rPr>
          <w:color w:val="auto"/>
          <w:sz w:val="21"/>
          <w:szCs w:val="21"/>
        </w:rPr>
        <w:t xml:space="preserve">rural </w:t>
      </w:r>
      <w:r>
        <w:rPr>
          <w:color w:val="auto"/>
          <w:sz w:val="21"/>
          <w:szCs w:val="21"/>
        </w:rPr>
        <w:t>water sector were deliberately chosen by Post as we gear up to implement a</w:t>
      </w:r>
      <w:r w:rsidR="00CF48C6" w:rsidRPr="00E53550">
        <w:rPr>
          <w:color w:val="auto"/>
          <w:sz w:val="21"/>
          <w:szCs w:val="21"/>
        </w:rPr>
        <w:t xml:space="preserve"> new Australian water initiative, Aus4Water. The </w:t>
      </w:r>
      <w:r w:rsidR="00154BD3">
        <w:rPr>
          <w:color w:val="auto"/>
          <w:sz w:val="21"/>
          <w:szCs w:val="21"/>
        </w:rPr>
        <w:t>initiative</w:t>
      </w:r>
      <w:r w:rsidR="00154BD3" w:rsidRPr="00E53550">
        <w:rPr>
          <w:color w:val="auto"/>
          <w:sz w:val="21"/>
          <w:szCs w:val="21"/>
        </w:rPr>
        <w:t xml:space="preserve"> </w:t>
      </w:r>
      <w:r w:rsidR="00CF48C6" w:rsidRPr="00E53550">
        <w:rPr>
          <w:color w:val="auto"/>
          <w:sz w:val="21"/>
          <w:szCs w:val="21"/>
        </w:rPr>
        <w:t>is in the process of obtaining Government</w:t>
      </w:r>
      <w:r w:rsidR="00154BD3">
        <w:rPr>
          <w:color w:val="auto"/>
          <w:sz w:val="21"/>
          <w:szCs w:val="21"/>
        </w:rPr>
        <w:t xml:space="preserve"> of Vietnam</w:t>
      </w:r>
      <w:r w:rsidR="00CF48C6" w:rsidRPr="00E53550">
        <w:rPr>
          <w:color w:val="auto"/>
          <w:sz w:val="21"/>
          <w:szCs w:val="21"/>
        </w:rPr>
        <w:t xml:space="preserve"> approval and is scheduled to commence in April 2018.</w:t>
      </w:r>
      <w:r w:rsidR="00271822">
        <w:rPr>
          <w:color w:val="auto"/>
          <w:sz w:val="21"/>
          <w:szCs w:val="21"/>
        </w:rPr>
        <w:t xml:space="preserve"> </w:t>
      </w:r>
      <w:r w:rsidR="00D56AC4">
        <w:rPr>
          <w:color w:val="auto"/>
          <w:sz w:val="21"/>
          <w:szCs w:val="21"/>
        </w:rPr>
        <w:t>This is later than first anticipated as the original concept note required substantial revisions before proceeding to design.</w:t>
      </w:r>
      <w:r w:rsidR="001631A3">
        <w:rPr>
          <w:color w:val="auto"/>
          <w:sz w:val="21"/>
          <w:szCs w:val="21"/>
        </w:rPr>
        <w:t xml:space="preserve">  The project will build on our experience and credibility </w:t>
      </w:r>
      <w:r w:rsidR="00154BD3">
        <w:rPr>
          <w:color w:val="auto"/>
          <w:sz w:val="21"/>
          <w:szCs w:val="21"/>
        </w:rPr>
        <w:t xml:space="preserve">from </w:t>
      </w:r>
      <w:r w:rsidR="001631A3">
        <w:rPr>
          <w:color w:val="auto"/>
          <w:sz w:val="21"/>
          <w:szCs w:val="21"/>
        </w:rPr>
        <w:t xml:space="preserve">over 20 years </w:t>
      </w:r>
      <w:r w:rsidR="00154BD3">
        <w:rPr>
          <w:color w:val="auto"/>
          <w:sz w:val="21"/>
          <w:szCs w:val="21"/>
        </w:rPr>
        <w:t xml:space="preserve">working </w:t>
      </w:r>
      <w:r w:rsidR="001631A3">
        <w:rPr>
          <w:color w:val="auto"/>
          <w:sz w:val="21"/>
          <w:szCs w:val="21"/>
        </w:rPr>
        <w:t xml:space="preserve">in </w:t>
      </w:r>
      <w:r w:rsidR="00154BD3">
        <w:rPr>
          <w:color w:val="auto"/>
          <w:sz w:val="21"/>
          <w:szCs w:val="21"/>
        </w:rPr>
        <w:t xml:space="preserve">Vietnam’s </w:t>
      </w:r>
      <w:r w:rsidR="001631A3">
        <w:rPr>
          <w:color w:val="auto"/>
          <w:sz w:val="21"/>
          <w:szCs w:val="21"/>
        </w:rPr>
        <w:t xml:space="preserve">water sector, with a specific focus on innovation and private sector engagement.  </w:t>
      </w:r>
    </w:p>
    <w:p w:rsidR="00E974CB" w:rsidRPr="00601728" w:rsidRDefault="004806CF">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601728">
        <w:rPr>
          <w:rFonts w:asciiTheme="majorHAnsi" w:eastAsiaTheme="majorEastAsia" w:hAnsiTheme="majorHAnsi" w:cstheme="majorBidi"/>
          <w:caps/>
          <w:color w:val="auto"/>
          <w:sz w:val="38"/>
          <w:szCs w:val="26"/>
          <w:lang w:val="en-GB" w:eastAsia="en-US"/>
        </w:rPr>
        <w:t>Objective 2 - Assisting the development and employment of a highly skilled workforce</w:t>
      </w:r>
    </w:p>
    <w:p w:rsidR="00E974CB" w:rsidRPr="00601728" w:rsidRDefault="004806CF">
      <w:pPr>
        <w:rPr>
          <w:color w:val="auto"/>
        </w:rPr>
      </w:pPr>
      <w:r w:rsidRPr="00601728">
        <w:rPr>
          <w:color w:val="auto"/>
          <w:sz w:val="24"/>
          <w:szCs w:val="24"/>
        </w:rPr>
        <w:t xml:space="preserve">Contributes to SDGs: </w:t>
      </w:r>
    </w:p>
    <w:p w:rsidR="00E974CB" w:rsidRDefault="004806CF">
      <w:r>
        <w:rPr>
          <w:noProof/>
          <w:sz w:val="24"/>
          <w:szCs w:val="24"/>
          <w:lang w:val="en-AU" w:eastAsia="en-AU"/>
        </w:rPr>
        <w:drawing>
          <wp:inline distT="0" distB="0" distL="0" distR="0" wp14:anchorId="4424BB87" wp14:editId="503B0CDF">
            <wp:extent cx="612140" cy="612140"/>
            <wp:effectExtent l="0" t="0" r="0" b="0"/>
            <wp:docPr id="16" name="Image34"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0469B742" wp14:editId="66A81632">
            <wp:extent cx="612140" cy="612140"/>
            <wp:effectExtent l="0" t="0" r="0" b="0"/>
            <wp:docPr id="17"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7"/>
                    <pic:cNvPicPr>
                      <a:picLocks noChangeAspect="1" noChangeArrowheads="1"/>
                    </pic:cNvPicPr>
                  </pic:nvPicPr>
                  <pic:blipFill>
                    <a:blip r:embed="rId25"/>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59687758" wp14:editId="17B75C7D">
            <wp:extent cx="612140" cy="612140"/>
            <wp:effectExtent l="0" t="0" r="0" b="0"/>
            <wp:docPr id="1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8"/>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7063E200" wp14:editId="42E21BDA">
            <wp:extent cx="609600" cy="609600"/>
            <wp:effectExtent l="0" t="0" r="0" b="0"/>
            <wp:docPr id="19" name="Image4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3"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Pr>
          <w:noProof/>
          <w:sz w:val="24"/>
          <w:szCs w:val="24"/>
          <w:lang w:val="en-AU" w:eastAsia="en-AU"/>
        </w:rPr>
        <w:drawing>
          <wp:inline distT="0" distB="0" distL="0" distR="0" wp14:anchorId="77534BCA" wp14:editId="518F7D2B">
            <wp:extent cx="612140" cy="612140"/>
            <wp:effectExtent l="0" t="0" r="0" b="0"/>
            <wp:docPr id="20" name="Imag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1"/>
                    <pic:cNvPicPr>
                      <a:picLocks noChangeAspect="1" noChangeArrowheads="1"/>
                    </pic:cNvPicPr>
                  </pic:nvPicPr>
                  <pic:blipFill>
                    <a:blip r:embed="rId24"/>
                    <a:stretch>
                      <a:fillRect/>
                    </a:stretch>
                  </pic:blipFill>
                  <pic:spPr bwMode="auto">
                    <a:xfrm>
                      <a:off x="0" y="0"/>
                      <a:ext cx="612140" cy="612140"/>
                    </a:xfrm>
                    <a:prstGeom prst="rect">
                      <a:avLst/>
                    </a:prstGeom>
                  </pic:spPr>
                </pic:pic>
              </a:graphicData>
            </a:graphic>
          </wp:inline>
        </w:drawing>
      </w:r>
    </w:p>
    <w:p w:rsidR="00AD4607" w:rsidRPr="00601728" w:rsidRDefault="004806CF" w:rsidP="003016C3">
      <w:pPr>
        <w:pStyle w:val="BodyText"/>
        <w:jc w:val="both"/>
        <w:rPr>
          <w:rFonts w:asciiTheme="minorHAnsi" w:hAnsiTheme="minorHAnsi"/>
          <w:szCs w:val="21"/>
        </w:rPr>
      </w:pPr>
      <w:r w:rsidRPr="00601728">
        <w:rPr>
          <w:rFonts w:asciiTheme="minorHAnsi" w:hAnsiTheme="minorHAnsi"/>
          <w:szCs w:val="21"/>
        </w:rPr>
        <w:t xml:space="preserve">Progress against this objective remains on track in 2016-17. </w:t>
      </w:r>
    </w:p>
    <w:p w:rsidR="00CF48C6" w:rsidRPr="0065005F" w:rsidRDefault="00CF48C6" w:rsidP="00CF48C6">
      <w:pPr>
        <w:pStyle w:val="BodyText"/>
        <w:jc w:val="both"/>
        <w:rPr>
          <w:rFonts w:asciiTheme="minorHAnsi" w:hAnsiTheme="minorHAnsi"/>
          <w:color w:val="auto"/>
          <w:szCs w:val="21"/>
        </w:rPr>
      </w:pPr>
      <w:r w:rsidRPr="0065005F">
        <w:rPr>
          <w:rFonts w:asciiTheme="minorHAnsi" w:hAnsiTheme="minorHAnsi"/>
          <w:color w:val="auto"/>
          <w:szCs w:val="21"/>
        </w:rPr>
        <w:t xml:space="preserve">This was the first year of implementation for the new Aus4Skills program (previously named Vietnam-Australia Human Resource Development Partnership). In </w:t>
      </w:r>
      <w:r w:rsidR="005B56B5">
        <w:rPr>
          <w:rFonts w:asciiTheme="minorHAnsi" w:hAnsiTheme="minorHAnsi"/>
          <w:color w:val="auto"/>
          <w:szCs w:val="21"/>
        </w:rPr>
        <w:t>this transition year</w:t>
      </w:r>
      <w:r w:rsidR="00154BD3">
        <w:rPr>
          <w:rFonts w:asciiTheme="minorHAnsi" w:hAnsiTheme="minorHAnsi"/>
          <w:color w:val="auto"/>
          <w:szCs w:val="21"/>
        </w:rPr>
        <w:t>,</w:t>
      </w:r>
      <w:r w:rsidR="005B56B5">
        <w:rPr>
          <w:rFonts w:asciiTheme="minorHAnsi" w:hAnsiTheme="minorHAnsi"/>
          <w:color w:val="auto"/>
          <w:szCs w:val="21"/>
        </w:rPr>
        <w:t xml:space="preserve"> Aus4Skills continued to</w:t>
      </w:r>
      <w:r w:rsidRPr="0065005F">
        <w:rPr>
          <w:rFonts w:asciiTheme="minorHAnsi" w:hAnsiTheme="minorHAnsi"/>
          <w:color w:val="auto"/>
          <w:szCs w:val="21"/>
        </w:rPr>
        <w:t xml:space="preserve"> deliver Australia Awards</w:t>
      </w:r>
      <w:r w:rsidRPr="0065005F">
        <w:rPr>
          <w:rStyle w:val="FootnoteAnchor"/>
          <w:rFonts w:asciiTheme="minorHAnsi" w:eastAsiaTheme="majorEastAsia" w:hAnsiTheme="minorHAnsi"/>
          <w:color w:val="auto"/>
          <w:szCs w:val="21"/>
        </w:rPr>
        <w:footnoteReference w:id="1"/>
      </w:r>
      <w:r w:rsidRPr="0065005F">
        <w:rPr>
          <w:rStyle w:val="FootnoteAnchor"/>
          <w:rFonts w:asciiTheme="minorHAnsi" w:eastAsiaTheme="majorEastAsia" w:hAnsiTheme="minorHAnsi"/>
          <w:color w:val="auto"/>
          <w:szCs w:val="21"/>
        </w:rPr>
        <w:t xml:space="preserve">, </w:t>
      </w:r>
      <w:r w:rsidR="005B56B5">
        <w:rPr>
          <w:rFonts w:asciiTheme="minorHAnsi" w:hAnsiTheme="minorHAnsi"/>
          <w:color w:val="auto"/>
          <w:szCs w:val="21"/>
        </w:rPr>
        <w:t>and designed</w:t>
      </w:r>
      <w:r w:rsidRPr="0065005F">
        <w:rPr>
          <w:rFonts w:asciiTheme="minorHAnsi" w:hAnsiTheme="minorHAnsi"/>
          <w:color w:val="auto"/>
          <w:szCs w:val="21"/>
        </w:rPr>
        <w:t xml:space="preserve"> a number of new human resources development (HRD) support packages to address weaknesses in priority AIP areas, including higher education and vocational training, and with a focus on </w:t>
      </w:r>
      <w:r w:rsidR="00154BD3">
        <w:rPr>
          <w:rFonts w:asciiTheme="minorHAnsi" w:hAnsiTheme="minorHAnsi"/>
          <w:color w:val="auto"/>
          <w:szCs w:val="21"/>
        </w:rPr>
        <w:t>w</w:t>
      </w:r>
      <w:r w:rsidRPr="0065005F">
        <w:rPr>
          <w:rFonts w:asciiTheme="minorHAnsi" w:hAnsiTheme="minorHAnsi"/>
          <w:color w:val="auto"/>
          <w:szCs w:val="21"/>
        </w:rPr>
        <w:t xml:space="preserve">omen in </w:t>
      </w:r>
      <w:r w:rsidR="00154BD3">
        <w:rPr>
          <w:rFonts w:asciiTheme="minorHAnsi" w:hAnsiTheme="minorHAnsi"/>
          <w:color w:val="auto"/>
          <w:szCs w:val="21"/>
        </w:rPr>
        <w:t>l</w:t>
      </w:r>
      <w:r w:rsidRPr="0065005F">
        <w:rPr>
          <w:rFonts w:asciiTheme="minorHAnsi" w:hAnsiTheme="minorHAnsi"/>
          <w:color w:val="auto"/>
          <w:szCs w:val="21"/>
        </w:rPr>
        <w:t>eadership.</w:t>
      </w:r>
    </w:p>
    <w:p w:rsidR="00CF48C6" w:rsidRPr="0065005F" w:rsidRDefault="00CF48C6" w:rsidP="00CF48C6">
      <w:pPr>
        <w:pStyle w:val="BodyText"/>
        <w:jc w:val="both"/>
        <w:rPr>
          <w:rFonts w:asciiTheme="minorHAnsi" w:hAnsiTheme="minorHAnsi"/>
          <w:color w:val="auto"/>
          <w:szCs w:val="21"/>
        </w:rPr>
      </w:pPr>
      <w:r w:rsidRPr="0065005F">
        <w:rPr>
          <w:rFonts w:asciiTheme="minorHAnsi" w:hAnsiTheme="minorHAnsi"/>
          <w:color w:val="auto"/>
          <w:szCs w:val="21"/>
        </w:rPr>
        <w:t xml:space="preserve">Work commenced on developing the </w:t>
      </w:r>
      <w:r w:rsidRPr="00504096">
        <w:rPr>
          <w:rFonts w:asciiTheme="minorHAnsi" w:hAnsiTheme="minorHAnsi"/>
          <w:iCs/>
          <w:color w:val="auto"/>
          <w:szCs w:val="21"/>
        </w:rPr>
        <w:t>Improving Quality of Universities in the Northern Mountainous Region</w:t>
      </w:r>
      <w:r w:rsidRPr="0065005F">
        <w:rPr>
          <w:rFonts w:asciiTheme="minorHAnsi" w:hAnsiTheme="minorHAnsi"/>
          <w:i/>
          <w:iCs/>
          <w:color w:val="auto"/>
          <w:szCs w:val="21"/>
        </w:rPr>
        <w:t xml:space="preserve"> </w:t>
      </w:r>
      <w:r w:rsidR="00154BD3">
        <w:rPr>
          <w:rFonts w:asciiTheme="minorHAnsi" w:hAnsiTheme="minorHAnsi"/>
          <w:iCs/>
          <w:color w:val="auto"/>
          <w:szCs w:val="21"/>
        </w:rPr>
        <w:t>project</w:t>
      </w:r>
      <w:r w:rsidR="0065005F" w:rsidRPr="0065005F">
        <w:rPr>
          <w:rFonts w:asciiTheme="minorHAnsi" w:hAnsiTheme="minorHAnsi"/>
          <w:iCs/>
          <w:color w:val="auto"/>
          <w:szCs w:val="21"/>
        </w:rPr>
        <w:t xml:space="preserve">. It </w:t>
      </w:r>
      <w:r w:rsidRPr="0065005F">
        <w:rPr>
          <w:rFonts w:asciiTheme="minorHAnsi" w:hAnsiTheme="minorHAnsi"/>
          <w:color w:val="auto"/>
          <w:szCs w:val="21"/>
        </w:rPr>
        <w:t>is designed to assist universities</w:t>
      </w:r>
      <w:r w:rsidR="00154BD3">
        <w:rPr>
          <w:rStyle w:val="FootnoteReference"/>
          <w:rFonts w:asciiTheme="minorHAnsi" w:hAnsiTheme="minorHAnsi"/>
          <w:color w:val="auto"/>
          <w:szCs w:val="21"/>
        </w:rPr>
        <w:footnoteReference w:id="2"/>
      </w:r>
      <w:r w:rsidRPr="0065005F">
        <w:rPr>
          <w:rFonts w:asciiTheme="minorHAnsi" w:hAnsiTheme="minorHAnsi"/>
          <w:color w:val="auto"/>
          <w:szCs w:val="21"/>
        </w:rPr>
        <w:t xml:space="preserve"> </w:t>
      </w:r>
      <w:r w:rsidRPr="0065005F">
        <w:rPr>
          <w:rFonts w:asciiTheme="minorHAnsi" w:hAnsiTheme="minorHAnsi"/>
          <w:color w:val="auto"/>
          <w:spacing w:val="-3"/>
          <w:szCs w:val="21"/>
        </w:rPr>
        <w:t xml:space="preserve">located in the relatively economically disadvantaged area of </w:t>
      </w:r>
      <w:r w:rsidR="00A25E29">
        <w:rPr>
          <w:rFonts w:asciiTheme="minorHAnsi" w:hAnsiTheme="minorHAnsi"/>
          <w:color w:val="auto"/>
          <w:spacing w:val="-3"/>
          <w:szCs w:val="21"/>
        </w:rPr>
        <w:t>N</w:t>
      </w:r>
      <w:r w:rsidRPr="0065005F">
        <w:rPr>
          <w:rFonts w:asciiTheme="minorHAnsi" w:hAnsiTheme="minorHAnsi"/>
          <w:color w:val="auto"/>
          <w:spacing w:val="-3"/>
          <w:szCs w:val="21"/>
        </w:rPr>
        <w:t xml:space="preserve">orthern </w:t>
      </w:r>
      <w:r w:rsidR="00A25E29">
        <w:rPr>
          <w:rFonts w:asciiTheme="minorHAnsi" w:hAnsiTheme="minorHAnsi"/>
          <w:color w:val="auto"/>
          <w:spacing w:val="-3"/>
          <w:szCs w:val="21"/>
        </w:rPr>
        <w:t>M</w:t>
      </w:r>
      <w:r w:rsidRPr="0065005F">
        <w:rPr>
          <w:rFonts w:asciiTheme="minorHAnsi" w:hAnsiTheme="minorHAnsi"/>
          <w:color w:val="auto"/>
          <w:spacing w:val="-3"/>
          <w:szCs w:val="21"/>
        </w:rPr>
        <w:t>ountain</w:t>
      </w:r>
      <w:r w:rsidR="0079722E">
        <w:rPr>
          <w:rFonts w:asciiTheme="minorHAnsi" w:hAnsiTheme="minorHAnsi"/>
          <w:color w:val="auto"/>
          <w:spacing w:val="-3"/>
          <w:szCs w:val="21"/>
        </w:rPr>
        <w:t>ous</w:t>
      </w:r>
      <w:r w:rsidRPr="0065005F">
        <w:rPr>
          <w:rFonts w:asciiTheme="minorHAnsi" w:hAnsiTheme="minorHAnsi"/>
          <w:color w:val="auto"/>
          <w:spacing w:val="-3"/>
          <w:szCs w:val="21"/>
        </w:rPr>
        <w:t xml:space="preserve"> region in Vietnam</w:t>
      </w:r>
      <w:r w:rsidR="00154BD3">
        <w:rPr>
          <w:rFonts w:asciiTheme="minorHAnsi" w:hAnsiTheme="minorHAnsi"/>
          <w:color w:val="auto"/>
          <w:spacing w:val="-3"/>
          <w:szCs w:val="21"/>
        </w:rPr>
        <w:t xml:space="preserve"> </w:t>
      </w:r>
      <w:r w:rsidR="00154BD3">
        <w:rPr>
          <w:color w:val="auto"/>
          <w:szCs w:val="21"/>
        </w:rPr>
        <w:t xml:space="preserve">– </w:t>
      </w:r>
      <w:r w:rsidRPr="0065005F">
        <w:rPr>
          <w:rFonts w:asciiTheme="minorHAnsi" w:hAnsiTheme="minorHAnsi"/>
          <w:color w:val="auto"/>
          <w:spacing w:val="-3"/>
          <w:szCs w:val="21"/>
        </w:rPr>
        <w:t>populated by many ethnic minorities</w:t>
      </w:r>
      <w:r w:rsidRPr="0065005F">
        <w:rPr>
          <w:rFonts w:asciiTheme="minorHAnsi" w:hAnsiTheme="minorHAnsi"/>
          <w:color w:val="auto"/>
          <w:szCs w:val="21"/>
        </w:rPr>
        <w:t xml:space="preserve"> </w:t>
      </w:r>
      <w:r w:rsidR="00154BD3">
        <w:rPr>
          <w:color w:val="auto"/>
          <w:szCs w:val="21"/>
        </w:rPr>
        <w:t>–</w:t>
      </w:r>
      <w:r w:rsidR="00154BD3" w:rsidRPr="0065005F">
        <w:rPr>
          <w:rFonts w:asciiTheme="minorHAnsi" w:hAnsiTheme="minorHAnsi"/>
          <w:color w:val="auto"/>
          <w:spacing w:val="-3"/>
          <w:szCs w:val="21"/>
        </w:rPr>
        <w:t xml:space="preserve"> </w:t>
      </w:r>
      <w:r w:rsidRPr="0065005F">
        <w:rPr>
          <w:rFonts w:asciiTheme="minorHAnsi" w:hAnsiTheme="minorHAnsi"/>
          <w:color w:val="auto"/>
          <w:szCs w:val="21"/>
        </w:rPr>
        <w:t xml:space="preserve">to meet market demand for quality and quantity of higher education and research. </w:t>
      </w:r>
      <w:r w:rsidRPr="0065005F">
        <w:rPr>
          <w:rFonts w:asciiTheme="minorHAnsi" w:hAnsiTheme="minorHAnsi"/>
          <w:color w:val="auto"/>
          <w:spacing w:val="-3"/>
          <w:szCs w:val="21"/>
        </w:rPr>
        <w:t>Activities will focus on improving leadership and management, strengthening curriculum, and increasing the effective support for academic success of ethnic minority students.</w:t>
      </w:r>
      <w:r w:rsidRPr="0065005F" w:rsidDel="00F151AD">
        <w:rPr>
          <w:rFonts w:asciiTheme="minorHAnsi" w:hAnsiTheme="minorHAnsi"/>
          <w:color w:val="auto"/>
          <w:szCs w:val="21"/>
        </w:rPr>
        <w:t xml:space="preserve"> </w:t>
      </w:r>
    </w:p>
    <w:p w:rsidR="00CF48C6" w:rsidRPr="0065005F" w:rsidRDefault="00CF48C6" w:rsidP="00CF48C6">
      <w:pPr>
        <w:pStyle w:val="BodyText"/>
        <w:jc w:val="both"/>
        <w:rPr>
          <w:rFonts w:asciiTheme="minorHAnsi" w:hAnsiTheme="minorHAnsi"/>
          <w:color w:val="auto"/>
          <w:szCs w:val="21"/>
        </w:rPr>
      </w:pPr>
      <w:r w:rsidRPr="0065005F">
        <w:rPr>
          <w:rFonts w:asciiTheme="minorHAnsi" w:hAnsiTheme="minorHAnsi"/>
          <w:color w:val="auto"/>
          <w:szCs w:val="21"/>
        </w:rPr>
        <w:t xml:space="preserve">A pilot </w:t>
      </w:r>
      <w:r w:rsidRPr="00504096">
        <w:rPr>
          <w:rFonts w:asciiTheme="minorHAnsi" w:hAnsiTheme="minorHAnsi"/>
          <w:color w:val="auto"/>
          <w:szCs w:val="21"/>
        </w:rPr>
        <w:t>Women in Leadership (WIL)</w:t>
      </w:r>
      <w:r w:rsidRPr="0065005F">
        <w:rPr>
          <w:rFonts w:asciiTheme="minorHAnsi" w:hAnsiTheme="minorHAnsi"/>
          <w:color w:val="auto"/>
          <w:szCs w:val="21"/>
        </w:rPr>
        <w:t xml:space="preserve"> package, in collaboration with Vietnam’s Centre for Gender Studies and Women’s Leadership (GeLead)</w:t>
      </w:r>
      <w:r w:rsidRPr="0065005F">
        <w:rPr>
          <w:rStyle w:val="FootnoteAnchor"/>
          <w:rFonts w:asciiTheme="minorHAnsi" w:eastAsiaTheme="majorEastAsia" w:hAnsiTheme="minorHAnsi"/>
          <w:color w:val="auto"/>
          <w:szCs w:val="21"/>
        </w:rPr>
        <w:footnoteReference w:id="3"/>
      </w:r>
      <w:r w:rsidRPr="0065005F">
        <w:rPr>
          <w:rFonts w:asciiTheme="minorHAnsi" w:hAnsiTheme="minorHAnsi"/>
          <w:color w:val="auto"/>
          <w:szCs w:val="21"/>
        </w:rPr>
        <w:t>, was designed to support Aus4Skills university partners to promote gender equitable leadership and leadership opportunities for women. Although women continued to account for 60 per cent of new Australia Awards Scholarship recipients in 2016 (Table 3), challenges remain in workplaces for women to provide formal inputs and contributions to their organisations</w:t>
      </w:r>
      <w:r w:rsidRPr="0065005F">
        <w:rPr>
          <w:rStyle w:val="FootnoteAnchor"/>
          <w:rFonts w:asciiTheme="minorHAnsi" w:eastAsiaTheme="majorEastAsia" w:hAnsiTheme="minorHAnsi"/>
          <w:color w:val="auto"/>
          <w:szCs w:val="21"/>
        </w:rPr>
        <w:footnoteReference w:id="4"/>
      </w:r>
      <w:r w:rsidRPr="0065005F">
        <w:rPr>
          <w:rFonts w:asciiTheme="minorHAnsi" w:hAnsiTheme="minorHAnsi"/>
          <w:color w:val="auto"/>
          <w:szCs w:val="21"/>
        </w:rPr>
        <w:t>. The WIL package aims to address this via support strategies for women in selected Aus4Skills partner organisations. Implementation will begin in September 2017 with results expected in the 2017-18 reporting period.</w:t>
      </w:r>
    </w:p>
    <w:p w:rsidR="00CF48C6" w:rsidRPr="0065005F" w:rsidRDefault="00CF48C6" w:rsidP="00CF48C6">
      <w:pPr>
        <w:pStyle w:val="BodyText"/>
        <w:jc w:val="both"/>
        <w:rPr>
          <w:color w:val="auto"/>
          <w:szCs w:val="21"/>
        </w:rPr>
      </w:pPr>
      <w:r w:rsidRPr="0065005F">
        <w:rPr>
          <w:rFonts w:asciiTheme="minorHAnsi" w:hAnsiTheme="minorHAnsi"/>
          <w:color w:val="auto"/>
          <w:szCs w:val="21"/>
        </w:rPr>
        <w:t>We also designed a demonstration project in logistics</w:t>
      </w:r>
      <w:r w:rsidR="00567F83">
        <w:rPr>
          <w:rFonts w:asciiTheme="minorHAnsi" w:hAnsiTheme="minorHAnsi"/>
          <w:color w:val="auto"/>
          <w:szCs w:val="21"/>
        </w:rPr>
        <w:t xml:space="preserve"> </w:t>
      </w:r>
      <w:r w:rsidR="00567F83">
        <w:rPr>
          <w:color w:val="auto"/>
          <w:szCs w:val="21"/>
        </w:rPr>
        <w:t>–</w:t>
      </w:r>
      <w:r w:rsidR="00567F83" w:rsidRPr="00E53550">
        <w:rPr>
          <w:color w:val="auto"/>
          <w:szCs w:val="21"/>
        </w:rPr>
        <w:t xml:space="preserve"> </w:t>
      </w:r>
      <w:r w:rsidRPr="0065005F">
        <w:rPr>
          <w:rFonts w:asciiTheme="minorHAnsi" w:hAnsiTheme="minorHAnsi"/>
          <w:color w:val="auto"/>
          <w:szCs w:val="21"/>
        </w:rPr>
        <w:t xml:space="preserve"> </w:t>
      </w:r>
      <w:r w:rsidRPr="00504096">
        <w:rPr>
          <w:rFonts w:asciiTheme="minorHAnsi" w:hAnsiTheme="minorHAnsi"/>
          <w:color w:val="auto"/>
          <w:szCs w:val="21"/>
        </w:rPr>
        <w:t>Promoting Industry Linkages with Vocational Educational Training (VET)</w:t>
      </w:r>
      <w:r w:rsidR="00567F83">
        <w:rPr>
          <w:rFonts w:asciiTheme="minorHAnsi" w:hAnsiTheme="minorHAnsi"/>
          <w:color w:val="auto"/>
          <w:szCs w:val="21"/>
        </w:rPr>
        <w:t xml:space="preserve"> </w:t>
      </w:r>
      <w:r w:rsidR="00567F83">
        <w:rPr>
          <w:color w:val="auto"/>
          <w:szCs w:val="21"/>
        </w:rPr>
        <w:t>–</w:t>
      </w:r>
      <w:r w:rsidRPr="0065005F">
        <w:rPr>
          <w:rFonts w:asciiTheme="minorHAnsi" w:hAnsiTheme="minorHAnsi"/>
          <w:color w:val="auto"/>
          <w:szCs w:val="21"/>
        </w:rPr>
        <w:t xml:space="preserve"> which will be implemented in sync with policy advocacy at the national level. Aus4Skills has been showcasing the Australian model in promoting industry linkages, initially in the logistics sector, to inform Vietnam’s deliberations in promoting collaboration with industry partners to improve the relevance and quality of training. We anticipate implementation in the second half of 2017 and initial results available in late 2018.</w:t>
      </w:r>
    </w:p>
    <w:p w:rsidR="00CF48C6" w:rsidRPr="00F018C1" w:rsidRDefault="00CF48C6" w:rsidP="00CF48C6">
      <w:pPr>
        <w:pStyle w:val="BodyText"/>
        <w:jc w:val="both"/>
        <w:rPr>
          <w:rFonts w:asciiTheme="minorHAnsi" w:hAnsiTheme="minorHAnsi"/>
          <w:i/>
          <w:color w:val="auto"/>
          <w:sz w:val="22"/>
          <w:szCs w:val="22"/>
        </w:rPr>
      </w:pPr>
      <w:r w:rsidRPr="00F018C1">
        <w:rPr>
          <w:rFonts w:asciiTheme="minorHAnsi" w:hAnsiTheme="minorHAnsi"/>
          <w:i/>
          <w:color w:val="auto"/>
          <w:sz w:val="22"/>
          <w:szCs w:val="22"/>
        </w:rPr>
        <w:t>Australia Awards</w:t>
      </w:r>
    </w:p>
    <w:p w:rsidR="00567F83" w:rsidRDefault="00CF48C6" w:rsidP="00567F83">
      <w:pPr>
        <w:pStyle w:val="BodyText"/>
        <w:jc w:val="both"/>
        <w:rPr>
          <w:rFonts w:asciiTheme="minorHAnsi" w:hAnsiTheme="minorHAnsi"/>
          <w:color w:val="auto"/>
          <w:szCs w:val="21"/>
        </w:rPr>
      </w:pPr>
      <w:r w:rsidRPr="0065005F">
        <w:rPr>
          <w:rFonts w:asciiTheme="minorHAnsi" w:hAnsiTheme="minorHAnsi"/>
          <w:color w:val="auto"/>
          <w:szCs w:val="21"/>
        </w:rPr>
        <w:t xml:space="preserve">We exceeded our </w:t>
      </w:r>
      <w:r w:rsidR="0065005F">
        <w:rPr>
          <w:rFonts w:asciiTheme="minorHAnsi" w:hAnsiTheme="minorHAnsi"/>
          <w:color w:val="auto"/>
          <w:szCs w:val="21"/>
        </w:rPr>
        <w:t xml:space="preserve">target </w:t>
      </w:r>
      <w:r w:rsidRPr="0065005F">
        <w:rPr>
          <w:rFonts w:asciiTheme="minorHAnsi" w:hAnsiTheme="minorHAnsi"/>
          <w:color w:val="auto"/>
          <w:szCs w:val="21"/>
        </w:rPr>
        <w:t xml:space="preserve">for the Australia Awards program. In 2016-17, 69 percent of scholarships and 60 per cent of all awards were awarded to women (above our </w:t>
      </w:r>
      <w:r w:rsidR="00567F83">
        <w:rPr>
          <w:rFonts w:asciiTheme="minorHAnsi" w:hAnsiTheme="minorHAnsi"/>
          <w:color w:val="auto"/>
          <w:szCs w:val="21"/>
        </w:rPr>
        <w:t>target</w:t>
      </w:r>
      <w:r w:rsidR="00567F83" w:rsidRPr="0065005F">
        <w:rPr>
          <w:rFonts w:asciiTheme="minorHAnsi" w:hAnsiTheme="minorHAnsi"/>
          <w:color w:val="auto"/>
          <w:szCs w:val="21"/>
        </w:rPr>
        <w:t xml:space="preserve"> </w:t>
      </w:r>
      <w:r w:rsidRPr="0065005F">
        <w:rPr>
          <w:rFonts w:asciiTheme="minorHAnsi" w:hAnsiTheme="minorHAnsi"/>
          <w:color w:val="auto"/>
          <w:szCs w:val="21"/>
        </w:rPr>
        <w:t>of 50 per cent). 97 per cent of Australia Awards Scholarship alumni</w:t>
      </w:r>
      <w:r w:rsidRPr="0065005F">
        <w:rPr>
          <w:rStyle w:val="FootnoteAnchor"/>
          <w:rFonts w:asciiTheme="minorHAnsi" w:eastAsiaTheme="majorEastAsia" w:hAnsiTheme="minorHAnsi"/>
          <w:color w:val="auto"/>
          <w:szCs w:val="21"/>
        </w:rPr>
        <w:footnoteReference w:id="5"/>
      </w:r>
      <w:r w:rsidRPr="0065005F">
        <w:rPr>
          <w:rFonts w:asciiTheme="minorHAnsi" w:hAnsiTheme="minorHAnsi"/>
          <w:color w:val="auto"/>
          <w:szCs w:val="21"/>
        </w:rPr>
        <w:t xml:space="preserve"> were employed in positions that were relevant to their course of study after three years of return (compared to our performance benchmark of 75 per cent). In addition, 97 per cent of alumni reported</w:t>
      </w:r>
      <w:r w:rsidRPr="0065005F">
        <w:rPr>
          <w:rStyle w:val="FootnoteAnchor"/>
          <w:rFonts w:asciiTheme="minorHAnsi" w:eastAsiaTheme="majorEastAsia" w:hAnsiTheme="minorHAnsi"/>
          <w:color w:val="auto"/>
          <w:szCs w:val="21"/>
        </w:rPr>
        <w:footnoteReference w:id="6"/>
      </w:r>
      <w:r w:rsidRPr="0065005F">
        <w:rPr>
          <w:rFonts w:asciiTheme="minorHAnsi" w:hAnsiTheme="minorHAnsi"/>
          <w:color w:val="auto"/>
          <w:szCs w:val="21"/>
        </w:rPr>
        <w:t xml:space="preserve"> having maintained people-to-people and/or institutional links with Australia within the 18 months following their return to Vietnam.</w:t>
      </w:r>
      <w:r w:rsidR="00567F83">
        <w:rPr>
          <w:rFonts w:asciiTheme="minorHAnsi" w:hAnsiTheme="minorHAnsi"/>
          <w:color w:val="auto"/>
          <w:szCs w:val="21"/>
        </w:rPr>
        <w:t xml:space="preserve"> Five of the 80 Australia Awards Scholarships offered in 2016 were to people with disabilities. 25 per cent of scholarships were provided to members of disadvantaged groups (including rural poor and people with disabilities), which exceeded our target of 20%.</w:t>
      </w:r>
    </w:p>
    <w:p w:rsidR="00CF48C6" w:rsidRPr="00F018C1" w:rsidRDefault="00CF48C6" w:rsidP="00CF48C6">
      <w:pPr>
        <w:pStyle w:val="Caption"/>
        <w:rPr>
          <w:color w:val="auto"/>
        </w:rPr>
      </w:pPr>
      <w:r w:rsidRPr="00F018C1">
        <w:rPr>
          <w:color w:val="auto"/>
          <w:sz w:val="22"/>
          <w:szCs w:val="22"/>
        </w:rPr>
        <w:t>Table 3: Australia Awards offered and completed in 2016</w:t>
      </w:r>
    </w:p>
    <w:tbl>
      <w:tblPr>
        <w:tblStyle w:val="DFATTable"/>
        <w:tblW w:w="4650" w:type="pct"/>
        <w:tblLook w:val="04A0" w:firstRow="1" w:lastRow="0" w:firstColumn="1" w:lastColumn="0" w:noHBand="0" w:noVBand="1"/>
      </w:tblPr>
      <w:tblGrid>
        <w:gridCol w:w="3954"/>
        <w:gridCol w:w="934"/>
        <w:gridCol w:w="634"/>
        <w:gridCol w:w="805"/>
        <w:gridCol w:w="1201"/>
        <w:gridCol w:w="631"/>
        <w:gridCol w:w="804"/>
      </w:tblGrid>
      <w:tr w:rsidR="00CF48C6" w:rsidRPr="00F018C1" w:rsidTr="007C61FA">
        <w:tc>
          <w:tcPr>
            <w:tcW w:w="3953" w:type="dxa"/>
            <w:tcBorders>
              <w:bottom w:val="nil"/>
            </w:tcBorders>
            <w:shd w:val="clear" w:color="auto" w:fill="auto"/>
          </w:tcPr>
          <w:p w:rsidR="00CF48C6" w:rsidRPr="00F018C1" w:rsidRDefault="00CF48C6" w:rsidP="007C61FA">
            <w:pPr>
              <w:pStyle w:val="NormalIndented"/>
              <w:spacing w:before="60" w:after="0" w:line="240" w:lineRule="auto"/>
              <w:jc w:val="right"/>
              <w:rPr>
                <w:rFonts w:ascii="Helvetica" w:hAnsi="Helvetica"/>
                <w:color w:val="auto"/>
                <w:szCs w:val="18"/>
              </w:rPr>
            </w:pPr>
          </w:p>
        </w:tc>
        <w:tc>
          <w:tcPr>
            <w:tcW w:w="2373" w:type="dxa"/>
            <w:gridSpan w:val="3"/>
            <w:tcBorders>
              <w:bottom w:val="nil"/>
            </w:tcBorders>
            <w:shd w:val="clear" w:color="auto" w:fill="auto"/>
          </w:tcPr>
          <w:p w:rsidR="00CF48C6" w:rsidRPr="00F018C1" w:rsidRDefault="00CF48C6" w:rsidP="007C61FA">
            <w:pPr>
              <w:pStyle w:val="NormalIndented"/>
              <w:spacing w:before="60" w:after="0" w:line="240" w:lineRule="auto"/>
              <w:ind w:left="0"/>
              <w:jc w:val="center"/>
              <w:rPr>
                <w:rFonts w:asciiTheme="minorHAnsi" w:hAnsiTheme="minorHAnsi"/>
                <w:b/>
                <w:color w:val="auto"/>
                <w:sz w:val="18"/>
                <w:szCs w:val="18"/>
              </w:rPr>
            </w:pPr>
            <w:r w:rsidRPr="00F018C1">
              <w:rPr>
                <w:rFonts w:asciiTheme="minorHAnsi" w:hAnsiTheme="minorHAnsi"/>
                <w:b/>
                <w:color w:val="auto"/>
                <w:sz w:val="18"/>
                <w:szCs w:val="18"/>
              </w:rPr>
              <w:t>New awards offered (2016)</w:t>
            </w:r>
          </w:p>
        </w:tc>
        <w:tc>
          <w:tcPr>
            <w:tcW w:w="2636" w:type="dxa"/>
            <w:gridSpan w:val="3"/>
            <w:tcBorders>
              <w:bottom w:val="nil"/>
            </w:tcBorders>
            <w:shd w:val="clear" w:color="auto" w:fill="auto"/>
          </w:tcPr>
          <w:p w:rsidR="00CF48C6" w:rsidRPr="00F018C1" w:rsidRDefault="00CF48C6" w:rsidP="007C61FA">
            <w:pPr>
              <w:pStyle w:val="NormalIndented"/>
              <w:spacing w:before="60" w:after="0" w:line="240" w:lineRule="auto"/>
              <w:ind w:left="34"/>
              <w:jc w:val="right"/>
              <w:rPr>
                <w:rFonts w:asciiTheme="minorHAnsi" w:hAnsiTheme="minorHAnsi"/>
                <w:b/>
                <w:color w:val="auto"/>
                <w:sz w:val="18"/>
                <w:szCs w:val="18"/>
              </w:rPr>
            </w:pPr>
            <w:r w:rsidRPr="00F018C1">
              <w:rPr>
                <w:rFonts w:asciiTheme="minorHAnsi" w:hAnsiTheme="minorHAnsi"/>
                <w:b/>
                <w:color w:val="auto"/>
                <w:sz w:val="18"/>
                <w:szCs w:val="18"/>
              </w:rPr>
              <w:t>Awards completed (2016)</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Helvetica" w:hAnsi="Helvetica"/>
                <w:b/>
                <w:color w:val="auto"/>
                <w:szCs w:val="18"/>
              </w:rPr>
            </w:pPr>
          </w:p>
        </w:tc>
        <w:tc>
          <w:tcPr>
            <w:tcW w:w="934" w:type="dxa"/>
            <w:tcBorders>
              <w:top w:val="nil"/>
              <w:bottom w:val="nil"/>
            </w:tcBorders>
            <w:shd w:val="clear" w:color="auto" w:fill="auto"/>
          </w:tcPr>
          <w:p w:rsidR="00CF48C6" w:rsidRPr="00F018C1" w:rsidRDefault="00CF48C6" w:rsidP="007C61FA">
            <w:pPr>
              <w:pStyle w:val="NormalIndented"/>
              <w:spacing w:before="60" w:after="0" w:line="240" w:lineRule="auto"/>
              <w:ind w:left="0"/>
              <w:jc w:val="right"/>
              <w:rPr>
                <w:rFonts w:asciiTheme="minorHAnsi" w:hAnsiTheme="minorHAnsi"/>
                <w:b/>
                <w:i/>
                <w:color w:val="auto"/>
                <w:sz w:val="18"/>
                <w:szCs w:val="18"/>
              </w:rPr>
            </w:pPr>
            <w:r w:rsidRPr="00F018C1">
              <w:rPr>
                <w:rFonts w:asciiTheme="minorHAnsi" w:hAnsiTheme="minorHAnsi"/>
                <w:b/>
                <w:i/>
                <w:color w:val="auto"/>
                <w:sz w:val="18"/>
                <w:szCs w:val="18"/>
              </w:rPr>
              <w:t>Total</w:t>
            </w:r>
          </w:p>
        </w:tc>
        <w:tc>
          <w:tcPr>
            <w:tcW w:w="634" w:type="dxa"/>
            <w:tcBorders>
              <w:top w:val="nil"/>
              <w:bottom w:val="nil"/>
            </w:tcBorders>
            <w:shd w:val="clear" w:color="auto" w:fill="auto"/>
          </w:tcPr>
          <w:p w:rsidR="00CF48C6" w:rsidRPr="00F018C1" w:rsidRDefault="00CF48C6" w:rsidP="007C61FA">
            <w:pPr>
              <w:pStyle w:val="NormalIndented"/>
              <w:spacing w:before="60" w:after="0" w:line="240" w:lineRule="auto"/>
              <w:ind w:left="0"/>
              <w:jc w:val="right"/>
              <w:rPr>
                <w:rFonts w:asciiTheme="minorHAnsi" w:hAnsiTheme="minorHAnsi"/>
                <w:b/>
                <w:color w:val="auto"/>
                <w:sz w:val="18"/>
                <w:szCs w:val="18"/>
              </w:rPr>
            </w:pPr>
            <w:r w:rsidRPr="00F018C1">
              <w:rPr>
                <w:rFonts w:asciiTheme="minorHAnsi" w:hAnsiTheme="minorHAnsi"/>
                <w:b/>
                <w:color w:val="auto"/>
                <w:sz w:val="18"/>
                <w:szCs w:val="18"/>
              </w:rPr>
              <w:t>Male</w:t>
            </w:r>
          </w:p>
        </w:tc>
        <w:tc>
          <w:tcPr>
            <w:tcW w:w="805" w:type="dxa"/>
            <w:tcBorders>
              <w:top w:val="nil"/>
              <w:bottom w:val="nil"/>
            </w:tcBorders>
            <w:shd w:val="clear" w:color="auto" w:fill="auto"/>
          </w:tcPr>
          <w:p w:rsidR="00CF48C6" w:rsidRPr="00F018C1" w:rsidRDefault="00CF48C6" w:rsidP="007C61FA">
            <w:pPr>
              <w:pStyle w:val="NormalIndented"/>
              <w:spacing w:before="60" w:after="0" w:line="240" w:lineRule="auto"/>
              <w:ind w:left="0"/>
              <w:jc w:val="right"/>
              <w:rPr>
                <w:rFonts w:asciiTheme="minorHAnsi" w:hAnsiTheme="minorHAnsi"/>
                <w:b/>
                <w:color w:val="auto"/>
                <w:sz w:val="18"/>
                <w:szCs w:val="18"/>
              </w:rPr>
            </w:pPr>
            <w:r w:rsidRPr="00F018C1">
              <w:rPr>
                <w:rFonts w:asciiTheme="minorHAnsi" w:hAnsiTheme="minorHAnsi"/>
                <w:b/>
                <w:color w:val="auto"/>
                <w:sz w:val="18"/>
                <w:szCs w:val="18"/>
              </w:rPr>
              <w:t>Female</w:t>
            </w:r>
          </w:p>
        </w:tc>
        <w:tc>
          <w:tcPr>
            <w:tcW w:w="1201" w:type="dxa"/>
            <w:tcBorders>
              <w:top w:val="nil"/>
              <w:bottom w:val="nil"/>
            </w:tcBorders>
            <w:shd w:val="clear" w:color="auto" w:fill="auto"/>
          </w:tcPr>
          <w:p w:rsidR="00CF48C6" w:rsidRPr="00F018C1" w:rsidRDefault="00CF48C6" w:rsidP="007C61FA">
            <w:pPr>
              <w:pStyle w:val="NormalIndented"/>
              <w:spacing w:before="60" w:after="0" w:line="240" w:lineRule="auto"/>
              <w:ind w:left="33"/>
              <w:jc w:val="right"/>
              <w:rPr>
                <w:rFonts w:asciiTheme="minorHAnsi" w:hAnsiTheme="minorHAnsi"/>
                <w:b/>
                <w:color w:val="auto"/>
                <w:sz w:val="18"/>
                <w:szCs w:val="18"/>
              </w:rPr>
            </w:pPr>
            <w:r w:rsidRPr="00F018C1">
              <w:rPr>
                <w:rFonts w:asciiTheme="minorHAnsi" w:hAnsiTheme="minorHAnsi"/>
                <w:b/>
                <w:color w:val="auto"/>
                <w:sz w:val="18"/>
                <w:szCs w:val="18"/>
              </w:rPr>
              <w:t>Total</w:t>
            </w:r>
          </w:p>
        </w:tc>
        <w:tc>
          <w:tcPr>
            <w:tcW w:w="631" w:type="dxa"/>
            <w:tcBorders>
              <w:top w:val="nil"/>
              <w:bottom w:val="nil"/>
            </w:tcBorders>
            <w:shd w:val="clear" w:color="auto" w:fill="auto"/>
          </w:tcPr>
          <w:p w:rsidR="00CF48C6" w:rsidRPr="00F018C1" w:rsidRDefault="00CF48C6" w:rsidP="007C61FA">
            <w:pPr>
              <w:pStyle w:val="NormalIndented"/>
              <w:spacing w:before="60" w:after="0" w:line="240" w:lineRule="auto"/>
              <w:ind w:left="34"/>
              <w:jc w:val="right"/>
              <w:rPr>
                <w:rFonts w:asciiTheme="minorHAnsi" w:hAnsiTheme="minorHAnsi"/>
                <w:b/>
                <w:color w:val="auto"/>
                <w:sz w:val="18"/>
                <w:szCs w:val="18"/>
              </w:rPr>
            </w:pPr>
            <w:r w:rsidRPr="00F018C1">
              <w:rPr>
                <w:rFonts w:asciiTheme="minorHAnsi" w:hAnsiTheme="minorHAnsi"/>
                <w:b/>
                <w:color w:val="auto"/>
                <w:sz w:val="18"/>
                <w:szCs w:val="18"/>
              </w:rPr>
              <w:t>Male</w:t>
            </w:r>
          </w:p>
        </w:tc>
        <w:tc>
          <w:tcPr>
            <w:tcW w:w="804" w:type="dxa"/>
            <w:tcBorders>
              <w:top w:val="nil"/>
              <w:bottom w:val="nil"/>
            </w:tcBorders>
            <w:shd w:val="clear" w:color="auto" w:fill="auto"/>
          </w:tcPr>
          <w:p w:rsidR="00CF48C6" w:rsidRPr="00F018C1" w:rsidRDefault="00CF48C6" w:rsidP="007C61FA">
            <w:pPr>
              <w:pStyle w:val="NormalIndented"/>
              <w:spacing w:before="60" w:after="0" w:line="240" w:lineRule="auto"/>
              <w:ind w:left="34"/>
              <w:jc w:val="right"/>
              <w:rPr>
                <w:rFonts w:asciiTheme="minorHAnsi" w:hAnsiTheme="minorHAnsi"/>
                <w:b/>
                <w:color w:val="auto"/>
                <w:sz w:val="18"/>
                <w:szCs w:val="18"/>
              </w:rPr>
            </w:pPr>
            <w:r w:rsidRPr="00F018C1">
              <w:rPr>
                <w:rFonts w:asciiTheme="minorHAnsi" w:hAnsiTheme="minorHAnsi"/>
                <w:b/>
                <w:color w:val="auto"/>
                <w:sz w:val="18"/>
                <w:szCs w:val="18"/>
              </w:rPr>
              <w:t>Female</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Scholarships</w:t>
            </w:r>
            <w:r w:rsidRPr="00F018C1">
              <w:rPr>
                <w:rStyle w:val="FootnoteAnchor"/>
                <w:rFonts w:asciiTheme="minorHAnsi" w:hAnsiTheme="minorHAnsi"/>
                <w:color w:val="auto"/>
                <w:sz w:val="18"/>
                <w:szCs w:val="18"/>
              </w:rPr>
              <w:footnoteReference w:id="7"/>
            </w:r>
          </w:p>
        </w:tc>
        <w:tc>
          <w:tcPr>
            <w:tcW w:w="9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80</w:t>
            </w:r>
          </w:p>
        </w:tc>
        <w:tc>
          <w:tcPr>
            <w:tcW w:w="6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25</w:t>
            </w:r>
          </w:p>
        </w:tc>
        <w:tc>
          <w:tcPr>
            <w:tcW w:w="805"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55</w:t>
            </w:r>
          </w:p>
        </w:tc>
        <w:tc>
          <w:tcPr>
            <w:tcW w:w="120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214</w:t>
            </w:r>
          </w:p>
        </w:tc>
        <w:tc>
          <w:tcPr>
            <w:tcW w:w="63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84</w:t>
            </w:r>
          </w:p>
        </w:tc>
        <w:tc>
          <w:tcPr>
            <w:tcW w:w="80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130</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Fellowships</w:t>
            </w:r>
          </w:p>
        </w:tc>
        <w:tc>
          <w:tcPr>
            <w:tcW w:w="9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133</w:t>
            </w:r>
          </w:p>
        </w:tc>
        <w:tc>
          <w:tcPr>
            <w:tcW w:w="6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61</w:t>
            </w:r>
          </w:p>
        </w:tc>
        <w:tc>
          <w:tcPr>
            <w:tcW w:w="805"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72</w:t>
            </w:r>
          </w:p>
        </w:tc>
        <w:tc>
          <w:tcPr>
            <w:tcW w:w="120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n/a</w:t>
            </w:r>
          </w:p>
        </w:tc>
        <w:tc>
          <w:tcPr>
            <w:tcW w:w="63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n/a</w:t>
            </w:r>
          </w:p>
        </w:tc>
        <w:tc>
          <w:tcPr>
            <w:tcW w:w="80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n/a</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John Allwright Fellowships</w:t>
            </w:r>
          </w:p>
        </w:tc>
        <w:tc>
          <w:tcPr>
            <w:tcW w:w="9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3</w:t>
            </w:r>
          </w:p>
        </w:tc>
        <w:tc>
          <w:tcPr>
            <w:tcW w:w="6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w:t>
            </w:r>
          </w:p>
        </w:tc>
        <w:tc>
          <w:tcPr>
            <w:tcW w:w="805"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w:t>
            </w:r>
          </w:p>
        </w:tc>
        <w:tc>
          <w:tcPr>
            <w:tcW w:w="120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6</w:t>
            </w:r>
          </w:p>
        </w:tc>
        <w:tc>
          <w:tcPr>
            <w:tcW w:w="631"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4</w:t>
            </w:r>
          </w:p>
        </w:tc>
        <w:tc>
          <w:tcPr>
            <w:tcW w:w="80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John Dillon Fellowships</w:t>
            </w:r>
          </w:p>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Endeavour Scholarships</w:t>
            </w:r>
          </w:p>
        </w:tc>
        <w:tc>
          <w:tcPr>
            <w:tcW w:w="9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w:t>
            </w:r>
          </w:p>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w:t>
            </w:r>
          </w:p>
        </w:tc>
        <w:tc>
          <w:tcPr>
            <w:tcW w:w="6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w:t>
            </w:r>
          </w:p>
        </w:tc>
        <w:tc>
          <w:tcPr>
            <w:tcW w:w="805"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w:t>
            </w:r>
          </w:p>
        </w:tc>
        <w:tc>
          <w:tcPr>
            <w:tcW w:w="1201" w:type="dxa"/>
            <w:vMerge w:val="restart"/>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31</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19</w:t>
            </w:r>
          </w:p>
        </w:tc>
        <w:tc>
          <w:tcPr>
            <w:tcW w:w="631" w:type="dxa"/>
            <w:vMerge w:val="restart"/>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12</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10</w:t>
            </w:r>
          </w:p>
        </w:tc>
        <w:tc>
          <w:tcPr>
            <w:tcW w:w="804" w:type="dxa"/>
            <w:vMerge w:val="restart"/>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19</w:t>
            </w:r>
          </w:p>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9</w:t>
            </w:r>
          </w:p>
        </w:tc>
      </w:tr>
      <w:tr w:rsidR="00CF48C6" w:rsidRPr="00F018C1" w:rsidTr="007C61FA">
        <w:tc>
          <w:tcPr>
            <w:tcW w:w="3953" w:type="dxa"/>
            <w:tcBorders>
              <w:top w:val="nil"/>
              <w:bottom w:val="nil"/>
            </w:tcBorders>
            <w:shd w:val="clear" w:color="auto" w:fill="auto"/>
          </w:tcPr>
          <w:p w:rsidR="00CF48C6" w:rsidRPr="00F018C1" w:rsidRDefault="00CF48C6" w:rsidP="007C61FA">
            <w:pPr>
              <w:pStyle w:val="NormalIndented"/>
              <w:spacing w:before="60" w:after="0" w:line="240" w:lineRule="auto"/>
              <w:rPr>
                <w:rFonts w:asciiTheme="minorHAnsi" w:hAnsiTheme="minorHAnsi"/>
                <w:color w:val="auto"/>
                <w:sz w:val="18"/>
                <w:szCs w:val="18"/>
              </w:rPr>
            </w:pPr>
            <w:r w:rsidRPr="00F018C1">
              <w:rPr>
                <w:rFonts w:asciiTheme="minorHAnsi" w:hAnsiTheme="minorHAnsi"/>
                <w:color w:val="auto"/>
                <w:sz w:val="18"/>
                <w:szCs w:val="18"/>
              </w:rPr>
              <w:t>Australia Awards Endeavour Fellowships</w:t>
            </w:r>
          </w:p>
        </w:tc>
        <w:tc>
          <w:tcPr>
            <w:tcW w:w="9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3</w:t>
            </w:r>
          </w:p>
        </w:tc>
        <w:tc>
          <w:tcPr>
            <w:tcW w:w="634"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1</w:t>
            </w:r>
          </w:p>
        </w:tc>
        <w:tc>
          <w:tcPr>
            <w:tcW w:w="805" w:type="dxa"/>
            <w:tcBorders>
              <w:top w:val="nil"/>
              <w:bottom w:val="nil"/>
            </w:tcBorders>
            <w:shd w:val="clear" w:color="auto" w:fill="auto"/>
          </w:tcPr>
          <w:p w:rsidR="00CF48C6" w:rsidRPr="00F018C1" w:rsidRDefault="00CF48C6" w:rsidP="007C61FA">
            <w:pPr>
              <w:spacing w:before="60" w:after="0" w:line="240" w:lineRule="auto"/>
              <w:jc w:val="right"/>
              <w:rPr>
                <w:rFonts w:asciiTheme="minorHAnsi" w:hAnsiTheme="minorHAnsi"/>
                <w:color w:val="auto"/>
                <w:sz w:val="18"/>
                <w:szCs w:val="18"/>
              </w:rPr>
            </w:pPr>
            <w:r w:rsidRPr="00F018C1">
              <w:rPr>
                <w:rFonts w:asciiTheme="minorHAnsi" w:hAnsiTheme="minorHAnsi"/>
                <w:color w:val="auto"/>
                <w:sz w:val="18"/>
                <w:szCs w:val="18"/>
              </w:rPr>
              <w:t>2</w:t>
            </w:r>
          </w:p>
        </w:tc>
        <w:tc>
          <w:tcPr>
            <w:tcW w:w="1201" w:type="dxa"/>
            <w:vMerge/>
            <w:tcBorders>
              <w:top w:val="nil"/>
              <w:bottom w:val="nil"/>
            </w:tcBorders>
            <w:shd w:val="clear" w:color="auto" w:fill="auto"/>
          </w:tcPr>
          <w:p w:rsidR="00CF48C6" w:rsidRPr="00F018C1" w:rsidRDefault="00CF48C6" w:rsidP="007C61FA">
            <w:pPr>
              <w:spacing w:before="60" w:after="0" w:line="240" w:lineRule="auto"/>
              <w:jc w:val="right"/>
              <w:rPr>
                <w:rFonts w:ascii="Helvetica" w:hAnsi="Helvetica"/>
                <w:color w:val="auto"/>
                <w:szCs w:val="18"/>
              </w:rPr>
            </w:pPr>
          </w:p>
        </w:tc>
        <w:tc>
          <w:tcPr>
            <w:tcW w:w="631" w:type="dxa"/>
            <w:vMerge/>
            <w:tcBorders>
              <w:top w:val="nil"/>
              <w:bottom w:val="nil"/>
            </w:tcBorders>
            <w:shd w:val="clear" w:color="auto" w:fill="auto"/>
          </w:tcPr>
          <w:p w:rsidR="00CF48C6" w:rsidRPr="00F018C1" w:rsidRDefault="00CF48C6" w:rsidP="007C61FA">
            <w:pPr>
              <w:spacing w:before="60" w:after="0" w:line="240" w:lineRule="auto"/>
              <w:jc w:val="right"/>
              <w:rPr>
                <w:rFonts w:ascii="Helvetica" w:hAnsi="Helvetica"/>
                <w:color w:val="auto"/>
                <w:szCs w:val="18"/>
                <w:highlight w:val="yellow"/>
              </w:rPr>
            </w:pPr>
          </w:p>
        </w:tc>
        <w:tc>
          <w:tcPr>
            <w:tcW w:w="804" w:type="dxa"/>
            <w:vMerge/>
            <w:tcBorders>
              <w:top w:val="nil"/>
              <w:bottom w:val="nil"/>
            </w:tcBorders>
            <w:shd w:val="clear" w:color="auto" w:fill="auto"/>
          </w:tcPr>
          <w:p w:rsidR="00CF48C6" w:rsidRPr="00F018C1" w:rsidRDefault="00CF48C6" w:rsidP="007C61FA">
            <w:pPr>
              <w:spacing w:before="60" w:after="0" w:line="240" w:lineRule="auto"/>
              <w:jc w:val="right"/>
              <w:rPr>
                <w:rFonts w:ascii="Helvetica" w:hAnsi="Helvetica"/>
                <w:color w:val="auto"/>
                <w:szCs w:val="18"/>
                <w:highlight w:val="yellow"/>
              </w:rPr>
            </w:pPr>
          </w:p>
        </w:tc>
      </w:tr>
      <w:tr w:rsidR="00CF48C6" w:rsidRPr="00F018C1" w:rsidTr="007C61FA">
        <w:tc>
          <w:tcPr>
            <w:tcW w:w="3953" w:type="dxa"/>
            <w:tcBorders>
              <w:top w:val="nil"/>
            </w:tcBorders>
            <w:shd w:val="clear" w:color="auto" w:fill="auto"/>
          </w:tcPr>
          <w:p w:rsidR="00CF48C6" w:rsidRPr="00F018C1" w:rsidRDefault="00CF48C6" w:rsidP="007C61FA">
            <w:pPr>
              <w:pStyle w:val="NormalIndented"/>
              <w:spacing w:before="60" w:after="0" w:line="240" w:lineRule="auto"/>
              <w:rPr>
                <w:rFonts w:asciiTheme="minorHAnsi" w:hAnsiTheme="minorHAnsi"/>
                <w:i/>
                <w:color w:val="auto"/>
                <w:sz w:val="18"/>
                <w:szCs w:val="18"/>
              </w:rPr>
            </w:pPr>
            <w:r w:rsidRPr="00F018C1">
              <w:rPr>
                <w:rFonts w:asciiTheme="minorHAnsi" w:hAnsiTheme="minorHAnsi"/>
                <w:i/>
                <w:color w:val="auto"/>
                <w:sz w:val="18"/>
                <w:szCs w:val="18"/>
              </w:rPr>
              <w:t>Total</w:t>
            </w:r>
          </w:p>
        </w:tc>
        <w:tc>
          <w:tcPr>
            <w:tcW w:w="934"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221</w:t>
            </w:r>
          </w:p>
        </w:tc>
        <w:tc>
          <w:tcPr>
            <w:tcW w:w="634"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89</w:t>
            </w:r>
          </w:p>
        </w:tc>
        <w:tc>
          <w:tcPr>
            <w:tcW w:w="805"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132</w:t>
            </w:r>
          </w:p>
        </w:tc>
        <w:tc>
          <w:tcPr>
            <w:tcW w:w="1201"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272</w:t>
            </w:r>
          </w:p>
        </w:tc>
        <w:tc>
          <w:tcPr>
            <w:tcW w:w="631"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112</w:t>
            </w:r>
          </w:p>
        </w:tc>
        <w:tc>
          <w:tcPr>
            <w:tcW w:w="804" w:type="dxa"/>
            <w:tcBorders>
              <w:top w:val="nil"/>
            </w:tcBorders>
            <w:shd w:val="clear" w:color="auto" w:fill="auto"/>
            <w:vAlign w:val="center"/>
          </w:tcPr>
          <w:p w:rsidR="00CF48C6" w:rsidRPr="00F018C1" w:rsidRDefault="00CF48C6" w:rsidP="007C61FA">
            <w:pPr>
              <w:spacing w:before="60" w:after="0" w:line="240" w:lineRule="auto"/>
              <w:jc w:val="right"/>
              <w:rPr>
                <w:rFonts w:asciiTheme="minorHAnsi" w:hAnsiTheme="minorHAnsi"/>
                <w:i/>
                <w:color w:val="auto"/>
                <w:sz w:val="18"/>
                <w:szCs w:val="18"/>
              </w:rPr>
            </w:pPr>
            <w:r w:rsidRPr="00F018C1">
              <w:rPr>
                <w:rFonts w:asciiTheme="minorHAnsi" w:hAnsiTheme="minorHAnsi"/>
                <w:i/>
                <w:color w:val="auto"/>
                <w:sz w:val="18"/>
                <w:szCs w:val="18"/>
              </w:rPr>
              <w:t>160</w:t>
            </w:r>
          </w:p>
        </w:tc>
      </w:tr>
    </w:tbl>
    <w:p w:rsidR="00CF48C6" w:rsidRPr="00F018C1" w:rsidRDefault="00CF48C6" w:rsidP="00CF48C6">
      <w:pPr>
        <w:pStyle w:val="BodyText"/>
        <w:rPr>
          <w:rFonts w:asciiTheme="minorHAnsi" w:hAnsiTheme="minorHAnsi"/>
          <w:color w:val="auto"/>
          <w:sz w:val="22"/>
          <w:szCs w:val="22"/>
        </w:rPr>
      </w:pPr>
    </w:p>
    <w:p w:rsidR="00CF48C6" w:rsidRPr="00F018C1" w:rsidRDefault="00CF48C6" w:rsidP="00CF48C6">
      <w:pPr>
        <w:pStyle w:val="BodyText"/>
        <w:jc w:val="both"/>
        <w:rPr>
          <w:rFonts w:asciiTheme="minorHAnsi" w:hAnsiTheme="minorHAnsi"/>
          <w:i/>
          <w:color w:val="auto"/>
          <w:sz w:val="22"/>
          <w:szCs w:val="22"/>
        </w:rPr>
      </w:pPr>
      <w:r w:rsidRPr="00F018C1">
        <w:rPr>
          <w:rFonts w:asciiTheme="minorHAnsi" w:hAnsiTheme="minorHAnsi"/>
          <w:i/>
          <w:color w:val="auto"/>
          <w:sz w:val="22"/>
          <w:szCs w:val="22"/>
        </w:rPr>
        <w:t>Alumni</w:t>
      </w:r>
    </w:p>
    <w:p w:rsidR="00CF48C6" w:rsidRPr="00E53550" w:rsidRDefault="00CF48C6" w:rsidP="00CF48C6">
      <w:pPr>
        <w:pStyle w:val="BodyText"/>
        <w:jc w:val="both"/>
        <w:rPr>
          <w:color w:val="auto"/>
          <w:szCs w:val="21"/>
        </w:rPr>
      </w:pPr>
      <w:r w:rsidRPr="00E53550">
        <w:rPr>
          <w:rFonts w:asciiTheme="minorHAnsi" w:hAnsiTheme="minorHAnsi"/>
          <w:color w:val="auto"/>
          <w:szCs w:val="21"/>
        </w:rPr>
        <w:t xml:space="preserve">We strengthened our engagement with the 60,000 Vietnamese alumni through the launch of the </w:t>
      </w:r>
      <w:r w:rsidRPr="00504096">
        <w:rPr>
          <w:rFonts w:asciiTheme="minorHAnsi" w:hAnsiTheme="minorHAnsi"/>
          <w:i/>
          <w:color w:val="auto"/>
          <w:szCs w:val="21"/>
        </w:rPr>
        <w:t>Australian Alumni in Vietnam Strategy</w:t>
      </w:r>
      <w:r w:rsidRPr="00E53550">
        <w:rPr>
          <w:rFonts w:asciiTheme="minorHAnsi" w:hAnsiTheme="minorHAnsi"/>
          <w:color w:val="auto"/>
          <w:szCs w:val="21"/>
        </w:rPr>
        <w:t xml:space="preserve"> in December 2016, which draws on the Global Alumni Strategy to mobilise, connect and celebrate alumni achievements. A range of innovative engagement activities has been implemented since the launch, including a new Facebook page (with over 3</w:t>
      </w:r>
      <w:r w:rsidR="00DD52CE">
        <w:rPr>
          <w:rFonts w:asciiTheme="minorHAnsi" w:hAnsiTheme="minorHAnsi"/>
          <w:color w:val="auto"/>
          <w:szCs w:val="21"/>
        </w:rPr>
        <w:t>,</w:t>
      </w:r>
      <w:r w:rsidRPr="00E53550">
        <w:rPr>
          <w:rFonts w:asciiTheme="minorHAnsi" w:hAnsiTheme="minorHAnsi"/>
          <w:color w:val="auto"/>
          <w:szCs w:val="21"/>
        </w:rPr>
        <w:t>500 followers by the end of June 2017) and thematic professional development and networking events, held in collaboration with other government agencies, universities and alumni networks, and hosted by high level Embassy and Consulate General representatives.</w:t>
      </w:r>
    </w:p>
    <w:p w:rsidR="00CF48C6" w:rsidRPr="00E53550" w:rsidRDefault="00CF48C6" w:rsidP="00CF48C6">
      <w:pPr>
        <w:pStyle w:val="BodyText"/>
        <w:jc w:val="both"/>
        <w:rPr>
          <w:i/>
          <w:color w:val="auto"/>
          <w:szCs w:val="21"/>
        </w:rPr>
      </w:pPr>
      <w:r w:rsidRPr="00E53550">
        <w:rPr>
          <w:rFonts w:cs="FranklinGothic-Book"/>
          <w:i/>
          <w:color w:val="auto"/>
          <w:szCs w:val="21"/>
        </w:rPr>
        <w:t>Australian Volunteers for International Development (AVID)</w:t>
      </w:r>
    </w:p>
    <w:p w:rsidR="00CF48C6" w:rsidRPr="00E53550" w:rsidRDefault="00CF48C6" w:rsidP="00CF48C6">
      <w:pPr>
        <w:pStyle w:val="BodyText"/>
        <w:jc w:val="both"/>
        <w:rPr>
          <w:rFonts w:asciiTheme="minorHAnsi" w:hAnsiTheme="minorHAnsi"/>
          <w:b/>
          <w:color w:val="auto"/>
          <w:szCs w:val="21"/>
        </w:rPr>
      </w:pPr>
      <w:r w:rsidRPr="00E53550">
        <w:rPr>
          <w:rFonts w:asciiTheme="minorHAnsi" w:hAnsiTheme="minorHAnsi"/>
          <w:color w:val="auto"/>
          <w:szCs w:val="21"/>
        </w:rPr>
        <w:t xml:space="preserve">Australia’s volunteer program also played a role in improving the quality of Vietnam’s human resources. In 2016-17, 43 new AVID participants (including 23 women – 53 percent of the total) were placed in Vietnam to build capacity of host organisations in sectors of high priority to both governments and promote positive people-to-people links between individuals, organizations and communities. For example, an AVID volunteer continued his second assignment </w:t>
      </w:r>
      <w:r w:rsidR="001631A3">
        <w:rPr>
          <w:rFonts w:asciiTheme="minorHAnsi" w:hAnsiTheme="minorHAnsi"/>
          <w:color w:val="auto"/>
          <w:szCs w:val="21"/>
        </w:rPr>
        <w:t xml:space="preserve">in a position of key influence </w:t>
      </w:r>
      <w:r w:rsidRPr="00E53550">
        <w:rPr>
          <w:rFonts w:asciiTheme="minorHAnsi" w:hAnsiTheme="minorHAnsi"/>
          <w:color w:val="auto"/>
          <w:szCs w:val="21"/>
        </w:rPr>
        <w:t xml:space="preserve">as the Principal Environment Policy Adviser to Vietnam’s Minister of Natural Resources and Environment to assist implementation of environmental protection policies. </w:t>
      </w:r>
    </w:p>
    <w:p w:rsidR="00CF48C6" w:rsidRPr="00E53550" w:rsidRDefault="00CF48C6" w:rsidP="00CF48C6">
      <w:pPr>
        <w:pStyle w:val="BodyText"/>
        <w:jc w:val="both"/>
        <w:rPr>
          <w:rFonts w:cs="FranklinGothic-Book"/>
          <w:i/>
          <w:color w:val="auto"/>
          <w:szCs w:val="21"/>
        </w:rPr>
      </w:pPr>
      <w:r w:rsidRPr="00E53550">
        <w:rPr>
          <w:i/>
          <w:color w:val="auto"/>
          <w:szCs w:val="21"/>
        </w:rPr>
        <w:t>Policy dialogue</w:t>
      </w:r>
    </w:p>
    <w:p w:rsidR="00CF48C6" w:rsidRPr="00E53550" w:rsidRDefault="00CF48C6" w:rsidP="00CF48C6">
      <w:pPr>
        <w:pStyle w:val="BodyText"/>
        <w:jc w:val="both"/>
        <w:rPr>
          <w:rFonts w:asciiTheme="minorHAnsi" w:hAnsiTheme="minorHAnsi"/>
          <w:color w:val="auto"/>
          <w:szCs w:val="21"/>
        </w:rPr>
      </w:pPr>
      <w:r w:rsidRPr="00E53550">
        <w:rPr>
          <w:rFonts w:asciiTheme="minorHAnsi" w:hAnsiTheme="minorHAnsi"/>
          <w:color w:val="auto"/>
          <w:szCs w:val="21"/>
        </w:rPr>
        <w:t xml:space="preserve">Australia has engaged in policy dialogue with Vietnam on </w:t>
      </w:r>
      <w:r w:rsidR="00DD52CE">
        <w:rPr>
          <w:rFonts w:asciiTheme="minorHAnsi" w:hAnsiTheme="minorHAnsi"/>
          <w:color w:val="auto"/>
          <w:szCs w:val="21"/>
        </w:rPr>
        <w:t>HRD</w:t>
      </w:r>
      <w:r w:rsidRPr="00E53550">
        <w:rPr>
          <w:rFonts w:asciiTheme="minorHAnsi" w:hAnsiTheme="minorHAnsi"/>
          <w:color w:val="auto"/>
          <w:szCs w:val="21"/>
        </w:rPr>
        <w:t xml:space="preserve"> and education under the action plan for the Australia-Vietnam Joint Working Group on Education and Training. Australia’s policy advocacy has focussed on working with the Government of Vietnam as it reviews and revises the draft decree for implementation of the laws on vocational education and training. DFAT and the Department of Education have continued to work closely on HRD-related APEC meetings and projects.</w:t>
      </w:r>
    </w:p>
    <w:p w:rsidR="00DB56CE" w:rsidRPr="00601728" w:rsidRDefault="00DB56CE" w:rsidP="00DB56C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601728">
        <w:rPr>
          <w:rFonts w:asciiTheme="majorHAnsi" w:eastAsiaTheme="majorEastAsia" w:hAnsiTheme="majorHAnsi" w:cstheme="majorBidi"/>
          <w:caps/>
          <w:color w:val="auto"/>
          <w:sz w:val="38"/>
          <w:szCs w:val="26"/>
          <w:lang w:val="en-GB" w:eastAsia="en-US"/>
        </w:rPr>
        <w:t xml:space="preserve">Objective 3 – Promoting women’s economic empowerment, including ethnic minorities </w:t>
      </w:r>
    </w:p>
    <w:p w:rsidR="00DB56CE" w:rsidRPr="00601728" w:rsidRDefault="00DB56CE" w:rsidP="00DB56CE">
      <w:pPr>
        <w:rPr>
          <w:color w:val="auto"/>
        </w:rPr>
      </w:pPr>
      <w:r w:rsidRPr="00601728">
        <w:rPr>
          <w:color w:val="auto"/>
          <w:sz w:val="24"/>
          <w:szCs w:val="24"/>
        </w:rPr>
        <w:t xml:space="preserve">Contributes to SDGs: </w:t>
      </w:r>
    </w:p>
    <w:p w:rsidR="00DB56CE" w:rsidRDefault="00DB56CE" w:rsidP="00DB56CE">
      <w:r>
        <w:rPr>
          <w:noProof/>
          <w:sz w:val="24"/>
          <w:szCs w:val="24"/>
          <w:lang w:val="en-AU" w:eastAsia="en-AU"/>
        </w:rPr>
        <w:drawing>
          <wp:inline distT="0" distB="0" distL="0" distR="0" wp14:anchorId="08C1ACF9" wp14:editId="0915717A">
            <wp:extent cx="612140" cy="612140"/>
            <wp:effectExtent l="0" t="0" r="0" b="0"/>
            <wp:docPr id="21" name="Image35"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5" descr="\\TITAN\CHCH\Desktop\scarpen2\Desktop\New folder (2)\SDG 1.png"/>
                    <pic:cNvPicPr>
                      <a:picLocks noChangeAspect="1" noChangeArrowheads="1"/>
                    </pic:cNvPicPr>
                  </pic:nvPicPr>
                  <pic:blipFill>
                    <a:blip r:embed="rId18"/>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16AEFE75" wp14:editId="52649DA1">
            <wp:extent cx="612140" cy="612140"/>
            <wp:effectExtent l="0" t="0" r="0" b="0"/>
            <wp:docPr id="22"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6"/>
                    <pic:cNvPicPr>
                      <a:picLocks noChangeAspect="1" noChangeArrowheads="1"/>
                    </pic:cNvPicPr>
                  </pic:nvPicPr>
                  <pic:blipFill>
                    <a:blip r:embed="rId26"/>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78FFFC22" wp14:editId="0F788B9B">
            <wp:extent cx="612140" cy="612140"/>
            <wp:effectExtent l="0" t="0" r="0" b="0"/>
            <wp:docPr id="23"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0"/>
                    <pic:cNvPicPr>
                      <a:picLocks noChangeAspect="1" noChangeArrowheads="1"/>
                    </pic:cNvPicPr>
                  </pic:nvPicPr>
                  <pic:blipFill>
                    <a:blip r:embed="rId19"/>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1E90787A" wp14:editId="276A9885">
            <wp:extent cx="609600" cy="609600"/>
            <wp:effectExtent l="0" t="0" r="0" b="0"/>
            <wp:docPr id="24" name="Image44"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4" descr="C:\Users\scarpen2\AppData\Local\Microsoft\Windows\INetCache\Content.Word\SDG 8.png"/>
                    <pic:cNvPicPr>
                      <a:picLocks noChangeAspect="1" noChangeArrowheads="1"/>
                    </pic:cNvPicPr>
                  </pic:nvPicPr>
                  <pic:blipFill>
                    <a:blip r:embed="rId21"/>
                    <a:stretch>
                      <a:fillRect/>
                    </a:stretch>
                  </pic:blipFill>
                  <pic:spPr bwMode="auto">
                    <a:xfrm>
                      <a:off x="0" y="0"/>
                      <a:ext cx="609600" cy="609600"/>
                    </a:xfrm>
                    <a:prstGeom prst="rect">
                      <a:avLst/>
                    </a:prstGeom>
                  </pic:spPr>
                </pic:pic>
              </a:graphicData>
            </a:graphic>
          </wp:inline>
        </w:drawing>
      </w:r>
      <w:r>
        <w:rPr>
          <w:noProof/>
          <w:sz w:val="24"/>
          <w:szCs w:val="24"/>
          <w:lang w:val="en-AU" w:eastAsia="en-AU"/>
        </w:rPr>
        <w:drawing>
          <wp:inline distT="0" distB="0" distL="0" distR="0" wp14:anchorId="3F69E2A2" wp14:editId="5C284328">
            <wp:extent cx="612140" cy="612140"/>
            <wp:effectExtent l="0" t="0" r="0" b="0"/>
            <wp:docPr id="25"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6"/>
                    <pic:cNvPicPr>
                      <a:picLocks noChangeAspect="1" noChangeArrowheads="1"/>
                    </pic:cNvPicPr>
                  </pic:nvPicPr>
                  <pic:blipFill>
                    <a:blip r:embed="rId27"/>
                    <a:stretch>
                      <a:fillRect/>
                    </a:stretch>
                  </pic:blipFill>
                  <pic:spPr bwMode="auto">
                    <a:xfrm>
                      <a:off x="0" y="0"/>
                      <a:ext cx="612140" cy="612140"/>
                    </a:xfrm>
                    <a:prstGeom prst="rect">
                      <a:avLst/>
                    </a:prstGeom>
                  </pic:spPr>
                </pic:pic>
              </a:graphicData>
            </a:graphic>
          </wp:inline>
        </w:drawing>
      </w:r>
      <w:r>
        <w:rPr>
          <w:noProof/>
          <w:sz w:val="24"/>
          <w:szCs w:val="24"/>
          <w:lang w:val="en-AU" w:eastAsia="en-AU"/>
        </w:rPr>
        <w:drawing>
          <wp:inline distT="0" distB="0" distL="0" distR="0" wp14:anchorId="0FA53B5D" wp14:editId="50E30C7E">
            <wp:extent cx="612140" cy="612140"/>
            <wp:effectExtent l="0" t="0" r="0" b="0"/>
            <wp:docPr id="26" name="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2"/>
                    <pic:cNvPicPr>
                      <a:picLocks noChangeAspect="1" noChangeArrowheads="1"/>
                    </pic:cNvPicPr>
                  </pic:nvPicPr>
                  <pic:blipFill>
                    <a:blip r:embed="rId24"/>
                    <a:stretch>
                      <a:fillRect/>
                    </a:stretch>
                  </pic:blipFill>
                  <pic:spPr bwMode="auto">
                    <a:xfrm>
                      <a:off x="0" y="0"/>
                      <a:ext cx="612140" cy="612140"/>
                    </a:xfrm>
                    <a:prstGeom prst="rect">
                      <a:avLst/>
                    </a:prstGeom>
                  </pic:spPr>
                </pic:pic>
              </a:graphicData>
            </a:graphic>
          </wp:inline>
        </w:drawing>
      </w:r>
    </w:p>
    <w:p w:rsidR="00D45C06" w:rsidRPr="00F25E1E" w:rsidRDefault="00D45C06" w:rsidP="00D45C06">
      <w:pPr>
        <w:pStyle w:val="Default"/>
        <w:jc w:val="both"/>
        <w:rPr>
          <w:color w:val="auto"/>
          <w:sz w:val="21"/>
          <w:szCs w:val="21"/>
        </w:rPr>
      </w:pPr>
      <w:r w:rsidRPr="00F25E1E">
        <w:rPr>
          <w:rFonts w:asciiTheme="minorHAnsi" w:hAnsiTheme="minorHAnsi" w:cs="Times New Roman"/>
          <w:color w:val="auto"/>
          <w:sz w:val="21"/>
          <w:szCs w:val="21"/>
        </w:rPr>
        <w:t>Progress against this objective did not meet expectations due to</w:t>
      </w:r>
      <w:r w:rsidRPr="00F25E1E">
        <w:rPr>
          <w:rFonts w:asciiTheme="minorHAnsi" w:hAnsiTheme="minorHAnsi" w:cs="Times New Roman"/>
          <w:b/>
          <w:color w:val="auto"/>
          <w:sz w:val="21"/>
          <w:szCs w:val="21"/>
        </w:rPr>
        <w:t xml:space="preserve"> </w:t>
      </w:r>
      <w:r w:rsidRPr="00F25E1E">
        <w:rPr>
          <w:rFonts w:asciiTheme="minorHAnsi" w:hAnsiTheme="minorHAnsi" w:cs="Times New Roman"/>
          <w:color w:val="auto"/>
          <w:sz w:val="21"/>
          <w:szCs w:val="21"/>
        </w:rPr>
        <w:t xml:space="preserve">delays in Government of Vietnam approval of two flagship investments. Established investments remain on track. </w:t>
      </w:r>
    </w:p>
    <w:p w:rsidR="00D45C06" w:rsidRPr="00F25E1E" w:rsidRDefault="00D45C06" w:rsidP="00D45C06">
      <w:pPr>
        <w:pStyle w:val="Default"/>
        <w:jc w:val="both"/>
        <w:rPr>
          <w:rFonts w:asciiTheme="minorHAnsi" w:hAnsiTheme="minorHAnsi" w:cs="Times New Roman"/>
          <w:color w:val="auto"/>
          <w:sz w:val="21"/>
          <w:szCs w:val="21"/>
        </w:rPr>
      </w:pPr>
    </w:p>
    <w:p w:rsidR="001631A3" w:rsidRPr="00F25E1E" w:rsidRDefault="001631A3" w:rsidP="001631A3">
      <w:pPr>
        <w:pStyle w:val="BodyText"/>
        <w:jc w:val="both"/>
        <w:rPr>
          <w:rFonts w:asciiTheme="minorHAnsi" w:hAnsiTheme="minorHAnsi"/>
          <w:i/>
          <w:color w:val="auto"/>
          <w:szCs w:val="21"/>
        </w:rPr>
      </w:pPr>
      <w:r w:rsidRPr="00F25E1E">
        <w:rPr>
          <w:rFonts w:asciiTheme="minorHAnsi" w:hAnsiTheme="minorHAnsi"/>
          <w:i/>
          <w:szCs w:val="21"/>
        </w:rPr>
        <w:t>Gender equality strategy</w:t>
      </w:r>
    </w:p>
    <w:p w:rsidR="001631A3" w:rsidRPr="00F25E1E" w:rsidRDefault="001631A3" w:rsidP="001631A3">
      <w:pPr>
        <w:pStyle w:val="BodyText"/>
        <w:jc w:val="both"/>
        <w:rPr>
          <w:color w:val="auto"/>
          <w:szCs w:val="21"/>
        </w:rPr>
      </w:pPr>
      <w:r w:rsidRPr="00F25E1E">
        <w:rPr>
          <w:rFonts w:asciiTheme="minorHAnsi" w:hAnsiTheme="minorHAnsi"/>
          <w:color w:val="auto"/>
          <w:szCs w:val="21"/>
        </w:rPr>
        <w:t xml:space="preserve">The </w:t>
      </w:r>
      <w:r w:rsidRPr="00F25E1E">
        <w:rPr>
          <w:rFonts w:asciiTheme="minorHAnsi" w:hAnsiTheme="minorHAnsi"/>
          <w:i/>
          <w:color w:val="auto"/>
          <w:szCs w:val="21"/>
        </w:rPr>
        <w:t>Australia in Vietnam Gender Equality Strategy</w:t>
      </w:r>
      <w:r w:rsidR="00DD52CE">
        <w:rPr>
          <w:rFonts w:asciiTheme="minorHAnsi" w:hAnsiTheme="minorHAnsi"/>
          <w:i/>
          <w:color w:val="auto"/>
          <w:szCs w:val="21"/>
        </w:rPr>
        <w:t xml:space="preserve"> 2016-2020</w:t>
      </w:r>
      <w:r w:rsidRPr="00F25E1E">
        <w:rPr>
          <w:rFonts w:asciiTheme="minorHAnsi" w:hAnsiTheme="minorHAnsi"/>
          <w:i/>
          <w:color w:val="auto"/>
          <w:szCs w:val="21"/>
        </w:rPr>
        <w:t xml:space="preserve"> </w:t>
      </w:r>
      <w:r w:rsidRPr="00F25E1E">
        <w:rPr>
          <w:rFonts w:asciiTheme="minorHAnsi" w:hAnsiTheme="minorHAnsi"/>
          <w:color w:val="auto"/>
          <w:szCs w:val="21"/>
        </w:rPr>
        <w:t xml:space="preserve">was launched in November 2016 </w:t>
      </w:r>
      <w:r>
        <w:rPr>
          <w:rFonts w:asciiTheme="minorHAnsi" w:hAnsiTheme="minorHAnsi"/>
          <w:color w:val="auto"/>
          <w:szCs w:val="21"/>
        </w:rPr>
        <w:t xml:space="preserve">by Deputy Secretary Gary Quinlan </w:t>
      </w:r>
      <w:r w:rsidRPr="00F25E1E">
        <w:rPr>
          <w:rFonts w:asciiTheme="minorHAnsi" w:hAnsiTheme="minorHAnsi"/>
          <w:color w:val="auto"/>
          <w:szCs w:val="21"/>
        </w:rPr>
        <w:t xml:space="preserve">and is driving Australia’s </w:t>
      </w:r>
      <w:r>
        <w:rPr>
          <w:rFonts w:asciiTheme="minorHAnsi" w:hAnsiTheme="minorHAnsi"/>
          <w:color w:val="auto"/>
          <w:szCs w:val="21"/>
        </w:rPr>
        <w:t>w</w:t>
      </w:r>
      <w:r w:rsidRPr="00F25E1E">
        <w:rPr>
          <w:rFonts w:asciiTheme="minorHAnsi" w:hAnsiTheme="minorHAnsi"/>
          <w:color w:val="auto"/>
          <w:szCs w:val="21"/>
        </w:rPr>
        <w:t>hole-of-</w:t>
      </w:r>
      <w:r>
        <w:rPr>
          <w:rFonts w:asciiTheme="minorHAnsi" w:hAnsiTheme="minorHAnsi"/>
          <w:color w:val="auto"/>
          <w:szCs w:val="21"/>
        </w:rPr>
        <w:t>g</w:t>
      </w:r>
      <w:r w:rsidRPr="00F25E1E">
        <w:rPr>
          <w:rFonts w:asciiTheme="minorHAnsi" w:hAnsiTheme="minorHAnsi"/>
          <w:color w:val="auto"/>
          <w:szCs w:val="21"/>
        </w:rPr>
        <w:t xml:space="preserve">overnment approach to promoting women’s economic empowerment and gender equality in Vietnam. The Strategy has enhanced Australia’s reputation as a gender equality champion in Vietnam and increased our engagement on gender equality policy with the Government and </w:t>
      </w:r>
      <w:r>
        <w:rPr>
          <w:rFonts w:asciiTheme="minorHAnsi" w:hAnsiTheme="minorHAnsi"/>
          <w:color w:val="auto"/>
          <w:szCs w:val="21"/>
        </w:rPr>
        <w:t xml:space="preserve">in </w:t>
      </w:r>
      <w:r w:rsidRPr="00F25E1E">
        <w:rPr>
          <w:rFonts w:asciiTheme="minorHAnsi" w:hAnsiTheme="minorHAnsi"/>
          <w:color w:val="auto"/>
          <w:szCs w:val="21"/>
        </w:rPr>
        <w:t>regional forums such as APEC.</w:t>
      </w:r>
      <w:r>
        <w:rPr>
          <w:rFonts w:asciiTheme="minorHAnsi" w:hAnsiTheme="minorHAnsi"/>
          <w:color w:val="auto"/>
          <w:szCs w:val="21"/>
        </w:rPr>
        <w:t xml:space="preserve">  We are viewed as the partner of choice by the Government of Vietnam on gender, and are the largest grant donor. </w:t>
      </w:r>
    </w:p>
    <w:p w:rsidR="00D45C06" w:rsidRPr="00F25E1E" w:rsidRDefault="00D45C06" w:rsidP="00D45C06">
      <w:pPr>
        <w:pStyle w:val="BodyText"/>
        <w:jc w:val="both"/>
        <w:rPr>
          <w:rFonts w:asciiTheme="minorHAnsi" w:hAnsiTheme="minorHAnsi"/>
          <w:i/>
          <w:color w:val="auto"/>
          <w:szCs w:val="21"/>
        </w:rPr>
      </w:pPr>
      <w:r w:rsidRPr="00F25E1E">
        <w:rPr>
          <w:rFonts w:cs="FranklinGothic-Book"/>
          <w:i/>
          <w:color w:val="151716" w:themeColor="background2" w:themeShade="1A"/>
          <w:szCs w:val="21"/>
        </w:rPr>
        <w:t>Aus4Equality</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Promoting gender equality and women’s economic empowerment is a key focus for Australia’s aid program in Vietnam. Our Aus4Equality investments will promote economic empowerment among ethnic minority women, focusing on their equitable participation in agriculture and tourism, and support women’s leadership in business.</w:t>
      </w:r>
    </w:p>
    <w:p w:rsidR="00D45C06"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 xml:space="preserve">The </w:t>
      </w:r>
      <w:r w:rsidRPr="00504096">
        <w:rPr>
          <w:rFonts w:asciiTheme="minorHAnsi" w:hAnsiTheme="minorHAnsi"/>
          <w:bCs/>
          <w:color w:val="auto"/>
          <w:szCs w:val="21"/>
        </w:rPr>
        <w:t>Women’s Economic Empowerment through Agricultural Value Chain Enhancement (WEAVE)</w:t>
      </w:r>
      <w:r w:rsidRPr="00F25E1E">
        <w:rPr>
          <w:rFonts w:asciiTheme="minorHAnsi" w:hAnsiTheme="minorHAnsi"/>
          <w:b/>
          <w:bCs/>
          <w:i/>
          <w:color w:val="auto"/>
          <w:szCs w:val="21"/>
        </w:rPr>
        <w:t xml:space="preserve"> </w:t>
      </w:r>
      <w:r w:rsidRPr="00F25E1E">
        <w:rPr>
          <w:rFonts w:asciiTheme="minorHAnsi" w:hAnsiTheme="minorHAnsi"/>
          <w:color w:val="auto"/>
          <w:szCs w:val="21"/>
        </w:rPr>
        <w:t>pro</w:t>
      </w:r>
      <w:r w:rsidR="00AB6A43">
        <w:rPr>
          <w:rFonts w:asciiTheme="minorHAnsi" w:hAnsiTheme="minorHAnsi"/>
          <w:color w:val="auto"/>
          <w:szCs w:val="21"/>
        </w:rPr>
        <w:t>ject</w:t>
      </w:r>
      <w:r w:rsidRPr="00F25E1E">
        <w:rPr>
          <w:rFonts w:asciiTheme="minorHAnsi" w:hAnsiTheme="minorHAnsi"/>
          <w:color w:val="auto"/>
          <w:szCs w:val="21"/>
        </w:rPr>
        <w:t xml:space="preserve"> was launched by the Ambassador for Women and Girls in August 2016</w:t>
      </w:r>
      <w:r w:rsidR="009A04AE">
        <w:rPr>
          <w:rFonts w:asciiTheme="minorHAnsi" w:hAnsiTheme="minorHAnsi"/>
          <w:color w:val="auto"/>
          <w:szCs w:val="21"/>
        </w:rPr>
        <w:t xml:space="preserve"> and</w:t>
      </w:r>
      <w:r w:rsidRPr="00F25E1E">
        <w:rPr>
          <w:rFonts w:asciiTheme="minorHAnsi" w:hAnsiTheme="minorHAnsi"/>
          <w:color w:val="auto"/>
          <w:szCs w:val="21"/>
        </w:rPr>
        <w:t xml:space="preserve"> achieved positive results in </w:t>
      </w:r>
      <w:r w:rsidR="00DD52CE">
        <w:rPr>
          <w:rFonts w:asciiTheme="minorHAnsi" w:hAnsiTheme="minorHAnsi"/>
          <w:color w:val="auto"/>
          <w:szCs w:val="21"/>
        </w:rPr>
        <w:t>its</w:t>
      </w:r>
      <w:r w:rsidR="00DD52CE" w:rsidRPr="00F25E1E">
        <w:rPr>
          <w:rFonts w:asciiTheme="minorHAnsi" w:hAnsiTheme="minorHAnsi"/>
          <w:color w:val="auto"/>
          <w:szCs w:val="21"/>
        </w:rPr>
        <w:t xml:space="preserve"> </w:t>
      </w:r>
      <w:r w:rsidRPr="00F25E1E">
        <w:rPr>
          <w:rFonts w:asciiTheme="minorHAnsi" w:hAnsiTheme="minorHAnsi"/>
          <w:color w:val="auto"/>
          <w:szCs w:val="21"/>
        </w:rPr>
        <w:t>first year of implementation</w:t>
      </w:r>
      <w:r w:rsidR="009A04AE">
        <w:rPr>
          <w:rFonts w:asciiTheme="minorHAnsi" w:hAnsiTheme="minorHAnsi"/>
          <w:color w:val="auto"/>
          <w:szCs w:val="21"/>
        </w:rPr>
        <w:t xml:space="preserve">. </w:t>
      </w:r>
      <w:r w:rsidR="00AB6A43">
        <w:rPr>
          <w:rFonts w:asciiTheme="minorHAnsi" w:hAnsiTheme="minorHAnsi"/>
          <w:color w:val="auto"/>
          <w:szCs w:val="21"/>
        </w:rPr>
        <w:t xml:space="preserve">As of 30 June 2017, </w:t>
      </w:r>
      <w:r w:rsidR="009A04AE">
        <w:rPr>
          <w:rFonts w:asciiTheme="minorHAnsi" w:hAnsiTheme="minorHAnsi"/>
          <w:color w:val="auto"/>
          <w:szCs w:val="21"/>
        </w:rPr>
        <w:t xml:space="preserve">WEAVE </w:t>
      </w:r>
      <w:r w:rsidR="00AB6A43">
        <w:rPr>
          <w:rFonts w:asciiTheme="minorHAnsi" w:hAnsiTheme="minorHAnsi"/>
          <w:color w:val="auto"/>
          <w:szCs w:val="21"/>
        </w:rPr>
        <w:t xml:space="preserve">had </w:t>
      </w:r>
      <w:r w:rsidR="009A04AE">
        <w:rPr>
          <w:rFonts w:asciiTheme="minorHAnsi" w:hAnsiTheme="minorHAnsi"/>
          <w:color w:val="auto"/>
          <w:szCs w:val="21"/>
        </w:rPr>
        <w:t xml:space="preserve">supported </w:t>
      </w:r>
      <w:r w:rsidRPr="00F25E1E">
        <w:rPr>
          <w:rFonts w:asciiTheme="minorHAnsi" w:hAnsiTheme="minorHAnsi"/>
          <w:color w:val="auto"/>
          <w:szCs w:val="21"/>
        </w:rPr>
        <w:t>1,</w:t>
      </w:r>
      <w:r w:rsidR="00AB6A43">
        <w:rPr>
          <w:rFonts w:asciiTheme="minorHAnsi" w:hAnsiTheme="minorHAnsi"/>
          <w:color w:val="auto"/>
          <w:szCs w:val="21"/>
        </w:rPr>
        <w:t>516</w:t>
      </w:r>
      <w:r w:rsidRPr="00F25E1E">
        <w:rPr>
          <w:rFonts w:asciiTheme="minorHAnsi" w:hAnsiTheme="minorHAnsi"/>
          <w:color w:val="auto"/>
          <w:szCs w:val="21"/>
        </w:rPr>
        <w:t xml:space="preserve"> farmers (6</w:t>
      </w:r>
      <w:r w:rsidR="00AB6A43">
        <w:rPr>
          <w:rFonts w:asciiTheme="minorHAnsi" w:hAnsiTheme="minorHAnsi"/>
          <w:color w:val="auto"/>
          <w:szCs w:val="21"/>
        </w:rPr>
        <w:t>8</w:t>
      </w:r>
      <w:r w:rsidRPr="00F25E1E">
        <w:rPr>
          <w:rFonts w:asciiTheme="minorHAnsi" w:hAnsiTheme="minorHAnsi"/>
          <w:color w:val="auto"/>
          <w:szCs w:val="21"/>
        </w:rPr>
        <w:t xml:space="preserve"> per cent women) to form </w:t>
      </w:r>
      <w:r w:rsidR="00AB6A43">
        <w:rPr>
          <w:rFonts w:asciiTheme="minorHAnsi" w:hAnsiTheme="minorHAnsi"/>
          <w:color w:val="auto"/>
          <w:szCs w:val="21"/>
        </w:rPr>
        <w:t>39</w:t>
      </w:r>
      <w:r w:rsidRPr="00F25E1E">
        <w:rPr>
          <w:rFonts w:asciiTheme="minorHAnsi" w:hAnsiTheme="minorHAnsi"/>
          <w:color w:val="auto"/>
          <w:szCs w:val="21"/>
        </w:rPr>
        <w:t xml:space="preserve"> producer groups, </w:t>
      </w:r>
      <w:r w:rsidR="009A04AE">
        <w:rPr>
          <w:rFonts w:asciiTheme="minorHAnsi" w:hAnsiTheme="minorHAnsi"/>
          <w:color w:val="auto"/>
          <w:szCs w:val="21"/>
        </w:rPr>
        <w:t xml:space="preserve">providing </w:t>
      </w:r>
      <w:r w:rsidR="009A04AE" w:rsidRPr="009A04AE">
        <w:rPr>
          <w:rFonts w:asciiTheme="minorHAnsi" w:hAnsiTheme="minorHAnsi"/>
          <w:color w:val="auto"/>
          <w:szCs w:val="21"/>
        </w:rPr>
        <w:t xml:space="preserve">men and women </w:t>
      </w:r>
      <w:r w:rsidR="009A04AE">
        <w:rPr>
          <w:rFonts w:asciiTheme="minorHAnsi" w:hAnsiTheme="minorHAnsi"/>
          <w:color w:val="auto"/>
          <w:szCs w:val="21"/>
        </w:rPr>
        <w:t xml:space="preserve">with a forum </w:t>
      </w:r>
      <w:r w:rsidR="009A04AE" w:rsidRPr="009A04AE">
        <w:rPr>
          <w:rFonts w:asciiTheme="minorHAnsi" w:hAnsiTheme="minorHAnsi"/>
          <w:color w:val="auto"/>
          <w:szCs w:val="21"/>
        </w:rPr>
        <w:t xml:space="preserve">to discuss and address gender equality issues at the household level </w:t>
      </w:r>
      <w:r w:rsidR="009A04AE">
        <w:rPr>
          <w:rFonts w:asciiTheme="minorHAnsi" w:hAnsiTheme="minorHAnsi"/>
          <w:color w:val="auto"/>
          <w:szCs w:val="21"/>
        </w:rPr>
        <w:t xml:space="preserve">and </w:t>
      </w:r>
      <w:r w:rsidRPr="00F25E1E">
        <w:rPr>
          <w:rFonts w:asciiTheme="minorHAnsi" w:hAnsiTheme="minorHAnsi"/>
          <w:color w:val="auto"/>
          <w:szCs w:val="21"/>
        </w:rPr>
        <w:t>receive training on farming techniques, business planning, and financial literacy. Village Saving and Loan Associations were established</w:t>
      </w:r>
      <w:r w:rsidR="00AB6A43">
        <w:rPr>
          <w:rFonts w:asciiTheme="minorHAnsi" w:hAnsiTheme="minorHAnsi"/>
          <w:color w:val="auto"/>
          <w:szCs w:val="21"/>
        </w:rPr>
        <w:t xml:space="preserve"> and are</w:t>
      </w:r>
      <w:r w:rsidR="009A04AE">
        <w:rPr>
          <w:rFonts w:asciiTheme="minorHAnsi" w:hAnsiTheme="minorHAnsi"/>
          <w:color w:val="auto"/>
          <w:szCs w:val="21"/>
        </w:rPr>
        <w:t xml:space="preserve"> </w:t>
      </w:r>
      <w:r w:rsidRPr="00F25E1E">
        <w:rPr>
          <w:rFonts w:asciiTheme="minorHAnsi" w:hAnsiTheme="minorHAnsi"/>
          <w:color w:val="auto"/>
          <w:szCs w:val="21"/>
        </w:rPr>
        <w:t xml:space="preserve">providing farmers with access to loan finance for expanding farming area, health care services or education. WEAVE is successfully building Australia’s reputation as a trusted development partner in </w:t>
      </w:r>
      <w:r w:rsidR="00DD52CE">
        <w:rPr>
          <w:rFonts w:asciiTheme="minorHAnsi" w:hAnsiTheme="minorHAnsi"/>
          <w:color w:val="auto"/>
          <w:szCs w:val="21"/>
        </w:rPr>
        <w:t xml:space="preserve">the </w:t>
      </w:r>
      <w:r w:rsidR="00A25E29">
        <w:rPr>
          <w:rFonts w:asciiTheme="minorHAnsi" w:hAnsiTheme="minorHAnsi"/>
          <w:color w:val="auto"/>
          <w:szCs w:val="21"/>
        </w:rPr>
        <w:t>N</w:t>
      </w:r>
      <w:r w:rsidRPr="00F25E1E">
        <w:rPr>
          <w:rFonts w:asciiTheme="minorHAnsi" w:hAnsiTheme="minorHAnsi"/>
          <w:color w:val="auto"/>
          <w:szCs w:val="21"/>
        </w:rPr>
        <w:t xml:space="preserve">orthern </w:t>
      </w:r>
      <w:r w:rsidR="00A25E29">
        <w:rPr>
          <w:rFonts w:asciiTheme="minorHAnsi" w:hAnsiTheme="minorHAnsi"/>
          <w:color w:val="auto"/>
          <w:szCs w:val="21"/>
        </w:rPr>
        <w:t>M</w:t>
      </w:r>
      <w:r w:rsidRPr="00F25E1E">
        <w:rPr>
          <w:rFonts w:asciiTheme="minorHAnsi" w:hAnsiTheme="minorHAnsi"/>
          <w:color w:val="auto"/>
          <w:szCs w:val="21"/>
        </w:rPr>
        <w:t>ountain</w:t>
      </w:r>
      <w:r w:rsidR="00567F83">
        <w:rPr>
          <w:rFonts w:asciiTheme="minorHAnsi" w:hAnsiTheme="minorHAnsi"/>
          <w:color w:val="auto"/>
          <w:szCs w:val="21"/>
        </w:rPr>
        <w:t>ou</w:t>
      </w:r>
      <w:r w:rsidRPr="00F25E1E">
        <w:rPr>
          <w:rFonts w:asciiTheme="minorHAnsi" w:hAnsiTheme="minorHAnsi"/>
          <w:color w:val="auto"/>
          <w:szCs w:val="21"/>
        </w:rPr>
        <w:t xml:space="preserve">s region, a new geographic focus area for Australia’s aid program in Vietnam. </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 xml:space="preserve">The two Aus4Equality flagship </w:t>
      </w:r>
      <w:r w:rsidR="00DD52CE">
        <w:rPr>
          <w:rFonts w:asciiTheme="minorHAnsi" w:hAnsiTheme="minorHAnsi"/>
          <w:color w:val="auto"/>
          <w:szCs w:val="21"/>
        </w:rPr>
        <w:t>projects</w:t>
      </w:r>
      <w:r w:rsidR="003641FA">
        <w:rPr>
          <w:rFonts w:asciiTheme="minorHAnsi" w:hAnsiTheme="minorHAnsi"/>
          <w:color w:val="auto"/>
          <w:szCs w:val="21"/>
        </w:rPr>
        <w:t xml:space="preserve"> </w:t>
      </w:r>
      <w:r w:rsidR="003641FA" w:rsidRPr="00E53550">
        <w:rPr>
          <w:rFonts w:asciiTheme="minorHAnsi" w:hAnsiTheme="minorHAnsi"/>
          <w:color w:val="auto"/>
          <w:szCs w:val="21"/>
        </w:rPr>
        <w:t>–</w:t>
      </w:r>
      <w:r w:rsidRPr="00F25E1E">
        <w:rPr>
          <w:rFonts w:asciiTheme="minorHAnsi" w:hAnsiTheme="minorHAnsi"/>
          <w:color w:val="auto"/>
          <w:szCs w:val="21"/>
        </w:rPr>
        <w:t xml:space="preserve"> the </w:t>
      </w:r>
      <w:r w:rsidRPr="00504096">
        <w:rPr>
          <w:rFonts w:asciiTheme="minorHAnsi" w:hAnsiTheme="minorHAnsi"/>
          <w:color w:val="auto"/>
          <w:szCs w:val="21"/>
        </w:rPr>
        <w:t>Gender-Responsive Equitable Agriculture and Tourism Program (GREAT)</w:t>
      </w:r>
      <w:r w:rsidRPr="00F25E1E">
        <w:rPr>
          <w:rFonts w:asciiTheme="minorHAnsi" w:hAnsiTheme="minorHAnsi"/>
          <w:color w:val="auto"/>
          <w:szCs w:val="21"/>
        </w:rPr>
        <w:t xml:space="preserve"> and the </w:t>
      </w:r>
      <w:r w:rsidRPr="00504096">
        <w:rPr>
          <w:rFonts w:asciiTheme="minorHAnsi" w:hAnsiTheme="minorHAnsi"/>
          <w:color w:val="auto"/>
          <w:szCs w:val="21"/>
        </w:rPr>
        <w:t>Investing in Women</w:t>
      </w:r>
      <w:r w:rsidRPr="00F25E1E">
        <w:rPr>
          <w:rFonts w:asciiTheme="minorHAnsi" w:hAnsiTheme="minorHAnsi"/>
          <w:color w:val="auto"/>
          <w:szCs w:val="21"/>
        </w:rPr>
        <w:t xml:space="preserve"> initiative</w:t>
      </w:r>
      <w:r w:rsidR="003641FA">
        <w:rPr>
          <w:rFonts w:asciiTheme="minorHAnsi" w:hAnsiTheme="minorHAnsi"/>
          <w:color w:val="auto"/>
          <w:szCs w:val="21"/>
        </w:rPr>
        <w:t xml:space="preserve"> </w:t>
      </w:r>
      <w:r w:rsidR="003641FA" w:rsidRPr="00E53550">
        <w:rPr>
          <w:rFonts w:asciiTheme="minorHAnsi" w:hAnsiTheme="minorHAnsi"/>
          <w:color w:val="auto"/>
          <w:szCs w:val="21"/>
        </w:rPr>
        <w:t>–</w:t>
      </w:r>
      <w:r w:rsidRPr="00F25E1E">
        <w:rPr>
          <w:rFonts w:asciiTheme="minorHAnsi" w:hAnsiTheme="minorHAnsi"/>
          <w:color w:val="auto"/>
          <w:szCs w:val="21"/>
        </w:rPr>
        <w:t xml:space="preserve"> did not commence implementation in 2016</w:t>
      </w:r>
      <w:r w:rsidR="003641FA">
        <w:rPr>
          <w:rFonts w:asciiTheme="minorHAnsi" w:hAnsiTheme="minorHAnsi"/>
          <w:color w:val="auto"/>
          <w:szCs w:val="21"/>
        </w:rPr>
        <w:t>-</w:t>
      </w:r>
      <w:r w:rsidRPr="00F25E1E">
        <w:rPr>
          <w:rFonts w:asciiTheme="minorHAnsi" w:hAnsiTheme="minorHAnsi"/>
          <w:color w:val="auto"/>
          <w:szCs w:val="21"/>
        </w:rPr>
        <w:t>17 as planned due to delays in securing Government of Vietnam approval.  Both programs propose an approach to implementation that requires flexibility in design, which presents challenges for compliance with the Government of Vietnam’s new ODA approval and management stipulations.</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Despite these challenges, there was good progress in advancing the necessary approvals</w:t>
      </w:r>
      <w:r w:rsidRPr="00F25E1E">
        <w:rPr>
          <w:rFonts w:asciiTheme="minorHAnsi" w:hAnsiTheme="minorHAnsi"/>
          <w:bCs/>
          <w:color w:val="auto"/>
          <w:szCs w:val="21"/>
        </w:rPr>
        <w:t xml:space="preserve"> and both investments are now expected to commence implementation in late 2017</w:t>
      </w:r>
      <w:r w:rsidRPr="00F25E1E">
        <w:rPr>
          <w:rFonts w:asciiTheme="minorHAnsi" w:hAnsiTheme="minorHAnsi"/>
          <w:color w:val="auto"/>
          <w:szCs w:val="21"/>
        </w:rPr>
        <w:t>. The</w:t>
      </w:r>
      <w:r w:rsidRPr="00F25E1E">
        <w:rPr>
          <w:rFonts w:asciiTheme="minorHAnsi" w:hAnsiTheme="minorHAnsi"/>
          <w:bCs/>
          <w:color w:val="auto"/>
          <w:szCs w:val="21"/>
        </w:rPr>
        <w:t xml:space="preserve"> </w:t>
      </w:r>
      <w:r w:rsidRPr="00F25E1E">
        <w:rPr>
          <w:rFonts w:asciiTheme="minorHAnsi" w:hAnsiTheme="minorHAnsi"/>
          <w:color w:val="auto"/>
          <w:szCs w:val="21"/>
        </w:rPr>
        <w:t xml:space="preserve">Government </w:t>
      </w:r>
      <w:r w:rsidR="003641FA">
        <w:rPr>
          <w:rFonts w:asciiTheme="minorHAnsi" w:hAnsiTheme="minorHAnsi"/>
          <w:color w:val="auto"/>
          <w:szCs w:val="21"/>
        </w:rPr>
        <w:t xml:space="preserve">of Vietnam </w:t>
      </w:r>
      <w:r w:rsidRPr="00F25E1E">
        <w:rPr>
          <w:rFonts w:asciiTheme="minorHAnsi" w:hAnsiTheme="minorHAnsi"/>
          <w:color w:val="auto"/>
          <w:szCs w:val="21"/>
        </w:rPr>
        <w:t xml:space="preserve">approved the </w:t>
      </w:r>
      <w:r w:rsidRPr="00F25E1E">
        <w:rPr>
          <w:rFonts w:asciiTheme="minorHAnsi" w:hAnsiTheme="minorHAnsi"/>
          <w:bCs/>
          <w:color w:val="auto"/>
          <w:szCs w:val="21"/>
        </w:rPr>
        <w:t>detailed design for GREAT and work is underway to negotiate implementation arrangements and procure a managing contractor. After prolonged negotiations on technical aspects of Investing in Women</w:t>
      </w:r>
      <w:r w:rsidRPr="00F25E1E">
        <w:rPr>
          <w:rFonts w:asciiTheme="minorHAnsi" w:hAnsiTheme="minorHAnsi"/>
          <w:color w:val="auto"/>
          <w:szCs w:val="21"/>
        </w:rPr>
        <w:t xml:space="preserve">, we are now exploring options for </w:t>
      </w:r>
      <w:r w:rsidRPr="00F25E1E">
        <w:rPr>
          <w:rFonts w:asciiTheme="minorHAnsi" w:hAnsiTheme="minorHAnsi"/>
          <w:bCs/>
          <w:color w:val="auto"/>
          <w:szCs w:val="21"/>
        </w:rPr>
        <w:t xml:space="preserve">alternative </w:t>
      </w:r>
      <w:r w:rsidR="00036008">
        <w:rPr>
          <w:rFonts w:asciiTheme="minorHAnsi" w:hAnsiTheme="minorHAnsi"/>
          <w:bCs/>
          <w:color w:val="auto"/>
          <w:szCs w:val="21"/>
        </w:rPr>
        <w:t>implementation arrangements</w:t>
      </w:r>
      <w:r w:rsidRPr="00F25E1E">
        <w:rPr>
          <w:rFonts w:asciiTheme="minorHAnsi" w:hAnsiTheme="minorHAnsi"/>
          <w:bCs/>
          <w:color w:val="auto"/>
          <w:szCs w:val="21"/>
        </w:rPr>
        <w:t>.</w:t>
      </w:r>
      <w:r w:rsidR="007829BE">
        <w:rPr>
          <w:rFonts w:asciiTheme="minorHAnsi" w:hAnsiTheme="minorHAnsi"/>
          <w:bCs/>
          <w:color w:val="auto"/>
          <w:szCs w:val="21"/>
        </w:rPr>
        <w:t xml:space="preserve"> Lessons learned</w:t>
      </w:r>
      <w:r w:rsidR="00036008">
        <w:rPr>
          <w:rFonts w:asciiTheme="minorHAnsi" w:hAnsiTheme="minorHAnsi"/>
          <w:bCs/>
          <w:color w:val="auto"/>
          <w:szCs w:val="21"/>
        </w:rPr>
        <w:t xml:space="preserve"> </w:t>
      </w:r>
      <w:r w:rsidR="007829BE">
        <w:rPr>
          <w:rFonts w:asciiTheme="minorHAnsi" w:hAnsiTheme="minorHAnsi"/>
          <w:bCs/>
          <w:color w:val="auto"/>
          <w:szCs w:val="21"/>
        </w:rPr>
        <w:t xml:space="preserve">are informing </w:t>
      </w:r>
      <w:r w:rsidR="00036008">
        <w:rPr>
          <w:rFonts w:asciiTheme="minorHAnsi" w:hAnsiTheme="minorHAnsi"/>
          <w:bCs/>
          <w:color w:val="auto"/>
          <w:szCs w:val="21"/>
        </w:rPr>
        <w:t xml:space="preserve">the </w:t>
      </w:r>
      <w:r w:rsidR="007829BE">
        <w:rPr>
          <w:rFonts w:asciiTheme="minorHAnsi" w:hAnsiTheme="minorHAnsi"/>
          <w:bCs/>
          <w:color w:val="auto"/>
          <w:szCs w:val="21"/>
        </w:rPr>
        <w:t xml:space="preserve">approach for </w:t>
      </w:r>
      <w:r w:rsidR="00036008">
        <w:rPr>
          <w:rFonts w:asciiTheme="minorHAnsi" w:hAnsiTheme="minorHAnsi"/>
          <w:bCs/>
          <w:color w:val="auto"/>
          <w:szCs w:val="21"/>
        </w:rPr>
        <w:t xml:space="preserve">the approval of our </w:t>
      </w:r>
      <w:r w:rsidR="007829BE">
        <w:rPr>
          <w:rFonts w:asciiTheme="minorHAnsi" w:hAnsiTheme="minorHAnsi"/>
          <w:bCs/>
          <w:color w:val="auto"/>
          <w:szCs w:val="21"/>
        </w:rPr>
        <w:t>other aid investments.</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 xml:space="preserve">We also successfully mobilised Investing in Women’s gender expertise to support and influence key policy reforms in Vietnam, including the development of the gender impact assessment for </w:t>
      </w:r>
      <w:r w:rsidR="009A04AE">
        <w:rPr>
          <w:rFonts w:asciiTheme="minorHAnsi" w:hAnsiTheme="minorHAnsi"/>
          <w:color w:val="auto"/>
          <w:szCs w:val="21"/>
        </w:rPr>
        <w:t xml:space="preserve">and promoting </w:t>
      </w:r>
      <w:r w:rsidR="009A04AE" w:rsidRPr="00F25E1E">
        <w:rPr>
          <w:rFonts w:asciiTheme="minorHAnsi" w:hAnsiTheme="minorHAnsi"/>
          <w:color w:val="auto"/>
          <w:szCs w:val="21"/>
        </w:rPr>
        <w:t xml:space="preserve">equitable workplace policies </w:t>
      </w:r>
      <w:r w:rsidR="009A04AE">
        <w:rPr>
          <w:rFonts w:asciiTheme="minorHAnsi" w:hAnsiTheme="minorHAnsi"/>
          <w:color w:val="auto"/>
          <w:szCs w:val="21"/>
        </w:rPr>
        <w:t>in</w:t>
      </w:r>
      <w:r w:rsidR="009A04AE" w:rsidRPr="00F25E1E">
        <w:rPr>
          <w:rFonts w:asciiTheme="minorHAnsi" w:hAnsiTheme="minorHAnsi"/>
          <w:color w:val="auto"/>
          <w:szCs w:val="21"/>
        </w:rPr>
        <w:t xml:space="preserve"> </w:t>
      </w:r>
      <w:r w:rsidRPr="00F25E1E">
        <w:rPr>
          <w:rFonts w:asciiTheme="minorHAnsi" w:hAnsiTheme="minorHAnsi"/>
          <w:color w:val="auto"/>
          <w:szCs w:val="21"/>
        </w:rPr>
        <w:t>the revision of the labour code</w:t>
      </w:r>
      <w:r w:rsidR="00747246">
        <w:rPr>
          <w:rFonts w:asciiTheme="minorHAnsi" w:hAnsiTheme="minorHAnsi"/>
          <w:color w:val="auto"/>
          <w:szCs w:val="21"/>
        </w:rPr>
        <w:t>. This</w:t>
      </w:r>
      <w:r w:rsidRPr="00F25E1E">
        <w:rPr>
          <w:rFonts w:asciiTheme="minorHAnsi" w:hAnsiTheme="minorHAnsi"/>
          <w:color w:val="auto"/>
          <w:szCs w:val="21"/>
        </w:rPr>
        <w:t xml:space="preserve"> </w:t>
      </w:r>
      <w:r w:rsidR="00747246">
        <w:rPr>
          <w:rFonts w:asciiTheme="minorHAnsi" w:hAnsiTheme="minorHAnsi"/>
          <w:color w:val="auto"/>
          <w:szCs w:val="21"/>
        </w:rPr>
        <w:t xml:space="preserve">has </w:t>
      </w:r>
      <w:r w:rsidRPr="00F25E1E">
        <w:rPr>
          <w:rFonts w:asciiTheme="minorHAnsi" w:hAnsiTheme="minorHAnsi"/>
          <w:color w:val="auto"/>
          <w:szCs w:val="21"/>
        </w:rPr>
        <w:t>help</w:t>
      </w:r>
      <w:r w:rsidR="00747246">
        <w:rPr>
          <w:rFonts w:asciiTheme="minorHAnsi" w:hAnsiTheme="minorHAnsi"/>
          <w:color w:val="auto"/>
          <w:szCs w:val="21"/>
        </w:rPr>
        <w:t>ed</w:t>
      </w:r>
      <w:r w:rsidRPr="00F25E1E">
        <w:rPr>
          <w:rFonts w:asciiTheme="minorHAnsi" w:hAnsiTheme="minorHAnsi"/>
          <w:color w:val="auto"/>
          <w:szCs w:val="21"/>
        </w:rPr>
        <w:t xml:space="preserve"> establish Australia as a trusted partner on gender equality issues.</w:t>
      </w:r>
    </w:p>
    <w:p w:rsidR="00D45C06" w:rsidRPr="00F25E1E" w:rsidRDefault="00D45C06" w:rsidP="00D45C06">
      <w:pPr>
        <w:pStyle w:val="BodyText"/>
        <w:jc w:val="both"/>
        <w:rPr>
          <w:rFonts w:asciiTheme="minorHAnsi" w:hAnsiTheme="minorHAnsi"/>
          <w:i/>
          <w:color w:val="auto"/>
          <w:szCs w:val="21"/>
        </w:rPr>
      </w:pPr>
      <w:r w:rsidRPr="00F25E1E">
        <w:rPr>
          <w:rFonts w:asciiTheme="minorHAnsi" w:hAnsiTheme="minorHAnsi"/>
          <w:i/>
          <w:szCs w:val="21"/>
        </w:rPr>
        <w:t>Integrating</w:t>
      </w:r>
      <w:r w:rsidRPr="00F25E1E">
        <w:rPr>
          <w:rFonts w:asciiTheme="minorHAnsi" w:hAnsiTheme="minorHAnsi"/>
          <w:i/>
          <w:color w:val="auto"/>
          <w:szCs w:val="21"/>
        </w:rPr>
        <w:t xml:space="preserve"> gender in the aid program</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 xml:space="preserve">We strengthened our approach to addressing gender equality across our aid investments.  For example, we worked closely with the World Bank to ensure the </w:t>
      </w:r>
      <w:r w:rsidR="007829BE">
        <w:rPr>
          <w:rFonts w:asciiTheme="minorHAnsi" w:hAnsiTheme="minorHAnsi"/>
          <w:color w:val="auto"/>
          <w:szCs w:val="21"/>
        </w:rPr>
        <w:t xml:space="preserve">new phase of the </w:t>
      </w:r>
      <w:r w:rsidRPr="00F25E1E">
        <w:rPr>
          <w:rFonts w:asciiTheme="minorHAnsi" w:hAnsiTheme="minorHAnsi"/>
          <w:color w:val="auto"/>
          <w:szCs w:val="21"/>
        </w:rPr>
        <w:t>Australia – World Bank Strategic Partnership includes specific outcomes for gender equality, with a dedicated gender pillar and cross cutting requirements across the partnership.</w:t>
      </w:r>
    </w:p>
    <w:p w:rsidR="00D45C06" w:rsidRPr="00F25E1E" w:rsidRDefault="00D45C06" w:rsidP="00D45C06">
      <w:pPr>
        <w:pStyle w:val="BodyText"/>
        <w:jc w:val="both"/>
        <w:rPr>
          <w:rFonts w:asciiTheme="minorHAnsi" w:hAnsiTheme="minorHAnsi"/>
          <w:color w:val="auto"/>
          <w:szCs w:val="21"/>
        </w:rPr>
      </w:pPr>
      <w:r w:rsidRPr="00F25E1E">
        <w:rPr>
          <w:rFonts w:asciiTheme="minorHAnsi" w:hAnsiTheme="minorHAnsi"/>
          <w:color w:val="auto"/>
          <w:szCs w:val="21"/>
        </w:rPr>
        <w:t>The Australian Centre for International Agricultural Research (ACIAR)</w:t>
      </w:r>
      <w:r w:rsidRPr="00F25E1E">
        <w:rPr>
          <w:rFonts w:asciiTheme="minorHAnsi" w:hAnsiTheme="minorHAnsi"/>
          <w:b/>
          <w:color w:val="auto"/>
          <w:szCs w:val="21"/>
        </w:rPr>
        <w:t xml:space="preserve"> </w:t>
      </w:r>
      <w:r w:rsidRPr="00F25E1E">
        <w:rPr>
          <w:rFonts w:asciiTheme="minorHAnsi" w:hAnsiTheme="minorHAnsi"/>
          <w:color w:val="auto"/>
          <w:szCs w:val="21"/>
        </w:rPr>
        <w:t xml:space="preserve">commenced a new research activity on </w:t>
      </w:r>
      <w:r w:rsidR="003641FA">
        <w:rPr>
          <w:rFonts w:asciiTheme="minorHAnsi" w:hAnsiTheme="minorHAnsi"/>
          <w:color w:val="auto"/>
          <w:szCs w:val="21"/>
        </w:rPr>
        <w:t>i</w:t>
      </w:r>
      <w:r w:rsidRPr="00F25E1E">
        <w:rPr>
          <w:rFonts w:asciiTheme="minorHAnsi" w:hAnsiTheme="minorHAnsi"/>
          <w:color w:val="auto"/>
          <w:szCs w:val="21"/>
        </w:rPr>
        <w:t xml:space="preserve">ntegrating </w:t>
      </w:r>
      <w:r w:rsidRPr="000E5CC3">
        <w:rPr>
          <w:rFonts w:asciiTheme="minorHAnsi" w:hAnsiTheme="minorHAnsi"/>
          <w:color w:val="auto"/>
          <w:szCs w:val="21"/>
        </w:rPr>
        <w:t>gender</w:t>
      </w:r>
      <w:r w:rsidRPr="00F25E1E">
        <w:rPr>
          <w:rFonts w:asciiTheme="minorHAnsi" w:hAnsiTheme="minorHAnsi"/>
          <w:color w:val="auto"/>
          <w:szCs w:val="21"/>
        </w:rPr>
        <w:t xml:space="preserve"> and social inclusion into agricultural value chain research in Vietnam.  The research will create a platform for capacity building and networking for agricultural scientists in Vietnam and the region, leading to greater adoption of modern farming technologies and more inclusive value chains. </w:t>
      </w:r>
    </w:p>
    <w:p w:rsidR="007C61FA" w:rsidRPr="00F25E1E" w:rsidRDefault="007C61FA"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04ABE">
        <w:rPr>
          <w:rFonts w:asciiTheme="majorHAnsi" w:eastAsiaTheme="majorEastAsia" w:hAnsiTheme="majorHAnsi" w:cstheme="majorBidi"/>
          <w:caps/>
          <w:color w:val="auto"/>
          <w:sz w:val="38"/>
          <w:szCs w:val="26"/>
          <w:lang w:val="en-GB" w:eastAsia="en-US"/>
        </w:rPr>
        <w:t>Other initiatives</w:t>
      </w:r>
    </w:p>
    <w:p w:rsidR="007C61FA" w:rsidRPr="00F25E1E" w:rsidRDefault="007C61FA" w:rsidP="007C61FA">
      <w:pPr>
        <w:jc w:val="both"/>
        <w:rPr>
          <w:color w:val="auto"/>
        </w:rPr>
      </w:pPr>
      <w:r w:rsidRPr="00F25E1E">
        <w:rPr>
          <w:rFonts w:cs="Times New Roman"/>
          <w:color w:val="auto"/>
          <w:sz w:val="24"/>
          <w:szCs w:val="24"/>
        </w:rPr>
        <w:t xml:space="preserve">Contribute to SDGs: </w:t>
      </w:r>
    </w:p>
    <w:p w:rsidR="007C61FA" w:rsidRDefault="007C61FA" w:rsidP="007C61FA">
      <w:pPr>
        <w:spacing w:before="80" w:after="120" w:line="240" w:lineRule="auto"/>
        <w:jc w:val="both"/>
        <w:rPr>
          <w:color w:val="auto"/>
        </w:rPr>
      </w:pPr>
      <w:r w:rsidRPr="00F25E1E">
        <w:rPr>
          <w:rFonts w:cs="Times New Roman"/>
          <w:noProof/>
          <w:color w:val="auto"/>
          <w:lang w:val="en-AU" w:eastAsia="en-AU"/>
        </w:rPr>
        <w:drawing>
          <wp:inline distT="0" distB="0" distL="0" distR="0" wp14:anchorId="31630FF9" wp14:editId="406880E6">
            <wp:extent cx="611505" cy="611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Pr="00F25E1E">
        <w:rPr>
          <w:rFonts w:cs="Times New Roman"/>
          <w:noProof/>
          <w:color w:val="auto"/>
          <w:lang w:val="en-AU" w:eastAsia="en-AU"/>
        </w:rPr>
        <w:drawing>
          <wp:inline distT="0" distB="0" distL="0" distR="0" wp14:anchorId="0425CF4D" wp14:editId="398E64FC">
            <wp:extent cx="611505" cy="6115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Pr="00F25E1E">
        <w:rPr>
          <w:rFonts w:cs="Times New Roman"/>
          <w:noProof/>
          <w:color w:val="auto"/>
          <w:lang w:val="en-AU" w:eastAsia="en-AU"/>
        </w:rPr>
        <w:drawing>
          <wp:inline distT="0" distB="0" distL="0" distR="0" wp14:anchorId="26C4F13D" wp14:editId="6C6774E5">
            <wp:extent cx="611505" cy="61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r w:rsidRPr="00F25E1E">
        <w:rPr>
          <w:rFonts w:cs="Times New Roman"/>
          <w:noProof/>
          <w:color w:val="auto"/>
          <w:lang w:val="en-AU" w:eastAsia="en-AU"/>
        </w:rPr>
        <w:drawing>
          <wp:inline distT="0" distB="0" distL="0" distR="0" wp14:anchorId="57FC56D2" wp14:editId="069BAA35">
            <wp:extent cx="611505" cy="611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inline>
        </w:drawing>
      </w:r>
    </w:p>
    <w:p w:rsidR="00D819C7" w:rsidRPr="00F25E1E" w:rsidRDefault="00D819C7" w:rsidP="007C61FA">
      <w:pPr>
        <w:spacing w:before="80" w:after="120" w:line="240" w:lineRule="auto"/>
        <w:jc w:val="both"/>
        <w:rPr>
          <w:color w:val="auto"/>
        </w:rPr>
      </w:pPr>
    </w:p>
    <w:p w:rsidR="007C61FA" w:rsidRPr="005B0C96" w:rsidRDefault="00712FD4" w:rsidP="005B0C96">
      <w:pPr>
        <w:pStyle w:val="BodyText"/>
        <w:jc w:val="both"/>
        <w:rPr>
          <w:rFonts w:asciiTheme="minorHAnsi" w:hAnsiTheme="minorHAnsi"/>
          <w:color w:val="auto"/>
          <w:szCs w:val="21"/>
        </w:rPr>
      </w:pPr>
      <w:r w:rsidRPr="005B0C96">
        <w:rPr>
          <w:rFonts w:asciiTheme="minorHAnsi" w:hAnsiTheme="minorHAnsi"/>
          <w:color w:val="auto"/>
          <w:szCs w:val="21"/>
        </w:rPr>
        <w:t>The Integrated Coastal Management Program (ICMP) is supporting the sustainable economic development of the Mekong Delta, an important region for Vietnam’s security and prosperity. An evaluation of the program in January 2017 found that ICMP is performing well and on track to meet its end-of-investment objectives. In 2016-17, ICMP continued to scale up and institutionalise coastal climate change solutions at the regional and national levels</w:t>
      </w:r>
      <w:r w:rsidR="003641FA">
        <w:rPr>
          <w:rFonts w:asciiTheme="minorHAnsi" w:hAnsiTheme="minorHAnsi"/>
          <w:color w:val="auto"/>
          <w:szCs w:val="21"/>
        </w:rPr>
        <w:t>.</w:t>
      </w:r>
      <w:r w:rsidRPr="005B0C96">
        <w:rPr>
          <w:rFonts w:asciiTheme="minorHAnsi" w:hAnsiTheme="minorHAnsi"/>
          <w:color w:val="auto"/>
          <w:szCs w:val="21"/>
        </w:rPr>
        <w:t xml:space="preserve"> </w:t>
      </w:r>
      <w:r w:rsidR="003641FA">
        <w:rPr>
          <w:rFonts w:asciiTheme="minorHAnsi" w:hAnsiTheme="minorHAnsi"/>
          <w:color w:val="auto"/>
          <w:szCs w:val="21"/>
        </w:rPr>
        <w:t>F</w:t>
      </w:r>
      <w:r w:rsidRPr="005B0C96">
        <w:rPr>
          <w:rFonts w:asciiTheme="minorHAnsi" w:hAnsiTheme="minorHAnsi"/>
          <w:color w:val="auto"/>
          <w:szCs w:val="21"/>
        </w:rPr>
        <w:t>or example, provincial authorities in Kien Giang are now allocating their own budget for mangrove plantation and coastal protection, building on ICMP’s pilot work. The program supported the strengthening of policy and governance, including the establishment of the first official policy for regional coordination within the Mekong Delta, and a coastal forest protection policy and development decree that will improve the sustainable management of 356,000 hectares of coastal forest by 2020. ICMP informed the design of a major World Bank loan project and future public-private investment in the region</w:t>
      </w:r>
      <w:r w:rsidR="003641FA">
        <w:rPr>
          <w:rFonts w:asciiTheme="minorHAnsi" w:hAnsiTheme="minorHAnsi"/>
          <w:color w:val="auto"/>
          <w:szCs w:val="21"/>
        </w:rPr>
        <w:t>,</w:t>
      </w:r>
      <w:r w:rsidRPr="005B0C96">
        <w:rPr>
          <w:rFonts w:asciiTheme="minorHAnsi" w:hAnsiTheme="minorHAnsi"/>
          <w:color w:val="auto"/>
          <w:szCs w:val="21"/>
        </w:rPr>
        <w:t xml:space="preserve"> and is an example of Australia leveraging our investments for strategic influence and impact.</w:t>
      </w:r>
    </w:p>
    <w:p w:rsidR="007C61FA" w:rsidRPr="005B0C96" w:rsidRDefault="007C61FA" w:rsidP="005B0C96">
      <w:pPr>
        <w:pStyle w:val="BodyText"/>
        <w:jc w:val="both"/>
        <w:rPr>
          <w:rFonts w:asciiTheme="minorHAnsi" w:hAnsiTheme="minorHAnsi"/>
          <w:color w:val="auto"/>
          <w:szCs w:val="21"/>
        </w:rPr>
      </w:pPr>
      <w:r w:rsidRPr="005B0C96">
        <w:rPr>
          <w:rFonts w:asciiTheme="minorHAnsi" w:hAnsiTheme="minorHAnsi"/>
          <w:color w:val="auto"/>
          <w:szCs w:val="21"/>
        </w:rPr>
        <w:t>ACIAR is also supporting research into the application of low-tech innovations to assist mango and peanut farmers in the South Central coast of Vietnam improve their yield and profit margins while saving water. Simple evaporation pans measure the volume of water required to irrigate with sprinklers and drippers. This low-tech solution has increased peanut yields by 10% and mango yields by almost 30%. The quality of fruit has also improved and led to greater profitability for farmers.</w:t>
      </w:r>
    </w:p>
    <w:p w:rsidR="00E974CB" w:rsidRPr="00B04ABE"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04ABE">
        <w:rPr>
          <w:rFonts w:asciiTheme="majorHAnsi" w:eastAsiaTheme="majorEastAsia" w:hAnsiTheme="majorHAnsi" w:cstheme="majorBidi"/>
          <w:caps/>
          <w:color w:val="auto"/>
          <w:sz w:val="38"/>
          <w:szCs w:val="26"/>
          <w:lang w:val="en-GB" w:eastAsia="en-US"/>
        </w:rPr>
        <w:t>Mutual obligations</w:t>
      </w:r>
    </w:p>
    <w:p w:rsidR="00E974CB" w:rsidRPr="00F25E1E" w:rsidRDefault="004806CF">
      <w:pPr>
        <w:spacing w:before="0" w:after="120"/>
        <w:jc w:val="both"/>
        <w:rPr>
          <w:color w:val="auto"/>
          <w:sz w:val="21"/>
          <w:szCs w:val="21"/>
        </w:rPr>
      </w:pPr>
      <w:r w:rsidRPr="00F25E1E">
        <w:rPr>
          <w:rFonts w:cs="Arial"/>
          <w:color w:val="auto"/>
          <w:sz w:val="21"/>
          <w:szCs w:val="21"/>
        </w:rPr>
        <w:t xml:space="preserve">Vietnam’s Deputy Prime Minister and Foreign Minister Pham Binh Minh and </w:t>
      </w:r>
      <w:r w:rsidR="00A25E29">
        <w:rPr>
          <w:rFonts w:cs="Arial"/>
          <w:color w:val="auto"/>
          <w:sz w:val="21"/>
          <w:szCs w:val="21"/>
        </w:rPr>
        <w:t xml:space="preserve">Australia’s </w:t>
      </w:r>
      <w:r w:rsidRPr="00F25E1E">
        <w:rPr>
          <w:rFonts w:cs="Arial"/>
          <w:color w:val="auto"/>
          <w:sz w:val="21"/>
          <w:szCs w:val="21"/>
        </w:rPr>
        <w:t xml:space="preserve">Minister for Foreign Affairs Julie Bishop signed the new </w:t>
      </w:r>
      <w:r w:rsidRPr="00504096">
        <w:rPr>
          <w:rFonts w:cs="Arial"/>
          <w:i/>
          <w:color w:val="auto"/>
          <w:sz w:val="21"/>
          <w:szCs w:val="21"/>
        </w:rPr>
        <w:t>Plan of Action</w:t>
      </w:r>
      <w:r w:rsidR="00A25E29" w:rsidRPr="00504096">
        <w:rPr>
          <w:rFonts w:cs="Arial"/>
          <w:i/>
          <w:color w:val="auto"/>
          <w:sz w:val="21"/>
          <w:szCs w:val="21"/>
        </w:rPr>
        <w:t xml:space="preserve"> 2016-19</w:t>
      </w:r>
      <w:r w:rsidRPr="00F25E1E">
        <w:rPr>
          <w:rFonts w:cs="Arial"/>
          <w:color w:val="auto"/>
          <w:sz w:val="21"/>
          <w:szCs w:val="21"/>
        </w:rPr>
        <w:t xml:space="preserve"> in October 2016, reaffirming our commitment to a continued schedule of bilateral discussions and to strengthen cooperation across areas of shared interest. </w:t>
      </w:r>
    </w:p>
    <w:p w:rsidR="005A5E20" w:rsidRPr="00F25E1E" w:rsidRDefault="004806CF">
      <w:pPr>
        <w:spacing w:before="0" w:after="120"/>
        <w:jc w:val="both"/>
        <w:rPr>
          <w:color w:val="auto"/>
          <w:sz w:val="21"/>
          <w:szCs w:val="21"/>
        </w:rPr>
      </w:pPr>
      <w:r w:rsidRPr="00F25E1E">
        <w:rPr>
          <w:rFonts w:cs="Arial"/>
          <w:color w:val="auto"/>
          <w:sz w:val="21"/>
          <w:szCs w:val="21"/>
        </w:rPr>
        <w:t>The Plan of Action recognises our shared commitment to economic growth, including across the region, and calls for us to deepen our bilateral trade and investment linkages even further, noting that we will pursue a bilateral discussion on our economic partnership. This economic partnership will better connect our development, trade and investment cooperation to support our shared ambition of greater economic growth and prosperity.</w:t>
      </w:r>
    </w:p>
    <w:p w:rsidR="00E974CB" w:rsidRPr="00F25E1E" w:rsidRDefault="004806CF">
      <w:pPr>
        <w:spacing w:before="0" w:after="120"/>
        <w:jc w:val="both"/>
        <w:rPr>
          <w:color w:val="auto"/>
          <w:sz w:val="21"/>
          <w:szCs w:val="21"/>
        </w:rPr>
      </w:pPr>
      <w:r w:rsidRPr="00F25E1E">
        <w:rPr>
          <w:rFonts w:cs="Arial"/>
          <w:color w:val="auto"/>
          <w:sz w:val="21"/>
          <w:szCs w:val="21"/>
        </w:rPr>
        <w:t>Strategic direction and priorities for our development cooperation are mutually agreed with the Government of Vietnam every two years through the High Level Consultations (HLCs) on Development Cooperation. The most recent HLCs held in Canberra in March 2017 reaffirmed that the Australian aid program is well-aligned to supporting Vietnam’s economic growth. Parties noted that we have jointly achieved results in economic reform, women’s economic empowerment, competition policy and law, infrastructure development and connectivity, and skills development. However, we need to keep pace with many changes, including Vietnam’s graduation to lower-middle income status, the impressive economic ambitions of Vietnam, and our shared interest in deepening our bilateral trade and investment relationship.</w:t>
      </w:r>
    </w:p>
    <w:p w:rsidR="00E974CB" w:rsidRPr="00F25E1E" w:rsidRDefault="004806CF">
      <w:pPr>
        <w:spacing w:before="0" w:after="120"/>
        <w:jc w:val="both"/>
        <w:rPr>
          <w:rFonts w:cs="Arial"/>
          <w:color w:val="auto"/>
          <w:sz w:val="21"/>
          <w:szCs w:val="21"/>
        </w:rPr>
      </w:pPr>
      <w:r w:rsidRPr="00F25E1E">
        <w:rPr>
          <w:rFonts w:cs="Arial"/>
          <w:color w:val="auto"/>
          <w:sz w:val="21"/>
          <w:szCs w:val="21"/>
        </w:rPr>
        <w:t xml:space="preserve">The structure of the HLCs has served us well to date but does not allow us to capitalise on the synergies between our development cooperation, trade and investment agendas. </w:t>
      </w:r>
    </w:p>
    <w:p w:rsidR="00E974CB" w:rsidRDefault="004806CF">
      <w:pPr>
        <w:spacing w:before="0" w:after="120"/>
        <w:jc w:val="both"/>
        <w:rPr>
          <w:rFonts w:cs="Arial"/>
          <w:color w:val="auto"/>
          <w:sz w:val="21"/>
          <w:szCs w:val="21"/>
        </w:rPr>
      </w:pPr>
      <w:r w:rsidRPr="00F25E1E">
        <w:rPr>
          <w:rFonts w:cs="Arial"/>
          <w:color w:val="auto"/>
          <w:sz w:val="21"/>
          <w:szCs w:val="21"/>
        </w:rPr>
        <w:t xml:space="preserve">It was proposed that we bring together our regular HLCs on Development Cooperation and the Joint Trade and Economic Cooperation Committee into a new Economic Partnership Meeting at ministerial level. This meeting would address </w:t>
      </w:r>
      <w:r w:rsidR="00E6027D" w:rsidRPr="00F25E1E">
        <w:rPr>
          <w:rFonts w:cs="Arial"/>
          <w:color w:val="auto"/>
          <w:sz w:val="21"/>
          <w:szCs w:val="21"/>
        </w:rPr>
        <w:t>Australia and Vietnam’s</w:t>
      </w:r>
      <w:r w:rsidRPr="00F25E1E">
        <w:rPr>
          <w:rFonts w:cs="Arial"/>
          <w:color w:val="auto"/>
          <w:sz w:val="21"/>
          <w:szCs w:val="21"/>
        </w:rPr>
        <w:t xml:space="preserve"> economic priorities, and bring greater strategic focus to our development, economic and trade cooperation. A concept of this new architecture is being developed with a view to finalisation later in 2017.</w:t>
      </w:r>
    </w:p>
    <w:p w:rsidR="00E974CB" w:rsidRPr="00621D6D" w:rsidRDefault="004806CF" w:rsidP="00621D6D">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621D6D">
        <w:rPr>
          <w:rFonts w:asciiTheme="majorHAnsi" w:eastAsiaTheme="majorEastAsia" w:hAnsiTheme="majorHAnsi" w:cstheme="majorBidi"/>
          <w:caps/>
          <w:color w:val="auto"/>
          <w:sz w:val="38"/>
          <w:szCs w:val="26"/>
          <w:lang w:val="en-GB" w:eastAsia="en-US"/>
        </w:rPr>
        <w:t>Program Quality and Partner Performance</w:t>
      </w:r>
    </w:p>
    <w:p w:rsidR="00E974CB" w:rsidRPr="00E53550" w:rsidRDefault="00621D6D">
      <w:pPr>
        <w:rPr>
          <w:b/>
          <w:color w:val="auto"/>
          <w:sz w:val="21"/>
          <w:szCs w:val="21"/>
          <w:lang w:eastAsia="zh-CN"/>
        </w:rPr>
      </w:pPr>
      <w:r>
        <w:rPr>
          <w:b/>
          <w:color w:val="auto"/>
          <w:sz w:val="21"/>
          <w:szCs w:val="21"/>
          <w:lang w:eastAsia="zh-CN"/>
        </w:rPr>
        <w:t>Overview</w:t>
      </w:r>
    </w:p>
    <w:p w:rsidR="00E974CB" w:rsidRPr="00E53550" w:rsidRDefault="004806CF">
      <w:pPr>
        <w:pStyle w:val="BodyText"/>
        <w:jc w:val="both"/>
        <w:rPr>
          <w:color w:val="auto"/>
          <w:szCs w:val="21"/>
        </w:rPr>
      </w:pPr>
      <w:r w:rsidRPr="00E53550">
        <w:rPr>
          <w:rFonts w:asciiTheme="minorHAnsi" w:hAnsiTheme="minorHAnsi"/>
          <w:color w:val="auto"/>
          <w:szCs w:val="21"/>
        </w:rPr>
        <w:t>Assessment of the performance of the Australian aid program in Vietnam is grounded on the AIP performance assessment framework (PAF), in conjunction with other tools such as annual Aid Quality Checks (AQCs). The 2016-17 AQC round monitored five investments through five respective AQCs.</w:t>
      </w:r>
      <w:r w:rsidRPr="00E53550">
        <w:rPr>
          <w:color w:val="auto"/>
          <w:szCs w:val="21"/>
        </w:rPr>
        <w:t xml:space="preserve"> </w:t>
      </w:r>
      <w:r w:rsidRPr="00E53550">
        <w:rPr>
          <w:rFonts w:asciiTheme="minorHAnsi" w:hAnsiTheme="minorHAnsi"/>
          <w:color w:val="auto"/>
          <w:szCs w:val="21"/>
        </w:rPr>
        <w:t>This rigorous process provided useful conclusions on what worked and what did not work during the assessment period</w:t>
      </w:r>
      <w:r w:rsidR="00A25E29">
        <w:rPr>
          <w:rFonts w:asciiTheme="minorHAnsi" w:hAnsiTheme="minorHAnsi"/>
          <w:color w:val="auto"/>
          <w:szCs w:val="21"/>
        </w:rPr>
        <w:t>,</w:t>
      </w:r>
      <w:r w:rsidRPr="00E53550">
        <w:rPr>
          <w:rFonts w:asciiTheme="minorHAnsi" w:hAnsiTheme="minorHAnsi"/>
          <w:color w:val="auto"/>
          <w:szCs w:val="21"/>
        </w:rPr>
        <w:t xml:space="preserve"> help</w:t>
      </w:r>
      <w:r w:rsidR="00A25E29">
        <w:rPr>
          <w:rFonts w:asciiTheme="minorHAnsi" w:hAnsiTheme="minorHAnsi"/>
          <w:color w:val="auto"/>
          <w:szCs w:val="21"/>
        </w:rPr>
        <w:t>ing</w:t>
      </w:r>
      <w:r w:rsidRPr="00E53550">
        <w:rPr>
          <w:rFonts w:asciiTheme="minorHAnsi" w:hAnsiTheme="minorHAnsi"/>
          <w:color w:val="auto"/>
          <w:szCs w:val="21"/>
        </w:rPr>
        <w:t xml:space="preserve"> inform management decisions to maintain and improve performance of both individual initiatives and the entire portfolio. </w:t>
      </w:r>
    </w:p>
    <w:p w:rsidR="000E5CC3" w:rsidRPr="000E5CC3" w:rsidRDefault="000E5CC3">
      <w:pPr>
        <w:pStyle w:val="BodyText"/>
        <w:jc w:val="both"/>
        <w:rPr>
          <w:rFonts w:asciiTheme="minorHAnsi" w:hAnsiTheme="minorHAnsi"/>
        </w:rPr>
      </w:pPr>
      <w:r w:rsidRPr="000E5CC3">
        <w:rPr>
          <w:rFonts w:asciiTheme="minorHAnsi" w:hAnsiTheme="minorHAnsi"/>
        </w:rPr>
        <w:t>The PAF</w:t>
      </w:r>
      <w:r w:rsidR="00A25E29">
        <w:rPr>
          <w:rFonts w:asciiTheme="minorHAnsi" w:hAnsiTheme="minorHAnsi"/>
        </w:rPr>
        <w:t xml:space="preserve"> and benchmarks</w:t>
      </w:r>
      <w:r w:rsidRPr="000E5CC3">
        <w:rPr>
          <w:rFonts w:asciiTheme="minorHAnsi" w:hAnsiTheme="minorHAnsi"/>
        </w:rPr>
        <w:t xml:space="preserve"> included with the AIP (Annex</w:t>
      </w:r>
      <w:r w:rsidR="00A25E29">
        <w:rPr>
          <w:rFonts w:asciiTheme="minorHAnsi" w:hAnsiTheme="minorHAnsi"/>
        </w:rPr>
        <w:t>es B and</w:t>
      </w:r>
      <w:r w:rsidRPr="000E5CC3">
        <w:rPr>
          <w:rFonts w:asciiTheme="minorHAnsi" w:hAnsiTheme="minorHAnsi"/>
        </w:rPr>
        <w:t xml:space="preserve"> E) </w:t>
      </w:r>
      <w:r w:rsidR="00A25E29">
        <w:rPr>
          <w:rFonts w:asciiTheme="minorHAnsi" w:hAnsiTheme="minorHAnsi"/>
        </w:rPr>
        <w:t>were</w:t>
      </w:r>
      <w:r w:rsidR="00A25E29" w:rsidRPr="000E5CC3">
        <w:rPr>
          <w:rFonts w:asciiTheme="minorHAnsi" w:hAnsiTheme="minorHAnsi"/>
        </w:rPr>
        <w:t xml:space="preserve"> </w:t>
      </w:r>
      <w:r w:rsidRPr="000E5CC3">
        <w:rPr>
          <w:rFonts w:asciiTheme="minorHAnsi" w:hAnsiTheme="minorHAnsi"/>
        </w:rPr>
        <w:t xml:space="preserve">developed as interim </w:t>
      </w:r>
      <w:r w:rsidR="00A25E29">
        <w:rPr>
          <w:rFonts w:asciiTheme="minorHAnsi" w:hAnsiTheme="minorHAnsi"/>
        </w:rPr>
        <w:t>tools</w:t>
      </w:r>
      <w:r w:rsidRPr="000E5CC3">
        <w:rPr>
          <w:rFonts w:asciiTheme="minorHAnsi" w:hAnsiTheme="minorHAnsi"/>
        </w:rPr>
        <w:t>, until new invest</w:t>
      </w:r>
      <w:r w:rsidR="00A25E29">
        <w:rPr>
          <w:rFonts w:asciiTheme="minorHAnsi" w:hAnsiTheme="minorHAnsi"/>
        </w:rPr>
        <w:t>ment</w:t>
      </w:r>
      <w:r w:rsidRPr="000E5CC3">
        <w:rPr>
          <w:rFonts w:asciiTheme="minorHAnsi" w:hAnsiTheme="minorHAnsi"/>
        </w:rPr>
        <w:t xml:space="preserve"> designs were available to inform more detailed and specific performance indicators and benchmarks. With new designs largely complete, considerable work has been undertaken during 2016-17 to develop a revised PAF with updated benchmarks, which can be used to report against progress of not only the AIP objectives but also the broader economic partnership. The new PAF will also reflect the maturation of our program from traditional aid initiatives to an increasing focus on policy work. We will finalise the revised PAF over coming months and use it as the basis for the 2017-18 APPR.</w:t>
      </w:r>
    </w:p>
    <w:p w:rsidR="004C6FA2" w:rsidRPr="004C6FA2" w:rsidRDefault="004C6FA2">
      <w:pPr>
        <w:pStyle w:val="BodyText"/>
        <w:jc w:val="both"/>
        <w:rPr>
          <w:rFonts w:asciiTheme="minorHAnsi" w:hAnsiTheme="minorHAnsi"/>
        </w:rPr>
      </w:pPr>
      <w:r w:rsidRPr="004C6FA2">
        <w:rPr>
          <w:rFonts w:asciiTheme="minorHAnsi" w:hAnsiTheme="minorHAnsi"/>
        </w:rPr>
        <w:t>DFAT provided substantial inputs to four evaluations during the reporting period - three partner-led completion reviews and one joint final evaluation. All three evaluations identified for Vietnam in DFAT's 2017 Annual Aid Evaluation plan were completed. DFAT also completed a review of the climate change sector delivery strategy (2011-16). Given that most of our aid investments will be in early implementation stage during 2017-18, the evaluation plan is light for the next 12 months but will increase in the latter half of 2018. The DFAT-led long-term impact evaluation (2016 – 2020) for the Cao Lanh Bridge project is progressing well, with the completion of the baseline study laying the foundation for impact assessments in coming years. Staff actively used supervision missions to monitor the performance of the projects implemented through others – be it multilateral banks or bilateral partners – to ensure results were on-track and risk management was under control. See Annex C for details of evaluations completed during the reporting period and the forward evaluation pipeline.</w:t>
      </w:r>
    </w:p>
    <w:p w:rsidR="00E974CB" w:rsidRPr="00E53550" w:rsidRDefault="004806CF">
      <w:pPr>
        <w:pStyle w:val="BodyText"/>
        <w:jc w:val="both"/>
        <w:rPr>
          <w:rFonts w:asciiTheme="minorHAnsi" w:hAnsiTheme="minorHAnsi"/>
          <w:color w:val="auto"/>
          <w:szCs w:val="21"/>
        </w:rPr>
      </w:pPr>
      <w:r w:rsidRPr="00E53550">
        <w:rPr>
          <w:rFonts w:asciiTheme="minorHAnsi" w:hAnsiTheme="minorHAnsi"/>
          <w:color w:val="auto"/>
          <w:szCs w:val="21"/>
        </w:rPr>
        <w:t xml:space="preserve">The design of </w:t>
      </w:r>
      <w:r w:rsidRPr="00E53550">
        <w:rPr>
          <w:rFonts w:asciiTheme="minorHAnsi" w:hAnsiTheme="minorHAnsi" w:cs="Arial"/>
          <w:color w:val="auto"/>
          <w:szCs w:val="21"/>
        </w:rPr>
        <w:t xml:space="preserve">new aid investments under the AIP is under way, though slower than planned. In addition to the first new investment – Aus4Skills – commencing its implementation in February 2016, work on the design and approval of a further four key investments </w:t>
      </w:r>
      <w:r w:rsidR="001B79F9" w:rsidRPr="00E53550">
        <w:rPr>
          <w:rFonts w:asciiTheme="minorHAnsi" w:hAnsiTheme="minorHAnsi" w:cs="Arial"/>
          <w:color w:val="auto"/>
          <w:szCs w:val="21"/>
        </w:rPr>
        <w:t xml:space="preserve">– </w:t>
      </w:r>
      <w:r w:rsidRPr="00E53550">
        <w:rPr>
          <w:rFonts w:asciiTheme="minorHAnsi" w:hAnsiTheme="minorHAnsi" w:cs="Arial"/>
          <w:color w:val="auto"/>
          <w:szCs w:val="21"/>
        </w:rPr>
        <w:t xml:space="preserve">Aus4Equality, Aus4Transport, Aus4Water and Aus4Reform </w:t>
      </w:r>
      <w:r w:rsidR="001B79F9" w:rsidRPr="00E53550">
        <w:rPr>
          <w:rFonts w:asciiTheme="minorHAnsi" w:hAnsiTheme="minorHAnsi" w:cs="Arial"/>
          <w:color w:val="auto"/>
          <w:szCs w:val="21"/>
        </w:rPr>
        <w:t xml:space="preserve">– </w:t>
      </w:r>
      <w:r w:rsidRPr="00E53550">
        <w:rPr>
          <w:rFonts w:asciiTheme="minorHAnsi" w:hAnsiTheme="minorHAnsi" w:cs="Arial"/>
          <w:color w:val="auto"/>
          <w:szCs w:val="21"/>
        </w:rPr>
        <w:t>is progressing</w:t>
      </w:r>
      <w:r w:rsidR="001B79F9">
        <w:rPr>
          <w:rFonts w:asciiTheme="minorHAnsi" w:hAnsiTheme="minorHAnsi" w:cs="Arial"/>
          <w:color w:val="auto"/>
          <w:szCs w:val="21"/>
        </w:rPr>
        <w:t>.</w:t>
      </w:r>
      <w:r w:rsidR="00555BDE" w:rsidRPr="00E53550">
        <w:rPr>
          <w:rFonts w:asciiTheme="minorHAnsi" w:hAnsiTheme="minorHAnsi" w:cs="Arial"/>
          <w:color w:val="auto"/>
          <w:szCs w:val="21"/>
        </w:rPr>
        <w:t xml:space="preserve"> </w:t>
      </w:r>
      <w:r w:rsidR="001B79F9">
        <w:rPr>
          <w:rFonts w:asciiTheme="minorHAnsi" w:hAnsiTheme="minorHAnsi" w:cs="Arial"/>
          <w:color w:val="auto"/>
          <w:szCs w:val="21"/>
        </w:rPr>
        <w:t>T</w:t>
      </w:r>
      <w:r w:rsidR="00555BDE" w:rsidRPr="00E53550">
        <w:rPr>
          <w:rFonts w:asciiTheme="minorHAnsi" w:hAnsiTheme="minorHAnsi" w:cs="Arial"/>
          <w:color w:val="auto"/>
          <w:szCs w:val="21"/>
        </w:rPr>
        <w:t>hree out of four investments have received approval from the Prime Minister</w:t>
      </w:r>
      <w:r w:rsidRPr="00E53550">
        <w:rPr>
          <w:rFonts w:asciiTheme="minorHAnsi" w:hAnsiTheme="minorHAnsi" w:cs="Arial"/>
          <w:color w:val="auto"/>
          <w:szCs w:val="21"/>
        </w:rPr>
        <w:t>.</w:t>
      </w:r>
      <w:r w:rsidR="00BA2BC9" w:rsidRPr="00E53550">
        <w:rPr>
          <w:rFonts w:asciiTheme="minorHAnsi" w:hAnsiTheme="minorHAnsi" w:cs="Arial"/>
          <w:color w:val="auto"/>
          <w:szCs w:val="21"/>
        </w:rPr>
        <w:t xml:space="preserve"> </w:t>
      </w:r>
      <w:r w:rsidRPr="00E53550">
        <w:rPr>
          <w:rFonts w:asciiTheme="minorHAnsi" w:hAnsiTheme="minorHAnsi" w:cs="Arial"/>
          <w:color w:val="auto"/>
          <w:szCs w:val="21"/>
        </w:rPr>
        <w:t xml:space="preserve"> Given the importance both governments attach to innovation, our newest investment design – Aus4Innovation - has commenced and is scheduled for finalisation by the end of 2017. </w:t>
      </w:r>
    </w:p>
    <w:p w:rsidR="00E974CB" w:rsidRPr="00E53550" w:rsidRDefault="004806CF">
      <w:pPr>
        <w:pStyle w:val="BodyText"/>
        <w:jc w:val="both"/>
        <w:rPr>
          <w:color w:val="auto"/>
          <w:szCs w:val="21"/>
        </w:rPr>
      </w:pPr>
      <w:r w:rsidRPr="00E53550">
        <w:rPr>
          <w:rFonts w:asciiTheme="minorHAnsi" w:hAnsiTheme="minorHAnsi"/>
          <w:color w:val="auto"/>
          <w:szCs w:val="21"/>
        </w:rPr>
        <w:t>We have continued to consolidate our aid program in Vietnam by reducing the number of investments (both ongoing and pipeline) to 16 by July 2017, in response to the Australian Government’s efficiency target of reducing 20 per cent of the number of individual aid investments by 2016-17.  Investments under $3 million (non-monitored) represent 3</w:t>
      </w:r>
      <w:r w:rsidR="00336DF5" w:rsidRPr="00E53550">
        <w:rPr>
          <w:rFonts w:asciiTheme="minorHAnsi" w:hAnsiTheme="minorHAnsi"/>
          <w:color w:val="auto"/>
          <w:szCs w:val="21"/>
        </w:rPr>
        <w:t>1</w:t>
      </w:r>
      <w:r w:rsidRPr="00E53550">
        <w:rPr>
          <w:rFonts w:asciiTheme="minorHAnsi" w:hAnsiTheme="minorHAnsi"/>
          <w:color w:val="auto"/>
          <w:szCs w:val="21"/>
        </w:rPr>
        <w:t xml:space="preserve"> per cent </w:t>
      </w:r>
      <w:r w:rsidR="00FC336A" w:rsidRPr="00E53550">
        <w:rPr>
          <w:rFonts w:asciiTheme="minorHAnsi" w:hAnsiTheme="minorHAnsi"/>
          <w:color w:val="auto"/>
          <w:szCs w:val="21"/>
        </w:rPr>
        <w:t>of the total numbers of investments</w:t>
      </w:r>
      <w:r w:rsidRPr="00E53550">
        <w:rPr>
          <w:rFonts w:asciiTheme="minorHAnsi" w:hAnsiTheme="minorHAnsi"/>
          <w:color w:val="auto"/>
          <w:szCs w:val="21"/>
        </w:rPr>
        <w:t>, with investments above $10 million representing 44 per cent.</w:t>
      </w:r>
    </w:p>
    <w:p w:rsidR="00E974CB" w:rsidRPr="00E53550" w:rsidRDefault="004806CF">
      <w:pPr>
        <w:rPr>
          <w:b/>
          <w:color w:val="auto"/>
          <w:sz w:val="21"/>
          <w:szCs w:val="21"/>
          <w:lang w:eastAsia="zh-CN"/>
        </w:rPr>
      </w:pPr>
      <w:r w:rsidRPr="00E53550">
        <w:rPr>
          <w:b/>
          <w:color w:val="auto"/>
          <w:sz w:val="21"/>
          <w:szCs w:val="21"/>
          <w:lang w:eastAsia="zh-CN"/>
        </w:rPr>
        <w:t>Aid Quality Checks (AQCs)</w:t>
      </w:r>
    </w:p>
    <w:p w:rsidR="00E974CB" w:rsidRPr="00E53550" w:rsidRDefault="004806CF">
      <w:pPr>
        <w:spacing w:after="160" w:line="259" w:lineRule="auto"/>
        <w:jc w:val="both"/>
        <w:rPr>
          <w:color w:val="auto"/>
          <w:sz w:val="21"/>
          <w:szCs w:val="21"/>
        </w:rPr>
      </w:pPr>
      <w:r w:rsidRPr="00E53550">
        <w:rPr>
          <w:color w:val="auto"/>
          <w:sz w:val="21"/>
          <w:szCs w:val="21"/>
        </w:rPr>
        <w:t>Five investments were monitored under the 2016-17 AQC process. This is a substantial reduction on 2015-16, reflecting both the conclusion of several initiatives from the previous AIP and the trend of further consolidating the aid portfolio in Vietnam. Results from the AQC process demonstrated a continuous strong performance of the Vietnam aid program, with all investments rating as satisfactory against all criteria (</w:t>
      </w:r>
      <w:r w:rsidR="00621D6D">
        <w:rPr>
          <w:color w:val="auto"/>
          <w:sz w:val="21"/>
          <w:szCs w:val="21"/>
        </w:rPr>
        <w:t>three</w:t>
      </w:r>
      <w:r w:rsidR="00A36996" w:rsidRPr="00E53550">
        <w:rPr>
          <w:color w:val="auto"/>
          <w:sz w:val="21"/>
          <w:szCs w:val="21"/>
        </w:rPr>
        <w:t xml:space="preserve"> per cent </w:t>
      </w:r>
      <w:r w:rsidR="001B79F9">
        <w:rPr>
          <w:color w:val="auto"/>
          <w:sz w:val="21"/>
          <w:szCs w:val="21"/>
        </w:rPr>
        <w:t xml:space="preserve">of criterion ratings were </w:t>
      </w:r>
      <w:r w:rsidR="00A36996" w:rsidRPr="00E53550">
        <w:rPr>
          <w:color w:val="auto"/>
          <w:sz w:val="21"/>
          <w:szCs w:val="21"/>
        </w:rPr>
        <w:t xml:space="preserve">very good, </w:t>
      </w:r>
      <w:r w:rsidRPr="00E53550">
        <w:rPr>
          <w:color w:val="auto"/>
          <w:sz w:val="21"/>
          <w:szCs w:val="21"/>
        </w:rPr>
        <w:t>6</w:t>
      </w:r>
      <w:r w:rsidR="00A36996" w:rsidRPr="00E53550">
        <w:rPr>
          <w:color w:val="auto"/>
          <w:sz w:val="21"/>
          <w:szCs w:val="21"/>
        </w:rPr>
        <w:t>7 per cent good and 3</w:t>
      </w:r>
      <w:r w:rsidRPr="00E53550">
        <w:rPr>
          <w:color w:val="auto"/>
          <w:sz w:val="21"/>
          <w:szCs w:val="21"/>
        </w:rPr>
        <w:t xml:space="preserve">0 per cent adequate). The absence of unsatisfactory ratings represents an improvement in the quality of performance </w:t>
      </w:r>
      <w:r w:rsidR="00F25E1E" w:rsidRPr="00E53550">
        <w:rPr>
          <w:color w:val="auto"/>
          <w:sz w:val="21"/>
          <w:szCs w:val="21"/>
        </w:rPr>
        <w:t xml:space="preserve">of the programs </w:t>
      </w:r>
      <w:r w:rsidRPr="00E53550">
        <w:rPr>
          <w:color w:val="auto"/>
          <w:sz w:val="21"/>
          <w:szCs w:val="21"/>
        </w:rPr>
        <w:t>compared to last year</w:t>
      </w:r>
      <w:r w:rsidR="001B79F9">
        <w:rPr>
          <w:color w:val="auto"/>
          <w:sz w:val="21"/>
          <w:szCs w:val="21"/>
        </w:rPr>
        <w:t xml:space="preserve">. See </w:t>
      </w:r>
      <w:r w:rsidR="00F25E1E" w:rsidRPr="00E53550">
        <w:rPr>
          <w:color w:val="auto"/>
          <w:sz w:val="21"/>
          <w:szCs w:val="21"/>
        </w:rPr>
        <w:t>Annex D</w:t>
      </w:r>
      <w:r w:rsidR="001B79F9">
        <w:rPr>
          <w:color w:val="auto"/>
          <w:sz w:val="21"/>
          <w:szCs w:val="21"/>
        </w:rPr>
        <w:t xml:space="preserve"> for full details</w:t>
      </w:r>
      <w:r w:rsidRPr="00E53550">
        <w:rPr>
          <w:color w:val="auto"/>
          <w:sz w:val="21"/>
          <w:szCs w:val="21"/>
        </w:rPr>
        <w:t xml:space="preserve">. </w:t>
      </w:r>
    </w:p>
    <w:p w:rsidR="00E974CB" w:rsidRPr="00E53550" w:rsidRDefault="00A36996">
      <w:pPr>
        <w:spacing w:after="160" w:line="259" w:lineRule="auto"/>
        <w:jc w:val="both"/>
        <w:rPr>
          <w:color w:val="auto"/>
          <w:sz w:val="21"/>
          <w:szCs w:val="21"/>
        </w:rPr>
      </w:pPr>
      <w:r w:rsidRPr="00E53550">
        <w:rPr>
          <w:color w:val="auto"/>
          <w:sz w:val="21"/>
          <w:szCs w:val="21"/>
        </w:rPr>
        <w:t xml:space="preserve">Outstanding areas were </w:t>
      </w:r>
      <w:r w:rsidR="001B79F9">
        <w:rPr>
          <w:color w:val="auto"/>
          <w:sz w:val="21"/>
          <w:szCs w:val="21"/>
        </w:rPr>
        <w:t>‘r</w:t>
      </w:r>
      <w:r w:rsidR="004806CF" w:rsidRPr="00E53550">
        <w:rPr>
          <w:color w:val="auto"/>
          <w:sz w:val="21"/>
          <w:szCs w:val="21"/>
        </w:rPr>
        <w:t>elevance</w:t>
      </w:r>
      <w:r w:rsidR="001B79F9">
        <w:rPr>
          <w:color w:val="auto"/>
          <w:sz w:val="21"/>
          <w:szCs w:val="21"/>
        </w:rPr>
        <w:t>’</w:t>
      </w:r>
      <w:r w:rsidR="004806CF" w:rsidRPr="00E53550">
        <w:rPr>
          <w:color w:val="auto"/>
          <w:sz w:val="21"/>
          <w:szCs w:val="21"/>
        </w:rPr>
        <w:t xml:space="preserve"> and </w:t>
      </w:r>
      <w:r w:rsidR="001B79F9">
        <w:rPr>
          <w:color w:val="auto"/>
          <w:sz w:val="21"/>
          <w:szCs w:val="21"/>
        </w:rPr>
        <w:t>‘m</w:t>
      </w:r>
      <w:r w:rsidR="004806CF" w:rsidRPr="00E53550">
        <w:rPr>
          <w:color w:val="auto"/>
          <w:sz w:val="21"/>
          <w:szCs w:val="21"/>
        </w:rPr>
        <w:t xml:space="preserve">onitoring and </w:t>
      </w:r>
      <w:r w:rsidR="001B79F9">
        <w:rPr>
          <w:color w:val="auto"/>
          <w:sz w:val="21"/>
          <w:szCs w:val="21"/>
        </w:rPr>
        <w:t>e</w:t>
      </w:r>
      <w:r w:rsidR="004806CF" w:rsidRPr="00E53550">
        <w:rPr>
          <w:color w:val="auto"/>
          <w:sz w:val="21"/>
          <w:szCs w:val="21"/>
        </w:rPr>
        <w:t>valuation</w:t>
      </w:r>
      <w:r w:rsidR="001B79F9">
        <w:rPr>
          <w:color w:val="auto"/>
          <w:sz w:val="21"/>
          <w:szCs w:val="21"/>
        </w:rPr>
        <w:t>’</w:t>
      </w:r>
      <w:r w:rsidR="004806CF" w:rsidRPr="00E53550">
        <w:rPr>
          <w:color w:val="auto"/>
          <w:sz w:val="21"/>
          <w:szCs w:val="21"/>
        </w:rPr>
        <w:t xml:space="preserve">, where </w:t>
      </w:r>
      <w:r w:rsidR="001B79F9">
        <w:rPr>
          <w:color w:val="auto"/>
          <w:sz w:val="21"/>
          <w:szCs w:val="21"/>
        </w:rPr>
        <w:t>9</w:t>
      </w:r>
      <w:r w:rsidR="004806CF" w:rsidRPr="00E53550">
        <w:rPr>
          <w:color w:val="auto"/>
          <w:sz w:val="21"/>
          <w:szCs w:val="21"/>
        </w:rPr>
        <w:t>0 per cent of the ratings were good</w:t>
      </w:r>
      <w:r w:rsidR="001B79F9">
        <w:rPr>
          <w:color w:val="auto"/>
          <w:sz w:val="21"/>
          <w:szCs w:val="21"/>
        </w:rPr>
        <w:t xml:space="preserve"> or very good</w:t>
      </w:r>
      <w:r w:rsidR="004806CF" w:rsidRPr="00E53550">
        <w:rPr>
          <w:color w:val="auto"/>
          <w:sz w:val="21"/>
          <w:szCs w:val="21"/>
        </w:rPr>
        <w:t>. This indicates that</w:t>
      </w:r>
      <w:r w:rsidR="00DA17C0" w:rsidRPr="00E53550">
        <w:rPr>
          <w:color w:val="auto"/>
          <w:sz w:val="21"/>
          <w:szCs w:val="21"/>
        </w:rPr>
        <w:t xml:space="preserve"> </w:t>
      </w:r>
      <w:r w:rsidR="004806CF" w:rsidRPr="00E53550">
        <w:rPr>
          <w:color w:val="auto"/>
          <w:sz w:val="21"/>
          <w:szCs w:val="21"/>
        </w:rPr>
        <w:t xml:space="preserve">our investments remain highly relevant to both Vietnam and Australia’s priorities. </w:t>
      </w:r>
    </w:p>
    <w:p w:rsidR="00E974CB" w:rsidRPr="00E53550" w:rsidRDefault="004806CF">
      <w:pPr>
        <w:spacing w:after="160" w:line="259" w:lineRule="auto"/>
        <w:jc w:val="both"/>
        <w:rPr>
          <w:color w:val="auto"/>
          <w:sz w:val="21"/>
          <w:szCs w:val="21"/>
        </w:rPr>
      </w:pPr>
      <w:r w:rsidRPr="00E53550">
        <w:rPr>
          <w:color w:val="auto"/>
          <w:sz w:val="21"/>
          <w:szCs w:val="21"/>
        </w:rPr>
        <w:t xml:space="preserve">Gender </w:t>
      </w:r>
      <w:r w:rsidR="00E6027D" w:rsidRPr="00E53550">
        <w:rPr>
          <w:color w:val="auto"/>
          <w:sz w:val="21"/>
          <w:szCs w:val="21"/>
        </w:rPr>
        <w:t xml:space="preserve">equality </w:t>
      </w:r>
      <w:r w:rsidRPr="00E53550">
        <w:rPr>
          <w:color w:val="auto"/>
          <w:sz w:val="21"/>
          <w:szCs w:val="21"/>
        </w:rPr>
        <w:t xml:space="preserve">is another strong area to be commended, with satisfactory ratings for all initiatives. The launch of the Australia in Vietnam Gender Strategy plus the engagement of a dedicated Gender Specialist have contributed to this achievement. Moving forward, Post is ensuring all investment managers build in gender </w:t>
      </w:r>
      <w:r w:rsidR="00390368" w:rsidRPr="00E53550">
        <w:rPr>
          <w:color w:val="auto"/>
          <w:sz w:val="21"/>
          <w:szCs w:val="21"/>
        </w:rPr>
        <w:t xml:space="preserve">equality </w:t>
      </w:r>
      <w:r w:rsidRPr="00E53550">
        <w:rPr>
          <w:color w:val="auto"/>
          <w:sz w:val="21"/>
          <w:szCs w:val="21"/>
        </w:rPr>
        <w:t xml:space="preserve">objectives and action plans, as well as engage the Gender Specialist more substantially during the design and implementation of both ongoing and new initiatives to ensure continued improvement in gender outcomes across the portfolio.    </w:t>
      </w:r>
    </w:p>
    <w:p w:rsidR="00E974CB" w:rsidRPr="00E53550" w:rsidRDefault="004806CF">
      <w:pPr>
        <w:rPr>
          <w:b/>
          <w:color w:val="auto"/>
          <w:sz w:val="21"/>
          <w:szCs w:val="21"/>
          <w:lang w:eastAsia="zh-CN"/>
        </w:rPr>
      </w:pPr>
      <w:r w:rsidRPr="00E53550">
        <w:rPr>
          <w:b/>
          <w:color w:val="auto"/>
          <w:sz w:val="21"/>
          <w:szCs w:val="21"/>
          <w:lang w:eastAsia="zh-CN"/>
        </w:rPr>
        <w:t>Performance of key delivery partners</w:t>
      </w:r>
    </w:p>
    <w:p w:rsidR="00E974CB" w:rsidRPr="00E53550" w:rsidRDefault="004806CF" w:rsidP="00265389">
      <w:pPr>
        <w:pStyle w:val="BodyText"/>
        <w:jc w:val="both"/>
        <w:rPr>
          <w:color w:val="auto"/>
          <w:szCs w:val="21"/>
        </w:rPr>
      </w:pPr>
      <w:r w:rsidRPr="00E53550">
        <w:rPr>
          <w:rFonts w:asciiTheme="minorHAnsi" w:hAnsiTheme="minorHAnsi"/>
          <w:color w:val="auto"/>
          <w:szCs w:val="21"/>
        </w:rPr>
        <w:t xml:space="preserve">Three partner performance assessments were conducted during the reporting period: two </w:t>
      </w:r>
      <w:r w:rsidR="001B79F9">
        <w:rPr>
          <w:rFonts w:asciiTheme="minorHAnsi" w:hAnsiTheme="minorHAnsi"/>
          <w:color w:val="auto"/>
          <w:szCs w:val="21"/>
        </w:rPr>
        <w:t>m</w:t>
      </w:r>
      <w:r w:rsidRPr="00E53550">
        <w:rPr>
          <w:rFonts w:asciiTheme="minorHAnsi" w:hAnsiTheme="minorHAnsi"/>
          <w:color w:val="auto"/>
          <w:szCs w:val="21"/>
        </w:rPr>
        <w:t xml:space="preserve">ultilateral </w:t>
      </w:r>
      <w:r w:rsidR="001B79F9">
        <w:rPr>
          <w:rFonts w:asciiTheme="minorHAnsi" w:hAnsiTheme="minorHAnsi"/>
          <w:color w:val="auto"/>
          <w:szCs w:val="21"/>
        </w:rPr>
        <w:t>b</w:t>
      </w:r>
      <w:r w:rsidRPr="00E53550">
        <w:rPr>
          <w:rFonts w:asciiTheme="minorHAnsi" w:hAnsiTheme="minorHAnsi"/>
          <w:color w:val="auto"/>
          <w:szCs w:val="21"/>
        </w:rPr>
        <w:t xml:space="preserve">anks (the World Bank and the ADB) and one managing contractor (Coffey International). Overall, all partners performed satisfactorily across all areas of assessment. </w:t>
      </w:r>
    </w:p>
    <w:p w:rsidR="00E974CB" w:rsidRPr="00E53550" w:rsidRDefault="004806CF" w:rsidP="00265389">
      <w:pPr>
        <w:pStyle w:val="BodyText"/>
        <w:jc w:val="both"/>
        <w:rPr>
          <w:color w:val="auto"/>
          <w:szCs w:val="21"/>
        </w:rPr>
      </w:pPr>
      <w:r w:rsidRPr="00E53550">
        <w:rPr>
          <w:rFonts w:asciiTheme="minorHAnsi" w:hAnsiTheme="minorHAnsi"/>
          <w:color w:val="auto"/>
          <w:szCs w:val="21"/>
        </w:rPr>
        <w:t xml:space="preserve">Multilateral banks remained key partners, though we will not channel our funding through them as much as under </w:t>
      </w:r>
      <w:r w:rsidR="001B79F9">
        <w:rPr>
          <w:rFonts w:asciiTheme="minorHAnsi" w:hAnsiTheme="minorHAnsi"/>
          <w:color w:val="auto"/>
          <w:szCs w:val="21"/>
        </w:rPr>
        <w:t xml:space="preserve">our </w:t>
      </w:r>
      <w:r w:rsidRPr="00E53550">
        <w:rPr>
          <w:rFonts w:asciiTheme="minorHAnsi" w:hAnsiTheme="minorHAnsi"/>
          <w:color w:val="auto"/>
          <w:szCs w:val="21"/>
        </w:rPr>
        <w:t xml:space="preserve">previous </w:t>
      </w:r>
      <w:r w:rsidR="001B79F9">
        <w:rPr>
          <w:rFonts w:asciiTheme="minorHAnsi" w:hAnsiTheme="minorHAnsi"/>
          <w:color w:val="auto"/>
          <w:szCs w:val="21"/>
        </w:rPr>
        <w:t>aid strategy</w:t>
      </w:r>
      <w:r w:rsidR="00A36996" w:rsidRPr="00E53550">
        <w:rPr>
          <w:rFonts w:asciiTheme="minorHAnsi" w:hAnsiTheme="minorHAnsi"/>
          <w:color w:val="auto"/>
          <w:szCs w:val="21"/>
        </w:rPr>
        <w:t>. O</w:t>
      </w:r>
      <w:r w:rsidRPr="00E53550">
        <w:rPr>
          <w:rFonts w:asciiTheme="minorHAnsi" w:hAnsiTheme="minorHAnsi"/>
          <w:color w:val="auto"/>
          <w:szCs w:val="21"/>
        </w:rPr>
        <w:t>nly one new investment is scheduled for World Bank management</w:t>
      </w:r>
      <w:r w:rsidR="008911D3" w:rsidRPr="00E53550">
        <w:rPr>
          <w:rFonts w:asciiTheme="minorHAnsi" w:hAnsiTheme="minorHAnsi"/>
          <w:color w:val="auto"/>
          <w:szCs w:val="21"/>
        </w:rPr>
        <w:t xml:space="preserve">: the </w:t>
      </w:r>
      <w:r w:rsidR="0053785D" w:rsidRPr="00E53550">
        <w:rPr>
          <w:rFonts w:asciiTheme="minorHAnsi" w:hAnsiTheme="minorHAnsi"/>
          <w:color w:val="auto"/>
          <w:szCs w:val="21"/>
        </w:rPr>
        <w:t>ABP</w:t>
      </w:r>
      <w:r w:rsidR="008911D3" w:rsidRPr="00E53550">
        <w:rPr>
          <w:rFonts w:asciiTheme="minorHAnsi" w:hAnsiTheme="minorHAnsi"/>
          <w:color w:val="auto"/>
          <w:szCs w:val="21"/>
        </w:rPr>
        <w:t>2</w:t>
      </w:r>
      <w:r w:rsidR="0053785D" w:rsidRPr="00E53550">
        <w:rPr>
          <w:rFonts w:asciiTheme="minorHAnsi" w:hAnsiTheme="minorHAnsi"/>
          <w:color w:val="auto"/>
          <w:szCs w:val="21"/>
        </w:rPr>
        <w:t xml:space="preserve"> </w:t>
      </w:r>
      <w:r w:rsidR="00A36996" w:rsidRPr="00E53550">
        <w:rPr>
          <w:rFonts w:asciiTheme="minorHAnsi" w:hAnsiTheme="minorHAnsi"/>
          <w:color w:val="auto"/>
          <w:szCs w:val="21"/>
        </w:rPr>
        <w:t xml:space="preserve">– which is an important continuation and evolution of </w:t>
      </w:r>
      <w:r w:rsidR="00BA343A" w:rsidRPr="00E53550">
        <w:rPr>
          <w:rFonts w:asciiTheme="minorHAnsi" w:hAnsiTheme="minorHAnsi"/>
          <w:color w:val="auto"/>
          <w:szCs w:val="21"/>
        </w:rPr>
        <w:t>p</w:t>
      </w:r>
      <w:r w:rsidR="00A36996" w:rsidRPr="00E53550">
        <w:rPr>
          <w:rFonts w:asciiTheme="minorHAnsi" w:hAnsiTheme="minorHAnsi"/>
          <w:color w:val="auto"/>
          <w:szCs w:val="21"/>
        </w:rPr>
        <w:t xml:space="preserve">hase </w:t>
      </w:r>
      <w:r w:rsidR="001B79F9">
        <w:rPr>
          <w:rFonts w:asciiTheme="minorHAnsi" w:hAnsiTheme="minorHAnsi"/>
          <w:color w:val="auto"/>
          <w:szCs w:val="21"/>
        </w:rPr>
        <w:t>one</w:t>
      </w:r>
      <w:r w:rsidR="00A36996" w:rsidRPr="00E53550">
        <w:rPr>
          <w:rFonts w:asciiTheme="minorHAnsi" w:hAnsiTheme="minorHAnsi"/>
          <w:color w:val="auto"/>
          <w:szCs w:val="21"/>
        </w:rPr>
        <w:t xml:space="preserve"> to further promote Vietnam’s development agenda and</w:t>
      </w:r>
      <w:r w:rsidR="008911D3" w:rsidRPr="00E53550">
        <w:rPr>
          <w:rFonts w:asciiTheme="minorHAnsi" w:hAnsiTheme="minorHAnsi"/>
          <w:color w:val="auto"/>
          <w:szCs w:val="21"/>
        </w:rPr>
        <w:t xml:space="preserve"> sustain achievements</w:t>
      </w:r>
      <w:r w:rsidR="00A36996" w:rsidRPr="00E53550">
        <w:rPr>
          <w:rFonts w:asciiTheme="minorHAnsi" w:hAnsiTheme="minorHAnsi"/>
          <w:color w:val="auto"/>
          <w:szCs w:val="21"/>
        </w:rPr>
        <w:t xml:space="preserve"> in areas of priority</w:t>
      </w:r>
      <w:r w:rsidRPr="00E53550">
        <w:rPr>
          <w:rFonts w:asciiTheme="minorHAnsi" w:hAnsiTheme="minorHAnsi"/>
          <w:color w:val="auto"/>
          <w:szCs w:val="21"/>
        </w:rPr>
        <w:t xml:space="preserve">. Performance of the World Bank team implementing the Vietnam Climate Innovation Centre project this year was rated the same as last year (adequate). </w:t>
      </w:r>
      <w:r w:rsidR="009B28DF" w:rsidRPr="00E53550">
        <w:rPr>
          <w:rFonts w:asciiTheme="minorHAnsi" w:hAnsiTheme="minorHAnsi"/>
          <w:color w:val="auto"/>
          <w:szCs w:val="21"/>
        </w:rPr>
        <w:t>However,</w:t>
      </w:r>
      <w:r w:rsidRPr="00E53550">
        <w:rPr>
          <w:rFonts w:asciiTheme="minorHAnsi" w:hAnsiTheme="minorHAnsi"/>
          <w:color w:val="auto"/>
          <w:szCs w:val="21"/>
        </w:rPr>
        <w:t xml:space="preserve"> there were improvements to note, </w:t>
      </w:r>
      <w:r w:rsidR="006C6796">
        <w:rPr>
          <w:rFonts w:asciiTheme="minorHAnsi" w:hAnsiTheme="minorHAnsi"/>
          <w:color w:val="auto"/>
          <w:szCs w:val="21"/>
        </w:rPr>
        <w:t>including</w:t>
      </w:r>
      <w:r w:rsidRPr="00E53550">
        <w:rPr>
          <w:rFonts w:asciiTheme="minorHAnsi" w:hAnsiTheme="minorHAnsi"/>
          <w:color w:val="auto"/>
          <w:szCs w:val="21"/>
        </w:rPr>
        <w:t xml:space="preserve"> stronger gender mainstreaming, more regular visits by Implementation Support missions to solve </w:t>
      </w:r>
      <w:r w:rsidR="009B28DF" w:rsidRPr="00E53550">
        <w:rPr>
          <w:rFonts w:asciiTheme="minorHAnsi" w:hAnsiTheme="minorHAnsi"/>
          <w:color w:val="auto"/>
          <w:szCs w:val="21"/>
        </w:rPr>
        <w:t>bottleneck</w:t>
      </w:r>
      <w:r w:rsidRPr="00E53550">
        <w:rPr>
          <w:rFonts w:asciiTheme="minorHAnsi" w:hAnsiTheme="minorHAnsi"/>
          <w:color w:val="auto"/>
          <w:szCs w:val="21"/>
        </w:rPr>
        <w:t xml:space="preserve"> issues of the program, and more efforts to promote visibility and branding. </w:t>
      </w:r>
      <w:r w:rsidR="0053785D" w:rsidRPr="00E53550">
        <w:rPr>
          <w:rFonts w:asciiTheme="minorHAnsi" w:hAnsiTheme="minorHAnsi"/>
          <w:color w:val="auto"/>
          <w:szCs w:val="21"/>
        </w:rPr>
        <w:t>I</w:t>
      </w:r>
      <w:r w:rsidRPr="00E53550">
        <w:rPr>
          <w:rFonts w:asciiTheme="minorHAnsi" w:hAnsiTheme="minorHAnsi"/>
          <w:color w:val="auto"/>
          <w:szCs w:val="21"/>
        </w:rPr>
        <w:t xml:space="preserve">mprovement on communication </w:t>
      </w:r>
      <w:r w:rsidR="0053785D" w:rsidRPr="00E53550">
        <w:rPr>
          <w:rFonts w:asciiTheme="minorHAnsi" w:hAnsiTheme="minorHAnsi"/>
          <w:color w:val="auto"/>
          <w:szCs w:val="21"/>
        </w:rPr>
        <w:t>is</w:t>
      </w:r>
      <w:r w:rsidRPr="00E53550">
        <w:rPr>
          <w:rFonts w:asciiTheme="minorHAnsi" w:hAnsiTheme="minorHAnsi"/>
          <w:color w:val="auto"/>
          <w:szCs w:val="21"/>
        </w:rPr>
        <w:t xml:space="preserve"> still required, given the quarterly update mechanism was not strictly executed and DFAT was still informed of the program’s progress on an ad-hoc basis. </w:t>
      </w:r>
    </w:p>
    <w:p w:rsidR="00E974CB" w:rsidRPr="00E53550" w:rsidRDefault="004806CF" w:rsidP="00265389">
      <w:pPr>
        <w:pStyle w:val="BodyText"/>
        <w:jc w:val="both"/>
        <w:rPr>
          <w:color w:val="auto"/>
          <w:szCs w:val="21"/>
        </w:rPr>
      </w:pPr>
      <w:r w:rsidRPr="00E53550">
        <w:rPr>
          <w:rFonts w:asciiTheme="minorHAnsi" w:hAnsiTheme="minorHAnsi"/>
          <w:color w:val="auto"/>
          <w:szCs w:val="21"/>
        </w:rPr>
        <w:t xml:space="preserve">The partnership with ADB on the Cao Lanh Bridge continued to be highly satisfactory across all criteria. Thanks to strong collaboration amongst the ADB, the Government of Vietnam and DFAT, the project is on track and the bridge will be launched in late 2017. Effective communication – including the annual </w:t>
      </w:r>
      <w:r w:rsidR="001B79F9">
        <w:rPr>
          <w:rFonts w:asciiTheme="minorHAnsi" w:hAnsiTheme="minorHAnsi"/>
          <w:color w:val="auto"/>
          <w:szCs w:val="21"/>
        </w:rPr>
        <w:t>high level consultation</w:t>
      </w:r>
      <w:r w:rsidR="001B79F9" w:rsidRPr="00E53550">
        <w:rPr>
          <w:rFonts w:asciiTheme="minorHAnsi" w:hAnsiTheme="minorHAnsi"/>
          <w:color w:val="auto"/>
          <w:szCs w:val="21"/>
        </w:rPr>
        <w:t xml:space="preserve"> </w:t>
      </w:r>
      <w:r w:rsidRPr="00E53550">
        <w:rPr>
          <w:rFonts w:asciiTheme="minorHAnsi" w:hAnsiTheme="minorHAnsi"/>
          <w:color w:val="auto"/>
          <w:szCs w:val="21"/>
        </w:rPr>
        <w:t>meeting between ADB and DFAT – has been key in helping address any program concerns.</w:t>
      </w:r>
    </w:p>
    <w:p w:rsidR="00E974CB" w:rsidRPr="00E53550" w:rsidRDefault="00624532" w:rsidP="00265389">
      <w:pPr>
        <w:pStyle w:val="BodyText"/>
        <w:jc w:val="both"/>
        <w:rPr>
          <w:color w:val="auto"/>
          <w:szCs w:val="21"/>
        </w:rPr>
      </w:pPr>
      <w:r>
        <w:rPr>
          <w:rFonts w:asciiTheme="minorHAnsi" w:hAnsiTheme="minorHAnsi"/>
          <w:color w:val="auto"/>
          <w:szCs w:val="21"/>
        </w:rPr>
        <w:t>T</w:t>
      </w:r>
      <w:r w:rsidR="004806CF" w:rsidRPr="00E53550">
        <w:rPr>
          <w:rFonts w:asciiTheme="minorHAnsi" w:hAnsiTheme="minorHAnsi"/>
          <w:color w:val="auto"/>
          <w:szCs w:val="21"/>
        </w:rPr>
        <w:t xml:space="preserve">he collaboration between DFAT and Coffey in the first year of Aus4Skills operation has been rewarding. </w:t>
      </w:r>
      <w:r>
        <w:rPr>
          <w:rFonts w:asciiTheme="minorHAnsi" w:hAnsiTheme="minorHAnsi"/>
          <w:color w:val="auto"/>
          <w:szCs w:val="21"/>
        </w:rPr>
        <w:t xml:space="preserve">Post’s investment in active and effective management of the </w:t>
      </w:r>
      <w:r w:rsidR="001B79F9">
        <w:rPr>
          <w:rFonts w:asciiTheme="minorHAnsi" w:hAnsiTheme="minorHAnsi"/>
          <w:color w:val="auto"/>
          <w:szCs w:val="21"/>
        </w:rPr>
        <w:t>m</w:t>
      </w:r>
      <w:r>
        <w:rPr>
          <w:rFonts w:asciiTheme="minorHAnsi" w:hAnsiTheme="minorHAnsi"/>
          <w:color w:val="auto"/>
          <w:szCs w:val="21"/>
        </w:rPr>
        <w:t xml:space="preserve">anaging </w:t>
      </w:r>
      <w:r w:rsidR="001B79F9">
        <w:rPr>
          <w:rFonts w:asciiTheme="minorHAnsi" w:hAnsiTheme="minorHAnsi"/>
          <w:color w:val="auto"/>
          <w:szCs w:val="21"/>
        </w:rPr>
        <w:t>c</w:t>
      </w:r>
      <w:r>
        <w:rPr>
          <w:rFonts w:asciiTheme="minorHAnsi" w:hAnsiTheme="minorHAnsi"/>
          <w:color w:val="auto"/>
          <w:szCs w:val="21"/>
        </w:rPr>
        <w:t xml:space="preserve">ontractor has resulted in a </w:t>
      </w:r>
      <w:r w:rsidR="001B79F9">
        <w:rPr>
          <w:rFonts w:asciiTheme="minorHAnsi" w:hAnsiTheme="minorHAnsi"/>
          <w:color w:val="auto"/>
          <w:szCs w:val="21"/>
        </w:rPr>
        <w:t xml:space="preserve">very </w:t>
      </w:r>
      <w:r>
        <w:rPr>
          <w:rFonts w:asciiTheme="minorHAnsi" w:hAnsiTheme="minorHAnsi"/>
          <w:color w:val="auto"/>
          <w:szCs w:val="21"/>
        </w:rPr>
        <w:t xml:space="preserve">responsive, results-oriented partnership with Coffey. </w:t>
      </w:r>
      <w:r w:rsidR="004806CF" w:rsidRPr="00E53550">
        <w:rPr>
          <w:rFonts w:asciiTheme="minorHAnsi" w:hAnsiTheme="minorHAnsi"/>
          <w:color w:val="auto"/>
          <w:szCs w:val="21"/>
        </w:rPr>
        <w:t>DFAT highly appreciated Coffey’s “</w:t>
      </w:r>
      <w:r w:rsidR="001B79F9">
        <w:rPr>
          <w:rFonts w:asciiTheme="minorHAnsi" w:hAnsiTheme="minorHAnsi"/>
          <w:color w:val="auto"/>
          <w:szCs w:val="21"/>
        </w:rPr>
        <w:t>o</w:t>
      </w:r>
      <w:r w:rsidR="004806CF" w:rsidRPr="00E53550">
        <w:rPr>
          <w:rFonts w:asciiTheme="minorHAnsi" w:hAnsiTheme="minorHAnsi"/>
          <w:color w:val="auto"/>
          <w:szCs w:val="21"/>
        </w:rPr>
        <w:t xml:space="preserve">ne team” partnership approach with a shared understanding of the context, issues, options, and solutions to inform mutual decisions and action plans. Coffey has been responsive, including to new requirements from DFAT. They have also been proactive and eager to apply extra effort to deliver additional work, including their support for the new “Aus4Vietnam” branding effort. </w:t>
      </w:r>
    </w:p>
    <w:p w:rsidR="00E974CB" w:rsidRDefault="004806CF" w:rsidP="00265389">
      <w:pPr>
        <w:pStyle w:val="BodyText"/>
        <w:jc w:val="both"/>
        <w:rPr>
          <w:rFonts w:asciiTheme="minorHAnsi" w:hAnsiTheme="minorHAnsi"/>
          <w:color w:val="auto"/>
          <w:szCs w:val="21"/>
        </w:rPr>
      </w:pPr>
      <w:r w:rsidRPr="00E53550">
        <w:rPr>
          <w:rFonts w:asciiTheme="minorHAnsi" w:hAnsiTheme="minorHAnsi"/>
          <w:color w:val="auto"/>
          <w:szCs w:val="21"/>
        </w:rPr>
        <w:t xml:space="preserve">At a policy level, the Government of Vietnam remained the primary partner and Ministry of Planning and Investment (MPI) was our key interlocutor. We successfully worked with MPI to host the HLCs on Development Cooperation in March 2017, with participation from a wide range of government agencies related to the operation of our aid program in Vietnam. The policy deliverable of this meeting was the mutual agreement to transition the aid relationship into an economic partnership to respond to the changing context in both countries as well as globally. </w:t>
      </w:r>
    </w:p>
    <w:p w:rsidR="00E974CB"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621D6D">
        <w:rPr>
          <w:rFonts w:asciiTheme="majorHAnsi" w:eastAsiaTheme="majorEastAsia" w:hAnsiTheme="majorHAnsi" w:cstheme="majorBidi"/>
          <w:caps/>
          <w:color w:val="auto"/>
          <w:sz w:val="38"/>
          <w:szCs w:val="26"/>
          <w:lang w:val="en-GB" w:eastAsia="en-US"/>
        </w:rPr>
        <w:t>Risks</w:t>
      </w:r>
      <w:r w:rsidRPr="00B04ABE">
        <w:rPr>
          <w:rFonts w:asciiTheme="majorHAnsi" w:eastAsiaTheme="majorEastAsia" w:hAnsiTheme="majorHAnsi" w:cstheme="majorBidi"/>
          <w:caps/>
          <w:color w:val="auto"/>
          <w:sz w:val="38"/>
          <w:szCs w:val="26"/>
          <w:lang w:val="en-GB" w:eastAsia="en-US"/>
        </w:rPr>
        <w:t xml:space="preserve"> </w:t>
      </w:r>
      <w:r w:rsidR="00621D6D" w:rsidRPr="00B04ABE">
        <w:rPr>
          <w:rFonts w:asciiTheme="majorHAnsi" w:eastAsiaTheme="majorEastAsia" w:hAnsiTheme="majorHAnsi" w:cstheme="majorBidi"/>
          <w:caps/>
          <w:color w:val="auto"/>
          <w:sz w:val="38"/>
          <w:szCs w:val="26"/>
          <w:lang w:val="en-GB" w:eastAsia="en-US"/>
        </w:rPr>
        <w:tab/>
      </w:r>
    </w:p>
    <w:p w:rsidR="001B79F9" w:rsidRPr="00504096" w:rsidRDefault="001B79F9" w:rsidP="00504096">
      <w:pPr>
        <w:spacing w:before="20" w:after="20" w:line="180" w:lineRule="atLeast"/>
        <w:jc w:val="both"/>
        <w:rPr>
          <w:rFonts w:eastAsia="Times New Roman" w:cs="Times New Roman"/>
          <w:sz w:val="21"/>
          <w:lang w:val="en-AU" w:eastAsia="en-AU"/>
        </w:rPr>
      </w:pPr>
      <w:r w:rsidRPr="00E53550">
        <w:rPr>
          <w:rFonts w:asciiTheme="minorHAnsi" w:eastAsia="Times New Roman" w:hAnsiTheme="minorHAnsi"/>
          <w:iCs/>
          <w:color w:val="auto"/>
          <w:sz w:val="21"/>
          <w:szCs w:val="21"/>
        </w:rPr>
        <w:t>Overall the risk profile for the program is rated moderate.</w:t>
      </w:r>
      <w:r>
        <w:rPr>
          <w:rFonts w:asciiTheme="minorHAnsi" w:eastAsia="Times New Roman" w:hAnsiTheme="minorHAnsi"/>
          <w:iCs/>
          <w:color w:val="auto"/>
          <w:sz w:val="21"/>
          <w:szCs w:val="21"/>
        </w:rPr>
        <w:t xml:space="preserve"> </w:t>
      </w:r>
      <w:r w:rsidR="00142452">
        <w:rPr>
          <w:rFonts w:asciiTheme="minorHAnsi" w:eastAsia="Times New Roman" w:hAnsiTheme="minorHAnsi"/>
          <w:iCs/>
          <w:color w:val="auto"/>
          <w:sz w:val="21"/>
          <w:szCs w:val="21"/>
        </w:rPr>
        <w:t xml:space="preserve">Details on management </w:t>
      </w:r>
      <w:r w:rsidR="00142452">
        <w:rPr>
          <w:rFonts w:eastAsia="Times New Roman" w:cs="Times New Roman"/>
          <w:sz w:val="21"/>
          <w:lang w:val="en-AU" w:eastAsia="en-AU"/>
        </w:rPr>
        <w:t>of key risks is provided below.</w:t>
      </w:r>
    </w:p>
    <w:p w:rsidR="00E974CB" w:rsidRPr="00621D6D" w:rsidRDefault="004806CF" w:rsidP="00621D6D">
      <w:pPr>
        <w:pStyle w:val="Caption"/>
        <w:keepNext/>
        <w:rPr>
          <w:color w:val="auto"/>
          <w:sz w:val="22"/>
          <w:szCs w:val="22"/>
        </w:rPr>
      </w:pPr>
      <w:r w:rsidRPr="00621D6D">
        <w:rPr>
          <w:color w:val="auto"/>
          <w:sz w:val="22"/>
          <w:szCs w:val="22"/>
        </w:rPr>
        <w:t xml:space="preserve">Table </w:t>
      </w:r>
      <w:r w:rsidR="00621D6D">
        <w:rPr>
          <w:color w:val="auto"/>
          <w:sz w:val="22"/>
          <w:szCs w:val="22"/>
        </w:rPr>
        <w:t>4</w:t>
      </w:r>
      <w:r w:rsidRPr="00621D6D">
        <w:rPr>
          <w:color w:val="auto"/>
          <w:sz w:val="22"/>
          <w:szCs w:val="22"/>
        </w:rPr>
        <w:t xml:space="preserve">: Management of </w:t>
      </w:r>
      <w:r w:rsidR="001B79F9">
        <w:rPr>
          <w:color w:val="auto"/>
          <w:sz w:val="22"/>
          <w:szCs w:val="22"/>
        </w:rPr>
        <w:t>k</w:t>
      </w:r>
      <w:r w:rsidRPr="00621D6D">
        <w:rPr>
          <w:color w:val="auto"/>
          <w:sz w:val="22"/>
          <w:szCs w:val="22"/>
        </w:rPr>
        <w:t xml:space="preserve">ey </w:t>
      </w:r>
      <w:r w:rsidR="001B79F9">
        <w:rPr>
          <w:color w:val="auto"/>
          <w:sz w:val="22"/>
          <w:szCs w:val="22"/>
        </w:rPr>
        <w:t>r</w:t>
      </w:r>
      <w:r w:rsidRPr="00621D6D">
        <w:rPr>
          <w:color w:val="auto"/>
          <w:sz w:val="22"/>
          <w:szCs w:val="22"/>
        </w:rPr>
        <w:t xml:space="preserve">isks to </w:t>
      </w:r>
      <w:r w:rsidR="001B79F9">
        <w:rPr>
          <w:color w:val="auto"/>
          <w:sz w:val="22"/>
          <w:szCs w:val="22"/>
        </w:rPr>
        <w:t>a</w:t>
      </w:r>
      <w:r w:rsidRPr="00621D6D">
        <w:rPr>
          <w:color w:val="auto"/>
          <w:sz w:val="22"/>
          <w:szCs w:val="22"/>
        </w:rPr>
        <w:t xml:space="preserve">chieving </w:t>
      </w:r>
      <w:r w:rsidR="001B79F9">
        <w:rPr>
          <w:color w:val="auto"/>
          <w:sz w:val="22"/>
          <w:szCs w:val="22"/>
        </w:rPr>
        <w:t>o</w:t>
      </w:r>
      <w:r w:rsidRPr="00621D6D">
        <w:rPr>
          <w:color w:val="auto"/>
          <w:sz w:val="22"/>
          <w:szCs w:val="22"/>
        </w:rPr>
        <w:t>bjectives</w:t>
      </w:r>
    </w:p>
    <w:tbl>
      <w:tblPr>
        <w:tblStyle w:val="APPR"/>
        <w:tblW w:w="5000" w:type="pct"/>
        <w:tblBorders>
          <w:top w:val="single" w:sz="4" w:space="0" w:color="auto"/>
          <w:bottom w:val="none" w:sz="0" w:space="0" w:color="auto"/>
        </w:tblBorders>
        <w:tblLook w:val="0600" w:firstRow="0" w:lastRow="0" w:firstColumn="0" w:lastColumn="0" w:noHBand="1" w:noVBand="1"/>
      </w:tblPr>
      <w:tblGrid>
        <w:gridCol w:w="1897"/>
        <w:gridCol w:w="1921"/>
        <w:gridCol w:w="3138"/>
        <w:gridCol w:w="1556"/>
        <w:gridCol w:w="1126"/>
      </w:tblGrid>
      <w:tr w:rsidR="00E53550" w:rsidRPr="00E53550" w:rsidTr="00B04ABE">
        <w:trPr>
          <w:cantSplit/>
        </w:trPr>
        <w:tc>
          <w:tcPr>
            <w:tcW w:w="1928" w:type="dxa"/>
            <w:shd w:val="clear" w:color="auto" w:fill="auto"/>
          </w:tcPr>
          <w:p w:rsidR="00BC213F" w:rsidRPr="00E53550" w:rsidRDefault="00BC213F" w:rsidP="00621D6D">
            <w:pPr>
              <w:keepNext/>
              <w:spacing w:after="0" w:line="240" w:lineRule="auto"/>
              <w:rPr>
                <w:rFonts w:asciiTheme="minorHAnsi" w:hAnsiTheme="minorHAnsi"/>
                <w:b/>
                <w:color w:val="auto"/>
              </w:rPr>
            </w:pPr>
            <w:r w:rsidRPr="00E53550">
              <w:rPr>
                <w:rFonts w:asciiTheme="minorHAnsi" w:hAnsiTheme="minorHAnsi"/>
                <w:b/>
                <w:color w:val="auto"/>
                <w:sz w:val="17"/>
              </w:rPr>
              <w:t>Key risks</w:t>
            </w:r>
          </w:p>
        </w:tc>
        <w:tc>
          <w:tcPr>
            <w:tcW w:w="1948" w:type="dxa"/>
            <w:shd w:val="clear" w:color="auto" w:fill="auto"/>
          </w:tcPr>
          <w:p w:rsidR="00BC213F" w:rsidRPr="00E53550" w:rsidRDefault="00BC213F" w:rsidP="00621D6D">
            <w:pPr>
              <w:keepNext/>
              <w:spacing w:after="0" w:line="240" w:lineRule="auto"/>
              <w:rPr>
                <w:rFonts w:asciiTheme="minorHAnsi" w:hAnsiTheme="minorHAnsi"/>
                <w:b/>
                <w:color w:val="auto"/>
              </w:rPr>
            </w:pPr>
            <w:r w:rsidRPr="00E53550">
              <w:rPr>
                <w:rFonts w:asciiTheme="minorHAnsi" w:hAnsiTheme="minorHAnsi"/>
                <w:b/>
                <w:color w:val="auto"/>
                <w:sz w:val="17"/>
              </w:rPr>
              <w:t>What actions were taken to manage the risks over the past year?</w:t>
            </w:r>
          </w:p>
        </w:tc>
        <w:tc>
          <w:tcPr>
            <w:tcW w:w="3212" w:type="dxa"/>
            <w:shd w:val="clear" w:color="auto" w:fill="auto"/>
          </w:tcPr>
          <w:p w:rsidR="00BC213F" w:rsidRPr="00E53550" w:rsidRDefault="00BC213F" w:rsidP="00621D6D">
            <w:pPr>
              <w:keepNext/>
              <w:spacing w:after="0" w:line="240" w:lineRule="auto"/>
              <w:rPr>
                <w:rFonts w:asciiTheme="minorHAnsi" w:hAnsiTheme="minorHAnsi"/>
                <w:b/>
                <w:color w:val="auto"/>
              </w:rPr>
            </w:pPr>
            <w:r w:rsidRPr="00E53550">
              <w:rPr>
                <w:rFonts w:asciiTheme="minorHAnsi" w:hAnsiTheme="minorHAnsi"/>
                <w:b/>
                <w:color w:val="auto"/>
                <w:sz w:val="17"/>
              </w:rPr>
              <w:t>What further actions will be taken to manage the risks in the coming year?</w:t>
            </w:r>
          </w:p>
        </w:tc>
        <w:tc>
          <w:tcPr>
            <w:tcW w:w="1560" w:type="dxa"/>
            <w:shd w:val="clear" w:color="auto" w:fill="auto"/>
          </w:tcPr>
          <w:p w:rsidR="00BC213F" w:rsidRPr="00E53550" w:rsidRDefault="00BC213F" w:rsidP="00621D6D">
            <w:pPr>
              <w:keepNext/>
              <w:spacing w:after="0" w:line="240" w:lineRule="auto"/>
              <w:rPr>
                <w:rFonts w:asciiTheme="minorHAnsi" w:hAnsiTheme="minorHAnsi"/>
                <w:b/>
                <w:color w:val="auto"/>
              </w:rPr>
            </w:pPr>
            <w:r w:rsidRPr="00E53550">
              <w:rPr>
                <w:rFonts w:asciiTheme="minorHAnsi" w:hAnsiTheme="minorHAnsi"/>
                <w:b/>
                <w:color w:val="auto"/>
                <w:sz w:val="17"/>
              </w:rPr>
              <w:t>For emerging/ongoing risks provide a Risk Rating (low, medium, high, very high)</w:t>
            </w:r>
          </w:p>
        </w:tc>
        <w:tc>
          <w:tcPr>
            <w:tcW w:w="1134" w:type="dxa"/>
            <w:shd w:val="clear" w:color="auto" w:fill="auto"/>
          </w:tcPr>
          <w:p w:rsidR="00BC213F" w:rsidRPr="00E53550" w:rsidRDefault="00BC213F" w:rsidP="00621D6D">
            <w:pPr>
              <w:keepNext/>
              <w:spacing w:after="0" w:line="240" w:lineRule="auto"/>
              <w:rPr>
                <w:b/>
                <w:color w:val="auto"/>
              </w:rPr>
            </w:pPr>
            <w:r w:rsidRPr="00E53550">
              <w:rPr>
                <w:rFonts w:ascii="Franklin Gothic Book" w:hAnsi="Franklin Gothic Book"/>
                <w:b/>
                <w:color w:val="auto"/>
                <w:sz w:val="17"/>
              </w:rPr>
              <w:t>Are these same risks in in Post’s Risk Register (Yes/No)*</w:t>
            </w:r>
          </w:p>
        </w:tc>
      </w:tr>
      <w:tr w:rsidR="00E53550" w:rsidRPr="00E53550" w:rsidTr="00B04ABE">
        <w:trPr>
          <w:cantSplit/>
        </w:trPr>
        <w:tc>
          <w:tcPr>
            <w:tcW w:w="1928" w:type="dxa"/>
            <w:shd w:val="clear" w:color="auto" w:fill="auto"/>
          </w:tcPr>
          <w:p w:rsidR="009D49B3" w:rsidRPr="00E53550" w:rsidRDefault="009D49B3" w:rsidP="00BC213F">
            <w:pPr>
              <w:spacing w:after="0" w:line="240" w:lineRule="auto"/>
              <w:rPr>
                <w:rFonts w:asciiTheme="minorHAnsi" w:hAnsiTheme="minorHAnsi"/>
                <w:b/>
                <w:color w:val="auto"/>
                <w:sz w:val="17"/>
              </w:rPr>
            </w:pPr>
            <w:r w:rsidRPr="00E53550">
              <w:rPr>
                <w:rFonts w:asciiTheme="minorHAnsi" w:eastAsia="Times New Roman" w:hAnsiTheme="minorHAnsi" w:cs="Times New Roman"/>
                <w:color w:val="auto"/>
                <w:sz w:val="17"/>
                <w:szCs w:val="17"/>
                <w:lang w:val="en-AU"/>
              </w:rPr>
              <w:t>1. Delays in the Government of Vietnam approval process of four major pipeline investments hinder the achievement of AIP 2015 -2020 strategic objectives.</w:t>
            </w:r>
          </w:p>
        </w:tc>
        <w:tc>
          <w:tcPr>
            <w:tcW w:w="1948" w:type="dxa"/>
            <w:shd w:val="clear" w:color="auto" w:fill="auto"/>
          </w:tcPr>
          <w:p w:rsidR="009D49B3" w:rsidRPr="00E53550" w:rsidRDefault="009D49B3" w:rsidP="00C10E89">
            <w:pPr>
              <w:spacing w:after="0" w:line="240" w:lineRule="auto"/>
              <w:rPr>
                <w:rFonts w:asciiTheme="minorHAnsi" w:hAnsiTheme="minorHAnsi"/>
                <w:b/>
                <w:color w:val="auto"/>
                <w:sz w:val="17"/>
              </w:rPr>
            </w:pPr>
            <w:r w:rsidRPr="00E53550">
              <w:rPr>
                <w:rFonts w:asciiTheme="minorHAnsi" w:eastAsia="Times New Roman" w:hAnsiTheme="minorHAnsi" w:cs="Times New Roman"/>
                <w:color w:val="auto"/>
                <w:sz w:val="17"/>
                <w:szCs w:val="17"/>
                <w:lang w:val="en-AU"/>
              </w:rPr>
              <w:t>DFAT Hanoi raised concerns with Ministry of Planning and Investment about the new Government Decree on ODA that added Prime</w:t>
            </w:r>
            <w:r w:rsidR="00142452">
              <w:rPr>
                <w:rFonts w:asciiTheme="minorHAnsi" w:eastAsia="Times New Roman" w:hAnsiTheme="minorHAnsi" w:cs="Times New Roman"/>
                <w:color w:val="auto"/>
                <w:sz w:val="17"/>
                <w:szCs w:val="17"/>
                <w:lang w:val="en-AU"/>
              </w:rPr>
              <w:t xml:space="preserve"> </w:t>
            </w:r>
            <w:r w:rsidRPr="00E53550">
              <w:rPr>
                <w:rFonts w:asciiTheme="minorHAnsi" w:eastAsia="Times New Roman" w:hAnsiTheme="minorHAnsi" w:cs="Times New Roman"/>
                <w:color w:val="auto"/>
                <w:sz w:val="17"/>
                <w:szCs w:val="17"/>
                <w:lang w:val="en-AU"/>
              </w:rPr>
              <w:t xml:space="preserve">Ministerial </w:t>
            </w:r>
            <w:r w:rsidR="00142452">
              <w:rPr>
                <w:rFonts w:asciiTheme="minorHAnsi" w:eastAsia="Times New Roman" w:hAnsiTheme="minorHAnsi" w:cs="Times New Roman"/>
                <w:color w:val="auto"/>
                <w:sz w:val="17"/>
                <w:szCs w:val="17"/>
                <w:lang w:val="en-AU"/>
              </w:rPr>
              <w:t>a</w:t>
            </w:r>
            <w:r w:rsidRPr="00E53550">
              <w:rPr>
                <w:rFonts w:asciiTheme="minorHAnsi" w:eastAsia="Times New Roman" w:hAnsiTheme="minorHAnsi" w:cs="Times New Roman"/>
                <w:color w:val="auto"/>
                <w:sz w:val="17"/>
                <w:szCs w:val="17"/>
                <w:lang w:val="en-AU"/>
              </w:rPr>
              <w:t>pproval at concept level for all group A and B ODA projects.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DFAT Hanoi is engaging with MPI and line agencies at working and management level to ensure the design proposals are approved.</w:t>
            </w:r>
          </w:p>
        </w:tc>
        <w:tc>
          <w:tcPr>
            <w:tcW w:w="3212" w:type="dxa"/>
            <w:shd w:val="clear" w:color="auto" w:fill="auto"/>
          </w:tcPr>
          <w:p w:rsidR="009D49B3" w:rsidRPr="00E53550" w:rsidRDefault="009D49B3">
            <w:pPr>
              <w:spacing w:after="0" w:line="240" w:lineRule="auto"/>
              <w:rPr>
                <w:rFonts w:asciiTheme="minorHAnsi" w:hAnsiTheme="minorHAnsi"/>
                <w:b/>
                <w:color w:val="auto"/>
                <w:sz w:val="17"/>
              </w:rPr>
            </w:pPr>
            <w:r w:rsidRPr="00E53550">
              <w:rPr>
                <w:rFonts w:asciiTheme="minorHAnsi" w:eastAsia="Times New Roman" w:hAnsiTheme="minorHAnsi" w:cs="Times New Roman"/>
                <w:color w:val="auto"/>
                <w:sz w:val="17"/>
                <w:szCs w:val="17"/>
                <w:lang w:val="en-AU"/>
              </w:rPr>
              <w:t xml:space="preserve">Aid </w:t>
            </w:r>
            <w:r w:rsidR="00142452">
              <w:rPr>
                <w:rFonts w:asciiTheme="minorHAnsi" w:eastAsia="Times New Roman" w:hAnsiTheme="minorHAnsi" w:cs="Times New Roman"/>
                <w:color w:val="auto"/>
                <w:sz w:val="17"/>
                <w:szCs w:val="17"/>
                <w:lang w:val="en-AU"/>
              </w:rPr>
              <w:t>M</w:t>
            </w:r>
            <w:r w:rsidRPr="00E53550">
              <w:rPr>
                <w:rFonts w:asciiTheme="minorHAnsi" w:eastAsia="Times New Roman" w:hAnsiTheme="minorHAnsi" w:cs="Times New Roman"/>
                <w:color w:val="auto"/>
                <w:sz w:val="17"/>
                <w:szCs w:val="17"/>
                <w:lang w:val="en-AU"/>
              </w:rPr>
              <w:t xml:space="preserve">anagement </w:t>
            </w:r>
            <w:r w:rsidR="00142452">
              <w:rPr>
                <w:rFonts w:asciiTheme="minorHAnsi" w:eastAsia="Times New Roman" w:hAnsiTheme="minorHAnsi" w:cs="Times New Roman"/>
                <w:color w:val="auto"/>
                <w:sz w:val="17"/>
                <w:szCs w:val="17"/>
                <w:lang w:val="en-AU"/>
              </w:rPr>
              <w:t>S</w:t>
            </w:r>
            <w:r w:rsidRPr="00E53550">
              <w:rPr>
                <w:rFonts w:asciiTheme="minorHAnsi" w:eastAsia="Times New Roman" w:hAnsiTheme="minorHAnsi" w:cs="Times New Roman"/>
                <w:color w:val="auto"/>
                <w:sz w:val="17"/>
                <w:szCs w:val="17"/>
                <w:lang w:val="en-AU"/>
              </w:rPr>
              <w:t xml:space="preserve">teering </w:t>
            </w:r>
            <w:r w:rsidR="00142452">
              <w:rPr>
                <w:rFonts w:asciiTheme="minorHAnsi" w:eastAsia="Times New Roman" w:hAnsiTheme="minorHAnsi" w:cs="Times New Roman"/>
                <w:color w:val="auto"/>
                <w:sz w:val="17"/>
                <w:szCs w:val="17"/>
                <w:lang w:val="en-AU"/>
              </w:rPr>
              <w:t>C</w:t>
            </w:r>
            <w:r w:rsidRPr="00E53550">
              <w:rPr>
                <w:rFonts w:asciiTheme="minorHAnsi" w:eastAsia="Times New Roman" w:hAnsiTheme="minorHAnsi" w:cs="Times New Roman"/>
                <w:color w:val="auto"/>
                <w:sz w:val="17"/>
                <w:szCs w:val="17"/>
                <w:lang w:val="en-AU"/>
              </w:rPr>
              <w:t xml:space="preserve">ommittee reviews the timeline for concept and design approvals on a monthly basis, and Counsellor </w:t>
            </w:r>
            <w:r w:rsidR="00142452">
              <w:rPr>
                <w:rFonts w:asciiTheme="minorHAnsi" w:eastAsia="Times New Roman" w:hAnsiTheme="minorHAnsi" w:cs="Times New Roman"/>
                <w:color w:val="auto"/>
                <w:sz w:val="17"/>
                <w:szCs w:val="17"/>
                <w:lang w:val="en-AU"/>
              </w:rPr>
              <w:t>(Economic and Development Cooperation)</w:t>
            </w:r>
            <w:r w:rsidR="00142452" w:rsidRPr="00E53550">
              <w:rPr>
                <w:rFonts w:asciiTheme="minorHAnsi" w:eastAsia="Times New Roman" w:hAnsiTheme="minorHAnsi" w:cs="Times New Roman"/>
                <w:color w:val="auto"/>
                <w:sz w:val="17"/>
                <w:szCs w:val="17"/>
                <w:lang w:val="en-AU"/>
              </w:rPr>
              <w:t xml:space="preserve"> </w:t>
            </w:r>
            <w:r w:rsidRPr="00E53550">
              <w:rPr>
                <w:rFonts w:asciiTheme="minorHAnsi" w:eastAsia="Times New Roman" w:hAnsiTheme="minorHAnsi" w:cs="Times New Roman"/>
                <w:color w:val="auto"/>
                <w:sz w:val="17"/>
                <w:szCs w:val="17"/>
                <w:lang w:val="en-AU"/>
              </w:rPr>
              <w:t xml:space="preserve">provides an update on progress. </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DFAT sector teams to intensify efforts with counterparts to develop a shared understanding about the benefits of the proposed designs and next steps in the approval process.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 xml:space="preserve">Options for how to absorb/reprogram potential underspends to be developed and submitted to the Aid Management </w:t>
            </w:r>
            <w:r w:rsidR="00142452">
              <w:rPr>
                <w:rFonts w:asciiTheme="minorHAnsi" w:eastAsia="Times New Roman" w:hAnsiTheme="minorHAnsi" w:cs="Times New Roman"/>
                <w:color w:val="auto"/>
                <w:sz w:val="17"/>
                <w:szCs w:val="17"/>
                <w:lang w:val="en-AU"/>
              </w:rPr>
              <w:t xml:space="preserve">Steering </w:t>
            </w:r>
            <w:r w:rsidRPr="00E53550">
              <w:rPr>
                <w:rFonts w:asciiTheme="minorHAnsi" w:eastAsia="Times New Roman" w:hAnsiTheme="minorHAnsi" w:cs="Times New Roman"/>
                <w:color w:val="auto"/>
                <w:sz w:val="17"/>
                <w:szCs w:val="17"/>
                <w:lang w:val="en-AU"/>
              </w:rPr>
              <w:t>Committee to mitigate the impacts delayed implementation has on disbursement.</w:t>
            </w:r>
          </w:p>
        </w:tc>
        <w:tc>
          <w:tcPr>
            <w:tcW w:w="1560" w:type="dxa"/>
            <w:shd w:val="clear" w:color="auto" w:fill="auto"/>
          </w:tcPr>
          <w:p w:rsidR="009D49B3" w:rsidRPr="00E53550" w:rsidRDefault="009D49B3" w:rsidP="00BC213F">
            <w:pPr>
              <w:spacing w:after="0" w:line="240" w:lineRule="auto"/>
              <w:rPr>
                <w:rFonts w:asciiTheme="minorHAnsi" w:hAnsiTheme="minorHAnsi"/>
                <w:b/>
                <w:color w:val="auto"/>
                <w:sz w:val="17"/>
              </w:rPr>
            </w:pPr>
            <w:r w:rsidRPr="00E53550">
              <w:rPr>
                <w:rFonts w:asciiTheme="minorHAnsi" w:hAnsiTheme="minorHAnsi"/>
                <w:b/>
                <w:color w:val="auto"/>
                <w:sz w:val="17"/>
              </w:rPr>
              <w:t xml:space="preserve">Moderate </w:t>
            </w:r>
          </w:p>
        </w:tc>
        <w:tc>
          <w:tcPr>
            <w:tcW w:w="1134" w:type="dxa"/>
            <w:shd w:val="clear" w:color="auto" w:fill="auto"/>
          </w:tcPr>
          <w:p w:rsidR="009D49B3" w:rsidRPr="00E53550" w:rsidRDefault="009D49B3" w:rsidP="00BC213F">
            <w:pPr>
              <w:spacing w:after="0" w:line="240" w:lineRule="auto"/>
              <w:rPr>
                <w:rFonts w:ascii="Franklin Gothic Book" w:hAnsi="Franklin Gothic Book"/>
                <w:b/>
                <w:color w:val="auto"/>
                <w:sz w:val="17"/>
              </w:rPr>
            </w:pPr>
            <w:r w:rsidRPr="00E53550">
              <w:rPr>
                <w:rFonts w:ascii="Franklin Gothic Book" w:hAnsi="Franklin Gothic Book"/>
                <w:b/>
                <w:color w:val="auto"/>
                <w:sz w:val="17"/>
              </w:rPr>
              <w:t xml:space="preserve">Yes </w:t>
            </w:r>
          </w:p>
        </w:tc>
      </w:tr>
      <w:tr w:rsidR="00E53550" w:rsidRPr="00E53550" w:rsidTr="00B04ABE">
        <w:trPr>
          <w:cantSplit/>
        </w:trPr>
        <w:tc>
          <w:tcPr>
            <w:tcW w:w="1928" w:type="dxa"/>
            <w:shd w:val="clear" w:color="auto" w:fill="auto"/>
          </w:tcPr>
          <w:p w:rsidR="008F5B23" w:rsidRPr="00E53550" w:rsidRDefault="008F5B23" w:rsidP="00C10E89">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 xml:space="preserve">2. Slow </w:t>
            </w:r>
            <w:r w:rsidR="00142452" w:rsidRPr="00E53550">
              <w:rPr>
                <w:rFonts w:asciiTheme="minorHAnsi" w:eastAsia="Times New Roman" w:hAnsiTheme="minorHAnsi" w:cs="Times New Roman"/>
                <w:color w:val="auto"/>
                <w:sz w:val="17"/>
                <w:szCs w:val="17"/>
                <w:lang w:val="en-AU"/>
              </w:rPr>
              <w:t xml:space="preserve">Government of Vietnam </w:t>
            </w:r>
            <w:r w:rsidRPr="00E53550">
              <w:rPr>
                <w:rFonts w:asciiTheme="minorHAnsi" w:eastAsia="Times New Roman" w:hAnsiTheme="minorHAnsi" w:cs="Times New Roman"/>
                <w:color w:val="auto"/>
                <w:sz w:val="17"/>
                <w:szCs w:val="17"/>
                <w:lang w:val="en-AU"/>
              </w:rPr>
              <w:t>progress of institutional reform in the AIP focus areas (private sector development, gender equality and human resource development) and the reliance on few individual champions to drive the change process may lead to inability to sustain investment results and AIP strategic objectives.</w:t>
            </w:r>
          </w:p>
        </w:tc>
        <w:tc>
          <w:tcPr>
            <w:tcW w:w="1948" w:type="dxa"/>
            <w:shd w:val="clear" w:color="auto" w:fill="auto"/>
          </w:tcPr>
          <w:p w:rsidR="008F5B23" w:rsidRPr="00E53550" w:rsidRDefault="008F5B23" w:rsidP="00BC213F">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All teams ensure</w:t>
            </w:r>
            <w:r w:rsidR="00142452">
              <w:rPr>
                <w:rFonts w:asciiTheme="minorHAnsi" w:eastAsia="Times New Roman" w:hAnsiTheme="minorHAnsi" w:cs="Times New Roman"/>
                <w:color w:val="auto"/>
                <w:sz w:val="17"/>
                <w:szCs w:val="17"/>
                <w:lang w:val="en-AU"/>
              </w:rPr>
              <w:t>d</w:t>
            </w:r>
            <w:r w:rsidRPr="00E53550">
              <w:rPr>
                <w:rFonts w:asciiTheme="minorHAnsi" w:eastAsia="Times New Roman" w:hAnsiTheme="minorHAnsi" w:cs="Times New Roman"/>
                <w:color w:val="auto"/>
                <w:sz w:val="17"/>
                <w:szCs w:val="17"/>
                <w:lang w:val="en-AU"/>
              </w:rPr>
              <w:t xml:space="preserve"> this issue is accounted for in the design and implementation of new investments.</w:t>
            </w:r>
          </w:p>
        </w:tc>
        <w:tc>
          <w:tcPr>
            <w:tcW w:w="3212" w:type="dxa"/>
            <w:shd w:val="clear" w:color="auto" w:fill="auto"/>
          </w:tcPr>
          <w:p w:rsidR="008F5B23" w:rsidRPr="00E53550" w:rsidRDefault="008F5B23" w:rsidP="00BC213F">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Sector teams continue active engagement with a range of different institutions to identify and support other potential reform champions.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DFAT has developed new PAF indicators to measure the impact of policy dialogue and influence.</w:t>
            </w:r>
          </w:p>
        </w:tc>
        <w:tc>
          <w:tcPr>
            <w:tcW w:w="1560" w:type="dxa"/>
            <w:shd w:val="clear" w:color="auto" w:fill="auto"/>
          </w:tcPr>
          <w:p w:rsidR="008F5B23" w:rsidRPr="00E53550" w:rsidRDefault="001E7485" w:rsidP="00BC213F">
            <w:pPr>
              <w:spacing w:after="0" w:line="240" w:lineRule="auto"/>
              <w:rPr>
                <w:rFonts w:asciiTheme="minorHAnsi" w:hAnsiTheme="minorHAnsi"/>
                <w:b/>
                <w:color w:val="auto"/>
                <w:sz w:val="17"/>
              </w:rPr>
            </w:pPr>
            <w:r w:rsidRPr="00E53550">
              <w:rPr>
                <w:rFonts w:asciiTheme="minorHAnsi" w:hAnsiTheme="minorHAnsi"/>
                <w:b/>
                <w:color w:val="auto"/>
                <w:sz w:val="17"/>
              </w:rPr>
              <w:t>Moderate</w:t>
            </w:r>
          </w:p>
        </w:tc>
        <w:tc>
          <w:tcPr>
            <w:tcW w:w="1134" w:type="dxa"/>
            <w:shd w:val="clear" w:color="auto" w:fill="auto"/>
          </w:tcPr>
          <w:p w:rsidR="008F5B23" w:rsidRPr="00E53550" w:rsidRDefault="008F5B23" w:rsidP="00BC213F">
            <w:pPr>
              <w:spacing w:after="0" w:line="240" w:lineRule="auto"/>
              <w:rPr>
                <w:rFonts w:ascii="Franklin Gothic Book" w:hAnsi="Franklin Gothic Book"/>
                <w:b/>
                <w:color w:val="auto"/>
                <w:sz w:val="17"/>
              </w:rPr>
            </w:pPr>
            <w:r w:rsidRPr="00E53550">
              <w:rPr>
                <w:rFonts w:ascii="Franklin Gothic Book" w:hAnsi="Franklin Gothic Book"/>
                <w:b/>
                <w:color w:val="auto"/>
                <w:sz w:val="17"/>
              </w:rPr>
              <w:t xml:space="preserve">Yes </w:t>
            </w:r>
          </w:p>
        </w:tc>
      </w:tr>
      <w:tr w:rsidR="00E53550" w:rsidRPr="00E53550" w:rsidTr="00B04ABE">
        <w:trPr>
          <w:cantSplit/>
        </w:trPr>
        <w:tc>
          <w:tcPr>
            <w:tcW w:w="1928" w:type="dxa"/>
            <w:shd w:val="clear" w:color="auto" w:fill="auto"/>
          </w:tcPr>
          <w:p w:rsidR="008F5B23" w:rsidRPr="00E53550" w:rsidRDefault="008F5B23" w:rsidP="008F5B23">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 xml:space="preserve">3. Relationships with </w:t>
            </w:r>
            <w:r w:rsidR="00142452" w:rsidRPr="00E53550">
              <w:rPr>
                <w:rFonts w:asciiTheme="minorHAnsi" w:eastAsia="Times New Roman" w:hAnsiTheme="minorHAnsi" w:cs="Times New Roman"/>
                <w:color w:val="auto"/>
                <w:sz w:val="17"/>
                <w:szCs w:val="17"/>
                <w:lang w:val="en-AU"/>
              </w:rPr>
              <w:t>Government of Vietnam</w:t>
            </w:r>
            <w:r w:rsidR="00142452" w:rsidRPr="00E53550" w:rsidDel="00142452">
              <w:rPr>
                <w:rFonts w:asciiTheme="minorHAnsi" w:eastAsia="Times New Roman" w:hAnsiTheme="minorHAnsi" w:cs="Times New Roman"/>
                <w:color w:val="auto"/>
                <w:sz w:val="17"/>
                <w:szCs w:val="17"/>
                <w:lang w:val="en-AU"/>
              </w:rPr>
              <w:t xml:space="preserve"> </w:t>
            </w:r>
            <w:r w:rsidRPr="00E53550">
              <w:rPr>
                <w:rFonts w:asciiTheme="minorHAnsi" w:eastAsia="Times New Roman" w:hAnsiTheme="minorHAnsi" w:cs="Times New Roman"/>
                <w:color w:val="auto"/>
                <w:sz w:val="17"/>
                <w:szCs w:val="17"/>
                <w:lang w:val="en-AU"/>
              </w:rPr>
              <w:t>weaken due to the changes of political context</w:t>
            </w:r>
            <w:r w:rsidR="00142452">
              <w:rPr>
                <w:rFonts w:asciiTheme="minorHAnsi" w:eastAsia="Times New Roman" w:hAnsiTheme="minorHAnsi" w:cs="Times New Roman"/>
                <w:color w:val="auto"/>
                <w:sz w:val="17"/>
                <w:szCs w:val="17"/>
                <w:lang w:val="en-AU"/>
              </w:rPr>
              <w:t>.</w:t>
            </w:r>
          </w:p>
        </w:tc>
        <w:tc>
          <w:tcPr>
            <w:tcW w:w="1948" w:type="dxa"/>
            <w:shd w:val="clear" w:color="auto" w:fill="auto"/>
          </w:tcPr>
          <w:p w:rsidR="008F5B23" w:rsidRPr="00E53550" w:rsidRDefault="00536B1A">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HOM maintain</w:t>
            </w:r>
            <w:r>
              <w:rPr>
                <w:rFonts w:asciiTheme="minorHAnsi" w:eastAsia="Times New Roman" w:hAnsiTheme="minorHAnsi" w:cs="Times New Roman"/>
                <w:color w:val="auto"/>
                <w:sz w:val="17"/>
                <w:szCs w:val="17"/>
                <w:lang w:val="en-AU"/>
              </w:rPr>
              <w:t>ed</w:t>
            </w:r>
            <w:r w:rsidRPr="00E53550">
              <w:rPr>
                <w:rFonts w:asciiTheme="minorHAnsi" w:eastAsia="Times New Roman" w:hAnsiTheme="minorHAnsi" w:cs="Times New Roman"/>
                <w:color w:val="auto"/>
                <w:sz w:val="17"/>
                <w:szCs w:val="17"/>
                <w:lang w:val="en-AU"/>
              </w:rPr>
              <w:t xml:space="preserve"> a schedule of high</w:t>
            </w:r>
            <w:r>
              <w:rPr>
                <w:rFonts w:asciiTheme="minorHAnsi" w:eastAsia="Times New Roman" w:hAnsiTheme="minorHAnsi" w:cs="Times New Roman"/>
                <w:color w:val="auto"/>
                <w:sz w:val="17"/>
                <w:szCs w:val="17"/>
                <w:lang w:val="en-AU"/>
              </w:rPr>
              <w:t>-</w:t>
            </w:r>
            <w:r w:rsidRPr="00E53550">
              <w:rPr>
                <w:rFonts w:asciiTheme="minorHAnsi" w:eastAsia="Times New Roman" w:hAnsiTheme="minorHAnsi" w:cs="Times New Roman"/>
                <w:color w:val="auto"/>
                <w:sz w:val="17"/>
                <w:szCs w:val="17"/>
                <w:lang w:val="en-AU"/>
              </w:rPr>
              <w:t>level calls and advocacy with key political and line agency counterparts.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All teams work</w:t>
            </w:r>
            <w:r>
              <w:rPr>
                <w:rFonts w:asciiTheme="minorHAnsi" w:eastAsia="Times New Roman" w:hAnsiTheme="minorHAnsi" w:cs="Times New Roman"/>
                <w:color w:val="auto"/>
                <w:sz w:val="17"/>
                <w:szCs w:val="17"/>
                <w:lang w:val="en-AU"/>
              </w:rPr>
              <w:t>ed</w:t>
            </w:r>
            <w:r w:rsidRPr="00E53550">
              <w:rPr>
                <w:rFonts w:asciiTheme="minorHAnsi" w:eastAsia="Times New Roman" w:hAnsiTheme="minorHAnsi" w:cs="Times New Roman"/>
                <w:color w:val="auto"/>
                <w:sz w:val="17"/>
                <w:szCs w:val="17"/>
                <w:lang w:val="en-AU"/>
              </w:rPr>
              <w:t xml:space="preserve"> closely with counterpart agencies to identify opportunities for building new and strong relationships.</w:t>
            </w:r>
            <w:r w:rsidRPr="00E53550">
              <w:rPr>
                <w:rFonts w:asciiTheme="minorHAnsi" w:eastAsia="Times New Roman" w:hAnsiTheme="minorHAnsi" w:cs="Times New Roman"/>
                <w:color w:val="auto"/>
                <w:sz w:val="17"/>
                <w:szCs w:val="17"/>
                <w:lang w:val="en-AU"/>
              </w:rPr>
              <w:br/>
            </w:r>
          </w:p>
        </w:tc>
        <w:tc>
          <w:tcPr>
            <w:tcW w:w="3212" w:type="dxa"/>
            <w:shd w:val="clear" w:color="auto" w:fill="auto"/>
          </w:tcPr>
          <w:p w:rsidR="008F5B23" w:rsidRPr="00E53550" w:rsidRDefault="008F5B23">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Sector teams actively engage with a range of different institutions and support other potential reform champions.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Sector teams consider alternative mechanisms to support a champion network.</w:t>
            </w:r>
          </w:p>
        </w:tc>
        <w:tc>
          <w:tcPr>
            <w:tcW w:w="1560" w:type="dxa"/>
            <w:shd w:val="clear" w:color="auto" w:fill="auto"/>
          </w:tcPr>
          <w:p w:rsidR="008F5B23" w:rsidRPr="00E53550" w:rsidRDefault="001E7485" w:rsidP="008F5B23">
            <w:pPr>
              <w:spacing w:after="0" w:line="240" w:lineRule="auto"/>
              <w:rPr>
                <w:rFonts w:asciiTheme="minorHAnsi" w:hAnsiTheme="minorHAnsi"/>
                <w:b/>
                <w:color w:val="auto"/>
                <w:sz w:val="17"/>
              </w:rPr>
            </w:pPr>
            <w:r w:rsidRPr="00E53550">
              <w:rPr>
                <w:rFonts w:asciiTheme="minorHAnsi" w:hAnsiTheme="minorHAnsi"/>
                <w:b/>
                <w:color w:val="auto"/>
                <w:sz w:val="17"/>
              </w:rPr>
              <w:t>Low</w:t>
            </w:r>
          </w:p>
        </w:tc>
        <w:tc>
          <w:tcPr>
            <w:tcW w:w="1134" w:type="dxa"/>
            <w:shd w:val="clear" w:color="auto" w:fill="auto"/>
          </w:tcPr>
          <w:p w:rsidR="008F5B23" w:rsidRPr="00E53550" w:rsidRDefault="008F5B23" w:rsidP="008F5B23">
            <w:pPr>
              <w:spacing w:after="0" w:line="240" w:lineRule="auto"/>
              <w:rPr>
                <w:rFonts w:ascii="Franklin Gothic Book" w:hAnsi="Franklin Gothic Book"/>
                <w:b/>
                <w:color w:val="auto"/>
                <w:sz w:val="17"/>
              </w:rPr>
            </w:pPr>
            <w:r w:rsidRPr="00E53550">
              <w:rPr>
                <w:rFonts w:ascii="Franklin Gothic Book" w:hAnsi="Franklin Gothic Book"/>
                <w:b/>
                <w:color w:val="auto"/>
                <w:sz w:val="17"/>
              </w:rPr>
              <w:t xml:space="preserve">Yes </w:t>
            </w:r>
          </w:p>
        </w:tc>
      </w:tr>
      <w:tr w:rsidR="00E53550" w:rsidRPr="00E53550" w:rsidTr="00B04ABE">
        <w:trPr>
          <w:cantSplit/>
        </w:trPr>
        <w:tc>
          <w:tcPr>
            <w:tcW w:w="1928" w:type="dxa"/>
            <w:shd w:val="clear" w:color="auto" w:fill="auto"/>
          </w:tcPr>
          <w:p w:rsidR="008F5B23" w:rsidRPr="00E53550" w:rsidRDefault="008F5B23" w:rsidP="008F5B23">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4. Insufficient fraud and corruption detection and control mechanisms at investment level may cause reputational damage for DFAT.</w:t>
            </w:r>
          </w:p>
        </w:tc>
        <w:tc>
          <w:tcPr>
            <w:tcW w:w="1948" w:type="dxa"/>
            <w:shd w:val="clear" w:color="auto" w:fill="auto"/>
          </w:tcPr>
          <w:p w:rsidR="008F5B23" w:rsidRPr="00E53550" w:rsidRDefault="008F5B23">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Sector teams include</w:t>
            </w:r>
            <w:r w:rsidR="00142452">
              <w:rPr>
                <w:rFonts w:asciiTheme="minorHAnsi" w:eastAsia="Times New Roman" w:hAnsiTheme="minorHAnsi" w:cs="Times New Roman"/>
                <w:color w:val="auto"/>
                <w:sz w:val="17"/>
                <w:szCs w:val="17"/>
                <w:lang w:val="en-AU"/>
              </w:rPr>
              <w:t>d</w:t>
            </w:r>
            <w:r w:rsidRPr="00E53550">
              <w:rPr>
                <w:rFonts w:asciiTheme="minorHAnsi" w:eastAsia="Times New Roman" w:hAnsiTheme="minorHAnsi" w:cs="Times New Roman"/>
                <w:color w:val="auto"/>
                <w:sz w:val="17"/>
                <w:szCs w:val="17"/>
                <w:lang w:val="en-AU"/>
              </w:rPr>
              <w:t xml:space="preserve"> fraud and corruption detection as an agenda and reporting item for monitoring visits.</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 xml:space="preserve">Corporate section </w:t>
            </w:r>
            <w:r w:rsidR="00142452">
              <w:rPr>
                <w:rFonts w:asciiTheme="minorHAnsi" w:eastAsia="Times New Roman" w:hAnsiTheme="minorHAnsi" w:cs="Times New Roman"/>
                <w:color w:val="auto"/>
                <w:sz w:val="17"/>
                <w:szCs w:val="17"/>
                <w:lang w:val="en-AU"/>
              </w:rPr>
              <w:t>i</w:t>
            </w:r>
            <w:r w:rsidRPr="00E53550">
              <w:rPr>
                <w:rFonts w:asciiTheme="minorHAnsi" w:eastAsia="Times New Roman" w:hAnsiTheme="minorHAnsi" w:cs="Times New Roman"/>
                <w:color w:val="auto"/>
                <w:sz w:val="17"/>
                <w:szCs w:val="17"/>
                <w:lang w:val="en-AU"/>
              </w:rPr>
              <w:t>dentifie</w:t>
            </w:r>
            <w:r w:rsidR="00142452">
              <w:rPr>
                <w:rFonts w:asciiTheme="minorHAnsi" w:eastAsia="Times New Roman" w:hAnsiTheme="minorHAnsi" w:cs="Times New Roman"/>
                <w:color w:val="auto"/>
                <w:sz w:val="17"/>
                <w:szCs w:val="17"/>
                <w:lang w:val="en-AU"/>
              </w:rPr>
              <w:t>d</w:t>
            </w:r>
            <w:r w:rsidRPr="00E53550">
              <w:rPr>
                <w:rFonts w:asciiTheme="minorHAnsi" w:eastAsia="Times New Roman" w:hAnsiTheme="minorHAnsi" w:cs="Times New Roman"/>
                <w:color w:val="auto"/>
                <w:sz w:val="17"/>
                <w:szCs w:val="17"/>
                <w:lang w:val="en-AU"/>
              </w:rPr>
              <w:t xml:space="preserve"> high</w:t>
            </w:r>
            <w:r w:rsidR="00536B1A">
              <w:rPr>
                <w:rFonts w:asciiTheme="minorHAnsi" w:eastAsia="Times New Roman" w:hAnsiTheme="minorHAnsi" w:cs="Times New Roman"/>
                <w:color w:val="auto"/>
                <w:sz w:val="17"/>
                <w:szCs w:val="17"/>
                <w:lang w:val="en-AU"/>
              </w:rPr>
              <w:t>-</w:t>
            </w:r>
            <w:r w:rsidRPr="00E53550">
              <w:rPr>
                <w:rFonts w:asciiTheme="minorHAnsi" w:eastAsia="Times New Roman" w:hAnsiTheme="minorHAnsi" w:cs="Times New Roman"/>
                <w:color w:val="auto"/>
                <w:sz w:val="17"/>
                <w:szCs w:val="17"/>
                <w:lang w:val="en-AU"/>
              </w:rPr>
              <w:t>risk investments for procurement / performance audits and compliance spot-checks.</w:t>
            </w:r>
          </w:p>
        </w:tc>
        <w:tc>
          <w:tcPr>
            <w:tcW w:w="3212" w:type="dxa"/>
            <w:shd w:val="clear" w:color="auto" w:fill="auto"/>
          </w:tcPr>
          <w:p w:rsidR="008F5B23" w:rsidRPr="00E53550" w:rsidRDefault="008F5B23" w:rsidP="005530A2">
            <w:pPr>
              <w:spacing w:after="0" w:line="240" w:lineRule="auto"/>
              <w:rPr>
                <w:rFonts w:asciiTheme="minorHAnsi" w:eastAsia="Times New Roman" w:hAnsiTheme="minorHAnsi" w:cs="Times New Roman"/>
                <w:color w:val="auto"/>
                <w:sz w:val="17"/>
                <w:szCs w:val="17"/>
                <w:lang w:val="en-AU"/>
              </w:rPr>
            </w:pPr>
            <w:r w:rsidRPr="00E53550">
              <w:rPr>
                <w:rFonts w:asciiTheme="minorHAnsi" w:eastAsia="Times New Roman" w:hAnsiTheme="minorHAnsi" w:cs="Times New Roman"/>
                <w:color w:val="auto"/>
                <w:sz w:val="17"/>
                <w:szCs w:val="17"/>
                <w:lang w:val="en-AU"/>
              </w:rPr>
              <w:t>Corporate section conduct</w:t>
            </w:r>
            <w:r w:rsidR="00536B1A">
              <w:rPr>
                <w:rFonts w:asciiTheme="minorHAnsi" w:eastAsia="Times New Roman" w:hAnsiTheme="minorHAnsi" w:cs="Times New Roman"/>
                <w:color w:val="auto"/>
                <w:sz w:val="17"/>
                <w:szCs w:val="17"/>
                <w:lang w:val="en-AU"/>
              </w:rPr>
              <w:t>s</w:t>
            </w:r>
            <w:r w:rsidRPr="00E53550">
              <w:rPr>
                <w:rFonts w:asciiTheme="minorHAnsi" w:eastAsia="Times New Roman" w:hAnsiTheme="minorHAnsi" w:cs="Times New Roman"/>
                <w:color w:val="auto"/>
                <w:sz w:val="17"/>
                <w:szCs w:val="17"/>
                <w:lang w:val="en-AU"/>
              </w:rPr>
              <w:t xml:space="preserve"> fraud and anti-corruption training for staff and partners.</w:t>
            </w:r>
            <w:r w:rsidR="00536B1A">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New investments use managing contractor models to increase transparency and reduce corruption risk.</w:t>
            </w:r>
            <w:r w:rsidRPr="00E53550">
              <w:rPr>
                <w:rFonts w:asciiTheme="minorHAnsi" w:eastAsia="Times New Roman" w:hAnsiTheme="minorHAnsi" w:cs="Times New Roman"/>
                <w:color w:val="auto"/>
                <w:sz w:val="17"/>
                <w:szCs w:val="17"/>
                <w:lang w:val="en-AU"/>
              </w:rPr>
              <w:br/>
            </w:r>
            <w:r w:rsidRPr="00E53550">
              <w:rPr>
                <w:rFonts w:asciiTheme="minorHAnsi" w:eastAsia="Times New Roman" w:hAnsiTheme="minorHAnsi" w:cs="Times New Roman"/>
                <w:color w:val="auto"/>
                <w:sz w:val="17"/>
                <w:szCs w:val="17"/>
                <w:lang w:val="en-AU"/>
              </w:rPr>
              <w:br/>
              <w:t>Program specific risk registers reviewed routinely by sector teams and risk treatments applied.</w:t>
            </w:r>
          </w:p>
        </w:tc>
        <w:tc>
          <w:tcPr>
            <w:tcW w:w="1560" w:type="dxa"/>
            <w:shd w:val="clear" w:color="auto" w:fill="auto"/>
          </w:tcPr>
          <w:p w:rsidR="008F5B23" w:rsidRPr="00E53550" w:rsidRDefault="008F5B23" w:rsidP="008F5B23">
            <w:pPr>
              <w:spacing w:after="0" w:line="240" w:lineRule="auto"/>
              <w:rPr>
                <w:rFonts w:asciiTheme="minorHAnsi" w:hAnsiTheme="minorHAnsi"/>
                <w:b/>
                <w:color w:val="auto"/>
                <w:sz w:val="17"/>
              </w:rPr>
            </w:pPr>
            <w:r w:rsidRPr="00E53550">
              <w:rPr>
                <w:rFonts w:asciiTheme="minorHAnsi" w:hAnsiTheme="minorHAnsi"/>
                <w:b/>
                <w:color w:val="auto"/>
                <w:sz w:val="17"/>
              </w:rPr>
              <w:t xml:space="preserve">Low </w:t>
            </w:r>
          </w:p>
        </w:tc>
        <w:tc>
          <w:tcPr>
            <w:tcW w:w="1134" w:type="dxa"/>
            <w:shd w:val="clear" w:color="auto" w:fill="auto"/>
          </w:tcPr>
          <w:p w:rsidR="008F5B23" w:rsidRPr="00E53550" w:rsidRDefault="008F5B23" w:rsidP="008F5B23">
            <w:pPr>
              <w:spacing w:after="0" w:line="240" w:lineRule="auto"/>
              <w:rPr>
                <w:rFonts w:ascii="Franklin Gothic Book" w:hAnsi="Franklin Gothic Book"/>
                <w:b/>
                <w:color w:val="auto"/>
                <w:sz w:val="17"/>
              </w:rPr>
            </w:pPr>
            <w:r w:rsidRPr="00E53550">
              <w:rPr>
                <w:rFonts w:ascii="Franklin Gothic Book" w:hAnsi="Franklin Gothic Book"/>
                <w:b/>
                <w:color w:val="auto"/>
                <w:sz w:val="17"/>
              </w:rPr>
              <w:t xml:space="preserve">Yes </w:t>
            </w:r>
          </w:p>
        </w:tc>
      </w:tr>
      <w:tr w:rsidR="00E53550" w:rsidRPr="00E53550" w:rsidTr="00B04ABE">
        <w:trPr>
          <w:cantSplit/>
          <w:trHeight w:val="56"/>
        </w:trPr>
        <w:tc>
          <w:tcPr>
            <w:tcW w:w="1928" w:type="dxa"/>
            <w:shd w:val="clear" w:color="auto" w:fill="auto"/>
          </w:tcPr>
          <w:p w:rsidR="00E974CB" w:rsidRPr="00E53550" w:rsidRDefault="008F5B23" w:rsidP="00314DC4">
            <w:pPr>
              <w:suppressAutoHyphens w:val="0"/>
              <w:spacing w:before="0" w:after="0" w:line="240" w:lineRule="auto"/>
              <w:rPr>
                <w:rFonts w:ascii="Franklin Gothic Book" w:eastAsia="Times New Roman" w:hAnsi="Franklin Gothic Book"/>
                <w:iCs/>
                <w:color w:val="auto"/>
                <w:sz w:val="17"/>
                <w:szCs w:val="17"/>
              </w:rPr>
            </w:pPr>
            <w:r w:rsidRPr="00E53550">
              <w:rPr>
                <w:b/>
                <w:color w:val="auto"/>
                <w:sz w:val="24"/>
              </w:rPr>
              <w:tab/>
            </w:r>
          </w:p>
        </w:tc>
        <w:tc>
          <w:tcPr>
            <w:tcW w:w="1948" w:type="dxa"/>
            <w:shd w:val="clear" w:color="auto" w:fill="auto"/>
          </w:tcPr>
          <w:p w:rsidR="00E974CB" w:rsidRPr="00314DC4" w:rsidRDefault="00E974CB" w:rsidP="00314DC4">
            <w:pPr>
              <w:keepLines/>
              <w:spacing w:before="40" w:after="0" w:line="200" w:lineRule="atLeast"/>
              <w:rPr>
                <w:rFonts w:ascii="Franklin Gothic Book" w:eastAsia="Times New Roman" w:hAnsi="Franklin Gothic Book"/>
                <w:iCs/>
                <w:color w:val="auto"/>
                <w:sz w:val="17"/>
                <w:szCs w:val="17"/>
              </w:rPr>
            </w:pPr>
          </w:p>
        </w:tc>
        <w:tc>
          <w:tcPr>
            <w:tcW w:w="3212" w:type="dxa"/>
            <w:shd w:val="clear" w:color="auto" w:fill="auto"/>
          </w:tcPr>
          <w:p w:rsidR="00E974CB" w:rsidRPr="00314DC4" w:rsidRDefault="00E974CB" w:rsidP="00314DC4">
            <w:pPr>
              <w:keepLines/>
              <w:spacing w:before="40" w:after="0" w:line="200" w:lineRule="atLeast"/>
              <w:rPr>
                <w:rFonts w:ascii="Franklin Gothic Book" w:eastAsia="Times New Roman" w:hAnsi="Franklin Gothic Book"/>
                <w:iCs/>
                <w:color w:val="auto"/>
                <w:sz w:val="17"/>
                <w:szCs w:val="17"/>
              </w:rPr>
            </w:pPr>
          </w:p>
        </w:tc>
        <w:tc>
          <w:tcPr>
            <w:tcW w:w="1560" w:type="dxa"/>
            <w:shd w:val="clear" w:color="auto" w:fill="auto"/>
          </w:tcPr>
          <w:p w:rsidR="00E974CB" w:rsidRPr="00E53550" w:rsidRDefault="00E974CB">
            <w:pPr>
              <w:keepLines/>
              <w:spacing w:before="40" w:after="0" w:line="200" w:lineRule="atLeast"/>
              <w:rPr>
                <w:rFonts w:ascii="Franklin Gothic Book" w:eastAsia="Times New Roman" w:hAnsi="Franklin Gothic Book"/>
                <w:iCs/>
                <w:color w:val="auto"/>
                <w:sz w:val="17"/>
                <w:szCs w:val="17"/>
              </w:rPr>
            </w:pPr>
          </w:p>
        </w:tc>
        <w:tc>
          <w:tcPr>
            <w:tcW w:w="1134" w:type="dxa"/>
            <w:shd w:val="clear" w:color="auto" w:fill="auto"/>
          </w:tcPr>
          <w:p w:rsidR="00E974CB" w:rsidRPr="00E53550" w:rsidRDefault="00E974CB">
            <w:pPr>
              <w:keepLines/>
              <w:spacing w:before="40" w:after="0" w:line="200" w:lineRule="atLeast"/>
              <w:rPr>
                <w:rFonts w:ascii="Franklin Gothic Book" w:eastAsia="Times New Roman" w:hAnsi="Franklin Gothic Book"/>
                <w:iCs/>
                <w:color w:val="auto"/>
                <w:sz w:val="17"/>
                <w:szCs w:val="17"/>
              </w:rPr>
            </w:pPr>
          </w:p>
        </w:tc>
      </w:tr>
    </w:tbl>
    <w:p w:rsidR="00E974CB" w:rsidRPr="00B04ABE" w:rsidRDefault="004806CF" w:rsidP="00B04ABE">
      <w:pPr>
        <w:pStyle w:val="ListBullet"/>
        <w:keepNext/>
        <w:spacing w:before="360" w:after="60" w:line="240" w:lineRule="auto"/>
        <w:rPr>
          <w:rFonts w:asciiTheme="majorHAnsi" w:eastAsiaTheme="majorEastAsia" w:hAnsiTheme="majorHAnsi" w:cstheme="majorBidi"/>
          <w:caps/>
          <w:color w:val="auto"/>
          <w:sz w:val="38"/>
          <w:szCs w:val="26"/>
          <w:lang w:val="en-GB" w:eastAsia="en-US"/>
        </w:rPr>
      </w:pPr>
      <w:r w:rsidRPr="00B04ABE">
        <w:rPr>
          <w:rFonts w:asciiTheme="majorHAnsi" w:eastAsiaTheme="majorEastAsia" w:hAnsiTheme="majorHAnsi" w:cstheme="majorBidi"/>
          <w:caps/>
          <w:color w:val="auto"/>
          <w:sz w:val="38"/>
          <w:szCs w:val="26"/>
          <w:lang w:val="en-GB" w:eastAsia="en-US"/>
        </w:rPr>
        <w:t>Management actions</w:t>
      </w:r>
      <w:r w:rsidRPr="00B04ABE">
        <w:rPr>
          <w:rFonts w:asciiTheme="majorHAnsi" w:eastAsiaTheme="majorEastAsia" w:hAnsiTheme="majorHAnsi" w:cstheme="majorBidi"/>
          <w:caps/>
          <w:color w:val="auto"/>
          <w:sz w:val="38"/>
          <w:szCs w:val="26"/>
          <w:lang w:val="en-GB" w:eastAsia="en-US"/>
        </w:rPr>
        <w:tab/>
      </w:r>
      <w:r w:rsidRPr="00B04ABE">
        <w:rPr>
          <w:rFonts w:asciiTheme="majorHAnsi" w:eastAsiaTheme="majorEastAsia" w:hAnsiTheme="majorHAnsi" w:cstheme="majorBidi"/>
          <w:caps/>
          <w:color w:val="auto"/>
          <w:sz w:val="38"/>
          <w:szCs w:val="26"/>
          <w:lang w:val="en-GB" w:eastAsia="en-US"/>
        </w:rPr>
        <w:tab/>
      </w:r>
    </w:p>
    <w:p w:rsidR="003016C3" w:rsidRPr="00E53550" w:rsidRDefault="003016C3" w:rsidP="003016C3">
      <w:pPr>
        <w:jc w:val="both"/>
        <w:rPr>
          <w:color w:val="auto"/>
          <w:sz w:val="21"/>
          <w:szCs w:val="21"/>
          <w:lang w:val="en-AU"/>
        </w:rPr>
      </w:pPr>
      <w:r w:rsidRPr="00E53550">
        <w:rPr>
          <w:color w:val="auto"/>
          <w:sz w:val="21"/>
          <w:szCs w:val="21"/>
        </w:rPr>
        <w:t xml:space="preserve">Annex A outlines progress in addressing </w:t>
      </w:r>
      <w:r w:rsidR="00142452">
        <w:rPr>
          <w:color w:val="auto"/>
          <w:sz w:val="21"/>
          <w:szCs w:val="21"/>
        </w:rPr>
        <w:t xml:space="preserve">the </w:t>
      </w:r>
      <w:r w:rsidRPr="00E53550">
        <w:rPr>
          <w:color w:val="auto"/>
          <w:sz w:val="21"/>
          <w:szCs w:val="21"/>
        </w:rPr>
        <w:t xml:space="preserve">management </w:t>
      </w:r>
      <w:r w:rsidR="00142452">
        <w:rPr>
          <w:color w:val="auto"/>
          <w:sz w:val="21"/>
          <w:szCs w:val="21"/>
        </w:rPr>
        <w:t>actions identified in last year’s APPR</w:t>
      </w:r>
      <w:r w:rsidRPr="00E53550">
        <w:rPr>
          <w:color w:val="auto"/>
          <w:sz w:val="21"/>
          <w:szCs w:val="21"/>
        </w:rPr>
        <w:t xml:space="preserve">. Notably, the </w:t>
      </w:r>
      <w:r w:rsidR="00142452">
        <w:rPr>
          <w:color w:val="auto"/>
          <w:sz w:val="21"/>
          <w:szCs w:val="21"/>
        </w:rPr>
        <w:t>HLCs</w:t>
      </w:r>
      <w:r w:rsidR="001E7485" w:rsidRPr="00E53550">
        <w:rPr>
          <w:color w:val="auto"/>
          <w:sz w:val="21"/>
          <w:szCs w:val="21"/>
        </w:rPr>
        <w:t xml:space="preserve"> on Development Cooperation were</w:t>
      </w:r>
      <w:r w:rsidRPr="00E53550">
        <w:rPr>
          <w:color w:val="auto"/>
          <w:sz w:val="21"/>
          <w:szCs w:val="21"/>
        </w:rPr>
        <w:t xml:space="preserve"> successfully held in March 2017, which confirmed Australia’s role as a key development pa</w:t>
      </w:r>
      <w:r w:rsidR="001E7485" w:rsidRPr="00E53550">
        <w:rPr>
          <w:color w:val="auto"/>
          <w:sz w:val="21"/>
          <w:szCs w:val="21"/>
        </w:rPr>
        <w:t>rtner in Vietnam and secured agreement to establish</w:t>
      </w:r>
      <w:r w:rsidRPr="00E53550">
        <w:rPr>
          <w:color w:val="auto"/>
          <w:sz w:val="21"/>
          <w:szCs w:val="21"/>
        </w:rPr>
        <w:t xml:space="preserve"> an economic partnership. </w:t>
      </w:r>
    </w:p>
    <w:p w:rsidR="003016C3" w:rsidRPr="00E53550" w:rsidRDefault="00142452" w:rsidP="003016C3">
      <w:pPr>
        <w:jc w:val="both"/>
        <w:rPr>
          <w:color w:val="auto"/>
          <w:sz w:val="21"/>
          <w:szCs w:val="21"/>
        </w:rPr>
      </w:pPr>
      <w:r>
        <w:rPr>
          <w:color w:val="auto"/>
          <w:sz w:val="21"/>
          <w:szCs w:val="21"/>
        </w:rPr>
        <w:t>T</w:t>
      </w:r>
      <w:r w:rsidRPr="00E53550">
        <w:rPr>
          <w:color w:val="auto"/>
          <w:sz w:val="21"/>
          <w:szCs w:val="21"/>
        </w:rPr>
        <w:t xml:space="preserve">he Vietnam program will prioritise the following </w:t>
      </w:r>
      <w:r>
        <w:rPr>
          <w:color w:val="auto"/>
          <w:sz w:val="21"/>
          <w:szCs w:val="21"/>
        </w:rPr>
        <w:t xml:space="preserve">management actions </w:t>
      </w:r>
      <w:r w:rsidRPr="00E53550">
        <w:rPr>
          <w:color w:val="auto"/>
          <w:sz w:val="21"/>
          <w:szCs w:val="21"/>
        </w:rPr>
        <w:t>in 2017-18</w:t>
      </w:r>
      <w:r>
        <w:rPr>
          <w:color w:val="auto"/>
          <w:sz w:val="21"/>
          <w:szCs w:val="21"/>
        </w:rPr>
        <w:t xml:space="preserve"> t</w:t>
      </w:r>
      <w:r w:rsidR="003016C3" w:rsidRPr="00E53550">
        <w:rPr>
          <w:color w:val="auto"/>
          <w:sz w:val="21"/>
          <w:szCs w:val="21"/>
        </w:rPr>
        <w:t xml:space="preserve">o deepen </w:t>
      </w:r>
      <w:r>
        <w:rPr>
          <w:color w:val="auto"/>
          <w:sz w:val="21"/>
          <w:szCs w:val="21"/>
        </w:rPr>
        <w:t>our</w:t>
      </w:r>
      <w:r w:rsidRPr="00E53550">
        <w:rPr>
          <w:color w:val="auto"/>
          <w:sz w:val="21"/>
          <w:szCs w:val="21"/>
        </w:rPr>
        <w:t xml:space="preserve"> </w:t>
      </w:r>
      <w:r w:rsidR="003016C3" w:rsidRPr="00E53550">
        <w:rPr>
          <w:color w:val="auto"/>
          <w:sz w:val="21"/>
          <w:szCs w:val="21"/>
        </w:rPr>
        <w:t>transition to an economic partnership and to continue our effort in pursuing strategic focus for our development program</w:t>
      </w:r>
      <w:r>
        <w:rPr>
          <w:color w:val="auto"/>
          <w:sz w:val="21"/>
          <w:szCs w:val="21"/>
        </w:rPr>
        <w:t>,</w:t>
      </w:r>
      <w:r w:rsidR="003016C3" w:rsidRPr="00E53550">
        <w:rPr>
          <w:color w:val="auto"/>
          <w:sz w:val="21"/>
          <w:szCs w:val="21"/>
        </w:rPr>
        <w:t xml:space="preserve"> including (i) embedding innova</w:t>
      </w:r>
      <w:r w:rsidR="001E7485" w:rsidRPr="00E53550">
        <w:rPr>
          <w:color w:val="auto"/>
          <w:sz w:val="21"/>
          <w:szCs w:val="21"/>
        </w:rPr>
        <w:t xml:space="preserve">tion in our work; (ii) being a </w:t>
      </w:r>
      <w:r w:rsidR="003016C3" w:rsidRPr="00E53550">
        <w:rPr>
          <w:color w:val="auto"/>
          <w:sz w:val="21"/>
          <w:szCs w:val="21"/>
        </w:rPr>
        <w:t>leader on gender; and (iii) improving Australia’s aid branding and recognition:</w:t>
      </w:r>
    </w:p>
    <w:p w:rsidR="001E7485" w:rsidRPr="00E53550" w:rsidRDefault="001E7485" w:rsidP="001E7485">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E53550">
        <w:rPr>
          <w:rFonts w:asciiTheme="minorHAnsi" w:hAnsiTheme="minorHAnsi"/>
          <w:color w:val="auto"/>
          <w:sz w:val="21"/>
          <w:szCs w:val="21"/>
        </w:rPr>
        <w:t xml:space="preserve">Establish a </w:t>
      </w:r>
      <w:r w:rsidRPr="00E53550">
        <w:rPr>
          <w:rFonts w:asciiTheme="minorHAnsi" w:hAnsiTheme="minorHAnsi"/>
          <w:b/>
          <w:color w:val="auto"/>
          <w:sz w:val="21"/>
          <w:szCs w:val="21"/>
        </w:rPr>
        <w:t>new Ministerial</w:t>
      </w:r>
      <w:r w:rsidR="00142452">
        <w:rPr>
          <w:rFonts w:asciiTheme="minorHAnsi" w:hAnsiTheme="minorHAnsi"/>
          <w:b/>
          <w:color w:val="auto"/>
          <w:sz w:val="21"/>
          <w:szCs w:val="21"/>
        </w:rPr>
        <w:t>-</w:t>
      </w:r>
      <w:r w:rsidRPr="00E53550">
        <w:rPr>
          <w:rFonts w:asciiTheme="minorHAnsi" w:hAnsiTheme="minorHAnsi"/>
          <w:b/>
          <w:color w:val="auto"/>
          <w:sz w:val="21"/>
          <w:szCs w:val="21"/>
        </w:rPr>
        <w:t>level Economic Partnership Meeting</w:t>
      </w:r>
      <w:r w:rsidRPr="00E53550">
        <w:rPr>
          <w:rFonts w:asciiTheme="minorHAnsi" w:hAnsiTheme="minorHAnsi"/>
          <w:color w:val="auto"/>
          <w:sz w:val="21"/>
          <w:szCs w:val="21"/>
        </w:rPr>
        <w:t xml:space="preserve"> to bring together trade, economic and development interests to be announced </w:t>
      </w:r>
      <w:r w:rsidR="004B6EF0">
        <w:rPr>
          <w:rFonts w:asciiTheme="minorHAnsi" w:hAnsiTheme="minorHAnsi"/>
          <w:color w:val="auto"/>
          <w:sz w:val="21"/>
          <w:szCs w:val="21"/>
        </w:rPr>
        <w:t>at an appropriate high-level opportunity</w:t>
      </w:r>
      <w:r w:rsidRPr="00E53550">
        <w:rPr>
          <w:rFonts w:asciiTheme="minorHAnsi" w:hAnsiTheme="minorHAnsi"/>
          <w:color w:val="auto"/>
          <w:sz w:val="21"/>
          <w:szCs w:val="21"/>
        </w:rPr>
        <w:t>.</w:t>
      </w:r>
    </w:p>
    <w:p w:rsidR="003016C3" w:rsidRPr="00E53550" w:rsidRDefault="00494239" w:rsidP="00EF7A69">
      <w:pPr>
        <w:pStyle w:val="ListParagraph"/>
        <w:numPr>
          <w:ilvl w:val="0"/>
          <w:numId w:val="3"/>
        </w:numPr>
        <w:spacing w:before="120" w:after="120"/>
        <w:ind w:left="714" w:hanging="357"/>
        <w:contextualSpacing w:val="0"/>
        <w:jc w:val="both"/>
        <w:rPr>
          <w:rFonts w:asciiTheme="minorHAnsi" w:hAnsiTheme="minorHAnsi"/>
          <w:color w:val="auto"/>
          <w:sz w:val="21"/>
          <w:szCs w:val="21"/>
        </w:rPr>
      </w:pPr>
      <w:r>
        <w:rPr>
          <w:rFonts w:asciiTheme="minorHAnsi" w:hAnsiTheme="minorHAnsi"/>
          <w:b/>
          <w:color w:val="auto"/>
          <w:sz w:val="21"/>
          <w:szCs w:val="21"/>
        </w:rPr>
        <w:t>M</w:t>
      </w:r>
      <w:r w:rsidR="003016C3" w:rsidRPr="00E53550">
        <w:rPr>
          <w:rFonts w:asciiTheme="minorHAnsi" w:hAnsiTheme="minorHAnsi"/>
          <w:b/>
          <w:color w:val="auto"/>
          <w:sz w:val="21"/>
          <w:szCs w:val="21"/>
        </w:rPr>
        <w:t>obili</w:t>
      </w:r>
      <w:r w:rsidR="001960E4" w:rsidRPr="00E53550">
        <w:rPr>
          <w:rFonts w:asciiTheme="minorHAnsi" w:hAnsiTheme="minorHAnsi"/>
          <w:b/>
          <w:color w:val="auto"/>
          <w:sz w:val="21"/>
          <w:szCs w:val="21"/>
        </w:rPr>
        <w:t>s</w:t>
      </w:r>
      <w:r w:rsidR="001E7485" w:rsidRPr="00E53550">
        <w:rPr>
          <w:rFonts w:asciiTheme="minorHAnsi" w:hAnsiTheme="minorHAnsi"/>
          <w:b/>
          <w:color w:val="auto"/>
          <w:sz w:val="21"/>
          <w:szCs w:val="21"/>
        </w:rPr>
        <w:t>e four</w:t>
      </w:r>
      <w:r w:rsidR="003016C3" w:rsidRPr="00E53550">
        <w:rPr>
          <w:rFonts w:asciiTheme="minorHAnsi" w:hAnsiTheme="minorHAnsi"/>
          <w:b/>
          <w:color w:val="auto"/>
          <w:sz w:val="21"/>
          <w:szCs w:val="21"/>
        </w:rPr>
        <w:t xml:space="preserve"> new aid investments</w:t>
      </w:r>
      <w:r w:rsidR="003016C3" w:rsidRPr="00E53550">
        <w:rPr>
          <w:rFonts w:asciiTheme="minorHAnsi" w:hAnsiTheme="minorHAnsi"/>
          <w:color w:val="auto"/>
          <w:sz w:val="21"/>
          <w:szCs w:val="21"/>
        </w:rPr>
        <w:t xml:space="preserve">, with </w:t>
      </w:r>
      <w:r w:rsidR="001960E4" w:rsidRPr="00E53550">
        <w:rPr>
          <w:rFonts w:asciiTheme="minorHAnsi" w:hAnsiTheme="minorHAnsi"/>
          <w:color w:val="auto"/>
          <w:sz w:val="21"/>
          <w:szCs w:val="21"/>
        </w:rPr>
        <w:t xml:space="preserve">Government approvals issued and </w:t>
      </w:r>
      <w:r w:rsidR="003016C3" w:rsidRPr="00E53550">
        <w:rPr>
          <w:rFonts w:asciiTheme="minorHAnsi" w:hAnsiTheme="minorHAnsi"/>
          <w:color w:val="auto"/>
          <w:sz w:val="21"/>
          <w:szCs w:val="21"/>
        </w:rPr>
        <w:t>all tenders completed</w:t>
      </w:r>
      <w:r w:rsidR="001960E4" w:rsidRPr="00E53550">
        <w:rPr>
          <w:rFonts w:asciiTheme="minorHAnsi" w:hAnsiTheme="minorHAnsi"/>
          <w:color w:val="auto"/>
          <w:sz w:val="21"/>
          <w:szCs w:val="21"/>
        </w:rPr>
        <w:t xml:space="preserve"> by the end of </w:t>
      </w:r>
      <w:r w:rsidR="00142452">
        <w:rPr>
          <w:rFonts w:asciiTheme="minorHAnsi" w:hAnsiTheme="minorHAnsi"/>
          <w:color w:val="auto"/>
          <w:sz w:val="21"/>
          <w:szCs w:val="21"/>
        </w:rPr>
        <w:t>the</w:t>
      </w:r>
      <w:r w:rsidR="00142452" w:rsidRPr="00E53550">
        <w:rPr>
          <w:rFonts w:asciiTheme="minorHAnsi" w:hAnsiTheme="minorHAnsi"/>
          <w:color w:val="auto"/>
          <w:sz w:val="21"/>
          <w:szCs w:val="21"/>
        </w:rPr>
        <w:t xml:space="preserve"> </w:t>
      </w:r>
      <w:r w:rsidR="00D657DA" w:rsidRPr="00E53550">
        <w:rPr>
          <w:rFonts w:asciiTheme="minorHAnsi" w:hAnsiTheme="minorHAnsi"/>
          <w:color w:val="auto"/>
          <w:sz w:val="21"/>
          <w:szCs w:val="21"/>
        </w:rPr>
        <w:t>2017-</w:t>
      </w:r>
      <w:r w:rsidR="001960E4" w:rsidRPr="00E53550">
        <w:rPr>
          <w:rFonts w:asciiTheme="minorHAnsi" w:hAnsiTheme="minorHAnsi"/>
          <w:color w:val="auto"/>
          <w:sz w:val="21"/>
          <w:szCs w:val="21"/>
        </w:rPr>
        <w:t>18</w:t>
      </w:r>
      <w:r w:rsidR="00142452">
        <w:rPr>
          <w:rFonts w:asciiTheme="minorHAnsi" w:hAnsiTheme="minorHAnsi"/>
          <w:color w:val="auto"/>
          <w:sz w:val="21"/>
          <w:szCs w:val="21"/>
        </w:rPr>
        <w:t xml:space="preserve"> financial year</w:t>
      </w:r>
      <w:r w:rsidR="003016C3" w:rsidRPr="00E53550">
        <w:rPr>
          <w:rFonts w:asciiTheme="minorHAnsi" w:hAnsiTheme="minorHAnsi"/>
          <w:color w:val="auto"/>
          <w:sz w:val="21"/>
          <w:szCs w:val="21"/>
        </w:rPr>
        <w:t>.</w:t>
      </w:r>
    </w:p>
    <w:p w:rsidR="00DF37E1" w:rsidRPr="00E53550" w:rsidRDefault="00DF37E1" w:rsidP="00EF7A69">
      <w:pPr>
        <w:pStyle w:val="ListParagraph"/>
        <w:numPr>
          <w:ilvl w:val="0"/>
          <w:numId w:val="3"/>
        </w:numPr>
        <w:autoSpaceDE w:val="0"/>
        <w:autoSpaceDN w:val="0"/>
        <w:spacing w:before="120" w:after="120"/>
        <w:ind w:left="714" w:hanging="357"/>
        <w:contextualSpacing w:val="0"/>
        <w:jc w:val="both"/>
        <w:rPr>
          <w:rFonts w:asciiTheme="minorHAnsi" w:hAnsiTheme="minorHAnsi"/>
          <w:color w:val="auto"/>
          <w:sz w:val="21"/>
          <w:szCs w:val="21"/>
        </w:rPr>
      </w:pPr>
      <w:r w:rsidRPr="00E53550">
        <w:rPr>
          <w:rFonts w:asciiTheme="minorHAnsi" w:hAnsiTheme="minorHAnsi"/>
          <w:color w:val="auto"/>
          <w:sz w:val="21"/>
          <w:szCs w:val="21"/>
        </w:rPr>
        <w:t xml:space="preserve">Implement a </w:t>
      </w:r>
      <w:r w:rsidRPr="00E53550">
        <w:rPr>
          <w:rFonts w:asciiTheme="minorHAnsi" w:hAnsiTheme="minorHAnsi"/>
          <w:b/>
          <w:color w:val="auto"/>
          <w:sz w:val="21"/>
          <w:szCs w:val="21"/>
        </w:rPr>
        <w:t>new Performance Assessment Framework</w:t>
      </w:r>
      <w:r w:rsidRPr="00E53550">
        <w:rPr>
          <w:rFonts w:asciiTheme="minorHAnsi" w:hAnsiTheme="minorHAnsi"/>
          <w:color w:val="auto"/>
          <w:sz w:val="21"/>
          <w:szCs w:val="21"/>
        </w:rPr>
        <w:t xml:space="preserve"> by December 2017 to better measure the impact of our investments on influencing policy and achieving the Embassy’s </w:t>
      </w:r>
      <w:r w:rsidR="00142452">
        <w:rPr>
          <w:rFonts w:asciiTheme="minorHAnsi" w:hAnsiTheme="minorHAnsi"/>
          <w:color w:val="auto"/>
          <w:sz w:val="21"/>
          <w:szCs w:val="21"/>
        </w:rPr>
        <w:t>e</w:t>
      </w:r>
      <w:r w:rsidRPr="00E53550">
        <w:rPr>
          <w:rFonts w:asciiTheme="minorHAnsi" w:hAnsiTheme="minorHAnsi"/>
          <w:color w:val="auto"/>
          <w:sz w:val="21"/>
          <w:szCs w:val="21"/>
        </w:rPr>
        <w:t xml:space="preserve">conomic </w:t>
      </w:r>
      <w:r w:rsidR="00142452">
        <w:rPr>
          <w:rFonts w:asciiTheme="minorHAnsi" w:hAnsiTheme="minorHAnsi"/>
          <w:color w:val="auto"/>
          <w:sz w:val="21"/>
          <w:szCs w:val="21"/>
        </w:rPr>
        <w:t>p</w:t>
      </w:r>
      <w:r w:rsidRPr="00E53550">
        <w:rPr>
          <w:rFonts w:asciiTheme="minorHAnsi" w:hAnsiTheme="minorHAnsi"/>
          <w:color w:val="auto"/>
          <w:sz w:val="21"/>
          <w:szCs w:val="21"/>
        </w:rPr>
        <w:t>artnership priorities.</w:t>
      </w:r>
    </w:p>
    <w:p w:rsidR="00DF37E1" w:rsidRPr="00E53550" w:rsidRDefault="00DF37E1" w:rsidP="00EF7A69">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E53550">
        <w:rPr>
          <w:rFonts w:asciiTheme="minorHAnsi" w:hAnsiTheme="minorHAnsi"/>
          <w:color w:val="auto"/>
          <w:sz w:val="21"/>
          <w:szCs w:val="21"/>
        </w:rPr>
        <w:t xml:space="preserve">Launch the Embassy’s </w:t>
      </w:r>
      <w:r w:rsidRPr="00E53550">
        <w:rPr>
          <w:rFonts w:asciiTheme="minorHAnsi" w:hAnsiTheme="minorHAnsi"/>
          <w:b/>
          <w:color w:val="auto"/>
          <w:sz w:val="21"/>
          <w:szCs w:val="21"/>
        </w:rPr>
        <w:t>Innovation Strategy</w:t>
      </w:r>
      <w:r w:rsidRPr="00E53550">
        <w:rPr>
          <w:rFonts w:asciiTheme="minorHAnsi" w:hAnsiTheme="minorHAnsi"/>
          <w:color w:val="auto"/>
          <w:sz w:val="21"/>
          <w:szCs w:val="21"/>
        </w:rPr>
        <w:t xml:space="preserve"> to</w:t>
      </w:r>
      <w:r w:rsidR="00BC7AE0">
        <w:rPr>
          <w:rFonts w:asciiTheme="minorHAnsi" w:hAnsiTheme="minorHAnsi"/>
          <w:color w:val="auto"/>
          <w:sz w:val="21"/>
          <w:szCs w:val="21"/>
        </w:rPr>
        <w:t xml:space="preserve"> help us better</w:t>
      </w:r>
      <w:r w:rsidRPr="00E53550">
        <w:rPr>
          <w:rFonts w:asciiTheme="minorHAnsi" w:hAnsiTheme="minorHAnsi"/>
          <w:color w:val="auto"/>
          <w:sz w:val="21"/>
          <w:szCs w:val="21"/>
        </w:rPr>
        <w:t xml:space="preserve"> </w:t>
      </w:r>
      <w:r w:rsidR="00BC7AE0">
        <w:rPr>
          <w:rFonts w:asciiTheme="minorHAnsi" w:hAnsiTheme="minorHAnsi"/>
          <w:color w:val="auto"/>
          <w:sz w:val="21"/>
          <w:szCs w:val="21"/>
        </w:rPr>
        <w:t>innovate</w:t>
      </w:r>
      <w:r w:rsidRPr="00E53550">
        <w:rPr>
          <w:rFonts w:asciiTheme="minorHAnsi" w:hAnsiTheme="minorHAnsi"/>
          <w:color w:val="auto"/>
          <w:sz w:val="21"/>
          <w:szCs w:val="21"/>
        </w:rPr>
        <w:t xml:space="preserve"> across the breadth of our cooperation and aid investments. </w:t>
      </w:r>
    </w:p>
    <w:p w:rsidR="00494239" w:rsidRDefault="00257BDF" w:rsidP="00EF7A69">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5B0C96">
        <w:rPr>
          <w:rFonts w:asciiTheme="minorHAnsi" w:hAnsiTheme="minorHAnsi"/>
          <w:color w:val="auto"/>
          <w:sz w:val="21"/>
          <w:szCs w:val="21"/>
        </w:rPr>
        <w:t>Deepen recognition of Australia’</w:t>
      </w:r>
      <w:r w:rsidR="00E652B8" w:rsidRPr="005B0C96">
        <w:rPr>
          <w:rFonts w:asciiTheme="minorHAnsi" w:hAnsiTheme="minorHAnsi"/>
          <w:color w:val="auto"/>
          <w:sz w:val="21"/>
          <w:szCs w:val="21"/>
        </w:rPr>
        <w:t>s aid</w:t>
      </w:r>
      <w:r w:rsidRPr="005B0C96">
        <w:rPr>
          <w:rFonts w:asciiTheme="minorHAnsi" w:hAnsiTheme="minorHAnsi"/>
          <w:color w:val="auto"/>
          <w:sz w:val="21"/>
          <w:szCs w:val="21"/>
        </w:rPr>
        <w:t xml:space="preserve"> in Vietnam</w:t>
      </w:r>
      <w:r w:rsidRPr="00E53550">
        <w:rPr>
          <w:rFonts w:asciiTheme="minorHAnsi" w:hAnsiTheme="minorHAnsi"/>
          <w:color w:val="auto"/>
          <w:sz w:val="21"/>
          <w:szCs w:val="21"/>
        </w:rPr>
        <w:t xml:space="preserve"> by </w:t>
      </w:r>
      <w:r w:rsidR="00E652B8" w:rsidRPr="00E53550">
        <w:rPr>
          <w:rFonts w:asciiTheme="minorHAnsi" w:hAnsiTheme="minorHAnsi"/>
          <w:color w:val="auto"/>
          <w:sz w:val="21"/>
          <w:szCs w:val="21"/>
        </w:rPr>
        <w:t xml:space="preserve">applying </w:t>
      </w:r>
      <w:r w:rsidRPr="00E53550">
        <w:rPr>
          <w:rFonts w:asciiTheme="minorHAnsi" w:hAnsiTheme="minorHAnsi"/>
          <w:color w:val="auto"/>
          <w:sz w:val="21"/>
          <w:szCs w:val="21"/>
        </w:rPr>
        <w:t xml:space="preserve">the </w:t>
      </w:r>
      <w:r w:rsidRPr="005B0C96">
        <w:rPr>
          <w:rFonts w:asciiTheme="minorHAnsi" w:hAnsiTheme="minorHAnsi"/>
          <w:b/>
          <w:color w:val="auto"/>
          <w:sz w:val="21"/>
          <w:szCs w:val="21"/>
        </w:rPr>
        <w:t>Aus4Vietnam branding</w:t>
      </w:r>
      <w:r w:rsidR="00E652B8" w:rsidRPr="00E53550">
        <w:rPr>
          <w:rFonts w:asciiTheme="minorHAnsi" w:hAnsiTheme="minorHAnsi"/>
          <w:color w:val="auto"/>
          <w:sz w:val="21"/>
          <w:szCs w:val="21"/>
        </w:rPr>
        <w:t xml:space="preserve"> to all existing and new investments</w:t>
      </w:r>
      <w:r w:rsidR="00D657DA" w:rsidRPr="00E53550">
        <w:rPr>
          <w:rFonts w:asciiTheme="minorHAnsi" w:hAnsiTheme="minorHAnsi"/>
          <w:color w:val="auto"/>
          <w:sz w:val="21"/>
          <w:szCs w:val="21"/>
        </w:rPr>
        <w:t xml:space="preserve"> in 2017-18</w:t>
      </w:r>
      <w:r w:rsidR="00494239">
        <w:rPr>
          <w:rFonts w:asciiTheme="minorHAnsi" w:hAnsiTheme="minorHAnsi"/>
          <w:color w:val="auto"/>
          <w:sz w:val="21"/>
          <w:szCs w:val="21"/>
        </w:rPr>
        <w:t xml:space="preserve"> and developing an Aus4Vietnam website, online application and produc</w:t>
      </w:r>
      <w:r w:rsidR="00BC7AE0">
        <w:rPr>
          <w:rFonts w:asciiTheme="minorHAnsi" w:hAnsiTheme="minorHAnsi"/>
          <w:color w:val="auto"/>
          <w:sz w:val="21"/>
          <w:szCs w:val="21"/>
        </w:rPr>
        <w:t>ing more short videos and</w:t>
      </w:r>
      <w:r w:rsidR="00494239">
        <w:rPr>
          <w:rFonts w:asciiTheme="minorHAnsi" w:hAnsiTheme="minorHAnsi"/>
          <w:color w:val="auto"/>
          <w:sz w:val="21"/>
          <w:szCs w:val="21"/>
        </w:rPr>
        <w:t xml:space="preserve"> animations.</w:t>
      </w:r>
      <w:r w:rsidR="00733E43" w:rsidRPr="00733E43">
        <w:rPr>
          <w:rFonts w:asciiTheme="minorHAnsi" w:hAnsiTheme="minorHAnsi"/>
          <w:color w:val="auto"/>
          <w:sz w:val="21"/>
          <w:szCs w:val="21"/>
        </w:rPr>
        <w:t xml:space="preserve"> </w:t>
      </w:r>
      <w:r w:rsidR="00733E43">
        <w:rPr>
          <w:rFonts w:asciiTheme="minorHAnsi" w:hAnsiTheme="minorHAnsi"/>
          <w:color w:val="auto"/>
          <w:sz w:val="21"/>
          <w:szCs w:val="21"/>
        </w:rPr>
        <w:t>B</w:t>
      </w:r>
      <w:r w:rsidR="00733E43" w:rsidRPr="00485B4D">
        <w:rPr>
          <w:rFonts w:asciiTheme="minorHAnsi" w:hAnsiTheme="minorHAnsi"/>
          <w:color w:val="auto"/>
          <w:sz w:val="21"/>
          <w:szCs w:val="21"/>
        </w:rPr>
        <w:t xml:space="preserve">ring </w:t>
      </w:r>
      <w:r w:rsidR="00733E43">
        <w:rPr>
          <w:rFonts w:asciiTheme="minorHAnsi" w:hAnsiTheme="minorHAnsi"/>
          <w:color w:val="auto"/>
          <w:sz w:val="21"/>
          <w:szCs w:val="21"/>
        </w:rPr>
        <w:t>to wider attention – across DFAT’s South-East Asia programs and more broadly – the path-breaking work that the Vietnam program has done on branding.</w:t>
      </w:r>
    </w:p>
    <w:p w:rsidR="00494239" w:rsidRPr="005B0C96" w:rsidRDefault="00494239" w:rsidP="005B0C96">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C41F27">
        <w:rPr>
          <w:rFonts w:asciiTheme="minorHAnsi" w:hAnsiTheme="minorHAnsi"/>
          <w:color w:val="auto"/>
          <w:sz w:val="21"/>
          <w:szCs w:val="21"/>
        </w:rPr>
        <w:t xml:space="preserve">Increase our </w:t>
      </w:r>
      <w:r w:rsidRPr="005B0C96">
        <w:rPr>
          <w:rFonts w:asciiTheme="minorHAnsi" w:hAnsiTheme="minorHAnsi"/>
          <w:color w:val="auto"/>
          <w:sz w:val="21"/>
          <w:szCs w:val="21"/>
        </w:rPr>
        <w:t xml:space="preserve">policy engagement on </w:t>
      </w:r>
      <w:r w:rsidRPr="005B0C96">
        <w:rPr>
          <w:rFonts w:asciiTheme="minorHAnsi" w:hAnsiTheme="minorHAnsi"/>
          <w:b/>
          <w:color w:val="auto"/>
          <w:sz w:val="21"/>
          <w:szCs w:val="21"/>
        </w:rPr>
        <w:t>global and regional programs</w:t>
      </w:r>
      <w:r w:rsidRPr="005B0C96">
        <w:rPr>
          <w:rFonts w:asciiTheme="minorHAnsi" w:hAnsiTheme="minorHAnsi"/>
          <w:color w:val="auto"/>
          <w:sz w:val="21"/>
          <w:szCs w:val="21"/>
        </w:rPr>
        <w:t xml:space="preserve"> </w:t>
      </w:r>
      <w:r w:rsidRPr="00C41F27">
        <w:rPr>
          <w:rFonts w:asciiTheme="minorHAnsi" w:hAnsiTheme="minorHAnsi"/>
          <w:color w:val="auto"/>
          <w:sz w:val="21"/>
          <w:szCs w:val="21"/>
        </w:rPr>
        <w:t xml:space="preserve">by identifying lead officers for each relevant initiatives at Hanoi Post, allowing us to increase our influence and </w:t>
      </w:r>
      <w:r w:rsidR="006529A5">
        <w:rPr>
          <w:rFonts w:asciiTheme="minorHAnsi" w:hAnsiTheme="minorHAnsi"/>
          <w:color w:val="auto"/>
          <w:sz w:val="21"/>
          <w:szCs w:val="21"/>
        </w:rPr>
        <w:t xml:space="preserve">the </w:t>
      </w:r>
      <w:r w:rsidRPr="00C41F27">
        <w:rPr>
          <w:rFonts w:asciiTheme="minorHAnsi" w:hAnsiTheme="minorHAnsi"/>
          <w:color w:val="auto"/>
          <w:sz w:val="21"/>
          <w:szCs w:val="21"/>
        </w:rPr>
        <w:t>strategic clarity of Australia’s work in Vietnam.</w:t>
      </w:r>
    </w:p>
    <w:p w:rsidR="00494239" w:rsidRPr="00E53550" w:rsidRDefault="00987947" w:rsidP="005B0C96">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5B0C96">
        <w:rPr>
          <w:rFonts w:asciiTheme="minorHAnsi" w:hAnsiTheme="minorHAnsi"/>
          <w:color w:val="auto"/>
          <w:sz w:val="21"/>
          <w:szCs w:val="21"/>
        </w:rPr>
        <w:t xml:space="preserve">Implement the measures outlined in the </w:t>
      </w:r>
      <w:r w:rsidRPr="00504096">
        <w:rPr>
          <w:rFonts w:asciiTheme="minorHAnsi" w:hAnsiTheme="minorHAnsi"/>
          <w:b/>
          <w:i/>
          <w:color w:val="auto"/>
          <w:sz w:val="21"/>
          <w:szCs w:val="21"/>
        </w:rPr>
        <w:t xml:space="preserve">Australia in Vietnam Gender Equality </w:t>
      </w:r>
      <w:r w:rsidR="00575729" w:rsidRPr="00504096">
        <w:rPr>
          <w:rFonts w:asciiTheme="minorHAnsi" w:hAnsiTheme="minorHAnsi"/>
          <w:b/>
          <w:i/>
          <w:color w:val="auto"/>
          <w:sz w:val="21"/>
          <w:szCs w:val="21"/>
        </w:rPr>
        <w:t>Strategy 2016-20</w:t>
      </w:r>
      <w:r w:rsidR="00575729" w:rsidRPr="005B0C96">
        <w:rPr>
          <w:rFonts w:asciiTheme="minorHAnsi" w:hAnsiTheme="minorHAnsi"/>
          <w:color w:val="auto"/>
          <w:sz w:val="21"/>
          <w:szCs w:val="21"/>
        </w:rPr>
        <w:t xml:space="preserve"> </w:t>
      </w:r>
      <w:r w:rsidR="00494239" w:rsidRPr="005B0C96">
        <w:rPr>
          <w:rFonts w:asciiTheme="minorHAnsi" w:hAnsiTheme="minorHAnsi"/>
          <w:color w:val="auto"/>
          <w:sz w:val="21"/>
          <w:szCs w:val="21"/>
        </w:rPr>
        <w:t>and inter</w:t>
      </w:r>
      <w:r w:rsidR="00BC7AE0" w:rsidRPr="005B0C96">
        <w:rPr>
          <w:rFonts w:asciiTheme="minorHAnsi" w:hAnsiTheme="minorHAnsi"/>
          <w:color w:val="auto"/>
          <w:sz w:val="21"/>
          <w:szCs w:val="21"/>
        </w:rPr>
        <w:t>nal Gender Equality Action Plan</w:t>
      </w:r>
      <w:r w:rsidR="00BC7AE0">
        <w:rPr>
          <w:rFonts w:asciiTheme="minorHAnsi" w:hAnsiTheme="minorHAnsi"/>
          <w:color w:val="auto"/>
          <w:sz w:val="21"/>
          <w:szCs w:val="21"/>
        </w:rPr>
        <w:t xml:space="preserve">, so we can </w:t>
      </w:r>
      <w:r w:rsidR="00BC7AE0" w:rsidRPr="005B0C96">
        <w:rPr>
          <w:rFonts w:asciiTheme="minorHAnsi" w:hAnsiTheme="minorHAnsi"/>
          <w:color w:val="auto"/>
          <w:sz w:val="21"/>
          <w:szCs w:val="21"/>
        </w:rPr>
        <w:t xml:space="preserve">be influential </w:t>
      </w:r>
      <w:r w:rsidR="00BC7AE0">
        <w:rPr>
          <w:rFonts w:asciiTheme="minorHAnsi" w:hAnsiTheme="minorHAnsi"/>
          <w:color w:val="auto"/>
          <w:sz w:val="21"/>
          <w:szCs w:val="21"/>
        </w:rPr>
        <w:t>o</w:t>
      </w:r>
      <w:r w:rsidR="00494239" w:rsidRPr="005B0C96">
        <w:rPr>
          <w:rFonts w:asciiTheme="minorHAnsi" w:hAnsiTheme="minorHAnsi"/>
          <w:color w:val="auto"/>
          <w:sz w:val="21"/>
          <w:szCs w:val="21"/>
        </w:rPr>
        <w:t>n gender across all our work</w:t>
      </w:r>
      <w:r w:rsidRPr="005B0C96">
        <w:rPr>
          <w:rFonts w:asciiTheme="minorHAnsi" w:hAnsiTheme="minorHAnsi"/>
          <w:color w:val="auto"/>
          <w:sz w:val="21"/>
          <w:szCs w:val="21"/>
        </w:rPr>
        <w:t>.</w:t>
      </w:r>
    </w:p>
    <w:p w:rsidR="00494239" w:rsidRPr="005B0C96" w:rsidRDefault="00DF37E1" w:rsidP="005B0C96">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5B0C96">
        <w:rPr>
          <w:rFonts w:asciiTheme="minorHAnsi" w:hAnsiTheme="minorHAnsi"/>
          <w:color w:val="auto"/>
          <w:sz w:val="21"/>
          <w:szCs w:val="21"/>
        </w:rPr>
        <w:t xml:space="preserve">Conduct a </w:t>
      </w:r>
      <w:r w:rsidRPr="005B0C96">
        <w:rPr>
          <w:rFonts w:asciiTheme="minorHAnsi" w:hAnsiTheme="minorHAnsi"/>
          <w:b/>
          <w:color w:val="auto"/>
          <w:sz w:val="21"/>
          <w:szCs w:val="21"/>
        </w:rPr>
        <w:t>mid-term review of the AIP</w:t>
      </w:r>
      <w:r w:rsidRPr="005B0C96">
        <w:rPr>
          <w:rFonts w:asciiTheme="minorHAnsi" w:hAnsiTheme="minorHAnsi"/>
          <w:color w:val="auto"/>
          <w:sz w:val="21"/>
          <w:szCs w:val="21"/>
        </w:rPr>
        <w:t xml:space="preserve"> </w:t>
      </w:r>
      <w:r w:rsidR="00D819C7">
        <w:rPr>
          <w:rFonts w:asciiTheme="minorHAnsi" w:hAnsiTheme="minorHAnsi"/>
          <w:color w:val="auto"/>
          <w:sz w:val="21"/>
          <w:szCs w:val="21"/>
        </w:rPr>
        <w:t>during</w:t>
      </w:r>
      <w:r w:rsidRPr="005B0C96">
        <w:rPr>
          <w:rFonts w:asciiTheme="minorHAnsi" w:hAnsiTheme="minorHAnsi"/>
          <w:color w:val="auto"/>
          <w:sz w:val="21"/>
          <w:szCs w:val="21"/>
        </w:rPr>
        <w:t xml:space="preserve"> 201</w:t>
      </w:r>
      <w:r w:rsidR="008B6EF3" w:rsidRPr="005B0C96">
        <w:rPr>
          <w:rFonts w:asciiTheme="minorHAnsi" w:hAnsiTheme="minorHAnsi"/>
          <w:color w:val="auto"/>
          <w:sz w:val="21"/>
          <w:szCs w:val="21"/>
        </w:rPr>
        <w:t>8</w:t>
      </w:r>
      <w:r w:rsidRPr="005B0C96">
        <w:rPr>
          <w:rFonts w:asciiTheme="minorHAnsi" w:hAnsiTheme="minorHAnsi"/>
          <w:color w:val="auto"/>
          <w:sz w:val="21"/>
          <w:szCs w:val="21"/>
        </w:rPr>
        <w:t xml:space="preserve"> to </w:t>
      </w:r>
      <w:r w:rsidR="008B6EF3" w:rsidRPr="005B0C96">
        <w:rPr>
          <w:rFonts w:asciiTheme="minorHAnsi" w:hAnsiTheme="minorHAnsi"/>
          <w:color w:val="auto"/>
          <w:sz w:val="21"/>
          <w:szCs w:val="21"/>
        </w:rPr>
        <w:t>ensure our</w:t>
      </w:r>
      <w:r w:rsidR="003B0147" w:rsidRPr="005B0C96">
        <w:rPr>
          <w:rFonts w:asciiTheme="minorHAnsi" w:hAnsiTheme="minorHAnsi"/>
          <w:color w:val="auto"/>
          <w:sz w:val="21"/>
          <w:szCs w:val="21"/>
        </w:rPr>
        <w:t xml:space="preserve"> </w:t>
      </w:r>
      <w:r w:rsidR="003016C3" w:rsidRPr="005B0C96">
        <w:rPr>
          <w:rFonts w:asciiTheme="minorHAnsi" w:hAnsiTheme="minorHAnsi"/>
          <w:color w:val="auto"/>
          <w:sz w:val="21"/>
          <w:szCs w:val="21"/>
        </w:rPr>
        <w:t xml:space="preserve">aid program </w:t>
      </w:r>
      <w:r w:rsidR="003B0147" w:rsidRPr="005B0C96">
        <w:rPr>
          <w:rFonts w:asciiTheme="minorHAnsi" w:hAnsiTheme="minorHAnsi"/>
          <w:color w:val="auto"/>
          <w:sz w:val="21"/>
          <w:szCs w:val="21"/>
        </w:rPr>
        <w:t>remains relevant</w:t>
      </w:r>
      <w:r w:rsidR="0063004E" w:rsidRPr="005B0C96">
        <w:rPr>
          <w:rFonts w:asciiTheme="minorHAnsi" w:hAnsiTheme="minorHAnsi"/>
          <w:color w:val="auto"/>
          <w:sz w:val="21"/>
          <w:szCs w:val="21"/>
        </w:rPr>
        <w:t>, geared to maximising opportunities for policy influence</w:t>
      </w:r>
      <w:r w:rsidR="003B0147" w:rsidRPr="005B0C96">
        <w:rPr>
          <w:rFonts w:asciiTheme="minorHAnsi" w:hAnsiTheme="minorHAnsi"/>
          <w:color w:val="auto"/>
          <w:sz w:val="21"/>
          <w:szCs w:val="21"/>
        </w:rPr>
        <w:t xml:space="preserve"> and targeted towards realising an economic partnership with Vietnam. </w:t>
      </w:r>
    </w:p>
    <w:p w:rsidR="00E974CB" w:rsidRDefault="00494239" w:rsidP="005B0C96">
      <w:pPr>
        <w:pStyle w:val="ListParagraph"/>
        <w:numPr>
          <w:ilvl w:val="0"/>
          <w:numId w:val="3"/>
        </w:numPr>
        <w:spacing w:before="120" w:after="120"/>
        <w:ind w:left="714" w:hanging="357"/>
        <w:contextualSpacing w:val="0"/>
        <w:jc w:val="both"/>
        <w:rPr>
          <w:rFonts w:asciiTheme="minorHAnsi" w:hAnsiTheme="minorHAnsi"/>
          <w:color w:val="auto"/>
          <w:sz w:val="21"/>
          <w:szCs w:val="21"/>
        </w:rPr>
      </w:pPr>
      <w:r w:rsidRPr="005B0C96">
        <w:rPr>
          <w:rFonts w:asciiTheme="minorHAnsi" w:hAnsiTheme="minorHAnsi"/>
          <w:color w:val="auto"/>
          <w:sz w:val="21"/>
          <w:szCs w:val="21"/>
        </w:rPr>
        <w:t xml:space="preserve">Following </w:t>
      </w:r>
      <w:r w:rsidR="00142452">
        <w:rPr>
          <w:rFonts w:asciiTheme="minorHAnsi" w:hAnsiTheme="minorHAnsi"/>
          <w:color w:val="auto"/>
          <w:sz w:val="21"/>
          <w:szCs w:val="21"/>
        </w:rPr>
        <w:t xml:space="preserve">on </w:t>
      </w:r>
      <w:r w:rsidRPr="005B0C96">
        <w:rPr>
          <w:rFonts w:asciiTheme="minorHAnsi" w:hAnsiTheme="minorHAnsi"/>
          <w:color w:val="auto"/>
          <w:sz w:val="21"/>
          <w:szCs w:val="21"/>
        </w:rPr>
        <w:t xml:space="preserve">from the 2017 Aid Capability Review, </w:t>
      </w:r>
      <w:r w:rsidR="00BC7AE0">
        <w:rPr>
          <w:rFonts w:asciiTheme="minorHAnsi" w:hAnsiTheme="minorHAnsi"/>
          <w:color w:val="auto"/>
          <w:sz w:val="21"/>
          <w:szCs w:val="21"/>
        </w:rPr>
        <w:t xml:space="preserve">focus on the capabilities of our people </w:t>
      </w:r>
      <w:r w:rsidRPr="005B0C96">
        <w:rPr>
          <w:rFonts w:asciiTheme="minorHAnsi" w:hAnsiTheme="minorHAnsi"/>
          <w:color w:val="auto"/>
          <w:sz w:val="21"/>
          <w:szCs w:val="21"/>
        </w:rPr>
        <w:t xml:space="preserve">at </w:t>
      </w:r>
      <w:r w:rsidR="00BC7AE0" w:rsidRPr="005B0C96">
        <w:rPr>
          <w:rFonts w:asciiTheme="minorHAnsi" w:hAnsiTheme="minorHAnsi"/>
          <w:color w:val="auto"/>
          <w:sz w:val="21"/>
          <w:szCs w:val="21"/>
        </w:rPr>
        <w:t xml:space="preserve">Hanoi Post </w:t>
      </w:r>
      <w:r w:rsidR="00BC7AE0">
        <w:rPr>
          <w:rFonts w:asciiTheme="minorHAnsi" w:hAnsiTheme="minorHAnsi"/>
          <w:color w:val="auto"/>
          <w:sz w:val="21"/>
          <w:szCs w:val="21"/>
        </w:rPr>
        <w:t>and</w:t>
      </w:r>
      <w:r w:rsidRPr="005B0C96">
        <w:rPr>
          <w:rFonts w:asciiTheme="minorHAnsi" w:hAnsiTheme="minorHAnsi"/>
          <w:color w:val="auto"/>
          <w:sz w:val="21"/>
          <w:szCs w:val="21"/>
        </w:rPr>
        <w:t xml:space="preserve"> help staff acquire the </w:t>
      </w:r>
      <w:r w:rsidR="00BC7AE0" w:rsidRPr="005B0C96">
        <w:rPr>
          <w:rFonts w:asciiTheme="minorHAnsi" w:hAnsiTheme="minorHAnsi"/>
          <w:b/>
          <w:color w:val="auto"/>
          <w:sz w:val="21"/>
          <w:szCs w:val="21"/>
        </w:rPr>
        <w:t>new skills</w:t>
      </w:r>
      <w:r w:rsidR="00BC7AE0">
        <w:rPr>
          <w:rFonts w:asciiTheme="minorHAnsi" w:hAnsiTheme="minorHAnsi"/>
          <w:b/>
          <w:color w:val="auto"/>
          <w:sz w:val="21"/>
          <w:szCs w:val="21"/>
        </w:rPr>
        <w:t>, perspectives and</w:t>
      </w:r>
      <w:r w:rsidRPr="005B0C96">
        <w:rPr>
          <w:rFonts w:asciiTheme="minorHAnsi" w:hAnsiTheme="minorHAnsi"/>
          <w:b/>
          <w:color w:val="auto"/>
          <w:sz w:val="21"/>
          <w:szCs w:val="21"/>
        </w:rPr>
        <w:t xml:space="preserve"> agility necessary</w:t>
      </w:r>
      <w:r w:rsidR="00BC7AE0" w:rsidRPr="005B0C96">
        <w:rPr>
          <w:rFonts w:asciiTheme="minorHAnsi" w:hAnsiTheme="minorHAnsi"/>
          <w:b/>
          <w:color w:val="auto"/>
          <w:sz w:val="21"/>
          <w:szCs w:val="21"/>
        </w:rPr>
        <w:t xml:space="preserve"> to be effective influencers</w:t>
      </w:r>
      <w:r w:rsidR="00BC7AE0">
        <w:rPr>
          <w:rFonts w:asciiTheme="minorHAnsi" w:hAnsiTheme="minorHAnsi"/>
          <w:color w:val="auto"/>
          <w:sz w:val="21"/>
          <w:szCs w:val="21"/>
        </w:rPr>
        <w:t xml:space="preserve"> as we deepen the </w:t>
      </w:r>
      <w:r w:rsidR="00142452">
        <w:rPr>
          <w:rFonts w:asciiTheme="minorHAnsi" w:hAnsiTheme="minorHAnsi"/>
          <w:color w:val="auto"/>
          <w:sz w:val="21"/>
          <w:szCs w:val="21"/>
        </w:rPr>
        <w:t>e</w:t>
      </w:r>
      <w:r w:rsidR="00BC7AE0">
        <w:rPr>
          <w:rFonts w:asciiTheme="minorHAnsi" w:hAnsiTheme="minorHAnsi"/>
          <w:color w:val="auto"/>
          <w:sz w:val="21"/>
          <w:szCs w:val="21"/>
        </w:rPr>
        <w:t xml:space="preserve">conomic </w:t>
      </w:r>
      <w:r w:rsidR="00142452">
        <w:rPr>
          <w:rFonts w:asciiTheme="minorHAnsi" w:hAnsiTheme="minorHAnsi"/>
          <w:color w:val="auto"/>
          <w:sz w:val="21"/>
          <w:szCs w:val="21"/>
        </w:rPr>
        <w:t>p</w:t>
      </w:r>
      <w:r w:rsidR="00BC7AE0">
        <w:rPr>
          <w:rFonts w:asciiTheme="minorHAnsi" w:hAnsiTheme="minorHAnsi"/>
          <w:color w:val="auto"/>
          <w:sz w:val="21"/>
          <w:szCs w:val="21"/>
        </w:rPr>
        <w:t>artnership with Vietnam.</w:t>
      </w:r>
      <w:r w:rsidRPr="005B0C96">
        <w:rPr>
          <w:rFonts w:asciiTheme="minorHAnsi" w:hAnsiTheme="minorHAnsi"/>
          <w:color w:val="auto"/>
          <w:sz w:val="21"/>
          <w:szCs w:val="21"/>
        </w:rPr>
        <w:t> </w:t>
      </w:r>
      <w:r w:rsidRPr="005B0C96" w:rsidDel="00494239">
        <w:rPr>
          <w:rFonts w:asciiTheme="minorHAnsi" w:hAnsiTheme="minorHAnsi"/>
          <w:color w:val="auto"/>
          <w:sz w:val="21"/>
          <w:szCs w:val="21"/>
        </w:rPr>
        <w:t xml:space="preserve"> </w:t>
      </w:r>
      <w:r w:rsidR="004B6EF0">
        <w:rPr>
          <w:rFonts w:asciiTheme="minorHAnsi" w:hAnsiTheme="minorHAnsi"/>
          <w:color w:val="auto"/>
          <w:sz w:val="21"/>
          <w:szCs w:val="21"/>
        </w:rPr>
        <w:t>This work will provide lessons that other programs may benefit from in this vital area.</w:t>
      </w:r>
    </w:p>
    <w:p w:rsidR="00E974CB" w:rsidRDefault="00E974CB"/>
    <w:p w:rsidR="00E974CB" w:rsidRPr="00E53550" w:rsidRDefault="004806CF">
      <w:pPr>
        <w:pStyle w:val="Subtitle"/>
        <w:rPr>
          <w:color w:val="auto"/>
        </w:rPr>
      </w:pPr>
      <w:r w:rsidRPr="00E53550">
        <w:rPr>
          <w:color w:val="auto"/>
        </w:rPr>
        <w:t>Annex A - Progress in Addressing Management actions</w:t>
      </w:r>
    </w:p>
    <w:p w:rsidR="00E974CB" w:rsidRDefault="004806CF">
      <w:pPr>
        <w:spacing w:before="20" w:after="20" w:line="180" w:lineRule="atLeast"/>
        <w:jc w:val="both"/>
        <w:rPr>
          <w:rFonts w:eastAsia="Times New Roman"/>
          <w:b/>
          <w:sz w:val="16"/>
          <w:szCs w:val="14"/>
        </w:rPr>
      </w:pPr>
      <w:r>
        <w:rPr>
          <w:noProof/>
          <w:lang w:val="en-AU" w:eastAsia="en-AU"/>
        </w:rPr>
        <mc:AlternateContent>
          <mc:Choice Requires="wps">
            <w:drawing>
              <wp:anchor distT="0" distB="0" distL="114300" distR="114300" simplePos="0" relativeHeight="7" behindDoc="0" locked="0" layoutInCell="1" allowOverlap="1" wp14:anchorId="1CDD66A8" wp14:editId="74B805BB">
                <wp:simplePos x="0" y="0"/>
                <wp:positionH relativeFrom="column">
                  <wp:posOffset>-68580</wp:posOffset>
                </wp:positionH>
                <wp:positionV relativeFrom="paragraph">
                  <wp:posOffset>635</wp:posOffset>
                </wp:positionV>
                <wp:extent cx="6120130" cy="4972685"/>
                <wp:effectExtent l="0" t="0" r="0" b="0"/>
                <wp:wrapSquare wrapText="bothSides"/>
                <wp:docPr id="31" name="Frame2"/>
                <wp:cNvGraphicFramePr/>
                <a:graphic xmlns:a="http://schemas.openxmlformats.org/drawingml/2006/main">
                  <a:graphicData uri="http://schemas.microsoft.com/office/word/2010/wordprocessingShape">
                    <wps:wsp>
                      <wps:cNvSpPr/>
                      <wps:spPr>
                        <a:xfrm>
                          <a:off x="0" y="0"/>
                          <a:ext cx="6119640" cy="497196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APPR"/>
                              <w:tblW w:w="5000" w:type="pct"/>
                              <w:tblInd w:w="108" w:type="dxa"/>
                              <w:tblLook w:val="0000" w:firstRow="0" w:lastRow="0" w:firstColumn="0" w:lastColumn="0" w:noHBand="0" w:noVBand="0"/>
                            </w:tblPr>
                            <w:tblGrid>
                              <w:gridCol w:w="4320"/>
                              <w:gridCol w:w="850"/>
                              <w:gridCol w:w="4468"/>
                            </w:tblGrid>
                            <w:tr w:rsidR="00733E43" w:rsidTr="00E974CB">
                              <w:tc>
                                <w:tcPr>
                                  <w:tcW w:w="5368" w:type="dxa"/>
                                  <w:tcBorders>
                                    <w:bottom w:val="nil"/>
                                  </w:tcBorders>
                                  <w:shd w:val="clear" w:color="auto" w:fill="auto"/>
                                </w:tcPr>
                                <w:p w:rsidR="00733E43" w:rsidRDefault="00733E43">
                                  <w:pPr>
                                    <w:keepLines/>
                                    <w:spacing w:before="80" w:after="0" w:line="200" w:lineRule="atLeast"/>
                                    <w:rPr>
                                      <w:sz w:val="17"/>
                                    </w:rPr>
                                  </w:pPr>
                                  <w:r>
                                    <w:rPr>
                                      <w:rFonts w:eastAsia="Times New Roman"/>
                                      <w:b/>
                                      <w:iCs/>
                                      <w:sz w:val="17"/>
                                      <w:szCs w:val="17"/>
                                    </w:rPr>
                                    <w:t>Management actions identified in 2015-16 APPR</w:t>
                                  </w:r>
                                  <w:r>
                                    <w:rPr>
                                      <w:rFonts w:eastAsia="Times New Roman"/>
                                      <w:b/>
                                      <w:iCs/>
                                      <w:sz w:val="17"/>
                                      <w:szCs w:val="17"/>
                                    </w:rPr>
                                    <w:tab/>
                                  </w:r>
                                </w:p>
                              </w:tc>
                              <w:tc>
                                <w:tcPr>
                                  <w:tcW w:w="820" w:type="dxa"/>
                                  <w:tcBorders>
                                    <w:bottom w:val="nil"/>
                                  </w:tcBorders>
                                  <w:shd w:val="clear" w:color="auto" w:fill="auto"/>
                                </w:tcPr>
                                <w:p w:rsidR="00733E43" w:rsidRDefault="00733E43">
                                  <w:pPr>
                                    <w:keepLines/>
                                    <w:spacing w:before="80" w:after="0" w:line="200" w:lineRule="atLeast"/>
                                    <w:rPr>
                                      <w:sz w:val="17"/>
                                    </w:rPr>
                                  </w:pPr>
                                  <w:r>
                                    <w:rPr>
                                      <w:rFonts w:eastAsia="Times New Roman"/>
                                      <w:b/>
                                      <w:iCs/>
                                      <w:sz w:val="17"/>
                                      <w:szCs w:val="17"/>
                                    </w:rPr>
                                    <w:t>Rating</w:t>
                                  </w:r>
                                </w:p>
                              </w:tc>
                              <w:tc>
                                <w:tcPr>
                                  <w:tcW w:w="5718" w:type="dxa"/>
                                  <w:tcBorders>
                                    <w:bottom w:val="nil"/>
                                  </w:tcBorders>
                                  <w:shd w:val="clear" w:color="auto" w:fill="auto"/>
                                </w:tcPr>
                                <w:p w:rsidR="00733E43" w:rsidRDefault="00733E43">
                                  <w:pPr>
                                    <w:keepLines/>
                                    <w:spacing w:before="80" w:after="0" w:line="200" w:lineRule="atLeast"/>
                                    <w:jc w:val="center"/>
                                    <w:rPr>
                                      <w:sz w:val="17"/>
                                    </w:rPr>
                                  </w:pPr>
                                  <w:r>
                                    <w:rPr>
                                      <w:rFonts w:eastAsia="Times New Roman"/>
                                      <w:b/>
                                      <w:iCs/>
                                      <w:sz w:val="17"/>
                                      <w:szCs w:val="17"/>
                                    </w:rPr>
                                    <w:t>Progress made  in 2016-17</w:t>
                                  </w:r>
                                </w:p>
                              </w:tc>
                            </w:tr>
                            <w:tr w:rsidR="00733E43" w:rsidTr="00E974CB">
                              <w:trPr>
                                <w:cnfStyle w:val="000000010000" w:firstRow="0" w:lastRow="0" w:firstColumn="0" w:lastColumn="0" w:oddVBand="0" w:evenVBand="0" w:oddHBand="0" w:evenHBand="1" w:firstRowFirstColumn="0" w:firstRowLastColumn="0" w:lastRowFirstColumn="0" w:lastRowLastColumn="0"/>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Allocate </w:t>
                                  </w:r>
                                  <w:r>
                                    <w:rPr>
                                      <w:rFonts w:asciiTheme="majorHAnsi" w:hAnsiTheme="majorHAnsi"/>
                                      <w:b/>
                                      <w:sz w:val="17"/>
                                      <w:szCs w:val="17"/>
                                    </w:rPr>
                                    <w:t>sufficient staff resources to mobilise five new aid investments</w:t>
                                  </w:r>
                                  <w:r>
                                    <w:rPr>
                                      <w:rFonts w:asciiTheme="majorHAnsi" w:hAnsiTheme="majorHAnsi"/>
                                      <w:sz w:val="17"/>
                                      <w:szCs w:val="17"/>
                                    </w:rPr>
                                    <w:t>, complete the tender of three new investments and obtain Government of Vietnam approvals for all new investments</w:t>
                                  </w:r>
                                </w:p>
                              </w:tc>
                              <w:tc>
                                <w:tcPr>
                                  <w:tcW w:w="820" w:type="dxa"/>
                                  <w:shd w:val="clear" w:color="auto" w:fill="E36C0A"/>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Partly achieved</w:t>
                                  </w:r>
                                </w:p>
                              </w:tc>
                              <w:tc>
                                <w:tcPr>
                                  <w:tcW w:w="5718" w:type="dxa"/>
                                  <w:shd w:val="clear" w:color="auto" w:fill="auto"/>
                                </w:tcPr>
                                <w:p w:rsidR="00733E43" w:rsidRDefault="00733E43" w:rsidP="00C73DCE">
                                  <w:pPr>
                                    <w:keepLines/>
                                    <w:spacing w:before="40" w:after="0" w:line="200" w:lineRule="atLeast"/>
                                    <w:rPr>
                                      <w:sz w:val="17"/>
                                    </w:rPr>
                                  </w:pPr>
                                  <w:r>
                                    <w:rPr>
                                      <w:rFonts w:asciiTheme="majorHAnsi" w:hAnsiTheme="majorHAnsi"/>
                                      <w:color w:val="00000A"/>
                                      <w:sz w:val="17"/>
                                      <w:szCs w:val="17"/>
                                    </w:rPr>
                                    <w:t>Three new aid investments have secured Government of Vietnam approval. Aus4Equality and Aus4Water have experienced delays. We expect Aus4Water to be approved by April 2018. Alternative implementation arrangements for Investing in Women are being explored, for finalisation by end 2017.</w:t>
                                  </w:r>
                                </w:p>
                              </w:tc>
                            </w:tr>
                            <w:tr w:rsidR="00733E43" w:rsidTr="00E974CB">
                              <w:tc>
                                <w:tcPr>
                                  <w:tcW w:w="5368" w:type="dxa"/>
                                  <w:tcBorders>
                                    <w:top w:val="nil"/>
                                    <w:bottom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Hold </w:t>
                                  </w:r>
                                  <w:r>
                                    <w:rPr>
                                      <w:rFonts w:asciiTheme="majorHAnsi" w:hAnsiTheme="majorHAnsi"/>
                                      <w:b/>
                                      <w:sz w:val="17"/>
                                      <w:szCs w:val="17"/>
                                    </w:rPr>
                                    <w:t>High Level Consultations (HLCs) on Development Cooperation in Canberra in March 2017</w:t>
                                  </w:r>
                                  <w:r>
                                    <w:rPr>
                                      <w:rFonts w:asciiTheme="majorHAnsi" w:hAnsiTheme="majorHAnsi"/>
                                      <w:sz w:val="17"/>
                                      <w:szCs w:val="17"/>
                                    </w:rPr>
                                    <w:t xml:space="preserve"> to seek Government of Vietnam prioritisation of approvals for our new aid investments and agree mutual obligations.</w:t>
                                  </w:r>
                                </w:p>
                              </w:tc>
                              <w:tc>
                                <w:tcPr>
                                  <w:tcW w:w="820" w:type="dxa"/>
                                  <w:tcBorders>
                                    <w:top w:val="nil"/>
                                    <w:bottom w:val="nil"/>
                                  </w:tcBorders>
                                  <w:shd w:val="clear" w:color="auto" w:fill="72AF2F"/>
                                </w:tcPr>
                                <w:p w:rsidR="00733E43" w:rsidRDefault="00733E43">
                                  <w:pPr>
                                    <w:keepLines/>
                                    <w:spacing w:before="40" w:after="0" w:line="200" w:lineRule="atLeast"/>
                                    <w:jc w:val="center"/>
                                  </w:pPr>
                                  <w:r>
                                    <w:rPr>
                                      <w:rFonts w:asciiTheme="majorHAnsi" w:eastAsia="Times New Roman" w:hAnsiTheme="majorHAnsi"/>
                                      <w:iCs/>
                                      <w:color w:val="FFFFFF" w:themeColor="background1"/>
                                      <w:sz w:val="17"/>
                                      <w:szCs w:val="17"/>
                                    </w:rPr>
                                    <w:t>Achieved</w:t>
                                  </w:r>
                                  <w:r>
                                    <w:fldChar w:fldCharType="begin"/>
                                  </w:r>
                                  <w:r>
                                    <w:instrText>AUTOTEXTLIST  \s "Rating bullet"\t "Right click to choose a rating" \* MERGEFORMAT</w:instrText>
                                  </w:r>
                                  <w:r>
                                    <w:fldChar w:fldCharType="end"/>
                                  </w:r>
                                  <w:bookmarkStart w:id="1" w:name="__Fieldmark__6741_369857535"/>
                                  <w:bookmarkEnd w:id="1"/>
                                </w:p>
                              </w:tc>
                              <w:tc>
                                <w:tcPr>
                                  <w:tcW w:w="5718" w:type="dxa"/>
                                  <w:tcBorders>
                                    <w:top w:val="nil"/>
                                    <w:bottom w:val="nil"/>
                                  </w:tcBorders>
                                  <w:shd w:val="clear" w:color="auto" w:fill="auto"/>
                                </w:tcPr>
                                <w:p w:rsidR="00733E43" w:rsidRDefault="00733E43" w:rsidP="00C10E89">
                                  <w:pPr>
                                    <w:keepLines/>
                                    <w:spacing w:before="40" w:after="0" w:line="200" w:lineRule="atLeast"/>
                                  </w:pPr>
                                  <w:r>
                                    <w:rPr>
                                      <w:rFonts w:asciiTheme="majorHAnsi" w:hAnsiTheme="majorHAnsi"/>
                                      <w:color w:val="00000A"/>
                                      <w:sz w:val="17"/>
                                      <w:szCs w:val="17"/>
                                    </w:rPr>
                                    <w:t>Aid HLCs successfully held and Government of Vietnam endorsement secured for incorporating HLCs into a new economic partnership meeting.</w:t>
                                  </w:r>
                                </w:p>
                              </w:tc>
                            </w:tr>
                            <w:tr w:rsidR="00733E43" w:rsidTr="00E974CB">
                              <w:trPr>
                                <w:cnfStyle w:val="000000010000" w:firstRow="0" w:lastRow="0" w:firstColumn="0" w:lastColumn="0" w:oddVBand="0" w:evenVBand="0" w:oddHBand="0" w:evenHBand="1" w:firstRowFirstColumn="0" w:firstRowLastColumn="0" w:lastRowFirstColumn="0" w:lastRowLastColumn="0"/>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b/>
                                      <w:sz w:val="17"/>
                                      <w:szCs w:val="17"/>
                                    </w:rPr>
                                    <w:t>Prepare a gender strategy</w:t>
                                  </w:r>
                                  <w:r>
                                    <w:rPr>
                                      <w:rFonts w:asciiTheme="majorHAnsi" w:hAnsiTheme="majorHAnsi"/>
                                      <w:sz w:val="17"/>
                                      <w:szCs w:val="17"/>
                                    </w:rPr>
                                    <w:t xml:space="preserve"> and train and mentor staff, to enable us to achieve 100 per cent of programs effectively addressing gender in their implementation by 2016-17.</w:t>
                                  </w:r>
                                </w:p>
                              </w:tc>
                              <w:tc>
                                <w:tcPr>
                                  <w:tcW w:w="820" w:type="dxa"/>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shd w:val="clear" w:color="auto" w:fill="auto"/>
                                </w:tcPr>
                                <w:p w:rsidR="00733E43" w:rsidRDefault="00733E43" w:rsidP="00C10E89">
                                  <w:pPr>
                                    <w:keepLines/>
                                    <w:spacing w:before="40" w:after="0" w:line="200" w:lineRule="atLeast"/>
                                    <w:rPr>
                                      <w:sz w:val="17"/>
                                    </w:rPr>
                                  </w:pPr>
                                  <w:r>
                                    <w:rPr>
                                      <w:rFonts w:asciiTheme="majorHAnsi" w:hAnsiTheme="majorHAnsi"/>
                                      <w:color w:val="00000A"/>
                                      <w:sz w:val="17"/>
                                      <w:szCs w:val="17"/>
                                    </w:rPr>
                                    <w:t>The Australia in Vietnam Gender Equality Strategy was launched in late 2016. All four new designs were peer reviewed as adequately addressing gender equality, and 100 per cent of Aid Quality Checks for 2017 were satisfactory on gender equality.</w:t>
                                  </w:r>
                                </w:p>
                              </w:tc>
                            </w:tr>
                            <w:tr w:rsidR="00733E43" w:rsidTr="00E974CB">
                              <w:trPr>
                                <w:trHeight w:val="765"/>
                              </w:trPr>
                              <w:tc>
                                <w:tcPr>
                                  <w:tcW w:w="5368" w:type="dxa"/>
                                  <w:tcBorders>
                                    <w:top w:val="nil"/>
                                    <w:bottom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Identify </w:t>
                                  </w:r>
                                  <w:r>
                                    <w:rPr>
                                      <w:rFonts w:asciiTheme="majorHAnsi" w:hAnsiTheme="majorHAnsi"/>
                                      <w:b/>
                                      <w:sz w:val="17"/>
                                      <w:szCs w:val="17"/>
                                    </w:rPr>
                                    <w:t>greater opportunities for innovation</w:t>
                                  </w:r>
                                  <w:r>
                                    <w:rPr>
                                      <w:rFonts w:asciiTheme="majorHAnsi" w:hAnsiTheme="majorHAnsi"/>
                                      <w:sz w:val="17"/>
                                      <w:szCs w:val="17"/>
                                    </w:rPr>
                                    <w:t xml:space="preserve"> in the way we deliver our aid investments, as well as fostering greater innovation in trade and private sector development aid investments.</w:t>
                                  </w:r>
                                </w:p>
                              </w:tc>
                              <w:tc>
                                <w:tcPr>
                                  <w:tcW w:w="820" w:type="dxa"/>
                                  <w:tcBorders>
                                    <w:top w:val="nil"/>
                                    <w:bottom w:val="nil"/>
                                  </w:tcBorders>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tcBorders>
                                    <w:top w:val="nil"/>
                                    <w:bottom w:val="nil"/>
                                  </w:tcBorders>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 xml:space="preserve">An Aus4Innovation pillar was established in 2017 along with a dedicated Innovation Champion to ensure a strong focus on innovation in Australia’s development assistance. Aus4Innovation is under design, and all other designs represent innovative delivery modalities. </w:t>
                                  </w:r>
                                </w:p>
                              </w:tc>
                            </w:tr>
                            <w:tr w:rsidR="00733E43" w:rsidTr="00E974CB">
                              <w:trPr>
                                <w:cnfStyle w:val="000000010000" w:firstRow="0" w:lastRow="0" w:firstColumn="0" w:lastColumn="0" w:oddVBand="0" w:evenVBand="0" w:oddHBand="0" w:evenHBand="1" w:firstRowFirstColumn="0" w:firstRowLastColumn="0" w:lastRowFirstColumn="0" w:lastRowLastColumn="0"/>
                                <w:trHeight w:val="887"/>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Close seven investments in 2016-17 to complete </w:t>
                                  </w:r>
                                  <w:r>
                                    <w:rPr>
                                      <w:rFonts w:asciiTheme="majorHAnsi" w:hAnsiTheme="majorHAnsi"/>
                                      <w:b/>
                                      <w:sz w:val="17"/>
                                      <w:szCs w:val="17"/>
                                    </w:rPr>
                                    <w:t>program consolidation.</w:t>
                                  </w:r>
                                </w:p>
                              </w:tc>
                              <w:tc>
                                <w:tcPr>
                                  <w:tcW w:w="820" w:type="dxa"/>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Seven investments were closed as planned. A slight increase in investments to 16 from our benchmark of 13 reflects management agreement to establish new programs in Human Rights, and Innovation. Closure of three legacy programs in the next six months will bring the total back to benchmark in the next APPR reporting period.</w:t>
                                  </w:r>
                                </w:p>
                              </w:tc>
                            </w:tr>
                            <w:tr w:rsidR="00733E43" w:rsidTr="00E974CB">
                              <w:trPr>
                                <w:trHeight w:val="963"/>
                              </w:trPr>
                              <w:tc>
                                <w:tcPr>
                                  <w:tcW w:w="5368" w:type="dxa"/>
                                  <w:tcBorders>
                                    <w:top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Maintain Australia’s reputation and influence as a leading development partner in Vietnam, </w:t>
                                  </w:r>
                                  <w:r>
                                    <w:rPr>
                                      <w:rFonts w:asciiTheme="majorHAnsi" w:hAnsiTheme="majorHAnsi"/>
                                      <w:b/>
                                      <w:sz w:val="17"/>
                                      <w:szCs w:val="17"/>
                                    </w:rPr>
                                    <w:t>engaging in quality policy dialogue</w:t>
                                  </w:r>
                                  <w:r>
                                    <w:rPr>
                                      <w:rFonts w:asciiTheme="majorHAnsi" w:hAnsiTheme="majorHAnsi"/>
                                      <w:sz w:val="17"/>
                                      <w:szCs w:val="17"/>
                                    </w:rPr>
                                    <w:t xml:space="preserve"> with the Government of Vietnam and ensuring donor coordination.</w:t>
                                  </w:r>
                                </w:p>
                              </w:tc>
                              <w:tc>
                                <w:tcPr>
                                  <w:tcW w:w="820" w:type="dxa"/>
                                  <w:tcBorders>
                                    <w:top w:val="nil"/>
                                  </w:tcBorders>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tcBorders>
                                    <w:top w:val="nil"/>
                                  </w:tcBorders>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Australia continues to be an influential development partner and assertively engaged in Vietnam’s Development, Business and Private Sector Forums and the Central Party’s Economic Committee in 2016-17. We continue to coordinate well by maintaining good working relationships with the Ministry of Planning and Investment, other missions, and through participation in the monthly development partner’s forum.</w:t>
                                  </w:r>
                                </w:p>
                              </w:tc>
                            </w:tr>
                          </w:tbl>
                          <w:p w:rsidR="00733E43" w:rsidRDefault="00733E43">
                            <w:pPr>
                              <w:pStyle w:val="FrameContents"/>
                            </w:pPr>
                          </w:p>
                        </w:txbxContent>
                      </wps:txbx>
                      <wps:bodyPr lIns="0" tIns="0" rIns="0" bIns="0">
                        <a:spAutoFit/>
                      </wps:bodyPr>
                    </wps:wsp>
                  </a:graphicData>
                </a:graphic>
                <wp14:sizeRelH relativeFrom="margin">
                  <wp14:pctWidth>100000</wp14:pctWidth>
                </wp14:sizeRelH>
              </wp:anchor>
            </w:drawing>
          </mc:Choice>
          <mc:Fallback>
            <w:pict>
              <v:rect w14:anchorId="1CDD66A8" id="Frame2" o:spid="_x0000_s1027" style="position:absolute;left:0;text-align:left;margin-left:-5.4pt;margin-top:.05pt;width:481.9pt;height:391.55pt;z-index:7;visibility:visible;mso-wrap-style:square;mso-width-percent:1000;mso-wrap-distance-left:9pt;mso-wrap-distance-top:0;mso-wrap-distance-right:9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" filled="f" stroked="f">
                <v:textbox style="mso-fit-shape-to-text:t" inset="0,0,0,0">
                  <w:txbxContent>
                    <w:tbl>
                      <w:tblPr>
                        <w:tblStyle w:val="APPR"/>
                        <w:tblW w:w="5000" w:type="pct"/>
                        <w:tblInd w:w="108" w:type="dxa"/>
                        <w:tblLook w:val="0000" w:firstRow="0" w:lastRow="0" w:firstColumn="0" w:lastColumn="0" w:noHBand="0" w:noVBand="0"/>
                      </w:tblPr>
                      <w:tblGrid>
                        <w:gridCol w:w="4320"/>
                        <w:gridCol w:w="850"/>
                        <w:gridCol w:w="4468"/>
                      </w:tblGrid>
                      <w:tr w:rsidR="00733E43" w:rsidTr="00E974CB">
                        <w:tc>
                          <w:tcPr>
                            <w:tcW w:w="5368" w:type="dxa"/>
                            <w:tcBorders>
                              <w:bottom w:val="nil"/>
                            </w:tcBorders>
                            <w:shd w:val="clear" w:color="auto" w:fill="auto"/>
                          </w:tcPr>
                          <w:p w:rsidR="00733E43" w:rsidRDefault="00733E43">
                            <w:pPr>
                              <w:keepLines/>
                              <w:spacing w:before="80" w:after="0" w:line="200" w:lineRule="atLeast"/>
                              <w:rPr>
                                <w:sz w:val="17"/>
                              </w:rPr>
                            </w:pPr>
                            <w:r>
                              <w:rPr>
                                <w:rFonts w:eastAsia="Times New Roman"/>
                                <w:b/>
                                <w:iCs/>
                                <w:sz w:val="17"/>
                                <w:szCs w:val="17"/>
                              </w:rPr>
                              <w:t>Management actions identified in 2015-16 APPR</w:t>
                            </w:r>
                            <w:r>
                              <w:rPr>
                                <w:rFonts w:eastAsia="Times New Roman"/>
                                <w:b/>
                                <w:iCs/>
                                <w:sz w:val="17"/>
                                <w:szCs w:val="17"/>
                              </w:rPr>
                              <w:tab/>
                            </w:r>
                          </w:p>
                        </w:tc>
                        <w:tc>
                          <w:tcPr>
                            <w:tcW w:w="820" w:type="dxa"/>
                            <w:tcBorders>
                              <w:bottom w:val="nil"/>
                            </w:tcBorders>
                            <w:shd w:val="clear" w:color="auto" w:fill="auto"/>
                          </w:tcPr>
                          <w:p w:rsidR="00733E43" w:rsidRDefault="00733E43">
                            <w:pPr>
                              <w:keepLines/>
                              <w:spacing w:before="80" w:after="0" w:line="200" w:lineRule="atLeast"/>
                              <w:rPr>
                                <w:sz w:val="17"/>
                              </w:rPr>
                            </w:pPr>
                            <w:r>
                              <w:rPr>
                                <w:rFonts w:eastAsia="Times New Roman"/>
                                <w:b/>
                                <w:iCs/>
                                <w:sz w:val="17"/>
                                <w:szCs w:val="17"/>
                              </w:rPr>
                              <w:t>Rating</w:t>
                            </w:r>
                          </w:p>
                        </w:tc>
                        <w:tc>
                          <w:tcPr>
                            <w:tcW w:w="5718" w:type="dxa"/>
                            <w:tcBorders>
                              <w:bottom w:val="nil"/>
                            </w:tcBorders>
                            <w:shd w:val="clear" w:color="auto" w:fill="auto"/>
                          </w:tcPr>
                          <w:p w:rsidR="00733E43" w:rsidRDefault="00733E43">
                            <w:pPr>
                              <w:keepLines/>
                              <w:spacing w:before="80" w:after="0" w:line="200" w:lineRule="atLeast"/>
                              <w:jc w:val="center"/>
                              <w:rPr>
                                <w:sz w:val="17"/>
                              </w:rPr>
                            </w:pPr>
                            <w:r>
                              <w:rPr>
                                <w:rFonts w:eastAsia="Times New Roman"/>
                                <w:b/>
                                <w:iCs/>
                                <w:sz w:val="17"/>
                                <w:szCs w:val="17"/>
                              </w:rPr>
                              <w:t>Progress made  in 2016-17</w:t>
                            </w:r>
                          </w:p>
                        </w:tc>
                      </w:tr>
                      <w:tr w:rsidR="00733E43" w:rsidTr="00E974CB">
                        <w:trPr>
                          <w:cnfStyle w:val="000000010000" w:firstRow="0" w:lastRow="0" w:firstColumn="0" w:lastColumn="0" w:oddVBand="0" w:evenVBand="0" w:oddHBand="0" w:evenHBand="1" w:firstRowFirstColumn="0" w:firstRowLastColumn="0" w:lastRowFirstColumn="0" w:lastRowLastColumn="0"/>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Allocate </w:t>
                            </w:r>
                            <w:r>
                              <w:rPr>
                                <w:rFonts w:asciiTheme="majorHAnsi" w:hAnsiTheme="majorHAnsi"/>
                                <w:b/>
                                <w:sz w:val="17"/>
                                <w:szCs w:val="17"/>
                              </w:rPr>
                              <w:t>sufficient staff resources to mobilise five new aid investments</w:t>
                            </w:r>
                            <w:r>
                              <w:rPr>
                                <w:rFonts w:asciiTheme="majorHAnsi" w:hAnsiTheme="majorHAnsi"/>
                                <w:sz w:val="17"/>
                                <w:szCs w:val="17"/>
                              </w:rPr>
                              <w:t>, complete the tender of three new investments and obtain Government of Vietnam approvals for all new investments</w:t>
                            </w:r>
                          </w:p>
                        </w:tc>
                        <w:tc>
                          <w:tcPr>
                            <w:tcW w:w="820" w:type="dxa"/>
                            <w:shd w:val="clear" w:color="auto" w:fill="E36C0A"/>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Partly achieved</w:t>
                            </w:r>
                          </w:p>
                        </w:tc>
                        <w:tc>
                          <w:tcPr>
                            <w:tcW w:w="5718" w:type="dxa"/>
                            <w:shd w:val="clear" w:color="auto" w:fill="auto"/>
                          </w:tcPr>
                          <w:p w:rsidR="00733E43" w:rsidRDefault="00733E43" w:rsidP="00C73DCE">
                            <w:pPr>
                              <w:keepLines/>
                              <w:spacing w:before="40" w:after="0" w:line="200" w:lineRule="atLeast"/>
                              <w:rPr>
                                <w:sz w:val="17"/>
                              </w:rPr>
                            </w:pPr>
                            <w:r>
                              <w:rPr>
                                <w:rFonts w:asciiTheme="majorHAnsi" w:hAnsiTheme="majorHAnsi"/>
                                <w:color w:val="00000A"/>
                                <w:sz w:val="17"/>
                                <w:szCs w:val="17"/>
                              </w:rPr>
                              <w:t>Three new aid investments have secured Government of Vietnam approval. Aus4Equality and Aus4Water have experienced delays. We expect Aus4Water to be approved by April 2018. Alternative implementation arrangements for Investing in Women are being explored, for finalisation by end 2017.</w:t>
                            </w:r>
                          </w:p>
                        </w:tc>
                      </w:tr>
                      <w:tr w:rsidR="00733E43" w:rsidTr="00E974CB">
                        <w:tc>
                          <w:tcPr>
                            <w:tcW w:w="5368" w:type="dxa"/>
                            <w:tcBorders>
                              <w:top w:val="nil"/>
                              <w:bottom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Hold </w:t>
                            </w:r>
                            <w:r>
                              <w:rPr>
                                <w:rFonts w:asciiTheme="majorHAnsi" w:hAnsiTheme="majorHAnsi"/>
                                <w:b/>
                                <w:sz w:val="17"/>
                                <w:szCs w:val="17"/>
                              </w:rPr>
                              <w:t>High Level Consultations (HLCs) on Development Cooperation in Canberra in March 2017</w:t>
                            </w:r>
                            <w:r>
                              <w:rPr>
                                <w:rFonts w:asciiTheme="majorHAnsi" w:hAnsiTheme="majorHAnsi"/>
                                <w:sz w:val="17"/>
                                <w:szCs w:val="17"/>
                              </w:rPr>
                              <w:t xml:space="preserve"> to seek Government of Vietnam prioritisation of approvals for our new aid investments and agree mutual obligations.</w:t>
                            </w:r>
                          </w:p>
                        </w:tc>
                        <w:tc>
                          <w:tcPr>
                            <w:tcW w:w="820" w:type="dxa"/>
                            <w:tcBorders>
                              <w:top w:val="nil"/>
                              <w:bottom w:val="nil"/>
                            </w:tcBorders>
                            <w:shd w:val="clear" w:color="auto" w:fill="72AF2F"/>
                          </w:tcPr>
                          <w:p w:rsidR="00733E43" w:rsidRDefault="00733E43">
                            <w:pPr>
                              <w:keepLines/>
                              <w:spacing w:before="40" w:after="0" w:line="200" w:lineRule="atLeast"/>
                              <w:jc w:val="center"/>
                            </w:pPr>
                            <w:r>
                              <w:rPr>
                                <w:rFonts w:asciiTheme="majorHAnsi" w:eastAsia="Times New Roman" w:hAnsiTheme="majorHAnsi"/>
                                <w:iCs/>
                                <w:color w:val="FFFFFF" w:themeColor="background1"/>
                                <w:sz w:val="17"/>
                                <w:szCs w:val="17"/>
                              </w:rPr>
                              <w:t>Achieved</w:t>
                            </w:r>
                            <w:r>
                              <w:fldChar w:fldCharType="begin"/>
                            </w:r>
                            <w:r>
                              <w:instrText>AUTOTEXTLIST  \s "Rating bullet"\t "Right click to choose a rating" \* MERGEFORMAT</w:instrText>
                            </w:r>
                            <w:r>
                              <w:fldChar w:fldCharType="end"/>
                            </w:r>
                            <w:bookmarkStart w:id="2" w:name="__Fieldmark__6741_369857535"/>
                            <w:bookmarkEnd w:id="2"/>
                          </w:p>
                        </w:tc>
                        <w:tc>
                          <w:tcPr>
                            <w:tcW w:w="5718" w:type="dxa"/>
                            <w:tcBorders>
                              <w:top w:val="nil"/>
                              <w:bottom w:val="nil"/>
                            </w:tcBorders>
                            <w:shd w:val="clear" w:color="auto" w:fill="auto"/>
                          </w:tcPr>
                          <w:p w:rsidR="00733E43" w:rsidRDefault="00733E43" w:rsidP="00C10E89">
                            <w:pPr>
                              <w:keepLines/>
                              <w:spacing w:before="40" w:after="0" w:line="200" w:lineRule="atLeast"/>
                            </w:pPr>
                            <w:r>
                              <w:rPr>
                                <w:rFonts w:asciiTheme="majorHAnsi" w:hAnsiTheme="majorHAnsi"/>
                                <w:color w:val="00000A"/>
                                <w:sz w:val="17"/>
                                <w:szCs w:val="17"/>
                              </w:rPr>
                              <w:t>Aid HLCs successfully held and Government of Vietnam endorsement secured for incorporating HLCs into a new economic partnership meeting.</w:t>
                            </w:r>
                          </w:p>
                        </w:tc>
                      </w:tr>
                      <w:tr w:rsidR="00733E43" w:rsidTr="00E974CB">
                        <w:trPr>
                          <w:cnfStyle w:val="000000010000" w:firstRow="0" w:lastRow="0" w:firstColumn="0" w:lastColumn="0" w:oddVBand="0" w:evenVBand="0" w:oddHBand="0" w:evenHBand="1" w:firstRowFirstColumn="0" w:firstRowLastColumn="0" w:lastRowFirstColumn="0" w:lastRowLastColumn="0"/>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b/>
                                <w:sz w:val="17"/>
                                <w:szCs w:val="17"/>
                              </w:rPr>
                              <w:t>Prepare a gender strategy</w:t>
                            </w:r>
                            <w:r>
                              <w:rPr>
                                <w:rFonts w:asciiTheme="majorHAnsi" w:hAnsiTheme="majorHAnsi"/>
                                <w:sz w:val="17"/>
                                <w:szCs w:val="17"/>
                              </w:rPr>
                              <w:t xml:space="preserve"> and train and mentor staff, to enable us to achieve 100 per cent of programs effectively addressing gender in their implementation by 2016-17.</w:t>
                            </w:r>
                          </w:p>
                        </w:tc>
                        <w:tc>
                          <w:tcPr>
                            <w:tcW w:w="820" w:type="dxa"/>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shd w:val="clear" w:color="auto" w:fill="auto"/>
                          </w:tcPr>
                          <w:p w:rsidR="00733E43" w:rsidRDefault="00733E43" w:rsidP="00C10E89">
                            <w:pPr>
                              <w:keepLines/>
                              <w:spacing w:before="40" w:after="0" w:line="200" w:lineRule="atLeast"/>
                              <w:rPr>
                                <w:sz w:val="17"/>
                              </w:rPr>
                            </w:pPr>
                            <w:r>
                              <w:rPr>
                                <w:rFonts w:asciiTheme="majorHAnsi" w:hAnsiTheme="majorHAnsi"/>
                                <w:color w:val="00000A"/>
                                <w:sz w:val="17"/>
                                <w:szCs w:val="17"/>
                              </w:rPr>
                              <w:t>The Australia in Vietnam Gender Equality Strategy was launched in late 2016. All four new designs were peer reviewed as adequately addressing gender equality, and 100 per cent of Aid Quality Checks for 2017 were satisfactory on gender equality.</w:t>
                            </w:r>
                          </w:p>
                        </w:tc>
                      </w:tr>
                      <w:tr w:rsidR="00733E43" w:rsidTr="00E974CB">
                        <w:trPr>
                          <w:trHeight w:val="765"/>
                        </w:trPr>
                        <w:tc>
                          <w:tcPr>
                            <w:tcW w:w="5368" w:type="dxa"/>
                            <w:tcBorders>
                              <w:top w:val="nil"/>
                              <w:bottom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Identify </w:t>
                            </w:r>
                            <w:r>
                              <w:rPr>
                                <w:rFonts w:asciiTheme="majorHAnsi" w:hAnsiTheme="majorHAnsi"/>
                                <w:b/>
                                <w:sz w:val="17"/>
                                <w:szCs w:val="17"/>
                              </w:rPr>
                              <w:t>greater opportunities for innovation</w:t>
                            </w:r>
                            <w:r>
                              <w:rPr>
                                <w:rFonts w:asciiTheme="majorHAnsi" w:hAnsiTheme="majorHAnsi"/>
                                <w:sz w:val="17"/>
                                <w:szCs w:val="17"/>
                              </w:rPr>
                              <w:t xml:space="preserve"> in the way we deliver our aid investments, as well as fostering greater innovation in trade and private sector development aid investments.</w:t>
                            </w:r>
                          </w:p>
                        </w:tc>
                        <w:tc>
                          <w:tcPr>
                            <w:tcW w:w="820" w:type="dxa"/>
                            <w:tcBorders>
                              <w:top w:val="nil"/>
                              <w:bottom w:val="nil"/>
                            </w:tcBorders>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tcBorders>
                              <w:top w:val="nil"/>
                              <w:bottom w:val="nil"/>
                            </w:tcBorders>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 xml:space="preserve">An Aus4Innovation pillar was established in 2017 along with a dedicated Innovation Champion to ensure a strong focus on innovation in Australia’s development assistance. Aus4Innovation is under design, and all other designs represent innovative delivery modalities. </w:t>
                            </w:r>
                          </w:p>
                        </w:tc>
                      </w:tr>
                      <w:tr w:rsidR="00733E43" w:rsidTr="00E974CB">
                        <w:trPr>
                          <w:cnfStyle w:val="000000010000" w:firstRow="0" w:lastRow="0" w:firstColumn="0" w:lastColumn="0" w:oddVBand="0" w:evenVBand="0" w:oddHBand="0" w:evenHBand="1" w:firstRowFirstColumn="0" w:firstRowLastColumn="0" w:lastRowFirstColumn="0" w:lastRowLastColumn="0"/>
                          <w:trHeight w:val="887"/>
                        </w:trPr>
                        <w:tc>
                          <w:tcPr>
                            <w:tcW w:w="5368" w:type="dxa"/>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Close seven investments in 2016-17 to complete </w:t>
                            </w:r>
                            <w:r>
                              <w:rPr>
                                <w:rFonts w:asciiTheme="majorHAnsi" w:hAnsiTheme="majorHAnsi"/>
                                <w:b/>
                                <w:sz w:val="17"/>
                                <w:szCs w:val="17"/>
                              </w:rPr>
                              <w:t>program consolidation.</w:t>
                            </w:r>
                          </w:p>
                        </w:tc>
                        <w:tc>
                          <w:tcPr>
                            <w:tcW w:w="820" w:type="dxa"/>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Seven investments were closed as planned. A slight increase in investments to 16 from our benchmark of 13 reflects management agreement to establish new programs in Human Rights, and Innovation. Closure of three legacy programs in the next six months will bring the total back to benchmark in the next APPR reporting period.</w:t>
                            </w:r>
                          </w:p>
                        </w:tc>
                      </w:tr>
                      <w:tr w:rsidR="00733E43" w:rsidTr="00E974CB">
                        <w:trPr>
                          <w:trHeight w:val="963"/>
                        </w:trPr>
                        <w:tc>
                          <w:tcPr>
                            <w:tcW w:w="5368" w:type="dxa"/>
                            <w:tcBorders>
                              <w:top w:val="nil"/>
                            </w:tcBorders>
                            <w:shd w:val="clear" w:color="auto" w:fill="auto"/>
                          </w:tcPr>
                          <w:p w:rsidR="00733E43" w:rsidRDefault="00733E43">
                            <w:pPr>
                              <w:pStyle w:val="ListParagraph"/>
                              <w:keepLines/>
                              <w:numPr>
                                <w:ilvl w:val="0"/>
                                <w:numId w:val="1"/>
                              </w:numPr>
                              <w:spacing w:before="40" w:line="200" w:lineRule="atLeast"/>
                            </w:pPr>
                            <w:r>
                              <w:rPr>
                                <w:rFonts w:asciiTheme="majorHAnsi" w:hAnsiTheme="majorHAnsi"/>
                                <w:sz w:val="17"/>
                                <w:szCs w:val="17"/>
                              </w:rPr>
                              <w:t xml:space="preserve">Maintain Australia’s reputation and influence as a leading development partner in Vietnam, </w:t>
                            </w:r>
                            <w:r>
                              <w:rPr>
                                <w:rFonts w:asciiTheme="majorHAnsi" w:hAnsiTheme="majorHAnsi"/>
                                <w:b/>
                                <w:sz w:val="17"/>
                                <w:szCs w:val="17"/>
                              </w:rPr>
                              <w:t>engaging in quality policy dialogue</w:t>
                            </w:r>
                            <w:r>
                              <w:rPr>
                                <w:rFonts w:asciiTheme="majorHAnsi" w:hAnsiTheme="majorHAnsi"/>
                                <w:sz w:val="17"/>
                                <w:szCs w:val="17"/>
                              </w:rPr>
                              <w:t xml:space="preserve"> with the Government of Vietnam and ensuring donor coordination.</w:t>
                            </w:r>
                          </w:p>
                        </w:tc>
                        <w:tc>
                          <w:tcPr>
                            <w:tcW w:w="820" w:type="dxa"/>
                            <w:tcBorders>
                              <w:top w:val="nil"/>
                            </w:tcBorders>
                            <w:shd w:val="clear" w:color="auto" w:fill="72AF2F"/>
                          </w:tcPr>
                          <w:p w:rsidR="00733E43" w:rsidRDefault="00733E43">
                            <w:pPr>
                              <w:keepLines/>
                              <w:spacing w:before="40" w:after="0" w:line="200" w:lineRule="atLeast"/>
                              <w:jc w:val="center"/>
                              <w:rPr>
                                <w:sz w:val="17"/>
                              </w:rPr>
                            </w:pPr>
                            <w:r>
                              <w:rPr>
                                <w:rFonts w:asciiTheme="majorHAnsi" w:eastAsia="Times New Roman" w:hAnsiTheme="majorHAnsi"/>
                                <w:iCs/>
                                <w:color w:val="FFFFFF" w:themeColor="background1"/>
                                <w:sz w:val="17"/>
                                <w:szCs w:val="17"/>
                              </w:rPr>
                              <w:t>Achieved</w:t>
                            </w:r>
                          </w:p>
                        </w:tc>
                        <w:tc>
                          <w:tcPr>
                            <w:tcW w:w="5718" w:type="dxa"/>
                            <w:tcBorders>
                              <w:top w:val="nil"/>
                            </w:tcBorders>
                            <w:shd w:val="clear" w:color="auto" w:fill="auto"/>
                          </w:tcPr>
                          <w:p w:rsidR="00733E43" w:rsidRDefault="00733E43">
                            <w:pPr>
                              <w:keepLines/>
                              <w:spacing w:before="40" w:after="0" w:line="200" w:lineRule="atLeast"/>
                              <w:rPr>
                                <w:sz w:val="17"/>
                              </w:rPr>
                            </w:pPr>
                            <w:r>
                              <w:rPr>
                                <w:rFonts w:asciiTheme="majorHAnsi" w:hAnsiTheme="majorHAnsi"/>
                                <w:color w:val="00000A"/>
                                <w:sz w:val="17"/>
                                <w:szCs w:val="17"/>
                              </w:rPr>
                              <w:t>Australia continues to be an influential development partner and assertively engaged in Vietnam’s Development, Business and Private Sector Forums and the Central Party’s Economic Committee in 2016-17. We continue to coordinate well by maintaining good working relationships with the Ministry of Planning and Investment, other missions, and through participation in the monthly development partner’s forum.</w:t>
                            </w:r>
                          </w:p>
                        </w:tc>
                      </w:tr>
                    </w:tbl>
                    <w:p w:rsidR="00733E43" w:rsidRDefault="00733E43">
                      <w:pPr>
                        <w:pStyle w:val="FrameContents"/>
                      </w:pPr>
                    </w:p>
                  </w:txbxContent>
                </v:textbox>
                <w10:wrap type="square"/>
              </v:rect>
            </w:pict>
          </mc:Fallback>
        </mc:AlternateContent>
      </w:r>
      <w:r>
        <w:rPr>
          <w:rFonts w:eastAsia="Times New Roman"/>
          <w:b/>
          <w:sz w:val="16"/>
          <w:szCs w:val="14"/>
        </w:rPr>
        <w:t xml:space="preserve">Note: </w:t>
      </w:r>
    </w:p>
    <w:p w:rsidR="00E974CB" w:rsidRDefault="004806CF">
      <w:pPr>
        <w:spacing w:before="20" w:after="20" w:line="180" w:lineRule="atLeast"/>
        <w:jc w:val="both"/>
        <w:rPr>
          <w:rFonts w:eastAsia="Times New Roman"/>
          <w:b/>
          <w:sz w:val="16"/>
          <w:szCs w:val="14"/>
        </w:rPr>
      </w:pPr>
      <w:r>
        <w:rPr>
          <w:rFonts w:ascii="Webdings" w:eastAsia="Webdings" w:hAnsi="Webdings" w:cs="Webdings"/>
          <w:b/>
          <w:color w:val="72AF2F"/>
          <w:sz w:val="16"/>
          <w:szCs w:val="14"/>
        </w:rPr>
        <w:t></w:t>
      </w:r>
      <w:r>
        <w:rPr>
          <w:rFonts w:eastAsia="Times New Roman"/>
          <w:b/>
          <w:sz w:val="16"/>
          <w:szCs w:val="14"/>
        </w:rPr>
        <w:t xml:space="preserve">  Achieved.  Significant progress has been made in addressing the issue </w:t>
      </w:r>
    </w:p>
    <w:p w:rsidR="00E974CB" w:rsidRDefault="004806CF">
      <w:pPr>
        <w:spacing w:before="20" w:after="20" w:line="180" w:lineRule="atLeast"/>
        <w:jc w:val="both"/>
        <w:rPr>
          <w:rFonts w:eastAsia="Times New Roman"/>
          <w:b/>
          <w:sz w:val="16"/>
          <w:szCs w:val="14"/>
        </w:rPr>
      </w:pPr>
      <w:r>
        <w:rPr>
          <w:rFonts w:ascii="Webdings" w:eastAsia="Webdings" w:hAnsi="Webdings" w:cs="Webdings"/>
          <w:b/>
          <w:color w:val="E36C0A"/>
          <w:sz w:val="16"/>
          <w:szCs w:val="14"/>
        </w:rPr>
        <w:t></w:t>
      </w:r>
      <w:r>
        <w:rPr>
          <w:rFonts w:eastAsia="Times New Roman"/>
          <w:b/>
          <w:sz w:val="16"/>
          <w:szCs w:val="14"/>
        </w:rPr>
        <w:t xml:space="preserve">  Partly achieved.  Some progress has been made in addressing the issue, but the issue has not been resolved </w:t>
      </w:r>
    </w:p>
    <w:p w:rsidR="00E974CB" w:rsidRDefault="004806CF">
      <w:pPr>
        <w:spacing w:before="20" w:after="20" w:line="180" w:lineRule="atLeast"/>
        <w:jc w:val="both"/>
        <w:rPr>
          <w:rFonts w:eastAsia="Times New Roman"/>
          <w:b/>
          <w:sz w:val="16"/>
          <w:szCs w:val="14"/>
        </w:rPr>
      </w:pPr>
      <w:r>
        <w:rPr>
          <w:rFonts w:ascii="Webdings" w:eastAsia="Webdings" w:hAnsi="Webdings" w:cs="Webdings"/>
          <w:b/>
          <w:color w:val="FF0000"/>
          <w:sz w:val="16"/>
          <w:szCs w:val="14"/>
        </w:rPr>
        <w:t></w:t>
      </w:r>
      <w:r>
        <w:rPr>
          <w:rFonts w:eastAsia="Times New Roman"/>
          <w:b/>
          <w:sz w:val="16"/>
          <w:szCs w:val="14"/>
        </w:rPr>
        <w:t>  Not achieved. Progress in addressing the issue has been significantly below expectations</w:t>
      </w:r>
    </w:p>
    <w:p w:rsidR="00E974CB" w:rsidRDefault="00E974CB">
      <w:pPr>
        <w:spacing w:after="160" w:line="280" w:lineRule="exact"/>
        <w:rPr>
          <w:rFonts w:ascii="Franklin Gothic Book" w:eastAsia="Times New Roman" w:hAnsi="Franklin Gothic Book"/>
          <w:sz w:val="21"/>
        </w:rPr>
      </w:pPr>
    </w:p>
    <w:p w:rsidR="00E974CB" w:rsidRDefault="00E974CB">
      <w:pPr>
        <w:spacing w:after="200" w:line="276" w:lineRule="auto"/>
        <w:rPr>
          <w:rFonts w:ascii="Franklin Gothic Book" w:hAnsi="Franklin Gothic Book"/>
          <w:sz w:val="21"/>
        </w:rPr>
      </w:pPr>
    </w:p>
    <w:p w:rsidR="00E974CB" w:rsidRDefault="00E974CB"/>
    <w:p w:rsidR="00E974CB" w:rsidRDefault="00E974CB"/>
    <w:p w:rsidR="00EF7A69" w:rsidRDefault="00EF7A69"/>
    <w:p w:rsidR="00EF7A69" w:rsidRDefault="00EF7A69"/>
    <w:p w:rsidR="008F4BAC" w:rsidRDefault="008F4BAC"/>
    <w:p w:rsidR="008F4BAC" w:rsidRDefault="008F4BAC"/>
    <w:p w:rsidR="00EF7A69" w:rsidRDefault="00EF7A69"/>
    <w:p w:rsidR="00E974CB" w:rsidRPr="00F25E1E" w:rsidRDefault="004806CF">
      <w:pPr>
        <w:pStyle w:val="Subtitle"/>
        <w:rPr>
          <w:color w:val="auto"/>
        </w:rPr>
      </w:pPr>
      <w:r>
        <w:rPr>
          <w:rFonts w:ascii="Franklin Gothic Book" w:eastAsia="Times New Roman" w:hAnsi="Franklin Gothic Book"/>
          <w:sz w:val="21"/>
        </w:rPr>
        <w:t xml:space="preserve"> </w:t>
      </w:r>
      <w:r w:rsidRPr="00F25E1E">
        <w:rPr>
          <w:color w:val="auto"/>
        </w:rPr>
        <w:t>Annex B – PERFORMANCE BENCHMARKS</w:t>
      </w:r>
    </w:p>
    <w:p w:rsidR="00E974CB" w:rsidRPr="00F25E1E" w:rsidRDefault="004806CF">
      <w:pPr>
        <w:rPr>
          <w:rFonts w:ascii="Franklin Gothic Book" w:eastAsia="Times New Roman" w:hAnsi="Franklin Gothic Book"/>
          <w:b/>
          <w:color w:val="auto"/>
          <w:sz w:val="24"/>
          <w:szCs w:val="24"/>
        </w:rPr>
      </w:pPr>
      <w:r w:rsidRPr="00F25E1E">
        <w:rPr>
          <w:rFonts w:ascii="Franklin Gothic Book" w:eastAsia="Times New Roman" w:hAnsi="Franklin Gothic Book"/>
          <w:b/>
          <w:color w:val="auto"/>
          <w:sz w:val="24"/>
          <w:szCs w:val="24"/>
        </w:rPr>
        <w:t>Progress towards Performance Benchmarks in 2016-17</w:t>
      </w:r>
    </w:p>
    <w:p w:rsidR="00E974CB" w:rsidRPr="00F25E1E" w:rsidRDefault="00E974CB">
      <w:pPr>
        <w:rPr>
          <w:color w:val="auto"/>
        </w:rPr>
      </w:pPr>
    </w:p>
    <w:tbl>
      <w:tblPr>
        <w:tblStyle w:val="DFATTable"/>
        <w:tblW w:w="5000" w:type="pct"/>
        <w:tblCellMar>
          <w:top w:w="57" w:type="dxa"/>
          <w:bottom w:w="57" w:type="dxa"/>
        </w:tblCellMar>
        <w:tblLook w:val="00A0" w:firstRow="1" w:lastRow="0" w:firstColumn="1" w:lastColumn="0" w:noHBand="0" w:noVBand="0"/>
      </w:tblPr>
      <w:tblGrid>
        <w:gridCol w:w="1677"/>
        <w:gridCol w:w="1700"/>
        <w:gridCol w:w="1509"/>
        <w:gridCol w:w="842"/>
        <w:gridCol w:w="3910"/>
      </w:tblGrid>
      <w:tr w:rsidR="00E974CB" w:rsidRPr="00F25E1E">
        <w:trPr>
          <w:tblHeader/>
        </w:trPr>
        <w:tc>
          <w:tcPr>
            <w:tcW w:w="1686"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Aid objective</w:t>
            </w:r>
          </w:p>
        </w:tc>
        <w:tc>
          <w:tcPr>
            <w:tcW w:w="1710" w:type="dxa"/>
            <w:tcBorders>
              <w:bottom w:val="nil"/>
            </w:tcBorders>
            <w:shd w:val="clear" w:color="auto" w:fill="auto"/>
            <w:tcMar>
              <w:top w:w="0" w:type="dxa"/>
              <w:bottom w:w="0" w:type="dxa"/>
            </w:tcMar>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Intermediate outcome</w:t>
            </w:r>
          </w:p>
        </w:tc>
        <w:tc>
          <w:tcPr>
            <w:tcW w:w="1518" w:type="dxa"/>
            <w:tcBorders>
              <w:bottom w:val="nil"/>
            </w:tcBorders>
            <w:shd w:val="clear" w:color="auto" w:fill="auto"/>
            <w:tcMar>
              <w:top w:w="0" w:type="dxa"/>
              <w:bottom w:w="0" w:type="dxa"/>
            </w:tcMar>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 xml:space="preserve">2016-17 benchmark </w:t>
            </w:r>
          </w:p>
        </w:tc>
        <w:tc>
          <w:tcPr>
            <w:tcW w:w="759" w:type="dxa"/>
            <w:tcBorders>
              <w:bottom w:val="nil"/>
            </w:tcBorders>
            <w:shd w:val="clear" w:color="auto" w:fill="auto"/>
            <w:tcMar>
              <w:top w:w="0" w:type="dxa"/>
              <w:bottom w:w="0" w:type="dxa"/>
            </w:tcMar>
          </w:tcPr>
          <w:p w:rsidR="00E974CB" w:rsidRPr="00F25E1E" w:rsidRDefault="004806CF">
            <w:pPr>
              <w:keepLines/>
              <w:spacing w:before="80" w:after="0" w:line="200" w:lineRule="atLeast"/>
              <w:jc w:val="center"/>
              <w:rPr>
                <w:rFonts w:asciiTheme="minorHAnsi" w:eastAsia="Times New Roman" w:hAnsiTheme="minorHAnsi"/>
                <w:b/>
                <w:iCs/>
                <w:color w:val="auto"/>
                <w:szCs w:val="17"/>
              </w:rPr>
            </w:pPr>
            <w:r w:rsidRPr="00F25E1E">
              <w:rPr>
                <w:rFonts w:eastAsia="Times New Roman"/>
                <w:b/>
                <w:iCs/>
                <w:color w:val="auto"/>
                <w:sz w:val="17"/>
                <w:szCs w:val="17"/>
              </w:rPr>
              <w:t>Rating</w:t>
            </w:r>
          </w:p>
        </w:tc>
        <w:tc>
          <w:tcPr>
            <w:tcW w:w="3965" w:type="dxa"/>
            <w:tcBorders>
              <w:bottom w:val="nil"/>
            </w:tcBorders>
            <w:shd w:val="clear" w:color="auto" w:fill="auto"/>
            <w:tcMar>
              <w:top w:w="0" w:type="dxa"/>
              <w:bottom w:w="0" w:type="dxa"/>
            </w:tcMar>
          </w:tcPr>
          <w:p w:rsidR="00E974CB" w:rsidRPr="00F25E1E" w:rsidRDefault="004806CF">
            <w:pPr>
              <w:keepLines/>
              <w:spacing w:before="80" w:after="0" w:line="200" w:lineRule="atLeast"/>
              <w:jc w:val="center"/>
              <w:rPr>
                <w:rFonts w:asciiTheme="minorHAnsi" w:eastAsia="Times New Roman" w:hAnsiTheme="minorHAnsi"/>
                <w:b/>
                <w:iCs/>
                <w:color w:val="auto"/>
                <w:szCs w:val="17"/>
              </w:rPr>
            </w:pPr>
            <w:r w:rsidRPr="00F25E1E">
              <w:rPr>
                <w:rFonts w:eastAsia="Times New Roman"/>
                <w:b/>
                <w:iCs/>
                <w:color w:val="auto"/>
                <w:sz w:val="17"/>
                <w:szCs w:val="17"/>
              </w:rPr>
              <w:t>Progress in 2016-17</w:t>
            </w:r>
          </w:p>
        </w:tc>
      </w:tr>
      <w:tr w:rsidR="00E974CB" w:rsidRPr="00F25E1E">
        <w:tc>
          <w:tcPr>
            <w:tcW w:w="1686" w:type="dxa"/>
            <w:tcBorders>
              <w:top w:val="nil"/>
              <w:bottom w:val="nil"/>
            </w:tcBorders>
            <w:shd w:val="clear" w:color="auto" w:fill="auto"/>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szCs w:val="17"/>
              </w:rPr>
              <w:t>Objective 1: Enabling and engaging the private sector for development</w:t>
            </w:r>
          </w:p>
        </w:tc>
        <w:tc>
          <w:tcPr>
            <w:tcW w:w="1710"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1.1 Value-for-money transport infrastructure demonstrated and enabled</w:t>
            </w:r>
          </w:p>
        </w:tc>
        <w:tc>
          <w:tcPr>
            <w:tcW w:w="1518"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90 per cent construction complete</w:t>
            </w:r>
          </w:p>
        </w:tc>
        <w:tc>
          <w:tcPr>
            <w:tcW w:w="759" w:type="dxa"/>
            <w:tcBorders>
              <w:top w:val="nil"/>
              <w:bottom w:val="nil"/>
            </w:tcBorders>
            <w:shd w:val="clear" w:color="auto" w:fill="669900"/>
            <w:tcMar>
              <w:top w:w="0" w:type="dxa"/>
              <w:bottom w:w="0" w:type="dxa"/>
            </w:tcMar>
          </w:tcPr>
          <w:p w:rsidR="00E974CB" w:rsidRPr="00504096" w:rsidRDefault="004806CF">
            <w:pPr>
              <w:keepLines/>
              <w:spacing w:before="40" w:after="0" w:line="200" w:lineRule="atLeast"/>
              <w:jc w:val="center"/>
              <w:rPr>
                <w:b/>
                <w:color w:val="FFFFFF" w:themeColor="background1"/>
              </w:rPr>
            </w:pPr>
            <w:r w:rsidRPr="00504096">
              <w:rPr>
                <w:rFonts w:eastAsia="Times New Roman"/>
                <w:b/>
                <w:iCs/>
                <w:color w:val="FFFFFF" w:themeColor="background1"/>
                <w:sz w:val="17"/>
                <w:szCs w:val="17"/>
              </w:rPr>
              <w:t>Achieved</w:t>
            </w:r>
            <w:r w:rsidRPr="00504096">
              <w:rPr>
                <w:b/>
                <w:color w:val="FFFFFF" w:themeColor="background1"/>
              </w:rPr>
              <w:fldChar w:fldCharType="begin"/>
            </w:r>
            <w:r w:rsidRPr="00504096">
              <w:rPr>
                <w:b/>
                <w:color w:val="FFFFFF" w:themeColor="background1"/>
              </w:rPr>
              <w:instrText>AUTOTEXTLIST  \s "Rating bullet"\t "Right click to choose a rating" \* MERGEFORMAT</w:instrText>
            </w:r>
            <w:r w:rsidRPr="00504096">
              <w:rPr>
                <w:b/>
                <w:color w:val="FFFFFF" w:themeColor="background1"/>
              </w:rPr>
              <w:fldChar w:fldCharType="end"/>
            </w:r>
            <w:bookmarkStart w:id="3" w:name="__Fieldmark__6832_369857535"/>
            <w:bookmarkEnd w:id="3"/>
          </w:p>
        </w:tc>
        <w:tc>
          <w:tcPr>
            <w:tcW w:w="3965" w:type="dxa"/>
            <w:tcBorders>
              <w:top w:val="nil"/>
              <w:bottom w:val="nil"/>
            </w:tcBorders>
            <w:shd w:val="clear" w:color="auto" w:fill="auto"/>
            <w:tcMar>
              <w:top w:w="0" w:type="dxa"/>
              <w:bottom w:w="0" w:type="dxa"/>
            </w:tcMar>
          </w:tcPr>
          <w:p w:rsidR="00E974CB" w:rsidRPr="00F25E1E" w:rsidRDefault="004806CF" w:rsidP="00747246">
            <w:pPr>
              <w:keepLines/>
              <w:spacing w:before="40" w:after="0" w:line="200" w:lineRule="atLeast"/>
              <w:rPr>
                <w:color w:val="auto"/>
              </w:rPr>
            </w:pPr>
            <w:r w:rsidRPr="00F25E1E">
              <w:rPr>
                <w:rFonts w:eastAsia="Times New Roman"/>
                <w:iCs/>
                <w:color w:val="auto"/>
                <w:sz w:val="17"/>
                <w:szCs w:val="17"/>
              </w:rPr>
              <w:t>Progress on the Cao Lanh bridge was 91 per cent complete as at 3</w:t>
            </w:r>
            <w:r w:rsidR="00F34F76">
              <w:rPr>
                <w:rFonts w:eastAsia="Times New Roman"/>
                <w:iCs/>
                <w:color w:val="auto"/>
                <w:sz w:val="17"/>
                <w:szCs w:val="17"/>
              </w:rPr>
              <w:t>0</w:t>
            </w:r>
            <w:r w:rsidRPr="00F25E1E">
              <w:rPr>
                <w:rFonts w:eastAsia="Times New Roman"/>
                <w:iCs/>
                <w:color w:val="auto"/>
                <w:sz w:val="17"/>
                <w:szCs w:val="17"/>
              </w:rPr>
              <w:t xml:space="preserve"> June 2017. Only slightly behind schedule (92 per cent).</w:t>
            </w:r>
          </w:p>
        </w:tc>
      </w:tr>
      <w:tr w:rsidR="00E974CB" w:rsidRPr="00F25E1E">
        <w:tc>
          <w:tcPr>
            <w:tcW w:w="1686" w:type="dxa"/>
            <w:tcBorders>
              <w:top w:val="nil"/>
              <w:bottom w:val="nil"/>
            </w:tcBorders>
            <w:shd w:val="clear" w:color="auto" w:fill="auto"/>
          </w:tcPr>
          <w:p w:rsidR="00E974CB" w:rsidRPr="00F25E1E" w:rsidRDefault="00E974CB">
            <w:pPr>
              <w:keepLines/>
              <w:spacing w:before="40" w:after="0" w:line="200" w:lineRule="atLeast"/>
              <w:rPr>
                <w:rFonts w:ascii="Helvetica" w:hAnsi="Helvetica"/>
                <w:color w:val="auto"/>
                <w:sz w:val="17"/>
                <w:szCs w:val="17"/>
              </w:rPr>
            </w:pPr>
          </w:p>
        </w:tc>
        <w:tc>
          <w:tcPr>
            <w:tcW w:w="1710"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1.2 Promotion of innovative enterprises to enhance service delivery</w:t>
            </w:r>
          </w:p>
        </w:tc>
        <w:tc>
          <w:tcPr>
            <w:tcW w:w="1518"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24 enterprises receiving grants</w:t>
            </w:r>
          </w:p>
        </w:tc>
        <w:tc>
          <w:tcPr>
            <w:tcW w:w="759" w:type="dxa"/>
            <w:tcBorders>
              <w:top w:val="nil"/>
              <w:bottom w:val="nil"/>
            </w:tcBorders>
            <w:shd w:val="clear" w:color="auto" w:fill="E36C0A"/>
            <w:tcMar>
              <w:top w:w="0" w:type="dxa"/>
              <w:bottom w:w="0" w:type="dxa"/>
            </w:tcMar>
          </w:tcPr>
          <w:p w:rsidR="00E974CB" w:rsidRPr="00504096" w:rsidRDefault="004806CF">
            <w:pPr>
              <w:keepLines/>
              <w:spacing w:before="40" w:after="0" w:line="200" w:lineRule="atLeast"/>
              <w:jc w:val="center"/>
              <w:rPr>
                <w:b/>
                <w:color w:val="FFFFFF" w:themeColor="background1"/>
              </w:rPr>
            </w:pPr>
            <w:r w:rsidRPr="00504096">
              <w:rPr>
                <w:rFonts w:eastAsia="Times New Roman"/>
                <w:b/>
                <w:iCs/>
                <w:color w:val="FFFFFF" w:themeColor="background1"/>
                <w:sz w:val="17"/>
                <w:szCs w:val="17"/>
              </w:rPr>
              <w:t>Partly Achieved</w:t>
            </w:r>
            <w:r w:rsidRPr="00504096">
              <w:rPr>
                <w:b/>
                <w:color w:val="FFFFFF" w:themeColor="background1"/>
              </w:rPr>
              <w:fldChar w:fldCharType="begin"/>
            </w:r>
            <w:r w:rsidRPr="00504096">
              <w:rPr>
                <w:b/>
                <w:color w:val="FFFFFF" w:themeColor="background1"/>
              </w:rPr>
              <w:instrText>AUTOTEXTLIST  \s "Rating bullet"\t "Right click to choose a rating" \* MERGEFORMAT</w:instrText>
            </w:r>
            <w:r w:rsidRPr="00504096">
              <w:rPr>
                <w:b/>
                <w:color w:val="FFFFFF" w:themeColor="background1"/>
              </w:rPr>
              <w:fldChar w:fldCharType="end"/>
            </w:r>
            <w:bookmarkStart w:id="4" w:name="__Fieldmark__6842_369857535"/>
            <w:bookmarkEnd w:id="4"/>
          </w:p>
        </w:tc>
        <w:tc>
          <w:tcPr>
            <w:tcW w:w="3965"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Government approval delays has meant that our new Aus4Water for program will not start implementation until early 2018. In the meantime, Australia is working with East Meets West on a smaller scale to provide grants to private enterprises to improve access to rural water. Four enterprises received grants from East Meets West in 2016 -17. </w:t>
            </w:r>
          </w:p>
        </w:tc>
      </w:tr>
      <w:tr w:rsidR="00E974CB" w:rsidRPr="00F25E1E">
        <w:tc>
          <w:tcPr>
            <w:tcW w:w="1686" w:type="dxa"/>
            <w:tcBorders>
              <w:top w:val="nil"/>
              <w:bottom w:val="nil"/>
            </w:tcBorders>
            <w:shd w:val="clear" w:color="auto" w:fill="auto"/>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szCs w:val="17"/>
              </w:rPr>
              <w:t>Objective 2: Assisting the development and employment of a highly skilled workforce</w:t>
            </w:r>
          </w:p>
        </w:tc>
        <w:tc>
          <w:tcPr>
            <w:tcW w:w="1710"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2.1 Male and female alumni use skills and knowledge to make positive contributions to selected priority areas</w:t>
            </w:r>
          </w:p>
        </w:tc>
        <w:tc>
          <w:tcPr>
            <w:tcW w:w="1518"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75 per cent of alumni employed in position relevant to award skills after three years</w:t>
            </w:r>
          </w:p>
        </w:tc>
        <w:tc>
          <w:tcPr>
            <w:tcW w:w="759" w:type="dxa"/>
            <w:tcBorders>
              <w:top w:val="nil"/>
              <w:bottom w:val="nil"/>
            </w:tcBorders>
            <w:shd w:val="clear" w:color="auto" w:fill="669900"/>
            <w:tcMar>
              <w:top w:w="0" w:type="dxa"/>
              <w:bottom w:w="0" w:type="dxa"/>
            </w:tcMar>
          </w:tcPr>
          <w:p w:rsidR="00E974CB" w:rsidRPr="00504096" w:rsidRDefault="004806CF">
            <w:pPr>
              <w:keepLines/>
              <w:spacing w:before="40" w:after="0" w:line="200" w:lineRule="atLeast"/>
              <w:jc w:val="center"/>
              <w:rPr>
                <w:b/>
                <w:color w:val="FFFFFF" w:themeColor="background1"/>
              </w:rPr>
            </w:pPr>
            <w:r w:rsidRPr="00504096">
              <w:rPr>
                <w:rFonts w:eastAsia="Times New Roman"/>
                <w:b/>
                <w:iCs/>
                <w:color w:val="FFFFFF" w:themeColor="background1"/>
                <w:sz w:val="17"/>
                <w:szCs w:val="17"/>
              </w:rPr>
              <w:t>Achieved</w:t>
            </w:r>
            <w:r w:rsidRPr="00504096">
              <w:rPr>
                <w:b/>
                <w:color w:val="FFFFFF" w:themeColor="background1"/>
              </w:rPr>
              <w:fldChar w:fldCharType="begin"/>
            </w:r>
            <w:r w:rsidRPr="00504096">
              <w:rPr>
                <w:b/>
                <w:color w:val="FFFFFF" w:themeColor="background1"/>
              </w:rPr>
              <w:instrText>AUTOTEXTLIST  \s "Rating bullet"\t "Right click to choose a rating" \* MERGEFORMAT</w:instrText>
            </w:r>
            <w:r w:rsidRPr="00504096">
              <w:rPr>
                <w:b/>
                <w:color w:val="FFFFFF" w:themeColor="background1"/>
              </w:rPr>
              <w:fldChar w:fldCharType="end"/>
            </w:r>
            <w:bookmarkStart w:id="5" w:name="__Fieldmark__6853_369857535"/>
            <w:bookmarkEnd w:id="5"/>
          </w:p>
        </w:tc>
        <w:tc>
          <w:tcPr>
            <w:tcW w:w="3965"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rPr>
              <w:t>97 per cent of Australia Awards Scholarship alumni, who returned during July 2013-June 2014, were employed in positions relevant to their award skills after three years of return (Aus4Skills program database).</w:t>
            </w:r>
          </w:p>
        </w:tc>
      </w:tr>
      <w:tr w:rsidR="00E974CB" w:rsidRPr="00F25E1E">
        <w:tc>
          <w:tcPr>
            <w:tcW w:w="1686" w:type="dxa"/>
            <w:tcBorders>
              <w:top w:val="nil"/>
              <w:bottom w:val="nil"/>
            </w:tcBorders>
            <w:shd w:val="clear" w:color="auto" w:fill="auto"/>
          </w:tcPr>
          <w:p w:rsidR="00E974CB" w:rsidRPr="00F25E1E" w:rsidRDefault="00E974CB">
            <w:pPr>
              <w:keepLines/>
              <w:spacing w:before="40" w:after="0" w:line="200" w:lineRule="atLeast"/>
              <w:rPr>
                <w:rFonts w:ascii="Helvetica" w:hAnsi="Helvetica"/>
                <w:color w:val="auto"/>
                <w:sz w:val="17"/>
                <w:szCs w:val="17"/>
              </w:rPr>
            </w:pPr>
          </w:p>
        </w:tc>
        <w:tc>
          <w:tcPr>
            <w:tcW w:w="1710"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2.2 Stronger workplace enabling environments for improved skills utilisation in selected priority areas.</w:t>
            </w:r>
          </w:p>
        </w:tc>
        <w:tc>
          <w:tcPr>
            <w:tcW w:w="1518"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Women in Leadership investments developed </w:t>
            </w:r>
          </w:p>
        </w:tc>
        <w:tc>
          <w:tcPr>
            <w:tcW w:w="759" w:type="dxa"/>
            <w:tcBorders>
              <w:top w:val="nil"/>
              <w:bottom w:val="nil"/>
            </w:tcBorders>
            <w:shd w:val="clear" w:color="auto" w:fill="669900"/>
            <w:tcMar>
              <w:top w:w="0" w:type="dxa"/>
              <w:bottom w:w="0" w:type="dxa"/>
            </w:tcMar>
          </w:tcPr>
          <w:p w:rsidR="00E974CB" w:rsidRPr="00504096" w:rsidRDefault="004806CF">
            <w:pPr>
              <w:keepLines/>
              <w:spacing w:before="40" w:after="0" w:line="200" w:lineRule="atLeast"/>
              <w:jc w:val="center"/>
              <w:rPr>
                <w:b/>
                <w:color w:val="FFFFFF" w:themeColor="background1"/>
              </w:rPr>
            </w:pPr>
            <w:r w:rsidRPr="00504096">
              <w:rPr>
                <w:rFonts w:eastAsia="Times New Roman"/>
                <w:b/>
                <w:iCs/>
                <w:color w:val="FFFFFF" w:themeColor="background1"/>
                <w:sz w:val="17"/>
                <w:szCs w:val="17"/>
              </w:rPr>
              <w:t>Achieved</w:t>
            </w:r>
            <w:r w:rsidRPr="00504096">
              <w:rPr>
                <w:b/>
                <w:color w:val="FFFFFF" w:themeColor="background1"/>
              </w:rPr>
              <w:fldChar w:fldCharType="begin"/>
            </w:r>
            <w:r w:rsidRPr="00504096">
              <w:rPr>
                <w:b/>
                <w:color w:val="FFFFFF" w:themeColor="background1"/>
              </w:rPr>
              <w:instrText>AUTOTEXTLIST  \s "Rating bullet"\t "Right click to choose a rating" \* MERGEFORMAT</w:instrText>
            </w:r>
            <w:r w:rsidRPr="00504096">
              <w:rPr>
                <w:b/>
                <w:color w:val="FFFFFF" w:themeColor="background1"/>
              </w:rPr>
              <w:fldChar w:fldCharType="end"/>
            </w:r>
            <w:bookmarkStart w:id="6" w:name="__Fieldmark__6863_369857535"/>
            <w:bookmarkEnd w:id="6"/>
          </w:p>
        </w:tc>
        <w:tc>
          <w:tcPr>
            <w:tcW w:w="3965"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rPr>
              <w:t>The Women in Leadership (WIL) component was developed, as an integrated part of Aus4Skills non-scholarship design (January 2017), which focused on support strategies for women in selected AIP partner organisations. A pilot WIL package was designed to support Aus4Skills university partners to promote gender equitable leadership and leadership opportunities for women.</w:t>
            </w:r>
          </w:p>
        </w:tc>
      </w:tr>
      <w:tr w:rsidR="00E974CB" w:rsidRPr="00F25E1E">
        <w:tc>
          <w:tcPr>
            <w:tcW w:w="1686" w:type="dxa"/>
            <w:tcBorders>
              <w:top w:val="nil"/>
              <w:bottom w:val="nil"/>
            </w:tcBorders>
            <w:shd w:val="clear" w:color="auto" w:fill="auto"/>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szCs w:val="17"/>
              </w:rPr>
              <w:t>Objective 3: Promoting women’s economic empowerment, including ethnic minorities</w:t>
            </w:r>
          </w:p>
        </w:tc>
        <w:tc>
          <w:tcPr>
            <w:tcW w:w="1710"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3.1 Rural women’s livelihood security improved</w:t>
            </w:r>
          </w:p>
        </w:tc>
        <w:tc>
          <w:tcPr>
            <w:tcW w:w="1518" w:type="dxa"/>
            <w:tcBorders>
              <w:top w:val="nil"/>
              <w:bottom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Program design/ partnership established</w:t>
            </w:r>
          </w:p>
        </w:tc>
        <w:tc>
          <w:tcPr>
            <w:tcW w:w="759" w:type="dxa"/>
            <w:tcBorders>
              <w:top w:val="nil"/>
              <w:bottom w:val="nil"/>
            </w:tcBorders>
            <w:shd w:val="clear" w:color="auto" w:fill="E36C0A"/>
            <w:tcMar>
              <w:top w:w="0" w:type="dxa"/>
              <w:bottom w:w="0" w:type="dxa"/>
            </w:tcMar>
          </w:tcPr>
          <w:p w:rsidR="00E974CB" w:rsidRPr="00504096" w:rsidRDefault="004806CF">
            <w:pPr>
              <w:keepLines/>
              <w:spacing w:before="40" w:after="0" w:line="200" w:lineRule="atLeast"/>
              <w:jc w:val="center"/>
              <w:rPr>
                <w:rFonts w:asciiTheme="minorHAnsi" w:eastAsia="Times New Roman" w:hAnsiTheme="minorHAnsi"/>
                <w:b/>
                <w:iCs/>
                <w:color w:val="FFFFFF" w:themeColor="background1"/>
                <w:szCs w:val="17"/>
              </w:rPr>
            </w:pPr>
            <w:r w:rsidRPr="00504096">
              <w:rPr>
                <w:rFonts w:eastAsia="Times New Roman"/>
                <w:b/>
                <w:iCs/>
                <w:color w:val="FFFFFF" w:themeColor="background1"/>
                <w:sz w:val="17"/>
                <w:szCs w:val="17"/>
              </w:rPr>
              <w:t>Partially Achieved</w:t>
            </w:r>
          </w:p>
        </w:tc>
        <w:tc>
          <w:tcPr>
            <w:tcW w:w="3965" w:type="dxa"/>
            <w:tcBorders>
              <w:top w:val="nil"/>
              <w:bottom w:val="nil"/>
            </w:tcBorders>
            <w:shd w:val="clear" w:color="auto" w:fill="auto"/>
            <w:tcMar>
              <w:top w:w="0" w:type="dxa"/>
              <w:bottom w:w="0" w:type="dxa"/>
            </w:tcMar>
          </w:tcPr>
          <w:p w:rsidR="00E974CB" w:rsidRPr="00F25E1E" w:rsidRDefault="004C6BE1" w:rsidP="004C6BE1">
            <w:pPr>
              <w:keepLines/>
              <w:spacing w:before="40" w:after="0" w:line="200" w:lineRule="atLeast"/>
              <w:rPr>
                <w:color w:val="auto"/>
              </w:rPr>
            </w:pPr>
            <w:r>
              <w:rPr>
                <w:rFonts w:eastAsia="Times New Roman"/>
                <w:iCs/>
                <w:color w:val="auto"/>
                <w:sz w:val="17"/>
                <w:szCs w:val="17"/>
              </w:rPr>
              <w:t xml:space="preserve">The commencement of </w:t>
            </w:r>
            <w:r w:rsidR="004806CF" w:rsidRPr="00F25E1E">
              <w:rPr>
                <w:rFonts w:eastAsia="Times New Roman"/>
                <w:iCs/>
                <w:color w:val="auto"/>
                <w:sz w:val="17"/>
                <w:szCs w:val="17"/>
              </w:rPr>
              <w:t xml:space="preserve">Aus4Equality was delayed </w:t>
            </w:r>
            <w:r>
              <w:rPr>
                <w:rFonts w:eastAsia="Times New Roman"/>
                <w:iCs/>
                <w:color w:val="auto"/>
                <w:sz w:val="17"/>
                <w:szCs w:val="17"/>
              </w:rPr>
              <w:t xml:space="preserve">due to the </w:t>
            </w:r>
            <w:r w:rsidR="004806CF" w:rsidRPr="00F25E1E">
              <w:rPr>
                <w:rFonts w:eastAsia="Times New Roman"/>
                <w:iCs/>
                <w:color w:val="auto"/>
                <w:sz w:val="17"/>
                <w:szCs w:val="17"/>
              </w:rPr>
              <w:t xml:space="preserve">Government of Vietnam approval </w:t>
            </w:r>
            <w:r>
              <w:rPr>
                <w:rFonts w:eastAsia="Times New Roman"/>
                <w:iCs/>
                <w:color w:val="auto"/>
                <w:sz w:val="17"/>
                <w:szCs w:val="17"/>
              </w:rPr>
              <w:t>taking longer than expected</w:t>
            </w:r>
            <w:r w:rsidR="004806CF" w:rsidRPr="00F25E1E">
              <w:rPr>
                <w:rFonts w:eastAsia="Times New Roman"/>
                <w:iCs/>
                <w:color w:val="auto"/>
                <w:sz w:val="17"/>
                <w:szCs w:val="17"/>
              </w:rPr>
              <w:t xml:space="preserve">.  </w:t>
            </w:r>
            <w:r>
              <w:rPr>
                <w:rFonts w:eastAsia="Times New Roman"/>
                <w:iCs/>
                <w:color w:val="auto"/>
                <w:sz w:val="17"/>
                <w:szCs w:val="17"/>
              </w:rPr>
              <w:t xml:space="preserve">We are currently negotiating implementation arrangements and procuring a managing contractor, to allow the investment to commence </w:t>
            </w:r>
            <w:r w:rsidR="004806CF" w:rsidRPr="00F25E1E">
              <w:rPr>
                <w:rFonts w:eastAsia="Times New Roman"/>
                <w:iCs/>
                <w:color w:val="auto"/>
                <w:sz w:val="17"/>
                <w:szCs w:val="17"/>
              </w:rPr>
              <w:t>by end of 2017.</w:t>
            </w:r>
          </w:p>
        </w:tc>
      </w:tr>
      <w:tr w:rsidR="00E974CB" w:rsidRPr="00F25E1E">
        <w:tc>
          <w:tcPr>
            <w:tcW w:w="1686" w:type="dxa"/>
            <w:tcBorders>
              <w:top w:val="nil"/>
            </w:tcBorders>
            <w:shd w:val="clear" w:color="auto" w:fill="auto"/>
          </w:tcPr>
          <w:p w:rsidR="00E974CB" w:rsidRPr="00F25E1E" w:rsidRDefault="00E974CB">
            <w:pPr>
              <w:keepLines/>
              <w:spacing w:before="40" w:after="0" w:line="200" w:lineRule="atLeast"/>
              <w:rPr>
                <w:rFonts w:ascii="Helvetica" w:hAnsi="Helvetica"/>
                <w:color w:val="auto"/>
                <w:sz w:val="17"/>
                <w:szCs w:val="17"/>
              </w:rPr>
            </w:pPr>
          </w:p>
        </w:tc>
        <w:tc>
          <w:tcPr>
            <w:tcW w:w="1710" w:type="dxa"/>
            <w:tcBorders>
              <w:top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3.2 Women’s empowerment</w:t>
            </w:r>
          </w:p>
        </w:tc>
        <w:tc>
          <w:tcPr>
            <w:tcW w:w="1518" w:type="dxa"/>
            <w:tcBorders>
              <w:top w:val="nil"/>
            </w:tcBorders>
            <w:shd w:val="clear" w:color="auto" w:fill="auto"/>
            <w:tcMar>
              <w:top w:w="0" w:type="dxa"/>
              <w:bottom w:w="0" w:type="dxa"/>
            </w:tcMar>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Program design/ partnership established</w:t>
            </w:r>
          </w:p>
        </w:tc>
        <w:tc>
          <w:tcPr>
            <w:tcW w:w="759" w:type="dxa"/>
            <w:tcBorders>
              <w:top w:val="nil"/>
            </w:tcBorders>
            <w:shd w:val="clear" w:color="auto" w:fill="E36C0E"/>
            <w:tcMar>
              <w:top w:w="0" w:type="dxa"/>
              <w:bottom w:w="0" w:type="dxa"/>
            </w:tcMar>
          </w:tcPr>
          <w:p w:rsidR="00E974CB" w:rsidRPr="00504096" w:rsidRDefault="004806CF">
            <w:pPr>
              <w:keepLines/>
              <w:spacing w:before="40" w:after="0" w:line="200" w:lineRule="atLeast"/>
              <w:jc w:val="center"/>
              <w:rPr>
                <w:b/>
                <w:color w:val="FFFFFF" w:themeColor="background1"/>
              </w:rPr>
            </w:pPr>
            <w:r w:rsidRPr="00504096">
              <w:rPr>
                <w:rFonts w:eastAsia="Times New Roman"/>
                <w:b/>
                <w:iCs/>
                <w:color w:val="FFFFFF" w:themeColor="background1"/>
                <w:sz w:val="17"/>
                <w:szCs w:val="17"/>
              </w:rPr>
              <w:t>Partially Achieved</w:t>
            </w:r>
            <w:r w:rsidRPr="00504096">
              <w:rPr>
                <w:b/>
                <w:color w:val="FFFFFF" w:themeColor="background1"/>
              </w:rPr>
              <w:fldChar w:fldCharType="begin"/>
            </w:r>
            <w:r w:rsidRPr="00504096">
              <w:rPr>
                <w:b/>
                <w:color w:val="FFFFFF" w:themeColor="background1"/>
              </w:rPr>
              <w:instrText>AUTOTEXTLIST  \s "Rating bullet"\t "Right click to choose a rating" \* MERGEFORMAT</w:instrText>
            </w:r>
            <w:r w:rsidRPr="00504096">
              <w:rPr>
                <w:b/>
                <w:color w:val="FFFFFF" w:themeColor="background1"/>
              </w:rPr>
              <w:fldChar w:fldCharType="end"/>
            </w:r>
            <w:bookmarkStart w:id="7" w:name="__Fieldmark__6878_369857535"/>
            <w:bookmarkEnd w:id="7"/>
          </w:p>
        </w:tc>
        <w:tc>
          <w:tcPr>
            <w:tcW w:w="3965" w:type="dxa"/>
            <w:tcBorders>
              <w:top w:val="nil"/>
            </w:tcBorders>
            <w:shd w:val="clear" w:color="auto" w:fill="auto"/>
            <w:tcMar>
              <w:top w:w="0" w:type="dxa"/>
              <w:bottom w:w="0" w:type="dxa"/>
            </w:tcMar>
          </w:tcPr>
          <w:p w:rsidR="00E974CB" w:rsidRPr="00F25E1E" w:rsidRDefault="004806CF">
            <w:pPr>
              <w:pStyle w:val="TableTextEntries"/>
              <w:keepNext/>
              <w:spacing w:after="0" w:line="240" w:lineRule="auto"/>
              <w:rPr>
                <w:color w:val="auto"/>
              </w:rPr>
            </w:pPr>
            <w:r w:rsidRPr="00F25E1E">
              <w:rPr>
                <w:rFonts w:asciiTheme="minorHAnsi" w:hAnsiTheme="minorHAnsi" w:cstheme="minorBidi"/>
                <w:color w:val="auto"/>
                <w:lang w:val="en-GB"/>
              </w:rPr>
              <w:t xml:space="preserve">We were not able to resolve key technical issues with Ministry of Planning and Investment </w:t>
            </w:r>
            <w:r w:rsidR="00AB6A43">
              <w:rPr>
                <w:rFonts w:asciiTheme="minorHAnsi" w:hAnsiTheme="minorHAnsi" w:cstheme="minorBidi"/>
                <w:color w:val="auto"/>
                <w:lang w:val="en-GB"/>
              </w:rPr>
              <w:t>during the detailed design of Investing in Women.</w:t>
            </w:r>
            <w:r w:rsidRPr="00F25E1E">
              <w:rPr>
                <w:rFonts w:asciiTheme="minorHAnsi" w:hAnsiTheme="minorHAnsi" w:cstheme="minorBidi"/>
                <w:color w:val="auto"/>
                <w:lang w:val="en-GB"/>
              </w:rPr>
              <w:t xml:space="preserve"> Other delivery options are being investigated</w:t>
            </w:r>
            <w:r w:rsidR="00351C37">
              <w:rPr>
                <w:rFonts w:asciiTheme="minorHAnsi" w:hAnsiTheme="minorHAnsi" w:cstheme="minorBidi"/>
                <w:color w:val="auto"/>
                <w:lang w:val="en-GB"/>
              </w:rPr>
              <w:t>,</w:t>
            </w:r>
            <w:r w:rsidRPr="00F25E1E">
              <w:rPr>
                <w:rFonts w:asciiTheme="minorHAnsi" w:hAnsiTheme="minorHAnsi" w:cstheme="minorBidi"/>
                <w:color w:val="auto"/>
                <w:lang w:val="en-GB"/>
              </w:rPr>
              <w:t xml:space="preserve"> with a view to </w:t>
            </w:r>
            <w:r w:rsidR="00351C37">
              <w:rPr>
                <w:rFonts w:asciiTheme="minorHAnsi" w:hAnsiTheme="minorHAnsi" w:cstheme="minorBidi"/>
                <w:color w:val="auto"/>
                <w:lang w:val="en-GB"/>
              </w:rPr>
              <w:t xml:space="preserve">commencing </w:t>
            </w:r>
            <w:r w:rsidRPr="00F25E1E">
              <w:rPr>
                <w:rFonts w:asciiTheme="minorHAnsi" w:hAnsiTheme="minorHAnsi" w:cstheme="minorBidi"/>
                <w:color w:val="auto"/>
                <w:lang w:val="en-GB"/>
              </w:rPr>
              <w:t xml:space="preserve">implementation by </w:t>
            </w:r>
            <w:r w:rsidR="004C6BE1">
              <w:rPr>
                <w:rFonts w:asciiTheme="minorHAnsi" w:hAnsiTheme="minorHAnsi" w:cstheme="minorBidi"/>
                <w:color w:val="auto"/>
                <w:lang w:val="en-GB"/>
              </w:rPr>
              <w:t xml:space="preserve">end of </w:t>
            </w:r>
            <w:r w:rsidRPr="00F25E1E">
              <w:rPr>
                <w:rFonts w:asciiTheme="minorHAnsi" w:hAnsiTheme="minorHAnsi" w:cstheme="minorBidi"/>
                <w:color w:val="auto"/>
                <w:lang w:val="en-GB"/>
              </w:rPr>
              <w:t xml:space="preserve">2017. </w:t>
            </w:r>
          </w:p>
        </w:tc>
      </w:tr>
    </w:tbl>
    <w:p w:rsidR="00E974CB" w:rsidRPr="00F25E1E" w:rsidRDefault="00E974CB">
      <w:pPr>
        <w:rPr>
          <w:color w:val="auto"/>
        </w:rPr>
      </w:pPr>
    </w:p>
    <w:p w:rsidR="00E974CB" w:rsidRPr="00F25E1E" w:rsidRDefault="004806CF">
      <w:pPr>
        <w:spacing w:before="20" w:after="20" w:line="180" w:lineRule="atLeast"/>
        <w:jc w:val="both"/>
        <w:rPr>
          <w:rFonts w:eastAsia="Times New Roman"/>
          <w:b/>
          <w:color w:val="auto"/>
          <w:sz w:val="16"/>
          <w:szCs w:val="14"/>
        </w:rPr>
      </w:pPr>
      <w:r w:rsidRPr="00F25E1E">
        <w:rPr>
          <w:rFonts w:eastAsia="Times New Roman"/>
          <w:b/>
          <w:color w:val="auto"/>
          <w:sz w:val="16"/>
          <w:szCs w:val="14"/>
        </w:rPr>
        <w:t xml:space="preserve">Note: </w:t>
      </w:r>
    </w:p>
    <w:p w:rsidR="00B04ABE" w:rsidRDefault="00B04ABE" w:rsidP="00B04ABE">
      <w:pPr>
        <w:spacing w:before="20" w:after="20" w:line="180" w:lineRule="atLeast"/>
        <w:jc w:val="both"/>
        <w:rPr>
          <w:rFonts w:eastAsia="Times New Roman"/>
          <w:b/>
          <w:sz w:val="16"/>
          <w:szCs w:val="14"/>
        </w:rPr>
      </w:pPr>
      <w:r>
        <w:rPr>
          <w:rFonts w:ascii="Webdings" w:eastAsia="Webdings" w:hAnsi="Webdings" w:cs="Webdings"/>
          <w:b/>
          <w:color w:val="72AF2F"/>
          <w:sz w:val="16"/>
          <w:szCs w:val="14"/>
        </w:rPr>
        <w:t></w:t>
      </w:r>
      <w:r>
        <w:rPr>
          <w:rFonts w:eastAsia="Times New Roman"/>
          <w:b/>
          <w:sz w:val="16"/>
          <w:szCs w:val="14"/>
        </w:rPr>
        <w:t xml:space="preserve">  Achieved.  Significant progress has been made in addressing the issue </w:t>
      </w:r>
    </w:p>
    <w:p w:rsidR="00B04ABE" w:rsidRDefault="00B04ABE" w:rsidP="00B04ABE">
      <w:pPr>
        <w:spacing w:before="20" w:after="20" w:line="180" w:lineRule="atLeast"/>
        <w:jc w:val="both"/>
        <w:rPr>
          <w:rFonts w:eastAsia="Times New Roman"/>
          <w:b/>
          <w:sz w:val="16"/>
          <w:szCs w:val="14"/>
        </w:rPr>
      </w:pPr>
      <w:r>
        <w:rPr>
          <w:rFonts w:ascii="Webdings" w:eastAsia="Webdings" w:hAnsi="Webdings" w:cs="Webdings"/>
          <w:b/>
          <w:color w:val="E36C0A"/>
          <w:sz w:val="16"/>
          <w:szCs w:val="14"/>
        </w:rPr>
        <w:t></w:t>
      </w:r>
      <w:r>
        <w:rPr>
          <w:rFonts w:eastAsia="Times New Roman"/>
          <w:b/>
          <w:sz w:val="16"/>
          <w:szCs w:val="14"/>
        </w:rPr>
        <w:t xml:space="preserve">  Partly achieved.  Some progress has been made in addressing the issue, but the issue has not been resolved </w:t>
      </w:r>
    </w:p>
    <w:p w:rsidR="00B04ABE" w:rsidRDefault="00B04ABE" w:rsidP="00B04ABE">
      <w:pPr>
        <w:spacing w:before="20" w:after="20" w:line="180" w:lineRule="atLeast"/>
        <w:jc w:val="both"/>
        <w:rPr>
          <w:rFonts w:eastAsia="Times New Roman"/>
          <w:b/>
          <w:sz w:val="16"/>
          <w:szCs w:val="14"/>
        </w:rPr>
      </w:pPr>
      <w:r>
        <w:rPr>
          <w:rFonts w:ascii="Webdings" w:eastAsia="Webdings" w:hAnsi="Webdings" w:cs="Webdings"/>
          <w:b/>
          <w:color w:val="FF0000"/>
          <w:sz w:val="16"/>
          <w:szCs w:val="14"/>
        </w:rPr>
        <w:t></w:t>
      </w:r>
      <w:r>
        <w:rPr>
          <w:rFonts w:eastAsia="Times New Roman"/>
          <w:b/>
          <w:sz w:val="16"/>
          <w:szCs w:val="14"/>
        </w:rPr>
        <w:t>  Not achieved. Progress in addressing the issue has been significantly below expectations</w:t>
      </w:r>
    </w:p>
    <w:p w:rsidR="00E974CB" w:rsidRDefault="00E974CB">
      <w:pPr>
        <w:rPr>
          <w:rFonts w:ascii="Franklin Gothic Book" w:eastAsia="Times New Roman" w:hAnsi="Franklin Gothic Book"/>
          <w:b/>
          <w:sz w:val="24"/>
          <w:szCs w:val="24"/>
        </w:rPr>
      </w:pPr>
    </w:p>
    <w:p w:rsidR="00E44E22" w:rsidRDefault="00E44E22">
      <w:pPr>
        <w:rPr>
          <w:rFonts w:ascii="Franklin Gothic Book" w:eastAsia="Times New Roman" w:hAnsi="Franklin Gothic Book"/>
          <w:b/>
          <w:sz w:val="24"/>
          <w:szCs w:val="24"/>
        </w:rPr>
      </w:pPr>
    </w:p>
    <w:p w:rsidR="00E44E22" w:rsidRDefault="00E44E22">
      <w:pPr>
        <w:rPr>
          <w:rFonts w:ascii="Franklin Gothic Book" w:eastAsia="Times New Roman" w:hAnsi="Franklin Gothic Book"/>
          <w:b/>
          <w:sz w:val="24"/>
          <w:szCs w:val="24"/>
        </w:rPr>
      </w:pPr>
    </w:p>
    <w:p w:rsidR="004C6FA2" w:rsidRDefault="004C6FA2">
      <w:pPr>
        <w:rPr>
          <w:rFonts w:ascii="Franklin Gothic Book" w:eastAsia="Times New Roman" w:hAnsi="Franklin Gothic Book"/>
          <w:b/>
          <w:color w:val="auto"/>
          <w:sz w:val="24"/>
          <w:szCs w:val="24"/>
        </w:rPr>
      </w:pPr>
    </w:p>
    <w:p w:rsidR="00E974CB" w:rsidRPr="00F25E1E" w:rsidRDefault="004806CF">
      <w:pPr>
        <w:rPr>
          <w:color w:val="auto"/>
        </w:rPr>
      </w:pPr>
      <w:r w:rsidRPr="00F25E1E">
        <w:rPr>
          <w:rFonts w:ascii="Franklin Gothic Book" w:eastAsia="Times New Roman" w:hAnsi="Franklin Gothic Book"/>
          <w:b/>
          <w:color w:val="auto"/>
          <w:sz w:val="24"/>
          <w:szCs w:val="24"/>
        </w:rPr>
        <w:t xml:space="preserve">Performance Benchmarks for remainder of Aid Investment Plan   </w:t>
      </w:r>
    </w:p>
    <w:p w:rsidR="00E974CB" w:rsidRPr="00F25E1E" w:rsidRDefault="00E974CB">
      <w:pPr>
        <w:rPr>
          <w:rFonts w:ascii="Franklin Gothic Book" w:eastAsia="Times New Roman" w:hAnsi="Franklin Gothic Book"/>
          <w:b/>
          <w:color w:val="auto"/>
          <w:sz w:val="24"/>
          <w:szCs w:val="24"/>
        </w:rPr>
      </w:pPr>
    </w:p>
    <w:tbl>
      <w:tblPr>
        <w:tblStyle w:val="DFATTable"/>
        <w:tblW w:w="4900" w:type="pct"/>
        <w:tblLook w:val="04A0" w:firstRow="1" w:lastRow="0" w:firstColumn="1" w:lastColumn="0" w:noHBand="0" w:noVBand="1"/>
      </w:tblPr>
      <w:tblGrid>
        <w:gridCol w:w="1629"/>
        <w:gridCol w:w="2788"/>
        <w:gridCol w:w="1496"/>
        <w:gridCol w:w="1889"/>
        <w:gridCol w:w="1643"/>
      </w:tblGrid>
      <w:tr w:rsidR="003273EB" w:rsidRPr="00F25E1E" w:rsidTr="003273EB">
        <w:trPr>
          <w:trHeight w:val="331"/>
        </w:trPr>
        <w:tc>
          <w:tcPr>
            <w:tcW w:w="1632" w:type="dxa"/>
            <w:tcBorders>
              <w:bottom w:val="nil"/>
            </w:tcBorders>
            <w:shd w:val="clear" w:color="auto" w:fill="auto"/>
          </w:tcPr>
          <w:p w:rsidR="00E974CB" w:rsidRPr="00F25E1E" w:rsidRDefault="004806CF">
            <w:pPr>
              <w:pStyle w:val="NormalIndented"/>
              <w:spacing w:after="0" w:line="240" w:lineRule="auto"/>
              <w:rPr>
                <w:rFonts w:asciiTheme="minorHAnsi" w:hAnsiTheme="minorHAnsi"/>
                <w:color w:val="auto"/>
              </w:rPr>
            </w:pPr>
            <w:r w:rsidRPr="00F25E1E">
              <w:rPr>
                <w:rFonts w:eastAsia="Times New Roman"/>
                <w:b/>
                <w:iCs/>
                <w:color w:val="auto"/>
                <w:sz w:val="17"/>
                <w:szCs w:val="17"/>
              </w:rPr>
              <w:t>Aid objective</w:t>
            </w:r>
          </w:p>
        </w:tc>
        <w:tc>
          <w:tcPr>
            <w:tcW w:w="2791" w:type="dxa"/>
            <w:tcBorders>
              <w:bottom w:val="nil"/>
            </w:tcBorders>
            <w:shd w:val="clear" w:color="auto" w:fill="auto"/>
          </w:tcPr>
          <w:p w:rsidR="00E974CB" w:rsidRPr="00F25E1E" w:rsidRDefault="004806CF">
            <w:pPr>
              <w:pStyle w:val="NormalIndented"/>
              <w:spacing w:after="0" w:line="240" w:lineRule="auto"/>
              <w:rPr>
                <w:rFonts w:asciiTheme="minorHAnsi" w:hAnsiTheme="minorHAnsi"/>
                <w:color w:val="auto"/>
              </w:rPr>
            </w:pPr>
            <w:r w:rsidRPr="00F25E1E">
              <w:rPr>
                <w:rFonts w:eastAsia="Times New Roman"/>
                <w:b/>
                <w:iCs/>
                <w:color w:val="auto"/>
                <w:sz w:val="17"/>
                <w:szCs w:val="17"/>
              </w:rPr>
              <w:t xml:space="preserve">Performance Benchmark </w:t>
            </w:r>
          </w:p>
        </w:tc>
        <w:tc>
          <w:tcPr>
            <w:tcW w:w="1491" w:type="dxa"/>
            <w:tcBorders>
              <w:bottom w:val="nil"/>
            </w:tcBorders>
            <w:shd w:val="clear" w:color="auto" w:fill="auto"/>
          </w:tcPr>
          <w:p w:rsidR="00E974CB" w:rsidRPr="00F25E1E" w:rsidRDefault="004806CF">
            <w:pPr>
              <w:pStyle w:val="NormalIndented"/>
              <w:spacing w:after="0" w:line="240" w:lineRule="auto"/>
              <w:ind w:left="0"/>
              <w:jc w:val="center"/>
              <w:rPr>
                <w:rFonts w:asciiTheme="minorHAnsi" w:hAnsiTheme="minorHAnsi"/>
                <w:b/>
                <w:color w:val="auto"/>
              </w:rPr>
            </w:pPr>
            <w:r w:rsidRPr="00F25E1E">
              <w:rPr>
                <w:rFonts w:asciiTheme="minorHAnsi" w:hAnsiTheme="minorHAnsi"/>
                <w:b/>
                <w:color w:val="auto"/>
                <w:sz w:val="17"/>
              </w:rPr>
              <w:t>2017-18</w:t>
            </w:r>
          </w:p>
        </w:tc>
        <w:tc>
          <w:tcPr>
            <w:tcW w:w="1881" w:type="dxa"/>
            <w:tcBorders>
              <w:bottom w:val="nil"/>
            </w:tcBorders>
            <w:shd w:val="clear" w:color="auto" w:fill="auto"/>
          </w:tcPr>
          <w:p w:rsidR="00E974CB" w:rsidRPr="00F25E1E" w:rsidRDefault="004806CF">
            <w:pPr>
              <w:pStyle w:val="NormalIndented"/>
              <w:spacing w:after="0" w:line="240" w:lineRule="auto"/>
              <w:ind w:left="33"/>
              <w:jc w:val="center"/>
              <w:rPr>
                <w:rFonts w:asciiTheme="minorHAnsi" w:hAnsiTheme="minorHAnsi"/>
                <w:b/>
                <w:color w:val="auto"/>
              </w:rPr>
            </w:pPr>
            <w:r w:rsidRPr="00F25E1E">
              <w:rPr>
                <w:rFonts w:asciiTheme="minorHAnsi" w:hAnsiTheme="minorHAnsi"/>
                <w:b/>
                <w:color w:val="auto"/>
                <w:sz w:val="17"/>
              </w:rPr>
              <w:t>2018-19</w:t>
            </w:r>
          </w:p>
        </w:tc>
        <w:tc>
          <w:tcPr>
            <w:tcW w:w="1650" w:type="dxa"/>
            <w:tcBorders>
              <w:bottom w:val="nil"/>
            </w:tcBorders>
            <w:shd w:val="clear" w:color="auto" w:fill="auto"/>
          </w:tcPr>
          <w:p w:rsidR="00E974CB" w:rsidRPr="00F25E1E" w:rsidRDefault="004806CF">
            <w:pPr>
              <w:pStyle w:val="NormalIndented"/>
              <w:spacing w:after="0" w:line="240" w:lineRule="auto"/>
              <w:ind w:left="34"/>
              <w:jc w:val="center"/>
              <w:rPr>
                <w:rFonts w:asciiTheme="minorHAnsi" w:hAnsiTheme="minorHAnsi"/>
                <w:b/>
                <w:color w:val="auto"/>
              </w:rPr>
            </w:pPr>
            <w:r w:rsidRPr="00F25E1E">
              <w:rPr>
                <w:rFonts w:asciiTheme="minorHAnsi" w:hAnsiTheme="minorHAnsi"/>
                <w:b/>
                <w:color w:val="auto"/>
                <w:sz w:val="17"/>
              </w:rPr>
              <w:t>2019-20</w:t>
            </w:r>
          </w:p>
        </w:tc>
      </w:tr>
      <w:tr w:rsidR="00E974CB" w:rsidRPr="00F25E1E">
        <w:trPr>
          <w:trHeight w:hRule="exact" w:val="23"/>
        </w:trPr>
        <w:tc>
          <w:tcPr>
            <w:tcW w:w="1512" w:type="dxa"/>
            <w:tcBorders>
              <w:top w:val="nil"/>
              <w:bottom w:val="nil"/>
            </w:tcBorders>
            <w:shd w:val="clear" w:color="auto" w:fill="auto"/>
          </w:tcPr>
          <w:p w:rsidR="00E974CB" w:rsidRPr="00F25E1E" w:rsidRDefault="00E974CB">
            <w:pPr>
              <w:pStyle w:val="NormalIndented"/>
              <w:spacing w:after="0" w:line="240" w:lineRule="auto"/>
              <w:rPr>
                <w:rFonts w:ascii="Helvetica" w:hAnsi="Helvetica"/>
                <w:i/>
                <w:color w:val="auto"/>
                <w:sz w:val="17"/>
              </w:rPr>
            </w:pPr>
          </w:p>
        </w:tc>
        <w:tc>
          <w:tcPr>
            <w:tcW w:w="7933" w:type="dxa"/>
            <w:gridSpan w:val="4"/>
            <w:tcBorders>
              <w:top w:val="nil"/>
              <w:bottom w:val="nil"/>
            </w:tcBorders>
            <w:shd w:val="clear" w:color="auto" w:fill="auto"/>
          </w:tcPr>
          <w:p w:rsidR="00E974CB" w:rsidRPr="00F25E1E" w:rsidRDefault="00E974CB">
            <w:pPr>
              <w:pStyle w:val="NormalIndented"/>
              <w:spacing w:after="0" w:line="240" w:lineRule="auto"/>
              <w:rPr>
                <w:rFonts w:ascii="Helvetica" w:hAnsi="Helvetica"/>
                <w:i/>
                <w:color w:val="auto"/>
                <w:sz w:val="17"/>
              </w:rPr>
            </w:pPr>
          </w:p>
        </w:tc>
      </w:tr>
      <w:tr w:rsidR="003273EB" w:rsidRPr="00F25E1E">
        <w:trPr>
          <w:trHeight w:val="984"/>
        </w:trPr>
        <w:tc>
          <w:tcPr>
            <w:tcW w:w="1512" w:type="dxa"/>
            <w:tcBorders>
              <w:top w:val="nil"/>
              <w:bottom w:val="nil"/>
            </w:tcBorders>
            <w:shd w:val="clear" w:color="auto" w:fill="auto"/>
          </w:tcPr>
          <w:p w:rsidR="00E974CB" w:rsidRPr="00F25E1E" w:rsidRDefault="003273EB">
            <w:pPr>
              <w:pStyle w:val="NormalIndented"/>
              <w:spacing w:after="0" w:line="240" w:lineRule="auto"/>
              <w:rPr>
                <w:rFonts w:asciiTheme="minorHAnsi" w:hAnsiTheme="minorHAnsi"/>
                <w:i/>
                <w:color w:val="auto"/>
                <w:sz w:val="18"/>
              </w:rPr>
            </w:pPr>
            <w:r w:rsidRPr="00F25E1E">
              <w:rPr>
                <w:rFonts w:asciiTheme="minorHAnsi" w:hAnsiTheme="minorHAnsi"/>
                <w:color w:val="auto"/>
                <w:sz w:val="17"/>
                <w:szCs w:val="17"/>
              </w:rPr>
              <w:t>Objective 1: Enabling and engaging the private sector for development</w:t>
            </w:r>
          </w:p>
        </w:tc>
        <w:tc>
          <w:tcPr>
            <w:tcW w:w="2850" w:type="dxa"/>
            <w:tcBorders>
              <w:top w:val="nil"/>
              <w:bottom w:val="nil"/>
            </w:tcBorders>
            <w:shd w:val="clear" w:color="auto" w:fill="auto"/>
          </w:tcPr>
          <w:p w:rsidR="00E974CB" w:rsidRPr="00F25E1E" w:rsidRDefault="003273EB">
            <w:pPr>
              <w:pStyle w:val="NormalIndented"/>
              <w:spacing w:after="0" w:line="240" w:lineRule="auto"/>
              <w:rPr>
                <w:rFonts w:asciiTheme="minorHAnsi" w:hAnsiTheme="minorHAnsi"/>
                <w:i/>
                <w:color w:val="auto"/>
                <w:szCs w:val="20"/>
              </w:rPr>
            </w:pPr>
            <w:r w:rsidRPr="00F25E1E">
              <w:rPr>
                <w:rFonts w:eastAsia="Times New Roman"/>
                <w:iCs/>
                <w:color w:val="auto"/>
                <w:sz w:val="17"/>
                <w:szCs w:val="17"/>
              </w:rPr>
              <w:t>1.1 Value-for-money transport infrastructure demonstrated and enabled</w:t>
            </w:r>
          </w:p>
        </w:tc>
        <w:tc>
          <w:tcPr>
            <w:tcW w:w="1512" w:type="dxa"/>
            <w:tcBorders>
              <w:top w:val="nil"/>
              <w:bottom w:val="nil"/>
            </w:tcBorders>
            <w:shd w:val="clear" w:color="auto" w:fill="auto"/>
          </w:tcPr>
          <w:p w:rsidR="00E974CB" w:rsidRPr="00F25E1E" w:rsidRDefault="003273EB" w:rsidP="003273EB">
            <w:pPr>
              <w:pStyle w:val="NormalIndented"/>
              <w:spacing w:after="0" w:line="240" w:lineRule="auto"/>
              <w:ind w:left="33"/>
              <w:jc w:val="center"/>
              <w:rPr>
                <w:rFonts w:asciiTheme="minorHAnsi" w:hAnsiTheme="minorHAnsi"/>
                <w:i/>
                <w:color w:val="auto"/>
                <w:szCs w:val="20"/>
              </w:rPr>
            </w:pPr>
            <w:r w:rsidRPr="00F25E1E">
              <w:rPr>
                <w:rFonts w:asciiTheme="minorHAnsi" w:hAnsiTheme="minorHAnsi"/>
                <w:i/>
                <w:color w:val="auto"/>
                <w:sz w:val="17"/>
                <w:szCs w:val="20"/>
              </w:rPr>
              <w:t>100% construction complete; 170,000 passengers per day traffic volume; travel time from Ho Chi Minh to Long Xuyen reduced from 3 – 3.5 hours to 2.5 hours</w:t>
            </w:r>
          </w:p>
        </w:tc>
        <w:tc>
          <w:tcPr>
            <w:tcW w:w="1920" w:type="dxa"/>
            <w:tcBorders>
              <w:top w:val="nil"/>
              <w:bottom w:val="nil"/>
            </w:tcBorders>
            <w:shd w:val="clear" w:color="auto" w:fill="auto"/>
          </w:tcPr>
          <w:p w:rsidR="00E974CB" w:rsidRPr="00F25E1E" w:rsidRDefault="003273EB" w:rsidP="003273EB">
            <w:pPr>
              <w:pStyle w:val="NormalIndented"/>
              <w:spacing w:after="0" w:line="240" w:lineRule="auto"/>
              <w:jc w:val="center"/>
              <w:rPr>
                <w:rFonts w:asciiTheme="minorHAnsi" w:hAnsiTheme="minorHAnsi"/>
                <w:i/>
                <w:color w:val="auto"/>
                <w:szCs w:val="20"/>
              </w:rPr>
            </w:pPr>
            <w:r w:rsidRPr="00F25E1E">
              <w:rPr>
                <w:rFonts w:asciiTheme="minorHAnsi" w:hAnsiTheme="minorHAnsi"/>
                <w:i/>
                <w:color w:val="auto"/>
                <w:sz w:val="17"/>
                <w:szCs w:val="20"/>
              </w:rPr>
              <w:t>170,000 passengers per day traffic volume; travel time from Ho Chi Minh to Long Xuyen reduced from 3 – 3.5 hours to 2.5 hours</w:t>
            </w:r>
          </w:p>
        </w:tc>
        <w:tc>
          <w:tcPr>
            <w:tcW w:w="1651" w:type="dxa"/>
            <w:tcBorders>
              <w:top w:val="nil"/>
              <w:bottom w:val="nil"/>
            </w:tcBorders>
            <w:shd w:val="clear" w:color="auto" w:fill="auto"/>
          </w:tcPr>
          <w:p w:rsidR="00E974CB" w:rsidRPr="00F25E1E" w:rsidRDefault="003273EB" w:rsidP="003016C3">
            <w:pPr>
              <w:pStyle w:val="NormalIndented"/>
              <w:spacing w:after="0" w:line="240" w:lineRule="auto"/>
              <w:jc w:val="center"/>
              <w:rPr>
                <w:rFonts w:asciiTheme="minorHAnsi" w:hAnsiTheme="minorHAnsi"/>
                <w:i/>
                <w:color w:val="auto"/>
                <w:szCs w:val="20"/>
              </w:rPr>
            </w:pPr>
            <w:r w:rsidRPr="00F25E1E">
              <w:rPr>
                <w:rFonts w:asciiTheme="minorHAnsi" w:hAnsiTheme="minorHAnsi"/>
                <w:i/>
                <w:color w:val="auto"/>
                <w:sz w:val="17"/>
                <w:szCs w:val="20"/>
              </w:rPr>
              <w:t>170,000 passengers benefit daily from project; five million residents of An Giang, Can Tho and Dong Thap provinces benefit from improved regional trade</w:t>
            </w:r>
          </w:p>
        </w:tc>
      </w:tr>
      <w:tr w:rsidR="003273EB" w:rsidRPr="00F25E1E" w:rsidTr="003273EB">
        <w:trPr>
          <w:trHeight w:val="614"/>
        </w:trPr>
        <w:tc>
          <w:tcPr>
            <w:tcW w:w="1512" w:type="dxa"/>
            <w:tcBorders>
              <w:top w:val="nil"/>
              <w:bottom w:val="nil"/>
            </w:tcBorders>
            <w:shd w:val="clear" w:color="auto" w:fill="auto"/>
          </w:tcPr>
          <w:p w:rsidR="00E974CB" w:rsidRPr="00F25E1E" w:rsidRDefault="003273EB">
            <w:pPr>
              <w:pStyle w:val="NormalIndented"/>
              <w:spacing w:after="0" w:line="240" w:lineRule="auto"/>
              <w:rPr>
                <w:rFonts w:asciiTheme="minorHAnsi" w:hAnsiTheme="minorHAnsi"/>
                <w:i/>
                <w:color w:val="auto"/>
                <w:sz w:val="18"/>
              </w:rPr>
            </w:pPr>
            <w:r w:rsidRPr="00F25E1E">
              <w:rPr>
                <w:rFonts w:asciiTheme="minorHAnsi" w:hAnsiTheme="minorHAnsi"/>
                <w:color w:val="auto"/>
                <w:sz w:val="17"/>
                <w:szCs w:val="17"/>
              </w:rPr>
              <w:t>Objective 1: Enabling and engaging the private sector for development</w:t>
            </w:r>
          </w:p>
        </w:tc>
        <w:tc>
          <w:tcPr>
            <w:tcW w:w="2850" w:type="dxa"/>
            <w:tcBorders>
              <w:top w:val="nil"/>
              <w:bottom w:val="nil"/>
            </w:tcBorders>
            <w:shd w:val="clear" w:color="auto" w:fill="auto"/>
          </w:tcPr>
          <w:p w:rsidR="00E974CB" w:rsidRPr="00F25E1E" w:rsidRDefault="003273EB">
            <w:pPr>
              <w:pStyle w:val="NormalIndented"/>
              <w:spacing w:after="0" w:line="240" w:lineRule="auto"/>
              <w:rPr>
                <w:rFonts w:asciiTheme="minorHAnsi" w:hAnsiTheme="minorHAnsi"/>
                <w:i/>
                <w:color w:val="auto"/>
                <w:szCs w:val="20"/>
              </w:rPr>
            </w:pPr>
            <w:r w:rsidRPr="00F25E1E">
              <w:rPr>
                <w:rFonts w:eastAsia="Times New Roman"/>
                <w:iCs/>
                <w:color w:val="auto"/>
                <w:sz w:val="17"/>
                <w:szCs w:val="17"/>
              </w:rPr>
              <w:t>1.2 Promotion of innovative enterprises to enhance service delivery</w:t>
            </w:r>
          </w:p>
        </w:tc>
        <w:tc>
          <w:tcPr>
            <w:tcW w:w="1512" w:type="dxa"/>
            <w:tcBorders>
              <w:top w:val="nil"/>
              <w:bottom w:val="nil"/>
            </w:tcBorders>
            <w:shd w:val="clear" w:color="auto" w:fill="auto"/>
          </w:tcPr>
          <w:p w:rsidR="00E974CB" w:rsidRPr="00F25E1E" w:rsidRDefault="003273EB" w:rsidP="003273EB">
            <w:pPr>
              <w:pStyle w:val="NormalIndented"/>
              <w:spacing w:after="0" w:line="240" w:lineRule="auto"/>
              <w:ind w:left="33"/>
              <w:jc w:val="center"/>
              <w:rPr>
                <w:rFonts w:asciiTheme="minorHAnsi" w:hAnsiTheme="minorHAnsi"/>
                <w:i/>
                <w:color w:val="auto"/>
                <w:szCs w:val="20"/>
              </w:rPr>
            </w:pPr>
            <w:r w:rsidRPr="00F25E1E">
              <w:rPr>
                <w:rFonts w:asciiTheme="minorHAnsi" w:hAnsiTheme="minorHAnsi"/>
                <w:i/>
                <w:color w:val="auto"/>
                <w:sz w:val="17"/>
                <w:szCs w:val="20"/>
              </w:rPr>
              <w:t>24 enterprises receiving grants; 14 enterprises raising early stage finance</w:t>
            </w:r>
          </w:p>
        </w:tc>
        <w:tc>
          <w:tcPr>
            <w:tcW w:w="1920" w:type="dxa"/>
            <w:tcBorders>
              <w:top w:val="nil"/>
              <w:bottom w:val="nil"/>
            </w:tcBorders>
            <w:shd w:val="clear" w:color="auto" w:fill="auto"/>
          </w:tcPr>
          <w:p w:rsidR="00E974CB" w:rsidRPr="00F25E1E" w:rsidRDefault="003273EB" w:rsidP="003273EB">
            <w:pPr>
              <w:pStyle w:val="NormalIndented"/>
              <w:spacing w:after="0" w:line="240" w:lineRule="auto"/>
              <w:ind w:left="33"/>
              <w:jc w:val="center"/>
              <w:rPr>
                <w:rFonts w:asciiTheme="minorHAnsi" w:hAnsiTheme="minorHAnsi"/>
                <w:i/>
                <w:color w:val="auto"/>
                <w:szCs w:val="20"/>
              </w:rPr>
            </w:pPr>
            <w:r w:rsidRPr="00F25E1E">
              <w:rPr>
                <w:rFonts w:asciiTheme="minorHAnsi" w:hAnsiTheme="minorHAnsi"/>
                <w:i/>
                <w:color w:val="auto"/>
                <w:sz w:val="17"/>
                <w:szCs w:val="20"/>
              </w:rPr>
              <w:t>14 enterprises raising early stage finance</w:t>
            </w:r>
          </w:p>
        </w:tc>
        <w:tc>
          <w:tcPr>
            <w:tcW w:w="1651" w:type="dxa"/>
            <w:tcBorders>
              <w:top w:val="nil"/>
              <w:bottom w:val="nil"/>
            </w:tcBorders>
            <w:shd w:val="clear" w:color="auto" w:fill="auto"/>
          </w:tcPr>
          <w:p w:rsidR="00E974CB" w:rsidRPr="00F25E1E" w:rsidRDefault="003273EB" w:rsidP="003016C3">
            <w:pPr>
              <w:pStyle w:val="NormalIndented"/>
              <w:spacing w:after="0" w:line="240" w:lineRule="auto"/>
              <w:jc w:val="center"/>
              <w:rPr>
                <w:rFonts w:asciiTheme="minorHAnsi" w:hAnsiTheme="minorHAnsi"/>
                <w:i/>
                <w:color w:val="auto"/>
                <w:szCs w:val="20"/>
              </w:rPr>
            </w:pPr>
            <w:r w:rsidRPr="00F25E1E">
              <w:rPr>
                <w:rFonts w:asciiTheme="minorHAnsi" w:hAnsiTheme="minorHAnsi"/>
                <w:i/>
                <w:color w:val="auto"/>
                <w:sz w:val="17"/>
                <w:szCs w:val="20"/>
              </w:rPr>
              <w:t>Service delivery improved; 500 new jobs created; additional sales revenue generated</w:t>
            </w:r>
          </w:p>
        </w:tc>
      </w:tr>
      <w:tr w:rsidR="003273EB" w:rsidRPr="00F25E1E" w:rsidTr="003273EB">
        <w:trPr>
          <w:trHeight w:val="614"/>
        </w:trPr>
        <w:tc>
          <w:tcPr>
            <w:tcW w:w="1512" w:type="dxa"/>
            <w:tcBorders>
              <w:top w:val="nil"/>
              <w:bottom w:val="nil"/>
            </w:tcBorders>
            <w:shd w:val="clear" w:color="auto" w:fill="auto"/>
          </w:tcPr>
          <w:p w:rsidR="003273EB" w:rsidRPr="00F25E1E" w:rsidRDefault="003273EB" w:rsidP="003273EB">
            <w:pPr>
              <w:pStyle w:val="NormalIndented"/>
              <w:spacing w:after="0" w:line="240" w:lineRule="auto"/>
              <w:rPr>
                <w:rFonts w:asciiTheme="minorHAnsi" w:hAnsiTheme="minorHAnsi"/>
                <w:color w:val="auto"/>
                <w:sz w:val="17"/>
                <w:szCs w:val="17"/>
              </w:rPr>
            </w:pPr>
            <w:r w:rsidRPr="00F25E1E">
              <w:rPr>
                <w:rFonts w:asciiTheme="minorHAnsi" w:hAnsiTheme="minorHAnsi"/>
                <w:color w:val="auto"/>
                <w:sz w:val="17"/>
                <w:szCs w:val="17"/>
              </w:rPr>
              <w:t>Objective 2: Assisting the development and employment of a highly skilled workforce</w:t>
            </w:r>
          </w:p>
        </w:tc>
        <w:tc>
          <w:tcPr>
            <w:tcW w:w="2850" w:type="dxa"/>
            <w:tcBorders>
              <w:top w:val="nil"/>
              <w:bottom w:val="nil"/>
            </w:tcBorders>
            <w:shd w:val="clear" w:color="auto" w:fill="auto"/>
          </w:tcPr>
          <w:p w:rsidR="003273EB" w:rsidRPr="00F25E1E" w:rsidRDefault="003273EB" w:rsidP="003273EB">
            <w:pPr>
              <w:pStyle w:val="NormalIndented"/>
              <w:spacing w:after="0" w:line="240" w:lineRule="auto"/>
              <w:rPr>
                <w:rFonts w:eastAsia="Times New Roman"/>
                <w:iCs/>
                <w:color w:val="auto"/>
                <w:sz w:val="17"/>
                <w:szCs w:val="17"/>
              </w:rPr>
            </w:pPr>
            <w:r w:rsidRPr="00F25E1E">
              <w:rPr>
                <w:rFonts w:eastAsia="Times New Roman"/>
                <w:iCs/>
                <w:color w:val="auto"/>
                <w:sz w:val="17"/>
                <w:szCs w:val="17"/>
              </w:rPr>
              <w:t>2.1 Male and female alumni use skills and knowledge to make positive contributions to selected priority areas</w:t>
            </w:r>
          </w:p>
        </w:tc>
        <w:tc>
          <w:tcPr>
            <w:tcW w:w="1512"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80% of alumni employed in position relevant to award skills after 3 years</w:t>
            </w:r>
          </w:p>
        </w:tc>
        <w:tc>
          <w:tcPr>
            <w:tcW w:w="1920"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80% of alumni employed in position relevant to award skills after 3 years</w:t>
            </w:r>
          </w:p>
        </w:tc>
        <w:tc>
          <w:tcPr>
            <w:tcW w:w="1651" w:type="dxa"/>
            <w:tcBorders>
              <w:top w:val="nil"/>
              <w:bottom w:val="nil"/>
            </w:tcBorders>
            <w:shd w:val="clear" w:color="auto" w:fill="auto"/>
          </w:tcPr>
          <w:p w:rsidR="003273EB" w:rsidRPr="00F25E1E" w:rsidRDefault="003273EB" w:rsidP="003016C3">
            <w:pPr>
              <w:pStyle w:val="NormalIndented"/>
              <w:spacing w:after="0" w:line="240" w:lineRule="auto"/>
              <w:jc w:val="center"/>
              <w:rPr>
                <w:rFonts w:asciiTheme="minorHAnsi" w:hAnsiTheme="minorHAnsi"/>
                <w:i/>
                <w:color w:val="auto"/>
                <w:sz w:val="17"/>
                <w:szCs w:val="20"/>
              </w:rPr>
            </w:pPr>
            <w:r w:rsidRPr="00F25E1E">
              <w:rPr>
                <w:rFonts w:asciiTheme="minorHAnsi" w:hAnsiTheme="minorHAnsi"/>
                <w:i/>
                <w:color w:val="auto"/>
                <w:sz w:val="17"/>
                <w:szCs w:val="20"/>
              </w:rPr>
              <w:t>85% of alumni employed in position relevant to award skills after 3 years</w:t>
            </w:r>
          </w:p>
        </w:tc>
      </w:tr>
      <w:tr w:rsidR="003273EB" w:rsidRPr="00F25E1E" w:rsidTr="003273EB">
        <w:trPr>
          <w:trHeight w:val="614"/>
        </w:trPr>
        <w:tc>
          <w:tcPr>
            <w:tcW w:w="1632" w:type="dxa"/>
            <w:tcBorders>
              <w:top w:val="nil"/>
              <w:bottom w:val="nil"/>
            </w:tcBorders>
            <w:shd w:val="clear" w:color="auto" w:fill="auto"/>
          </w:tcPr>
          <w:p w:rsidR="003273EB" w:rsidRPr="00F25E1E" w:rsidRDefault="003273EB" w:rsidP="003273EB">
            <w:pPr>
              <w:pStyle w:val="NormalIndented"/>
              <w:spacing w:after="0" w:line="240" w:lineRule="auto"/>
              <w:rPr>
                <w:rFonts w:asciiTheme="minorHAnsi" w:hAnsiTheme="minorHAnsi"/>
                <w:color w:val="auto"/>
                <w:sz w:val="17"/>
                <w:szCs w:val="17"/>
              </w:rPr>
            </w:pPr>
            <w:r w:rsidRPr="00F25E1E">
              <w:rPr>
                <w:rFonts w:asciiTheme="minorHAnsi" w:hAnsiTheme="minorHAnsi"/>
                <w:color w:val="auto"/>
                <w:sz w:val="17"/>
                <w:szCs w:val="17"/>
              </w:rPr>
              <w:t>Objective 2: Assisting the development and employment of a highly skilled workforce</w:t>
            </w:r>
          </w:p>
        </w:tc>
        <w:tc>
          <w:tcPr>
            <w:tcW w:w="2819" w:type="dxa"/>
            <w:tcBorders>
              <w:top w:val="nil"/>
              <w:bottom w:val="nil"/>
            </w:tcBorders>
            <w:shd w:val="clear" w:color="auto" w:fill="auto"/>
          </w:tcPr>
          <w:p w:rsidR="003273EB" w:rsidRPr="00F25E1E" w:rsidRDefault="003273EB" w:rsidP="003273EB">
            <w:pPr>
              <w:pStyle w:val="NormalIndented"/>
              <w:spacing w:after="0" w:line="240" w:lineRule="auto"/>
              <w:rPr>
                <w:rFonts w:eastAsia="Times New Roman"/>
                <w:iCs/>
                <w:color w:val="auto"/>
                <w:sz w:val="17"/>
                <w:szCs w:val="17"/>
              </w:rPr>
            </w:pPr>
            <w:r w:rsidRPr="00F25E1E">
              <w:rPr>
                <w:rFonts w:eastAsia="Times New Roman"/>
                <w:iCs/>
                <w:color w:val="auto"/>
                <w:sz w:val="17"/>
                <w:szCs w:val="17"/>
              </w:rPr>
              <w:t>2.2 Stronger workplace enabling environments for improved skills utilisation in selected priority areas.</w:t>
            </w:r>
          </w:p>
        </w:tc>
        <w:tc>
          <w:tcPr>
            <w:tcW w:w="1486"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50 mid-career professionals (including alumni) and 2 targeted institutions demonstrate awareness of gender equitable leadership models</w:t>
            </w:r>
          </w:p>
        </w:tc>
        <w:tc>
          <w:tcPr>
            <w:tcW w:w="1889"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50 mid-career professionals (including alumni) undertake actions within their workplaces that demonstrate awareness of gender equitable leadership models</w:t>
            </w:r>
          </w:p>
        </w:tc>
        <w:tc>
          <w:tcPr>
            <w:tcW w:w="1619" w:type="dxa"/>
            <w:tcBorders>
              <w:top w:val="nil"/>
              <w:bottom w:val="nil"/>
            </w:tcBorders>
            <w:shd w:val="clear" w:color="auto" w:fill="auto"/>
          </w:tcPr>
          <w:p w:rsidR="003273EB" w:rsidRPr="00F25E1E" w:rsidRDefault="003273EB" w:rsidP="003016C3">
            <w:pPr>
              <w:pStyle w:val="NormalIndented"/>
              <w:spacing w:after="0" w:line="240" w:lineRule="auto"/>
              <w:jc w:val="center"/>
              <w:rPr>
                <w:rFonts w:asciiTheme="minorHAnsi" w:hAnsiTheme="minorHAnsi"/>
                <w:i/>
                <w:color w:val="auto"/>
                <w:sz w:val="17"/>
                <w:szCs w:val="20"/>
              </w:rPr>
            </w:pPr>
            <w:r w:rsidRPr="00F25E1E">
              <w:rPr>
                <w:rFonts w:asciiTheme="minorHAnsi" w:hAnsiTheme="minorHAnsi"/>
                <w:i/>
                <w:color w:val="auto"/>
                <w:sz w:val="17"/>
                <w:szCs w:val="20"/>
              </w:rPr>
              <w:t>Effective gender equitable leadership models implemented by professionals of targeted institutions</w:t>
            </w:r>
          </w:p>
        </w:tc>
      </w:tr>
      <w:tr w:rsidR="003273EB" w:rsidRPr="00F25E1E" w:rsidTr="003273EB">
        <w:trPr>
          <w:trHeight w:val="614"/>
        </w:trPr>
        <w:tc>
          <w:tcPr>
            <w:tcW w:w="1632" w:type="dxa"/>
            <w:tcBorders>
              <w:top w:val="nil"/>
              <w:bottom w:val="nil"/>
            </w:tcBorders>
            <w:shd w:val="clear" w:color="auto" w:fill="auto"/>
          </w:tcPr>
          <w:p w:rsidR="003273EB" w:rsidRPr="00F25E1E" w:rsidRDefault="003273EB" w:rsidP="003273EB">
            <w:pPr>
              <w:pStyle w:val="NormalIndented"/>
              <w:spacing w:after="0" w:line="240" w:lineRule="auto"/>
              <w:rPr>
                <w:rFonts w:asciiTheme="minorHAnsi" w:hAnsiTheme="minorHAnsi"/>
                <w:color w:val="auto"/>
                <w:sz w:val="17"/>
                <w:szCs w:val="17"/>
              </w:rPr>
            </w:pPr>
            <w:r w:rsidRPr="00F25E1E">
              <w:rPr>
                <w:rFonts w:asciiTheme="minorHAnsi" w:hAnsiTheme="minorHAnsi"/>
                <w:color w:val="auto"/>
                <w:sz w:val="17"/>
                <w:szCs w:val="17"/>
              </w:rPr>
              <w:t>Objective 3: Promoting women’s economic empowerment, including ethnic minorities</w:t>
            </w:r>
          </w:p>
        </w:tc>
        <w:tc>
          <w:tcPr>
            <w:tcW w:w="2819" w:type="dxa"/>
            <w:tcBorders>
              <w:top w:val="nil"/>
              <w:bottom w:val="nil"/>
            </w:tcBorders>
            <w:shd w:val="clear" w:color="auto" w:fill="auto"/>
          </w:tcPr>
          <w:p w:rsidR="003273EB" w:rsidRPr="00F25E1E" w:rsidRDefault="003273EB" w:rsidP="003273EB">
            <w:pPr>
              <w:pStyle w:val="NormalIndented"/>
              <w:spacing w:after="0" w:line="240" w:lineRule="auto"/>
              <w:rPr>
                <w:rFonts w:eastAsia="Times New Roman"/>
                <w:iCs/>
                <w:color w:val="auto"/>
                <w:sz w:val="17"/>
                <w:szCs w:val="17"/>
              </w:rPr>
            </w:pPr>
            <w:r w:rsidRPr="00F25E1E">
              <w:rPr>
                <w:rFonts w:eastAsia="Times New Roman"/>
                <w:iCs/>
                <w:color w:val="auto"/>
                <w:sz w:val="17"/>
                <w:szCs w:val="17"/>
              </w:rPr>
              <w:t>3.1 Rural women’s livelihood security improved</w:t>
            </w:r>
          </w:p>
        </w:tc>
        <w:tc>
          <w:tcPr>
            <w:tcW w:w="1486"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Greater awareness of livelihood opportunities among women; acquisition of knowledge and skills</w:t>
            </w:r>
          </w:p>
        </w:tc>
        <w:tc>
          <w:tcPr>
            <w:tcW w:w="1889" w:type="dxa"/>
            <w:tcBorders>
              <w:top w:val="nil"/>
              <w:bottom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Women’s income options diversified</w:t>
            </w:r>
          </w:p>
        </w:tc>
        <w:tc>
          <w:tcPr>
            <w:tcW w:w="1619" w:type="dxa"/>
            <w:tcBorders>
              <w:top w:val="nil"/>
              <w:bottom w:val="nil"/>
            </w:tcBorders>
            <w:shd w:val="clear" w:color="auto" w:fill="auto"/>
          </w:tcPr>
          <w:p w:rsidR="003273EB" w:rsidRPr="00F25E1E" w:rsidRDefault="003273EB" w:rsidP="003016C3">
            <w:pPr>
              <w:pStyle w:val="NormalIndented"/>
              <w:spacing w:after="0" w:line="240" w:lineRule="auto"/>
              <w:jc w:val="center"/>
              <w:rPr>
                <w:rFonts w:asciiTheme="minorHAnsi" w:hAnsiTheme="minorHAnsi"/>
                <w:i/>
                <w:color w:val="auto"/>
                <w:sz w:val="17"/>
                <w:szCs w:val="20"/>
              </w:rPr>
            </w:pPr>
            <w:r w:rsidRPr="00F25E1E">
              <w:rPr>
                <w:rFonts w:asciiTheme="minorHAnsi" w:hAnsiTheme="minorHAnsi"/>
                <w:i/>
                <w:color w:val="auto"/>
                <w:sz w:val="17"/>
                <w:szCs w:val="20"/>
              </w:rPr>
              <w:t>Increase in rural women’s farm/nonfarm incomes</w:t>
            </w:r>
          </w:p>
        </w:tc>
      </w:tr>
      <w:tr w:rsidR="003273EB" w:rsidRPr="00F25E1E" w:rsidTr="003273EB">
        <w:trPr>
          <w:trHeight w:val="614"/>
        </w:trPr>
        <w:tc>
          <w:tcPr>
            <w:tcW w:w="1632" w:type="dxa"/>
            <w:tcBorders>
              <w:top w:val="nil"/>
            </w:tcBorders>
            <w:shd w:val="clear" w:color="auto" w:fill="auto"/>
          </w:tcPr>
          <w:p w:rsidR="003273EB" w:rsidRPr="00F25E1E" w:rsidRDefault="003273EB">
            <w:pPr>
              <w:pStyle w:val="NormalIndented"/>
              <w:spacing w:after="0" w:line="240" w:lineRule="auto"/>
              <w:rPr>
                <w:rFonts w:asciiTheme="minorHAnsi" w:hAnsiTheme="minorHAnsi"/>
                <w:color w:val="auto"/>
                <w:sz w:val="17"/>
                <w:szCs w:val="17"/>
              </w:rPr>
            </w:pPr>
            <w:r w:rsidRPr="00F25E1E">
              <w:rPr>
                <w:rFonts w:asciiTheme="minorHAnsi" w:hAnsiTheme="minorHAnsi"/>
                <w:color w:val="auto"/>
                <w:sz w:val="17"/>
                <w:szCs w:val="17"/>
              </w:rPr>
              <w:t>Objective 3: Promoting women’s economic empowerment, including ethnic minorities</w:t>
            </w:r>
          </w:p>
        </w:tc>
        <w:tc>
          <w:tcPr>
            <w:tcW w:w="2791" w:type="dxa"/>
            <w:tcBorders>
              <w:top w:val="nil"/>
            </w:tcBorders>
            <w:shd w:val="clear" w:color="auto" w:fill="auto"/>
          </w:tcPr>
          <w:p w:rsidR="003273EB" w:rsidRPr="00F25E1E" w:rsidRDefault="003273EB">
            <w:pPr>
              <w:pStyle w:val="NormalIndented"/>
              <w:spacing w:after="0" w:line="240" w:lineRule="auto"/>
              <w:rPr>
                <w:rFonts w:eastAsia="Times New Roman"/>
                <w:iCs/>
                <w:color w:val="auto"/>
                <w:sz w:val="17"/>
                <w:szCs w:val="17"/>
              </w:rPr>
            </w:pPr>
            <w:r w:rsidRPr="00F25E1E">
              <w:rPr>
                <w:rFonts w:eastAsia="Times New Roman"/>
                <w:iCs/>
                <w:color w:val="auto"/>
                <w:sz w:val="17"/>
                <w:szCs w:val="17"/>
              </w:rPr>
              <w:t>3.2 Women’s empowerment</w:t>
            </w:r>
          </w:p>
        </w:tc>
        <w:tc>
          <w:tcPr>
            <w:tcW w:w="1491" w:type="dxa"/>
            <w:tcBorders>
              <w:top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Awareness of mechanisms to improve women’s participation and leadership</w:t>
            </w:r>
          </w:p>
        </w:tc>
        <w:tc>
          <w:tcPr>
            <w:tcW w:w="1881" w:type="dxa"/>
            <w:tcBorders>
              <w:top w:val="nil"/>
            </w:tcBorders>
            <w:shd w:val="clear" w:color="auto" w:fill="auto"/>
          </w:tcPr>
          <w:p w:rsidR="003273EB" w:rsidRPr="00F25E1E" w:rsidRDefault="003273EB" w:rsidP="003273EB">
            <w:pPr>
              <w:pStyle w:val="NormalIndented"/>
              <w:spacing w:after="0" w:line="240" w:lineRule="auto"/>
              <w:ind w:left="33"/>
              <w:jc w:val="center"/>
              <w:rPr>
                <w:rFonts w:asciiTheme="minorHAnsi" w:hAnsiTheme="minorHAnsi"/>
                <w:i/>
                <w:color w:val="auto"/>
                <w:sz w:val="17"/>
                <w:szCs w:val="20"/>
              </w:rPr>
            </w:pPr>
            <w:r w:rsidRPr="00F25E1E">
              <w:rPr>
                <w:rFonts w:asciiTheme="minorHAnsi" w:hAnsiTheme="minorHAnsi"/>
                <w:i/>
                <w:color w:val="auto"/>
                <w:sz w:val="17"/>
                <w:szCs w:val="20"/>
              </w:rPr>
              <w:t>Greater opportunities for women’s voice and empowerment realised</w:t>
            </w:r>
          </w:p>
        </w:tc>
        <w:tc>
          <w:tcPr>
            <w:tcW w:w="1650" w:type="dxa"/>
            <w:tcBorders>
              <w:top w:val="nil"/>
            </w:tcBorders>
            <w:shd w:val="clear" w:color="auto" w:fill="auto"/>
          </w:tcPr>
          <w:p w:rsidR="003273EB" w:rsidRPr="00F25E1E" w:rsidRDefault="003273EB" w:rsidP="003016C3">
            <w:pPr>
              <w:pStyle w:val="NormalIndented"/>
              <w:spacing w:after="0" w:line="240" w:lineRule="auto"/>
              <w:jc w:val="center"/>
              <w:rPr>
                <w:rFonts w:asciiTheme="minorHAnsi" w:hAnsiTheme="minorHAnsi"/>
                <w:i/>
                <w:color w:val="auto"/>
                <w:sz w:val="17"/>
                <w:szCs w:val="20"/>
              </w:rPr>
            </w:pPr>
            <w:r w:rsidRPr="00F25E1E">
              <w:rPr>
                <w:rFonts w:asciiTheme="minorHAnsi" w:hAnsiTheme="minorHAnsi"/>
                <w:i/>
                <w:color w:val="auto"/>
                <w:sz w:val="17"/>
                <w:szCs w:val="20"/>
              </w:rPr>
              <w:t>Evidence of informal and formal community level decisions more influenced by women’s voice</w:t>
            </w:r>
          </w:p>
        </w:tc>
      </w:tr>
    </w:tbl>
    <w:p w:rsidR="00E974CB" w:rsidRPr="00F25E1E" w:rsidRDefault="00E974CB">
      <w:pPr>
        <w:spacing w:after="120" w:line="280" w:lineRule="exact"/>
        <w:rPr>
          <w:rFonts w:ascii="Franklin Gothic Book" w:eastAsia="Times New Roman" w:hAnsi="Franklin Gothic Book"/>
          <w:color w:val="auto"/>
          <w:sz w:val="21"/>
        </w:rPr>
      </w:pPr>
    </w:p>
    <w:p w:rsidR="00E974CB" w:rsidRDefault="004806CF">
      <w:pPr>
        <w:suppressAutoHyphens w:val="0"/>
        <w:spacing w:before="0" w:after="120" w:line="440" w:lineRule="atLeast"/>
        <w:rPr>
          <w:rFonts w:ascii="Franklin Gothic Book" w:eastAsia="Times New Roman" w:hAnsi="Franklin Gothic Book"/>
          <w:sz w:val="21"/>
        </w:rPr>
      </w:pPr>
      <w:r>
        <w:br w:type="page"/>
      </w:r>
    </w:p>
    <w:p w:rsidR="00E974CB" w:rsidRPr="00F25E1E" w:rsidRDefault="004806CF">
      <w:pPr>
        <w:pStyle w:val="Subtitle"/>
        <w:rPr>
          <w:color w:val="auto"/>
        </w:rPr>
      </w:pPr>
      <w:r w:rsidRPr="00F25E1E">
        <w:rPr>
          <w:color w:val="auto"/>
        </w:rPr>
        <w:t>Annex C - Evaluation Planning</w:t>
      </w:r>
    </w:p>
    <w:p w:rsidR="00E974CB" w:rsidRPr="00F25E1E" w:rsidRDefault="004806CF">
      <w:pPr>
        <w:rPr>
          <w:b/>
          <w:color w:val="auto"/>
          <w:sz w:val="24"/>
        </w:rPr>
      </w:pPr>
      <w:r w:rsidRPr="00F25E1E">
        <w:rPr>
          <w:b/>
          <w:color w:val="auto"/>
          <w:sz w:val="24"/>
        </w:rPr>
        <w:t xml:space="preserve">List of evaluations completed in the reporting period </w:t>
      </w:r>
    </w:p>
    <w:tbl>
      <w:tblPr>
        <w:tblStyle w:val="APPR"/>
        <w:tblW w:w="10344" w:type="dxa"/>
        <w:tblLook w:val="04A0" w:firstRow="1" w:lastRow="0" w:firstColumn="1" w:lastColumn="0" w:noHBand="0" w:noVBand="1"/>
      </w:tblPr>
      <w:tblGrid>
        <w:gridCol w:w="2127"/>
        <w:gridCol w:w="1984"/>
        <w:gridCol w:w="1134"/>
        <w:gridCol w:w="1843"/>
        <w:gridCol w:w="1700"/>
        <w:gridCol w:w="1556"/>
      </w:tblGrid>
      <w:tr w:rsidR="00E974CB" w:rsidRPr="00F25E1E" w:rsidTr="00B04ABE">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Investment number and name </w:t>
            </w:r>
          </w:p>
          <w:p w:rsidR="00E974CB" w:rsidRPr="00F25E1E" w:rsidRDefault="004806CF">
            <w:pPr>
              <w:keepLines/>
              <w:spacing w:after="0" w:line="200" w:lineRule="atLeast"/>
              <w:rPr>
                <w:rFonts w:asciiTheme="minorHAnsi" w:eastAsia="Times New Roman" w:hAnsiTheme="minorHAnsi"/>
                <w:b w:val="0"/>
                <w:iCs/>
                <w:color w:val="auto"/>
                <w:szCs w:val="17"/>
              </w:rPr>
            </w:pPr>
            <w:r w:rsidRPr="00F25E1E">
              <w:rPr>
                <w:rFonts w:eastAsia="Times New Roman"/>
                <w:iCs/>
                <w:color w:val="auto"/>
                <w:sz w:val="17"/>
                <w:szCs w:val="17"/>
              </w:rPr>
              <w:t xml:space="preserve">(if applicable) </w:t>
            </w:r>
          </w:p>
        </w:tc>
        <w:tc>
          <w:tcPr>
            <w:tcW w:w="1984"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Name of evaluation</w:t>
            </w:r>
          </w:p>
        </w:tc>
        <w:tc>
          <w:tcPr>
            <w:tcW w:w="1134"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Date completed</w:t>
            </w:r>
          </w:p>
        </w:tc>
        <w:tc>
          <w:tcPr>
            <w:tcW w:w="1843"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Date Evaluation report Uploaded into AidWorks</w:t>
            </w:r>
          </w:p>
        </w:tc>
        <w:tc>
          <w:tcPr>
            <w:tcW w:w="1700"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Date Management response uploaded into AidWorks</w:t>
            </w:r>
          </w:p>
        </w:tc>
        <w:tc>
          <w:tcPr>
            <w:tcW w:w="1556" w:type="dxa"/>
            <w:tcBorders>
              <w:top w:val="none" w:sz="0" w:space="0" w:color="auto"/>
              <w:bottom w:val="none" w:sz="0" w:space="0" w:color="auto"/>
            </w:tcBorders>
            <w:shd w:val="clear" w:color="auto" w:fill="auto"/>
          </w:tcPr>
          <w:p w:rsidR="00E974CB" w:rsidRPr="00F25E1E" w:rsidRDefault="004806CF">
            <w:pPr>
              <w:keepLines/>
              <w:spacing w:after="0" w:line="200" w:lineRule="atLeast"/>
              <w:rPr>
                <w:rFonts w:asciiTheme="minorHAnsi" w:eastAsia="Times New Roman" w:hAnsiTheme="minorHAnsi"/>
                <w:iCs/>
                <w:color w:val="auto"/>
                <w:szCs w:val="17"/>
              </w:rPr>
            </w:pPr>
            <w:r w:rsidRPr="00F25E1E">
              <w:rPr>
                <w:rFonts w:eastAsia="Times New Roman"/>
                <w:iCs/>
                <w:color w:val="auto"/>
                <w:sz w:val="17"/>
                <w:szCs w:val="17"/>
              </w:rPr>
              <w:t>Published on website</w:t>
            </w:r>
          </w:p>
        </w:tc>
      </w:tr>
      <w:tr w:rsidR="00E974CB" w:rsidRPr="00F25E1E" w:rsidTr="00B04ABE">
        <w:tc>
          <w:tcPr>
            <w:tcW w:w="2127" w:type="dxa"/>
            <w:shd w:val="clear" w:color="auto" w:fill="auto"/>
          </w:tcPr>
          <w:p w:rsidR="00E974CB" w:rsidRPr="00F25E1E" w:rsidRDefault="004806CF">
            <w:pPr>
              <w:spacing w:after="0" w:line="240" w:lineRule="auto"/>
              <w:rPr>
                <w:rFonts w:asciiTheme="minorHAnsi" w:hAnsiTheme="minorHAnsi"/>
                <w:b/>
                <w:color w:val="auto"/>
                <w:szCs w:val="17"/>
              </w:rPr>
            </w:pPr>
            <w:r w:rsidRPr="00F25E1E">
              <w:rPr>
                <w:rFonts w:asciiTheme="minorHAnsi" w:hAnsiTheme="minorHAnsi"/>
                <w:color w:val="auto"/>
                <w:sz w:val="17"/>
                <w:szCs w:val="17"/>
              </w:rPr>
              <w:t xml:space="preserve">INJ577 Integrated Coastal Management </w:t>
            </w:r>
          </w:p>
        </w:tc>
        <w:tc>
          <w:tcPr>
            <w:tcW w:w="1984"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asciiTheme="minorHAnsi" w:hAnsiTheme="minorHAnsi"/>
                <w:color w:val="auto"/>
                <w:sz w:val="17"/>
                <w:szCs w:val="17"/>
              </w:rPr>
              <w:t xml:space="preserve">Final Evaluation </w:t>
            </w:r>
          </w:p>
        </w:tc>
        <w:tc>
          <w:tcPr>
            <w:tcW w:w="1134"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May 17 </w:t>
            </w:r>
          </w:p>
        </w:tc>
        <w:tc>
          <w:tcPr>
            <w:tcW w:w="1843" w:type="dxa"/>
            <w:shd w:val="clear" w:color="auto" w:fill="auto"/>
          </w:tcPr>
          <w:p w:rsidR="00E974CB" w:rsidRPr="00F25E1E" w:rsidRDefault="00347907">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03 </w:t>
            </w:r>
            <w:r w:rsidR="004806CF" w:rsidRPr="00F25E1E">
              <w:rPr>
                <w:rFonts w:eastAsia="Times New Roman"/>
                <w:iCs/>
                <w:color w:val="auto"/>
                <w:sz w:val="17"/>
                <w:szCs w:val="17"/>
              </w:rPr>
              <w:t xml:space="preserve">Aug 17 </w:t>
            </w:r>
          </w:p>
        </w:tc>
        <w:tc>
          <w:tcPr>
            <w:tcW w:w="1700" w:type="dxa"/>
            <w:shd w:val="clear" w:color="auto" w:fill="auto"/>
          </w:tcPr>
          <w:p w:rsidR="00E974CB" w:rsidRPr="00F25E1E" w:rsidRDefault="0053785D" w:rsidP="0053785D">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03 Aug 17 </w:t>
            </w:r>
          </w:p>
        </w:tc>
        <w:tc>
          <w:tcPr>
            <w:tcW w:w="1556" w:type="dxa"/>
            <w:shd w:val="clear" w:color="auto" w:fill="auto"/>
          </w:tcPr>
          <w:p w:rsidR="00E974CB" w:rsidRPr="00F25E1E" w:rsidRDefault="0053785D">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4 </w:t>
            </w:r>
            <w:r w:rsidR="004806CF" w:rsidRPr="00F25E1E">
              <w:rPr>
                <w:rFonts w:eastAsia="Times New Roman"/>
                <w:iCs/>
                <w:color w:val="auto"/>
                <w:sz w:val="17"/>
                <w:szCs w:val="17"/>
              </w:rPr>
              <w:t xml:space="preserve">Aug 17 </w:t>
            </w:r>
          </w:p>
        </w:tc>
      </w:tr>
      <w:tr w:rsidR="00E974CB" w:rsidRPr="00F25E1E" w:rsidTr="00B04ABE">
        <w:trPr>
          <w:cnfStyle w:val="000000010000" w:firstRow="0" w:lastRow="0" w:firstColumn="0" w:lastColumn="0" w:oddVBand="0" w:evenVBand="0" w:oddHBand="0" w:evenHBand="1"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spacing w:after="0" w:line="240" w:lineRule="auto"/>
              <w:rPr>
                <w:rFonts w:asciiTheme="minorHAnsi" w:hAnsiTheme="minorHAnsi"/>
                <w:b/>
                <w:color w:val="auto"/>
                <w:szCs w:val="17"/>
              </w:rPr>
            </w:pPr>
            <w:r w:rsidRPr="00F25E1E">
              <w:rPr>
                <w:rFonts w:asciiTheme="minorHAnsi" w:hAnsiTheme="minorHAnsi"/>
                <w:color w:val="auto"/>
                <w:sz w:val="17"/>
                <w:szCs w:val="17"/>
              </w:rPr>
              <w:t xml:space="preserve">INK376 World Bank Partnership trust Fund </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hAnsiTheme="minorHAnsi"/>
                <w:b/>
                <w:color w:val="auto"/>
                <w:szCs w:val="17"/>
              </w:rPr>
            </w:pPr>
            <w:r w:rsidRPr="00F25E1E">
              <w:rPr>
                <w:rFonts w:asciiTheme="minorHAnsi" w:hAnsiTheme="minorHAnsi"/>
                <w:color w:val="auto"/>
                <w:sz w:val="17"/>
                <w:szCs w:val="17"/>
              </w:rPr>
              <w:t xml:space="preserve">Independent Completion Review </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Aug 17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Nov 17 </w:t>
            </w:r>
          </w:p>
        </w:tc>
        <w:tc>
          <w:tcPr>
            <w:tcW w:w="17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Nov 17 </w:t>
            </w:r>
          </w:p>
        </w:tc>
        <w:tc>
          <w:tcPr>
            <w:tcW w:w="15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Nov 17 </w:t>
            </w:r>
          </w:p>
        </w:tc>
      </w:tr>
      <w:tr w:rsidR="00E974CB" w:rsidRPr="00F25E1E" w:rsidTr="00B04ABE">
        <w:tc>
          <w:tcPr>
            <w:tcW w:w="2127" w:type="dxa"/>
            <w:shd w:val="clear" w:color="auto" w:fill="auto"/>
          </w:tcPr>
          <w:p w:rsidR="00E974CB" w:rsidRPr="00F25E1E" w:rsidRDefault="004806CF">
            <w:pPr>
              <w:spacing w:after="0" w:line="240" w:lineRule="auto"/>
              <w:rPr>
                <w:rFonts w:asciiTheme="minorHAnsi" w:hAnsiTheme="minorHAnsi"/>
                <w:b/>
                <w:color w:val="auto"/>
                <w:szCs w:val="17"/>
              </w:rPr>
            </w:pPr>
            <w:r w:rsidRPr="00F25E1E">
              <w:rPr>
                <w:rFonts w:asciiTheme="minorHAnsi" w:hAnsiTheme="minorHAnsi"/>
                <w:color w:val="auto"/>
                <w:sz w:val="17"/>
                <w:szCs w:val="17"/>
              </w:rPr>
              <w:t>INH651 Southern Coastal Corridor</w:t>
            </w:r>
          </w:p>
        </w:tc>
        <w:tc>
          <w:tcPr>
            <w:tcW w:w="1984" w:type="dxa"/>
            <w:shd w:val="clear" w:color="auto" w:fill="auto"/>
          </w:tcPr>
          <w:p w:rsidR="00E974CB" w:rsidRPr="00F25E1E" w:rsidRDefault="004806CF">
            <w:pPr>
              <w:keepLines/>
              <w:spacing w:before="40" w:after="0" w:line="200" w:lineRule="atLeast"/>
              <w:rPr>
                <w:rFonts w:asciiTheme="minorHAnsi" w:hAnsiTheme="minorHAnsi"/>
                <w:b/>
                <w:color w:val="auto"/>
                <w:szCs w:val="17"/>
              </w:rPr>
            </w:pPr>
            <w:r w:rsidRPr="00F25E1E">
              <w:rPr>
                <w:rFonts w:asciiTheme="minorHAnsi" w:hAnsiTheme="minorHAnsi"/>
                <w:color w:val="auto"/>
                <w:sz w:val="17"/>
                <w:szCs w:val="17"/>
              </w:rPr>
              <w:t xml:space="preserve">Completion Review </w:t>
            </w:r>
          </w:p>
        </w:tc>
        <w:tc>
          <w:tcPr>
            <w:tcW w:w="1134"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Sep 17 </w:t>
            </w:r>
          </w:p>
        </w:tc>
        <w:tc>
          <w:tcPr>
            <w:tcW w:w="1843"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Dec 17 </w:t>
            </w:r>
          </w:p>
        </w:tc>
        <w:tc>
          <w:tcPr>
            <w:tcW w:w="1700"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Dec 17 </w:t>
            </w:r>
          </w:p>
        </w:tc>
        <w:tc>
          <w:tcPr>
            <w:tcW w:w="1556" w:type="dxa"/>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Dec 17 </w:t>
            </w:r>
          </w:p>
        </w:tc>
      </w:tr>
      <w:tr w:rsidR="00E974CB" w:rsidRPr="00F25E1E" w:rsidTr="00B04ABE">
        <w:trPr>
          <w:cnfStyle w:val="000000010000" w:firstRow="0" w:lastRow="0" w:firstColumn="0" w:lastColumn="0" w:oddVBand="0" w:evenVBand="0" w:oddHBand="0" w:evenHBand="1"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spacing w:after="0" w:line="240" w:lineRule="auto"/>
              <w:rPr>
                <w:rFonts w:asciiTheme="minorHAnsi" w:hAnsiTheme="minorHAnsi"/>
                <w:b/>
                <w:color w:val="auto"/>
                <w:szCs w:val="17"/>
              </w:rPr>
            </w:pPr>
            <w:r w:rsidRPr="00F25E1E">
              <w:rPr>
                <w:rFonts w:asciiTheme="minorHAnsi" w:hAnsiTheme="minorHAnsi"/>
                <w:color w:val="auto"/>
                <w:sz w:val="17"/>
                <w:szCs w:val="17"/>
              </w:rPr>
              <w:t>INH551 Mekong Transport Infrastructure Project</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hAnsiTheme="minorHAnsi"/>
                <w:b/>
                <w:color w:val="auto"/>
                <w:szCs w:val="17"/>
              </w:rPr>
            </w:pPr>
            <w:r w:rsidRPr="00F25E1E">
              <w:rPr>
                <w:rFonts w:asciiTheme="minorHAnsi" w:hAnsiTheme="minorHAnsi"/>
                <w:color w:val="auto"/>
                <w:sz w:val="17"/>
                <w:szCs w:val="17"/>
              </w:rPr>
              <w:t xml:space="preserve">Completion Review </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4806CF">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Feb 17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53785D" w:rsidP="0053785D">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24 </w:t>
            </w:r>
            <w:r w:rsidR="004806CF" w:rsidRPr="00F25E1E">
              <w:rPr>
                <w:rFonts w:eastAsia="Times New Roman"/>
                <w:iCs/>
                <w:color w:val="auto"/>
                <w:sz w:val="17"/>
                <w:szCs w:val="17"/>
              </w:rPr>
              <w:t xml:space="preserve">Apr 17 </w:t>
            </w:r>
          </w:p>
        </w:tc>
        <w:tc>
          <w:tcPr>
            <w:tcW w:w="170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53785D" w:rsidP="0053785D">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08 </w:t>
            </w:r>
            <w:r w:rsidR="004806CF" w:rsidRPr="00F25E1E">
              <w:rPr>
                <w:rFonts w:eastAsia="Times New Roman"/>
                <w:iCs/>
                <w:color w:val="auto"/>
                <w:sz w:val="17"/>
                <w:szCs w:val="17"/>
              </w:rPr>
              <w:t xml:space="preserve">Feb 17  </w:t>
            </w:r>
          </w:p>
        </w:tc>
        <w:tc>
          <w:tcPr>
            <w:tcW w:w="15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974CB" w:rsidRPr="00F25E1E" w:rsidRDefault="0053785D" w:rsidP="0053785D">
            <w:pPr>
              <w:keepLines/>
              <w:spacing w:before="40" w:after="0" w:line="200" w:lineRule="atLeast"/>
              <w:rPr>
                <w:rFonts w:asciiTheme="minorHAnsi" w:eastAsia="Times New Roman" w:hAnsiTheme="minorHAnsi"/>
                <w:b/>
                <w:iCs/>
                <w:color w:val="auto"/>
                <w:szCs w:val="17"/>
              </w:rPr>
            </w:pPr>
            <w:r w:rsidRPr="00F25E1E">
              <w:rPr>
                <w:rFonts w:eastAsia="Times New Roman"/>
                <w:iCs/>
                <w:color w:val="auto"/>
                <w:sz w:val="17"/>
                <w:szCs w:val="17"/>
              </w:rPr>
              <w:t xml:space="preserve">26 </w:t>
            </w:r>
            <w:r w:rsidR="004806CF" w:rsidRPr="00F25E1E">
              <w:rPr>
                <w:rFonts w:eastAsia="Times New Roman"/>
                <w:iCs/>
                <w:color w:val="auto"/>
                <w:sz w:val="17"/>
                <w:szCs w:val="17"/>
              </w:rPr>
              <w:t xml:space="preserve">Apr 17 </w:t>
            </w:r>
          </w:p>
        </w:tc>
      </w:tr>
      <w:tr w:rsidR="00F967EF" w:rsidRPr="00F25E1E" w:rsidTr="00E44E22">
        <w:tc>
          <w:tcPr>
            <w:tcW w:w="2127" w:type="dxa"/>
            <w:shd w:val="clear" w:color="auto" w:fill="auto"/>
          </w:tcPr>
          <w:p w:rsidR="00F967EF" w:rsidRPr="00F25E1E" w:rsidRDefault="00F967EF">
            <w:pPr>
              <w:spacing w:after="0" w:line="240" w:lineRule="auto"/>
              <w:rPr>
                <w:rFonts w:asciiTheme="minorHAnsi" w:hAnsiTheme="minorHAnsi"/>
                <w:color w:val="auto"/>
                <w:sz w:val="17"/>
                <w:szCs w:val="17"/>
              </w:rPr>
            </w:pPr>
            <w:r w:rsidRPr="00F25E1E">
              <w:rPr>
                <w:rFonts w:asciiTheme="minorHAnsi" w:hAnsiTheme="minorHAnsi"/>
                <w:color w:val="auto"/>
                <w:sz w:val="17"/>
                <w:szCs w:val="17"/>
              </w:rPr>
              <w:t xml:space="preserve">N/A </w:t>
            </w:r>
          </w:p>
        </w:tc>
        <w:tc>
          <w:tcPr>
            <w:tcW w:w="1984" w:type="dxa"/>
            <w:shd w:val="clear" w:color="auto" w:fill="auto"/>
          </w:tcPr>
          <w:p w:rsidR="00F967EF" w:rsidRPr="00F25E1E" w:rsidRDefault="00F967EF">
            <w:pPr>
              <w:keepLines/>
              <w:spacing w:before="40" w:after="0" w:line="200" w:lineRule="atLeast"/>
              <w:rPr>
                <w:rFonts w:asciiTheme="minorHAnsi" w:hAnsiTheme="minorHAnsi"/>
                <w:color w:val="auto"/>
                <w:sz w:val="17"/>
                <w:szCs w:val="17"/>
              </w:rPr>
            </w:pPr>
            <w:r w:rsidRPr="00F25E1E">
              <w:rPr>
                <w:color w:val="auto"/>
                <w:sz w:val="17"/>
                <w:szCs w:val="17"/>
              </w:rPr>
              <w:t>Review of the Australia-Vietnam Climate Change Delivery Strategy 2011-2016</w:t>
            </w:r>
          </w:p>
        </w:tc>
        <w:tc>
          <w:tcPr>
            <w:tcW w:w="1134" w:type="dxa"/>
            <w:shd w:val="clear" w:color="auto" w:fill="auto"/>
          </w:tcPr>
          <w:p w:rsidR="00F967EF" w:rsidRPr="00F25E1E" w:rsidRDefault="00F967EF">
            <w:pPr>
              <w:keepLines/>
              <w:spacing w:before="40" w:after="0" w:line="200" w:lineRule="atLeast"/>
              <w:rPr>
                <w:rFonts w:eastAsia="Times New Roman"/>
                <w:iCs/>
                <w:color w:val="auto"/>
                <w:sz w:val="17"/>
                <w:szCs w:val="17"/>
              </w:rPr>
            </w:pPr>
            <w:r w:rsidRPr="00F25E1E">
              <w:rPr>
                <w:rFonts w:eastAsia="Times New Roman"/>
                <w:iCs/>
                <w:color w:val="auto"/>
                <w:sz w:val="17"/>
                <w:szCs w:val="17"/>
              </w:rPr>
              <w:t xml:space="preserve">Aug 16 </w:t>
            </w:r>
          </w:p>
        </w:tc>
        <w:tc>
          <w:tcPr>
            <w:tcW w:w="1843" w:type="dxa"/>
            <w:shd w:val="clear" w:color="auto" w:fill="auto"/>
          </w:tcPr>
          <w:p w:rsidR="00F967EF" w:rsidRPr="00F25E1E" w:rsidRDefault="00232CD0" w:rsidP="0053785D">
            <w:pPr>
              <w:keepLines/>
              <w:spacing w:before="40" w:after="0" w:line="200" w:lineRule="atLeast"/>
              <w:rPr>
                <w:rFonts w:eastAsia="Times New Roman"/>
                <w:iCs/>
                <w:color w:val="auto"/>
                <w:sz w:val="17"/>
                <w:szCs w:val="17"/>
              </w:rPr>
            </w:pPr>
            <w:r w:rsidRPr="00F25E1E">
              <w:rPr>
                <w:rFonts w:eastAsia="Times New Roman"/>
                <w:iCs/>
                <w:color w:val="auto"/>
                <w:sz w:val="17"/>
                <w:szCs w:val="17"/>
              </w:rPr>
              <w:t xml:space="preserve">N/A </w:t>
            </w:r>
          </w:p>
        </w:tc>
        <w:tc>
          <w:tcPr>
            <w:tcW w:w="1700" w:type="dxa"/>
            <w:shd w:val="clear" w:color="auto" w:fill="auto"/>
          </w:tcPr>
          <w:p w:rsidR="00F967EF" w:rsidRPr="00F25E1E" w:rsidRDefault="00232CD0" w:rsidP="0053785D">
            <w:pPr>
              <w:keepLines/>
              <w:spacing w:before="40" w:after="0" w:line="200" w:lineRule="atLeast"/>
              <w:rPr>
                <w:rFonts w:eastAsia="Times New Roman"/>
                <w:iCs/>
                <w:color w:val="auto"/>
                <w:sz w:val="17"/>
                <w:szCs w:val="17"/>
              </w:rPr>
            </w:pPr>
            <w:r w:rsidRPr="00F25E1E">
              <w:rPr>
                <w:rFonts w:eastAsia="Times New Roman"/>
                <w:iCs/>
                <w:color w:val="auto"/>
                <w:sz w:val="17"/>
                <w:szCs w:val="17"/>
              </w:rPr>
              <w:t xml:space="preserve">N/A </w:t>
            </w:r>
          </w:p>
        </w:tc>
        <w:tc>
          <w:tcPr>
            <w:tcW w:w="1556" w:type="dxa"/>
            <w:shd w:val="clear" w:color="auto" w:fill="auto"/>
          </w:tcPr>
          <w:p w:rsidR="00F967EF" w:rsidRPr="00F25E1E" w:rsidRDefault="00232CD0" w:rsidP="0053785D">
            <w:pPr>
              <w:keepLines/>
              <w:spacing w:before="40" w:after="0" w:line="200" w:lineRule="atLeast"/>
              <w:rPr>
                <w:rFonts w:eastAsia="Times New Roman"/>
                <w:iCs/>
                <w:color w:val="auto"/>
                <w:sz w:val="17"/>
                <w:szCs w:val="17"/>
              </w:rPr>
            </w:pPr>
            <w:r w:rsidRPr="00F25E1E">
              <w:rPr>
                <w:rFonts w:eastAsia="Times New Roman"/>
                <w:iCs/>
                <w:color w:val="auto"/>
                <w:sz w:val="17"/>
                <w:szCs w:val="17"/>
              </w:rPr>
              <w:t xml:space="preserve">16 May 17 </w:t>
            </w:r>
          </w:p>
        </w:tc>
      </w:tr>
    </w:tbl>
    <w:p w:rsidR="00E974CB" w:rsidRPr="00F25E1E" w:rsidRDefault="00E974CB">
      <w:pPr>
        <w:rPr>
          <w:b/>
          <w:color w:val="auto"/>
          <w:sz w:val="24"/>
        </w:rPr>
      </w:pPr>
    </w:p>
    <w:p w:rsidR="00E974CB" w:rsidRPr="00F25E1E" w:rsidRDefault="004806CF">
      <w:pPr>
        <w:rPr>
          <w:b/>
          <w:color w:val="auto"/>
          <w:sz w:val="24"/>
        </w:rPr>
      </w:pPr>
      <w:r w:rsidRPr="00F25E1E">
        <w:rPr>
          <w:b/>
          <w:color w:val="auto"/>
          <w:sz w:val="24"/>
        </w:rPr>
        <w:t xml:space="preserve">List of program prioritised evaluations planned for the next 12 months </w:t>
      </w:r>
    </w:p>
    <w:p w:rsidR="00E974CB" w:rsidRPr="00F25E1E" w:rsidRDefault="00E974CB">
      <w:pPr>
        <w:rPr>
          <w:b/>
          <w:color w:val="auto"/>
          <w:sz w:val="16"/>
          <w:szCs w:val="16"/>
        </w:rPr>
      </w:pPr>
    </w:p>
    <w:p w:rsidR="00E974CB" w:rsidRPr="00F25E1E" w:rsidRDefault="00E974CB">
      <w:pPr>
        <w:rPr>
          <w:color w:val="auto"/>
        </w:rPr>
        <w:sectPr w:rsidR="00E974CB" w:rsidRPr="00F25E1E">
          <w:headerReference w:type="default" r:id="rId30"/>
          <w:footerReference w:type="default" r:id="rId31"/>
          <w:pgSz w:w="11906" w:h="16838"/>
          <w:pgMar w:top="1527" w:right="1134" w:bottom="851" w:left="1134" w:header="1418" w:footer="567" w:gutter="0"/>
          <w:cols w:space="720"/>
          <w:formProt w:val="0"/>
          <w:docGrid w:linePitch="360" w:charSpace="-2049"/>
        </w:sectPr>
      </w:pPr>
    </w:p>
    <w:tbl>
      <w:tblPr>
        <w:tblStyle w:val="APPR"/>
        <w:tblW w:w="9713" w:type="dxa"/>
        <w:tblLook w:val="0600" w:firstRow="0" w:lastRow="0" w:firstColumn="0" w:lastColumn="0" w:noHBand="1" w:noVBand="1"/>
      </w:tblPr>
      <w:tblGrid>
        <w:gridCol w:w="1985"/>
        <w:gridCol w:w="1364"/>
        <w:gridCol w:w="1339"/>
        <w:gridCol w:w="1355"/>
        <w:gridCol w:w="1895"/>
        <w:gridCol w:w="1775"/>
      </w:tblGrid>
      <w:tr w:rsidR="00E974CB" w:rsidRPr="00F25E1E" w:rsidTr="00E44E22">
        <w:tc>
          <w:tcPr>
            <w:tcW w:w="1985"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Evaluation title</w:t>
            </w:r>
          </w:p>
        </w:tc>
        <w:tc>
          <w:tcPr>
            <w:tcW w:w="1364"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 xml:space="preserve">Investment number and name (if applicable) </w:t>
            </w:r>
          </w:p>
        </w:tc>
        <w:tc>
          <w:tcPr>
            <w:tcW w:w="1339"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Date – planned commencement (month/year)</w:t>
            </w:r>
          </w:p>
        </w:tc>
        <w:tc>
          <w:tcPr>
            <w:tcW w:w="1355"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Date – planned completion (month/year)</w:t>
            </w:r>
          </w:p>
        </w:tc>
        <w:tc>
          <w:tcPr>
            <w:tcW w:w="1895"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Purpose of evaluation</w:t>
            </w:r>
          </w:p>
        </w:tc>
        <w:tc>
          <w:tcPr>
            <w:tcW w:w="1775" w:type="dxa"/>
            <w:tcBorders>
              <w:bottom w:val="nil"/>
            </w:tcBorders>
            <w:shd w:val="clear" w:color="auto" w:fill="auto"/>
          </w:tcPr>
          <w:p w:rsidR="00E974CB" w:rsidRPr="00F25E1E" w:rsidRDefault="004806CF">
            <w:pPr>
              <w:keepLines/>
              <w:spacing w:before="80" w:after="0" w:line="200" w:lineRule="atLeast"/>
              <w:rPr>
                <w:rFonts w:asciiTheme="minorHAnsi" w:eastAsia="Times New Roman" w:hAnsiTheme="minorHAnsi"/>
                <w:b/>
                <w:iCs/>
                <w:color w:val="auto"/>
                <w:szCs w:val="17"/>
              </w:rPr>
            </w:pPr>
            <w:r w:rsidRPr="00F25E1E">
              <w:rPr>
                <w:rFonts w:eastAsia="Times New Roman"/>
                <w:b/>
                <w:iCs/>
                <w:color w:val="auto"/>
                <w:sz w:val="17"/>
                <w:szCs w:val="17"/>
              </w:rPr>
              <w:t>Evaluation type</w:t>
            </w:r>
          </w:p>
        </w:tc>
      </w:tr>
      <w:tr w:rsidR="00E974CB" w:rsidRPr="00F25E1E" w:rsidTr="00E44E22">
        <w:tc>
          <w:tcPr>
            <w:tcW w:w="1985" w:type="dxa"/>
            <w:tcBorders>
              <w:top w:val="nil"/>
              <w:bottom w:val="nil"/>
            </w:tcBorders>
            <w:shd w:val="clear" w:color="auto" w:fill="auto"/>
          </w:tcPr>
          <w:p w:rsidR="00E974CB" w:rsidRPr="00F25E1E" w:rsidRDefault="007031B7" w:rsidP="00C10E89">
            <w:pPr>
              <w:keepLines/>
              <w:spacing w:before="40" w:after="0" w:line="200" w:lineRule="atLeast"/>
              <w:rPr>
                <w:color w:val="auto"/>
              </w:rPr>
            </w:pPr>
            <w:r>
              <w:rPr>
                <w:rFonts w:eastAsia="Times New Roman"/>
                <w:iCs/>
                <w:color w:val="auto"/>
                <w:sz w:val="17"/>
                <w:szCs w:val="17"/>
              </w:rPr>
              <w:t xml:space="preserve">Aus4Skills </w:t>
            </w:r>
            <w:r w:rsidR="004C6FA2">
              <w:rPr>
                <w:rFonts w:eastAsia="Times New Roman"/>
                <w:iCs/>
                <w:color w:val="auto"/>
                <w:sz w:val="17"/>
                <w:szCs w:val="17"/>
              </w:rPr>
              <w:t>Mid-term Review</w:t>
            </w:r>
          </w:p>
        </w:tc>
        <w:tc>
          <w:tcPr>
            <w:tcW w:w="1364" w:type="dxa"/>
            <w:tcBorders>
              <w:top w:val="nil"/>
              <w:bottom w:val="nil"/>
            </w:tcBorders>
            <w:shd w:val="clear" w:color="auto" w:fill="auto"/>
          </w:tcPr>
          <w:p w:rsidR="00E974CB" w:rsidRPr="00F25E1E" w:rsidRDefault="00BE15F1">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INL487</w:t>
            </w:r>
            <w:r w:rsidR="004806CF" w:rsidRPr="00F25E1E">
              <w:rPr>
                <w:rFonts w:eastAsia="Times New Roman"/>
                <w:iCs/>
                <w:color w:val="auto"/>
                <w:sz w:val="17"/>
                <w:szCs w:val="17"/>
              </w:rPr>
              <w:t xml:space="preserve"> </w:t>
            </w:r>
          </w:p>
        </w:tc>
        <w:tc>
          <w:tcPr>
            <w:tcW w:w="1339" w:type="dxa"/>
            <w:tcBorders>
              <w:top w:val="nil"/>
              <w:bottom w:val="nil"/>
            </w:tcBorders>
            <w:shd w:val="clear" w:color="auto" w:fill="auto"/>
          </w:tcPr>
          <w:p w:rsidR="00E974CB" w:rsidRPr="00F25E1E" w:rsidRDefault="004806CF" w:rsidP="00BE15F1">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Jun 1</w:t>
            </w:r>
            <w:r w:rsidR="00BE15F1">
              <w:rPr>
                <w:rFonts w:eastAsia="Times New Roman"/>
                <w:iCs/>
                <w:color w:val="auto"/>
                <w:sz w:val="17"/>
                <w:szCs w:val="17"/>
              </w:rPr>
              <w:t>8</w:t>
            </w:r>
          </w:p>
        </w:tc>
        <w:tc>
          <w:tcPr>
            <w:tcW w:w="1355" w:type="dxa"/>
            <w:tcBorders>
              <w:top w:val="nil"/>
              <w:bottom w:val="nil"/>
            </w:tcBorders>
            <w:shd w:val="clear" w:color="auto" w:fill="auto"/>
          </w:tcPr>
          <w:p w:rsidR="00E974CB" w:rsidRPr="00F25E1E" w:rsidRDefault="00BE15F1" w:rsidP="00BE15F1">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Oct 18</w:t>
            </w:r>
          </w:p>
        </w:tc>
        <w:tc>
          <w:tcPr>
            <w:tcW w:w="1895" w:type="dxa"/>
            <w:tcBorders>
              <w:top w:val="nil"/>
              <w:bottom w:val="nil"/>
            </w:tcBorders>
            <w:shd w:val="clear" w:color="auto" w:fill="auto"/>
          </w:tcPr>
          <w:p w:rsidR="00E974CB" w:rsidRPr="00F25E1E" w:rsidRDefault="004806CF" w:rsidP="004C21CF">
            <w:pPr>
              <w:keepLines/>
              <w:spacing w:before="40" w:after="0" w:line="200" w:lineRule="atLeast"/>
              <w:rPr>
                <w:rFonts w:asciiTheme="minorHAnsi" w:eastAsia="Times New Roman" w:hAnsiTheme="minorHAnsi"/>
                <w:iCs/>
                <w:color w:val="auto"/>
                <w:szCs w:val="17"/>
              </w:rPr>
            </w:pPr>
            <w:r w:rsidRPr="00F25E1E">
              <w:rPr>
                <w:rFonts w:asciiTheme="minorHAnsi" w:hAnsiTheme="minorHAnsi"/>
                <w:color w:val="auto"/>
                <w:sz w:val="17"/>
              </w:rPr>
              <w:t xml:space="preserve">To </w:t>
            </w:r>
            <w:r w:rsidR="00BE15F1">
              <w:rPr>
                <w:rFonts w:asciiTheme="minorHAnsi" w:hAnsiTheme="minorHAnsi"/>
                <w:color w:val="auto"/>
                <w:sz w:val="17"/>
              </w:rPr>
              <w:t xml:space="preserve">assess the </w:t>
            </w:r>
            <w:r w:rsidR="004C21CF">
              <w:rPr>
                <w:rFonts w:asciiTheme="minorHAnsi" w:hAnsiTheme="minorHAnsi"/>
                <w:color w:val="auto"/>
                <w:sz w:val="17"/>
              </w:rPr>
              <w:t>program outcomes, performance of the managing contractor, and inform any changes required for the latter half of the program</w:t>
            </w:r>
          </w:p>
        </w:tc>
        <w:tc>
          <w:tcPr>
            <w:tcW w:w="1775" w:type="dxa"/>
            <w:tcBorders>
              <w:top w:val="nil"/>
              <w:bottom w:val="nil"/>
            </w:tcBorders>
            <w:shd w:val="clear" w:color="auto" w:fill="auto"/>
          </w:tcPr>
          <w:p w:rsidR="00E974CB" w:rsidRPr="00F25E1E" w:rsidRDefault="00BE15F1">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 xml:space="preserve">Mid-term review </w:t>
            </w:r>
          </w:p>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 </w:t>
            </w:r>
          </w:p>
        </w:tc>
      </w:tr>
      <w:tr w:rsidR="00E974CB" w:rsidRPr="00F25E1E" w:rsidTr="00E44E22">
        <w:tc>
          <w:tcPr>
            <w:tcW w:w="1985" w:type="dxa"/>
            <w:tcBorders>
              <w:top w:val="nil"/>
            </w:tcBorders>
            <w:shd w:val="clear" w:color="auto" w:fill="auto"/>
          </w:tcPr>
          <w:p w:rsidR="00E974CB" w:rsidRPr="00F25E1E" w:rsidRDefault="00BE15F1">
            <w:pPr>
              <w:keepLines/>
              <w:spacing w:before="40" w:after="0" w:line="200" w:lineRule="atLeast"/>
              <w:rPr>
                <w:color w:val="auto"/>
              </w:rPr>
            </w:pPr>
            <w:r>
              <w:rPr>
                <w:rFonts w:eastAsia="Times New Roman"/>
                <w:iCs/>
                <w:color w:val="auto"/>
                <w:sz w:val="17"/>
                <w:szCs w:val="17"/>
              </w:rPr>
              <w:t xml:space="preserve">Gender Equality Action Plan </w:t>
            </w:r>
            <w:r w:rsidR="004C21CF">
              <w:rPr>
                <w:rFonts w:eastAsia="Times New Roman"/>
                <w:iCs/>
                <w:color w:val="auto"/>
                <w:sz w:val="17"/>
                <w:szCs w:val="17"/>
              </w:rPr>
              <w:t xml:space="preserve">(GEAP) </w:t>
            </w:r>
            <w:r w:rsidR="007031B7">
              <w:rPr>
                <w:rFonts w:eastAsia="Times New Roman"/>
                <w:iCs/>
                <w:color w:val="auto"/>
                <w:sz w:val="17"/>
                <w:szCs w:val="17"/>
              </w:rPr>
              <w:t xml:space="preserve">Annual </w:t>
            </w:r>
            <w:r>
              <w:rPr>
                <w:rFonts w:eastAsia="Times New Roman"/>
                <w:iCs/>
                <w:color w:val="auto"/>
                <w:sz w:val="17"/>
                <w:szCs w:val="17"/>
              </w:rPr>
              <w:t xml:space="preserve">Review </w:t>
            </w:r>
            <w:r w:rsidR="004806CF" w:rsidRPr="00F25E1E">
              <w:rPr>
                <w:rFonts w:eastAsia="Times New Roman"/>
                <w:iCs/>
                <w:color w:val="auto"/>
                <w:sz w:val="17"/>
                <w:szCs w:val="17"/>
              </w:rPr>
              <w:t xml:space="preserve"> </w:t>
            </w:r>
          </w:p>
        </w:tc>
        <w:tc>
          <w:tcPr>
            <w:tcW w:w="1364" w:type="dxa"/>
            <w:tcBorders>
              <w:top w:val="nil"/>
            </w:tcBorders>
            <w:shd w:val="clear" w:color="auto" w:fill="auto"/>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N/A </w:t>
            </w:r>
          </w:p>
        </w:tc>
        <w:tc>
          <w:tcPr>
            <w:tcW w:w="1339" w:type="dxa"/>
            <w:tcBorders>
              <w:top w:val="nil"/>
            </w:tcBorders>
            <w:shd w:val="clear" w:color="auto" w:fill="auto"/>
          </w:tcPr>
          <w:p w:rsidR="00E974CB" w:rsidRPr="00F25E1E" w:rsidRDefault="00BE15F1">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Jul 17</w:t>
            </w:r>
          </w:p>
        </w:tc>
        <w:tc>
          <w:tcPr>
            <w:tcW w:w="1355" w:type="dxa"/>
            <w:tcBorders>
              <w:top w:val="nil"/>
            </w:tcBorders>
            <w:shd w:val="clear" w:color="auto" w:fill="auto"/>
          </w:tcPr>
          <w:p w:rsidR="00E974CB" w:rsidRPr="00F25E1E" w:rsidRDefault="004C21CF">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 xml:space="preserve">Oct 17 </w:t>
            </w:r>
          </w:p>
        </w:tc>
        <w:tc>
          <w:tcPr>
            <w:tcW w:w="1895" w:type="dxa"/>
            <w:tcBorders>
              <w:top w:val="nil"/>
            </w:tcBorders>
            <w:shd w:val="clear" w:color="auto" w:fill="auto"/>
          </w:tcPr>
          <w:p w:rsidR="00E974CB" w:rsidRPr="00F25E1E" w:rsidRDefault="004806CF">
            <w:pPr>
              <w:keepLines/>
              <w:spacing w:before="40" w:after="0" w:line="200" w:lineRule="atLeast"/>
              <w:rPr>
                <w:rFonts w:asciiTheme="minorHAnsi" w:eastAsia="Times New Roman" w:hAnsiTheme="minorHAnsi"/>
                <w:iCs/>
                <w:color w:val="auto"/>
                <w:szCs w:val="17"/>
              </w:rPr>
            </w:pPr>
            <w:r w:rsidRPr="00F25E1E">
              <w:rPr>
                <w:rFonts w:eastAsia="Times New Roman"/>
                <w:iCs/>
                <w:color w:val="auto"/>
                <w:sz w:val="17"/>
                <w:szCs w:val="17"/>
              </w:rPr>
              <w:t xml:space="preserve">To </w:t>
            </w:r>
            <w:r w:rsidR="004C21CF">
              <w:rPr>
                <w:rFonts w:eastAsia="Times New Roman"/>
                <w:iCs/>
                <w:color w:val="auto"/>
                <w:sz w:val="17"/>
                <w:szCs w:val="17"/>
              </w:rPr>
              <w:t xml:space="preserve">assess the achievements of the GEAP </w:t>
            </w:r>
            <w:r w:rsidR="007031B7">
              <w:rPr>
                <w:rFonts w:eastAsia="Times New Roman"/>
                <w:iCs/>
                <w:color w:val="auto"/>
                <w:sz w:val="17"/>
                <w:szCs w:val="17"/>
              </w:rPr>
              <w:t>since</w:t>
            </w:r>
            <w:r w:rsidR="004C21CF">
              <w:rPr>
                <w:rFonts w:eastAsia="Times New Roman"/>
                <w:iCs/>
                <w:color w:val="auto"/>
                <w:sz w:val="17"/>
                <w:szCs w:val="17"/>
              </w:rPr>
              <w:t xml:space="preserve"> the </w:t>
            </w:r>
            <w:r w:rsidR="00536B1A">
              <w:rPr>
                <w:rFonts w:eastAsia="Times New Roman"/>
                <w:iCs/>
                <w:color w:val="auto"/>
                <w:sz w:val="17"/>
                <w:szCs w:val="17"/>
              </w:rPr>
              <w:t xml:space="preserve">launch of the </w:t>
            </w:r>
            <w:r w:rsidR="004C21CF" w:rsidRPr="00504096">
              <w:rPr>
                <w:rFonts w:eastAsia="Times New Roman"/>
                <w:i/>
                <w:iCs/>
                <w:color w:val="auto"/>
                <w:sz w:val="17"/>
                <w:szCs w:val="17"/>
              </w:rPr>
              <w:t>Australia</w:t>
            </w:r>
            <w:r w:rsidR="00536B1A" w:rsidRPr="00504096">
              <w:rPr>
                <w:rFonts w:eastAsia="Times New Roman"/>
                <w:i/>
                <w:iCs/>
                <w:color w:val="auto"/>
                <w:sz w:val="17"/>
                <w:szCs w:val="17"/>
              </w:rPr>
              <w:t xml:space="preserve"> in </w:t>
            </w:r>
            <w:r w:rsidR="004C21CF" w:rsidRPr="00504096">
              <w:rPr>
                <w:rFonts w:eastAsia="Times New Roman"/>
                <w:i/>
                <w:iCs/>
                <w:color w:val="auto"/>
                <w:sz w:val="17"/>
                <w:szCs w:val="17"/>
              </w:rPr>
              <w:t>Vietnam Gender Equality Strategy</w:t>
            </w:r>
            <w:r w:rsidR="004C21CF">
              <w:rPr>
                <w:rFonts w:eastAsia="Times New Roman"/>
                <w:iCs/>
                <w:color w:val="auto"/>
                <w:sz w:val="17"/>
                <w:szCs w:val="17"/>
              </w:rPr>
              <w:t xml:space="preserve"> </w:t>
            </w:r>
            <w:r w:rsidR="00536B1A">
              <w:rPr>
                <w:rFonts w:eastAsia="Times New Roman"/>
                <w:iCs/>
                <w:color w:val="auto"/>
                <w:sz w:val="17"/>
                <w:szCs w:val="17"/>
              </w:rPr>
              <w:t>2016 -2020</w:t>
            </w:r>
            <w:r w:rsidR="004C21CF">
              <w:rPr>
                <w:rFonts w:eastAsia="Times New Roman"/>
                <w:iCs/>
                <w:color w:val="auto"/>
                <w:sz w:val="17"/>
                <w:szCs w:val="17"/>
              </w:rPr>
              <w:t xml:space="preserve">, and propose adjustments for coming years where needed </w:t>
            </w:r>
          </w:p>
        </w:tc>
        <w:tc>
          <w:tcPr>
            <w:tcW w:w="1775" w:type="dxa"/>
            <w:tcBorders>
              <w:top w:val="nil"/>
            </w:tcBorders>
            <w:shd w:val="clear" w:color="auto" w:fill="auto"/>
          </w:tcPr>
          <w:p w:rsidR="00E974CB" w:rsidRPr="00F25E1E" w:rsidRDefault="004C21CF">
            <w:pPr>
              <w:keepLines/>
              <w:spacing w:before="40" w:after="0" w:line="200" w:lineRule="atLeast"/>
              <w:rPr>
                <w:rFonts w:asciiTheme="minorHAnsi" w:eastAsia="Times New Roman" w:hAnsiTheme="minorHAnsi"/>
                <w:iCs/>
                <w:color w:val="auto"/>
                <w:szCs w:val="17"/>
              </w:rPr>
            </w:pPr>
            <w:r>
              <w:rPr>
                <w:rFonts w:eastAsia="Times New Roman"/>
                <w:iCs/>
                <w:color w:val="auto"/>
                <w:sz w:val="17"/>
                <w:szCs w:val="17"/>
              </w:rPr>
              <w:t xml:space="preserve">Annual review </w:t>
            </w:r>
          </w:p>
          <w:p w:rsidR="00E974CB" w:rsidRPr="00F25E1E" w:rsidRDefault="00E974CB">
            <w:pPr>
              <w:keepLines/>
              <w:spacing w:before="40" w:after="0" w:line="200" w:lineRule="atLeast"/>
              <w:rPr>
                <w:rFonts w:asciiTheme="minorHAnsi" w:eastAsia="Times New Roman" w:hAnsiTheme="minorHAnsi"/>
                <w:iCs/>
                <w:color w:val="auto"/>
                <w:sz w:val="17"/>
                <w:szCs w:val="17"/>
              </w:rPr>
            </w:pPr>
          </w:p>
        </w:tc>
      </w:tr>
    </w:tbl>
    <w:p w:rsidR="00E44E22" w:rsidRDefault="00E44E22"/>
    <w:p w:rsidR="00E44E22" w:rsidRDefault="00E44E22">
      <w:pPr>
        <w:suppressAutoHyphens w:val="0"/>
        <w:spacing w:before="0" w:after="0" w:line="240" w:lineRule="auto"/>
      </w:pPr>
      <w:r>
        <w:br w:type="page"/>
      </w:r>
    </w:p>
    <w:p w:rsidR="00E974CB" w:rsidRPr="004A34E8" w:rsidRDefault="004806CF">
      <w:pPr>
        <w:keepNext/>
        <w:tabs>
          <w:tab w:val="left" w:pos="1560"/>
        </w:tabs>
        <w:spacing w:before="360" w:after="120"/>
        <w:outlineLvl w:val="1"/>
        <w:rPr>
          <w:rFonts w:eastAsiaTheme="majorEastAsia" w:cstheme="majorBidi"/>
          <w:bCs/>
          <w:iCs/>
          <w:caps/>
          <w:color w:val="auto"/>
          <w:spacing w:val="-10"/>
          <w:sz w:val="38"/>
          <w:szCs w:val="24"/>
        </w:rPr>
      </w:pPr>
      <w:r w:rsidRPr="004A34E8">
        <w:rPr>
          <w:rFonts w:eastAsiaTheme="majorEastAsia" w:cstheme="majorBidi"/>
          <w:bCs/>
          <w:iCs/>
          <w:caps/>
          <w:color w:val="auto"/>
          <w:spacing w:val="-10"/>
          <w:sz w:val="38"/>
          <w:szCs w:val="24"/>
        </w:rPr>
        <w:t>Annex D - Aid Quality Check ratings</w:t>
      </w:r>
    </w:p>
    <w:p w:rsidR="00E974CB" w:rsidRPr="004A34E8" w:rsidRDefault="004806CF">
      <w:pPr>
        <w:keepNext/>
        <w:spacing w:before="240" w:after="120"/>
        <w:outlineLvl w:val="2"/>
        <w:rPr>
          <w:color w:val="auto"/>
        </w:rPr>
      </w:pPr>
      <w:r w:rsidRPr="004A34E8">
        <w:rPr>
          <w:rFonts w:asciiTheme="majorHAnsi" w:eastAsiaTheme="majorEastAsia" w:hAnsiTheme="majorHAnsi" w:cstheme="majorBidi"/>
          <w:caps/>
          <w:color w:val="auto"/>
          <w:sz w:val="38"/>
          <w:szCs w:val="26"/>
        </w:rPr>
        <w:t>AQC ratings</w:t>
      </w:r>
    </w:p>
    <w:tbl>
      <w:tblPr>
        <w:tblW w:w="9320" w:type="dxa"/>
        <w:tblLook w:val="04A0" w:firstRow="1" w:lastRow="0" w:firstColumn="1" w:lastColumn="0" w:noHBand="0" w:noVBand="1"/>
      </w:tblPr>
      <w:tblGrid>
        <w:gridCol w:w="2080"/>
        <w:gridCol w:w="960"/>
        <w:gridCol w:w="960"/>
        <w:gridCol w:w="760"/>
        <w:gridCol w:w="760"/>
        <w:gridCol w:w="760"/>
        <w:gridCol w:w="760"/>
        <w:gridCol w:w="760"/>
        <w:gridCol w:w="760"/>
        <w:gridCol w:w="760"/>
      </w:tblGrid>
      <w:tr w:rsidR="00060A2A" w:rsidRPr="00060A2A" w:rsidTr="00060A2A">
        <w:trPr>
          <w:cantSplit/>
          <w:trHeight w:val="1245"/>
        </w:trPr>
        <w:tc>
          <w:tcPr>
            <w:tcW w:w="2080" w:type="dxa"/>
            <w:tcBorders>
              <w:top w:val="single" w:sz="12" w:space="0" w:color="000000"/>
              <w:left w:val="nil"/>
              <w:bottom w:val="single" w:sz="8" w:space="0" w:color="auto"/>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year on year</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Relevance</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Effectiveness</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Efficiency</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Monitoring and Evaluation</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Sustainability</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Gender equality</w:t>
            </w:r>
          </w:p>
        </w:tc>
        <w:tc>
          <w:tcPr>
            <w:tcW w:w="760" w:type="dxa"/>
            <w:tcBorders>
              <w:top w:val="single" w:sz="12" w:space="0" w:color="000000"/>
              <w:left w:val="nil"/>
              <w:bottom w:val="single" w:sz="8" w:space="0" w:color="auto"/>
              <w:right w:val="nil"/>
            </w:tcBorders>
            <w:shd w:val="clear" w:color="auto" w:fill="auto"/>
            <w:textDirection w:val="btLr"/>
            <w:vAlign w:val="bottom"/>
            <w:hideMark/>
          </w:tcPr>
          <w:p w:rsidR="00060A2A" w:rsidRPr="00060A2A" w:rsidRDefault="00060A2A" w:rsidP="00060A2A">
            <w:pPr>
              <w:suppressAutoHyphens w:val="0"/>
              <w:spacing w:before="0" w:after="0" w:line="240" w:lineRule="auto"/>
              <w:rPr>
                <w:rFonts w:eastAsia="Times New Roman" w:cs="Times New Roman"/>
                <w:b/>
                <w:bCs/>
                <w:color w:val="auto"/>
                <w:sz w:val="17"/>
                <w:szCs w:val="17"/>
                <w:lang w:val="en-AU" w:eastAsia="en-AU"/>
              </w:rPr>
            </w:pPr>
            <w:r w:rsidRPr="00060A2A">
              <w:rPr>
                <w:rFonts w:eastAsia="Times New Roman" w:cs="Times New Roman"/>
                <w:b/>
                <w:bCs/>
                <w:color w:val="auto"/>
                <w:sz w:val="17"/>
                <w:szCs w:val="17"/>
                <w:lang w:eastAsia="en-AU"/>
              </w:rPr>
              <w:t>Risks  and Safeguards</w:t>
            </w:r>
          </w:p>
        </w:tc>
      </w:tr>
      <w:tr w:rsidR="00060A2A" w:rsidRPr="00060A2A" w:rsidTr="00060A2A">
        <w:trPr>
          <w:trHeight w:val="675"/>
        </w:trPr>
        <w:tc>
          <w:tcPr>
            <w:tcW w:w="208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INJ577 Integrated Coastal Management Program (ICMP)</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$21 m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2017 AQC</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n/a </w:t>
            </w:r>
          </w:p>
        </w:tc>
      </w:tr>
      <w:tr w:rsidR="00060A2A" w:rsidRPr="00060A2A" w:rsidTr="00060A2A">
        <w:trPr>
          <w:trHeight w:val="315"/>
        </w:trPr>
        <w:tc>
          <w:tcPr>
            <w:tcW w:w="208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val="en-AU" w:eastAsia="en-AU"/>
              </w:rPr>
              <w:t> </w:t>
            </w:r>
          </w:p>
        </w:tc>
        <w:tc>
          <w:tcPr>
            <w:tcW w:w="9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2013-18 </w:t>
            </w:r>
          </w:p>
        </w:tc>
        <w:tc>
          <w:tcPr>
            <w:tcW w:w="9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2016 AQC</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8" w:space="0" w:color="00000A"/>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single" w:sz="8" w:space="0" w:color="00000A"/>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r>
      <w:tr w:rsidR="00060A2A" w:rsidRPr="00060A2A" w:rsidTr="00060A2A">
        <w:trPr>
          <w:trHeight w:val="300"/>
        </w:trPr>
        <w:tc>
          <w:tcPr>
            <w:tcW w:w="208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INL487Aus4Skills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$17 m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2017 AQC</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r>
      <w:tr w:rsidR="00060A2A" w:rsidRPr="00060A2A" w:rsidTr="00060A2A">
        <w:trPr>
          <w:trHeight w:val="315"/>
        </w:trPr>
        <w:tc>
          <w:tcPr>
            <w:tcW w:w="208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val="en-AU" w:eastAsia="en-AU"/>
              </w:rPr>
              <w:t> </w:t>
            </w:r>
          </w:p>
        </w:tc>
        <w:tc>
          <w:tcPr>
            <w:tcW w:w="9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2016-19 </w:t>
            </w:r>
          </w:p>
        </w:tc>
        <w:tc>
          <w:tcPr>
            <w:tcW w:w="9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2016 AQC</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c>
          <w:tcPr>
            <w:tcW w:w="76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r>
      <w:tr w:rsidR="00060A2A" w:rsidRPr="00060A2A" w:rsidTr="00060A2A">
        <w:trPr>
          <w:trHeight w:val="450"/>
        </w:trPr>
        <w:tc>
          <w:tcPr>
            <w:tcW w:w="208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INL081Climate Innovation Center (VCIC)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$3 m</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2017 AQC</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6</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n/a </w:t>
            </w:r>
          </w:p>
        </w:tc>
      </w:tr>
      <w:tr w:rsidR="00060A2A" w:rsidRPr="00060A2A" w:rsidTr="00060A2A">
        <w:trPr>
          <w:trHeight w:val="315"/>
        </w:trPr>
        <w:tc>
          <w:tcPr>
            <w:tcW w:w="208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val="en-AU" w:eastAsia="en-AU"/>
              </w:rPr>
              <w:t>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2013-18</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2016 AQC</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FFC0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3</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FFC0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3</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r>
      <w:tr w:rsidR="00060A2A" w:rsidRPr="00060A2A" w:rsidTr="00060A2A">
        <w:trPr>
          <w:trHeight w:val="675"/>
        </w:trPr>
        <w:tc>
          <w:tcPr>
            <w:tcW w:w="208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6"/>
                <w:szCs w:val="16"/>
                <w:lang w:val="en-AU" w:eastAsia="en-AU"/>
              </w:rPr>
            </w:pPr>
            <w:r w:rsidRPr="00060A2A">
              <w:rPr>
                <w:rFonts w:eastAsia="Times New Roman" w:cs="Times New Roman"/>
                <w:color w:val="auto"/>
                <w:sz w:val="16"/>
                <w:szCs w:val="16"/>
                <w:lang w:eastAsia="en-AU"/>
              </w:rPr>
              <w:t xml:space="preserve">INK042 Cao Lanh M&amp;E Social Development, Diplomacy &amp; Civil Work </w:t>
            </w:r>
          </w:p>
        </w:tc>
        <w:tc>
          <w:tcPr>
            <w:tcW w:w="9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$130.5m</w:t>
            </w:r>
          </w:p>
        </w:tc>
        <w:tc>
          <w:tcPr>
            <w:tcW w:w="9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2017 AQC </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r>
      <w:tr w:rsidR="00060A2A" w:rsidRPr="00060A2A" w:rsidTr="00060A2A">
        <w:trPr>
          <w:trHeight w:val="315"/>
        </w:trPr>
        <w:tc>
          <w:tcPr>
            <w:tcW w:w="2080" w:type="dxa"/>
            <w:tcBorders>
              <w:top w:val="nil"/>
              <w:left w:val="nil"/>
              <w:bottom w:val="single" w:sz="8" w:space="0" w:color="00000A"/>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6"/>
                <w:szCs w:val="16"/>
                <w:lang w:val="en-AU" w:eastAsia="en-AU"/>
              </w:rPr>
            </w:pPr>
            <w:r w:rsidRPr="00060A2A">
              <w:rPr>
                <w:rFonts w:eastAsia="Times New Roman" w:cs="Times New Roman"/>
                <w:color w:val="auto"/>
                <w:sz w:val="16"/>
                <w:szCs w:val="16"/>
                <w:lang w:val="en-AU" w:eastAsia="en-AU"/>
              </w:rPr>
              <w:t> </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2011 -21</w:t>
            </w:r>
          </w:p>
        </w:tc>
        <w:tc>
          <w:tcPr>
            <w:tcW w:w="96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2016 AQC</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6</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r>
      <w:tr w:rsidR="00060A2A" w:rsidRPr="00060A2A" w:rsidTr="00060A2A">
        <w:trPr>
          <w:trHeight w:val="450"/>
        </w:trPr>
        <w:tc>
          <w:tcPr>
            <w:tcW w:w="2080" w:type="dxa"/>
            <w:tcBorders>
              <w:top w:val="nil"/>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INL354 Restructuring Competitive Vietnam (RCV) </w:t>
            </w:r>
          </w:p>
        </w:tc>
        <w:tc>
          <w:tcPr>
            <w:tcW w:w="9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$3.6m</w:t>
            </w:r>
          </w:p>
        </w:tc>
        <w:tc>
          <w:tcPr>
            <w:tcW w:w="9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 xml:space="preserve">2017 AQC </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single" w:sz="8" w:space="0" w:color="00000A"/>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single" w:sz="8" w:space="0" w:color="00000A"/>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single" w:sz="8" w:space="0" w:color="00000A"/>
              <w:left w:val="nil"/>
              <w:bottom w:val="nil"/>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single" w:sz="8" w:space="0" w:color="00000A"/>
              <w:left w:val="nil"/>
              <w:bottom w:val="nil"/>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single" w:sz="8" w:space="0" w:color="00000A"/>
              <w:left w:val="nil"/>
              <w:bottom w:val="nil"/>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n/a</w:t>
            </w:r>
          </w:p>
        </w:tc>
      </w:tr>
      <w:tr w:rsidR="00060A2A" w:rsidRPr="00060A2A" w:rsidTr="00060A2A">
        <w:trPr>
          <w:trHeight w:val="315"/>
        </w:trPr>
        <w:tc>
          <w:tcPr>
            <w:tcW w:w="2080" w:type="dxa"/>
            <w:tcBorders>
              <w:top w:val="nil"/>
              <w:left w:val="nil"/>
              <w:bottom w:val="single" w:sz="12" w:space="0" w:color="000000"/>
              <w:right w:val="nil"/>
            </w:tcBorders>
            <w:shd w:val="clear" w:color="auto" w:fill="auto"/>
            <w:vAlign w:val="center"/>
            <w:hideMark/>
          </w:tcPr>
          <w:p w:rsidR="00060A2A" w:rsidRPr="00060A2A" w:rsidRDefault="00060A2A" w:rsidP="00060A2A">
            <w:pPr>
              <w:suppressAutoHyphens w:val="0"/>
              <w:spacing w:before="0" w:after="0" w:line="240" w:lineRule="auto"/>
              <w:rPr>
                <w:rFonts w:eastAsia="Times New Roman" w:cs="Times New Roman"/>
                <w:color w:val="auto"/>
                <w:sz w:val="17"/>
                <w:szCs w:val="17"/>
                <w:lang w:val="en-AU" w:eastAsia="en-AU"/>
              </w:rPr>
            </w:pPr>
            <w:r w:rsidRPr="00060A2A">
              <w:rPr>
                <w:rFonts w:eastAsia="Times New Roman" w:cs="Times New Roman"/>
                <w:color w:val="auto"/>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2014-17</w:t>
            </w:r>
          </w:p>
        </w:tc>
        <w:tc>
          <w:tcPr>
            <w:tcW w:w="960" w:type="dxa"/>
            <w:tcBorders>
              <w:top w:val="nil"/>
              <w:left w:val="nil"/>
              <w:bottom w:val="single" w:sz="12" w:space="0" w:color="000000"/>
              <w:right w:val="nil"/>
            </w:tcBorders>
            <w:shd w:val="clear" w:color="auto" w:fill="auto"/>
            <w:vAlign w:val="center"/>
            <w:hideMark/>
          </w:tcPr>
          <w:p w:rsidR="00060A2A" w:rsidRPr="00060A2A" w:rsidRDefault="00060A2A" w:rsidP="00060A2A">
            <w:pPr>
              <w:suppressAutoHyphens w:val="0"/>
              <w:spacing w:before="0" w:after="0" w:line="240" w:lineRule="auto"/>
              <w:jc w:val="center"/>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2016 AQC</w:t>
            </w:r>
          </w:p>
        </w:tc>
        <w:tc>
          <w:tcPr>
            <w:tcW w:w="760" w:type="dxa"/>
            <w:tcBorders>
              <w:top w:val="nil"/>
              <w:left w:val="nil"/>
              <w:bottom w:val="single" w:sz="12" w:space="0" w:color="000000"/>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12" w:space="0" w:color="000000"/>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12" w:space="0" w:color="000000"/>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12" w:space="0" w:color="000000"/>
              <w:right w:val="nil"/>
            </w:tcBorders>
            <w:shd w:val="clear" w:color="000000" w:fill="FFC0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3</w:t>
            </w:r>
          </w:p>
        </w:tc>
        <w:tc>
          <w:tcPr>
            <w:tcW w:w="760" w:type="dxa"/>
            <w:tcBorders>
              <w:top w:val="nil"/>
              <w:left w:val="nil"/>
              <w:bottom w:val="single" w:sz="12" w:space="0" w:color="000000"/>
              <w:right w:val="nil"/>
            </w:tcBorders>
            <w:shd w:val="clear" w:color="000000" w:fill="7FB64D"/>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5</w:t>
            </w:r>
          </w:p>
        </w:tc>
        <w:tc>
          <w:tcPr>
            <w:tcW w:w="760" w:type="dxa"/>
            <w:tcBorders>
              <w:top w:val="nil"/>
              <w:left w:val="nil"/>
              <w:bottom w:val="single" w:sz="12" w:space="0" w:color="000000"/>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c>
          <w:tcPr>
            <w:tcW w:w="760" w:type="dxa"/>
            <w:tcBorders>
              <w:top w:val="nil"/>
              <w:left w:val="nil"/>
              <w:bottom w:val="single" w:sz="12" w:space="0" w:color="000000"/>
              <w:right w:val="nil"/>
            </w:tcBorders>
            <w:shd w:val="clear" w:color="000000" w:fill="FFFF00"/>
            <w:vAlign w:val="center"/>
            <w:hideMark/>
          </w:tcPr>
          <w:p w:rsidR="00060A2A" w:rsidRPr="00060A2A" w:rsidRDefault="00060A2A" w:rsidP="00060A2A">
            <w:pPr>
              <w:suppressAutoHyphens w:val="0"/>
              <w:spacing w:before="0" w:after="0" w:line="240" w:lineRule="auto"/>
              <w:jc w:val="right"/>
              <w:rPr>
                <w:rFonts w:eastAsia="Times New Roman" w:cs="Times New Roman"/>
                <w:color w:val="auto"/>
                <w:sz w:val="17"/>
                <w:szCs w:val="17"/>
                <w:lang w:val="en-AU" w:eastAsia="en-AU"/>
              </w:rPr>
            </w:pPr>
            <w:r w:rsidRPr="00060A2A">
              <w:rPr>
                <w:rFonts w:eastAsia="Times New Roman" w:cs="Times New Roman"/>
                <w:color w:val="auto"/>
                <w:sz w:val="17"/>
                <w:szCs w:val="17"/>
                <w:lang w:eastAsia="en-AU"/>
              </w:rPr>
              <w:t>4</w:t>
            </w:r>
          </w:p>
        </w:tc>
      </w:tr>
    </w:tbl>
    <w:p w:rsidR="00E974CB" w:rsidRDefault="00E974CB">
      <w:pPr>
        <w:keepLines/>
        <w:spacing w:before="40" w:after="40" w:line="200" w:lineRule="atLeast"/>
        <w:jc w:val="center"/>
        <w:rPr>
          <w:iCs/>
        </w:rPr>
      </w:pPr>
    </w:p>
    <w:p w:rsidR="000C06F0" w:rsidRPr="001E6927" w:rsidRDefault="000C06F0" w:rsidP="000C06F0">
      <w:pPr>
        <w:spacing w:before="20" w:after="120" w:line="180" w:lineRule="atLeast"/>
        <w:jc w:val="both"/>
        <w:rPr>
          <w:rFonts w:eastAsia="Times New Roman"/>
          <w:b/>
          <w:color w:val="000000" w:themeColor="text1"/>
          <w:sz w:val="16"/>
          <w:szCs w:val="14"/>
        </w:rPr>
      </w:pPr>
      <w:r w:rsidRPr="001E6927">
        <w:rPr>
          <w:rFonts w:eastAsia="Times New Roman"/>
          <w:b/>
          <w:color w:val="000000" w:themeColor="text1"/>
          <w:sz w:val="16"/>
          <w:szCs w:val="14"/>
        </w:rPr>
        <w:t>Definitions of rating scale:</w:t>
      </w:r>
      <w:r w:rsidRPr="001E6927">
        <w:rPr>
          <w:rFonts w:eastAsia="Times New Roman"/>
          <w:b/>
          <w:color w:val="000000" w:themeColor="text1"/>
          <w:sz w:val="16"/>
          <w:szCs w:val="14"/>
        </w:rPr>
        <w:tab/>
      </w:r>
    </w:p>
    <w:p w:rsidR="000C06F0" w:rsidRPr="001E6927" w:rsidRDefault="000C06F0" w:rsidP="000C06F0">
      <w:pPr>
        <w:spacing w:before="20" w:after="20" w:line="180" w:lineRule="atLeast"/>
        <w:jc w:val="both"/>
        <w:rPr>
          <w:rFonts w:eastAsia="Times New Roman"/>
          <w:b/>
          <w:color w:val="000000" w:themeColor="text1"/>
          <w:sz w:val="16"/>
          <w:szCs w:val="14"/>
        </w:rPr>
      </w:pPr>
      <w:r w:rsidRPr="001E6927">
        <w:rPr>
          <w:rFonts w:eastAsia="Times New Roman"/>
          <w:b/>
          <w:color w:val="000000" w:themeColor="text1"/>
          <w:sz w:val="16"/>
          <w:szCs w:val="14"/>
        </w:rPr>
        <w:t>Satisfactory (4, 5 and 6)</w:t>
      </w:r>
    </w:p>
    <w:p w:rsidR="000C06F0" w:rsidRPr="001E6927" w:rsidRDefault="000C06F0" w:rsidP="00FD05D1">
      <w:pPr>
        <w:spacing w:before="20" w:after="20" w:line="180" w:lineRule="atLeast"/>
        <w:rPr>
          <w:rFonts w:eastAsia="Times New Roman"/>
          <w:sz w:val="16"/>
          <w:szCs w:val="14"/>
        </w:rPr>
      </w:pPr>
      <w:r w:rsidRPr="001E6927">
        <w:rPr>
          <w:rFonts w:eastAsia="Times New Roman"/>
          <w:color w:val="72AF2F"/>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 xml:space="preserve">6 = Very good; satisfies criteria in all areas.  </w:t>
      </w:r>
      <w:r w:rsidR="00FD05D1">
        <w:rPr>
          <w:rFonts w:eastAsia="Times New Roman"/>
          <w:color w:val="000000" w:themeColor="text1"/>
          <w:sz w:val="16"/>
          <w:szCs w:val="14"/>
        </w:rPr>
        <w:br/>
      </w:r>
      <w:r w:rsidRPr="001E6927">
        <w:rPr>
          <w:rFonts w:eastAsia="Times New Roman"/>
          <w:color w:val="72AF2F"/>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5 = Good; satisfies criteria in almost all areas.</w:t>
      </w:r>
    </w:p>
    <w:p w:rsidR="000C06F0" w:rsidRPr="001E6927" w:rsidRDefault="000C06F0" w:rsidP="00FD05D1">
      <w:pPr>
        <w:spacing w:before="20" w:after="20" w:line="180" w:lineRule="atLeast"/>
        <w:rPr>
          <w:rFonts w:eastAsia="Times New Roman"/>
          <w:color w:val="000000" w:themeColor="text1"/>
          <w:sz w:val="16"/>
          <w:szCs w:val="14"/>
        </w:rPr>
      </w:pPr>
      <w:r w:rsidRPr="001E6927">
        <w:rPr>
          <w:rFonts w:eastAsia="Times New Roman"/>
          <w:color w:val="FFFF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4 = Adequate; on balance, satisfies criteria; does not fail in any major area.</w:t>
      </w:r>
    </w:p>
    <w:p w:rsidR="000C06F0" w:rsidRPr="001E6927" w:rsidRDefault="000C06F0" w:rsidP="00FD05D1">
      <w:pPr>
        <w:spacing w:before="20" w:after="20" w:line="180" w:lineRule="atLeast"/>
        <w:rPr>
          <w:rFonts w:eastAsia="Times New Roman"/>
          <w:b/>
          <w:color w:val="000000" w:themeColor="text1"/>
          <w:sz w:val="16"/>
          <w:szCs w:val="14"/>
        </w:rPr>
      </w:pPr>
      <w:r w:rsidRPr="001E6927">
        <w:rPr>
          <w:rFonts w:eastAsia="Times New Roman"/>
          <w:b/>
          <w:color w:val="000000" w:themeColor="text1"/>
          <w:sz w:val="16"/>
          <w:szCs w:val="14"/>
        </w:rPr>
        <w:t>Less than satisfactory (1, 2 and 3)</w:t>
      </w:r>
    </w:p>
    <w:p w:rsidR="000C06F0" w:rsidRPr="001E6927" w:rsidRDefault="000C06F0" w:rsidP="00FD05D1">
      <w:pPr>
        <w:spacing w:before="20" w:after="20" w:line="180" w:lineRule="atLeast"/>
        <w:rPr>
          <w:rFonts w:eastAsia="Times New Roman"/>
          <w:sz w:val="16"/>
          <w:szCs w:val="14"/>
        </w:rPr>
      </w:pPr>
      <w:r w:rsidRPr="001E6927">
        <w:rPr>
          <w:rFonts w:eastAsia="Times New Roman"/>
          <w:color w:val="E36C0A"/>
          <w:sz w:val="16"/>
          <w:szCs w:val="14"/>
        </w:rPr>
        <w:sym w:font="Webdings" w:char="F067"/>
      </w:r>
      <w:r w:rsidRPr="001E6927">
        <w:rPr>
          <w:rFonts w:eastAsia="Times New Roman"/>
          <w:color w:val="E36C0A"/>
          <w:sz w:val="16"/>
          <w:szCs w:val="14"/>
        </w:rPr>
        <w:t xml:space="preserve"> </w:t>
      </w:r>
      <w:r w:rsidRPr="001E6927">
        <w:rPr>
          <w:rFonts w:eastAsia="Times New Roman"/>
          <w:color w:val="000000" w:themeColor="text1"/>
          <w:sz w:val="16"/>
          <w:szCs w:val="14"/>
        </w:rPr>
        <w:t>3 = Less than adequate; on balance does not satisfy criteria and/or fails in at least one major area.</w:t>
      </w:r>
    </w:p>
    <w:p w:rsidR="000C06F0" w:rsidRPr="001E6927" w:rsidRDefault="000C06F0" w:rsidP="00FD05D1">
      <w:pPr>
        <w:spacing w:before="20" w:after="20" w:line="180" w:lineRule="atLeast"/>
        <w:rPr>
          <w:rFonts w:eastAsia="Times New Roman"/>
          <w:sz w:val="16"/>
          <w:szCs w:val="14"/>
        </w:rPr>
      </w:pPr>
      <w:r w:rsidRPr="001E6927">
        <w:rPr>
          <w:rFonts w:eastAsia="Times New Roman"/>
          <w:color w:val="FF00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2 = Poor; does not satisfy criteria in major areas.</w:t>
      </w:r>
      <w:r w:rsidRPr="001E6927">
        <w:rPr>
          <w:rFonts w:eastAsia="Times New Roman"/>
          <w:sz w:val="16"/>
          <w:szCs w:val="14"/>
        </w:rPr>
        <w:t xml:space="preserve"> </w:t>
      </w:r>
      <w:r w:rsidR="00FD05D1">
        <w:rPr>
          <w:rFonts w:eastAsia="Times New Roman"/>
          <w:sz w:val="16"/>
          <w:szCs w:val="14"/>
        </w:rPr>
        <w:br/>
      </w:r>
      <w:r w:rsidRPr="001E6927">
        <w:rPr>
          <w:rFonts w:eastAsia="Times New Roman"/>
          <w:color w:val="FF0000"/>
          <w:sz w:val="16"/>
          <w:szCs w:val="14"/>
        </w:rPr>
        <w:sym w:font="Webdings" w:char="F067"/>
      </w:r>
      <w:r w:rsidRPr="001E6927">
        <w:rPr>
          <w:rFonts w:eastAsia="Times New Roman"/>
          <w:sz w:val="16"/>
          <w:szCs w:val="14"/>
        </w:rPr>
        <w:t xml:space="preserve"> </w:t>
      </w:r>
      <w:r w:rsidRPr="001E6927">
        <w:rPr>
          <w:rFonts w:eastAsia="Times New Roman"/>
          <w:color w:val="000000" w:themeColor="text1"/>
          <w:sz w:val="16"/>
          <w:szCs w:val="14"/>
        </w:rPr>
        <w:t>1 = Very poor; does not satisfy criteria in many major area.</w:t>
      </w:r>
    </w:p>
    <w:p w:rsidR="00E974CB" w:rsidRDefault="00E974CB">
      <w:pPr>
        <w:keepNext/>
        <w:spacing w:before="240" w:after="120"/>
        <w:outlineLvl w:val="2"/>
        <w:rPr>
          <w:rFonts w:ascii="Helvetica" w:eastAsia="Times New Roman" w:hAnsi="Helvetica" w:cs="Arial"/>
          <w:b/>
          <w:color w:val="124486"/>
          <w:lang w:eastAsia="zh-CN"/>
        </w:rPr>
      </w:pPr>
    </w:p>
    <w:p w:rsidR="00E974CB" w:rsidRDefault="00E974CB">
      <w:pPr>
        <w:keepNext/>
        <w:spacing w:before="240" w:after="120"/>
        <w:outlineLvl w:val="2"/>
        <w:rPr>
          <w:rFonts w:ascii="Helvetica" w:eastAsia="Times New Roman" w:hAnsi="Helvetica" w:cs="Arial"/>
          <w:b/>
          <w:color w:val="124486"/>
          <w:lang w:eastAsia="zh-CN"/>
        </w:rPr>
      </w:pPr>
    </w:p>
    <w:p w:rsidR="00E974CB" w:rsidRDefault="00E974CB">
      <w:pPr>
        <w:keepNext/>
        <w:spacing w:before="240" w:after="120"/>
        <w:outlineLvl w:val="2"/>
        <w:rPr>
          <w:rFonts w:ascii="Helvetica" w:eastAsia="Times New Roman" w:hAnsi="Helvetica" w:cs="Arial"/>
          <w:b/>
          <w:color w:val="124486"/>
          <w:lang w:eastAsia="zh-CN"/>
        </w:rPr>
      </w:pPr>
    </w:p>
    <w:p w:rsidR="00E974CB" w:rsidRDefault="00E974CB"/>
    <w:p w:rsidR="000C06F0" w:rsidRDefault="000C06F0">
      <w:pPr>
        <w:suppressAutoHyphens w:val="0"/>
        <w:spacing w:before="0" w:after="120" w:line="440" w:lineRule="atLeast"/>
        <w:sectPr w:rsidR="000C06F0">
          <w:type w:val="continuous"/>
          <w:pgSz w:w="11906" w:h="16838"/>
          <w:pgMar w:top="1527" w:right="1134" w:bottom="851" w:left="1134" w:header="1418" w:footer="567" w:gutter="0"/>
          <w:cols w:space="720"/>
          <w:formProt w:val="0"/>
          <w:docGrid w:linePitch="360" w:charSpace="-2049"/>
        </w:sectPr>
      </w:pPr>
    </w:p>
    <w:p w:rsidR="00E974CB" w:rsidRPr="004A34E8" w:rsidRDefault="004806CF">
      <w:pPr>
        <w:spacing w:before="20" w:after="20" w:line="180" w:lineRule="atLeast"/>
        <w:rPr>
          <w:color w:val="auto"/>
        </w:rPr>
      </w:pPr>
      <w:r w:rsidRPr="004A34E8">
        <w:rPr>
          <w:rFonts w:eastAsiaTheme="majorEastAsia" w:cstheme="majorBidi"/>
          <w:bCs/>
          <w:iCs/>
          <w:caps/>
          <w:color w:val="auto"/>
          <w:spacing w:val="-10"/>
          <w:sz w:val="38"/>
          <w:szCs w:val="24"/>
        </w:rPr>
        <w:t>Annex E – Performance Assessment Framework</w:t>
      </w:r>
    </w:p>
    <w:p w:rsidR="00E974CB" w:rsidRPr="004A34E8" w:rsidRDefault="00E974CB">
      <w:pPr>
        <w:spacing w:before="20" w:after="20" w:line="180" w:lineRule="atLeast"/>
        <w:rPr>
          <w:rFonts w:ascii="Helvetica" w:eastAsia="Times New Roman" w:hAnsi="Helvetica" w:cs="Arial"/>
          <w:color w:val="auto"/>
          <w:sz w:val="28"/>
          <w:szCs w:val="28"/>
        </w:rPr>
      </w:pPr>
    </w:p>
    <w:p w:rsidR="000C06F0" w:rsidRPr="004A34E8" w:rsidRDefault="004806CF">
      <w:pPr>
        <w:rPr>
          <w:color w:val="auto"/>
        </w:rPr>
      </w:pPr>
      <w:r w:rsidRPr="004A34E8">
        <w:rPr>
          <w:color w:val="auto"/>
        </w:rPr>
        <w:t>Insert Performance Assessment Framework</w:t>
      </w:r>
    </w:p>
    <w:p w:rsidR="000C06F0" w:rsidRPr="004A34E8" w:rsidRDefault="000C06F0">
      <w:pPr>
        <w:rPr>
          <w:color w:val="auto"/>
        </w:rPr>
      </w:pPr>
    </w:p>
    <w:tbl>
      <w:tblPr>
        <w:tblW w:w="15701" w:type="dxa"/>
        <w:tblInd w:w="-108" w:type="dxa"/>
        <w:tblBorders>
          <w:top w:val="single" w:sz="4" w:space="0" w:color="auto"/>
          <w:bottom w:val="single" w:sz="4" w:space="0" w:color="auto"/>
        </w:tblBorders>
        <w:tblLayout w:type="fixed"/>
        <w:tblLook w:val="04A0" w:firstRow="1" w:lastRow="0" w:firstColumn="1" w:lastColumn="0" w:noHBand="0" w:noVBand="1"/>
      </w:tblPr>
      <w:tblGrid>
        <w:gridCol w:w="1809"/>
        <w:gridCol w:w="2127"/>
        <w:gridCol w:w="1275"/>
        <w:gridCol w:w="1276"/>
        <w:gridCol w:w="1985"/>
        <w:gridCol w:w="2126"/>
        <w:gridCol w:w="2126"/>
        <w:gridCol w:w="2977"/>
      </w:tblGrid>
      <w:tr w:rsidR="000C06F0" w:rsidRPr="004A34E8" w:rsidTr="00E44E22">
        <w:trPr>
          <w:trHeight w:val="567"/>
        </w:trPr>
        <w:tc>
          <w:tcPr>
            <w:tcW w:w="15701" w:type="dxa"/>
            <w:gridSpan w:val="8"/>
            <w:shd w:val="clear" w:color="auto" w:fill="auto"/>
          </w:tcPr>
          <w:p w:rsidR="000C06F0" w:rsidRPr="004A34E8" w:rsidRDefault="000C06F0" w:rsidP="003016C3">
            <w:pPr>
              <w:spacing w:after="0" w:line="240" w:lineRule="auto"/>
              <w:rPr>
                <w:b/>
                <w:color w:val="auto"/>
                <w:sz w:val="17"/>
                <w:szCs w:val="17"/>
              </w:rPr>
            </w:pPr>
            <w:r w:rsidRPr="004A34E8">
              <w:rPr>
                <w:b/>
                <w:color w:val="auto"/>
                <w:sz w:val="17"/>
                <w:szCs w:val="17"/>
              </w:rPr>
              <w:t>Annual Progress Targets/Milestones</w:t>
            </w:r>
          </w:p>
        </w:tc>
      </w:tr>
      <w:tr w:rsidR="000C06F0" w:rsidRPr="004A34E8" w:rsidTr="00E44E22">
        <w:trPr>
          <w:trHeight w:val="412"/>
        </w:trPr>
        <w:tc>
          <w:tcPr>
            <w:tcW w:w="1809" w:type="dxa"/>
            <w:shd w:val="clear" w:color="auto" w:fill="auto"/>
          </w:tcPr>
          <w:p w:rsidR="000C06F0" w:rsidRPr="004A34E8" w:rsidRDefault="000C06F0" w:rsidP="003016C3">
            <w:pPr>
              <w:spacing w:after="0" w:line="240" w:lineRule="auto"/>
              <w:rPr>
                <w:b/>
                <w:color w:val="auto"/>
                <w:sz w:val="17"/>
                <w:szCs w:val="17"/>
              </w:rPr>
            </w:pPr>
            <w:r w:rsidRPr="004A34E8">
              <w:rPr>
                <w:b/>
                <w:color w:val="auto"/>
                <w:sz w:val="17"/>
                <w:szCs w:val="17"/>
              </w:rPr>
              <w:t>Intermediate Outcome</w:t>
            </w:r>
          </w:p>
        </w:tc>
        <w:tc>
          <w:tcPr>
            <w:tcW w:w="2127" w:type="dxa"/>
            <w:shd w:val="clear" w:color="auto" w:fill="auto"/>
          </w:tcPr>
          <w:p w:rsidR="000C06F0" w:rsidRPr="004A34E8" w:rsidRDefault="000C06F0" w:rsidP="003016C3">
            <w:pPr>
              <w:spacing w:after="0" w:line="240" w:lineRule="auto"/>
              <w:jc w:val="center"/>
              <w:rPr>
                <w:b/>
                <w:color w:val="auto"/>
                <w:sz w:val="17"/>
                <w:szCs w:val="17"/>
              </w:rPr>
            </w:pPr>
            <w:r w:rsidRPr="004A34E8">
              <w:rPr>
                <w:b/>
                <w:color w:val="auto"/>
                <w:sz w:val="17"/>
                <w:szCs w:val="17"/>
              </w:rPr>
              <w:t>Intermediate Outcome Indicator</w:t>
            </w:r>
          </w:p>
        </w:tc>
        <w:tc>
          <w:tcPr>
            <w:tcW w:w="1275" w:type="dxa"/>
            <w:shd w:val="clear" w:color="auto" w:fill="auto"/>
          </w:tcPr>
          <w:p w:rsidR="000C06F0" w:rsidRPr="004A34E8" w:rsidRDefault="000C06F0" w:rsidP="003016C3">
            <w:pPr>
              <w:spacing w:after="0" w:line="240" w:lineRule="auto"/>
              <w:jc w:val="center"/>
              <w:rPr>
                <w:b/>
                <w:color w:val="auto"/>
                <w:sz w:val="17"/>
                <w:szCs w:val="17"/>
              </w:rPr>
            </w:pPr>
            <w:r w:rsidRPr="004A34E8">
              <w:rPr>
                <w:b/>
                <w:color w:val="auto"/>
                <w:sz w:val="17"/>
                <w:szCs w:val="17"/>
              </w:rPr>
              <w:t>Milestone</w:t>
            </w:r>
          </w:p>
          <w:p w:rsidR="000C06F0" w:rsidRPr="004A34E8" w:rsidRDefault="000C06F0" w:rsidP="003016C3">
            <w:pPr>
              <w:spacing w:after="0" w:line="240" w:lineRule="auto"/>
              <w:jc w:val="center"/>
              <w:rPr>
                <w:b/>
                <w:color w:val="auto"/>
                <w:sz w:val="17"/>
                <w:szCs w:val="17"/>
              </w:rPr>
            </w:pPr>
            <w:r w:rsidRPr="004A34E8">
              <w:rPr>
                <w:b/>
                <w:color w:val="auto"/>
                <w:sz w:val="17"/>
                <w:szCs w:val="17"/>
              </w:rPr>
              <w:t>2015-2016</w:t>
            </w:r>
          </w:p>
        </w:tc>
        <w:tc>
          <w:tcPr>
            <w:tcW w:w="1276" w:type="dxa"/>
            <w:shd w:val="clear" w:color="auto" w:fill="auto"/>
          </w:tcPr>
          <w:p w:rsidR="000C06F0" w:rsidRPr="004A34E8" w:rsidRDefault="000C06F0" w:rsidP="003016C3">
            <w:pPr>
              <w:spacing w:after="0" w:line="240" w:lineRule="auto"/>
              <w:jc w:val="center"/>
              <w:rPr>
                <w:b/>
                <w:color w:val="auto"/>
                <w:sz w:val="17"/>
                <w:szCs w:val="17"/>
              </w:rPr>
            </w:pPr>
            <w:r w:rsidRPr="004A34E8">
              <w:rPr>
                <w:b/>
                <w:color w:val="auto"/>
                <w:sz w:val="17"/>
                <w:szCs w:val="17"/>
              </w:rPr>
              <w:t>Milestone</w:t>
            </w:r>
          </w:p>
          <w:p w:rsidR="000C06F0" w:rsidRPr="004A34E8" w:rsidRDefault="000C06F0" w:rsidP="003016C3">
            <w:pPr>
              <w:spacing w:after="0" w:line="240" w:lineRule="auto"/>
              <w:jc w:val="center"/>
              <w:rPr>
                <w:b/>
                <w:color w:val="auto"/>
                <w:sz w:val="17"/>
                <w:szCs w:val="17"/>
              </w:rPr>
            </w:pPr>
            <w:r w:rsidRPr="004A34E8">
              <w:rPr>
                <w:b/>
                <w:color w:val="auto"/>
                <w:sz w:val="17"/>
                <w:szCs w:val="17"/>
              </w:rPr>
              <w:t>2016-2017</w:t>
            </w:r>
          </w:p>
        </w:tc>
        <w:tc>
          <w:tcPr>
            <w:tcW w:w="1985" w:type="dxa"/>
            <w:shd w:val="clear" w:color="auto" w:fill="auto"/>
          </w:tcPr>
          <w:p w:rsidR="000C06F0" w:rsidRPr="004A34E8" w:rsidRDefault="000C06F0" w:rsidP="003016C3">
            <w:pPr>
              <w:spacing w:after="0" w:line="240" w:lineRule="auto"/>
              <w:jc w:val="center"/>
              <w:rPr>
                <w:b/>
                <w:color w:val="auto"/>
                <w:sz w:val="17"/>
                <w:szCs w:val="17"/>
              </w:rPr>
            </w:pPr>
            <w:r w:rsidRPr="004A34E8">
              <w:rPr>
                <w:b/>
                <w:color w:val="auto"/>
                <w:sz w:val="17"/>
                <w:szCs w:val="17"/>
              </w:rPr>
              <w:t>Milestone</w:t>
            </w:r>
          </w:p>
          <w:p w:rsidR="000C06F0" w:rsidRPr="004A34E8" w:rsidRDefault="000C06F0" w:rsidP="003016C3">
            <w:pPr>
              <w:spacing w:after="0" w:line="240" w:lineRule="auto"/>
              <w:jc w:val="center"/>
              <w:rPr>
                <w:b/>
                <w:color w:val="auto"/>
                <w:sz w:val="17"/>
                <w:szCs w:val="17"/>
              </w:rPr>
            </w:pPr>
            <w:r w:rsidRPr="004A34E8">
              <w:rPr>
                <w:b/>
                <w:color w:val="auto"/>
                <w:sz w:val="17"/>
                <w:szCs w:val="17"/>
              </w:rPr>
              <w:t>2017-2018</w:t>
            </w:r>
          </w:p>
        </w:tc>
        <w:tc>
          <w:tcPr>
            <w:tcW w:w="2126" w:type="dxa"/>
            <w:shd w:val="clear" w:color="auto" w:fill="auto"/>
          </w:tcPr>
          <w:p w:rsidR="000C06F0" w:rsidRPr="004A34E8" w:rsidRDefault="000C06F0" w:rsidP="003016C3">
            <w:pPr>
              <w:spacing w:after="0" w:line="240" w:lineRule="auto"/>
              <w:jc w:val="center"/>
              <w:rPr>
                <w:b/>
                <w:color w:val="auto"/>
                <w:sz w:val="17"/>
                <w:szCs w:val="17"/>
              </w:rPr>
            </w:pPr>
            <w:r w:rsidRPr="004A34E8">
              <w:rPr>
                <w:b/>
                <w:color w:val="auto"/>
                <w:sz w:val="17"/>
                <w:szCs w:val="17"/>
              </w:rPr>
              <w:t>Milestone</w:t>
            </w:r>
          </w:p>
          <w:p w:rsidR="000C06F0" w:rsidRPr="004A34E8" w:rsidRDefault="000C06F0" w:rsidP="003016C3">
            <w:pPr>
              <w:spacing w:after="0" w:line="240" w:lineRule="auto"/>
              <w:jc w:val="center"/>
              <w:rPr>
                <w:b/>
                <w:color w:val="auto"/>
                <w:sz w:val="17"/>
                <w:szCs w:val="17"/>
              </w:rPr>
            </w:pPr>
            <w:r w:rsidRPr="004A34E8">
              <w:rPr>
                <w:b/>
                <w:color w:val="auto"/>
                <w:sz w:val="17"/>
                <w:szCs w:val="17"/>
              </w:rPr>
              <w:t>2018-2019</w:t>
            </w:r>
          </w:p>
        </w:tc>
        <w:tc>
          <w:tcPr>
            <w:tcW w:w="2126" w:type="dxa"/>
          </w:tcPr>
          <w:p w:rsidR="000C06F0" w:rsidRPr="004A34E8" w:rsidRDefault="000C06F0" w:rsidP="00FC336A">
            <w:pPr>
              <w:jc w:val="center"/>
              <w:rPr>
                <w:rFonts w:asciiTheme="majorHAnsi" w:hAnsiTheme="majorHAnsi"/>
                <w:b/>
                <w:color w:val="auto"/>
                <w:sz w:val="17"/>
                <w:szCs w:val="17"/>
              </w:rPr>
            </w:pPr>
            <w:r w:rsidRPr="004A34E8">
              <w:rPr>
                <w:rFonts w:asciiTheme="majorHAnsi" w:hAnsiTheme="majorHAnsi"/>
                <w:b/>
                <w:color w:val="auto"/>
                <w:sz w:val="17"/>
                <w:szCs w:val="17"/>
              </w:rPr>
              <w:t>Milestone</w:t>
            </w:r>
          </w:p>
          <w:p w:rsidR="000C06F0" w:rsidRPr="004A34E8" w:rsidRDefault="000C06F0" w:rsidP="00FC336A">
            <w:pPr>
              <w:jc w:val="center"/>
              <w:rPr>
                <w:rFonts w:asciiTheme="majorHAnsi" w:hAnsiTheme="majorHAnsi"/>
                <w:b/>
                <w:color w:val="auto"/>
                <w:sz w:val="17"/>
                <w:szCs w:val="17"/>
              </w:rPr>
            </w:pPr>
            <w:r w:rsidRPr="004A34E8">
              <w:rPr>
                <w:rFonts w:asciiTheme="majorHAnsi" w:hAnsiTheme="majorHAnsi"/>
                <w:b/>
                <w:color w:val="auto"/>
                <w:sz w:val="17"/>
                <w:szCs w:val="17"/>
              </w:rPr>
              <w:t>2019-2020</w:t>
            </w:r>
          </w:p>
        </w:tc>
        <w:tc>
          <w:tcPr>
            <w:tcW w:w="2977" w:type="dxa"/>
          </w:tcPr>
          <w:p w:rsidR="000C06F0" w:rsidRPr="004A34E8" w:rsidRDefault="000C06F0" w:rsidP="00FC336A">
            <w:pPr>
              <w:jc w:val="center"/>
              <w:rPr>
                <w:rFonts w:asciiTheme="majorHAnsi" w:hAnsiTheme="majorHAnsi"/>
                <w:b/>
                <w:color w:val="auto"/>
                <w:sz w:val="17"/>
                <w:szCs w:val="17"/>
              </w:rPr>
            </w:pPr>
            <w:r w:rsidRPr="004A34E8">
              <w:rPr>
                <w:rFonts w:asciiTheme="majorHAnsi" w:hAnsiTheme="majorHAnsi"/>
                <w:b/>
                <w:color w:val="auto"/>
                <w:sz w:val="17"/>
                <w:szCs w:val="17"/>
              </w:rPr>
              <w:t>Data source and baseline</w:t>
            </w:r>
          </w:p>
        </w:tc>
      </w:tr>
      <w:tr w:rsidR="000C06F0" w:rsidRPr="004A34E8" w:rsidTr="00E44E22">
        <w:trPr>
          <w:trHeight w:val="567"/>
        </w:trPr>
        <w:tc>
          <w:tcPr>
            <w:tcW w:w="1809" w:type="dxa"/>
            <w:shd w:val="clear" w:color="auto" w:fill="auto"/>
            <w:vAlign w:val="center"/>
          </w:tcPr>
          <w:p w:rsidR="000C06F0" w:rsidRPr="004A34E8" w:rsidRDefault="000C06F0" w:rsidP="003016C3">
            <w:pPr>
              <w:spacing w:after="0" w:line="240" w:lineRule="auto"/>
              <w:rPr>
                <w:b/>
                <w:color w:val="auto"/>
                <w:sz w:val="17"/>
                <w:szCs w:val="17"/>
              </w:rPr>
            </w:pPr>
            <w:r w:rsidRPr="004A34E8">
              <w:rPr>
                <w:b/>
                <w:color w:val="auto"/>
                <w:sz w:val="17"/>
                <w:szCs w:val="17"/>
              </w:rPr>
              <w:t>Australia’s aid objective 1</w:t>
            </w:r>
          </w:p>
        </w:tc>
        <w:tc>
          <w:tcPr>
            <w:tcW w:w="13892" w:type="dxa"/>
            <w:gridSpan w:val="7"/>
            <w:shd w:val="clear" w:color="auto" w:fill="auto"/>
            <w:vAlign w:val="center"/>
          </w:tcPr>
          <w:p w:rsidR="000C06F0" w:rsidRPr="004A34E8" w:rsidRDefault="000C06F0" w:rsidP="003016C3">
            <w:pPr>
              <w:spacing w:after="0" w:line="240" w:lineRule="auto"/>
              <w:rPr>
                <w:b/>
                <w:color w:val="auto"/>
                <w:sz w:val="17"/>
                <w:szCs w:val="17"/>
              </w:rPr>
            </w:pPr>
            <w:r w:rsidRPr="004A34E8">
              <w:rPr>
                <w:b/>
                <w:color w:val="auto"/>
                <w:sz w:val="17"/>
                <w:szCs w:val="17"/>
              </w:rPr>
              <w:t>Enabling and engaging the private sector for development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1.1  Value-for-money transport infrastructure demonstrated and enabled</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Cao Lanh Bridge built and utilised</w:t>
            </w: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60% construction complete</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90% construction complete</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100% construction complete; 170,000 passengers per day traffic volume; travel time from Ho Chi Minh to Long Xuyen reduced from 3-3.5 hours to 2.5 hours </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170,000 passengers per day traffic volume; travel time from Ho Chi Minh to Long Xuyen reduced from 3-3.5 hours to 2.5 hours</w:t>
            </w:r>
          </w:p>
          <w:p w:rsidR="000C06F0" w:rsidRPr="004A34E8" w:rsidRDefault="000C06F0" w:rsidP="003016C3">
            <w:pPr>
              <w:spacing w:after="0" w:line="240" w:lineRule="auto"/>
              <w:rPr>
                <w:color w:val="auto"/>
                <w:sz w:val="17"/>
                <w:szCs w:val="17"/>
              </w:rPr>
            </w:pPr>
            <w:r w:rsidRPr="004A34E8">
              <w:rPr>
                <w:color w:val="auto"/>
                <w:sz w:val="17"/>
                <w:szCs w:val="17"/>
              </w:rPr>
              <w:t xml:space="preserve"> </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170,000 passengers benefit daily from project;</w:t>
            </w:r>
          </w:p>
          <w:p w:rsidR="000C06F0" w:rsidRPr="004A34E8" w:rsidRDefault="000C06F0" w:rsidP="003016C3">
            <w:pPr>
              <w:spacing w:after="0" w:line="240" w:lineRule="auto"/>
              <w:rPr>
                <w:color w:val="auto"/>
                <w:sz w:val="17"/>
                <w:szCs w:val="17"/>
              </w:rPr>
            </w:pPr>
            <w:r w:rsidRPr="004A34E8">
              <w:rPr>
                <w:color w:val="auto"/>
                <w:sz w:val="17"/>
                <w:szCs w:val="17"/>
              </w:rPr>
              <w:t>five million residents of An Giang, Can Tho and Dong Thap provinces benefit from improved regional trade</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Traffic and travel time surveys</w:t>
            </w:r>
          </w:p>
          <w:p w:rsidR="000C06F0" w:rsidRPr="004A34E8" w:rsidRDefault="000C06F0" w:rsidP="003016C3">
            <w:pPr>
              <w:spacing w:after="0" w:line="240" w:lineRule="auto"/>
              <w:rPr>
                <w:color w:val="auto"/>
                <w:sz w:val="17"/>
                <w:szCs w:val="17"/>
              </w:rPr>
            </w:pPr>
            <w:r w:rsidRPr="004A34E8">
              <w:rPr>
                <w:color w:val="auto"/>
                <w:sz w:val="17"/>
                <w:szCs w:val="17"/>
              </w:rPr>
              <w:t>Report from review missions.</w:t>
            </w:r>
          </w:p>
          <w:p w:rsidR="000C06F0" w:rsidRPr="004A34E8" w:rsidRDefault="000C06F0" w:rsidP="003016C3">
            <w:pPr>
              <w:spacing w:after="0" w:line="240" w:lineRule="auto"/>
              <w:rPr>
                <w:color w:val="auto"/>
                <w:sz w:val="17"/>
                <w:szCs w:val="17"/>
              </w:rPr>
            </w:pPr>
            <w:r w:rsidRPr="004A34E8">
              <w:rPr>
                <w:color w:val="auto"/>
                <w:sz w:val="17"/>
                <w:szCs w:val="17"/>
              </w:rPr>
              <w:t>Reports from the DDIS TA consultants</w:t>
            </w:r>
          </w:p>
          <w:p w:rsidR="000C06F0" w:rsidRPr="004A34E8" w:rsidRDefault="000C06F0" w:rsidP="003016C3">
            <w:pPr>
              <w:spacing w:after="0" w:line="240" w:lineRule="auto"/>
              <w:rPr>
                <w:color w:val="auto"/>
                <w:sz w:val="17"/>
                <w:szCs w:val="17"/>
              </w:rPr>
            </w:pPr>
            <w:r w:rsidRPr="004A34E8">
              <w:rPr>
                <w:color w:val="auto"/>
                <w:sz w:val="17"/>
                <w:szCs w:val="17"/>
              </w:rPr>
              <w:t>Project Completion report</w:t>
            </w:r>
          </w:p>
          <w:p w:rsidR="000C06F0" w:rsidRPr="004A34E8" w:rsidRDefault="000C06F0" w:rsidP="003016C3">
            <w:pPr>
              <w:spacing w:after="0" w:line="240" w:lineRule="auto"/>
              <w:rPr>
                <w:color w:val="auto"/>
                <w:sz w:val="17"/>
                <w:szCs w:val="17"/>
              </w:rPr>
            </w:pPr>
            <w:r w:rsidRPr="004A34E8">
              <w:rPr>
                <w:color w:val="auto"/>
                <w:sz w:val="17"/>
                <w:szCs w:val="17"/>
              </w:rPr>
              <w:t>Benefit monitoring and evaluation report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Enhanced ODA project preparation including  technical quality, capacity building and  streamlined approval process</w:t>
            </w: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Investment concept</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Investment design complete</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3 pre-feasibility studies completed</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3 pre-feasibility studies completed; co-financing of demonstration infrastructure</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4 pre-feasibility  studies completed; larger pipeline of investments for financing; improved MOT approach to pre-feasibility</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1.2 Promotion of innovative enterprises to enhance service delivery</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Innovative business models developing and utilising climate smart technology </w:t>
            </w:r>
          </w:p>
          <w:p w:rsidR="000C06F0" w:rsidRPr="004A34E8" w:rsidRDefault="000C06F0" w:rsidP="003016C3">
            <w:pPr>
              <w:spacing w:after="0" w:line="240" w:lineRule="auto"/>
              <w:rPr>
                <w:color w:val="auto"/>
                <w:sz w:val="17"/>
                <w:szCs w:val="17"/>
              </w:rPr>
            </w:pP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Investment launch</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24 enterprises receiving grants</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24 enterprises receiving grants; 14 enterprises raising early stage finance</w:t>
            </w:r>
          </w:p>
          <w:p w:rsidR="000C06F0" w:rsidRPr="004A34E8" w:rsidRDefault="000C06F0" w:rsidP="003016C3">
            <w:pPr>
              <w:spacing w:after="0" w:line="240" w:lineRule="auto"/>
              <w:rPr>
                <w:color w:val="auto"/>
                <w:sz w:val="17"/>
                <w:szCs w:val="17"/>
              </w:rPr>
            </w:pP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14 enterprises raising early stage finance </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Service delivery improved; 500 new jobs created; additional sales revenue</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Target: enterprise business plans</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Private sector development through improved access to finance and direct mentoring</w:t>
            </w: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Investment concept</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Investment design complete</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Proof of concept in priority areas; mentoring enterprises, financial institutions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Provision of loans by financial institutions to enterprises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Higher access to social and support services; enterprise growth and employment</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1.3 Competitive business enabling environment</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Stronger evidence base and champions for reform.</w:t>
            </w:r>
          </w:p>
          <w:p w:rsidR="000C06F0" w:rsidRPr="004A34E8" w:rsidRDefault="000C06F0" w:rsidP="003016C3">
            <w:pPr>
              <w:spacing w:after="0" w:line="240" w:lineRule="auto"/>
              <w:rPr>
                <w:color w:val="auto"/>
                <w:sz w:val="17"/>
                <w:szCs w:val="17"/>
              </w:rPr>
            </w:pP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Analytical studies </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Analytical studies; evidence better utilised in policy making; emerging network of reform stakeholders</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Analytical studies; evidence better utilised in policy making and evaluating policy;  emerging network of reform stakeholders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Evidence better utilised in policy making and evaluating policy;  emerging network of reform stakeholders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Evidence better utilised in policy making and evaluating policy;  emerging network of reform stakeholders</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rPr>
          <w:trHeight w:val="567"/>
        </w:trPr>
        <w:tc>
          <w:tcPr>
            <w:tcW w:w="1809" w:type="dxa"/>
            <w:vAlign w:val="center"/>
          </w:tcPr>
          <w:p w:rsidR="000C06F0" w:rsidRPr="004A34E8" w:rsidRDefault="000C06F0" w:rsidP="003016C3">
            <w:pPr>
              <w:spacing w:after="0" w:line="240" w:lineRule="auto"/>
              <w:rPr>
                <w:b/>
                <w:color w:val="auto"/>
                <w:sz w:val="17"/>
                <w:szCs w:val="17"/>
              </w:rPr>
            </w:pPr>
            <w:bookmarkStart w:id="8" w:name="_Independent_Evaluation_Pipeline"/>
            <w:bookmarkEnd w:id="8"/>
            <w:r w:rsidRPr="004A34E8">
              <w:rPr>
                <w:b/>
                <w:color w:val="auto"/>
                <w:sz w:val="17"/>
                <w:szCs w:val="17"/>
              </w:rPr>
              <w:t>Australia’s aid objective 2</w:t>
            </w:r>
          </w:p>
        </w:tc>
        <w:tc>
          <w:tcPr>
            <w:tcW w:w="13892" w:type="dxa"/>
            <w:gridSpan w:val="7"/>
            <w:shd w:val="clear" w:color="auto" w:fill="auto"/>
            <w:vAlign w:val="center"/>
          </w:tcPr>
          <w:p w:rsidR="000C06F0" w:rsidRPr="004A34E8" w:rsidRDefault="000C06F0" w:rsidP="003016C3">
            <w:pPr>
              <w:spacing w:after="0" w:line="240" w:lineRule="auto"/>
              <w:rPr>
                <w:b/>
                <w:color w:val="auto"/>
                <w:sz w:val="17"/>
                <w:szCs w:val="17"/>
              </w:rPr>
            </w:pPr>
            <w:r w:rsidRPr="004A34E8">
              <w:rPr>
                <w:b/>
                <w:color w:val="auto"/>
                <w:sz w:val="17"/>
                <w:szCs w:val="17"/>
              </w:rPr>
              <w:t>Assisting the development and employment of a highly skilled workforce</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2.1 Male and female alumni use skills and knowledge to make positive contributions to selected priority areas.</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Alumni apply and transfer their new knowledge and skills to contribute positively to their profession.</w:t>
            </w:r>
          </w:p>
          <w:p w:rsidR="000C06F0" w:rsidRPr="004A34E8" w:rsidRDefault="000C06F0" w:rsidP="003016C3">
            <w:pPr>
              <w:spacing w:after="0" w:line="240" w:lineRule="auto"/>
              <w:rPr>
                <w:color w:val="auto"/>
                <w:sz w:val="17"/>
                <w:szCs w:val="17"/>
              </w:rPr>
            </w:pP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75% of alumni employed in position relevant to award skills after 3 years</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75% of alumni employed in position relevant to award skills after 3 years  </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80% of alumni employed in position relevant to award skills after 3 years  </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80% of alumni employed in position relevant to award skills after 3 years  </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 xml:space="preserve">85% of alumni employed in position relevant to award skills after 3 years  </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Review and Reintegration workshops (annual).</w:t>
            </w:r>
          </w:p>
        </w:tc>
      </w:tr>
      <w:tr w:rsidR="000C06F0" w:rsidRPr="004A34E8" w:rsidTr="00E44E22">
        <w:tc>
          <w:tcPr>
            <w:tcW w:w="1809" w:type="dxa"/>
            <w:tcBorders>
              <w:bottom w:val="nil"/>
            </w:tcBorders>
            <w:shd w:val="clear" w:color="auto" w:fill="auto"/>
          </w:tcPr>
          <w:p w:rsidR="000C06F0" w:rsidRPr="004A34E8" w:rsidRDefault="000C06F0" w:rsidP="003016C3">
            <w:pPr>
              <w:spacing w:after="0" w:line="240" w:lineRule="auto"/>
              <w:rPr>
                <w:color w:val="auto"/>
                <w:sz w:val="17"/>
                <w:szCs w:val="17"/>
              </w:rPr>
            </w:pPr>
          </w:p>
        </w:tc>
        <w:tc>
          <w:tcPr>
            <w:tcW w:w="2127" w:type="dxa"/>
            <w:tcBorders>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Alumni have increased knowledge, skills and confidence</w:t>
            </w:r>
          </w:p>
        </w:tc>
        <w:tc>
          <w:tcPr>
            <w:tcW w:w="1275" w:type="dxa"/>
            <w:tcBorders>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90% Australia Awards recipients completing  planned course</w:t>
            </w:r>
          </w:p>
          <w:p w:rsidR="000C06F0" w:rsidRPr="004A34E8" w:rsidRDefault="000C06F0" w:rsidP="003016C3">
            <w:pPr>
              <w:spacing w:after="0" w:line="240" w:lineRule="auto"/>
              <w:rPr>
                <w:color w:val="auto"/>
                <w:sz w:val="17"/>
                <w:szCs w:val="17"/>
              </w:rPr>
            </w:pPr>
          </w:p>
        </w:tc>
        <w:tc>
          <w:tcPr>
            <w:tcW w:w="1276" w:type="dxa"/>
            <w:tcBorders>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90%  Australia Awards recipients completing course</w:t>
            </w:r>
          </w:p>
        </w:tc>
        <w:tc>
          <w:tcPr>
            <w:tcW w:w="1985" w:type="dxa"/>
            <w:tcBorders>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90% of Australia Awards recipients completing course</w:t>
            </w:r>
          </w:p>
        </w:tc>
        <w:tc>
          <w:tcPr>
            <w:tcW w:w="2126" w:type="dxa"/>
            <w:tcBorders>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90% of Australia Awards recipients  completing course</w:t>
            </w:r>
          </w:p>
        </w:tc>
        <w:tc>
          <w:tcPr>
            <w:tcW w:w="2126" w:type="dxa"/>
            <w:tcBorders>
              <w:bottom w:val="nil"/>
            </w:tcBorders>
          </w:tcPr>
          <w:p w:rsidR="000C06F0" w:rsidRPr="004A34E8" w:rsidRDefault="000C06F0" w:rsidP="003016C3">
            <w:pPr>
              <w:spacing w:after="0" w:line="240" w:lineRule="auto"/>
              <w:rPr>
                <w:color w:val="auto"/>
                <w:sz w:val="17"/>
                <w:szCs w:val="17"/>
              </w:rPr>
            </w:pPr>
            <w:r w:rsidRPr="004A34E8">
              <w:rPr>
                <w:color w:val="auto"/>
                <w:sz w:val="17"/>
                <w:szCs w:val="17"/>
              </w:rPr>
              <w:t>90% of Australia Awards recipients completing course</w:t>
            </w:r>
          </w:p>
        </w:tc>
        <w:tc>
          <w:tcPr>
            <w:tcW w:w="2977" w:type="dxa"/>
            <w:tcBorders>
              <w:bottom w:val="nil"/>
            </w:tcBorders>
          </w:tcPr>
          <w:p w:rsidR="000C06F0" w:rsidRPr="004A34E8" w:rsidRDefault="000C06F0" w:rsidP="003016C3">
            <w:pPr>
              <w:spacing w:after="0" w:line="240" w:lineRule="auto"/>
              <w:rPr>
                <w:color w:val="auto"/>
                <w:sz w:val="17"/>
                <w:szCs w:val="17"/>
              </w:rPr>
            </w:pPr>
            <w:r w:rsidRPr="004A34E8">
              <w:rPr>
                <w:color w:val="auto"/>
                <w:sz w:val="17"/>
                <w:szCs w:val="17"/>
              </w:rPr>
              <w:t>OASIS, Program MIS (ongoing).</w:t>
            </w:r>
          </w:p>
        </w:tc>
      </w:tr>
      <w:tr w:rsidR="000C06F0" w:rsidRPr="004A34E8" w:rsidTr="00E44E22">
        <w:tc>
          <w:tcPr>
            <w:tcW w:w="1809"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2.2 Stronger workplace enabling environments for improved skills utilisation in selected priority areas.</w:t>
            </w:r>
          </w:p>
        </w:tc>
        <w:tc>
          <w:tcPr>
            <w:tcW w:w="2127"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Alumni and selected institutions demonstrate gender equitable leadership models/concepts</w:t>
            </w:r>
          </w:p>
        </w:tc>
        <w:tc>
          <w:tcPr>
            <w:tcW w:w="1275"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Human resource development scoping work undertaken</w:t>
            </w:r>
          </w:p>
        </w:tc>
        <w:tc>
          <w:tcPr>
            <w:tcW w:w="1276"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Women in Leadership investments developed</w:t>
            </w:r>
          </w:p>
        </w:tc>
        <w:tc>
          <w:tcPr>
            <w:tcW w:w="1985"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50 mid-career professionals (including alumni) and 2 targeted institutions demonstrate awareness of  gender equitable leadership models</w:t>
            </w:r>
          </w:p>
          <w:p w:rsidR="000C06F0" w:rsidRPr="004A34E8" w:rsidRDefault="000C06F0" w:rsidP="003016C3">
            <w:pPr>
              <w:spacing w:after="0" w:line="240" w:lineRule="auto"/>
              <w:rPr>
                <w:color w:val="auto"/>
                <w:sz w:val="17"/>
                <w:szCs w:val="17"/>
              </w:rPr>
            </w:pPr>
          </w:p>
        </w:tc>
        <w:tc>
          <w:tcPr>
            <w:tcW w:w="2126" w:type="dxa"/>
            <w:tcBorders>
              <w:top w:val="nil"/>
              <w:bottom w:val="nil"/>
            </w:tcBorders>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50 mid-career professionals (including alumni) undertake actions within their workplaces that demonstrates awareness of gender equitable leadership</w:t>
            </w:r>
          </w:p>
        </w:tc>
        <w:tc>
          <w:tcPr>
            <w:tcW w:w="2126" w:type="dxa"/>
            <w:tcBorders>
              <w:top w:val="nil"/>
              <w:bottom w:val="nil"/>
            </w:tcBorders>
          </w:tcPr>
          <w:p w:rsidR="000C06F0" w:rsidRPr="004A34E8" w:rsidRDefault="000C06F0" w:rsidP="003016C3">
            <w:pPr>
              <w:spacing w:after="0" w:line="240" w:lineRule="auto"/>
              <w:rPr>
                <w:color w:val="auto"/>
                <w:sz w:val="17"/>
                <w:szCs w:val="17"/>
              </w:rPr>
            </w:pPr>
            <w:r w:rsidRPr="004A34E8">
              <w:rPr>
                <w:color w:val="auto"/>
                <w:sz w:val="17"/>
                <w:szCs w:val="17"/>
              </w:rPr>
              <w:t>Effective gender equitable leadership models implemented by professionals of targeted institutions</w:t>
            </w:r>
          </w:p>
        </w:tc>
        <w:tc>
          <w:tcPr>
            <w:tcW w:w="2977" w:type="dxa"/>
            <w:tcBorders>
              <w:top w:val="nil"/>
              <w:bottom w:val="nil"/>
            </w:tcBorders>
          </w:tcPr>
          <w:p w:rsidR="000C06F0" w:rsidRPr="004A34E8" w:rsidRDefault="000C06F0" w:rsidP="003016C3">
            <w:pPr>
              <w:spacing w:after="0" w:line="240" w:lineRule="auto"/>
              <w:rPr>
                <w:color w:val="auto"/>
                <w:sz w:val="17"/>
                <w:szCs w:val="17"/>
              </w:rPr>
            </w:pPr>
            <w:r w:rsidRPr="004A34E8">
              <w:rPr>
                <w:color w:val="auto"/>
                <w:sz w:val="17"/>
                <w:szCs w:val="17"/>
              </w:rPr>
              <w:t xml:space="preserve">Review and Reintegration workshops (annual). </w:t>
            </w:r>
          </w:p>
          <w:p w:rsidR="000C06F0" w:rsidRPr="004A34E8" w:rsidRDefault="000C06F0" w:rsidP="003016C3">
            <w:pPr>
              <w:spacing w:after="0" w:line="240" w:lineRule="auto"/>
              <w:rPr>
                <w:color w:val="auto"/>
                <w:sz w:val="17"/>
                <w:szCs w:val="17"/>
              </w:rPr>
            </w:pPr>
            <w:r w:rsidRPr="004A34E8">
              <w:rPr>
                <w:color w:val="auto"/>
                <w:sz w:val="17"/>
                <w:szCs w:val="17"/>
              </w:rPr>
              <w:t>Baseline: Program ‘Women in Leadership’ program preparatory data (2015)</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p>
          <w:p w:rsidR="000C06F0" w:rsidRPr="004A34E8" w:rsidRDefault="000C06F0" w:rsidP="003016C3">
            <w:pPr>
              <w:spacing w:after="0" w:line="240" w:lineRule="auto"/>
              <w:rPr>
                <w:color w:val="auto"/>
                <w:sz w:val="17"/>
                <w:szCs w:val="17"/>
              </w:rPr>
            </w:pPr>
          </w:p>
        </w:tc>
        <w:tc>
          <w:tcPr>
            <w:tcW w:w="1275" w:type="dxa"/>
            <w:shd w:val="clear" w:color="auto" w:fill="auto"/>
          </w:tcPr>
          <w:p w:rsidR="000C06F0" w:rsidRPr="004A34E8" w:rsidRDefault="000C06F0" w:rsidP="003016C3">
            <w:pPr>
              <w:spacing w:after="0" w:line="240" w:lineRule="auto"/>
              <w:rPr>
                <w:color w:val="auto"/>
                <w:sz w:val="17"/>
                <w:szCs w:val="17"/>
              </w:rPr>
            </w:pPr>
          </w:p>
        </w:tc>
        <w:tc>
          <w:tcPr>
            <w:tcW w:w="1276" w:type="dxa"/>
            <w:shd w:val="clear" w:color="auto" w:fill="auto"/>
          </w:tcPr>
          <w:p w:rsidR="000C06F0" w:rsidRPr="004A34E8" w:rsidRDefault="000C06F0" w:rsidP="003016C3">
            <w:pPr>
              <w:spacing w:after="0" w:line="240" w:lineRule="auto"/>
              <w:rPr>
                <w:color w:val="auto"/>
                <w:sz w:val="17"/>
                <w:szCs w:val="17"/>
              </w:rPr>
            </w:pPr>
          </w:p>
        </w:tc>
        <w:tc>
          <w:tcPr>
            <w:tcW w:w="1985" w:type="dxa"/>
            <w:shd w:val="clear" w:color="auto" w:fill="auto"/>
          </w:tcPr>
          <w:p w:rsidR="000C06F0" w:rsidRPr="004A34E8" w:rsidRDefault="000C06F0" w:rsidP="003016C3">
            <w:pPr>
              <w:spacing w:after="0" w:line="240" w:lineRule="auto"/>
              <w:rPr>
                <w:color w:val="auto"/>
                <w:sz w:val="17"/>
                <w:szCs w:val="17"/>
              </w:rPr>
            </w:pP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80 mid-career professionals (including alumni) demonstrate awareness of gender equitable leadership models</w:t>
            </w:r>
          </w:p>
          <w:p w:rsidR="000C06F0" w:rsidRPr="004A34E8" w:rsidRDefault="000C06F0" w:rsidP="003016C3">
            <w:pPr>
              <w:spacing w:after="0" w:line="240" w:lineRule="auto"/>
              <w:rPr>
                <w:color w:val="auto"/>
                <w:sz w:val="17"/>
                <w:szCs w:val="17"/>
              </w:rPr>
            </w:pP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100 mid-career professionals (including alumni) demonstrate awareness of gender equitable leadership</w:t>
            </w:r>
          </w:p>
          <w:p w:rsidR="000C06F0" w:rsidRPr="004A34E8" w:rsidRDefault="000C06F0" w:rsidP="003016C3">
            <w:pPr>
              <w:spacing w:after="0" w:line="240" w:lineRule="auto"/>
              <w:rPr>
                <w:color w:val="auto"/>
                <w:sz w:val="17"/>
                <w:szCs w:val="17"/>
              </w:rPr>
            </w:pPr>
          </w:p>
        </w:tc>
        <w:tc>
          <w:tcPr>
            <w:tcW w:w="2977" w:type="dxa"/>
          </w:tcPr>
          <w:p w:rsidR="000C06F0" w:rsidRPr="004A34E8" w:rsidRDefault="000C06F0" w:rsidP="003016C3">
            <w:pPr>
              <w:spacing w:after="0" w:line="240" w:lineRule="auto"/>
              <w:rPr>
                <w:color w:val="auto"/>
                <w:sz w:val="17"/>
                <w:szCs w:val="17"/>
              </w:rPr>
            </w:pP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Improved skills utilisation practice in selected institutions (e.g. good HR and  gender equity practices, competency based frameworks)</w:t>
            </w:r>
          </w:p>
          <w:p w:rsidR="000C06F0" w:rsidRPr="004A34E8" w:rsidRDefault="000C06F0" w:rsidP="003016C3">
            <w:pPr>
              <w:spacing w:after="0" w:line="240" w:lineRule="auto"/>
              <w:rPr>
                <w:color w:val="auto"/>
                <w:sz w:val="17"/>
                <w:szCs w:val="17"/>
              </w:rPr>
            </w:pP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Human resource development scoping work undertaken</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Human resource development program option developed and short courses designed</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Strengthened leadership and management skills and improved skills utilisation in 2 selected institutions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Strengthened leadership and management skills and improved skills utilisation in 4 selected institutions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Strengthened leadership and management skills and improved skills utilisation in 4 selected institutions</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Review and reintegration workshops (annual).</w:t>
            </w:r>
          </w:p>
          <w:p w:rsidR="000C06F0" w:rsidRPr="004A34E8" w:rsidRDefault="000C06F0" w:rsidP="003016C3">
            <w:pPr>
              <w:spacing w:after="0" w:line="240" w:lineRule="auto"/>
              <w:rPr>
                <w:color w:val="auto"/>
                <w:sz w:val="17"/>
                <w:szCs w:val="17"/>
              </w:rPr>
            </w:pPr>
            <w:r w:rsidRPr="004A34E8">
              <w:rPr>
                <w:color w:val="auto"/>
                <w:sz w:val="17"/>
                <w:szCs w:val="17"/>
              </w:rPr>
              <w:t>Baseline: TBC</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2.3 Australia and Vietnam have stronger sustainable links in selected sectors / agencies.</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Alumni establish and maintain effective networks / partnerships in Vietnam and with Australia</w:t>
            </w:r>
          </w:p>
        </w:tc>
        <w:tc>
          <w:tcPr>
            <w:tcW w:w="127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45% of Australia Awards alumni who maintain people-to-people and institutional links</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45% of Australia Awards alumni who maintain links</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55% of Australia Awards alumni who maintain links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55% of Australia Awards alumni who maintain links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65% of Australia Awards alumni who maintain  links</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Surveys and workshops (annual)</w:t>
            </w:r>
          </w:p>
          <w:p w:rsidR="000C06F0" w:rsidRPr="004A34E8" w:rsidRDefault="000C06F0" w:rsidP="003016C3">
            <w:pPr>
              <w:spacing w:after="0" w:line="240" w:lineRule="auto"/>
              <w:rPr>
                <w:color w:val="auto"/>
                <w:sz w:val="17"/>
                <w:szCs w:val="17"/>
              </w:rPr>
            </w:pPr>
            <w:r w:rsidRPr="004A34E8">
              <w:rPr>
                <w:color w:val="auto"/>
                <w:sz w:val="17"/>
                <w:szCs w:val="17"/>
              </w:rPr>
              <w:t>Baseline: 2008-2015 Program survey data</w:t>
            </w:r>
          </w:p>
        </w:tc>
      </w:tr>
      <w:tr w:rsidR="000C06F0" w:rsidRPr="004A34E8" w:rsidTr="00E44E22">
        <w:trPr>
          <w:trHeight w:val="567"/>
        </w:trPr>
        <w:tc>
          <w:tcPr>
            <w:tcW w:w="1809" w:type="dxa"/>
            <w:shd w:val="clear" w:color="auto" w:fill="auto"/>
            <w:vAlign w:val="center"/>
          </w:tcPr>
          <w:p w:rsidR="000C06F0" w:rsidRPr="004A34E8" w:rsidRDefault="000C06F0" w:rsidP="003016C3">
            <w:pPr>
              <w:spacing w:after="0" w:line="240" w:lineRule="auto"/>
              <w:rPr>
                <w:b/>
                <w:color w:val="auto"/>
                <w:sz w:val="17"/>
                <w:szCs w:val="17"/>
              </w:rPr>
            </w:pPr>
            <w:r w:rsidRPr="004A34E8">
              <w:rPr>
                <w:b/>
                <w:color w:val="auto"/>
                <w:sz w:val="17"/>
                <w:szCs w:val="17"/>
              </w:rPr>
              <w:t>Australia’s aid objective 3</w:t>
            </w:r>
          </w:p>
        </w:tc>
        <w:tc>
          <w:tcPr>
            <w:tcW w:w="13892" w:type="dxa"/>
            <w:gridSpan w:val="7"/>
            <w:vAlign w:val="center"/>
          </w:tcPr>
          <w:p w:rsidR="000C06F0" w:rsidRPr="004A34E8" w:rsidRDefault="000C06F0" w:rsidP="003016C3">
            <w:pPr>
              <w:spacing w:after="0" w:line="240" w:lineRule="auto"/>
              <w:rPr>
                <w:b/>
                <w:color w:val="auto"/>
                <w:sz w:val="17"/>
                <w:szCs w:val="17"/>
              </w:rPr>
            </w:pPr>
            <w:r w:rsidRPr="004A34E8">
              <w:rPr>
                <w:b/>
                <w:color w:val="auto"/>
                <w:sz w:val="17"/>
                <w:szCs w:val="17"/>
              </w:rPr>
              <w:t>Promoting women’s economic empowerment, including ethnic minorities</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3.1  Rural women’s livelihood security improved</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Women have greater control over the use of household income and assets to strengthen livelihoods</w:t>
            </w:r>
          </w:p>
        </w:tc>
        <w:tc>
          <w:tcPr>
            <w:tcW w:w="1275" w:type="dxa"/>
          </w:tcPr>
          <w:p w:rsidR="000C06F0" w:rsidRPr="004A34E8" w:rsidRDefault="000C06F0" w:rsidP="003016C3">
            <w:pPr>
              <w:spacing w:after="0" w:line="240" w:lineRule="auto"/>
              <w:rPr>
                <w:color w:val="auto"/>
                <w:sz w:val="17"/>
                <w:szCs w:val="17"/>
              </w:rPr>
            </w:pPr>
            <w:r w:rsidRPr="004A34E8">
              <w:rPr>
                <w:color w:val="auto"/>
                <w:sz w:val="17"/>
                <w:szCs w:val="17"/>
              </w:rPr>
              <w:t>Concept developed</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Program design/ partnership established</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Greater awareness of livelihood opportunities among women; acquisition of knowledge and skills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Women’s income options diversified</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Increase in rural women’s farm/non-farm incomes</w:t>
            </w:r>
          </w:p>
          <w:p w:rsidR="000C06F0" w:rsidRPr="004A34E8" w:rsidRDefault="000C06F0" w:rsidP="003016C3">
            <w:pPr>
              <w:spacing w:after="0" w:line="240" w:lineRule="auto"/>
              <w:rPr>
                <w:color w:val="auto"/>
                <w:sz w:val="17"/>
                <w:szCs w:val="17"/>
              </w:rPr>
            </w:pP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Women have better access to livelihood support services (e.g. financial, technical, agribusiness etc.) </w:t>
            </w:r>
          </w:p>
        </w:tc>
        <w:tc>
          <w:tcPr>
            <w:tcW w:w="1275" w:type="dxa"/>
          </w:tcPr>
          <w:p w:rsidR="000C06F0" w:rsidRPr="004A34E8" w:rsidRDefault="000C06F0" w:rsidP="003016C3">
            <w:pPr>
              <w:spacing w:after="0" w:line="240" w:lineRule="auto"/>
              <w:rPr>
                <w:color w:val="auto"/>
                <w:sz w:val="17"/>
                <w:szCs w:val="17"/>
              </w:rPr>
            </w:pPr>
            <w:r w:rsidRPr="004A34E8">
              <w:rPr>
                <w:color w:val="auto"/>
                <w:sz w:val="17"/>
                <w:szCs w:val="17"/>
              </w:rPr>
              <w:t>Concept developed</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Program design/ partnership established</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Strengthening of support service provision; Higher awareness of services </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Improved outreach of services; Service partnerships established</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No. of women beneficiaries utilising services; support partnerships in place</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3.2 Women’s empowerment </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Women’s voice and leadership increased in informal and formal community decision-making processes</w:t>
            </w:r>
          </w:p>
        </w:tc>
        <w:tc>
          <w:tcPr>
            <w:tcW w:w="1275" w:type="dxa"/>
          </w:tcPr>
          <w:p w:rsidR="000C06F0" w:rsidRPr="004A34E8" w:rsidRDefault="000C06F0" w:rsidP="003016C3">
            <w:pPr>
              <w:spacing w:after="0" w:line="240" w:lineRule="auto"/>
              <w:rPr>
                <w:color w:val="auto"/>
                <w:sz w:val="17"/>
                <w:szCs w:val="17"/>
              </w:rPr>
            </w:pPr>
            <w:r w:rsidRPr="004A34E8">
              <w:rPr>
                <w:color w:val="auto"/>
                <w:sz w:val="17"/>
                <w:szCs w:val="17"/>
              </w:rPr>
              <w:t>Concept developed</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Program design/partnership established </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Awareness of mechanisms to improve women’s participation and leadership</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Greater opportunities for women’s voice and empowerment realised</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Evidence of informal and formal community level decisions more influenced by women’s voice</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Women’s collective knowledge and bargaining power in the market  strengthened</w:t>
            </w:r>
          </w:p>
        </w:tc>
        <w:tc>
          <w:tcPr>
            <w:tcW w:w="1275" w:type="dxa"/>
          </w:tcPr>
          <w:p w:rsidR="000C06F0" w:rsidRPr="004A34E8" w:rsidRDefault="000C06F0" w:rsidP="003016C3">
            <w:pPr>
              <w:spacing w:after="0" w:line="240" w:lineRule="auto"/>
              <w:rPr>
                <w:color w:val="auto"/>
                <w:sz w:val="17"/>
                <w:szCs w:val="17"/>
              </w:rPr>
            </w:pPr>
            <w:r w:rsidRPr="004A34E8">
              <w:rPr>
                <w:color w:val="auto"/>
                <w:sz w:val="17"/>
                <w:szCs w:val="17"/>
              </w:rPr>
              <w:t>Concept developed</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Program design/ partnership established and approved by Government of Vietnam</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Formation/ strengthening of women cooperative groups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Strengthening of women cooperative groups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Evidence of collective knowledge and bargaining power in the market</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Investment documents</w:t>
            </w:r>
          </w:p>
          <w:p w:rsidR="000C06F0" w:rsidRPr="004A34E8" w:rsidRDefault="000C06F0" w:rsidP="003016C3">
            <w:pPr>
              <w:spacing w:after="0" w:line="240" w:lineRule="auto"/>
              <w:rPr>
                <w:color w:val="auto"/>
                <w:sz w:val="17"/>
                <w:szCs w:val="17"/>
              </w:rPr>
            </w:pPr>
            <w:r w:rsidRPr="004A34E8">
              <w:rPr>
                <w:color w:val="auto"/>
                <w:sz w:val="17"/>
                <w:szCs w:val="17"/>
              </w:rPr>
              <w:t>Baseline: aid investment analytical assessment</w:t>
            </w:r>
          </w:p>
        </w:tc>
      </w:tr>
      <w:tr w:rsidR="000C06F0" w:rsidRPr="004A34E8" w:rsidTr="00E44E22">
        <w:tc>
          <w:tcPr>
            <w:tcW w:w="1809"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3.3 Policy enabling environment facilitates gender equality and women’s empowerment among ethnic minorities</w:t>
            </w:r>
          </w:p>
          <w:p w:rsidR="000C06F0" w:rsidRPr="004A34E8" w:rsidRDefault="000C06F0" w:rsidP="003016C3">
            <w:pPr>
              <w:spacing w:after="0" w:line="240" w:lineRule="auto"/>
              <w:rPr>
                <w:color w:val="auto"/>
                <w:sz w:val="17"/>
                <w:szCs w:val="17"/>
              </w:rPr>
            </w:pPr>
            <w:r w:rsidRPr="004A34E8">
              <w:rPr>
                <w:color w:val="auto"/>
                <w:sz w:val="17"/>
                <w:szCs w:val="17"/>
              </w:rPr>
              <w:t xml:space="preserve"> </w:t>
            </w:r>
          </w:p>
        </w:tc>
        <w:tc>
          <w:tcPr>
            <w:tcW w:w="2127"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Government of Vietnam’s policy enabling  environment incorporates women’s needs and gender equality issues relevant to ethnic minorities</w:t>
            </w:r>
          </w:p>
        </w:tc>
        <w:tc>
          <w:tcPr>
            <w:tcW w:w="1275" w:type="dxa"/>
          </w:tcPr>
          <w:p w:rsidR="000C06F0" w:rsidRPr="004A34E8" w:rsidRDefault="000C06F0" w:rsidP="003016C3">
            <w:pPr>
              <w:spacing w:after="0" w:line="240" w:lineRule="auto"/>
              <w:rPr>
                <w:color w:val="auto"/>
                <w:sz w:val="17"/>
                <w:szCs w:val="17"/>
              </w:rPr>
            </w:pPr>
            <w:r w:rsidRPr="004A34E8">
              <w:rPr>
                <w:color w:val="auto"/>
                <w:sz w:val="17"/>
                <w:szCs w:val="17"/>
              </w:rPr>
              <w:t>Stocktake of successful Australian aid funded models; ethnic minority partnerships established</w:t>
            </w:r>
          </w:p>
        </w:tc>
        <w:tc>
          <w:tcPr>
            <w:tcW w:w="127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 xml:space="preserve">Stocktake of successful Australian aid funded models; ethnic minority policy engagement </w:t>
            </w:r>
          </w:p>
        </w:tc>
        <w:tc>
          <w:tcPr>
            <w:tcW w:w="1985"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Policy / partnership dialogue forums</w:t>
            </w:r>
          </w:p>
        </w:tc>
        <w:tc>
          <w:tcPr>
            <w:tcW w:w="2126" w:type="dxa"/>
            <w:shd w:val="clear" w:color="auto" w:fill="auto"/>
          </w:tcPr>
          <w:p w:rsidR="000C06F0" w:rsidRPr="004A34E8" w:rsidRDefault="000C06F0" w:rsidP="003016C3">
            <w:pPr>
              <w:spacing w:after="0" w:line="240" w:lineRule="auto"/>
              <w:rPr>
                <w:color w:val="auto"/>
                <w:sz w:val="17"/>
                <w:szCs w:val="17"/>
              </w:rPr>
            </w:pPr>
            <w:r w:rsidRPr="004A34E8">
              <w:rPr>
                <w:color w:val="auto"/>
                <w:sz w:val="17"/>
                <w:szCs w:val="17"/>
              </w:rPr>
              <w:t>Policy / partnership dialogue forums</w:t>
            </w:r>
          </w:p>
        </w:tc>
        <w:tc>
          <w:tcPr>
            <w:tcW w:w="2126" w:type="dxa"/>
          </w:tcPr>
          <w:p w:rsidR="000C06F0" w:rsidRPr="004A34E8" w:rsidRDefault="000C06F0" w:rsidP="003016C3">
            <w:pPr>
              <w:spacing w:after="0" w:line="240" w:lineRule="auto"/>
              <w:rPr>
                <w:color w:val="auto"/>
                <w:sz w:val="17"/>
                <w:szCs w:val="17"/>
              </w:rPr>
            </w:pPr>
            <w:r w:rsidRPr="004A34E8">
              <w:rPr>
                <w:color w:val="auto"/>
                <w:sz w:val="17"/>
                <w:szCs w:val="17"/>
              </w:rPr>
              <w:t>Evidence of Australian policy dialogue influencing development of gender equitable policies for ethnic minorities</w:t>
            </w:r>
          </w:p>
        </w:tc>
        <w:tc>
          <w:tcPr>
            <w:tcW w:w="2977" w:type="dxa"/>
          </w:tcPr>
          <w:p w:rsidR="000C06F0" w:rsidRPr="004A34E8" w:rsidRDefault="000C06F0" w:rsidP="003016C3">
            <w:pPr>
              <w:spacing w:after="0" w:line="240" w:lineRule="auto"/>
              <w:rPr>
                <w:color w:val="auto"/>
                <w:sz w:val="17"/>
                <w:szCs w:val="17"/>
              </w:rPr>
            </w:pPr>
            <w:r w:rsidRPr="004A34E8">
              <w:rPr>
                <w:color w:val="auto"/>
                <w:sz w:val="17"/>
                <w:szCs w:val="17"/>
              </w:rPr>
              <w:t>Aid investment evaluations</w:t>
            </w:r>
          </w:p>
          <w:p w:rsidR="000C06F0" w:rsidRPr="004A34E8" w:rsidRDefault="000C06F0" w:rsidP="003016C3">
            <w:pPr>
              <w:spacing w:after="0" w:line="240" w:lineRule="auto"/>
              <w:rPr>
                <w:color w:val="auto"/>
                <w:sz w:val="17"/>
                <w:szCs w:val="17"/>
              </w:rPr>
            </w:pPr>
          </w:p>
        </w:tc>
      </w:tr>
    </w:tbl>
    <w:p w:rsidR="00E974CB" w:rsidRDefault="00E974CB">
      <w:pPr>
        <w:rPr>
          <w:sz w:val="17"/>
          <w:szCs w:val="17"/>
        </w:rPr>
      </w:pPr>
    </w:p>
    <w:p w:rsidR="00E974CB" w:rsidRDefault="00E974CB" w:rsidP="000C06F0"/>
    <w:sectPr w:rsidR="00E974CB" w:rsidSect="00FD05D1">
      <w:headerReference w:type="default" r:id="rId32"/>
      <w:footerReference w:type="default" r:id="rId33"/>
      <w:pgSz w:w="16838" w:h="11906" w:orient="landscape"/>
      <w:pgMar w:top="1134" w:right="1527" w:bottom="1134" w:left="851" w:header="1418" w:footer="2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43" w:rsidRDefault="00733E43">
      <w:pPr>
        <w:spacing w:before="0" w:after="0" w:line="240" w:lineRule="auto"/>
      </w:pPr>
      <w:r>
        <w:separator/>
      </w:r>
    </w:p>
  </w:endnote>
  <w:endnote w:type="continuationSeparator" w:id="0">
    <w:p w:rsidR="00733E43" w:rsidRDefault="00733E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00" w:rsidRDefault="0088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43" w:rsidRDefault="00733E43">
    <w:pPr>
      <w:pStyle w:val="Footer"/>
    </w:pPr>
    <w:r>
      <w:rPr>
        <w:noProof/>
        <w:lang w:val="en-AU" w:eastAsia="en-AU"/>
      </w:rPr>
      <w:drawing>
        <wp:inline distT="0" distB="0" distL="0" distR="0" wp14:anchorId="3E34CC46" wp14:editId="0A8D80AF">
          <wp:extent cx="90170" cy="7429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stretch>
                    <a:fillRect/>
                  </a:stretch>
                </pic:blipFill>
                <pic:spPr bwMode="auto">
                  <a:xfrm>
                    <a:off x="0" y="0"/>
                    <a:ext cx="90170" cy="74295"/>
                  </a:xfrm>
                  <a:prstGeom prst="rect">
                    <a:avLst/>
                  </a:prstGeom>
                </pic:spPr>
              </pic:pic>
            </a:graphicData>
          </a:graphic>
        </wp:inline>
      </w:drawing>
    </w:r>
    <w:r>
      <w:t>@DFAT</w:t>
    </w:r>
  </w:p>
  <w:p w:rsidR="00733E43" w:rsidRDefault="00733E43">
    <w:pPr>
      <w:pStyle w:val="Footer"/>
    </w:pPr>
    <w:r>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00" w:rsidRDefault="00881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909661109"/>
      <w:docPartObj>
        <w:docPartGallery w:val="Page Numbers (Bottom of Page)"/>
        <w:docPartUnique/>
      </w:docPartObj>
    </w:sdtPr>
    <w:sdtEndPr>
      <w:rPr>
        <w:noProof/>
      </w:rPr>
    </w:sdtEndPr>
    <w:sdtContent>
      <w:p w:rsidR="00733E43" w:rsidRPr="00504096" w:rsidRDefault="00733E43">
        <w:pPr>
          <w:pStyle w:val="Footer"/>
          <w:jc w:val="center"/>
          <w:rPr>
            <w:color w:val="auto"/>
          </w:rPr>
        </w:pPr>
        <w:r w:rsidRPr="00504096">
          <w:rPr>
            <w:color w:val="auto"/>
          </w:rPr>
          <w:fldChar w:fldCharType="begin"/>
        </w:r>
        <w:r w:rsidRPr="00504096">
          <w:rPr>
            <w:color w:val="auto"/>
          </w:rPr>
          <w:instrText xml:space="preserve"> PAGE   \* MERGEFORMAT </w:instrText>
        </w:r>
        <w:r w:rsidRPr="00504096">
          <w:rPr>
            <w:color w:val="auto"/>
          </w:rPr>
          <w:fldChar w:fldCharType="separate"/>
        </w:r>
        <w:r w:rsidR="00B959B9">
          <w:rPr>
            <w:noProof/>
            <w:color w:val="auto"/>
          </w:rPr>
          <w:t>4</w:t>
        </w:r>
        <w:r w:rsidRPr="00504096">
          <w:rPr>
            <w:noProof/>
            <w:color w:val="auto"/>
          </w:rPr>
          <w:fldChar w:fldCharType="end"/>
        </w:r>
      </w:p>
    </w:sdtContent>
  </w:sdt>
  <w:p w:rsidR="00733E43" w:rsidRDefault="00733E43" w:rsidP="00C10E89">
    <w:pPr>
      <w:pStyle w:val="Footer"/>
    </w:pPr>
    <w:r>
      <w:rPr>
        <w:color w:val="ACD08C" w:themeColor="accent3"/>
      </w:rPr>
      <w:t>DFAT.GOV.AU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43" w:rsidRDefault="00733E43">
    <w:pPr>
      <w:pStyle w:val="Footer"/>
    </w:pPr>
    <w:r>
      <w:rPr>
        <w:noProof/>
        <w:lang w:val="en-AU" w:eastAsia="en-AU"/>
      </w:rPr>
      <w:drawing>
        <wp:inline distT="0" distB="0" distL="0" distR="0" wp14:anchorId="1E1103F8" wp14:editId="0DD21205">
          <wp:extent cx="90170" cy="74295"/>
          <wp:effectExtent l="0" t="0" r="0" b="0"/>
          <wp:docPr id="55" name="graph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4"/>
                  <pic:cNvPicPr>
                    <a:picLocks noChangeAspect="1" noChangeArrowheads="1"/>
                  </pic:cNvPicPr>
                </pic:nvPicPr>
                <pic:blipFill>
                  <a:blip r:embed="rId1"/>
                  <a:stretch>
                    <a:fillRect/>
                  </a:stretch>
                </pic:blipFill>
                <pic:spPr bwMode="auto">
                  <a:xfrm>
                    <a:off x="0" y="0"/>
                    <a:ext cx="90170" cy="74295"/>
                  </a:xfrm>
                  <a:prstGeom prst="rect">
                    <a:avLst/>
                  </a:prstGeom>
                </pic:spPr>
              </pic:pic>
            </a:graphicData>
          </a:graphic>
        </wp:inline>
      </w:drawing>
    </w:r>
    <w:r>
      <w:t>@DFAT</w:t>
    </w:r>
  </w:p>
  <w:p w:rsidR="00733E43" w:rsidRDefault="00733E43">
    <w:pPr>
      <w:pStyle w:val="Footer"/>
    </w:pPr>
    <w:r>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43" w:rsidRDefault="00733E43"/>
  </w:footnote>
  <w:footnote w:type="continuationSeparator" w:id="0">
    <w:p w:rsidR="00733E43" w:rsidRDefault="00733E43">
      <w:r>
        <w:continuationSeparator/>
      </w:r>
    </w:p>
  </w:footnote>
  <w:footnote w:id="1">
    <w:p w:rsidR="00733E43" w:rsidRPr="00CF48C6" w:rsidRDefault="00733E43" w:rsidP="00CF48C6">
      <w:pPr>
        <w:pStyle w:val="FootnoteText"/>
        <w:spacing w:before="0" w:after="0" w:line="240" w:lineRule="auto"/>
        <w:rPr>
          <w:color w:val="auto"/>
          <w:sz w:val="16"/>
          <w:szCs w:val="16"/>
        </w:rPr>
      </w:pPr>
      <w:r w:rsidRPr="004E730A">
        <w:rPr>
          <w:rStyle w:val="FootnoteReference"/>
          <w:color w:val="00000A"/>
          <w:sz w:val="16"/>
          <w:szCs w:val="16"/>
        </w:rPr>
        <w:footnoteRef/>
      </w:r>
      <w:r w:rsidRPr="004E730A">
        <w:rPr>
          <w:rStyle w:val="FootnoteReference"/>
          <w:color w:val="00000A"/>
          <w:sz w:val="16"/>
          <w:szCs w:val="16"/>
        </w:rPr>
        <w:tab/>
      </w:r>
      <w:r w:rsidRPr="00CF48C6">
        <w:rPr>
          <w:color w:val="auto"/>
          <w:sz w:val="16"/>
          <w:szCs w:val="16"/>
          <w:lang w:val="en-US"/>
        </w:rPr>
        <w:t xml:space="preserve">Australia Awards are scholarships and fellowships for study in Australia, that aim to build people-to-people links and develop capacity and leadership skills so that individuals can contribute to development in their home country. </w:t>
      </w:r>
      <w:r w:rsidRPr="00CF48C6">
        <w:rPr>
          <w:color w:val="auto"/>
          <w:sz w:val="16"/>
          <w:szCs w:val="16"/>
        </w:rPr>
        <w:t>They include the Australia Awards Scholarships and Australia Awards Fellowships administered by DFAT, John Allwright and John Dillon Fellowships administered by Australian Council for International Agricultural Research (ACIAR) and Endeavour Scholarships and Fellowships administered by Department of Education and Training (DET)</w:t>
      </w:r>
    </w:p>
  </w:footnote>
  <w:footnote w:id="2">
    <w:p w:rsidR="00733E43" w:rsidRPr="00504096" w:rsidRDefault="00733E43">
      <w:pPr>
        <w:pStyle w:val="FootnoteText"/>
        <w:rPr>
          <w:color w:val="auto"/>
          <w:sz w:val="16"/>
          <w:szCs w:val="16"/>
          <w:lang w:val="en-US"/>
        </w:rPr>
      </w:pPr>
      <w:r w:rsidRPr="00504096">
        <w:rPr>
          <w:rStyle w:val="FootnoteReference"/>
          <w:color w:val="00000A"/>
          <w:sz w:val="16"/>
          <w:szCs w:val="16"/>
        </w:rPr>
        <w:footnoteRef/>
      </w:r>
      <w:r>
        <w:t xml:space="preserve"> </w:t>
      </w:r>
      <w:r w:rsidRPr="004E730A">
        <w:rPr>
          <w:rStyle w:val="FootnoteReference"/>
          <w:color w:val="00000A"/>
          <w:sz w:val="16"/>
          <w:szCs w:val="16"/>
        </w:rPr>
        <w:tab/>
      </w:r>
      <w:r w:rsidRPr="00504096">
        <w:rPr>
          <w:color w:val="auto"/>
          <w:sz w:val="16"/>
          <w:szCs w:val="16"/>
          <w:lang w:val="en-US"/>
        </w:rPr>
        <w:t>Thai Nguyen University, Thai Nguyen University of Agriculture and Forestry, and Tay Bac University</w:t>
      </w:r>
    </w:p>
  </w:footnote>
  <w:footnote w:id="3">
    <w:p w:rsidR="00733E43" w:rsidRPr="00CF48C6" w:rsidRDefault="00733E43" w:rsidP="00CF48C6">
      <w:pPr>
        <w:pStyle w:val="FootnoteText"/>
        <w:spacing w:before="0" w:after="0"/>
        <w:rPr>
          <w:color w:val="auto"/>
          <w:sz w:val="16"/>
          <w:szCs w:val="16"/>
        </w:rPr>
      </w:pPr>
      <w:r w:rsidRPr="00CF48C6">
        <w:rPr>
          <w:rStyle w:val="FootnoteReference"/>
          <w:color w:val="auto"/>
          <w:sz w:val="16"/>
          <w:szCs w:val="16"/>
        </w:rPr>
        <w:footnoteRef/>
      </w:r>
      <w:r w:rsidRPr="00CF48C6">
        <w:rPr>
          <w:rStyle w:val="FootnoteReference"/>
          <w:color w:val="auto"/>
          <w:sz w:val="16"/>
          <w:szCs w:val="16"/>
        </w:rPr>
        <w:tab/>
      </w:r>
      <w:r w:rsidRPr="00CF48C6">
        <w:rPr>
          <w:color w:val="auto"/>
          <w:sz w:val="16"/>
          <w:szCs w:val="16"/>
        </w:rPr>
        <w:t xml:space="preserve"> GeLead is a Centre operating under the Ho Chi Minh National Academy of Politics</w:t>
      </w:r>
    </w:p>
  </w:footnote>
  <w:footnote w:id="4">
    <w:p w:rsidR="00733E43" w:rsidRPr="00CF48C6" w:rsidRDefault="00733E43" w:rsidP="00CF48C6">
      <w:pPr>
        <w:pStyle w:val="FootnoteText"/>
        <w:spacing w:before="0" w:after="0"/>
        <w:rPr>
          <w:color w:val="auto"/>
        </w:rPr>
      </w:pPr>
      <w:r w:rsidRPr="00CF48C6">
        <w:rPr>
          <w:rStyle w:val="FootnoteReference"/>
          <w:color w:val="auto"/>
          <w:sz w:val="16"/>
          <w:szCs w:val="16"/>
        </w:rPr>
        <w:footnoteRef/>
      </w:r>
      <w:r w:rsidRPr="00CF48C6">
        <w:rPr>
          <w:rStyle w:val="FootnoteReference"/>
          <w:color w:val="auto"/>
          <w:sz w:val="16"/>
          <w:szCs w:val="16"/>
        </w:rPr>
        <w:tab/>
      </w:r>
      <w:r w:rsidRPr="00CF48C6">
        <w:rPr>
          <w:color w:val="auto"/>
          <w:sz w:val="16"/>
          <w:szCs w:val="16"/>
        </w:rPr>
        <w:t xml:space="preserve"> Study on “Strategies for promoting leadership pathways for female Australia Awards alumni” (DFAT Hanoi, 2015)</w:t>
      </w:r>
    </w:p>
  </w:footnote>
  <w:footnote w:id="5">
    <w:p w:rsidR="00733E43" w:rsidRPr="00CF48C6" w:rsidRDefault="00733E43" w:rsidP="00CF48C6">
      <w:pPr>
        <w:pStyle w:val="FootnoteText"/>
        <w:spacing w:before="0" w:after="0" w:line="240" w:lineRule="auto"/>
        <w:rPr>
          <w:color w:val="auto"/>
          <w:sz w:val="16"/>
          <w:szCs w:val="16"/>
        </w:rPr>
      </w:pPr>
      <w:r w:rsidRPr="00CF48C6">
        <w:rPr>
          <w:rStyle w:val="FootnoteReference"/>
          <w:color w:val="auto"/>
          <w:sz w:val="16"/>
          <w:szCs w:val="16"/>
        </w:rPr>
        <w:footnoteRef/>
      </w:r>
      <w:r w:rsidRPr="00CF48C6">
        <w:rPr>
          <w:rStyle w:val="FootnoteReference"/>
          <w:color w:val="auto"/>
          <w:sz w:val="16"/>
          <w:szCs w:val="16"/>
        </w:rPr>
        <w:tab/>
      </w:r>
      <w:r w:rsidRPr="00CF48C6">
        <w:rPr>
          <w:color w:val="auto"/>
          <w:sz w:val="16"/>
          <w:szCs w:val="16"/>
        </w:rPr>
        <w:t xml:space="preserve"> Alumni who returned between July 2013 – June 2014 (Program Management Information System Data)</w:t>
      </w:r>
    </w:p>
  </w:footnote>
  <w:footnote w:id="6">
    <w:p w:rsidR="00733E43" w:rsidRPr="004E730A" w:rsidRDefault="00733E43" w:rsidP="00CF48C6">
      <w:pPr>
        <w:pStyle w:val="FootnoteText"/>
        <w:spacing w:before="0" w:after="0" w:line="240" w:lineRule="auto"/>
        <w:rPr>
          <w:sz w:val="16"/>
          <w:szCs w:val="16"/>
        </w:rPr>
      </w:pPr>
      <w:r w:rsidRPr="00CF48C6">
        <w:rPr>
          <w:rStyle w:val="FootnoteReference"/>
          <w:color w:val="auto"/>
          <w:sz w:val="16"/>
          <w:szCs w:val="16"/>
        </w:rPr>
        <w:footnoteRef/>
      </w:r>
      <w:r w:rsidRPr="00CF48C6">
        <w:rPr>
          <w:rStyle w:val="FootnoteReference"/>
          <w:color w:val="auto"/>
          <w:sz w:val="16"/>
          <w:szCs w:val="16"/>
        </w:rPr>
        <w:tab/>
      </w:r>
      <w:r w:rsidRPr="00CF48C6">
        <w:rPr>
          <w:color w:val="auto"/>
          <w:sz w:val="16"/>
          <w:szCs w:val="16"/>
        </w:rPr>
        <w:t xml:space="preserve"> Alumni Development Impact Surveys (October 2016, July 2017)</w:t>
      </w:r>
    </w:p>
  </w:footnote>
  <w:footnote w:id="7">
    <w:p w:rsidR="00733E43" w:rsidRPr="004E730A" w:rsidRDefault="00733E43" w:rsidP="00CF48C6">
      <w:pPr>
        <w:pStyle w:val="FootnoteText"/>
        <w:spacing w:before="0" w:after="0" w:line="240" w:lineRule="auto"/>
        <w:rPr>
          <w:sz w:val="16"/>
          <w:szCs w:val="16"/>
        </w:rPr>
      </w:pPr>
      <w:r w:rsidRPr="004E730A">
        <w:rPr>
          <w:rStyle w:val="FootnoteReference"/>
          <w:color w:val="00000A"/>
          <w:sz w:val="16"/>
          <w:szCs w:val="16"/>
        </w:rPr>
        <w:footnoteRef/>
      </w:r>
      <w:r w:rsidRPr="004E730A">
        <w:rPr>
          <w:rStyle w:val="FootnoteReference"/>
          <w:color w:val="00000A"/>
          <w:sz w:val="16"/>
          <w:szCs w:val="16"/>
        </w:rPr>
        <w:tab/>
      </w:r>
      <w:r w:rsidRPr="004E730A">
        <w:rPr>
          <w:color w:val="00000A"/>
          <w:sz w:val="16"/>
          <w:szCs w:val="16"/>
        </w:rPr>
        <w:t xml:space="preserve"> </w:t>
      </w:r>
      <w:r>
        <w:rPr>
          <w:color w:val="00000A"/>
          <w:sz w:val="16"/>
          <w:szCs w:val="16"/>
        </w:rPr>
        <w:t>Australia Awards funding; Scholarships are p</w:t>
      </w:r>
      <w:r w:rsidRPr="004E730A">
        <w:rPr>
          <w:color w:val="00000A"/>
          <w:sz w:val="16"/>
          <w:szCs w:val="16"/>
        </w:rPr>
        <w:t>rovided under the bilateral aid program</w:t>
      </w:r>
      <w:r>
        <w:rPr>
          <w:color w:val="00000A"/>
          <w:sz w:val="16"/>
          <w:szCs w:val="16"/>
        </w:rPr>
        <w:t>; Fellowships is a global program; John Allwright Fellowships are provided by ACIAR; Endeavour Scholarships and Fellowships are provided by Department of Education and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00" w:rsidRDefault="0088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43" w:rsidRDefault="00733E43">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00" w:rsidRDefault="00881B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43" w:rsidRDefault="00FD05D1">
    <w:pPr>
      <w:pStyle w:val="Header"/>
    </w:pPr>
    <w:r>
      <w:rPr>
        <w:noProof/>
        <w:lang w:val="en-AU" w:eastAsia="en-AU"/>
      </w:rPr>
      <w:drawing>
        <wp:anchor distT="0" distB="3810" distL="114300" distR="114300" simplePos="0" relativeHeight="251662336" behindDoc="1" locked="0" layoutInCell="1" allowOverlap="1" wp14:anchorId="69B8457A" wp14:editId="5D4E3C73">
          <wp:simplePos x="0" y="0"/>
          <wp:positionH relativeFrom="page">
            <wp:align>right</wp:align>
          </wp:positionH>
          <wp:positionV relativeFrom="page">
            <wp:posOffset>15903</wp:posOffset>
          </wp:positionV>
          <wp:extent cx="7553051" cy="10607040"/>
          <wp:effectExtent l="0" t="0" r="0" b="3810"/>
          <wp:wrapNone/>
          <wp:docPr id="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4"/>
                  <pic:cNvPicPr>
                    <a:picLocks noChangeAspect="1" noChangeArrowheads="1"/>
                  </pic:cNvPicPr>
                </pic:nvPicPr>
                <pic:blipFill>
                  <a:blip r:embed="rId1"/>
                  <a:stretch>
                    <a:fillRect/>
                  </a:stretch>
                </pic:blipFill>
                <pic:spPr bwMode="auto">
                  <a:xfrm>
                    <a:off x="0" y="0"/>
                    <a:ext cx="7557758" cy="10613651"/>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3810" distL="114300" distR="114300" simplePos="0" relativeHeight="251658240" behindDoc="1" locked="0" layoutInCell="1" allowOverlap="1" wp14:anchorId="74F39FB5" wp14:editId="4142E415">
          <wp:simplePos x="0" y="0"/>
          <wp:positionH relativeFrom="page">
            <wp:posOffset>7951</wp:posOffset>
          </wp:positionH>
          <wp:positionV relativeFrom="page">
            <wp:posOffset>-10328744</wp:posOffset>
          </wp:positionV>
          <wp:extent cx="7545705" cy="9589273"/>
          <wp:effectExtent l="0" t="0" r="0" b="0"/>
          <wp:wrapNone/>
          <wp:docPr id="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4"/>
                  <pic:cNvPicPr>
                    <a:picLocks noChangeAspect="1" noChangeArrowheads="1"/>
                  </pic:cNvPicPr>
                </pic:nvPicPr>
                <pic:blipFill>
                  <a:blip r:embed="rId1"/>
                  <a:stretch>
                    <a:fillRect/>
                  </a:stretch>
                </pic:blipFill>
                <pic:spPr bwMode="auto">
                  <a:xfrm>
                    <a:off x="0" y="0"/>
                    <a:ext cx="7548050" cy="9592253"/>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43" w:rsidRDefault="00FD05D1">
    <w:pPr>
      <w:pStyle w:val="Header"/>
      <w:jc w:val="left"/>
    </w:pPr>
    <w:r>
      <w:rPr>
        <w:noProof/>
        <w:lang w:val="en-AU" w:eastAsia="en-AU"/>
      </w:rPr>
      <w:drawing>
        <wp:anchor distT="0" distB="4445" distL="114300" distR="118110" simplePos="0" relativeHeight="251660288" behindDoc="1" locked="0" layoutInCell="1" allowOverlap="1" wp14:anchorId="4803D2BD" wp14:editId="55B8653F">
          <wp:simplePos x="0" y="0"/>
          <wp:positionH relativeFrom="page">
            <wp:align>left</wp:align>
          </wp:positionH>
          <wp:positionV relativeFrom="page">
            <wp:align>top</wp:align>
          </wp:positionV>
          <wp:extent cx="10670196" cy="7545788"/>
          <wp:effectExtent l="0" t="0" r="0" b="0"/>
          <wp:wrapNone/>
          <wp:docPr id="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pic:cNvPicPr>
                    <a:picLocks noChangeAspect="1" noChangeArrowheads="1"/>
                  </pic:cNvPicPr>
                </pic:nvPicPr>
                <pic:blipFill>
                  <a:blip r:embed="rId1"/>
                  <a:stretch>
                    <a:fillRect/>
                  </a:stretch>
                </pic:blipFill>
                <pic:spPr bwMode="auto">
                  <a:xfrm>
                    <a:off x="0" y="0"/>
                    <a:ext cx="10683151" cy="755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1824"/>
    <w:multiLevelType w:val="hybridMultilevel"/>
    <w:tmpl w:val="BC4426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0AD184F"/>
    <w:multiLevelType w:val="hybridMultilevel"/>
    <w:tmpl w:val="56F8EA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49AE549E"/>
    <w:multiLevelType w:val="multilevel"/>
    <w:tmpl w:val="D2B2B5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CDA4F1A"/>
    <w:multiLevelType w:val="multilevel"/>
    <w:tmpl w:val="C99053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B881F76"/>
    <w:multiLevelType w:val="hybridMultilevel"/>
    <w:tmpl w:val="F56E3DDA"/>
    <w:lvl w:ilvl="0" w:tplc="1C1A82D6">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0EC6835"/>
    <w:multiLevelType w:val="hybridMultilevel"/>
    <w:tmpl w:val="56F8EA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3"/>
  </w:num>
  <w:num w:numId="3">
    <w:abstractNumId w:val="1"/>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B"/>
    <w:rsid w:val="00014BBC"/>
    <w:rsid w:val="00021611"/>
    <w:rsid w:val="0003247D"/>
    <w:rsid w:val="00035CBF"/>
    <w:rsid w:val="00036008"/>
    <w:rsid w:val="00045AF7"/>
    <w:rsid w:val="00060A2A"/>
    <w:rsid w:val="000754D0"/>
    <w:rsid w:val="000756A5"/>
    <w:rsid w:val="00075E2E"/>
    <w:rsid w:val="000942C4"/>
    <w:rsid w:val="000A0A67"/>
    <w:rsid w:val="000C06F0"/>
    <w:rsid w:val="000D730F"/>
    <w:rsid w:val="000E5CC3"/>
    <w:rsid w:val="00123631"/>
    <w:rsid w:val="00140305"/>
    <w:rsid w:val="00142452"/>
    <w:rsid w:val="00154BD3"/>
    <w:rsid w:val="0016203B"/>
    <w:rsid w:val="001631A3"/>
    <w:rsid w:val="001960E4"/>
    <w:rsid w:val="001B6708"/>
    <w:rsid w:val="001B79F9"/>
    <w:rsid w:val="001D66D5"/>
    <w:rsid w:val="001E0068"/>
    <w:rsid w:val="001E0E25"/>
    <w:rsid w:val="001E5537"/>
    <w:rsid w:val="001E7485"/>
    <w:rsid w:val="00200FE0"/>
    <w:rsid w:val="00226829"/>
    <w:rsid w:val="00232CD0"/>
    <w:rsid w:val="00240C72"/>
    <w:rsid w:val="00243C9A"/>
    <w:rsid w:val="00257BDF"/>
    <w:rsid w:val="00265389"/>
    <w:rsid w:val="00267FE2"/>
    <w:rsid w:val="00271822"/>
    <w:rsid w:val="002901AE"/>
    <w:rsid w:val="00292851"/>
    <w:rsid w:val="002E2D9E"/>
    <w:rsid w:val="002E2ED8"/>
    <w:rsid w:val="002E7BFE"/>
    <w:rsid w:val="003016C3"/>
    <w:rsid w:val="00302B1E"/>
    <w:rsid w:val="00310CE8"/>
    <w:rsid w:val="00314DC4"/>
    <w:rsid w:val="003273EB"/>
    <w:rsid w:val="00336DF5"/>
    <w:rsid w:val="00344C0A"/>
    <w:rsid w:val="00345ADC"/>
    <w:rsid w:val="00347907"/>
    <w:rsid w:val="00351C37"/>
    <w:rsid w:val="00356CAA"/>
    <w:rsid w:val="003641FA"/>
    <w:rsid w:val="003822DF"/>
    <w:rsid w:val="00390368"/>
    <w:rsid w:val="0039044E"/>
    <w:rsid w:val="003A2346"/>
    <w:rsid w:val="003B0147"/>
    <w:rsid w:val="003B4F08"/>
    <w:rsid w:val="00407DB1"/>
    <w:rsid w:val="00412D87"/>
    <w:rsid w:val="00446EAE"/>
    <w:rsid w:val="00447983"/>
    <w:rsid w:val="00451E9A"/>
    <w:rsid w:val="004743E3"/>
    <w:rsid w:val="004806CF"/>
    <w:rsid w:val="00485B4D"/>
    <w:rsid w:val="00494239"/>
    <w:rsid w:val="004A34E8"/>
    <w:rsid w:val="004B6EF0"/>
    <w:rsid w:val="004C21CF"/>
    <w:rsid w:val="004C6BE1"/>
    <w:rsid w:val="004C6FA2"/>
    <w:rsid w:val="004E48EF"/>
    <w:rsid w:val="004E4D74"/>
    <w:rsid w:val="004E730A"/>
    <w:rsid w:val="005011B7"/>
    <w:rsid w:val="00504096"/>
    <w:rsid w:val="005129F8"/>
    <w:rsid w:val="00532CC6"/>
    <w:rsid w:val="005361DE"/>
    <w:rsid w:val="00536B1A"/>
    <w:rsid w:val="0053785D"/>
    <w:rsid w:val="00545FFC"/>
    <w:rsid w:val="0054651F"/>
    <w:rsid w:val="005530A2"/>
    <w:rsid w:val="00555BDE"/>
    <w:rsid w:val="00567F83"/>
    <w:rsid w:val="00575051"/>
    <w:rsid w:val="00575729"/>
    <w:rsid w:val="00576A8F"/>
    <w:rsid w:val="005848A2"/>
    <w:rsid w:val="00595330"/>
    <w:rsid w:val="005A5E20"/>
    <w:rsid w:val="005A60BD"/>
    <w:rsid w:val="005B0C96"/>
    <w:rsid w:val="005B4258"/>
    <w:rsid w:val="005B56B5"/>
    <w:rsid w:val="005C01AF"/>
    <w:rsid w:val="005C307C"/>
    <w:rsid w:val="005C37E3"/>
    <w:rsid w:val="005D3131"/>
    <w:rsid w:val="005D3D3D"/>
    <w:rsid w:val="00601728"/>
    <w:rsid w:val="00621D6D"/>
    <w:rsid w:val="00624532"/>
    <w:rsid w:val="0063004E"/>
    <w:rsid w:val="006434BE"/>
    <w:rsid w:val="0065005F"/>
    <w:rsid w:val="006529A5"/>
    <w:rsid w:val="00660797"/>
    <w:rsid w:val="00661528"/>
    <w:rsid w:val="006A4E25"/>
    <w:rsid w:val="006B6591"/>
    <w:rsid w:val="006C6796"/>
    <w:rsid w:val="006D2AC1"/>
    <w:rsid w:val="006D3D58"/>
    <w:rsid w:val="006E033B"/>
    <w:rsid w:val="007029BE"/>
    <w:rsid w:val="007031B7"/>
    <w:rsid w:val="00712FD4"/>
    <w:rsid w:val="00733E43"/>
    <w:rsid w:val="00747246"/>
    <w:rsid w:val="0075255F"/>
    <w:rsid w:val="007829BE"/>
    <w:rsid w:val="00787373"/>
    <w:rsid w:val="0079722E"/>
    <w:rsid w:val="007A21B0"/>
    <w:rsid w:val="007B0836"/>
    <w:rsid w:val="007C61FA"/>
    <w:rsid w:val="007D5512"/>
    <w:rsid w:val="007E05B9"/>
    <w:rsid w:val="007E6E8F"/>
    <w:rsid w:val="007F6E55"/>
    <w:rsid w:val="008023F3"/>
    <w:rsid w:val="00837064"/>
    <w:rsid w:val="00845273"/>
    <w:rsid w:val="0086209B"/>
    <w:rsid w:val="00865CD1"/>
    <w:rsid w:val="00881B00"/>
    <w:rsid w:val="008911D3"/>
    <w:rsid w:val="008B6EF3"/>
    <w:rsid w:val="008C1688"/>
    <w:rsid w:val="008C5131"/>
    <w:rsid w:val="008D7EAF"/>
    <w:rsid w:val="008F4BAC"/>
    <w:rsid w:val="008F5B23"/>
    <w:rsid w:val="00903BBE"/>
    <w:rsid w:val="009327CE"/>
    <w:rsid w:val="00945859"/>
    <w:rsid w:val="00963632"/>
    <w:rsid w:val="00982A2E"/>
    <w:rsid w:val="00987947"/>
    <w:rsid w:val="009A04AE"/>
    <w:rsid w:val="009A7AA7"/>
    <w:rsid w:val="009B28DF"/>
    <w:rsid w:val="009C45AF"/>
    <w:rsid w:val="009D49B3"/>
    <w:rsid w:val="009D562C"/>
    <w:rsid w:val="009E687B"/>
    <w:rsid w:val="00A17544"/>
    <w:rsid w:val="00A25E29"/>
    <w:rsid w:val="00A32437"/>
    <w:rsid w:val="00A36996"/>
    <w:rsid w:val="00A43F18"/>
    <w:rsid w:val="00A57465"/>
    <w:rsid w:val="00A63A4B"/>
    <w:rsid w:val="00A72C40"/>
    <w:rsid w:val="00A96916"/>
    <w:rsid w:val="00AA4C16"/>
    <w:rsid w:val="00AB5CB6"/>
    <w:rsid w:val="00AB6A43"/>
    <w:rsid w:val="00AC2AF7"/>
    <w:rsid w:val="00AD4607"/>
    <w:rsid w:val="00B04ABE"/>
    <w:rsid w:val="00B20CE0"/>
    <w:rsid w:val="00B2281A"/>
    <w:rsid w:val="00B718E9"/>
    <w:rsid w:val="00B87A57"/>
    <w:rsid w:val="00B959B9"/>
    <w:rsid w:val="00B97F00"/>
    <w:rsid w:val="00BA2BC9"/>
    <w:rsid w:val="00BA343A"/>
    <w:rsid w:val="00BC0928"/>
    <w:rsid w:val="00BC213F"/>
    <w:rsid w:val="00BC7AE0"/>
    <w:rsid w:val="00BE15F1"/>
    <w:rsid w:val="00BF0DD9"/>
    <w:rsid w:val="00C10E89"/>
    <w:rsid w:val="00C24512"/>
    <w:rsid w:val="00C2565F"/>
    <w:rsid w:val="00C646D0"/>
    <w:rsid w:val="00C73DCE"/>
    <w:rsid w:val="00C901FC"/>
    <w:rsid w:val="00C90B1D"/>
    <w:rsid w:val="00CA61D6"/>
    <w:rsid w:val="00CB6C85"/>
    <w:rsid w:val="00CE1D35"/>
    <w:rsid w:val="00CF48C6"/>
    <w:rsid w:val="00D014F5"/>
    <w:rsid w:val="00D13587"/>
    <w:rsid w:val="00D15A9C"/>
    <w:rsid w:val="00D23F84"/>
    <w:rsid w:val="00D3285E"/>
    <w:rsid w:val="00D43142"/>
    <w:rsid w:val="00D45C06"/>
    <w:rsid w:val="00D51579"/>
    <w:rsid w:val="00D56AC4"/>
    <w:rsid w:val="00D61531"/>
    <w:rsid w:val="00D657DA"/>
    <w:rsid w:val="00D6749F"/>
    <w:rsid w:val="00D819C7"/>
    <w:rsid w:val="00D85A4A"/>
    <w:rsid w:val="00D923C9"/>
    <w:rsid w:val="00D96F8C"/>
    <w:rsid w:val="00DA17C0"/>
    <w:rsid w:val="00DB56CE"/>
    <w:rsid w:val="00DB76D3"/>
    <w:rsid w:val="00DD52CE"/>
    <w:rsid w:val="00DF37E1"/>
    <w:rsid w:val="00E12728"/>
    <w:rsid w:val="00E4092B"/>
    <w:rsid w:val="00E44E22"/>
    <w:rsid w:val="00E454AE"/>
    <w:rsid w:val="00E53550"/>
    <w:rsid w:val="00E5522F"/>
    <w:rsid w:val="00E6027D"/>
    <w:rsid w:val="00E61EB2"/>
    <w:rsid w:val="00E652B8"/>
    <w:rsid w:val="00E7631E"/>
    <w:rsid w:val="00E96873"/>
    <w:rsid w:val="00E974CB"/>
    <w:rsid w:val="00EB0F97"/>
    <w:rsid w:val="00EB453E"/>
    <w:rsid w:val="00EC154E"/>
    <w:rsid w:val="00ED350B"/>
    <w:rsid w:val="00EE2E43"/>
    <w:rsid w:val="00EF0E79"/>
    <w:rsid w:val="00EF7A69"/>
    <w:rsid w:val="00F10EA5"/>
    <w:rsid w:val="00F23249"/>
    <w:rsid w:val="00F25E1E"/>
    <w:rsid w:val="00F34F76"/>
    <w:rsid w:val="00F35157"/>
    <w:rsid w:val="00F85D4B"/>
    <w:rsid w:val="00F91CCE"/>
    <w:rsid w:val="00F967EF"/>
    <w:rsid w:val="00FA404B"/>
    <w:rsid w:val="00FA42C4"/>
    <w:rsid w:val="00FA5D94"/>
    <w:rsid w:val="00FC336A"/>
    <w:rsid w:val="00FD05D1"/>
    <w:rsid w:val="00FF17F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9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rFonts w:ascii="Calibri Light" w:eastAsia="Calibri Light" w:hAnsi="Calibri Light"/>
      <w:color w:val="495965" w:themeColor="text2"/>
      <w:sz w:val="2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qFormat/>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qFormat/>
    <w:rsid w:val="00ED2831"/>
    <w:rPr>
      <w:rFonts w:asciiTheme="majorHAnsi" w:eastAsiaTheme="majorEastAsia" w:hAnsiTheme="majorHAnsi" w:cstheme="majorBidi"/>
      <w:bCs/>
      <w:color w:val="495965" w:themeColor="text2"/>
      <w:sz w:val="30"/>
      <w:szCs w:val="26"/>
      <w:lang w:val="en-GB"/>
    </w:rPr>
  </w:style>
  <w:style w:type="character" w:customStyle="1" w:styleId="TitleChar">
    <w:name w:val="Title Char"/>
    <w:basedOn w:val="DefaultParagraphFont"/>
    <w:link w:val="Title"/>
    <w:uiPriority w:val="10"/>
    <w:qFormat/>
    <w:rsid w:val="00D64BD1"/>
    <w:rPr>
      <w:rFonts w:asciiTheme="majorHAnsi" w:eastAsiaTheme="majorEastAsia" w:hAnsiTheme="majorHAnsi" w:cstheme="majorBidi"/>
      <w:b/>
      <w:bCs/>
      <w:caps/>
      <w:color w:val="495965" w:themeColor="text2"/>
      <w:spacing w:val="-10"/>
      <w:sz w:val="38"/>
      <w:szCs w:val="52"/>
    </w:rPr>
  </w:style>
  <w:style w:type="character" w:customStyle="1" w:styleId="SubtitleChar">
    <w:name w:val="Subtitle Char"/>
    <w:basedOn w:val="DefaultParagraphFont"/>
    <w:link w:val="Subtitle"/>
    <w:qFormat/>
    <w:rsid w:val="00D64BD1"/>
    <w:rPr>
      <w:rFonts w:eastAsiaTheme="majorEastAsia" w:cstheme="majorBidi"/>
      <w:bCs/>
      <w:iCs/>
      <w:caps/>
      <w:color w:val="495965" w:themeColor="text2"/>
      <w:spacing w:val="-10"/>
      <w:sz w:val="38"/>
      <w:szCs w:val="24"/>
    </w:rPr>
  </w:style>
  <w:style w:type="character" w:customStyle="1" w:styleId="Heading4Char">
    <w:name w:val="Heading 4 Char"/>
    <w:basedOn w:val="DefaultParagraphFont"/>
    <w:link w:val="Heading4"/>
    <w:uiPriority w:val="9"/>
    <w:qFormat/>
    <w:rsid w:val="00A4144F"/>
    <w:rPr>
      <w:rFonts w:asciiTheme="majorHAnsi" w:eastAsiaTheme="majorEastAsia" w:hAnsiTheme="majorHAnsi" w:cstheme="majorBidi"/>
      <w:bCs/>
      <w:iCs/>
      <w:color w:val="495965" w:themeColor="text2"/>
      <w:sz w:val="24"/>
      <w:szCs w:val="26"/>
    </w:rPr>
  </w:style>
  <w:style w:type="character" w:customStyle="1" w:styleId="HeaderChar">
    <w:name w:val="Header Char"/>
    <w:basedOn w:val="DefaultParagraphFont"/>
    <w:link w:val="Header"/>
    <w:uiPriority w:val="99"/>
    <w:qFormat/>
    <w:rsid w:val="00992C76"/>
    <w:rPr>
      <w:b/>
      <w:caps/>
      <w:color w:val="495965" w:themeColor="text2"/>
      <w:sz w:val="20"/>
    </w:rPr>
  </w:style>
  <w:style w:type="character" w:customStyle="1" w:styleId="InternetLink">
    <w:name w:val="Internet Link"/>
    <w:basedOn w:val="DefaultParagraphFont"/>
    <w:uiPriority w:val="99"/>
    <w:rsid w:val="00F729EF"/>
    <w:rPr>
      <w:rFonts w:asciiTheme="minorHAnsi" w:hAnsiTheme="minorHAnsi" w:cs="MuseoSans-500"/>
      <w:color w:val="00000A"/>
      <w:u w:val="single" w:color="0070C0"/>
    </w:rPr>
  </w:style>
  <w:style w:type="character" w:styleId="IntenseEmphasis">
    <w:name w:val="Intense Emphasis"/>
    <w:basedOn w:val="DefaultParagraphFont"/>
    <w:uiPriority w:val="21"/>
    <w:qFormat/>
    <w:rsid w:val="00FE6D51"/>
    <w:rPr>
      <w:b/>
      <w:i/>
      <w:iCs/>
      <w:color w:val="00000A"/>
    </w:rPr>
  </w:style>
  <w:style w:type="character" w:styleId="Strong">
    <w:name w:val="Strong"/>
    <w:basedOn w:val="DefaultParagraphFont"/>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qFormat/>
    <w:rsid w:val="00A4144F"/>
    <w:rPr>
      <w:rFonts w:asciiTheme="majorHAnsi" w:eastAsiaTheme="majorEastAsia" w:hAnsiTheme="majorHAnsi" w:cstheme="majorBidi"/>
      <w:b/>
      <w:bCs/>
      <w:iCs/>
      <w:color w:val="495965" w:themeColor="text2"/>
      <w:sz w:val="16"/>
      <w:szCs w:val="26"/>
    </w:rPr>
  </w:style>
  <w:style w:type="character" w:customStyle="1" w:styleId="FooterChar">
    <w:name w:val="Footer Char"/>
    <w:basedOn w:val="DefaultParagraphFont"/>
    <w:link w:val="Footer"/>
    <w:uiPriority w:val="99"/>
    <w:qFormat/>
    <w:rsid w:val="00CD0E4B"/>
    <w:rPr>
      <w:color w:val="FFFFFF" w:themeColor="background1"/>
    </w:rPr>
  </w:style>
  <w:style w:type="character" w:customStyle="1" w:styleId="Heading6Char">
    <w:name w:val="Heading 6 Char"/>
    <w:basedOn w:val="DefaultParagraphFont"/>
    <w:link w:val="Heading6"/>
    <w:uiPriority w:val="9"/>
    <w:semiHidden/>
    <w:qFormat/>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qFormat/>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qFormat/>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qFormat/>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qFormat/>
    <w:rsid w:val="00F5404C"/>
    <w:rPr>
      <w:color w:val="495965" w:themeColor="text2"/>
    </w:rPr>
  </w:style>
  <w:style w:type="character" w:customStyle="1" w:styleId="QuoteChar">
    <w:name w:val="Quote Char"/>
    <w:basedOn w:val="DefaultParagraphFont"/>
    <w:link w:val="Quote"/>
    <w:uiPriority w:val="29"/>
    <w:qFormat/>
    <w:rsid w:val="00D64BD1"/>
    <w:rPr>
      <w:iCs/>
      <w:color w:val="495965" w:themeColor="text2"/>
      <w:sz w:val="28"/>
      <w:lang w:val="en-GB"/>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qFormat/>
    <w:rsid w:val="008C5A0E"/>
    <w:rPr>
      <w:color w:val="495965" w:themeColor="text2"/>
      <w:sz w:val="12"/>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basedOn w:val="DefaultParagraphFont"/>
    <w:uiPriority w:val="99"/>
    <w:unhideWhenUsed/>
    <w:qFormat/>
    <w:rsid w:val="003002C0"/>
    <w:rPr>
      <w:vertAlign w:val="superscript"/>
    </w:rPr>
  </w:style>
  <w:style w:type="character" w:customStyle="1" w:styleId="Green">
    <w:name w:val="Green"/>
    <w:basedOn w:val="DefaultParagraphFont"/>
    <w:uiPriority w:val="1"/>
    <w:qFormat/>
    <w:rsid w:val="00F83428"/>
    <w:rPr>
      <w:color w:val="ACD08C" w:themeColor="accent3"/>
    </w:rPr>
  </w:style>
  <w:style w:type="character" w:customStyle="1" w:styleId="BalloonTextChar">
    <w:name w:val="Balloon Text Char"/>
    <w:basedOn w:val="DefaultParagraphFont"/>
    <w:link w:val="BalloonText"/>
    <w:uiPriority w:val="99"/>
    <w:semiHidden/>
    <w:qFormat/>
    <w:rsid w:val="002B3E95"/>
    <w:rPr>
      <w:rFonts w:ascii="Tahoma" w:hAnsi="Tahoma" w:cs="Tahoma"/>
      <w:color w:val="495965" w:themeColor="text2"/>
      <w:sz w:val="16"/>
      <w:szCs w:val="16"/>
      <w:lang w:val="en-GB"/>
    </w:rPr>
  </w:style>
  <w:style w:type="character" w:customStyle="1" w:styleId="BodyTextChar">
    <w:name w:val="Body Text Char"/>
    <w:basedOn w:val="DefaultParagraphFont"/>
    <w:link w:val="BodyText"/>
    <w:qFormat/>
    <w:rsid w:val="008F56A8"/>
    <w:rPr>
      <w:rFonts w:ascii="Franklin Gothic Book" w:eastAsia="Times New Roman" w:hAnsi="Franklin Gothic Book" w:cs="Times New Roman"/>
      <w:sz w:val="21"/>
      <w:szCs w:val="24"/>
      <w:lang w:eastAsia="en-AU"/>
    </w:rPr>
  </w:style>
  <w:style w:type="character" w:customStyle="1" w:styleId="CaptionChar">
    <w:name w:val="Caption Char"/>
    <w:link w:val="Caption"/>
    <w:uiPriority w:val="99"/>
    <w:qFormat/>
    <w:locked/>
    <w:rsid w:val="008F56A8"/>
    <w:rPr>
      <w:b/>
      <w:iCs/>
      <w:color w:val="000000" w:themeColor="text1"/>
      <w:sz w:val="20"/>
      <w:szCs w:val="18"/>
      <w:lang w:val="en-GB"/>
    </w:rPr>
  </w:style>
  <w:style w:type="character" w:customStyle="1" w:styleId="NoteCharChar">
    <w:name w:val="Note Char Char"/>
    <w:link w:val="Note"/>
    <w:qFormat/>
    <w:rsid w:val="005B5769"/>
    <w:rPr>
      <w:rFonts w:ascii="Franklin Gothic Book" w:eastAsia="Times New Roman" w:hAnsi="Franklin Gothic Book" w:cs="Times New Roman"/>
      <w:sz w:val="14"/>
      <w:szCs w:val="14"/>
      <w:lang w:eastAsia="en-AU"/>
    </w:rPr>
  </w:style>
  <w:style w:type="character" w:customStyle="1" w:styleId="ListParagraphChar">
    <w:name w:val="List Paragraph Char"/>
    <w:aliases w:val="List Paragraph (numbered (a)) Char,Normal 2 Char,Main numbered paragraph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qFormat/>
    <w:rsid w:val="007C7418"/>
    <w:rPr>
      <w:color w:val="800080" w:themeColor="followedHyperlink"/>
      <w:u w:val="single"/>
    </w:rPr>
  </w:style>
  <w:style w:type="character" w:styleId="CommentReference">
    <w:name w:val="annotation reference"/>
    <w:basedOn w:val="DefaultParagraphFont"/>
    <w:unhideWhenUsed/>
    <w:qFormat/>
    <w:rsid w:val="00BE638C"/>
    <w:rPr>
      <w:sz w:val="16"/>
      <w:szCs w:val="16"/>
    </w:rPr>
  </w:style>
  <w:style w:type="character" w:customStyle="1" w:styleId="CommentTextChar">
    <w:name w:val="Comment Text Char"/>
    <w:basedOn w:val="DefaultParagraphFont"/>
    <w:link w:val="CommentText"/>
    <w:qFormat/>
    <w:rsid w:val="00BE638C"/>
    <w:rPr>
      <w:color w:val="495965" w:themeColor="text2"/>
      <w:sz w:val="20"/>
      <w:szCs w:val="20"/>
      <w:lang w:val="en-GB"/>
    </w:rPr>
  </w:style>
  <w:style w:type="character" w:customStyle="1" w:styleId="CommentSubjectChar">
    <w:name w:val="Comment Subject Char"/>
    <w:basedOn w:val="CommentTextChar"/>
    <w:link w:val="CommentSubject"/>
    <w:uiPriority w:val="99"/>
    <w:semiHidden/>
    <w:qFormat/>
    <w:rsid w:val="00F05BF5"/>
    <w:rPr>
      <w:b/>
      <w:bCs/>
      <w:color w:val="495965" w:themeColor="text2"/>
      <w:sz w:val="20"/>
      <w:szCs w:val="20"/>
      <w:lang w:val="en-GB"/>
    </w:rPr>
  </w:style>
  <w:style w:type="character" w:customStyle="1" w:styleId="ListLabel1">
    <w:name w:val="ListLabel 1"/>
    <w:qFormat/>
    <w:rPr>
      <w:rFonts w:cs="Times New Roman"/>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color w:val="00000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color w:val="00000A"/>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Light"/>
      <w:color w:val="FF000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Light"/>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Light"/>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Light"/>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Symbol"/>
      <w:sz w:val="32"/>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eastAsia="Calibri Ligh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00000A"/>
      <w:sz w:val="21"/>
      <w:szCs w:val="24"/>
      <w:lang w:val="en-AU" w:eastAsia="en-AU"/>
    </w:rPr>
  </w:style>
  <w:style w:type="paragraph" w:styleId="List">
    <w:name w:val="List"/>
    <w:basedOn w:val="BodyText"/>
    <w:rPr>
      <w:rFonts w:cs="FreeSans"/>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customStyle="1" w:styleId="Index">
    <w:name w:val="Index"/>
    <w:basedOn w:val="Normal"/>
    <w:qFormat/>
    <w:pPr>
      <w:suppressLineNumbers/>
    </w:pPr>
    <w:rPr>
      <w:rFonts w:cs="FreeSans"/>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szCs w:val="52"/>
    </w:rPr>
  </w:style>
  <w:style w:type="paragraph" w:styleId="Subtitle">
    <w:name w:val="Subtitle"/>
    <w:basedOn w:val="Title"/>
    <w:next w:val="Normal"/>
    <w:link w:val="SubtitleChar"/>
    <w:qFormat/>
    <w:rsid w:val="00D64BD1"/>
    <w:pPr>
      <w:spacing w:before="60" w:after="300"/>
    </w:pPr>
    <w:rPr>
      <w:rFonts w:asciiTheme="minorHAnsi" w:hAnsiTheme="minorHAnsi"/>
      <w:b w:val="0"/>
      <w:iCs/>
      <w:szCs w:val="24"/>
    </w:rPr>
  </w:style>
  <w:style w:type="paragraph" w:customStyle="1" w:styleId="Bullet1">
    <w:name w:val="Bullet 1"/>
    <w:basedOn w:val="Normal"/>
    <w:qFormat/>
    <w:rsid w:val="001D663E"/>
    <w:pPr>
      <w:spacing w:before="0"/>
    </w:pPr>
  </w:style>
  <w:style w:type="paragraph" w:customStyle="1" w:styleId="Bullet2">
    <w:name w:val="Bullet 2"/>
    <w:basedOn w:val="Bullet1"/>
    <w:qFormat/>
    <w:rsid w:val="00F2684E"/>
  </w:style>
  <w:style w:type="paragraph" w:customStyle="1" w:styleId="Bullet3">
    <w:name w:val="Bullet 3"/>
    <w:basedOn w:val="Bullet2"/>
    <w:qFormat/>
    <w:rsid w:val="00F2684E"/>
  </w:style>
  <w:style w:type="paragraph" w:customStyle="1" w:styleId="NumberedList1">
    <w:name w:val="Numbered List 1"/>
    <w:basedOn w:val="Normal"/>
    <w:qFormat/>
    <w:rsid w:val="00F2684E"/>
    <w:pPr>
      <w:spacing w:before="0"/>
    </w:pPr>
  </w:style>
  <w:style w:type="paragraph" w:customStyle="1" w:styleId="NumberedList2">
    <w:name w:val="Numbered List 2"/>
    <w:basedOn w:val="NumberedList1"/>
    <w:qFormat/>
    <w:rsid w:val="00F2684E"/>
  </w:style>
  <w:style w:type="paragraph" w:customStyle="1" w:styleId="NumberedList3">
    <w:name w:val="Numbered List 3"/>
    <w:basedOn w:val="NumberedList2"/>
    <w:qFormat/>
    <w:rsid w:val="00F2684E"/>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ED2831"/>
    <w:pPr>
      <w:spacing w:before="480" w:after="60"/>
    </w:pPr>
    <w:rPr>
      <w:bCs/>
    </w:rPr>
  </w:style>
  <w:style w:type="paragraph" w:customStyle="1" w:styleId="Heading3Numbered">
    <w:name w:val="Heading 3 Numbered"/>
    <w:basedOn w:val="Heading3"/>
    <w:next w:val="Normal"/>
    <w:qFormat/>
    <w:rsid w:val="00ED2831"/>
    <w:pPr>
      <w:spacing w:before="300" w:after="60"/>
    </w:pPr>
    <w:rPr>
      <w:szCs w:val="22"/>
    </w:rPr>
  </w:style>
  <w:style w:type="paragraph" w:styleId="TOCHeading">
    <w:name w:val="TOC Heading"/>
    <w:basedOn w:val="Heading1"/>
    <w:next w:val="Normal"/>
    <w:uiPriority w:val="39"/>
    <w:unhideWhenUsed/>
    <w:qFormat/>
    <w:rsid w:val="00ED2831"/>
    <w:pPr>
      <w:pageBreakBefore w:val="0"/>
      <w:suppressAutoHyphens w:val="0"/>
      <w:spacing w:after="600"/>
    </w:pPr>
    <w:rPr>
      <w:bCs w:val="0"/>
      <w:szCs w:val="32"/>
    </w:rPr>
  </w:style>
  <w:style w:type="paragraph" w:styleId="TOC1">
    <w:name w:val="toc 1"/>
    <w:basedOn w:val="Normal"/>
    <w:next w:val="Normal"/>
    <w:autoRedefine/>
    <w:uiPriority w:val="39"/>
    <w:unhideWhenUsed/>
    <w:rsid w:val="00ED2831"/>
    <w:pPr>
      <w:pBdr>
        <w:top w:val="single" w:sz="4" w:space="6" w:color="65C5B4"/>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qFormat/>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paragraph" w:styleId="Quote">
    <w:name w:val="Quote"/>
    <w:basedOn w:val="Normal"/>
    <w:next w:val="Normal"/>
    <w:link w:val="QuoteChar"/>
    <w:uiPriority w:val="29"/>
    <w:qFormat/>
    <w:rsid w:val="00D64BD1"/>
    <w:pPr>
      <w:spacing w:before="0" w:after="180" w:line="320" w:lineRule="atLeast"/>
    </w:pPr>
    <w:rPr>
      <w:iCs/>
      <w:sz w:val="28"/>
    </w:rPr>
  </w:style>
  <w:style w:type="paragraph" w:customStyle="1" w:styleId="QuoteHeading">
    <w:name w:val="Quote Heading"/>
    <w:basedOn w:val="Quote"/>
    <w:qFormat/>
    <w:rsid w:val="00C5182A"/>
    <w:rPr>
      <w:b/>
      <w:sz w:val="20"/>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Normal"/>
    <w:link w:val="FootnoteTextChar"/>
    <w:qFormat/>
  </w:style>
  <w:style w:type="paragraph" w:customStyle="1" w:styleId="GreyRoundBoxText">
    <w:name w:val="Grey Round Box Text"/>
    <w:basedOn w:val="Normal"/>
    <w:qFormat/>
    <w:rsid w:val="000D66D6"/>
    <w:pPr>
      <w:spacing w:before="0"/>
    </w:pPr>
    <w:rPr>
      <w:b/>
      <w:caps/>
      <w:color w:val="FFFFFF" w:themeColor="background1"/>
      <w:sz w:val="18"/>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paragraph" w:customStyle="1" w:styleId="FootnoteSeparator">
    <w:name w:val="Footnote Separator"/>
    <w:basedOn w:val="Footer"/>
    <w:qFormat/>
    <w:rsid w:val="00ED2831"/>
    <w:pPr>
      <w:pBdr>
        <w:top w:val="single" w:sz="4" w:space="1" w:color="495965"/>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qFormat/>
    <w:rsid w:val="002B3E95"/>
    <w:pPr>
      <w:spacing w:before="0" w:after="0" w:line="240" w:lineRule="auto"/>
    </w:pPr>
    <w:rPr>
      <w:rFonts w:ascii="Tahoma" w:hAnsi="Tahoma" w:cs="Tahoma"/>
      <w:sz w:val="16"/>
      <w:szCs w:val="16"/>
    </w:rPr>
  </w:style>
  <w:style w:type="paragraph" w:styleId="ListBullet">
    <w:name w:val="List Bullet"/>
    <w:basedOn w:val="BodyText"/>
    <w:qFormat/>
    <w:rsid w:val="008F56A8"/>
    <w:pPr>
      <w:tabs>
        <w:tab w:val="left" w:pos="284"/>
      </w:tabs>
      <w:spacing w:after="120"/>
    </w:pPr>
  </w:style>
  <w:style w:type="paragraph" w:customStyle="1" w:styleId="Note">
    <w:name w:val="Note"/>
    <w:link w:val="NoteCharChar"/>
    <w:autoRedefine/>
    <w:qFormat/>
    <w:rsid w:val="005B5769"/>
    <w:pPr>
      <w:keepNext/>
      <w:widowControl w:val="0"/>
      <w:spacing w:before="20" w:after="20" w:line="180" w:lineRule="atLeast"/>
      <w:jc w:val="both"/>
    </w:pPr>
    <w:rPr>
      <w:color w:val="00000A"/>
      <w:sz w:val="14"/>
      <w:szCs w:val="14"/>
      <w:lang w:eastAsia="en-AU"/>
    </w:rPr>
  </w:style>
  <w:style w:type="paragraph" w:customStyle="1" w:styleId="TableTextEntries">
    <w:name w:val="Table Text Entries"/>
    <w:qFormat/>
    <w:rsid w:val="005B5769"/>
    <w:pPr>
      <w:keepLines/>
      <w:spacing w:before="40" w:after="40" w:line="200" w:lineRule="atLeast"/>
    </w:pPr>
    <w:rPr>
      <w:rFonts w:ascii="Franklin Gothic Book" w:eastAsia="Times New Roman" w:hAnsi="Franklin Gothic Book" w:cs="Times New Roman"/>
      <w:iCs/>
      <w:color w:val="00000A"/>
      <w:sz w:val="17"/>
      <w:szCs w:val="17"/>
    </w:rPr>
  </w:style>
  <w:style w:type="paragraph" w:customStyle="1" w:styleId="TableTextColumnHeading">
    <w:name w:val="Table Text Column Heading"/>
    <w:basedOn w:val="Normal"/>
    <w:autoRedefine/>
    <w:qFormat/>
    <w:rsid w:val="005B5769"/>
    <w:pPr>
      <w:keepLines/>
      <w:suppressAutoHyphens w:val="0"/>
      <w:spacing w:before="80" w:after="80" w:line="200" w:lineRule="atLeast"/>
    </w:pPr>
    <w:rPr>
      <w:rFonts w:ascii="Franklin Gothic Medium" w:eastAsia="Times New Roman" w:hAnsi="Franklin Gothic Medium" w:cs="Times New Roman"/>
      <w:b/>
      <w:iCs/>
      <w:color w:val="00000A"/>
      <w:sz w:val="17"/>
      <w:szCs w:val="17"/>
      <w:lang w:val="en-AU"/>
    </w:rPr>
  </w:style>
  <w:style w:type="paragraph" w:customStyle="1" w:styleId="BoxListBullet">
    <w:name w:val="Box List Bullet"/>
    <w:basedOn w:val="Normal"/>
    <w:qFormat/>
    <w:rsid w:val="005B5769"/>
    <w:pPr>
      <w:keepLines/>
      <w:pBdr>
        <w:top w:val="single" w:sz="4" w:space="10" w:color="00000A"/>
        <w:left w:val="single" w:sz="4" w:space="10" w:color="00000A"/>
        <w:bottom w:val="single" w:sz="4" w:space="10" w:color="00000A"/>
        <w:right w:val="single" w:sz="4" w:space="10" w:color="00000A"/>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00000A"/>
      <w:sz w:val="20"/>
      <w:szCs w:val="20"/>
      <w:lang w:val="en-AU" w:eastAsia="en-AU"/>
    </w:rPr>
  </w:style>
  <w:style w:type="paragraph" w:customStyle="1" w:styleId="TableHeading1">
    <w:name w:val="Table Heading 1"/>
    <w:basedOn w:val="TableTextEntries"/>
    <w:qFormat/>
    <w:rsid w:val="005B5769"/>
    <w:pPr>
      <w:spacing w:before="80" w:after="80"/>
    </w:pPr>
    <w:rPr>
      <w:b/>
    </w:rPr>
  </w:style>
  <w:style w:type="paragraph" w:customStyle="1" w:styleId="TableListNumber2">
    <w:name w:val="Table List Number 2"/>
    <w:basedOn w:val="Normal"/>
    <w:qFormat/>
    <w:rsid w:val="005B5769"/>
    <w:pPr>
      <w:keepLines/>
      <w:suppressAutoHyphens w:val="0"/>
      <w:spacing w:before="40" w:after="40" w:line="200" w:lineRule="atLeast"/>
      <w:ind w:left="568" w:hanging="284"/>
    </w:pPr>
    <w:rPr>
      <w:rFonts w:ascii="Helvetica" w:eastAsia="Times New Roman" w:hAnsi="Helvetica" w:cs="Times New Roman"/>
      <w:iCs/>
      <w:color w:val="00000A"/>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00000A"/>
      <w:sz w:val="24"/>
      <w:szCs w:val="24"/>
      <w:lang w:val="en-AU"/>
    </w:rPr>
  </w:style>
  <w:style w:type="paragraph" w:styleId="CommentText">
    <w:name w:val="annotation text"/>
    <w:basedOn w:val="Normal"/>
    <w:link w:val="CommentTextChar"/>
    <w:unhideWhenUsed/>
    <w:qFormat/>
    <w:rsid w:val="00BE638C"/>
    <w:pPr>
      <w:spacing w:line="240" w:lineRule="auto"/>
    </w:pPr>
    <w:rPr>
      <w:sz w:val="20"/>
      <w:szCs w:val="20"/>
    </w:rPr>
  </w:style>
  <w:style w:type="paragraph" w:customStyle="1" w:styleId="Default">
    <w:name w:val="Default"/>
    <w:qFormat/>
    <w:rsid w:val="000D2FE3"/>
    <w:rPr>
      <w:rFonts w:ascii="Arial" w:eastAsia="Calibri Light" w:hAnsi="Arial" w:cs="Arial"/>
      <w:color w:val="000000"/>
      <w:sz w:val="24"/>
      <w:szCs w:val="24"/>
    </w:rPr>
  </w:style>
  <w:style w:type="paragraph" w:styleId="CommentSubject">
    <w:name w:val="annotation subject"/>
    <w:basedOn w:val="CommentText"/>
    <w:link w:val="CommentSubjectChar"/>
    <w:uiPriority w:val="99"/>
    <w:semiHidden/>
    <w:unhideWhenUsed/>
    <w:qFormat/>
    <w:rsid w:val="00F05BF5"/>
    <w:rPr>
      <w:b/>
      <w:bCs/>
    </w:rPr>
  </w:style>
  <w:style w:type="paragraph" w:styleId="Revision">
    <w:name w:val="Revision"/>
    <w:uiPriority w:val="99"/>
    <w:semiHidden/>
    <w:qFormat/>
    <w:rsid w:val="005322E2"/>
    <w:rPr>
      <w:rFonts w:ascii="Calibri Light" w:eastAsia="Calibri Light" w:hAnsi="Calibri Light"/>
      <w:color w:val="495965" w:themeColor="text2"/>
      <w:sz w:val="22"/>
      <w:lang w:val="en-GB"/>
    </w:rPr>
  </w:style>
  <w:style w:type="paragraph" w:customStyle="1" w:styleId="FrameContents">
    <w:name w:val="Frame Contents"/>
    <w:basedOn w:val="Normal"/>
    <w:qFormat/>
  </w:style>
  <w:style w:type="numbering" w:customStyle="1" w:styleId="BulletsList">
    <w:name w:val="Bullets List"/>
    <w:uiPriority w:val="99"/>
    <w:qFormat/>
    <w:rsid w:val="001D663E"/>
  </w:style>
  <w:style w:type="numbering" w:customStyle="1" w:styleId="Numberedlist">
    <w:name w:val="Numbered list"/>
    <w:uiPriority w:val="99"/>
    <w:qFormat/>
    <w:rsid w:val="00F2684E"/>
  </w:style>
  <w:style w:type="numbering" w:customStyle="1" w:styleId="HeadingsList">
    <w:name w:val="Headings List"/>
    <w:uiPriority w:val="99"/>
    <w:qFormat/>
    <w:rsid w:val="001E1DC0"/>
  </w:style>
  <w:style w:type="numbering" w:customStyle="1" w:styleId="TableHeadingNumbers">
    <w:name w:val="Table Heading Numbers"/>
    <w:uiPriority w:val="99"/>
    <w:qFormat/>
    <w:rsid w:val="00ED2831"/>
  </w:style>
  <w:style w:type="numbering" w:customStyle="1" w:styleId="FigureTitles">
    <w:name w:val="Figure Titles"/>
    <w:uiPriority w:val="99"/>
    <w:qFormat/>
    <w:rsid w:val="006346BC"/>
  </w:style>
  <w:style w:type="table" w:customStyle="1" w:styleId="PlainTable21">
    <w:name w:val="Plain Table 21"/>
    <w:basedOn w:val="TableNormal"/>
    <w:uiPriority w:val="42"/>
    <w:rsid w:val="003148B7"/>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Grid">
    <w:name w:val="Table Grid"/>
    <w:basedOn w:val="TableNormal"/>
    <w:rsid w:val="00ED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
    <w:name w:val="DFAT Table 1"/>
    <w:basedOn w:val="TableNormal"/>
    <w:uiPriority w:val="99"/>
    <w:rsid w:val="00ED2831"/>
    <w:pPr>
      <w:spacing w:before="60" w:after="60" w:line="220" w:lineRule="atLeast"/>
    </w:pPr>
    <w:rPr>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customStyle="1" w:styleId="DFATTable">
    <w:name w:val="DFAT Table"/>
    <w:basedOn w:val="TableNormal"/>
    <w:uiPriority w:val="99"/>
    <w:rsid w:val="005B5769"/>
    <w:rPr>
      <w:sz w:val="17"/>
      <w:lang w:eastAsia="en-AU"/>
    </w:rPr>
    <w:tblPr>
      <w:tblBorders>
        <w:top w:val="single" w:sz="12" w:space="0" w:color="auto"/>
        <w:bottom w:val="single" w:sz="12" w:space="0" w:color="auto"/>
      </w:tblBorders>
    </w:tblPr>
  </w:style>
  <w:style w:type="table" w:customStyle="1" w:styleId="APPR">
    <w:name w:val="APPR"/>
    <w:basedOn w:val="TableNormal"/>
    <w:uiPriority w:val="99"/>
    <w:rsid w:val="005B5769"/>
    <w:rPr>
      <w:sz w:val="17"/>
      <w:lang w:eastAsia="en-AU"/>
    </w:rPr>
    <w:tblPr>
      <w:tblStyleRowBandSize w:val="1"/>
      <w:tblBorders>
        <w:top w:val="single" w:sz="12" w:space="0" w:color="000000" w:themeColor="text1"/>
        <w:bottom w:val="single" w:sz="12" w:space="0" w:color="000000" w:themeColor="text1"/>
      </w:tblBorders>
    </w:tblPr>
    <w:tblStylePr w:type="firstRow">
      <w:pPr>
        <w:wordWrap/>
      </w:pPr>
      <w:rPr>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PlainText">
    <w:name w:val="Plain Text"/>
    <w:basedOn w:val="Normal"/>
    <w:link w:val="PlainTextChar"/>
    <w:uiPriority w:val="99"/>
    <w:semiHidden/>
    <w:unhideWhenUsed/>
    <w:rsid w:val="007B0836"/>
    <w:pPr>
      <w:suppressAutoHyphens w:val="0"/>
      <w:spacing w:before="0" w:after="0" w:line="240" w:lineRule="auto"/>
    </w:pPr>
    <w:rPr>
      <w:rFonts w:ascii="Calibri" w:eastAsiaTheme="minorHAnsi" w:hAnsi="Calibri"/>
      <w:color w:val="auto"/>
      <w:szCs w:val="21"/>
      <w:lang w:val="en-AU"/>
    </w:rPr>
  </w:style>
  <w:style w:type="character" w:customStyle="1" w:styleId="PlainTextChar">
    <w:name w:val="Plain Text Char"/>
    <w:basedOn w:val="DefaultParagraphFont"/>
    <w:link w:val="PlainText"/>
    <w:uiPriority w:val="99"/>
    <w:semiHidden/>
    <w:rsid w:val="007B0836"/>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500">
      <w:bodyDiv w:val="1"/>
      <w:marLeft w:val="0"/>
      <w:marRight w:val="0"/>
      <w:marTop w:val="0"/>
      <w:marBottom w:val="0"/>
      <w:divBdr>
        <w:top w:val="none" w:sz="0" w:space="0" w:color="auto"/>
        <w:left w:val="none" w:sz="0" w:space="0" w:color="auto"/>
        <w:bottom w:val="none" w:sz="0" w:space="0" w:color="auto"/>
        <w:right w:val="none" w:sz="0" w:space="0" w:color="auto"/>
      </w:divBdr>
    </w:div>
    <w:div w:id="213274629">
      <w:bodyDiv w:val="1"/>
      <w:marLeft w:val="0"/>
      <w:marRight w:val="0"/>
      <w:marTop w:val="0"/>
      <w:marBottom w:val="0"/>
      <w:divBdr>
        <w:top w:val="none" w:sz="0" w:space="0" w:color="auto"/>
        <w:left w:val="none" w:sz="0" w:space="0" w:color="auto"/>
        <w:bottom w:val="none" w:sz="0" w:space="0" w:color="auto"/>
        <w:right w:val="none" w:sz="0" w:space="0" w:color="auto"/>
      </w:divBdr>
    </w:div>
    <w:div w:id="409279698">
      <w:bodyDiv w:val="1"/>
      <w:marLeft w:val="0"/>
      <w:marRight w:val="0"/>
      <w:marTop w:val="0"/>
      <w:marBottom w:val="0"/>
      <w:divBdr>
        <w:top w:val="none" w:sz="0" w:space="0" w:color="auto"/>
        <w:left w:val="none" w:sz="0" w:space="0" w:color="auto"/>
        <w:bottom w:val="none" w:sz="0" w:space="0" w:color="auto"/>
        <w:right w:val="none" w:sz="0" w:space="0" w:color="auto"/>
      </w:divBdr>
    </w:div>
    <w:div w:id="696614767">
      <w:bodyDiv w:val="1"/>
      <w:marLeft w:val="0"/>
      <w:marRight w:val="0"/>
      <w:marTop w:val="0"/>
      <w:marBottom w:val="0"/>
      <w:divBdr>
        <w:top w:val="none" w:sz="0" w:space="0" w:color="auto"/>
        <w:left w:val="none" w:sz="0" w:space="0" w:color="auto"/>
        <w:bottom w:val="none" w:sz="0" w:space="0" w:color="auto"/>
        <w:right w:val="none" w:sz="0" w:space="0" w:color="auto"/>
      </w:divBdr>
    </w:div>
    <w:div w:id="980695313">
      <w:bodyDiv w:val="1"/>
      <w:marLeft w:val="0"/>
      <w:marRight w:val="0"/>
      <w:marTop w:val="0"/>
      <w:marBottom w:val="0"/>
      <w:divBdr>
        <w:top w:val="none" w:sz="0" w:space="0" w:color="auto"/>
        <w:left w:val="none" w:sz="0" w:space="0" w:color="auto"/>
        <w:bottom w:val="none" w:sz="0" w:space="0" w:color="auto"/>
        <w:right w:val="none" w:sz="0" w:space="0" w:color="auto"/>
      </w:divBdr>
    </w:div>
    <w:div w:id="1119883362">
      <w:bodyDiv w:val="1"/>
      <w:marLeft w:val="0"/>
      <w:marRight w:val="0"/>
      <w:marTop w:val="0"/>
      <w:marBottom w:val="0"/>
      <w:divBdr>
        <w:top w:val="none" w:sz="0" w:space="0" w:color="auto"/>
        <w:left w:val="none" w:sz="0" w:space="0" w:color="auto"/>
        <w:bottom w:val="none" w:sz="0" w:space="0" w:color="auto"/>
        <w:right w:val="none" w:sz="0" w:space="0" w:color="auto"/>
      </w:divBdr>
    </w:div>
    <w:div w:id="1473601974">
      <w:bodyDiv w:val="1"/>
      <w:marLeft w:val="0"/>
      <w:marRight w:val="0"/>
      <w:marTop w:val="0"/>
      <w:marBottom w:val="0"/>
      <w:divBdr>
        <w:top w:val="none" w:sz="0" w:space="0" w:color="auto"/>
        <w:left w:val="none" w:sz="0" w:space="0" w:color="auto"/>
        <w:bottom w:val="none" w:sz="0" w:space="0" w:color="auto"/>
        <w:right w:val="none" w:sz="0" w:space="0" w:color="auto"/>
      </w:divBdr>
    </w:div>
    <w:div w:id="1781684422">
      <w:bodyDiv w:val="1"/>
      <w:marLeft w:val="0"/>
      <w:marRight w:val="0"/>
      <w:marTop w:val="0"/>
      <w:marBottom w:val="0"/>
      <w:divBdr>
        <w:top w:val="none" w:sz="0" w:space="0" w:color="auto"/>
        <w:left w:val="none" w:sz="0" w:space="0" w:color="auto"/>
        <w:bottom w:val="none" w:sz="0" w:space="0" w:color="auto"/>
        <w:right w:val="none" w:sz="0" w:space="0" w:color="auto"/>
      </w:divBdr>
    </w:div>
    <w:div w:id="204610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footer" Target="footer5.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header" Target="header5.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8.png"/></Relationships>
</file>

<file path=word/_rels/header5.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48EBC4-497E-4492-B614-81903D229F5A}"/>
</file>

<file path=customXml/itemProps2.xml><?xml version="1.0" encoding="utf-8"?>
<ds:datastoreItem xmlns:ds="http://schemas.openxmlformats.org/officeDocument/2006/customXml" ds:itemID="{7B728BF5-24EE-4F8F-A33D-3374B8F3D230}"/>
</file>

<file path=customXml/itemProps3.xml><?xml version="1.0" encoding="utf-8"?>
<ds:datastoreItem xmlns:ds="http://schemas.openxmlformats.org/officeDocument/2006/customXml" ds:itemID="{842C9DE5-9650-4F5A-A94D-8319CF534950}"/>
</file>

<file path=customXml/itemProps4.xml><?xml version="1.0" encoding="utf-8"?>
<ds:datastoreItem xmlns:ds="http://schemas.openxmlformats.org/officeDocument/2006/customXml" ds:itemID="{9F048986-8279-4699-BF99-870D0F0AEB3D}"/>
</file>

<file path=docProps/app.xml><?xml version="1.0" encoding="utf-8"?>
<Properties xmlns="http://schemas.openxmlformats.org/officeDocument/2006/extended-properties" xmlns:vt="http://schemas.openxmlformats.org/officeDocument/2006/docPropsVTypes">
  <Template>Normal.dotm</Template>
  <TotalTime>0</TotalTime>
  <Pages>24</Pages>
  <Words>10232</Words>
  <Characters>58327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Vietnam Aid Program Performance Report 2016-17</vt:lpstr>
    </vt:vector>
  </TitlesOfParts>
  <Company/>
  <LinksUpToDate>false</LinksUpToDate>
  <CharactersWithSpaces>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Aid Program Performance Report 2016-17</dc:title>
  <dc:subject/>
  <dc:creator/>
  <dc:description/>
  <cp:lastModifiedBy/>
  <cp:revision>1</cp:revision>
  <dcterms:created xsi:type="dcterms:W3CDTF">2017-09-21T04:11:00Z</dcterms:created>
  <dcterms:modified xsi:type="dcterms:W3CDTF">2017-09-21T04:12:00Z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bd269df4-83bf-4af4-b204-1cc7c6291b6a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1127000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