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7B780" w14:textId="6CF284DB" w:rsidR="0007727F" w:rsidRDefault="0007727F" w:rsidP="0007727F">
      <w:pPr>
        <w:pStyle w:val="Heading3"/>
        <w:spacing w:before="0"/>
        <w:jc w:val="center"/>
        <w:rPr>
          <w:b/>
          <w:caps/>
          <w:color w:val="auto"/>
          <w:sz w:val="38"/>
          <w:szCs w:val="28"/>
          <w:lang w:val="en-GB"/>
        </w:rPr>
      </w:pPr>
      <w:bookmarkStart w:id="0" w:name="_Toc373853205"/>
      <w:bookmarkStart w:id="1" w:name="_GoBack"/>
      <w:bookmarkEnd w:id="1"/>
      <w:r>
        <w:rPr>
          <w:b/>
          <w:caps/>
          <w:color w:val="auto"/>
          <w:sz w:val="38"/>
          <w:szCs w:val="28"/>
          <w:lang w:val="en-GB"/>
        </w:rPr>
        <w:t>MID-TERM REVIEW of The Australia-World Bank Group Strategic Partnership Phase 2 (ABP2)</w:t>
      </w:r>
    </w:p>
    <w:p w14:paraId="0E89E8A2" w14:textId="7C32EAC3" w:rsidR="0007727F" w:rsidRPr="0007727F" w:rsidRDefault="0007727F" w:rsidP="0007727F">
      <w:pPr>
        <w:pStyle w:val="Heading3"/>
        <w:jc w:val="center"/>
        <w:rPr>
          <w:b/>
          <w:color w:val="auto"/>
          <w:sz w:val="38"/>
          <w:szCs w:val="28"/>
          <w:lang w:val="en-GB"/>
        </w:rPr>
      </w:pPr>
      <w:r>
        <w:rPr>
          <w:b/>
          <w:color w:val="auto"/>
          <w:sz w:val="38"/>
          <w:szCs w:val="28"/>
          <w:lang w:val="en-GB"/>
        </w:rPr>
        <w:t xml:space="preserve">DFAT Management Response, </w:t>
      </w:r>
      <w:r w:rsidR="00BA7739">
        <w:rPr>
          <w:b/>
          <w:color w:val="auto"/>
          <w:sz w:val="38"/>
          <w:szCs w:val="28"/>
          <w:lang w:val="en-GB"/>
        </w:rPr>
        <w:t>December</w:t>
      </w:r>
      <w:r w:rsidRPr="0007727F">
        <w:rPr>
          <w:b/>
          <w:color w:val="auto"/>
          <w:sz w:val="38"/>
          <w:szCs w:val="28"/>
          <w:lang w:val="en-GB"/>
        </w:rPr>
        <w:t xml:space="preserve"> 2019</w:t>
      </w:r>
    </w:p>
    <w:p w14:paraId="62C80670" w14:textId="77777777" w:rsidR="0007727F" w:rsidRDefault="0007727F" w:rsidP="0007727F">
      <w:pPr>
        <w:pStyle w:val="Heading3"/>
      </w:pPr>
    </w:p>
    <w:p w14:paraId="609A3C02" w14:textId="73AD84AE" w:rsidR="00C10415" w:rsidRPr="002B1079" w:rsidRDefault="0031432C" w:rsidP="0007727F">
      <w:pPr>
        <w:pStyle w:val="Heading3"/>
      </w:pPr>
      <w:r>
        <w:t>Summary of management r</w:t>
      </w:r>
      <w:r w:rsidR="00C10415" w:rsidRPr="002B1079">
        <w:t xml:space="preserve">esponse </w:t>
      </w:r>
    </w:p>
    <w:p w14:paraId="2350AC75" w14:textId="5E7BB45B" w:rsidR="001B0068" w:rsidRDefault="001B0068" w:rsidP="0007727F">
      <w:pPr>
        <w:pStyle w:val="BodyText"/>
      </w:pPr>
      <w:r>
        <w:t xml:space="preserve">The </w:t>
      </w:r>
      <w:r w:rsidR="0007727F">
        <w:t xml:space="preserve">Mid-Term Review (MTR) </w:t>
      </w:r>
      <w:r w:rsidR="008C4CCD">
        <w:t>of the Australia-</w:t>
      </w:r>
      <w:r w:rsidR="0007727F">
        <w:t>World Bank Strategic Partnership</w:t>
      </w:r>
      <w:r w:rsidR="008C4CCD">
        <w:t xml:space="preserve"> Phase 2</w:t>
      </w:r>
      <w:r w:rsidR="0007727F">
        <w:t xml:space="preserve"> (ABP2)</w:t>
      </w:r>
      <w:r>
        <w:t xml:space="preserve"> found that the investment</w:t>
      </w:r>
      <w:r w:rsidR="002743D4">
        <w:t xml:space="preserve"> is performing well against all</w:t>
      </w:r>
      <w:r>
        <w:t xml:space="preserve"> assessment criteria</w:t>
      </w:r>
      <w:r w:rsidR="0007727F">
        <w:t xml:space="preserve">. </w:t>
      </w:r>
      <w:r>
        <w:t xml:space="preserve">It concluded that the overall quality of the </w:t>
      </w:r>
      <w:r w:rsidR="00CC08C7">
        <w:t>partnership</w:t>
      </w:r>
      <w:r>
        <w:t xml:space="preserve"> is high and </w:t>
      </w:r>
      <w:r w:rsidR="002743D4">
        <w:t xml:space="preserve">that </w:t>
      </w:r>
      <w:r>
        <w:t>DFAT and the World Bank are building on each other’s comparative advantages.</w:t>
      </w:r>
      <w:r w:rsidR="00CC08C7">
        <w:t xml:space="preserve"> The report identified seven areas where ABP2 is most likely to contribute to impact-level changes </w:t>
      </w:r>
      <w:r w:rsidR="002743D4">
        <w:t xml:space="preserve">across all of the investment’s six themes. It </w:t>
      </w:r>
      <w:r w:rsidR="00CC08C7">
        <w:t xml:space="preserve">recommended opportunities </w:t>
      </w:r>
      <w:r w:rsidR="009941E9">
        <w:t>for</w:t>
      </w:r>
      <w:r w:rsidR="00CC08C7">
        <w:t xml:space="preserve"> enhancing the</w:t>
      </w:r>
      <w:r w:rsidR="002743D4">
        <w:t xml:space="preserve"> investment, both for the remainder of ABP2 and in potential future phases of the partnership.</w:t>
      </w:r>
    </w:p>
    <w:p w14:paraId="7D27EBDA" w14:textId="43491983" w:rsidR="006D24EF" w:rsidRDefault="00CC08C7" w:rsidP="006D24EF">
      <w:pPr>
        <w:pStyle w:val="BodyText"/>
      </w:pPr>
      <w:r>
        <w:t xml:space="preserve">Overall, DFAT agrees with the MTR’s findings and recommendations. </w:t>
      </w:r>
      <w:r w:rsidR="002743D4">
        <w:t xml:space="preserve">The MTR offers specific guidance for enhancing the investment’s effectiveness, efficiency and sustainability. </w:t>
      </w:r>
      <w:r w:rsidR="006D24EF">
        <w:t xml:space="preserve">The analysis will </w:t>
      </w:r>
      <w:r w:rsidR="00BB3D25">
        <w:t xml:space="preserve">help DFAT and the World Bank to </w:t>
      </w:r>
      <w:r w:rsidR="006D24EF">
        <w:t>adjust</w:t>
      </w:r>
      <w:r w:rsidR="00BB3D25">
        <w:t xml:space="preserve"> the program over the second half of implementation to ensure</w:t>
      </w:r>
      <w:r w:rsidR="006D24EF">
        <w:t xml:space="preserve"> </w:t>
      </w:r>
      <w:r w:rsidR="00BB3D25">
        <w:t xml:space="preserve">it can meet its </w:t>
      </w:r>
      <w:r w:rsidR="006D24EF">
        <w:t>end-of-program outcomes</w:t>
      </w:r>
      <w:r w:rsidR="00BB3D25">
        <w:t xml:space="preserve"> and </w:t>
      </w:r>
      <w:r w:rsidR="002743D4">
        <w:t>e</w:t>
      </w:r>
      <w:r w:rsidR="00BB3D25">
        <w:t xml:space="preserve">ffectively support Vietnam’s </w:t>
      </w:r>
      <w:r w:rsidR="006D24EF">
        <w:t>policy reform agenda.</w:t>
      </w:r>
    </w:p>
    <w:p w14:paraId="3347BD61" w14:textId="228BC985" w:rsidR="00490A00" w:rsidRDefault="001B0068" w:rsidP="001B0068">
      <w:pPr>
        <w:pStyle w:val="BodyText"/>
      </w:pPr>
      <w:r>
        <w:t xml:space="preserve">Given the MTR’s positive findings and the ongoing strategic influence and impact provided by </w:t>
      </w:r>
      <w:r w:rsidR="002F0308">
        <w:t>our partnership with the World Bank</w:t>
      </w:r>
      <w:r>
        <w:t xml:space="preserve">, DFAT is </w:t>
      </w:r>
      <w:r w:rsidR="002F0308">
        <w:t>planning for a</w:t>
      </w:r>
      <w:r>
        <w:t xml:space="preserve"> third phase of </w:t>
      </w:r>
      <w:r w:rsidR="002F0308">
        <w:t>investment (to commence in 2021</w:t>
      </w:r>
      <w:r w:rsidR="002B3E70">
        <w:t>, dependent on budget availability</w:t>
      </w:r>
      <w:r w:rsidR="002F0308">
        <w:t>). The MTR findings and recommendations will inform the design of this next phase of investment.</w:t>
      </w:r>
    </w:p>
    <w:p w14:paraId="0A7FEC91" w14:textId="2590DC1E" w:rsidR="001B0068" w:rsidRDefault="001B0068">
      <w:pPr>
        <w:suppressAutoHyphens w:val="0"/>
        <w:spacing w:before="0" w:after="120" w:line="440" w:lineRule="atLeast"/>
      </w:pPr>
    </w:p>
    <w:p w14:paraId="41592A10" w14:textId="77777777" w:rsidR="001B0068" w:rsidRDefault="001B0068">
      <w:pPr>
        <w:suppressAutoHyphens w:val="0"/>
        <w:spacing w:before="0" w:after="120" w:line="440" w:lineRule="atLeast"/>
        <w:sectPr w:rsidR="001B0068" w:rsidSect="0013615E">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567" w:footer="567" w:gutter="0"/>
          <w:cols w:space="708"/>
          <w:titlePg/>
          <w:docGrid w:linePitch="360"/>
        </w:sectPr>
      </w:pPr>
    </w:p>
    <w:p w14:paraId="5F00AA30" w14:textId="303F09F1" w:rsidR="00C10415" w:rsidRPr="002B1079" w:rsidRDefault="0031432C" w:rsidP="002B3E70">
      <w:pPr>
        <w:pStyle w:val="Heading3"/>
        <w:spacing w:before="240"/>
      </w:pPr>
      <w:r>
        <w:lastRenderedPageBreak/>
        <w:t>Individual m</w:t>
      </w:r>
      <w:r w:rsidR="00C10415" w:rsidRPr="002B1079">
        <w:t xml:space="preserve">anagement response to the recommendations </w:t>
      </w:r>
    </w:p>
    <w:tbl>
      <w:tblPr>
        <w:tblStyle w:val="DFATTable1"/>
        <w:tblW w:w="14742" w:type="dxa"/>
        <w:tblInd w:w="-70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7088"/>
        <w:gridCol w:w="1276"/>
        <w:gridCol w:w="1984"/>
        <w:gridCol w:w="3119"/>
        <w:gridCol w:w="1275"/>
      </w:tblGrid>
      <w:tr w:rsidR="00490A00" w14:paraId="464F0A9D" w14:textId="77777777" w:rsidTr="00EE39F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7088" w:type="dxa"/>
            <w:hideMark/>
          </w:tcPr>
          <w:p w14:paraId="378DEF72" w14:textId="77777777" w:rsidR="00C10415" w:rsidRPr="002B3E70" w:rsidRDefault="00C10415" w:rsidP="008E397A">
            <w:pPr>
              <w:pStyle w:val="TableHeaderRow"/>
              <w:rPr>
                <w:szCs w:val="22"/>
              </w:rPr>
            </w:pPr>
            <w:r w:rsidRPr="002B3E70">
              <w:rPr>
                <w:szCs w:val="22"/>
              </w:rPr>
              <w:t>Recommendation</w:t>
            </w:r>
          </w:p>
        </w:tc>
        <w:tc>
          <w:tcPr>
            <w:tcW w:w="1276" w:type="dxa"/>
            <w:tcBorders>
              <w:bottom w:val="single" w:sz="4" w:space="0" w:color="495965" w:themeColor="text2"/>
            </w:tcBorders>
            <w:hideMark/>
          </w:tcPr>
          <w:p w14:paraId="5B27B37E" w14:textId="10135E24" w:rsidR="00C10415" w:rsidRPr="008A0512" w:rsidRDefault="0007727F" w:rsidP="008E397A">
            <w:pPr>
              <w:pStyle w:val="TableHeaderRow"/>
              <w:cnfStyle w:val="100000000000" w:firstRow="1" w:lastRow="0" w:firstColumn="0" w:lastColumn="0" w:oddVBand="0" w:evenVBand="0" w:oddHBand="0" w:evenHBand="0" w:firstRowFirstColumn="0" w:firstRowLastColumn="0" w:lastRowFirstColumn="0" w:lastRowLastColumn="0"/>
            </w:pPr>
            <w:r>
              <w:t>Response</w:t>
            </w:r>
          </w:p>
        </w:tc>
        <w:tc>
          <w:tcPr>
            <w:tcW w:w="1984" w:type="dxa"/>
            <w:hideMark/>
          </w:tcPr>
          <w:p w14:paraId="1D1DC2C4" w14:textId="77777777" w:rsidR="00C10415" w:rsidRPr="008A0512" w:rsidRDefault="00C10415" w:rsidP="008E397A">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3119" w:type="dxa"/>
            <w:tcBorders>
              <w:bottom w:val="single" w:sz="4" w:space="0" w:color="495965" w:themeColor="text2"/>
            </w:tcBorders>
            <w:hideMark/>
          </w:tcPr>
          <w:p w14:paraId="19C59273" w14:textId="77777777" w:rsidR="00C10415" w:rsidRPr="008A0512" w:rsidRDefault="00C10415" w:rsidP="008E397A">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1275" w:type="dxa"/>
            <w:tcBorders>
              <w:bottom w:val="single" w:sz="4" w:space="0" w:color="495965" w:themeColor="text2"/>
            </w:tcBorders>
            <w:hideMark/>
          </w:tcPr>
          <w:p w14:paraId="71CC5112" w14:textId="59D06171" w:rsidR="00C10415" w:rsidRPr="0007727F" w:rsidRDefault="00C10415" w:rsidP="008E397A">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190DE7" w14:paraId="685E94ED" w14:textId="77777777" w:rsidTr="00EE39F6">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7088" w:type="dxa"/>
            <w:vMerge w:val="restart"/>
          </w:tcPr>
          <w:p w14:paraId="0762F005" w14:textId="046E4039" w:rsidR="00190DE7" w:rsidRPr="002B3E70" w:rsidRDefault="00190DE7" w:rsidP="007439B7">
            <w:pPr>
              <w:pStyle w:val="Heading3"/>
              <w:keepNext w:val="0"/>
              <w:spacing w:before="120" w:line="240" w:lineRule="auto"/>
              <w:outlineLvl w:val="2"/>
              <w:rPr>
                <w:b/>
                <w:sz w:val="22"/>
                <w:szCs w:val="22"/>
              </w:rPr>
            </w:pPr>
            <w:r w:rsidRPr="002B3E70">
              <w:rPr>
                <w:b/>
                <w:sz w:val="22"/>
                <w:szCs w:val="22"/>
              </w:rPr>
              <w:t>Recommendation 1: Ensure follow-up to analytical work and provide for continuity of policy support.</w:t>
            </w:r>
          </w:p>
          <w:p w14:paraId="64555B05" w14:textId="69C6B6E2" w:rsidR="00190DE7" w:rsidRPr="002B3E70" w:rsidRDefault="00190DE7" w:rsidP="008C4CCD">
            <w:pPr>
              <w:spacing w:after="120" w:line="240" w:lineRule="auto"/>
              <w:rPr>
                <w:lang w:val="en-AU"/>
              </w:rPr>
            </w:pPr>
            <w:r w:rsidRPr="002B3E70">
              <w:rPr>
                <w:lang w:val="en-AU"/>
              </w:rPr>
              <w:t>The Program should ensure that analytical work identifies areas where supplementary support is likely to be needed for results beyond the adoption of a policy or law. The Program should also design analytical work with measures to track and facilitate its use and to identify partners to champion any needed follow-up, including advocacy for recommended reforms. DFAT and the World Bank should explore the extent to which such advocacy falls within and beyond the Program’s scope. The Results Framework should incorporate indicators on whether policy studies identify follow-up actions and responsible parties. To build on reform momentum and avoid adverse effects of abrupt declines in policy support, the Program should seek to ensure smooth transitions when funding ends. This may mean additional ABP2 funding, a transition period to enable the GoV to continue the reform process independently, policy support under an ABP3, and/or coordination with other partners and Australia’s bilateral programs.</w:t>
            </w:r>
          </w:p>
        </w:tc>
        <w:tc>
          <w:tcPr>
            <w:tcW w:w="1276" w:type="dxa"/>
            <w:vMerge w:val="restart"/>
            <w:shd w:val="clear" w:color="auto" w:fill="FFC000"/>
            <w:hideMark/>
          </w:tcPr>
          <w:p w14:paraId="3991BCF6" w14:textId="559E942D" w:rsidR="00190DE7" w:rsidRPr="002B3E70" w:rsidRDefault="00190DE7" w:rsidP="00261C5A">
            <w:pPr>
              <w:cnfStyle w:val="000000100000" w:firstRow="0" w:lastRow="0" w:firstColumn="0" w:lastColumn="0" w:oddVBand="0" w:evenVBand="0" w:oddHBand="1" w:evenHBand="0" w:firstRowFirstColumn="0" w:firstRowLastColumn="0" w:lastRowFirstColumn="0" w:lastRowLastColumn="0"/>
            </w:pPr>
            <w:r w:rsidRPr="002B3E70">
              <w:t xml:space="preserve">Agree </w:t>
            </w:r>
            <w:r w:rsidR="00EE39F6">
              <w:t>in part</w:t>
            </w:r>
          </w:p>
        </w:tc>
        <w:tc>
          <w:tcPr>
            <w:tcW w:w="1984" w:type="dxa"/>
            <w:vMerge w:val="restart"/>
          </w:tcPr>
          <w:p w14:paraId="15313D1C" w14:textId="77777777" w:rsidR="007A55A4" w:rsidRDefault="00190DE7" w:rsidP="008E397A">
            <w:pPr>
              <w:cnfStyle w:val="000000100000" w:firstRow="0" w:lastRow="0" w:firstColumn="0" w:lastColumn="0" w:oddVBand="0" w:evenVBand="0" w:oddHBand="1" w:evenHBand="0" w:firstRowFirstColumn="0" w:firstRowLastColumn="0" w:lastRowFirstColumn="0" w:lastRowLastColumn="0"/>
              <w:rPr>
                <w:lang w:val="en-AU"/>
              </w:rPr>
            </w:pPr>
            <w:r>
              <w:rPr>
                <w:lang w:val="en-AU"/>
              </w:rPr>
              <w:t>Sustainability and country ownership are key goals of both DFAT and World Bank’s work programs.</w:t>
            </w:r>
          </w:p>
          <w:p w14:paraId="270B03A8" w14:textId="6FAEB815" w:rsidR="00EE39F6" w:rsidRPr="0007727F" w:rsidRDefault="00EE39F6" w:rsidP="008E397A">
            <w:pPr>
              <w:cnfStyle w:val="000000100000" w:firstRow="0" w:lastRow="0" w:firstColumn="0" w:lastColumn="0" w:oddVBand="0" w:evenVBand="0" w:oddHBand="1" w:evenHBand="0" w:firstRowFirstColumn="0" w:firstRowLastColumn="0" w:lastRowFirstColumn="0" w:lastRowLastColumn="0"/>
              <w:rPr>
                <w:lang w:val="en-AU"/>
              </w:rPr>
            </w:pPr>
            <w:r>
              <w:rPr>
                <w:lang w:val="en-AU"/>
              </w:rPr>
              <w:t>It is not feasible for the Results Framework to incorporate indicators as recommended, but this will instead be reported to DFAT through the Annual Report.</w:t>
            </w:r>
          </w:p>
        </w:tc>
        <w:tc>
          <w:tcPr>
            <w:tcW w:w="3119" w:type="dxa"/>
            <w:tcBorders>
              <w:bottom w:val="nil"/>
            </w:tcBorders>
          </w:tcPr>
          <w:p w14:paraId="6C981926" w14:textId="367E9993" w:rsidR="00190DE7" w:rsidRPr="00261C5A" w:rsidRDefault="00E706A1" w:rsidP="00261C5A">
            <w:pPr>
              <w:pStyle w:val="BodyText"/>
              <w:cnfStyle w:val="000000100000" w:firstRow="0" w:lastRow="0" w:firstColumn="0" w:lastColumn="0" w:oddVBand="0" w:evenVBand="0" w:oddHBand="1" w:evenHBand="0" w:firstRowFirstColumn="0" w:firstRowLastColumn="0" w:lastRowFirstColumn="0" w:lastRowLastColumn="0"/>
            </w:pPr>
            <w:r w:rsidRPr="00261C5A">
              <w:t>Strengthen sustainability aspects and identify partners to champion follow-up actions at concept and/or progress review stage.</w:t>
            </w:r>
          </w:p>
        </w:tc>
        <w:tc>
          <w:tcPr>
            <w:tcW w:w="1275" w:type="dxa"/>
            <w:tcBorders>
              <w:bottom w:val="nil"/>
            </w:tcBorders>
          </w:tcPr>
          <w:p w14:paraId="2209ADD5" w14:textId="6CEFBECA" w:rsidR="00190DE7" w:rsidRPr="00261C5A" w:rsidRDefault="00261C5A" w:rsidP="00261C5A">
            <w:pPr>
              <w:pStyle w:val="BodyText"/>
              <w:cnfStyle w:val="000000100000" w:firstRow="0" w:lastRow="0" w:firstColumn="0" w:lastColumn="0" w:oddVBand="0" w:evenVBand="0" w:oddHBand="1" w:evenHBand="0" w:firstRowFirstColumn="0" w:firstRowLastColumn="0" w:lastRowFirstColumn="0" w:lastRowLastColumn="0"/>
            </w:pPr>
            <w:r w:rsidRPr="00261C5A">
              <w:t>Ongoing</w:t>
            </w:r>
          </w:p>
        </w:tc>
      </w:tr>
      <w:tr w:rsidR="00190DE7" w14:paraId="4DF2ADD0" w14:textId="77777777" w:rsidTr="00EE39F6">
        <w:trPr>
          <w:cnfStyle w:val="000000010000" w:firstRow="0" w:lastRow="0" w:firstColumn="0" w:lastColumn="0" w:oddVBand="0" w:evenVBand="0" w:oddHBand="0" w:evenHBand="1"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7088" w:type="dxa"/>
            <w:vMerge/>
          </w:tcPr>
          <w:p w14:paraId="56E4B8EC" w14:textId="77777777" w:rsidR="00190DE7" w:rsidRPr="002B3E70" w:rsidRDefault="00190DE7" w:rsidP="007439B7">
            <w:pPr>
              <w:pStyle w:val="Heading3"/>
              <w:keepNext w:val="0"/>
              <w:spacing w:before="120" w:line="240" w:lineRule="auto"/>
              <w:outlineLvl w:val="2"/>
              <w:rPr>
                <w:b/>
                <w:sz w:val="22"/>
                <w:szCs w:val="22"/>
              </w:rPr>
            </w:pPr>
          </w:p>
        </w:tc>
        <w:tc>
          <w:tcPr>
            <w:tcW w:w="1276" w:type="dxa"/>
            <w:vMerge/>
            <w:shd w:val="clear" w:color="auto" w:fill="FFC000"/>
          </w:tcPr>
          <w:p w14:paraId="1F97241B" w14:textId="77777777" w:rsidR="00190DE7" w:rsidRPr="002B3E70" w:rsidRDefault="00190DE7" w:rsidP="00893C87">
            <w:pPr>
              <w:cnfStyle w:val="000000010000" w:firstRow="0" w:lastRow="0" w:firstColumn="0" w:lastColumn="0" w:oddVBand="0" w:evenVBand="0" w:oddHBand="0" w:evenHBand="1" w:firstRowFirstColumn="0" w:firstRowLastColumn="0" w:lastRowFirstColumn="0" w:lastRowLastColumn="0"/>
            </w:pPr>
          </w:p>
        </w:tc>
        <w:tc>
          <w:tcPr>
            <w:tcW w:w="1984" w:type="dxa"/>
            <w:vMerge/>
            <w:shd w:val="clear" w:color="auto" w:fill="F6E6DE" w:themeFill="accent1" w:themeFillTint="33"/>
          </w:tcPr>
          <w:p w14:paraId="0450E8A5" w14:textId="77777777" w:rsidR="00190DE7" w:rsidRDefault="00190DE7" w:rsidP="008E397A">
            <w:pPr>
              <w:cnfStyle w:val="000000010000" w:firstRow="0" w:lastRow="0" w:firstColumn="0" w:lastColumn="0" w:oddVBand="0" w:evenVBand="0" w:oddHBand="0" w:evenHBand="1" w:firstRowFirstColumn="0" w:firstRowLastColumn="0" w:lastRowFirstColumn="0" w:lastRowLastColumn="0"/>
              <w:rPr>
                <w:lang w:val="en-AU"/>
              </w:rPr>
            </w:pPr>
          </w:p>
        </w:tc>
        <w:tc>
          <w:tcPr>
            <w:tcW w:w="3119" w:type="dxa"/>
            <w:tcBorders>
              <w:top w:val="nil"/>
              <w:bottom w:val="nil"/>
            </w:tcBorders>
            <w:shd w:val="clear" w:color="auto" w:fill="F6E6DE" w:themeFill="accent1" w:themeFillTint="33"/>
          </w:tcPr>
          <w:p w14:paraId="2EF9A456" w14:textId="77DDE1A9" w:rsidR="00190DE7" w:rsidRDefault="00190DE7" w:rsidP="00190DE7">
            <w:pPr>
              <w:cnfStyle w:val="000000010000" w:firstRow="0" w:lastRow="0" w:firstColumn="0" w:lastColumn="0" w:oddVBand="0" w:evenVBand="0" w:oddHBand="0" w:evenHBand="1" w:firstRowFirstColumn="0" w:firstRowLastColumn="0" w:lastRowFirstColumn="0" w:lastRowLastColumn="0"/>
              <w:rPr>
                <w:lang w:val="en-AU"/>
              </w:rPr>
            </w:pPr>
            <w:r>
              <w:rPr>
                <w:lang w:val="en-AU"/>
              </w:rPr>
              <w:t>Integrate assessment of sustainability in the next Annual Progress Review Meetings.</w:t>
            </w:r>
          </w:p>
        </w:tc>
        <w:tc>
          <w:tcPr>
            <w:tcW w:w="1275" w:type="dxa"/>
            <w:tcBorders>
              <w:top w:val="nil"/>
              <w:bottom w:val="nil"/>
            </w:tcBorders>
            <w:shd w:val="clear" w:color="auto" w:fill="F6E6DE" w:themeFill="accent1" w:themeFillTint="33"/>
          </w:tcPr>
          <w:p w14:paraId="3A223908" w14:textId="03E7534A" w:rsidR="00190DE7" w:rsidRPr="00013BD5" w:rsidRDefault="00190DE7" w:rsidP="008E397A">
            <w:pPr>
              <w:pStyle w:val="BodyText"/>
              <w:cnfStyle w:val="000000010000" w:firstRow="0" w:lastRow="0" w:firstColumn="0" w:lastColumn="0" w:oddVBand="0" w:evenVBand="0" w:oddHBand="0" w:evenHBand="1" w:firstRowFirstColumn="0" w:firstRowLastColumn="0" w:lastRowFirstColumn="0" w:lastRowLastColumn="0"/>
            </w:pPr>
            <w:r>
              <w:t>Late 2020</w:t>
            </w:r>
          </w:p>
        </w:tc>
      </w:tr>
      <w:tr w:rsidR="00190DE7" w14:paraId="703134E7" w14:textId="77777777" w:rsidTr="00EE39F6">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7088" w:type="dxa"/>
            <w:vMerge/>
          </w:tcPr>
          <w:p w14:paraId="7202F075" w14:textId="77777777" w:rsidR="00190DE7" w:rsidRPr="002B3E70" w:rsidRDefault="00190DE7" w:rsidP="007439B7">
            <w:pPr>
              <w:pStyle w:val="Heading3"/>
              <w:keepNext w:val="0"/>
              <w:spacing w:before="120" w:line="240" w:lineRule="auto"/>
              <w:outlineLvl w:val="2"/>
              <w:rPr>
                <w:b/>
                <w:sz w:val="22"/>
                <w:szCs w:val="22"/>
              </w:rPr>
            </w:pPr>
          </w:p>
        </w:tc>
        <w:tc>
          <w:tcPr>
            <w:tcW w:w="1276" w:type="dxa"/>
            <w:vMerge/>
            <w:shd w:val="clear" w:color="auto" w:fill="FFC000"/>
          </w:tcPr>
          <w:p w14:paraId="75CFA7EB" w14:textId="77777777" w:rsidR="00190DE7" w:rsidRPr="002B3E70" w:rsidRDefault="00190DE7" w:rsidP="00893C87">
            <w:pPr>
              <w:cnfStyle w:val="000000100000" w:firstRow="0" w:lastRow="0" w:firstColumn="0" w:lastColumn="0" w:oddVBand="0" w:evenVBand="0" w:oddHBand="1" w:evenHBand="0" w:firstRowFirstColumn="0" w:firstRowLastColumn="0" w:lastRowFirstColumn="0" w:lastRowLastColumn="0"/>
            </w:pPr>
          </w:p>
        </w:tc>
        <w:tc>
          <w:tcPr>
            <w:tcW w:w="1984" w:type="dxa"/>
            <w:vMerge/>
          </w:tcPr>
          <w:p w14:paraId="3A69E678" w14:textId="77777777" w:rsidR="00190DE7" w:rsidRDefault="00190DE7" w:rsidP="008E397A">
            <w:pPr>
              <w:cnfStyle w:val="000000100000" w:firstRow="0" w:lastRow="0" w:firstColumn="0" w:lastColumn="0" w:oddVBand="0" w:evenVBand="0" w:oddHBand="1" w:evenHBand="0" w:firstRowFirstColumn="0" w:firstRowLastColumn="0" w:lastRowFirstColumn="0" w:lastRowLastColumn="0"/>
              <w:rPr>
                <w:lang w:val="en-AU"/>
              </w:rPr>
            </w:pPr>
          </w:p>
        </w:tc>
        <w:tc>
          <w:tcPr>
            <w:tcW w:w="3119" w:type="dxa"/>
            <w:tcBorders>
              <w:top w:val="nil"/>
            </w:tcBorders>
          </w:tcPr>
          <w:p w14:paraId="0BBB6C6D" w14:textId="39A31188" w:rsidR="00190DE7" w:rsidRDefault="009941E9" w:rsidP="009941E9">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Address sustainability and transition arrangements </w:t>
            </w:r>
            <w:r w:rsidR="00190DE7">
              <w:rPr>
                <w:lang w:val="en-AU"/>
              </w:rPr>
              <w:t xml:space="preserve">in </w:t>
            </w:r>
            <w:r>
              <w:rPr>
                <w:lang w:val="en-AU"/>
              </w:rPr>
              <w:t xml:space="preserve">DFAT’s </w:t>
            </w:r>
            <w:r w:rsidR="00190DE7">
              <w:rPr>
                <w:lang w:val="en-AU"/>
              </w:rPr>
              <w:t>end-of-investment review</w:t>
            </w:r>
            <w:r>
              <w:rPr>
                <w:lang w:val="en-AU"/>
              </w:rPr>
              <w:t>.</w:t>
            </w:r>
          </w:p>
        </w:tc>
        <w:tc>
          <w:tcPr>
            <w:tcW w:w="1275" w:type="dxa"/>
            <w:tcBorders>
              <w:top w:val="nil"/>
            </w:tcBorders>
          </w:tcPr>
          <w:p w14:paraId="303B5B7A" w14:textId="627068B7" w:rsidR="00190DE7" w:rsidRPr="00013BD5" w:rsidRDefault="00190DE7" w:rsidP="008E397A">
            <w:pPr>
              <w:pStyle w:val="BodyText"/>
              <w:cnfStyle w:val="000000100000" w:firstRow="0" w:lastRow="0" w:firstColumn="0" w:lastColumn="0" w:oddVBand="0" w:evenVBand="0" w:oddHBand="1" w:evenHBand="0" w:firstRowFirstColumn="0" w:firstRowLastColumn="0" w:lastRowFirstColumn="0" w:lastRowLastColumn="0"/>
            </w:pPr>
            <w:r>
              <w:t>2021</w:t>
            </w:r>
          </w:p>
        </w:tc>
      </w:tr>
      <w:tr w:rsidR="00490A00" w14:paraId="781BAD3D" w14:textId="77777777" w:rsidTr="003202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2D3FA4CF" w14:textId="3F1FCF31" w:rsidR="008E397A" w:rsidRPr="002B3E70" w:rsidRDefault="008E397A" w:rsidP="007439B7">
            <w:pPr>
              <w:pStyle w:val="Heading3"/>
              <w:keepNext w:val="0"/>
              <w:spacing w:before="120" w:line="240" w:lineRule="auto"/>
              <w:outlineLvl w:val="2"/>
              <w:rPr>
                <w:b/>
                <w:sz w:val="22"/>
                <w:szCs w:val="22"/>
              </w:rPr>
            </w:pPr>
            <w:r w:rsidRPr="002B3E70">
              <w:rPr>
                <w:b/>
                <w:sz w:val="22"/>
                <w:szCs w:val="22"/>
              </w:rPr>
              <w:t>Recommendation 2</w:t>
            </w:r>
            <w:r w:rsidR="007439B7" w:rsidRPr="002B3E70">
              <w:rPr>
                <w:b/>
                <w:sz w:val="22"/>
                <w:szCs w:val="22"/>
              </w:rPr>
              <w:t xml:space="preserve">: </w:t>
            </w:r>
            <w:r w:rsidRPr="002B3E70">
              <w:rPr>
                <w:b/>
                <w:sz w:val="22"/>
                <w:szCs w:val="22"/>
              </w:rPr>
              <w:t>Strengthen qua</w:t>
            </w:r>
            <w:r w:rsidR="008C4CCD" w:rsidRPr="002B3E70">
              <w:rPr>
                <w:b/>
                <w:sz w:val="22"/>
                <w:szCs w:val="22"/>
              </w:rPr>
              <w:t>litative assessment of results.</w:t>
            </w:r>
          </w:p>
          <w:p w14:paraId="13CE3964" w14:textId="319B48AB" w:rsidR="00490A00" w:rsidRPr="002B3E70" w:rsidRDefault="008E397A" w:rsidP="008E397A">
            <w:r w:rsidRPr="002B3E70">
              <w:rPr>
                <w:lang w:val="en-AU"/>
              </w:rPr>
              <w:t>Program should explore tools to track the complex variables inherent in governance reform processes, such as the Qualitative Impact Protocol (QuIP). As an immediate step toward qualitatively assessing results, the Secretariat could ask each Theme to identify at least one success area—or one success area and one area of stalled progress—from which case studies could be developed and consolidated into an overarching story that illustrates what results ABP2 achieved, how they were achieved, and how they connect with the GoV’s long-term development vision. The Results Framework could incorporate indicators on the completion of these case studies/stories and an assessment of how well they are shared internally and externally.</w:t>
            </w:r>
          </w:p>
        </w:tc>
        <w:tc>
          <w:tcPr>
            <w:tcW w:w="1276" w:type="dxa"/>
            <w:shd w:val="clear" w:color="auto" w:fill="92D050"/>
          </w:tcPr>
          <w:p w14:paraId="697C5D29" w14:textId="78E98233" w:rsidR="00490A00" w:rsidRPr="002B3E70" w:rsidRDefault="00893C87" w:rsidP="00893C87">
            <w:pPr>
              <w:cnfStyle w:val="000000010000" w:firstRow="0" w:lastRow="0" w:firstColumn="0" w:lastColumn="0" w:oddVBand="0" w:evenVBand="0" w:oddHBand="0" w:evenHBand="1" w:firstRowFirstColumn="0" w:firstRowLastColumn="0" w:lastRowFirstColumn="0" w:lastRowLastColumn="0"/>
            </w:pPr>
            <w:r w:rsidRPr="002B3E70">
              <w:rPr>
                <w:lang w:val="en-AU"/>
              </w:rPr>
              <w:t>Agree</w:t>
            </w:r>
          </w:p>
        </w:tc>
        <w:tc>
          <w:tcPr>
            <w:tcW w:w="1984" w:type="dxa"/>
          </w:tcPr>
          <w:p w14:paraId="630ED1B2" w14:textId="252958B0" w:rsidR="00490A00" w:rsidRPr="0007727F" w:rsidRDefault="002B3E70" w:rsidP="000562ED">
            <w:pPr>
              <w:cnfStyle w:val="000000010000" w:firstRow="0" w:lastRow="0" w:firstColumn="0" w:lastColumn="0" w:oddVBand="0" w:evenVBand="0" w:oddHBand="0" w:evenHBand="1" w:firstRowFirstColumn="0" w:firstRowLastColumn="0" w:lastRowFirstColumn="0" w:lastRowLastColumn="0"/>
              <w:rPr>
                <w:lang w:val="en-AU"/>
              </w:rPr>
            </w:pPr>
            <w:r>
              <w:rPr>
                <w:lang w:val="en-AU"/>
              </w:rPr>
              <w:t xml:space="preserve">The need to assess the impact of interventions was </w:t>
            </w:r>
            <w:r w:rsidR="00013BD5">
              <w:rPr>
                <w:lang w:val="en-AU"/>
              </w:rPr>
              <w:t>identified in</w:t>
            </w:r>
            <w:r>
              <w:rPr>
                <w:lang w:val="en-AU"/>
              </w:rPr>
              <w:t xml:space="preserve"> DFAT’s 2019 investment quality reporting for ABP2.</w:t>
            </w:r>
          </w:p>
        </w:tc>
        <w:tc>
          <w:tcPr>
            <w:tcW w:w="3119" w:type="dxa"/>
          </w:tcPr>
          <w:p w14:paraId="4A8F97C5" w14:textId="651F0E50" w:rsidR="002B3E70" w:rsidRPr="002B3E70" w:rsidRDefault="009941E9" w:rsidP="009941E9">
            <w:pPr>
              <w:pStyle w:val="BodyText"/>
              <w:cnfStyle w:val="000000010000" w:firstRow="0" w:lastRow="0" w:firstColumn="0" w:lastColumn="0" w:oddVBand="0" w:evenVBand="0" w:oddHBand="0" w:evenHBand="1" w:firstRowFirstColumn="0" w:firstRowLastColumn="0" w:lastRowFirstColumn="0" w:lastRowLastColumn="0"/>
            </w:pPr>
            <w:r>
              <w:t xml:space="preserve">Develop case studies, </w:t>
            </w:r>
            <w:r w:rsidR="000562ED">
              <w:t>initially focusing on one theme.</w:t>
            </w:r>
          </w:p>
        </w:tc>
        <w:tc>
          <w:tcPr>
            <w:tcW w:w="1275" w:type="dxa"/>
          </w:tcPr>
          <w:p w14:paraId="01BE2EF2" w14:textId="4BE84D4C" w:rsidR="00490A00" w:rsidRPr="002B3E70" w:rsidRDefault="000562ED" w:rsidP="002B3E70">
            <w:pPr>
              <w:pStyle w:val="BodyText"/>
              <w:cnfStyle w:val="000000010000" w:firstRow="0" w:lastRow="0" w:firstColumn="0" w:lastColumn="0" w:oddVBand="0" w:evenVBand="0" w:oddHBand="0" w:evenHBand="1" w:firstRowFirstColumn="0" w:firstRowLastColumn="0" w:lastRowFirstColumn="0" w:lastRowLastColumn="0"/>
            </w:pPr>
            <w:r>
              <w:t xml:space="preserve">Mid </w:t>
            </w:r>
            <w:r w:rsidR="002B3E70" w:rsidRPr="002B3E70">
              <w:t>2020</w:t>
            </w:r>
          </w:p>
        </w:tc>
      </w:tr>
      <w:tr w:rsidR="00490A00" w14:paraId="0B4D9CDD" w14:textId="77777777" w:rsidTr="00320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3C2C3AEA" w14:textId="6381F50D" w:rsidR="008E397A" w:rsidRPr="002B3E70" w:rsidRDefault="008E397A" w:rsidP="007439B7">
            <w:pPr>
              <w:pStyle w:val="Heading3"/>
              <w:keepNext w:val="0"/>
              <w:spacing w:before="120" w:line="240" w:lineRule="auto"/>
              <w:outlineLvl w:val="2"/>
              <w:rPr>
                <w:b/>
                <w:sz w:val="22"/>
                <w:szCs w:val="22"/>
              </w:rPr>
            </w:pPr>
            <w:r w:rsidRPr="002B3E70">
              <w:rPr>
                <w:b/>
                <w:sz w:val="22"/>
                <w:szCs w:val="22"/>
              </w:rPr>
              <w:lastRenderedPageBreak/>
              <w:t>Recommendation 3</w:t>
            </w:r>
            <w:r w:rsidR="007439B7" w:rsidRPr="002B3E70">
              <w:rPr>
                <w:b/>
                <w:sz w:val="22"/>
                <w:szCs w:val="22"/>
              </w:rPr>
              <w:t xml:space="preserve">: </w:t>
            </w:r>
            <w:r w:rsidRPr="002B3E70">
              <w:rPr>
                <w:b/>
                <w:sz w:val="22"/>
                <w:szCs w:val="22"/>
              </w:rPr>
              <w:t>Consider incorporating</w:t>
            </w:r>
            <w:r w:rsidR="008C4CCD" w:rsidRPr="002B3E70">
              <w:rPr>
                <w:b/>
                <w:sz w:val="22"/>
                <w:szCs w:val="22"/>
              </w:rPr>
              <w:t xml:space="preserve"> social inclusion more broadly.</w:t>
            </w:r>
          </w:p>
          <w:p w14:paraId="29FF4290" w14:textId="27681283" w:rsidR="00490A00" w:rsidRPr="002B3E70" w:rsidRDefault="008E397A" w:rsidP="008C4CCD">
            <w:r w:rsidRPr="002B3E70">
              <w:rPr>
                <w:lang w:val="en-AU"/>
              </w:rPr>
              <w:t>If an ABP3 is pursued, DFAT and the World Bank could consider designing the Gender Theme to encompass social inclusion more broadly. If this could be done without dampening the Program’s gender equality impact, it could provide an avenue for addressing the inclusion of people with disabilities, ethnic minorities, and other excluded groups while enhancing consistency with DFAT’s gender strategy.</w:t>
            </w:r>
          </w:p>
        </w:tc>
        <w:tc>
          <w:tcPr>
            <w:tcW w:w="1276" w:type="dxa"/>
            <w:shd w:val="clear" w:color="auto" w:fill="92D050"/>
          </w:tcPr>
          <w:p w14:paraId="40A95485" w14:textId="132E411C" w:rsidR="00490A00" w:rsidRPr="008A0512" w:rsidRDefault="008C4CCD" w:rsidP="00893C8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1984" w:type="dxa"/>
          </w:tcPr>
          <w:p w14:paraId="3B1C53B9" w14:textId="231F7252" w:rsidR="00490A00" w:rsidRPr="0007727F" w:rsidRDefault="008C4CCD" w:rsidP="00C56C75">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Ensuring our support benefits the poorest and most vulnerable people </w:t>
            </w:r>
            <w:r w:rsidR="007439B7">
              <w:rPr>
                <w:lang w:val="en-AU"/>
              </w:rPr>
              <w:t>continues to be a</w:t>
            </w:r>
            <w:r>
              <w:rPr>
                <w:lang w:val="en-AU"/>
              </w:rPr>
              <w:t xml:space="preserve"> priority of Australia’s aid program in </w:t>
            </w:r>
            <w:r w:rsidR="007439B7">
              <w:rPr>
                <w:lang w:val="en-AU"/>
              </w:rPr>
              <w:t>Vietnam</w:t>
            </w:r>
            <w:r w:rsidR="00B942A5">
              <w:rPr>
                <w:lang w:val="en-AU"/>
              </w:rPr>
              <w:t>.</w:t>
            </w:r>
            <w:r w:rsidR="00C56C75">
              <w:rPr>
                <w:lang w:val="en-AU"/>
              </w:rPr>
              <w:t xml:space="preserve"> </w:t>
            </w:r>
          </w:p>
        </w:tc>
        <w:tc>
          <w:tcPr>
            <w:tcW w:w="3119" w:type="dxa"/>
          </w:tcPr>
          <w:p w14:paraId="3E7C2542" w14:textId="3887DFC7" w:rsidR="00C56C75" w:rsidRDefault="00F42EC2" w:rsidP="00C56C75">
            <w:pPr>
              <w:cnfStyle w:val="000000100000" w:firstRow="0" w:lastRow="0" w:firstColumn="0" w:lastColumn="0" w:oddVBand="0" w:evenVBand="0" w:oddHBand="1" w:evenHBand="0" w:firstRowFirstColumn="0" w:firstRowLastColumn="0" w:lastRowFirstColumn="0" w:lastRowLastColumn="0"/>
              <w:rPr>
                <w:lang w:val="en-AU"/>
              </w:rPr>
            </w:pPr>
            <w:r>
              <w:rPr>
                <w:lang w:val="en-AU"/>
              </w:rPr>
              <w:t xml:space="preserve">Consider </w:t>
            </w:r>
            <w:r w:rsidR="00C56C75">
              <w:rPr>
                <w:lang w:val="en-AU"/>
              </w:rPr>
              <w:t>during ABP3 design.</w:t>
            </w:r>
          </w:p>
          <w:p w14:paraId="48C4BF24" w14:textId="21DFD974" w:rsidR="00490A00" w:rsidRPr="00B942A5" w:rsidRDefault="00C56C75" w:rsidP="00C56C75">
            <w:pPr>
              <w:cnfStyle w:val="000000100000" w:firstRow="0" w:lastRow="0" w:firstColumn="0" w:lastColumn="0" w:oddVBand="0" w:evenVBand="0" w:oddHBand="1" w:evenHBand="0" w:firstRowFirstColumn="0" w:firstRowLastColumn="0" w:lastRowFirstColumn="0" w:lastRowLastColumn="0"/>
              <w:rPr>
                <w:lang w:val="en-AU"/>
              </w:rPr>
            </w:pPr>
            <w:r>
              <w:rPr>
                <w:lang w:val="en-AU"/>
              </w:rPr>
              <w:t>However, the design must also consider the need to maintain a momentum on gender (having a dedicated Gender Theme has been critical to ABP2’s success).</w:t>
            </w:r>
          </w:p>
        </w:tc>
        <w:tc>
          <w:tcPr>
            <w:tcW w:w="1275" w:type="dxa"/>
          </w:tcPr>
          <w:p w14:paraId="3EE5A73D" w14:textId="0A28BE7E" w:rsidR="00490A00" w:rsidRPr="00B942A5" w:rsidRDefault="00B942A5" w:rsidP="000562ED">
            <w:pPr>
              <w:pStyle w:val="BodyText"/>
              <w:cnfStyle w:val="000000100000" w:firstRow="0" w:lastRow="0" w:firstColumn="0" w:lastColumn="0" w:oddVBand="0" w:evenVBand="0" w:oddHBand="1" w:evenHBand="0" w:firstRowFirstColumn="0" w:firstRowLastColumn="0" w:lastRowFirstColumn="0" w:lastRowLastColumn="0"/>
            </w:pPr>
            <w:r w:rsidRPr="00B942A5">
              <w:t xml:space="preserve">During ABP3 design </w:t>
            </w:r>
          </w:p>
        </w:tc>
      </w:tr>
      <w:tr w:rsidR="00490A00" w14:paraId="272E52A7" w14:textId="77777777" w:rsidTr="003202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5E6CC6BF" w14:textId="4418E949" w:rsidR="008E397A" w:rsidRPr="002B3E70" w:rsidRDefault="008E397A" w:rsidP="007439B7">
            <w:pPr>
              <w:pStyle w:val="Heading3"/>
              <w:keepNext w:val="0"/>
              <w:spacing w:before="120" w:line="240" w:lineRule="auto"/>
              <w:outlineLvl w:val="2"/>
              <w:rPr>
                <w:b/>
                <w:sz w:val="22"/>
                <w:szCs w:val="22"/>
              </w:rPr>
            </w:pPr>
            <w:r w:rsidRPr="002B3E70">
              <w:rPr>
                <w:b/>
                <w:sz w:val="22"/>
                <w:szCs w:val="22"/>
              </w:rPr>
              <w:t>Recommendation 4</w:t>
            </w:r>
            <w:r w:rsidR="007439B7" w:rsidRPr="002B3E70">
              <w:rPr>
                <w:b/>
                <w:sz w:val="22"/>
                <w:szCs w:val="22"/>
              </w:rPr>
              <w:t xml:space="preserve">: </w:t>
            </w:r>
            <w:r w:rsidRPr="002B3E70">
              <w:rPr>
                <w:b/>
                <w:sz w:val="22"/>
                <w:szCs w:val="22"/>
              </w:rPr>
              <w:t xml:space="preserve">Continue dialogue on the relevance of the Ethnic Minority Theme to evolving priorities. </w:t>
            </w:r>
          </w:p>
          <w:p w14:paraId="6A466A04" w14:textId="57832D46" w:rsidR="00490A00" w:rsidRPr="002B3E70" w:rsidRDefault="008E397A" w:rsidP="008E397A">
            <w:r w:rsidRPr="002B3E70">
              <w:rPr>
                <w:lang w:val="en-AU"/>
              </w:rPr>
              <w:t>If an ABP3 is pursued, the MTR Team recommends that the partners take into account both the nature of Australia’s evolving priorities and the significance of ethnic minority development for Vietnam’s long-term stability and economic growth. If the Gender Theme were broadened to encompass social inclusion, the partners could incorporate some ethnic minority work into that Theme.</w:t>
            </w:r>
          </w:p>
        </w:tc>
        <w:tc>
          <w:tcPr>
            <w:tcW w:w="1276" w:type="dxa"/>
            <w:tcBorders>
              <w:bottom w:val="single" w:sz="4" w:space="0" w:color="495965" w:themeColor="text2"/>
            </w:tcBorders>
            <w:shd w:val="clear" w:color="auto" w:fill="92D050"/>
          </w:tcPr>
          <w:p w14:paraId="2A5DFEF6" w14:textId="6B2E46F3" w:rsidR="00490A00" w:rsidRPr="008A0512" w:rsidRDefault="00342A16" w:rsidP="00893C87">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w:t>
            </w:r>
          </w:p>
        </w:tc>
        <w:tc>
          <w:tcPr>
            <w:tcW w:w="1984" w:type="dxa"/>
          </w:tcPr>
          <w:p w14:paraId="730AF63C" w14:textId="13E7AAA3" w:rsidR="00490A00" w:rsidRPr="0007727F" w:rsidRDefault="003568C9" w:rsidP="001B2CBE">
            <w:pPr>
              <w:cnfStyle w:val="000000010000" w:firstRow="0" w:lastRow="0" w:firstColumn="0" w:lastColumn="0" w:oddVBand="0" w:evenVBand="0" w:oddHBand="0" w:evenHBand="1" w:firstRowFirstColumn="0" w:firstRowLastColumn="0" w:lastRowFirstColumn="0" w:lastRowLastColumn="0"/>
              <w:rPr>
                <w:lang w:val="en-AU"/>
              </w:rPr>
            </w:pPr>
            <w:r>
              <w:rPr>
                <w:lang w:val="en-AU"/>
              </w:rPr>
              <w:t>DFAT is open to continuing dialogue with the World Bank on continuing work on ethnic minority issues, subject to resources</w:t>
            </w:r>
            <w:r w:rsidR="001B2CBE">
              <w:rPr>
                <w:lang w:val="en-AU"/>
              </w:rPr>
              <w:t xml:space="preserve"> and strategic focus</w:t>
            </w:r>
            <w:r>
              <w:rPr>
                <w:lang w:val="en-AU"/>
              </w:rPr>
              <w:t xml:space="preserve">. </w:t>
            </w:r>
          </w:p>
        </w:tc>
        <w:tc>
          <w:tcPr>
            <w:tcW w:w="3119" w:type="dxa"/>
            <w:tcBorders>
              <w:bottom w:val="single" w:sz="4" w:space="0" w:color="495965" w:themeColor="text2"/>
            </w:tcBorders>
          </w:tcPr>
          <w:p w14:paraId="069557F5" w14:textId="5E591C87" w:rsidR="00490A00" w:rsidRPr="0007727F" w:rsidRDefault="001B2CBE" w:rsidP="001B2CBE">
            <w:pPr>
              <w:cnfStyle w:val="000000010000" w:firstRow="0" w:lastRow="0" w:firstColumn="0" w:lastColumn="0" w:oddVBand="0" w:evenVBand="0" w:oddHBand="0" w:evenHBand="1" w:firstRowFirstColumn="0" w:firstRowLastColumn="0" w:lastRowFirstColumn="0" w:lastRowLastColumn="0"/>
              <w:rPr>
                <w:lang w:val="en-AU"/>
              </w:rPr>
            </w:pPr>
            <w:r>
              <w:rPr>
                <w:lang w:val="en-AU"/>
              </w:rPr>
              <w:t xml:space="preserve">Consider </w:t>
            </w:r>
            <w:r w:rsidR="003568C9">
              <w:rPr>
                <w:lang w:val="en-AU"/>
              </w:rPr>
              <w:t>during ABP3 design.</w:t>
            </w:r>
          </w:p>
        </w:tc>
        <w:tc>
          <w:tcPr>
            <w:tcW w:w="1275" w:type="dxa"/>
            <w:tcBorders>
              <w:bottom w:val="single" w:sz="4" w:space="0" w:color="495965" w:themeColor="text2"/>
            </w:tcBorders>
          </w:tcPr>
          <w:p w14:paraId="2A5C04BB" w14:textId="2ED4106A" w:rsidR="00490A00" w:rsidRPr="008A0512" w:rsidRDefault="003568C9" w:rsidP="000562ED">
            <w:pPr>
              <w:pStyle w:val="BodyText"/>
              <w:cnfStyle w:val="000000010000" w:firstRow="0" w:lastRow="0" w:firstColumn="0" w:lastColumn="0" w:oddVBand="0" w:evenVBand="0" w:oddHBand="0" w:evenHBand="1" w:firstRowFirstColumn="0" w:firstRowLastColumn="0" w:lastRowFirstColumn="0" w:lastRowLastColumn="0"/>
              <w:rPr>
                <w:sz w:val="24"/>
                <w:szCs w:val="24"/>
              </w:rPr>
            </w:pPr>
            <w:r w:rsidRPr="00B942A5">
              <w:t xml:space="preserve">During ABP3 design </w:t>
            </w:r>
          </w:p>
        </w:tc>
      </w:tr>
      <w:tr w:rsidR="0072681F" w14:paraId="77187FAF" w14:textId="77777777" w:rsidTr="003202AA">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7088" w:type="dxa"/>
            <w:vMerge w:val="restart"/>
          </w:tcPr>
          <w:p w14:paraId="00886D5B" w14:textId="0C3410DB" w:rsidR="0072681F" w:rsidRPr="002B3E70" w:rsidRDefault="0072681F" w:rsidP="00EC68B2">
            <w:pPr>
              <w:pStyle w:val="Heading3"/>
              <w:pageBreakBefore/>
              <w:spacing w:before="120" w:line="240" w:lineRule="auto"/>
              <w:outlineLvl w:val="2"/>
              <w:rPr>
                <w:b/>
                <w:sz w:val="22"/>
                <w:szCs w:val="22"/>
              </w:rPr>
            </w:pPr>
            <w:r w:rsidRPr="002B3E70">
              <w:rPr>
                <w:b/>
                <w:sz w:val="22"/>
                <w:szCs w:val="22"/>
              </w:rPr>
              <w:lastRenderedPageBreak/>
              <w:t>Recommendation 5: Expand the scope of the next partnership workshop and monitor the Partnership Success Indicators (PSIs).</w:t>
            </w:r>
          </w:p>
          <w:p w14:paraId="0505EEBF" w14:textId="05A3DE50" w:rsidR="0072681F" w:rsidRPr="002B3E70" w:rsidRDefault="0072681F" w:rsidP="00EC68B2">
            <w:pPr>
              <w:keepNext/>
              <w:keepLines/>
              <w:pageBreakBefore/>
              <w:rPr>
                <w:lang w:val="en-AU"/>
              </w:rPr>
            </w:pPr>
            <w:r w:rsidRPr="002B3E70">
              <w:rPr>
                <w:lang w:val="en-AU"/>
              </w:rPr>
              <w:t>The partners should consider expanding the scope of the next partnership workshop to address issues of the Program’s substance and to enhance cross-thematic learning. Breakout sessions by Theme would be useful, followed by a plenary session for sharing lessons learned. To ensure that all participants are onboard with the workshop outcomes, the partnership broker’s report could be shared with Theme Coordinators for comment before it is finalized. The Secretariat should qualitatively monitor the overarching PSI, as envisioned in the Operations Manual, and actively facilitate the timely resolution of disagreements. Input on the PSIs could be solicited from Theme Coordinators prior to the partnership workshops and the finalization of Annual and Final Reports</w:t>
            </w:r>
          </w:p>
        </w:tc>
        <w:tc>
          <w:tcPr>
            <w:tcW w:w="1276" w:type="dxa"/>
            <w:vMerge w:val="restart"/>
            <w:shd w:val="clear" w:color="auto" w:fill="FFC000"/>
          </w:tcPr>
          <w:p w14:paraId="4FA4C99C" w14:textId="594B56AA" w:rsidR="0072681F" w:rsidRPr="008A0512" w:rsidRDefault="0072681F" w:rsidP="00EC68B2">
            <w:pPr>
              <w:keepNext/>
              <w:keepLines/>
              <w:pageBreakBefore/>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r w:rsidR="00EC68B2">
              <w:rPr>
                <w:sz w:val="24"/>
                <w:szCs w:val="24"/>
              </w:rPr>
              <w:t xml:space="preserve"> in part</w:t>
            </w:r>
          </w:p>
        </w:tc>
        <w:tc>
          <w:tcPr>
            <w:tcW w:w="1984" w:type="dxa"/>
            <w:vMerge w:val="restart"/>
          </w:tcPr>
          <w:p w14:paraId="7FD756A9" w14:textId="6616B862" w:rsidR="0072681F" w:rsidRPr="0007727F" w:rsidRDefault="0072681F" w:rsidP="00EC68B2">
            <w:pPr>
              <w:keepNext/>
              <w:keepLines/>
              <w:pageBreakBefore/>
              <w:cnfStyle w:val="000000100000" w:firstRow="0" w:lastRow="0" w:firstColumn="0" w:lastColumn="0" w:oddVBand="0" w:evenVBand="0" w:oddHBand="1" w:evenHBand="0" w:firstRowFirstColumn="0" w:firstRowLastColumn="0" w:lastRowFirstColumn="0" w:lastRowLastColumn="0"/>
              <w:rPr>
                <w:lang w:val="en-AU"/>
              </w:rPr>
            </w:pPr>
            <w:r>
              <w:rPr>
                <w:lang w:val="en-AU"/>
              </w:rPr>
              <w:t>The annual partnership review workshop is a valuable tool for enhancing ways of working and addressing roadblocks to efficient and effective implementation.</w:t>
            </w:r>
            <w:r w:rsidR="00EC68B2">
              <w:rPr>
                <w:lang w:val="en-AU"/>
              </w:rPr>
              <w:t xml:space="preserve"> Adding technical discussions would dilute the main purpose of the meeting.</w:t>
            </w:r>
          </w:p>
        </w:tc>
        <w:tc>
          <w:tcPr>
            <w:tcW w:w="3119" w:type="dxa"/>
            <w:tcBorders>
              <w:bottom w:val="nil"/>
            </w:tcBorders>
          </w:tcPr>
          <w:p w14:paraId="03248E4E" w14:textId="59F3B4A0" w:rsidR="0072681F" w:rsidRPr="0007727F" w:rsidRDefault="00DF615F" w:rsidP="00EC68B2">
            <w:pPr>
              <w:keepNext/>
              <w:keepLines/>
              <w:pageBreakBefore/>
              <w:spacing w:line="240" w:lineRule="auto"/>
              <w:cnfStyle w:val="000000100000" w:firstRow="0" w:lastRow="0" w:firstColumn="0" w:lastColumn="0" w:oddVBand="0" w:evenVBand="0" w:oddHBand="1" w:evenHBand="0" w:firstRowFirstColumn="0" w:firstRowLastColumn="0" w:lastRowFirstColumn="0" w:lastRowLastColumn="0"/>
              <w:rPr>
                <w:lang w:val="en-AU"/>
              </w:rPr>
            </w:pPr>
            <w:r>
              <w:rPr>
                <w:lang w:val="en-AU"/>
              </w:rPr>
              <w:t>Share the</w:t>
            </w:r>
            <w:r w:rsidR="0072681F">
              <w:rPr>
                <w:lang w:val="en-AU"/>
              </w:rPr>
              <w:t xml:space="preserve"> report of the next partnership review workshop with all Theme Coordinators before f</w:t>
            </w:r>
            <w:r w:rsidR="00920036">
              <w:rPr>
                <w:lang w:val="en-AU"/>
              </w:rPr>
              <w:t>inalisation</w:t>
            </w:r>
            <w:r w:rsidR="0072681F">
              <w:rPr>
                <w:lang w:val="en-AU"/>
              </w:rPr>
              <w:t>.</w:t>
            </w:r>
          </w:p>
        </w:tc>
        <w:tc>
          <w:tcPr>
            <w:tcW w:w="1275" w:type="dxa"/>
            <w:tcBorders>
              <w:bottom w:val="nil"/>
            </w:tcBorders>
          </w:tcPr>
          <w:p w14:paraId="2C73F205" w14:textId="674E60FD" w:rsidR="0072681F" w:rsidRPr="00DF615F" w:rsidRDefault="0072681F" w:rsidP="00EC68B2">
            <w:pPr>
              <w:keepNext/>
              <w:keepLines/>
              <w:pageBreakBefore/>
              <w:spacing w:line="240" w:lineRule="auto"/>
              <w:cnfStyle w:val="000000100000" w:firstRow="0" w:lastRow="0" w:firstColumn="0" w:lastColumn="0" w:oddVBand="0" w:evenVBand="0" w:oddHBand="1" w:evenHBand="0" w:firstRowFirstColumn="0" w:firstRowLastColumn="0" w:lastRowFirstColumn="0" w:lastRowLastColumn="0"/>
              <w:rPr>
                <w:lang w:val="en-AU"/>
              </w:rPr>
            </w:pPr>
            <w:r w:rsidRPr="00DF615F">
              <w:rPr>
                <w:lang w:val="en-AU"/>
              </w:rPr>
              <w:t>December 2019</w:t>
            </w:r>
          </w:p>
        </w:tc>
      </w:tr>
      <w:tr w:rsidR="0072681F" w14:paraId="26224A25" w14:textId="77777777" w:rsidTr="003202AA">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88" w:type="dxa"/>
            <w:vMerge/>
          </w:tcPr>
          <w:p w14:paraId="10CC9EE9" w14:textId="77777777" w:rsidR="0072681F" w:rsidRPr="002B3E70" w:rsidRDefault="0072681F" w:rsidP="007439B7">
            <w:pPr>
              <w:pStyle w:val="Heading3"/>
              <w:keepNext w:val="0"/>
              <w:spacing w:before="120" w:line="240" w:lineRule="auto"/>
              <w:outlineLvl w:val="2"/>
              <w:rPr>
                <w:b/>
                <w:sz w:val="22"/>
                <w:szCs w:val="22"/>
              </w:rPr>
            </w:pPr>
          </w:p>
        </w:tc>
        <w:tc>
          <w:tcPr>
            <w:tcW w:w="1276" w:type="dxa"/>
            <w:vMerge/>
            <w:shd w:val="clear" w:color="auto" w:fill="FFC000"/>
          </w:tcPr>
          <w:p w14:paraId="14F90EEA" w14:textId="77777777" w:rsidR="0072681F" w:rsidRDefault="0072681F" w:rsidP="00906E03">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p>
        </w:tc>
        <w:tc>
          <w:tcPr>
            <w:tcW w:w="1984" w:type="dxa"/>
            <w:vMerge/>
            <w:shd w:val="clear" w:color="auto" w:fill="F6E6DE" w:themeFill="accent1" w:themeFillTint="33"/>
          </w:tcPr>
          <w:p w14:paraId="31BDD850" w14:textId="77777777" w:rsidR="0072681F" w:rsidRDefault="0072681F" w:rsidP="00906E03">
            <w:pPr>
              <w:cnfStyle w:val="000000010000" w:firstRow="0" w:lastRow="0" w:firstColumn="0" w:lastColumn="0" w:oddVBand="0" w:evenVBand="0" w:oddHBand="0" w:evenHBand="1" w:firstRowFirstColumn="0" w:firstRowLastColumn="0" w:lastRowFirstColumn="0" w:lastRowLastColumn="0"/>
              <w:rPr>
                <w:lang w:val="en-AU"/>
              </w:rPr>
            </w:pPr>
          </w:p>
        </w:tc>
        <w:tc>
          <w:tcPr>
            <w:tcW w:w="3119" w:type="dxa"/>
            <w:tcBorders>
              <w:top w:val="nil"/>
              <w:bottom w:val="nil"/>
            </w:tcBorders>
            <w:shd w:val="clear" w:color="auto" w:fill="F6E6DE" w:themeFill="accent1" w:themeFillTint="33"/>
          </w:tcPr>
          <w:p w14:paraId="5B203C78" w14:textId="6A0E4112" w:rsidR="0072681F" w:rsidRDefault="00EC68B2" w:rsidP="00EC68B2">
            <w:pPr>
              <w:keepNext/>
              <w:keepLines/>
              <w:spacing w:line="240" w:lineRule="auto"/>
              <w:cnfStyle w:val="000000010000" w:firstRow="0" w:lastRow="0" w:firstColumn="0" w:lastColumn="0" w:oddVBand="0" w:evenVBand="0" w:oddHBand="0" w:evenHBand="1" w:firstRowFirstColumn="0" w:firstRowLastColumn="0" w:lastRowFirstColumn="0" w:lastRowLastColumn="0"/>
              <w:rPr>
                <w:lang w:val="en-AU"/>
              </w:rPr>
            </w:pPr>
            <w:r>
              <w:rPr>
                <w:lang w:val="en-AU"/>
              </w:rPr>
              <w:t>At the next partnership review workshop, discuss the demand for cross-thematic learning and potential mechanisms.</w:t>
            </w:r>
          </w:p>
        </w:tc>
        <w:tc>
          <w:tcPr>
            <w:tcW w:w="1275" w:type="dxa"/>
            <w:tcBorders>
              <w:top w:val="nil"/>
              <w:bottom w:val="nil"/>
            </w:tcBorders>
            <w:shd w:val="clear" w:color="auto" w:fill="F6E6DE" w:themeFill="accent1" w:themeFillTint="33"/>
          </w:tcPr>
          <w:p w14:paraId="7EBCA567" w14:textId="7B0C6A09" w:rsidR="0072681F" w:rsidRPr="00DF615F" w:rsidRDefault="00EC68B2" w:rsidP="00EC68B2">
            <w:pPr>
              <w:keepNext/>
              <w:keepLines/>
              <w:spacing w:line="240" w:lineRule="auto"/>
              <w:cnfStyle w:val="000000010000" w:firstRow="0" w:lastRow="0" w:firstColumn="0" w:lastColumn="0" w:oddVBand="0" w:evenVBand="0" w:oddHBand="0" w:evenHBand="1" w:firstRowFirstColumn="0" w:firstRowLastColumn="0" w:lastRowFirstColumn="0" w:lastRowLastColumn="0"/>
              <w:rPr>
                <w:lang w:val="en-AU"/>
              </w:rPr>
            </w:pPr>
            <w:r>
              <w:rPr>
                <w:lang w:val="en-AU"/>
              </w:rPr>
              <w:t>December 2019</w:t>
            </w:r>
          </w:p>
        </w:tc>
      </w:tr>
      <w:tr w:rsidR="0072681F" w14:paraId="465FBC58" w14:textId="77777777" w:rsidTr="003202AA">
        <w:trPr>
          <w:cnfStyle w:val="000000100000" w:firstRow="0" w:lastRow="0" w:firstColumn="0" w:lastColumn="0" w:oddVBand="0" w:evenVBand="0" w:oddHBand="1" w:evenHBand="0" w:firstRowFirstColumn="0" w:firstRowLastColumn="0" w:lastRowFirstColumn="0" w:lastRowLastColumn="0"/>
          <w:trHeight w:val="1868"/>
        </w:trPr>
        <w:tc>
          <w:tcPr>
            <w:cnfStyle w:val="001000000000" w:firstRow="0" w:lastRow="0" w:firstColumn="1" w:lastColumn="0" w:oddVBand="0" w:evenVBand="0" w:oddHBand="0" w:evenHBand="0" w:firstRowFirstColumn="0" w:firstRowLastColumn="0" w:lastRowFirstColumn="0" w:lastRowLastColumn="0"/>
            <w:tcW w:w="7088" w:type="dxa"/>
            <w:vMerge/>
          </w:tcPr>
          <w:p w14:paraId="0C832C4F" w14:textId="77777777" w:rsidR="0072681F" w:rsidRPr="002B3E70" w:rsidRDefault="0072681F" w:rsidP="007439B7">
            <w:pPr>
              <w:pStyle w:val="Heading3"/>
              <w:keepNext w:val="0"/>
              <w:spacing w:before="120" w:line="240" w:lineRule="auto"/>
              <w:outlineLvl w:val="2"/>
              <w:rPr>
                <w:b/>
                <w:sz w:val="22"/>
                <w:szCs w:val="22"/>
              </w:rPr>
            </w:pPr>
          </w:p>
        </w:tc>
        <w:tc>
          <w:tcPr>
            <w:tcW w:w="1276" w:type="dxa"/>
            <w:vMerge/>
            <w:shd w:val="clear" w:color="auto" w:fill="FFC000"/>
          </w:tcPr>
          <w:p w14:paraId="1F479563" w14:textId="77777777" w:rsidR="0072681F" w:rsidRDefault="0072681F" w:rsidP="00906E03">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p>
        </w:tc>
        <w:tc>
          <w:tcPr>
            <w:tcW w:w="1984" w:type="dxa"/>
            <w:vMerge/>
          </w:tcPr>
          <w:p w14:paraId="183AC3C5" w14:textId="77777777" w:rsidR="0072681F" w:rsidRDefault="0072681F" w:rsidP="00906E03">
            <w:pPr>
              <w:cnfStyle w:val="000000100000" w:firstRow="0" w:lastRow="0" w:firstColumn="0" w:lastColumn="0" w:oddVBand="0" w:evenVBand="0" w:oddHBand="1" w:evenHBand="0" w:firstRowFirstColumn="0" w:firstRowLastColumn="0" w:lastRowFirstColumn="0" w:lastRowLastColumn="0"/>
              <w:rPr>
                <w:lang w:val="en-AU"/>
              </w:rPr>
            </w:pPr>
          </w:p>
        </w:tc>
        <w:tc>
          <w:tcPr>
            <w:tcW w:w="3119" w:type="dxa"/>
            <w:tcBorders>
              <w:top w:val="nil"/>
            </w:tcBorders>
          </w:tcPr>
          <w:p w14:paraId="21751703" w14:textId="102074AD" w:rsidR="0072681F" w:rsidRDefault="00EC68B2" w:rsidP="00EC68B2">
            <w:pPr>
              <w:spacing w:line="240" w:lineRule="auto"/>
              <w:cnfStyle w:val="000000100000" w:firstRow="0" w:lastRow="0" w:firstColumn="0" w:lastColumn="0" w:oddVBand="0" w:evenVBand="0" w:oddHBand="1" w:evenHBand="0" w:firstRowFirstColumn="0" w:firstRowLastColumn="0" w:lastRowFirstColumn="0" w:lastRowLastColumn="0"/>
              <w:rPr>
                <w:lang w:val="en-AU"/>
              </w:rPr>
            </w:pPr>
            <w:r>
              <w:rPr>
                <w:lang w:val="en-AU"/>
              </w:rPr>
              <w:t>Report on progress against PSIs in the Annual and Final Reports and at Steering Committee meetings.</w:t>
            </w:r>
          </w:p>
        </w:tc>
        <w:tc>
          <w:tcPr>
            <w:tcW w:w="1275" w:type="dxa"/>
            <w:tcBorders>
              <w:top w:val="nil"/>
            </w:tcBorders>
          </w:tcPr>
          <w:p w14:paraId="24009BA5" w14:textId="555074E1" w:rsidR="0072681F" w:rsidRPr="00DF615F" w:rsidRDefault="00EC68B2" w:rsidP="00DF615F">
            <w:pPr>
              <w:cnfStyle w:val="000000100000" w:firstRow="0" w:lastRow="0" w:firstColumn="0" w:lastColumn="0" w:oddVBand="0" w:evenVBand="0" w:oddHBand="1" w:evenHBand="0" w:firstRowFirstColumn="0" w:firstRowLastColumn="0" w:lastRowFirstColumn="0" w:lastRowLastColumn="0"/>
              <w:rPr>
                <w:lang w:val="en-AU"/>
              </w:rPr>
            </w:pPr>
            <w:r w:rsidRPr="00DF615F">
              <w:rPr>
                <w:lang w:val="en-AU"/>
              </w:rPr>
              <w:t>Ongoing</w:t>
            </w:r>
          </w:p>
        </w:tc>
      </w:tr>
      <w:tr w:rsidR="00490A00" w14:paraId="561B7118" w14:textId="77777777" w:rsidTr="003202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592083C1" w14:textId="28E2BBEE" w:rsidR="008E397A" w:rsidRPr="002B3E70" w:rsidRDefault="008E397A" w:rsidP="00342A16">
            <w:pPr>
              <w:pStyle w:val="Heading3"/>
              <w:keepNext w:val="0"/>
              <w:spacing w:before="120" w:line="240" w:lineRule="auto"/>
              <w:outlineLvl w:val="2"/>
              <w:rPr>
                <w:b/>
                <w:sz w:val="22"/>
                <w:szCs w:val="22"/>
              </w:rPr>
            </w:pPr>
            <w:r w:rsidRPr="002B3E70">
              <w:rPr>
                <w:b/>
                <w:sz w:val="22"/>
                <w:szCs w:val="22"/>
              </w:rPr>
              <w:t>Recommendation 6</w:t>
            </w:r>
            <w:r w:rsidR="00342A16" w:rsidRPr="002B3E70">
              <w:rPr>
                <w:b/>
                <w:sz w:val="22"/>
                <w:szCs w:val="22"/>
              </w:rPr>
              <w:t xml:space="preserve">: </w:t>
            </w:r>
            <w:r w:rsidRPr="002B3E70">
              <w:rPr>
                <w:b/>
                <w:sz w:val="22"/>
                <w:szCs w:val="22"/>
              </w:rPr>
              <w:t>Remain vigilant to the potential for “scope creep.”</w:t>
            </w:r>
          </w:p>
          <w:p w14:paraId="4C1BA98B" w14:textId="31A66FEC" w:rsidR="00490A00" w:rsidRPr="002B3E70" w:rsidRDefault="008E397A" w:rsidP="008E397A">
            <w:r w:rsidRPr="002B3E70">
              <w:rPr>
                <w:lang w:val="en-AU"/>
              </w:rPr>
              <w:t>The ABP2 should pursue new interventions only if they maintain the Program’s strategic focus, reflect shared priorities and client demand, and address areas where the World Bank Group has funding needs and comparative advantage</w:t>
            </w:r>
          </w:p>
        </w:tc>
        <w:tc>
          <w:tcPr>
            <w:tcW w:w="1276" w:type="dxa"/>
            <w:shd w:val="clear" w:color="auto" w:fill="92D050"/>
          </w:tcPr>
          <w:p w14:paraId="5C44173B" w14:textId="039B9D7E" w:rsidR="00490A00" w:rsidRPr="008A0512" w:rsidRDefault="005339C7" w:rsidP="005339C7">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w:t>
            </w:r>
          </w:p>
        </w:tc>
        <w:tc>
          <w:tcPr>
            <w:tcW w:w="1984" w:type="dxa"/>
          </w:tcPr>
          <w:p w14:paraId="3B3C1531" w14:textId="7D2CD57E" w:rsidR="00490A00" w:rsidRPr="0007727F" w:rsidRDefault="00490A00" w:rsidP="0007727F">
            <w:pPr>
              <w:cnfStyle w:val="000000010000" w:firstRow="0" w:lastRow="0" w:firstColumn="0" w:lastColumn="0" w:oddVBand="0" w:evenVBand="0" w:oddHBand="0" w:evenHBand="1" w:firstRowFirstColumn="0" w:firstRowLastColumn="0" w:lastRowFirstColumn="0" w:lastRowLastColumn="0"/>
              <w:rPr>
                <w:lang w:val="en-AU"/>
              </w:rPr>
            </w:pPr>
          </w:p>
        </w:tc>
        <w:tc>
          <w:tcPr>
            <w:tcW w:w="3119" w:type="dxa"/>
          </w:tcPr>
          <w:p w14:paraId="0B05BBB7" w14:textId="00FE01E7" w:rsidR="00490A00" w:rsidRPr="0007727F" w:rsidRDefault="005B6D90" w:rsidP="009941E9">
            <w:pPr>
              <w:cnfStyle w:val="000000010000" w:firstRow="0" w:lastRow="0" w:firstColumn="0" w:lastColumn="0" w:oddVBand="0" w:evenVBand="0" w:oddHBand="0" w:evenHBand="1" w:firstRowFirstColumn="0" w:firstRowLastColumn="0" w:lastRowFirstColumn="0" w:lastRowLastColumn="0"/>
              <w:rPr>
                <w:lang w:val="en-AU"/>
              </w:rPr>
            </w:pPr>
            <w:r>
              <w:rPr>
                <w:lang w:val="en-AU"/>
              </w:rPr>
              <w:t>C</w:t>
            </w:r>
            <w:r w:rsidR="008E397A" w:rsidRPr="008E397A">
              <w:rPr>
                <w:lang w:val="en-AU"/>
              </w:rPr>
              <w:t xml:space="preserve">ontinue to </w:t>
            </w:r>
            <w:r>
              <w:rPr>
                <w:lang w:val="en-AU"/>
              </w:rPr>
              <w:t xml:space="preserve">jointly </w:t>
            </w:r>
            <w:r w:rsidR="008E397A" w:rsidRPr="008E397A">
              <w:rPr>
                <w:lang w:val="en-AU"/>
              </w:rPr>
              <w:t xml:space="preserve">review priorities at </w:t>
            </w:r>
            <w:r>
              <w:rPr>
                <w:lang w:val="en-AU"/>
              </w:rPr>
              <w:t>the strategic level</w:t>
            </w:r>
            <w:r w:rsidR="009941E9">
              <w:rPr>
                <w:lang w:val="en-AU"/>
              </w:rPr>
              <w:t>. W</w:t>
            </w:r>
            <w:r w:rsidR="005339C7">
              <w:rPr>
                <w:lang w:val="en-AU"/>
              </w:rPr>
              <w:t>here</w:t>
            </w:r>
            <w:r w:rsidR="009941E9">
              <w:rPr>
                <w:lang w:val="en-AU"/>
              </w:rPr>
              <w:t>ver</w:t>
            </w:r>
            <w:r w:rsidR="005339C7">
              <w:rPr>
                <w:lang w:val="en-AU"/>
              </w:rPr>
              <w:t xml:space="preserve"> </w:t>
            </w:r>
            <w:r w:rsidR="009941E9">
              <w:rPr>
                <w:lang w:val="en-AU"/>
              </w:rPr>
              <w:t xml:space="preserve">possible, </w:t>
            </w:r>
            <w:r w:rsidR="005339C7">
              <w:rPr>
                <w:lang w:val="en-AU"/>
              </w:rPr>
              <w:t xml:space="preserve">seek agreement for new activities </w:t>
            </w:r>
            <w:r w:rsidR="009941E9">
              <w:rPr>
                <w:lang w:val="en-AU"/>
              </w:rPr>
              <w:t xml:space="preserve">as a package </w:t>
            </w:r>
            <w:r w:rsidR="005339C7">
              <w:rPr>
                <w:lang w:val="en-AU"/>
              </w:rPr>
              <w:t>at the annual Steering Committee meeting</w:t>
            </w:r>
            <w:r w:rsidR="00DF615F">
              <w:rPr>
                <w:lang w:val="en-AU"/>
              </w:rPr>
              <w:t>.</w:t>
            </w:r>
          </w:p>
        </w:tc>
        <w:tc>
          <w:tcPr>
            <w:tcW w:w="1275" w:type="dxa"/>
          </w:tcPr>
          <w:p w14:paraId="75FF16D2" w14:textId="6BDE097C" w:rsidR="00490A00" w:rsidRPr="00DF615F" w:rsidRDefault="005339C7" w:rsidP="00DF615F">
            <w:pPr>
              <w:cnfStyle w:val="000000010000" w:firstRow="0" w:lastRow="0" w:firstColumn="0" w:lastColumn="0" w:oddVBand="0" w:evenVBand="0" w:oddHBand="0" w:evenHBand="1" w:firstRowFirstColumn="0" w:firstRowLastColumn="0" w:lastRowFirstColumn="0" w:lastRowLastColumn="0"/>
              <w:rPr>
                <w:lang w:val="en-AU"/>
              </w:rPr>
            </w:pPr>
            <w:r w:rsidRPr="00DF615F">
              <w:rPr>
                <w:lang w:val="en-AU"/>
              </w:rPr>
              <w:t>Ongoing</w:t>
            </w:r>
          </w:p>
        </w:tc>
      </w:tr>
      <w:tr w:rsidR="003202AA" w14:paraId="00AB5810" w14:textId="77777777" w:rsidTr="003202AA">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7088" w:type="dxa"/>
            <w:vMerge w:val="restart"/>
          </w:tcPr>
          <w:p w14:paraId="0EBF8513" w14:textId="012304CF" w:rsidR="003202AA" w:rsidRPr="002B3E70" w:rsidRDefault="003202AA" w:rsidP="003202AA">
            <w:pPr>
              <w:pStyle w:val="Heading3"/>
              <w:spacing w:before="120" w:line="240" w:lineRule="auto"/>
              <w:outlineLvl w:val="2"/>
              <w:rPr>
                <w:b/>
                <w:sz w:val="22"/>
                <w:szCs w:val="22"/>
              </w:rPr>
            </w:pPr>
            <w:r w:rsidRPr="002B3E70">
              <w:rPr>
                <w:b/>
                <w:sz w:val="22"/>
                <w:szCs w:val="22"/>
              </w:rPr>
              <w:lastRenderedPageBreak/>
              <w:t>Recommendation 7: Assess the funding mechanism vis-à-vis the IFC.</w:t>
            </w:r>
          </w:p>
          <w:p w14:paraId="44CC61D8" w14:textId="11E163D4" w:rsidR="003202AA" w:rsidRPr="002B3E70" w:rsidRDefault="003202AA" w:rsidP="003202AA">
            <w:pPr>
              <w:keepNext/>
              <w:keepLines/>
            </w:pPr>
            <w:r w:rsidRPr="002B3E70">
              <w:rPr>
                <w:lang w:val="en-AU"/>
              </w:rPr>
              <w:t>The partners should consider opportunities for the IFC to add more value. If a World Bank Group partnership is pursued in an ABP3, all partners should reconsider and agree on the desired role of the IFC and design the program accordingly</w:t>
            </w:r>
          </w:p>
        </w:tc>
        <w:tc>
          <w:tcPr>
            <w:tcW w:w="1276" w:type="dxa"/>
            <w:vMerge w:val="restart"/>
            <w:shd w:val="clear" w:color="auto" w:fill="92D050"/>
          </w:tcPr>
          <w:p w14:paraId="6FD27BD3" w14:textId="4F252F8F" w:rsidR="003202AA" w:rsidRPr="008A0512" w:rsidRDefault="003202AA" w:rsidP="003202AA">
            <w:pPr>
              <w:keepNext/>
              <w:keepLine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1984" w:type="dxa"/>
            <w:vMerge w:val="restart"/>
          </w:tcPr>
          <w:p w14:paraId="78E53E1E" w14:textId="0C3C360C" w:rsidR="003202AA" w:rsidRPr="0007727F" w:rsidRDefault="003202AA" w:rsidP="003202AA">
            <w:pPr>
              <w:keepNext/>
              <w:keepLines/>
              <w:cnfStyle w:val="000000100000" w:firstRow="0" w:lastRow="0" w:firstColumn="0" w:lastColumn="0" w:oddVBand="0" w:evenVBand="0" w:oddHBand="1" w:evenHBand="0" w:firstRowFirstColumn="0" w:firstRowLastColumn="0" w:lastRowFirstColumn="0" w:lastRowLastColumn="0"/>
              <w:rPr>
                <w:lang w:val="en-AU"/>
              </w:rPr>
            </w:pPr>
            <w:r>
              <w:rPr>
                <w:lang w:val="en-AU"/>
              </w:rPr>
              <w:t>Working with IFC offers opportunities to deepen engagement with the private sector, a focus area for Australia.</w:t>
            </w:r>
          </w:p>
        </w:tc>
        <w:tc>
          <w:tcPr>
            <w:tcW w:w="3119" w:type="dxa"/>
          </w:tcPr>
          <w:p w14:paraId="0D8CF778" w14:textId="6568B9F4" w:rsidR="003202AA" w:rsidRPr="0007727F" w:rsidRDefault="003202AA" w:rsidP="003202AA">
            <w:pPr>
              <w:keepNext/>
              <w:keepLines/>
              <w:cnfStyle w:val="000000100000" w:firstRow="0" w:lastRow="0" w:firstColumn="0" w:lastColumn="0" w:oddVBand="0" w:evenVBand="0" w:oddHBand="1" w:evenHBand="0" w:firstRowFirstColumn="0" w:firstRowLastColumn="0" w:lastRowFirstColumn="0" w:lastRowLastColumn="0"/>
              <w:rPr>
                <w:lang w:val="en-AU"/>
              </w:rPr>
            </w:pPr>
            <w:r>
              <w:rPr>
                <w:lang w:val="en-AU"/>
              </w:rPr>
              <w:t>Explore opportunities for enhancing engagement with IFC on capital market development.</w:t>
            </w:r>
          </w:p>
        </w:tc>
        <w:tc>
          <w:tcPr>
            <w:tcW w:w="1275" w:type="dxa"/>
          </w:tcPr>
          <w:p w14:paraId="73FE5FBA" w14:textId="4E705F90" w:rsidR="003202AA" w:rsidRPr="00DF615F" w:rsidRDefault="003202AA" w:rsidP="003202AA">
            <w:pPr>
              <w:keepNext/>
              <w:keepLines/>
              <w:cnfStyle w:val="000000100000" w:firstRow="0" w:lastRow="0" w:firstColumn="0" w:lastColumn="0" w:oddVBand="0" w:evenVBand="0" w:oddHBand="1" w:evenHBand="0" w:firstRowFirstColumn="0" w:firstRowLastColumn="0" w:lastRowFirstColumn="0" w:lastRowLastColumn="0"/>
              <w:rPr>
                <w:lang w:val="en-AU"/>
              </w:rPr>
            </w:pPr>
            <w:r>
              <w:rPr>
                <w:lang w:val="en-AU"/>
              </w:rPr>
              <w:t>Early 2020</w:t>
            </w:r>
          </w:p>
        </w:tc>
      </w:tr>
      <w:tr w:rsidR="003202AA" w14:paraId="59CDB4CB" w14:textId="77777777" w:rsidTr="003202AA">
        <w:trPr>
          <w:cnfStyle w:val="000000010000" w:firstRow="0" w:lastRow="0" w:firstColumn="0" w:lastColumn="0" w:oddVBand="0" w:evenVBand="0" w:oddHBand="0" w:evenHBand="1"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7088" w:type="dxa"/>
            <w:vMerge/>
          </w:tcPr>
          <w:p w14:paraId="77239610" w14:textId="77777777" w:rsidR="003202AA" w:rsidRPr="002B3E70" w:rsidRDefault="003202AA" w:rsidP="00342A16">
            <w:pPr>
              <w:pStyle w:val="Heading3"/>
              <w:keepNext w:val="0"/>
              <w:spacing w:before="120" w:line="240" w:lineRule="auto"/>
              <w:outlineLvl w:val="2"/>
              <w:rPr>
                <w:b/>
                <w:sz w:val="22"/>
                <w:szCs w:val="22"/>
              </w:rPr>
            </w:pPr>
          </w:p>
        </w:tc>
        <w:tc>
          <w:tcPr>
            <w:tcW w:w="1276" w:type="dxa"/>
            <w:vMerge/>
            <w:shd w:val="clear" w:color="auto" w:fill="92D050"/>
          </w:tcPr>
          <w:p w14:paraId="2B40DB1A" w14:textId="77777777" w:rsidR="003202AA" w:rsidRDefault="003202AA" w:rsidP="005339C7">
            <w:pPr>
              <w:cnfStyle w:val="000000010000" w:firstRow="0" w:lastRow="0" w:firstColumn="0" w:lastColumn="0" w:oddVBand="0" w:evenVBand="0" w:oddHBand="0" w:evenHBand="1" w:firstRowFirstColumn="0" w:firstRowLastColumn="0" w:lastRowFirstColumn="0" w:lastRowLastColumn="0"/>
              <w:rPr>
                <w:sz w:val="24"/>
                <w:szCs w:val="24"/>
              </w:rPr>
            </w:pPr>
          </w:p>
        </w:tc>
        <w:tc>
          <w:tcPr>
            <w:tcW w:w="1984" w:type="dxa"/>
            <w:vMerge/>
            <w:shd w:val="clear" w:color="auto" w:fill="F6E6DE" w:themeFill="accent1" w:themeFillTint="33"/>
          </w:tcPr>
          <w:p w14:paraId="72222E83" w14:textId="77777777" w:rsidR="003202AA" w:rsidRDefault="003202AA" w:rsidP="00505440">
            <w:pPr>
              <w:cnfStyle w:val="000000010000" w:firstRow="0" w:lastRow="0" w:firstColumn="0" w:lastColumn="0" w:oddVBand="0" w:evenVBand="0" w:oddHBand="0" w:evenHBand="1" w:firstRowFirstColumn="0" w:firstRowLastColumn="0" w:lastRowFirstColumn="0" w:lastRowLastColumn="0"/>
              <w:rPr>
                <w:lang w:val="en-AU"/>
              </w:rPr>
            </w:pPr>
          </w:p>
        </w:tc>
        <w:tc>
          <w:tcPr>
            <w:tcW w:w="3119" w:type="dxa"/>
            <w:shd w:val="clear" w:color="auto" w:fill="F6E6DE" w:themeFill="accent1" w:themeFillTint="33"/>
          </w:tcPr>
          <w:p w14:paraId="245F4F07" w14:textId="72753A65" w:rsidR="003202AA" w:rsidRDefault="003202AA" w:rsidP="00195437">
            <w:pPr>
              <w:cnfStyle w:val="000000010000" w:firstRow="0" w:lastRow="0" w:firstColumn="0" w:lastColumn="0" w:oddVBand="0" w:evenVBand="0" w:oddHBand="0" w:evenHBand="1" w:firstRowFirstColumn="0" w:firstRowLastColumn="0" w:lastRowFirstColumn="0" w:lastRowLastColumn="0"/>
              <w:rPr>
                <w:lang w:val="en-AU"/>
              </w:rPr>
            </w:pPr>
            <w:r>
              <w:rPr>
                <w:lang w:val="en-AU"/>
              </w:rPr>
              <w:t>Consider in ABP3 design (including contracting implications/requirements).</w:t>
            </w:r>
          </w:p>
        </w:tc>
        <w:tc>
          <w:tcPr>
            <w:tcW w:w="1275" w:type="dxa"/>
            <w:shd w:val="clear" w:color="auto" w:fill="F6E6DE" w:themeFill="accent1" w:themeFillTint="33"/>
          </w:tcPr>
          <w:p w14:paraId="776787B2" w14:textId="31DBF2E0" w:rsidR="003202AA" w:rsidRPr="00DF615F" w:rsidRDefault="003202AA" w:rsidP="000562ED">
            <w:pPr>
              <w:cnfStyle w:val="000000010000" w:firstRow="0" w:lastRow="0" w:firstColumn="0" w:lastColumn="0" w:oddVBand="0" w:evenVBand="0" w:oddHBand="0" w:evenHBand="1" w:firstRowFirstColumn="0" w:firstRowLastColumn="0" w:lastRowFirstColumn="0" w:lastRowLastColumn="0"/>
              <w:rPr>
                <w:lang w:val="en-AU"/>
              </w:rPr>
            </w:pPr>
            <w:r w:rsidRPr="00DF615F">
              <w:rPr>
                <w:lang w:val="en-AU"/>
              </w:rPr>
              <w:t>During ABP3 design</w:t>
            </w:r>
          </w:p>
        </w:tc>
      </w:tr>
      <w:tr w:rsidR="00490A00" w14:paraId="76A3F06B" w14:textId="77777777" w:rsidTr="00320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69502A98" w14:textId="66B02612" w:rsidR="008E397A" w:rsidRPr="002B3E70" w:rsidRDefault="008E397A" w:rsidP="00342A16">
            <w:pPr>
              <w:pStyle w:val="Heading3"/>
              <w:keepNext w:val="0"/>
              <w:spacing w:before="120" w:line="240" w:lineRule="auto"/>
              <w:outlineLvl w:val="2"/>
              <w:rPr>
                <w:b/>
                <w:sz w:val="22"/>
                <w:szCs w:val="22"/>
              </w:rPr>
            </w:pPr>
            <w:r w:rsidRPr="002B3E70">
              <w:rPr>
                <w:b/>
                <w:sz w:val="22"/>
                <w:szCs w:val="22"/>
              </w:rPr>
              <w:t>Recommendation 8</w:t>
            </w:r>
            <w:r w:rsidR="00342A16" w:rsidRPr="002B3E70">
              <w:rPr>
                <w:b/>
                <w:sz w:val="22"/>
                <w:szCs w:val="22"/>
              </w:rPr>
              <w:t xml:space="preserve">: </w:t>
            </w:r>
            <w:r w:rsidRPr="002B3E70">
              <w:rPr>
                <w:b/>
                <w:sz w:val="22"/>
                <w:szCs w:val="22"/>
              </w:rPr>
              <w:t>Explore opportunities to increase gen</w:t>
            </w:r>
            <w:r w:rsidR="00342A16" w:rsidRPr="002B3E70">
              <w:rPr>
                <w:b/>
                <w:sz w:val="22"/>
                <w:szCs w:val="22"/>
              </w:rPr>
              <w:t>der sensitivity in ABP2 events.</w:t>
            </w:r>
          </w:p>
          <w:p w14:paraId="7E8A23BB" w14:textId="13BD897D" w:rsidR="00490A00" w:rsidRPr="002B3E70" w:rsidRDefault="008E397A" w:rsidP="008E397A">
            <w:r w:rsidRPr="002B3E70">
              <w:rPr>
                <w:lang w:val="en-AU"/>
              </w:rPr>
              <w:t>The Secretariat should explore opportunities to systematically include data, evidence, and discussion of gender equality in ABP2 events and assess the importance of increasing the proportion of women presenters.</w:t>
            </w:r>
          </w:p>
        </w:tc>
        <w:tc>
          <w:tcPr>
            <w:tcW w:w="1276" w:type="dxa"/>
            <w:shd w:val="clear" w:color="auto" w:fill="92D050"/>
          </w:tcPr>
          <w:p w14:paraId="1489A7DC" w14:textId="61099364" w:rsidR="00490A00" w:rsidRPr="008A0512" w:rsidRDefault="00337ECC" w:rsidP="00893C8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w:t>
            </w:r>
          </w:p>
        </w:tc>
        <w:tc>
          <w:tcPr>
            <w:tcW w:w="1984" w:type="dxa"/>
          </w:tcPr>
          <w:p w14:paraId="7FF95E30" w14:textId="5547F827" w:rsidR="00490A00" w:rsidRPr="0007727F" w:rsidRDefault="001E23F8" w:rsidP="001E23F8">
            <w:pPr>
              <w:cnfStyle w:val="000000100000" w:firstRow="0" w:lastRow="0" w:firstColumn="0" w:lastColumn="0" w:oddVBand="0" w:evenVBand="0" w:oddHBand="1" w:evenHBand="0" w:firstRowFirstColumn="0" w:firstRowLastColumn="0" w:lastRowFirstColumn="0" w:lastRowLastColumn="0"/>
              <w:rPr>
                <w:lang w:val="en-AU"/>
              </w:rPr>
            </w:pPr>
            <w:r>
              <w:rPr>
                <w:lang w:val="en-AU"/>
              </w:rPr>
              <w:t>This is consistent with A</w:t>
            </w:r>
            <w:r w:rsidRPr="001E23F8">
              <w:rPr>
                <w:lang w:val="en-AU"/>
              </w:rPr>
              <w:t xml:space="preserve">ustralia's </w:t>
            </w:r>
            <w:r w:rsidRPr="001E23F8">
              <w:rPr>
                <w:i/>
                <w:lang w:val="en-AU"/>
              </w:rPr>
              <w:t>Gender Equality and Women's Empowerment Strategy</w:t>
            </w:r>
            <w:r>
              <w:rPr>
                <w:lang w:val="en-AU"/>
              </w:rPr>
              <w:t xml:space="preserve"> and </w:t>
            </w:r>
            <w:r w:rsidRPr="001E23F8">
              <w:rPr>
                <w:i/>
                <w:lang w:val="en-AU"/>
              </w:rPr>
              <w:t>Women in Leadership Strategy</w:t>
            </w:r>
            <w:r>
              <w:rPr>
                <w:lang w:val="en-AU"/>
              </w:rPr>
              <w:t>.</w:t>
            </w:r>
          </w:p>
        </w:tc>
        <w:tc>
          <w:tcPr>
            <w:tcW w:w="3119" w:type="dxa"/>
          </w:tcPr>
          <w:p w14:paraId="74AA37CE" w14:textId="77777777" w:rsidR="00490A00" w:rsidRDefault="0090699F" w:rsidP="0090699F">
            <w:pPr>
              <w:cnfStyle w:val="000000100000" w:firstRow="0" w:lastRow="0" w:firstColumn="0" w:lastColumn="0" w:oddVBand="0" w:evenVBand="0" w:oddHBand="1" w:evenHBand="0" w:firstRowFirstColumn="0" w:firstRowLastColumn="0" w:lastRowFirstColumn="0" w:lastRowLastColumn="0"/>
              <w:rPr>
                <w:lang w:val="en-AU"/>
              </w:rPr>
            </w:pPr>
            <w:r>
              <w:rPr>
                <w:lang w:val="en-AU"/>
              </w:rPr>
              <w:t>DFAT and the World Bank (through the Secretariat) to jointly agree on targets for gender equality at ABP2 events.</w:t>
            </w:r>
          </w:p>
          <w:p w14:paraId="1C9F4B47" w14:textId="7DA29EE8" w:rsidR="0090699F" w:rsidRPr="0007727F" w:rsidRDefault="0090699F" w:rsidP="0090699F">
            <w:pPr>
              <w:cnfStyle w:val="000000100000" w:firstRow="0" w:lastRow="0" w:firstColumn="0" w:lastColumn="0" w:oddVBand="0" w:evenVBand="0" w:oddHBand="1" w:evenHBand="0" w:firstRowFirstColumn="0" w:firstRowLastColumn="0" w:lastRowFirstColumn="0" w:lastRowLastColumn="0"/>
              <w:rPr>
                <w:lang w:val="en-AU"/>
              </w:rPr>
            </w:pPr>
            <w:r>
              <w:rPr>
                <w:lang w:val="en-AU"/>
              </w:rPr>
              <w:t>Develop guidance for Theme leads and report progress and Secretariat and Steering Committee level.</w:t>
            </w:r>
          </w:p>
        </w:tc>
        <w:tc>
          <w:tcPr>
            <w:tcW w:w="1275" w:type="dxa"/>
          </w:tcPr>
          <w:p w14:paraId="2617B5BE" w14:textId="08B6F0BE" w:rsidR="00490A00" w:rsidRPr="000325F7" w:rsidRDefault="005B6D90" w:rsidP="009941E9">
            <w:pPr>
              <w:cnfStyle w:val="000000100000" w:firstRow="0" w:lastRow="0" w:firstColumn="0" w:lastColumn="0" w:oddVBand="0" w:evenVBand="0" w:oddHBand="1" w:evenHBand="0" w:firstRowFirstColumn="0" w:firstRowLastColumn="0" w:lastRowFirstColumn="0" w:lastRowLastColumn="0"/>
              <w:rPr>
                <w:lang w:val="en-AU"/>
              </w:rPr>
            </w:pPr>
            <w:r w:rsidRPr="000325F7">
              <w:rPr>
                <w:lang w:val="en-AU"/>
              </w:rPr>
              <w:t>February</w:t>
            </w:r>
            <w:r w:rsidR="0090699F" w:rsidRPr="000325F7">
              <w:rPr>
                <w:lang w:val="en-AU"/>
              </w:rPr>
              <w:t xml:space="preserve"> </w:t>
            </w:r>
            <w:r w:rsidRPr="000325F7">
              <w:rPr>
                <w:lang w:val="en-AU"/>
              </w:rPr>
              <w:t>2020</w:t>
            </w:r>
          </w:p>
        </w:tc>
      </w:tr>
      <w:tr w:rsidR="008E397A" w14:paraId="36146369" w14:textId="77777777" w:rsidTr="003202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68ED1414" w14:textId="37192EFC" w:rsidR="008E397A" w:rsidRPr="002B3E70" w:rsidRDefault="00D75CBF" w:rsidP="00D75CBF">
            <w:pPr>
              <w:pStyle w:val="Heading3"/>
              <w:keepNext w:val="0"/>
              <w:spacing w:before="120" w:line="240" w:lineRule="auto"/>
              <w:outlineLvl w:val="2"/>
              <w:rPr>
                <w:b/>
                <w:sz w:val="22"/>
                <w:szCs w:val="22"/>
              </w:rPr>
            </w:pPr>
            <w:r w:rsidRPr="002B3E70">
              <w:rPr>
                <w:b/>
                <w:sz w:val="22"/>
                <w:szCs w:val="22"/>
              </w:rPr>
              <w:t xml:space="preserve">Recommendation 9: </w:t>
            </w:r>
            <w:r w:rsidR="008E397A" w:rsidRPr="002B3E70">
              <w:rPr>
                <w:b/>
                <w:sz w:val="22"/>
                <w:szCs w:val="22"/>
              </w:rPr>
              <w:t xml:space="preserve">Encourage an expanded role for national experts. </w:t>
            </w:r>
          </w:p>
          <w:p w14:paraId="2582C308" w14:textId="04D1350E" w:rsidR="008E397A" w:rsidRPr="002B3E70" w:rsidRDefault="008E397A" w:rsidP="008E397A">
            <w:r w:rsidRPr="002B3E70">
              <w:rPr>
                <w:lang w:val="en-AU"/>
              </w:rPr>
              <w:t>Where relevant and feasible, the Program should encourage the GoV to identify national expertise and provide budgetary resources to expand the role of national experts as counterparts to ABP2-supported international experts.</w:t>
            </w:r>
          </w:p>
        </w:tc>
        <w:tc>
          <w:tcPr>
            <w:tcW w:w="1276" w:type="dxa"/>
            <w:shd w:val="clear" w:color="auto" w:fill="92D050"/>
          </w:tcPr>
          <w:p w14:paraId="2480DB95" w14:textId="013DA6F9" w:rsidR="008E397A" w:rsidRPr="008A0512" w:rsidRDefault="00337ECC" w:rsidP="00893C87">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Agree</w:t>
            </w:r>
          </w:p>
        </w:tc>
        <w:tc>
          <w:tcPr>
            <w:tcW w:w="1984" w:type="dxa"/>
          </w:tcPr>
          <w:p w14:paraId="7E749627" w14:textId="48DBD2F2" w:rsidR="008E397A" w:rsidRPr="0007727F" w:rsidRDefault="006975BB" w:rsidP="006975BB">
            <w:pPr>
              <w:cnfStyle w:val="000000010000" w:firstRow="0" w:lastRow="0" w:firstColumn="0" w:lastColumn="0" w:oddVBand="0" w:evenVBand="0" w:oddHBand="0" w:evenHBand="1" w:firstRowFirstColumn="0" w:firstRowLastColumn="0" w:lastRowFirstColumn="0" w:lastRowLastColumn="0"/>
              <w:rPr>
                <w:lang w:val="en-AU"/>
              </w:rPr>
            </w:pPr>
            <w:r>
              <w:rPr>
                <w:lang w:val="en-AU"/>
              </w:rPr>
              <w:t>Capacity building and national ownership is important for ensuring sustainability of results.</w:t>
            </w:r>
          </w:p>
        </w:tc>
        <w:tc>
          <w:tcPr>
            <w:tcW w:w="3119" w:type="dxa"/>
          </w:tcPr>
          <w:p w14:paraId="59B14AC1" w14:textId="1723DCA7" w:rsidR="008E397A" w:rsidRPr="0007727F" w:rsidRDefault="006975BB" w:rsidP="006975BB">
            <w:pPr>
              <w:cnfStyle w:val="000000010000" w:firstRow="0" w:lastRow="0" w:firstColumn="0" w:lastColumn="0" w:oddVBand="0" w:evenVBand="0" w:oddHBand="0" w:evenHBand="1" w:firstRowFirstColumn="0" w:firstRowLastColumn="0" w:lastRowFirstColumn="0" w:lastRowLastColumn="0"/>
              <w:rPr>
                <w:lang w:val="en-AU"/>
              </w:rPr>
            </w:pPr>
            <w:r>
              <w:rPr>
                <w:lang w:val="en-AU"/>
              </w:rPr>
              <w:t>To be discussed with the Theme Leads and implemented where feasible.</w:t>
            </w:r>
          </w:p>
        </w:tc>
        <w:tc>
          <w:tcPr>
            <w:tcW w:w="1275" w:type="dxa"/>
          </w:tcPr>
          <w:p w14:paraId="018DC03C" w14:textId="26BF2577" w:rsidR="008E397A" w:rsidRPr="000325F7" w:rsidRDefault="000325F7" w:rsidP="000325F7">
            <w:pPr>
              <w:cnfStyle w:val="000000010000" w:firstRow="0" w:lastRow="0" w:firstColumn="0" w:lastColumn="0" w:oddVBand="0" w:evenVBand="0" w:oddHBand="0" w:evenHBand="1" w:firstRowFirstColumn="0" w:firstRowLastColumn="0" w:lastRowFirstColumn="0" w:lastRowLastColumn="0"/>
              <w:rPr>
                <w:lang w:val="en-AU"/>
              </w:rPr>
            </w:pPr>
            <w:r w:rsidRPr="000325F7">
              <w:rPr>
                <w:lang w:val="en-AU"/>
              </w:rPr>
              <w:t>Ongoing</w:t>
            </w:r>
          </w:p>
        </w:tc>
      </w:tr>
      <w:tr w:rsidR="008E397A" w14:paraId="355AD31D" w14:textId="77777777" w:rsidTr="00320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70D097B9" w14:textId="3849EC7B" w:rsidR="008E397A" w:rsidRPr="002B3E70" w:rsidRDefault="008E397A" w:rsidP="003202AA">
            <w:pPr>
              <w:pStyle w:val="Heading3"/>
              <w:spacing w:before="120" w:line="240" w:lineRule="auto"/>
              <w:outlineLvl w:val="2"/>
              <w:rPr>
                <w:b/>
                <w:sz w:val="22"/>
                <w:szCs w:val="22"/>
              </w:rPr>
            </w:pPr>
            <w:r w:rsidRPr="002B3E70">
              <w:rPr>
                <w:b/>
                <w:sz w:val="22"/>
                <w:szCs w:val="22"/>
              </w:rPr>
              <w:lastRenderedPageBreak/>
              <w:t>Recommendation 10</w:t>
            </w:r>
            <w:r w:rsidR="00D75CBF" w:rsidRPr="002B3E70">
              <w:rPr>
                <w:b/>
                <w:sz w:val="22"/>
                <w:szCs w:val="22"/>
              </w:rPr>
              <w:t xml:space="preserve">: </w:t>
            </w:r>
            <w:r w:rsidRPr="002B3E70">
              <w:rPr>
                <w:b/>
                <w:sz w:val="22"/>
                <w:szCs w:val="22"/>
              </w:rPr>
              <w:t xml:space="preserve">Explore opportunities to work with other countries in the region on Mekong Delta issues. </w:t>
            </w:r>
          </w:p>
          <w:p w14:paraId="47369407" w14:textId="1C227433" w:rsidR="008E397A" w:rsidRPr="002B3E70" w:rsidRDefault="008E397A" w:rsidP="003202AA">
            <w:pPr>
              <w:keepNext/>
              <w:keepLines/>
            </w:pPr>
            <w:r w:rsidRPr="002B3E70">
              <w:rPr>
                <w:lang w:val="en-AU"/>
              </w:rPr>
              <w:t>DFAT and the World Bank have the opportunity to identify investments with potential impact on climate-change resilience at the whole landscape level in the Mekong Delta.</w:t>
            </w:r>
          </w:p>
        </w:tc>
        <w:tc>
          <w:tcPr>
            <w:tcW w:w="1276" w:type="dxa"/>
            <w:shd w:val="clear" w:color="auto" w:fill="FFC000"/>
          </w:tcPr>
          <w:p w14:paraId="13D9B087" w14:textId="3F0BE11A" w:rsidR="008E397A" w:rsidRPr="008A0512" w:rsidRDefault="00337ECC" w:rsidP="003202AA">
            <w:pPr>
              <w:keepNext/>
              <w:keepLines/>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 in part</w:t>
            </w:r>
          </w:p>
        </w:tc>
        <w:tc>
          <w:tcPr>
            <w:tcW w:w="1984" w:type="dxa"/>
          </w:tcPr>
          <w:p w14:paraId="2155F8AC" w14:textId="0DE4918A" w:rsidR="008E397A" w:rsidRPr="0007727F" w:rsidRDefault="00195437" w:rsidP="003202AA">
            <w:pPr>
              <w:keepNext/>
              <w:keepLines/>
              <w:cnfStyle w:val="000000100000" w:firstRow="0" w:lastRow="0" w:firstColumn="0" w:lastColumn="0" w:oddVBand="0" w:evenVBand="0" w:oddHBand="1" w:evenHBand="0" w:firstRowFirstColumn="0" w:firstRowLastColumn="0" w:lastRowFirstColumn="0" w:lastRowLastColumn="0"/>
              <w:rPr>
                <w:lang w:val="en-AU"/>
              </w:rPr>
            </w:pPr>
            <w:r>
              <w:rPr>
                <w:lang w:val="en-AU"/>
              </w:rPr>
              <w:t>There are potential synergies with Australia’s regional investments, such as the Greater Mekong Water Resources Program.</w:t>
            </w:r>
            <w:r w:rsidR="009941E9">
              <w:rPr>
                <w:lang w:val="en-AU"/>
              </w:rPr>
              <w:t xml:space="preserve"> </w:t>
            </w:r>
            <w:r>
              <w:rPr>
                <w:lang w:val="en-AU"/>
              </w:rPr>
              <w:t>However, broadening engagement to other countries has significant resource implications.</w:t>
            </w:r>
          </w:p>
        </w:tc>
        <w:tc>
          <w:tcPr>
            <w:tcW w:w="3119" w:type="dxa"/>
          </w:tcPr>
          <w:p w14:paraId="7A3198DA" w14:textId="7E59F59F" w:rsidR="008E397A" w:rsidRPr="0007727F" w:rsidRDefault="000E22DA" w:rsidP="003202AA">
            <w:pPr>
              <w:keepNext/>
              <w:keepLines/>
              <w:cnfStyle w:val="000000100000" w:firstRow="0" w:lastRow="0" w:firstColumn="0" w:lastColumn="0" w:oddVBand="0" w:evenVBand="0" w:oddHBand="1" w:evenHBand="0" w:firstRowFirstColumn="0" w:firstRowLastColumn="0" w:lastRowFirstColumn="0" w:lastRowLastColumn="0"/>
              <w:rPr>
                <w:lang w:val="en-AU"/>
              </w:rPr>
            </w:pPr>
            <w:r>
              <w:rPr>
                <w:lang w:val="en-AU"/>
              </w:rPr>
              <w:t>DFAT and the World Bank to i</w:t>
            </w:r>
            <w:r w:rsidR="00195437">
              <w:rPr>
                <w:lang w:val="en-AU"/>
              </w:rPr>
              <w:t xml:space="preserve">dentify opportunities </w:t>
            </w:r>
            <w:r w:rsidR="009941E9">
              <w:rPr>
                <w:lang w:val="en-AU"/>
              </w:rPr>
              <w:t>for</w:t>
            </w:r>
            <w:r w:rsidR="00195437">
              <w:rPr>
                <w:lang w:val="en-AU"/>
              </w:rPr>
              <w:t xml:space="preserve"> </w:t>
            </w:r>
            <w:r>
              <w:rPr>
                <w:lang w:val="en-AU"/>
              </w:rPr>
              <w:t xml:space="preserve">enhancing </w:t>
            </w:r>
            <w:r w:rsidR="009941E9">
              <w:rPr>
                <w:lang w:val="en-AU"/>
              </w:rPr>
              <w:t xml:space="preserve">links and knowledge sharing </w:t>
            </w:r>
            <w:r w:rsidR="00195437">
              <w:rPr>
                <w:lang w:val="en-AU"/>
              </w:rPr>
              <w:t xml:space="preserve">with </w:t>
            </w:r>
            <w:r>
              <w:rPr>
                <w:lang w:val="en-AU"/>
              </w:rPr>
              <w:t xml:space="preserve">relevant </w:t>
            </w:r>
            <w:r w:rsidR="00195437">
              <w:rPr>
                <w:lang w:val="en-AU"/>
              </w:rPr>
              <w:t>regional investments, including during missions to Vietnam.</w:t>
            </w:r>
          </w:p>
        </w:tc>
        <w:tc>
          <w:tcPr>
            <w:tcW w:w="1275" w:type="dxa"/>
          </w:tcPr>
          <w:p w14:paraId="5BC1D024" w14:textId="6E9895EB" w:rsidR="008E397A" w:rsidRPr="000325F7" w:rsidRDefault="00195437" w:rsidP="003202AA">
            <w:pPr>
              <w:keepNext/>
              <w:keepLines/>
              <w:cnfStyle w:val="000000100000" w:firstRow="0" w:lastRow="0" w:firstColumn="0" w:lastColumn="0" w:oddVBand="0" w:evenVBand="0" w:oddHBand="1" w:evenHBand="0" w:firstRowFirstColumn="0" w:firstRowLastColumn="0" w:lastRowFirstColumn="0" w:lastRowLastColumn="0"/>
              <w:rPr>
                <w:lang w:val="en-AU"/>
              </w:rPr>
            </w:pPr>
            <w:r w:rsidRPr="000325F7">
              <w:rPr>
                <w:lang w:val="en-AU"/>
              </w:rPr>
              <w:t>Ongoing</w:t>
            </w:r>
          </w:p>
        </w:tc>
      </w:tr>
      <w:bookmarkEnd w:id="0"/>
    </w:tbl>
    <w:p w14:paraId="6CD5609B" w14:textId="1EBCAF43" w:rsidR="00C10415" w:rsidRPr="00C10415" w:rsidRDefault="00C10415" w:rsidP="00C10415">
      <w:pPr>
        <w:rPr>
          <w:lang w:val="en-AU"/>
        </w:rPr>
      </w:pPr>
    </w:p>
    <w:sectPr w:rsidR="00C10415" w:rsidRPr="00C10415" w:rsidSect="00490A00">
      <w:pgSz w:w="16838" w:h="11906" w:orient="landscape" w:code="9"/>
      <w:pgMar w:top="1134" w:right="1985" w:bottom="1134" w:left="1701"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FA7C9" w16cid:durableId="219481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0E63" w14:textId="77777777" w:rsidR="007451B9" w:rsidRDefault="007451B9" w:rsidP="003A5358">
      <w:r>
        <w:separator/>
      </w:r>
    </w:p>
  </w:endnote>
  <w:endnote w:type="continuationSeparator" w:id="0">
    <w:p w14:paraId="317ED4A6" w14:textId="77777777" w:rsidR="007451B9" w:rsidRDefault="007451B9"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441B" w14:textId="77777777" w:rsidR="00E20CB2" w:rsidRDefault="00E20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5DC0" w14:textId="77777777" w:rsidR="007451B9" w:rsidRDefault="007451B9" w:rsidP="00057479">
    <w:pPr>
      <w:pStyle w:val="Classification"/>
    </w:pPr>
    <w:r>
      <w:rPr>
        <w:noProof/>
        <w:lang w:val="en-AU" w:eastAsia="en-AU"/>
      </w:rPr>
      <w:drawing>
        <wp:anchor distT="0" distB="0" distL="114300" distR="114300" simplePos="0" relativeHeight="251657216" behindDoc="1" locked="0" layoutInCell="1" allowOverlap="1" wp14:anchorId="232EE034" wp14:editId="585BDE84">
          <wp:simplePos x="0" y="0"/>
          <wp:positionH relativeFrom="page">
            <wp:posOffset>723900</wp:posOffset>
          </wp:positionH>
          <wp:positionV relativeFrom="page">
            <wp:posOffset>10156190</wp:posOffset>
          </wp:positionV>
          <wp:extent cx="6119495" cy="382270"/>
          <wp:effectExtent l="0" t="0" r="0" b="0"/>
          <wp:wrapNone/>
          <wp:docPr id="1" name="Picture 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7F9B3E03" w:rsidR="007451B9" w:rsidRDefault="007451B9"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E20CB2">
      <w:rPr>
        <w:rStyle w:val="PageNumber"/>
        <w:noProof/>
      </w:rPr>
      <w:t>6</w:t>
    </w:r>
    <w:r w:rsidRPr="00B92E1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DB2F" w14:textId="2CBD5AD5" w:rsidR="007451B9" w:rsidRDefault="007451B9" w:rsidP="003A5358">
    <w:pPr>
      <w:pStyle w:val="Footer"/>
    </w:pPr>
    <w:r>
      <w:rPr>
        <w:noProof/>
        <w:lang w:val="en-AU" w:eastAsia="en-AU"/>
      </w:rPr>
      <w:drawing>
        <wp:anchor distT="0" distB="0" distL="114300" distR="114300" simplePos="0" relativeHeight="251663360" behindDoc="1" locked="0" layoutInCell="1" allowOverlap="1" wp14:anchorId="0BC4A3D8" wp14:editId="11CE5A2E">
          <wp:simplePos x="0" y="0"/>
          <wp:positionH relativeFrom="page">
            <wp:posOffset>723900</wp:posOffset>
          </wp:positionH>
          <wp:positionV relativeFrom="page">
            <wp:posOffset>10149840</wp:posOffset>
          </wp:positionV>
          <wp:extent cx="6119495" cy="382270"/>
          <wp:effectExtent l="0" t="0" r="0" b="0"/>
          <wp:wrapNone/>
          <wp:docPr id="2" name="Picture 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E20CB2">
      <w:rPr>
        <w:rStyle w:val="PageNumber"/>
        <w:noProof/>
      </w:rPr>
      <w:t>2</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E0E" w14:textId="77777777" w:rsidR="007451B9" w:rsidRPr="008C5A0E" w:rsidRDefault="007451B9" w:rsidP="003A5358">
      <w:pPr>
        <w:pStyle w:val="FootnoteSeparator"/>
      </w:pPr>
    </w:p>
  </w:footnote>
  <w:footnote w:type="continuationSeparator" w:id="0">
    <w:p w14:paraId="161ED927" w14:textId="77777777" w:rsidR="007451B9" w:rsidRDefault="007451B9"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3B78" w14:textId="77777777" w:rsidR="00E20CB2" w:rsidRDefault="00E20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C167" w14:textId="77777777" w:rsidR="00E20CB2" w:rsidRDefault="00E20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07F1" w14:textId="77777777" w:rsidR="00E20CB2" w:rsidRDefault="00E20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8E8E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16F49"/>
    <w:multiLevelType w:val="multilevel"/>
    <w:tmpl w:val="3BBAD900"/>
    <w:numStyleLink w:val="HeadingsList"/>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8"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9" w15:restartNumberingAfterBreak="0">
    <w:nsid w:val="19D53C10"/>
    <w:multiLevelType w:val="hybridMultilevel"/>
    <w:tmpl w:val="097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8A032C"/>
    <w:multiLevelType w:val="multilevel"/>
    <w:tmpl w:val="A596F316"/>
    <w:lvl w:ilvl="0">
      <w:start w:val="5"/>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1" w15:restartNumberingAfterBreak="0">
    <w:nsid w:val="27551520"/>
    <w:multiLevelType w:val="hybridMultilevel"/>
    <w:tmpl w:val="873A4248"/>
    <w:lvl w:ilvl="0" w:tplc="544C637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D293B33"/>
    <w:multiLevelType w:val="multilevel"/>
    <w:tmpl w:val="D7928860"/>
    <w:lvl w:ilvl="0">
      <w:start w:val="3"/>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4" w15:restartNumberingAfterBreak="0">
    <w:nsid w:val="2E4411E9"/>
    <w:multiLevelType w:val="hybridMultilevel"/>
    <w:tmpl w:val="454CFFDE"/>
    <w:lvl w:ilvl="0" w:tplc="10C6C948">
      <w:start w:val="1"/>
      <w:numFmt w:val="bullet"/>
      <w:lvlText w:val="›"/>
      <w:lvlJc w:val="left"/>
      <w:pPr>
        <w:ind w:left="644" w:hanging="360"/>
      </w:pPr>
      <w:rPr>
        <w:rFonts w:ascii="Times New Roman" w:hAnsi="Times New Roman" w:cs="Times New Roman" w:hint="default"/>
        <w:color w:val="auto"/>
        <w:position w:val="3"/>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45C714C"/>
    <w:multiLevelType w:val="multilevel"/>
    <w:tmpl w:val="C2A4A27A"/>
    <w:lvl w:ilvl="0">
      <w:start w:val="3"/>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6" w15:restartNumberingAfterBreak="0">
    <w:nsid w:val="354554D2"/>
    <w:multiLevelType w:val="multilevel"/>
    <w:tmpl w:val="99329DE8"/>
    <w:lvl w:ilvl="0">
      <w:start w:val="1"/>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7" w15:restartNumberingAfterBreak="0">
    <w:nsid w:val="379A4F89"/>
    <w:multiLevelType w:val="multilevel"/>
    <w:tmpl w:val="F7343694"/>
    <w:lvl w:ilvl="0">
      <w:start w:val="7"/>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8" w15:restartNumberingAfterBreak="0">
    <w:nsid w:val="382D65A6"/>
    <w:multiLevelType w:val="hybridMultilevel"/>
    <w:tmpl w:val="1CCC2E9A"/>
    <w:lvl w:ilvl="0" w:tplc="4ED0F158">
      <w:start w:val="1"/>
      <w:numFmt w:val="decimal"/>
      <w:lvlText w:val="%1."/>
      <w:lvlJc w:val="left"/>
      <w:pPr>
        <w:tabs>
          <w:tab w:val="num" w:pos="284"/>
        </w:tabs>
        <w:ind w:left="284"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3D2E2A"/>
    <w:multiLevelType w:val="hybridMultilevel"/>
    <w:tmpl w:val="A3B28E8E"/>
    <w:lvl w:ilvl="0" w:tplc="A6905894">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9383E"/>
    <w:multiLevelType w:val="hybridMultilevel"/>
    <w:tmpl w:val="9C26C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55175E"/>
    <w:multiLevelType w:val="hybridMultilevel"/>
    <w:tmpl w:val="7C60D036"/>
    <w:lvl w:ilvl="0" w:tplc="67A0F962">
      <w:start w:val="1"/>
      <w:numFmt w:val="bullet"/>
      <w:lvlText w:val="›"/>
      <w:lvlJc w:val="left"/>
      <w:pPr>
        <w:ind w:left="360" w:hanging="360"/>
      </w:pPr>
      <w:rPr>
        <w:rFonts w:ascii="Times New Roman" w:hAnsi="Times New Roman" w:cs="Times New Roman" w:hint="default"/>
        <w:color w:val="495965" w:themeColor="text2"/>
        <w:position w:val="3"/>
        <w:sz w:val="20"/>
      </w:rPr>
    </w:lvl>
    <w:lvl w:ilvl="1" w:tplc="1A2699C0">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7FE20D0"/>
    <w:multiLevelType w:val="multilevel"/>
    <w:tmpl w:val="045824A0"/>
    <w:lvl w:ilvl="0">
      <w:start w:val="2"/>
      <w:numFmt w:val="decimal"/>
      <w:lvlText w:val="%1"/>
      <w:lvlJc w:val="left"/>
      <w:pPr>
        <w:ind w:left="570" w:hanging="570"/>
      </w:pPr>
    </w:lvl>
    <w:lvl w:ilvl="1">
      <w:start w:val="5"/>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F6927AC"/>
    <w:multiLevelType w:val="multilevel"/>
    <w:tmpl w:val="6E589274"/>
    <w:lvl w:ilvl="0">
      <w:start w:val="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4" w15:restartNumberingAfterBreak="0">
    <w:nsid w:val="5034339B"/>
    <w:multiLevelType w:val="multilevel"/>
    <w:tmpl w:val="A1B2A38C"/>
    <w:lvl w:ilvl="0">
      <w:start w:val="2"/>
      <w:numFmt w:val="decimal"/>
      <w:lvlText w:val="%1"/>
      <w:lvlJc w:val="left"/>
      <w:pPr>
        <w:ind w:left="480" w:hanging="48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5" w15:restartNumberingAfterBreak="0">
    <w:nsid w:val="50713C76"/>
    <w:multiLevelType w:val="multilevel"/>
    <w:tmpl w:val="3BBAD900"/>
    <w:numStyleLink w:val="HeadingsList"/>
  </w:abstractNum>
  <w:abstractNum w:abstractNumId="26" w15:restartNumberingAfterBreak="0">
    <w:nsid w:val="557778BA"/>
    <w:multiLevelType w:val="multilevel"/>
    <w:tmpl w:val="A858D2C8"/>
    <w:lvl w:ilvl="0">
      <w:start w:val="2"/>
      <w:numFmt w:val="decimal"/>
      <w:lvlText w:val="%1"/>
      <w:lvlJc w:val="left"/>
      <w:pPr>
        <w:ind w:left="465" w:hanging="465"/>
      </w:pPr>
    </w:lvl>
    <w:lvl w:ilvl="1">
      <w:start w:val="4"/>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97C2646"/>
    <w:multiLevelType w:val="multilevel"/>
    <w:tmpl w:val="A1E68DEC"/>
    <w:lvl w:ilvl="0">
      <w:start w:val="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9"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D3C1EA7"/>
    <w:multiLevelType w:val="multilevel"/>
    <w:tmpl w:val="43428892"/>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5D56043A"/>
    <w:multiLevelType w:val="multilevel"/>
    <w:tmpl w:val="69AEB596"/>
    <w:numStyleLink w:val="BulletsList"/>
  </w:abstractNum>
  <w:abstractNum w:abstractNumId="32" w15:restartNumberingAfterBreak="0">
    <w:nsid w:val="5D652FC4"/>
    <w:multiLevelType w:val="multilevel"/>
    <w:tmpl w:val="3BBAD900"/>
    <w:numStyleLink w:val="HeadingsList"/>
  </w:abstractNum>
  <w:abstractNum w:abstractNumId="3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75C7E"/>
    <w:multiLevelType w:val="hybridMultilevel"/>
    <w:tmpl w:val="161442FC"/>
    <w:lvl w:ilvl="0" w:tplc="B2F28E0E">
      <w:start w:val="6"/>
      <w:numFmt w:val="bullet"/>
      <w:lvlText w:val=""/>
      <w:lvlJc w:val="left"/>
      <w:pPr>
        <w:ind w:left="720" w:hanging="360"/>
      </w:pPr>
      <w:rPr>
        <w:rFonts w:ascii="Symbol" w:eastAsia="Times New Roman" w:hAnsi="Symbol" w:hint="default"/>
        <w:sz w:val="16"/>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8346301"/>
    <w:multiLevelType w:val="multilevel"/>
    <w:tmpl w:val="D6BEBBBE"/>
    <w:lvl w:ilvl="0">
      <w:start w:val="3"/>
      <w:numFmt w:val="decimal"/>
      <w:lvlText w:val="%1"/>
      <w:lvlJc w:val="left"/>
      <w:pPr>
        <w:ind w:left="555" w:hanging="55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C0E2ABC"/>
    <w:multiLevelType w:val="multilevel"/>
    <w:tmpl w:val="3BBAD900"/>
    <w:numStyleLink w:val="HeadingsList"/>
  </w:abstractNum>
  <w:abstractNum w:abstractNumId="38" w15:restartNumberingAfterBreak="0">
    <w:nsid w:val="70F1197E"/>
    <w:multiLevelType w:val="multilevel"/>
    <w:tmpl w:val="1E2CC840"/>
    <w:lvl w:ilvl="0">
      <w:start w:val="7"/>
      <w:numFmt w:val="decimal"/>
      <w:lvlText w:val="%1"/>
      <w:lvlJc w:val="left"/>
      <w:pPr>
        <w:ind w:left="615" w:hanging="615"/>
      </w:pPr>
    </w:lvl>
    <w:lvl w:ilvl="1">
      <w:start w:val="5"/>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0" w15:restartNumberingAfterBreak="0">
    <w:nsid w:val="744A7AEF"/>
    <w:multiLevelType w:val="multilevel"/>
    <w:tmpl w:val="3BBAD900"/>
    <w:numStyleLink w:val="HeadingsList"/>
  </w:abstractNum>
  <w:abstractNum w:abstractNumId="41"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9935C87"/>
    <w:multiLevelType w:val="multilevel"/>
    <w:tmpl w:val="9550C8C0"/>
    <w:lvl w:ilvl="0">
      <w:start w:val="2"/>
      <w:numFmt w:val="decimal"/>
      <w:lvlText w:val="%1"/>
      <w:lvlJc w:val="left"/>
      <w:pPr>
        <w:ind w:left="480" w:hanging="48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43" w15:restartNumberingAfterBreak="0">
    <w:nsid w:val="7F650A15"/>
    <w:multiLevelType w:val="multilevel"/>
    <w:tmpl w:val="F67CBCCE"/>
    <w:lvl w:ilvl="0">
      <w:start w:val="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num w:numId="1">
    <w:abstractNumId w:val="39"/>
  </w:num>
  <w:num w:numId="2">
    <w:abstractNumId w:val="2"/>
  </w:num>
  <w:num w:numId="3">
    <w:abstractNumId w:val="12"/>
  </w:num>
  <w:num w:numId="4">
    <w:abstractNumId w:val="27"/>
  </w:num>
  <w:num w:numId="5">
    <w:abstractNumId w:val="33"/>
  </w:num>
  <w:num w:numId="6">
    <w:abstractNumId w:val="2"/>
  </w:num>
  <w:num w:numId="7">
    <w:abstractNumId w:val="6"/>
  </w:num>
  <w:num w:numId="8">
    <w:abstractNumId w:val="4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25"/>
  </w:num>
  <w:num w:numId="37">
    <w:abstractNumId w:val="32"/>
  </w:num>
  <w:num w:numId="38">
    <w:abstractNumId w:val="5"/>
  </w:num>
  <w:num w:numId="39">
    <w:abstractNumId w:val="40"/>
  </w:num>
  <w:num w:numId="40">
    <w:abstractNumId w:val="37"/>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0"/>
  </w:num>
  <w:num w:numId="47">
    <w:abstractNumId w:val="30"/>
  </w:num>
  <w:num w:numId="48">
    <w:abstractNumId w:val="20"/>
  </w:num>
  <w:num w:numId="49">
    <w:abstractNumId w:val="19"/>
  </w:num>
  <w:num w:numId="5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F6"/>
    <w:rsid w:val="00013BD5"/>
    <w:rsid w:val="00013F0E"/>
    <w:rsid w:val="0001666A"/>
    <w:rsid w:val="0001758F"/>
    <w:rsid w:val="0002080A"/>
    <w:rsid w:val="0002336C"/>
    <w:rsid w:val="00025D1E"/>
    <w:rsid w:val="00027287"/>
    <w:rsid w:val="0002782F"/>
    <w:rsid w:val="000325F7"/>
    <w:rsid w:val="000356C3"/>
    <w:rsid w:val="00040A8B"/>
    <w:rsid w:val="00047307"/>
    <w:rsid w:val="000524C5"/>
    <w:rsid w:val="00054E4D"/>
    <w:rsid w:val="000562ED"/>
    <w:rsid w:val="00057479"/>
    <w:rsid w:val="00060073"/>
    <w:rsid w:val="00061316"/>
    <w:rsid w:val="00064004"/>
    <w:rsid w:val="00067916"/>
    <w:rsid w:val="0007727F"/>
    <w:rsid w:val="000972FD"/>
    <w:rsid w:val="000A7FA1"/>
    <w:rsid w:val="000B3155"/>
    <w:rsid w:val="000B321A"/>
    <w:rsid w:val="000B5035"/>
    <w:rsid w:val="000B53E4"/>
    <w:rsid w:val="000C3638"/>
    <w:rsid w:val="000D53CF"/>
    <w:rsid w:val="000E22DA"/>
    <w:rsid w:val="000E79F6"/>
    <w:rsid w:val="000F12F0"/>
    <w:rsid w:val="000F2A97"/>
    <w:rsid w:val="00101A68"/>
    <w:rsid w:val="00105094"/>
    <w:rsid w:val="001055F8"/>
    <w:rsid w:val="0011276D"/>
    <w:rsid w:val="001250CF"/>
    <w:rsid w:val="00125E4E"/>
    <w:rsid w:val="0013615E"/>
    <w:rsid w:val="00141E3E"/>
    <w:rsid w:val="00146016"/>
    <w:rsid w:val="0015356B"/>
    <w:rsid w:val="001541EA"/>
    <w:rsid w:val="00156A3D"/>
    <w:rsid w:val="00157C34"/>
    <w:rsid w:val="00157CF5"/>
    <w:rsid w:val="00176E78"/>
    <w:rsid w:val="00177828"/>
    <w:rsid w:val="00190DE7"/>
    <w:rsid w:val="00195437"/>
    <w:rsid w:val="00196DE3"/>
    <w:rsid w:val="001A79DE"/>
    <w:rsid w:val="001B0068"/>
    <w:rsid w:val="001B2CBE"/>
    <w:rsid w:val="001C013B"/>
    <w:rsid w:val="001C2CE5"/>
    <w:rsid w:val="001C5C4C"/>
    <w:rsid w:val="001C7935"/>
    <w:rsid w:val="001D36D7"/>
    <w:rsid w:val="001D4767"/>
    <w:rsid w:val="001D663E"/>
    <w:rsid w:val="001E0D37"/>
    <w:rsid w:val="001E1DC0"/>
    <w:rsid w:val="001E23F8"/>
    <w:rsid w:val="00203BF7"/>
    <w:rsid w:val="0022167B"/>
    <w:rsid w:val="0022186C"/>
    <w:rsid w:val="0023481D"/>
    <w:rsid w:val="00234A59"/>
    <w:rsid w:val="00235580"/>
    <w:rsid w:val="00240892"/>
    <w:rsid w:val="0024653B"/>
    <w:rsid w:val="002531F5"/>
    <w:rsid w:val="00253405"/>
    <w:rsid w:val="002573DB"/>
    <w:rsid w:val="00260099"/>
    <w:rsid w:val="002607B0"/>
    <w:rsid w:val="00261C5A"/>
    <w:rsid w:val="00271503"/>
    <w:rsid w:val="00272B56"/>
    <w:rsid w:val="002743D4"/>
    <w:rsid w:val="00276B76"/>
    <w:rsid w:val="00283EFE"/>
    <w:rsid w:val="0028602A"/>
    <w:rsid w:val="00286EDD"/>
    <w:rsid w:val="002921CE"/>
    <w:rsid w:val="0029542A"/>
    <w:rsid w:val="002B1079"/>
    <w:rsid w:val="002B22C4"/>
    <w:rsid w:val="002B3E70"/>
    <w:rsid w:val="002C0C6F"/>
    <w:rsid w:val="002C1EB6"/>
    <w:rsid w:val="002C669F"/>
    <w:rsid w:val="002D43C3"/>
    <w:rsid w:val="002D484F"/>
    <w:rsid w:val="002D5825"/>
    <w:rsid w:val="002F0308"/>
    <w:rsid w:val="002F1BDC"/>
    <w:rsid w:val="002F782D"/>
    <w:rsid w:val="003002C0"/>
    <w:rsid w:val="00301144"/>
    <w:rsid w:val="00302E4B"/>
    <w:rsid w:val="0031097F"/>
    <w:rsid w:val="00313EA2"/>
    <w:rsid w:val="0031432C"/>
    <w:rsid w:val="003148B7"/>
    <w:rsid w:val="003158C3"/>
    <w:rsid w:val="00317188"/>
    <w:rsid w:val="003202AA"/>
    <w:rsid w:val="003274CD"/>
    <w:rsid w:val="00332FA2"/>
    <w:rsid w:val="00333501"/>
    <w:rsid w:val="00337B31"/>
    <w:rsid w:val="00337D35"/>
    <w:rsid w:val="00337ECC"/>
    <w:rsid w:val="00342A16"/>
    <w:rsid w:val="00343E2A"/>
    <w:rsid w:val="003457C4"/>
    <w:rsid w:val="003508A8"/>
    <w:rsid w:val="0035119D"/>
    <w:rsid w:val="0035513B"/>
    <w:rsid w:val="00355610"/>
    <w:rsid w:val="003567C7"/>
    <w:rsid w:val="003568C9"/>
    <w:rsid w:val="00363B3C"/>
    <w:rsid w:val="003653B1"/>
    <w:rsid w:val="00367856"/>
    <w:rsid w:val="00383B26"/>
    <w:rsid w:val="00392BFF"/>
    <w:rsid w:val="003A5358"/>
    <w:rsid w:val="003A5CD1"/>
    <w:rsid w:val="003B4F12"/>
    <w:rsid w:val="003B7805"/>
    <w:rsid w:val="003D4F79"/>
    <w:rsid w:val="003D7D08"/>
    <w:rsid w:val="003D7F56"/>
    <w:rsid w:val="003E038E"/>
    <w:rsid w:val="003E0442"/>
    <w:rsid w:val="003E32FA"/>
    <w:rsid w:val="003F163B"/>
    <w:rsid w:val="003F2F48"/>
    <w:rsid w:val="003F3DE0"/>
    <w:rsid w:val="003F525E"/>
    <w:rsid w:val="0041430C"/>
    <w:rsid w:val="004144E9"/>
    <w:rsid w:val="004203A3"/>
    <w:rsid w:val="0042098F"/>
    <w:rsid w:val="004215E7"/>
    <w:rsid w:val="004230ED"/>
    <w:rsid w:val="00423F31"/>
    <w:rsid w:val="0042455D"/>
    <w:rsid w:val="00425CB9"/>
    <w:rsid w:val="00426C51"/>
    <w:rsid w:val="004270F9"/>
    <w:rsid w:val="00427B4D"/>
    <w:rsid w:val="00431899"/>
    <w:rsid w:val="00436291"/>
    <w:rsid w:val="00437A5A"/>
    <w:rsid w:val="00467695"/>
    <w:rsid w:val="0047483B"/>
    <w:rsid w:val="0047491E"/>
    <w:rsid w:val="004778BE"/>
    <w:rsid w:val="0048174A"/>
    <w:rsid w:val="00481CA0"/>
    <w:rsid w:val="00486804"/>
    <w:rsid w:val="00486BA0"/>
    <w:rsid w:val="00490A00"/>
    <w:rsid w:val="004943B2"/>
    <w:rsid w:val="00495F8E"/>
    <w:rsid w:val="004971E7"/>
    <w:rsid w:val="004A3947"/>
    <w:rsid w:val="004B3775"/>
    <w:rsid w:val="004D0AEE"/>
    <w:rsid w:val="004D336E"/>
    <w:rsid w:val="004D633C"/>
    <w:rsid w:val="004E058F"/>
    <w:rsid w:val="004E3B87"/>
    <w:rsid w:val="004E7E9F"/>
    <w:rsid w:val="004F2CEC"/>
    <w:rsid w:val="00501EA3"/>
    <w:rsid w:val="0050405D"/>
    <w:rsid w:val="00505440"/>
    <w:rsid w:val="00510921"/>
    <w:rsid w:val="00510AD3"/>
    <w:rsid w:val="00513348"/>
    <w:rsid w:val="00521B2A"/>
    <w:rsid w:val="005339C7"/>
    <w:rsid w:val="00533B5D"/>
    <w:rsid w:val="00534683"/>
    <w:rsid w:val="00534BE6"/>
    <w:rsid w:val="00536F42"/>
    <w:rsid w:val="00552BFE"/>
    <w:rsid w:val="005536C4"/>
    <w:rsid w:val="0056172E"/>
    <w:rsid w:val="0057225D"/>
    <w:rsid w:val="00580BDB"/>
    <w:rsid w:val="0058458D"/>
    <w:rsid w:val="0058530D"/>
    <w:rsid w:val="00596DED"/>
    <w:rsid w:val="005A3526"/>
    <w:rsid w:val="005B583F"/>
    <w:rsid w:val="005B6D90"/>
    <w:rsid w:val="005C18AC"/>
    <w:rsid w:val="005C4B23"/>
    <w:rsid w:val="005C70FA"/>
    <w:rsid w:val="005D0990"/>
    <w:rsid w:val="005D1E4D"/>
    <w:rsid w:val="005D6697"/>
    <w:rsid w:val="005E295B"/>
    <w:rsid w:val="005F0701"/>
    <w:rsid w:val="005F1D57"/>
    <w:rsid w:val="00617926"/>
    <w:rsid w:val="006222A8"/>
    <w:rsid w:val="00623BA1"/>
    <w:rsid w:val="00627558"/>
    <w:rsid w:val="006346BC"/>
    <w:rsid w:val="00655169"/>
    <w:rsid w:val="0065749D"/>
    <w:rsid w:val="00660AF5"/>
    <w:rsid w:val="00661748"/>
    <w:rsid w:val="00663BB9"/>
    <w:rsid w:val="0066652A"/>
    <w:rsid w:val="00682167"/>
    <w:rsid w:val="00686E76"/>
    <w:rsid w:val="00687B3B"/>
    <w:rsid w:val="006922D7"/>
    <w:rsid w:val="006955FB"/>
    <w:rsid w:val="006975BB"/>
    <w:rsid w:val="006B0E2A"/>
    <w:rsid w:val="006C3042"/>
    <w:rsid w:val="006C42AF"/>
    <w:rsid w:val="006C483E"/>
    <w:rsid w:val="006D24EF"/>
    <w:rsid w:val="006D3831"/>
    <w:rsid w:val="006E2A12"/>
    <w:rsid w:val="006F0606"/>
    <w:rsid w:val="006F682D"/>
    <w:rsid w:val="00700B3A"/>
    <w:rsid w:val="00706FDE"/>
    <w:rsid w:val="007071DB"/>
    <w:rsid w:val="0071086E"/>
    <w:rsid w:val="00710AC4"/>
    <w:rsid w:val="00711D8E"/>
    <w:rsid w:val="00712672"/>
    <w:rsid w:val="007217E9"/>
    <w:rsid w:val="007217FC"/>
    <w:rsid w:val="0072681F"/>
    <w:rsid w:val="00731A39"/>
    <w:rsid w:val="00732311"/>
    <w:rsid w:val="00732CA1"/>
    <w:rsid w:val="00734E3F"/>
    <w:rsid w:val="00736985"/>
    <w:rsid w:val="007439B7"/>
    <w:rsid w:val="007451B9"/>
    <w:rsid w:val="00745DF5"/>
    <w:rsid w:val="00750DBA"/>
    <w:rsid w:val="007538A5"/>
    <w:rsid w:val="00756044"/>
    <w:rsid w:val="0075794C"/>
    <w:rsid w:val="00761FBB"/>
    <w:rsid w:val="00774489"/>
    <w:rsid w:val="00777391"/>
    <w:rsid w:val="007806BC"/>
    <w:rsid w:val="00785854"/>
    <w:rsid w:val="007903D7"/>
    <w:rsid w:val="00794DDF"/>
    <w:rsid w:val="00794E78"/>
    <w:rsid w:val="0079738A"/>
    <w:rsid w:val="007A011C"/>
    <w:rsid w:val="007A34B5"/>
    <w:rsid w:val="007A55A4"/>
    <w:rsid w:val="007A7373"/>
    <w:rsid w:val="007B42BF"/>
    <w:rsid w:val="007B6200"/>
    <w:rsid w:val="007B634D"/>
    <w:rsid w:val="007C42D8"/>
    <w:rsid w:val="007D5DCF"/>
    <w:rsid w:val="007D60CC"/>
    <w:rsid w:val="007E2357"/>
    <w:rsid w:val="007E2535"/>
    <w:rsid w:val="007E3380"/>
    <w:rsid w:val="007F3395"/>
    <w:rsid w:val="007F3779"/>
    <w:rsid w:val="00801B9F"/>
    <w:rsid w:val="00806503"/>
    <w:rsid w:val="00806757"/>
    <w:rsid w:val="00823FC8"/>
    <w:rsid w:val="0082741E"/>
    <w:rsid w:val="00834336"/>
    <w:rsid w:val="00840942"/>
    <w:rsid w:val="0085011E"/>
    <w:rsid w:val="00875F79"/>
    <w:rsid w:val="008830D2"/>
    <w:rsid w:val="00892441"/>
    <w:rsid w:val="00893C87"/>
    <w:rsid w:val="008A0512"/>
    <w:rsid w:val="008A217A"/>
    <w:rsid w:val="008A2D70"/>
    <w:rsid w:val="008B1BEA"/>
    <w:rsid w:val="008B24F6"/>
    <w:rsid w:val="008B3A67"/>
    <w:rsid w:val="008C455D"/>
    <w:rsid w:val="008C4CCD"/>
    <w:rsid w:val="008C5A0E"/>
    <w:rsid w:val="008E032F"/>
    <w:rsid w:val="008E397A"/>
    <w:rsid w:val="008F4066"/>
    <w:rsid w:val="008F4A4D"/>
    <w:rsid w:val="008F516A"/>
    <w:rsid w:val="009057EA"/>
    <w:rsid w:val="0090699F"/>
    <w:rsid w:val="00906E03"/>
    <w:rsid w:val="00920036"/>
    <w:rsid w:val="00924EB1"/>
    <w:rsid w:val="00961895"/>
    <w:rsid w:val="00971905"/>
    <w:rsid w:val="009767DC"/>
    <w:rsid w:val="00982A5F"/>
    <w:rsid w:val="009941E9"/>
    <w:rsid w:val="009946C6"/>
    <w:rsid w:val="009A1EE6"/>
    <w:rsid w:val="009A4CDE"/>
    <w:rsid w:val="009A60A0"/>
    <w:rsid w:val="009B12CA"/>
    <w:rsid w:val="009B4D3B"/>
    <w:rsid w:val="009C0928"/>
    <w:rsid w:val="009C6BCD"/>
    <w:rsid w:val="009C6D70"/>
    <w:rsid w:val="009D3402"/>
    <w:rsid w:val="009D7407"/>
    <w:rsid w:val="009E0866"/>
    <w:rsid w:val="009E25BF"/>
    <w:rsid w:val="009F6423"/>
    <w:rsid w:val="00A02111"/>
    <w:rsid w:val="00A04166"/>
    <w:rsid w:val="00A06BE8"/>
    <w:rsid w:val="00A13E4D"/>
    <w:rsid w:val="00A1561E"/>
    <w:rsid w:val="00A161CD"/>
    <w:rsid w:val="00A24100"/>
    <w:rsid w:val="00A2486C"/>
    <w:rsid w:val="00A24A62"/>
    <w:rsid w:val="00A3022D"/>
    <w:rsid w:val="00A3043C"/>
    <w:rsid w:val="00A31C9F"/>
    <w:rsid w:val="00A33827"/>
    <w:rsid w:val="00A33A72"/>
    <w:rsid w:val="00A35A77"/>
    <w:rsid w:val="00A3732B"/>
    <w:rsid w:val="00A376D2"/>
    <w:rsid w:val="00A4144F"/>
    <w:rsid w:val="00A44AC6"/>
    <w:rsid w:val="00A51B45"/>
    <w:rsid w:val="00A5609A"/>
    <w:rsid w:val="00A61D28"/>
    <w:rsid w:val="00A6241D"/>
    <w:rsid w:val="00A62CC4"/>
    <w:rsid w:val="00A65F96"/>
    <w:rsid w:val="00A745FC"/>
    <w:rsid w:val="00A75A27"/>
    <w:rsid w:val="00A90510"/>
    <w:rsid w:val="00A940AA"/>
    <w:rsid w:val="00AB388E"/>
    <w:rsid w:val="00AC164A"/>
    <w:rsid w:val="00AC4620"/>
    <w:rsid w:val="00AC5C34"/>
    <w:rsid w:val="00AC5DC8"/>
    <w:rsid w:val="00AE3E05"/>
    <w:rsid w:val="00AF2050"/>
    <w:rsid w:val="00AF5A66"/>
    <w:rsid w:val="00AF6D5E"/>
    <w:rsid w:val="00AF6F48"/>
    <w:rsid w:val="00B03CA8"/>
    <w:rsid w:val="00B13B4F"/>
    <w:rsid w:val="00B13C94"/>
    <w:rsid w:val="00B15FC6"/>
    <w:rsid w:val="00B34059"/>
    <w:rsid w:val="00B35911"/>
    <w:rsid w:val="00B50F8E"/>
    <w:rsid w:val="00B55E19"/>
    <w:rsid w:val="00B56EE1"/>
    <w:rsid w:val="00B6075D"/>
    <w:rsid w:val="00B641BF"/>
    <w:rsid w:val="00B66BDC"/>
    <w:rsid w:val="00B6782A"/>
    <w:rsid w:val="00B71158"/>
    <w:rsid w:val="00B76749"/>
    <w:rsid w:val="00B76C71"/>
    <w:rsid w:val="00B851FD"/>
    <w:rsid w:val="00B92E1E"/>
    <w:rsid w:val="00B942A5"/>
    <w:rsid w:val="00BA31A7"/>
    <w:rsid w:val="00BA42E6"/>
    <w:rsid w:val="00BA4B6D"/>
    <w:rsid w:val="00BA5D1A"/>
    <w:rsid w:val="00BA7739"/>
    <w:rsid w:val="00BB19CD"/>
    <w:rsid w:val="00BB26C5"/>
    <w:rsid w:val="00BB3D25"/>
    <w:rsid w:val="00BB567A"/>
    <w:rsid w:val="00BC25E7"/>
    <w:rsid w:val="00BD0B99"/>
    <w:rsid w:val="00BE0891"/>
    <w:rsid w:val="00BE1FFF"/>
    <w:rsid w:val="00BF14D0"/>
    <w:rsid w:val="00BF27EF"/>
    <w:rsid w:val="00BF29D2"/>
    <w:rsid w:val="00BF3A17"/>
    <w:rsid w:val="00BF4DE6"/>
    <w:rsid w:val="00BF57D1"/>
    <w:rsid w:val="00C00C98"/>
    <w:rsid w:val="00C04CAA"/>
    <w:rsid w:val="00C0613F"/>
    <w:rsid w:val="00C10415"/>
    <w:rsid w:val="00C16478"/>
    <w:rsid w:val="00C33A9C"/>
    <w:rsid w:val="00C3731C"/>
    <w:rsid w:val="00C40091"/>
    <w:rsid w:val="00C42CDE"/>
    <w:rsid w:val="00C56C75"/>
    <w:rsid w:val="00C63EE9"/>
    <w:rsid w:val="00C65C11"/>
    <w:rsid w:val="00C86007"/>
    <w:rsid w:val="00C96797"/>
    <w:rsid w:val="00CA37B1"/>
    <w:rsid w:val="00CA6EC9"/>
    <w:rsid w:val="00CB1959"/>
    <w:rsid w:val="00CC08C7"/>
    <w:rsid w:val="00CC18E5"/>
    <w:rsid w:val="00CC431B"/>
    <w:rsid w:val="00CC531A"/>
    <w:rsid w:val="00CD2F34"/>
    <w:rsid w:val="00CD60B1"/>
    <w:rsid w:val="00CE2F1B"/>
    <w:rsid w:val="00CE321B"/>
    <w:rsid w:val="00CF280B"/>
    <w:rsid w:val="00D018D0"/>
    <w:rsid w:val="00D0296C"/>
    <w:rsid w:val="00D042D3"/>
    <w:rsid w:val="00D07E78"/>
    <w:rsid w:val="00D12225"/>
    <w:rsid w:val="00D12D89"/>
    <w:rsid w:val="00D17E7D"/>
    <w:rsid w:val="00D203EB"/>
    <w:rsid w:val="00D2248F"/>
    <w:rsid w:val="00D22A81"/>
    <w:rsid w:val="00D40C15"/>
    <w:rsid w:val="00D41E2A"/>
    <w:rsid w:val="00D44758"/>
    <w:rsid w:val="00D44F25"/>
    <w:rsid w:val="00D500E9"/>
    <w:rsid w:val="00D509F3"/>
    <w:rsid w:val="00D5556A"/>
    <w:rsid w:val="00D57616"/>
    <w:rsid w:val="00D61576"/>
    <w:rsid w:val="00D65170"/>
    <w:rsid w:val="00D73670"/>
    <w:rsid w:val="00D75CBF"/>
    <w:rsid w:val="00D77B00"/>
    <w:rsid w:val="00D9353F"/>
    <w:rsid w:val="00DA024F"/>
    <w:rsid w:val="00DB0239"/>
    <w:rsid w:val="00DB6402"/>
    <w:rsid w:val="00DB792F"/>
    <w:rsid w:val="00DC4DAB"/>
    <w:rsid w:val="00DC5265"/>
    <w:rsid w:val="00DD420C"/>
    <w:rsid w:val="00DD44EA"/>
    <w:rsid w:val="00DF615F"/>
    <w:rsid w:val="00E03461"/>
    <w:rsid w:val="00E03E92"/>
    <w:rsid w:val="00E04AC1"/>
    <w:rsid w:val="00E10987"/>
    <w:rsid w:val="00E1612F"/>
    <w:rsid w:val="00E16D17"/>
    <w:rsid w:val="00E20CB2"/>
    <w:rsid w:val="00E26E94"/>
    <w:rsid w:val="00E3368B"/>
    <w:rsid w:val="00E357B7"/>
    <w:rsid w:val="00E377D5"/>
    <w:rsid w:val="00E37B70"/>
    <w:rsid w:val="00E41B0A"/>
    <w:rsid w:val="00E4629C"/>
    <w:rsid w:val="00E53800"/>
    <w:rsid w:val="00E55AF3"/>
    <w:rsid w:val="00E6081F"/>
    <w:rsid w:val="00E62377"/>
    <w:rsid w:val="00E62925"/>
    <w:rsid w:val="00E6753E"/>
    <w:rsid w:val="00E706A1"/>
    <w:rsid w:val="00E8026F"/>
    <w:rsid w:val="00E82491"/>
    <w:rsid w:val="00E82F47"/>
    <w:rsid w:val="00E839A4"/>
    <w:rsid w:val="00E86EFA"/>
    <w:rsid w:val="00E91D1D"/>
    <w:rsid w:val="00E928D7"/>
    <w:rsid w:val="00E9392A"/>
    <w:rsid w:val="00E97DB2"/>
    <w:rsid w:val="00EA04B2"/>
    <w:rsid w:val="00EA0BCE"/>
    <w:rsid w:val="00EA20F3"/>
    <w:rsid w:val="00EA3CFE"/>
    <w:rsid w:val="00EA5EDD"/>
    <w:rsid w:val="00EA7640"/>
    <w:rsid w:val="00EB6875"/>
    <w:rsid w:val="00EC68B2"/>
    <w:rsid w:val="00ED43D1"/>
    <w:rsid w:val="00ED5255"/>
    <w:rsid w:val="00ED75E2"/>
    <w:rsid w:val="00EE0D33"/>
    <w:rsid w:val="00EE39F6"/>
    <w:rsid w:val="00EE4EE1"/>
    <w:rsid w:val="00EF23EA"/>
    <w:rsid w:val="00EF4574"/>
    <w:rsid w:val="00EF75BF"/>
    <w:rsid w:val="00F001F8"/>
    <w:rsid w:val="00F07A41"/>
    <w:rsid w:val="00F14C4A"/>
    <w:rsid w:val="00F15984"/>
    <w:rsid w:val="00F1611E"/>
    <w:rsid w:val="00F20E5E"/>
    <w:rsid w:val="00F2684E"/>
    <w:rsid w:val="00F42EC2"/>
    <w:rsid w:val="00F44B02"/>
    <w:rsid w:val="00F4791C"/>
    <w:rsid w:val="00F50744"/>
    <w:rsid w:val="00F5404C"/>
    <w:rsid w:val="00F6098C"/>
    <w:rsid w:val="00F62971"/>
    <w:rsid w:val="00F63911"/>
    <w:rsid w:val="00F66D0E"/>
    <w:rsid w:val="00F729EF"/>
    <w:rsid w:val="00F77CAE"/>
    <w:rsid w:val="00F8555B"/>
    <w:rsid w:val="00F958AE"/>
    <w:rsid w:val="00F96BB9"/>
    <w:rsid w:val="00FA6261"/>
    <w:rsid w:val="00FB7242"/>
    <w:rsid w:val="00FC1DEF"/>
    <w:rsid w:val="00FC750D"/>
    <w:rsid w:val="00FD1DF4"/>
    <w:rsid w:val="00FD22B7"/>
    <w:rsid w:val="00FD4C8E"/>
    <w:rsid w:val="00FE6D51"/>
    <w:rsid w:val="00FE7052"/>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34"/>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40"/>
      </w:numPr>
      <w:spacing w:after="60"/>
    </w:pPr>
    <w:rPr>
      <w:bCs/>
    </w:rPr>
  </w:style>
  <w:style w:type="paragraph" w:customStyle="1" w:styleId="Heading3Numbered">
    <w:name w:val="Heading 3 Numbered"/>
    <w:basedOn w:val="Heading3"/>
    <w:next w:val="Normal"/>
    <w:qFormat/>
    <w:rsid w:val="006D3831"/>
    <w:pPr>
      <w:numPr>
        <w:ilvl w:val="2"/>
        <w:numId w:val="40"/>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40"/>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4654">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264E-803C-4757-84F0-8BA698B9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2020-03-04T02:39:00Z</dcterms:created>
  <dcterms:modified xsi:type="dcterms:W3CDTF">2020-03-04T02:39:00Z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24e125e2-93bf-4add-a684-b1226a9fe8a9</vt:lpwstr>
  </property>
  <property fmtid="{D5CDD505-2E9C-101B-9397-08002B2CF9AE}" pid="3" name="SEC">
    <vt:lpwstr>UNCLASSIFIED</vt:lpwstr>
  </property>
  <property fmtid="{D5CDD505-2E9C-101B-9397-08002B2CF9AE}" pid="4" name="DLM">
    <vt:lpwstr>No DLM</vt:lpwstr>
  </property>
</Properties>
</file>