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99" w:rsidRPr="00BE1565"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1F497D" w:themeColor="text2"/>
          <w:sz w:val="40"/>
          <w:lang w:val="en-AU"/>
        </w:rPr>
      </w:pPr>
      <w:bookmarkStart w:id="0" w:name="_GoBack"/>
      <w:bookmarkEnd w:id="0"/>
    </w:p>
    <w:p w:rsidR="000B1D99" w:rsidRPr="00B60280"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1F497D" w:themeColor="text2"/>
          <w:sz w:val="40"/>
        </w:rPr>
      </w:pPr>
    </w:p>
    <w:p w:rsidR="00F07375" w:rsidRDefault="00F7161B" w:rsidP="00F7161B">
      <w:pPr>
        <w:pStyle w:val="DonnasStyle"/>
        <w:jc w:val="center"/>
        <w:rPr>
          <w:b/>
          <w:color w:val="365F91" w:themeColor="accent1" w:themeShade="BF"/>
          <w:sz w:val="52"/>
        </w:rPr>
      </w:pPr>
      <w:r>
        <w:rPr>
          <w:b/>
          <w:color w:val="365F91" w:themeColor="accent1" w:themeShade="BF"/>
          <w:sz w:val="52"/>
        </w:rPr>
        <w:t>Independent Review</w:t>
      </w:r>
      <w:r w:rsidRPr="005E091F">
        <w:rPr>
          <w:b/>
          <w:color w:val="365F91" w:themeColor="accent1" w:themeShade="BF"/>
          <w:sz w:val="52"/>
        </w:rPr>
        <w:t xml:space="preserve"> </w:t>
      </w:r>
    </w:p>
    <w:p w:rsidR="00F7161B" w:rsidRDefault="00F7161B" w:rsidP="00F7161B">
      <w:pPr>
        <w:pStyle w:val="DonnasStyle"/>
        <w:jc w:val="center"/>
        <w:rPr>
          <w:b/>
          <w:i/>
          <w:color w:val="244061" w:themeColor="accent1" w:themeShade="80"/>
          <w:sz w:val="48"/>
        </w:rPr>
      </w:pPr>
      <w:r w:rsidRPr="005D5C38">
        <w:rPr>
          <w:b/>
          <w:i/>
          <w:color w:val="244061" w:themeColor="accent1" w:themeShade="80"/>
          <w:sz w:val="48"/>
        </w:rPr>
        <w:t xml:space="preserve">Vietnam Community-based Climate Change Action Grants </w:t>
      </w:r>
    </w:p>
    <w:p w:rsidR="00F7161B" w:rsidRPr="005D5C38" w:rsidRDefault="00F7161B" w:rsidP="00F7161B">
      <w:pPr>
        <w:pStyle w:val="DonnasStyle"/>
        <w:jc w:val="center"/>
        <w:rPr>
          <w:b/>
          <w:i/>
          <w:color w:val="244061" w:themeColor="accent1" w:themeShade="80"/>
          <w:sz w:val="48"/>
        </w:rPr>
      </w:pPr>
      <w:r w:rsidRPr="005D5C38">
        <w:rPr>
          <w:b/>
          <w:i/>
          <w:color w:val="244061" w:themeColor="accent1" w:themeShade="80"/>
          <w:sz w:val="48"/>
        </w:rPr>
        <w:t>(CCCAG)</w:t>
      </w:r>
    </w:p>
    <w:p w:rsidR="00F7161B" w:rsidRPr="005E091F" w:rsidRDefault="00F7161B" w:rsidP="00F7161B">
      <w:pPr>
        <w:rPr>
          <w:sz w:val="52"/>
        </w:rPr>
      </w:pPr>
    </w:p>
    <w:p w:rsidR="00E438AB" w:rsidRPr="00262EED" w:rsidRDefault="00E0513C" w:rsidP="00262EED">
      <w:pPr>
        <w:pStyle w:val="DonnasStyle"/>
        <w:jc w:val="center"/>
        <w:rPr>
          <w:b/>
          <w:color w:val="365F91" w:themeColor="accent1" w:themeShade="BF"/>
          <w:sz w:val="44"/>
        </w:rPr>
      </w:pPr>
      <w:r>
        <w:rPr>
          <w:b/>
          <w:color w:val="365F91" w:themeColor="accent1" w:themeShade="BF"/>
          <w:sz w:val="44"/>
        </w:rPr>
        <w:t>REPORT</w:t>
      </w:r>
    </w:p>
    <w:p w:rsidR="00730F94" w:rsidRDefault="00E438AB" w:rsidP="00730F94">
      <w:pPr>
        <w:pStyle w:val="DonnasStyle"/>
        <w:jc w:val="center"/>
        <w:rPr>
          <w:color w:val="548DD4" w:themeColor="text2" w:themeTint="99"/>
        </w:rPr>
      </w:pPr>
      <w:r>
        <w:rPr>
          <w:color w:val="548DD4" w:themeColor="text2" w:themeTint="99"/>
        </w:rPr>
        <w:t>April - June, 2014</w:t>
      </w:r>
    </w:p>
    <w:p w:rsidR="000B1D99" w:rsidRPr="00730F94" w:rsidRDefault="000B1D99" w:rsidP="00730F94">
      <w:pPr>
        <w:pStyle w:val="DonnasStyle"/>
        <w:jc w:val="center"/>
        <w:rPr>
          <w:color w:val="548DD4" w:themeColor="text2" w:themeTint="99"/>
        </w:rPr>
      </w:pPr>
    </w:p>
    <w:p w:rsidR="00262EED" w:rsidRDefault="00262EED" w:rsidP="00262EED">
      <w:pPr>
        <w:pStyle w:val="DonnasStyle"/>
        <w:rPr>
          <w:b/>
          <w:color w:val="365F91" w:themeColor="accent1" w:themeShade="BF"/>
        </w:rPr>
      </w:pPr>
      <w:r>
        <w:rPr>
          <w:b/>
          <w:color w:val="365F91" w:themeColor="accent1" w:themeShade="BF"/>
        </w:rPr>
        <w:tab/>
      </w:r>
    </w:p>
    <w:p w:rsidR="00262EED" w:rsidRDefault="00262EED" w:rsidP="00262EED">
      <w:pPr>
        <w:pStyle w:val="DonnasStyle"/>
        <w:rPr>
          <w:b/>
          <w:color w:val="365F91" w:themeColor="accent1" w:themeShade="BF"/>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Default="00262EED" w:rsidP="00262EED">
      <w:pPr>
        <w:pStyle w:val="DonnasStyle"/>
        <w:rPr>
          <w:b/>
          <w:color w:val="365F91" w:themeColor="accent1" w:themeShade="BF"/>
          <w:sz w:val="24"/>
        </w:rPr>
      </w:pPr>
    </w:p>
    <w:p w:rsidR="00262EED" w:rsidRPr="00262EED" w:rsidRDefault="00262EED" w:rsidP="00262EED">
      <w:pPr>
        <w:pStyle w:val="DonnasStyle"/>
        <w:rPr>
          <w:b/>
          <w:color w:val="1F497D" w:themeColor="text2"/>
        </w:rPr>
      </w:pPr>
      <w:r w:rsidRPr="00262EED">
        <w:rPr>
          <w:b/>
          <w:color w:val="1F497D" w:themeColor="text2"/>
        </w:rPr>
        <w:t xml:space="preserve">Author’s Details </w:t>
      </w:r>
    </w:p>
    <w:p w:rsidR="00262EED" w:rsidRDefault="00262EED" w:rsidP="00262EED">
      <w:pPr>
        <w:pStyle w:val="DonnasStyle"/>
      </w:pPr>
      <w:r>
        <w:t>The CCCAG</w:t>
      </w:r>
      <w:r w:rsidRPr="00067769">
        <w:t xml:space="preserve"> Review was undertaken by Donna Leigh Holden</w:t>
      </w:r>
      <w:r>
        <w:t xml:space="preserve">, Ly Phuong, Nguyen Huu Thien and Phil Cohn </w:t>
      </w:r>
      <w:r w:rsidRPr="00067769">
        <w:t xml:space="preserve">who act as Independent Consultants. As such, the views presented are their own and do not necessarily represent the views of </w:t>
      </w:r>
      <w:r>
        <w:t>DFAT</w:t>
      </w:r>
      <w:r w:rsidRPr="00067769">
        <w:t xml:space="preserve"> nor bind it to action</w:t>
      </w:r>
      <w:r>
        <w:t>.</w:t>
      </w:r>
    </w:p>
    <w:p w:rsidR="00262EED" w:rsidRDefault="00262EED" w:rsidP="00262EED">
      <w:pPr>
        <w:pStyle w:val="DonnasStyle"/>
        <w:rPr>
          <w:b/>
          <w:color w:val="244061" w:themeColor="accent1" w:themeShade="80"/>
          <w:sz w:val="24"/>
        </w:rPr>
      </w:pPr>
    </w:p>
    <w:p w:rsidR="00262EED" w:rsidRPr="00262EED" w:rsidRDefault="00262EED" w:rsidP="00262EED">
      <w:pPr>
        <w:pStyle w:val="DonnasStyle"/>
        <w:rPr>
          <w:b/>
          <w:color w:val="1F497D" w:themeColor="text2"/>
        </w:rPr>
      </w:pPr>
      <w:r w:rsidRPr="00262EED">
        <w:rPr>
          <w:b/>
          <w:color w:val="1F497D" w:themeColor="text2"/>
        </w:rPr>
        <w:t xml:space="preserve">Acknowledgments </w:t>
      </w:r>
    </w:p>
    <w:p w:rsidR="00262EED" w:rsidRDefault="00262EED" w:rsidP="00262EED">
      <w:pPr>
        <w:pStyle w:val="DonnasStyle"/>
      </w:pPr>
      <w:r w:rsidRPr="00DE0204">
        <w:t>We wish to thank the DFAT Climate Change Team</w:t>
      </w:r>
      <w:r>
        <w:t>s</w:t>
      </w:r>
      <w:r w:rsidRPr="00DE0204">
        <w:t xml:space="preserve"> in Vietnam and Canberra</w:t>
      </w:r>
      <w:r>
        <w:t>,</w:t>
      </w:r>
      <w:r w:rsidRPr="00DE0204">
        <w:t xml:space="preserve"> AMNEP </w:t>
      </w:r>
      <w:r>
        <w:t xml:space="preserve"> </w:t>
      </w:r>
      <w:r w:rsidRPr="00DE0204">
        <w:t xml:space="preserve">and CCCAG implementing </w:t>
      </w:r>
      <w:r>
        <w:t xml:space="preserve">for your </w:t>
      </w:r>
      <w:r w:rsidRPr="00DE0204">
        <w:rPr>
          <w:lang w:val="en-GB"/>
        </w:rPr>
        <w:t>investment of time in engaging with us, for your insights, reflections and practical responsiveness</w:t>
      </w:r>
      <w:r w:rsidRPr="00DE0204">
        <w:t xml:space="preserve"> throughout the review process. </w:t>
      </w:r>
    </w:p>
    <w:p w:rsidR="00262EED" w:rsidRDefault="00262EED" w:rsidP="00262EED">
      <w:pPr>
        <w:pStyle w:val="DonnasStyle"/>
      </w:pPr>
    </w:p>
    <w:p w:rsidR="00262EED" w:rsidRPr="009A18A4" w:rsidRDefault="00262EED" w:rsidP="00262EED">
      <w:pPr>
        <w:pStyle w:val="DonnasStyle"/>
      </w:pPr>
      <w:r>
        <w:t>Special recognition must be made to the people of Vietnam who have shared their stories, experience, and perceptions. We trust we have done justice to them.</w:t>
      </w:r>
    </w:p>
    <w:p w:rsidR="000B1D99" w:rsidRPr="00E76AD7" w:rsidRDefault="000B1D99" w:rsidP="00730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i/>
          <w:iCs/>
          <w:color w:val="8DB3E2" w:themeColor="text2" w:themeTint="66"/>
          <w:sz w:val="22"/>
        </w:rPr>
      </w:pPr>
      <w:r>
        <w:br w:type="page"/>
      </w:r>
      <w:r w:rsidRPr="00E76AD7">
        <w:rPr>
          <w:rStyle w:val="Heading2Char"/>
          <w:rFonts w:ascii="Century Gothic" w:hAnsi="Century Gothic"/>
          <w:color w:val="8DB3E2" w:themeColor="text2" w:themeTint="66"/>
          <w:sz w:val="22"/>
        </w:rPr>
        <w:lastRenderedPageBreak/>
        <w:t>Aid Activity Summary</w:t>
      </w:r>
    </w:p>
    <w:p w:rsidR="000B1D99" w:rsidRPr="00E868BD" w:rsidRDefault="000B1D99" w:rsidP="000B1D99">
      <w:pPr>
        <w:pStyle w:val="DonnasStyle"/>
      </w:pPr>
    </w:p>
    <w:tbl>
      <w:tblPr>
        <w:tblStyle w:val="TableGrid"/>
        <w:tblW w:w="0" w:type="auto"/>
        <w:tblLook w:val="00A0" w:firstRow="1" w:lastRow="0" w:firstColumn="1" w:lastColumn="0" w:noHBand="0" w:noVBand="0"/>
        <w:tblCaption w:val="Aid Activity Summary table"/>
        <w:tblDescription w:val="AidWorks Initiative number: INK473&#10;Commencement date: 12 March 2012; Completion date: 30 June 2015&#10;Total Australian $: $15million&#10;Delivery organisations: EDF, SNV, Save the Children, Oxfam, CARE, Red Cross&#10;Country/Region: Vietnam&#10;Primary Sector: Climate Change, Disaster Risk Reduction"/>
      </w:tblPr>
      <w:tblGrid>
        <w:gridCol w:w="3085"/>
        <w:gridCol w:w="1985"/>
        <w:gridCol w:w="992"/>
        <w:gridCol w:w="1417"/>
        <w:gridCol w:w="1801"/>
      </w:tblGrid>
      <w:tr w:rsidR="000B1D99" w:rsidTr="00746B24">
        <w:trPr>
          <w:tblHeader/>
        </w:trPr>
        <w:tc>
          <w:tcPr>
            <w:tcW w:w="3085"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99CCFF"/>
          </w:tcPr>
          <w:p w:rsidR="000B1D99" w:rsidRPr="00363F58" w:rsidRDefault="000B1D99" w:rsidP="00FF3107">
            <w:pPr>
              <w:rPr>
                <w:rFonts w:ascii="Century Gothic" w:hAnsi="Century Gothic"/>
                <w:b/>
                <w:sz w:val="20"/>
              </w:rPr>
            </w:pPr>
            <w:r w:rsidRPr="00363F58">
              <w:rPr>
                <w:rFonts w:ascii="Century Gothic" w:hAnsi="Century Gothic"/>
                <w:b/>
                <w:sz w:val="20"/>
              </w:rPr>
              <w:t>Aid Activity Name</w:t>
            </w:r>
          </w:p>
        </w:tc>
        <w:tc>
          <w:tcPr>
            <w:tcW w:w="6195" w:type="dxa"/>
            <w:gridSpan w:val="4"/>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99CCFF"/>
          </w:tcPr>
          <w:p w:rsidR="000B1D99" w:rsidRPr="00363F58" w:rsidRDefault="000B1D99" w:rsidP="00FF3107">
            <w:pPr>
              <w:rPr>
                <w:rFonts w:ascii="Century Gothic" w:hAnsi="Century Gothic"/>
                <w:sz w:val="20"/>
              </w:rPr>
            </w:pPr>
          </w:p>
        </w:tc>
      </w:tr>
      <w:tr w:rsidR="000B1D99">
        <w:tc>
          <w:tcPr>
            <w:tcW w:w="3085" w:type="dxa"/>
            <w:tcBorders>
              <w:top w:val="single" w:sz="4" w:space="0" w:color="215868" w:themeColor="accent5" w:themeShade="80"/>
            </w:tcBorders>
          </w:tcPr>
          <w:p w:rsidR="000B1D99" w:rsidRPr="00363F58" w:rsidRDefault="000B1D99" w:rsidP="00FF3107">
            <w:pPr>
              <w:rPr>
                <w:rFonts w:ascii="Century Gothic" w:hAnsi="Century Gothic"/>
                <w:b/>
                <w:sz w:val="20"/>
              </w:rPr>
            </w:pPr>
          </w:p>
          <w:p w:rsidR="000B1D99" w:rsidRPr="00363F58" w:rsidRDefault="000B1D99" w:rsidP="00FF3107">
            <w:pPr>
              <w:rPr>
                <w:rFonts w:ascii="Century Gothic" w:hAnsi="Century Gothic"/>
                <w:b/>
                <w:sz w:val="20"/>
              </w:rPr>
            </w:pPr>
            <w:r w:rsidRPr="00363F58">
              <w:rPr>
                <w:rFonts w:ascii="Century Gothic" w:hAnsi="Century Gothic"/>
                <w:b/>
                <w:sz w:val="20"/>
              </w:rPr>
              <w:t>AidWorks Initiative Number</w:t>
            </w:r>
          </w:p>
        </w:tc>
        <w:tc>
          <w:tcPr>
            <w:tcW w:w="6195" w:type="dxa"/>
            <w:gridSpan w:val="4"/>
            <w:tcBorders>
              <w:top w:val="single" w:sz="4" w:space="0" w:color="215868" w:themeColor="accent5" w:themeShade="80"/>
            </w:tcBorders>
          </w:tcPr>
          <w:p w:rsidR="000B1D99" w:rsidRPr="00363F58" w:rsidRDefault="000B1D99" w:rsidP="00FF3107">
            <w:pPr>
              <w:rPr>
                <w:rFonts w:ascii="Century Gothic" w:hAnsi="Century Gothic"/>
                <w:sz w:val="20"/>
              </w:rPr>
            </w:pPr>
          </w:p>
          <w:p w:rsidR="000B1D99" w:rsidRPr="00363F58" w:rsidRDefault="000B1D99" w:rsidP="00FF3107">
            <w:pPr>
              <w:rPr>
                <w:rFonts w:ascii="Century Gothic" w:hAnsi="Century Gothic"/>
                <w:sz w:val="20"/>
              </w:rPr>
            </w:pPr>
            <w:r w:rsidRPr="00363F58">
              <w:rPr>
                <w:rFonts w:ascii="Century Gothic" w:hAnsi="Century Gothic"/>
                <w:sz w:val="20"/>
              </w:rPr>
              <w:t>INK473</w:t>
            </w:r>
          </w:p>
          <w:p w:rsidR="000B1D99" w:rsidRPr="00363F58" w:rsidRDefault="000B1D99" w:rsidP="00FF3107">
            <w:pPr>
              <w:rPr>
                <w:rFonts w:ascii="Century Gothic" w:hAnsi="Century Gothic"/>
                <w:sz w:val="20"/>
              </w:rPr>
            </w:pPr>
          </w:p>
        </w:tc>
      </w:tr>
      <w:tr w:rsidR="000B1D99">
        <w:tc>
          <w:tcPr>
            <w:tcW w:w="3085" w:type="dxa"/>
          </w:tcPr>
          <w:p w:rsidR="000B1D99" w:rsidRPr="00363F58" w:rsidRDefault="000B1D99" w:rsidP="00FF3107">
            <w:pPr>
              <w:rPr>
                <w:rFonts w:ascii="Century Gothic" w:hAnsi="Century Gothic"/>
                <w:b/>
                <w:sz w:val="20"/>
              </w:rPr>
            </w:pPr>
          </w:p>
          <w:p w:rsidR="000B1D99" w:rsidRPr="00363F58" w:rsidRDefault="000B1D99" w:rsidP="00FF3107">
            <w:pPr>
              <w:rPr>
                <w:rFonts w:ascii="Century Gothic" w:hAnsi="Century Gothic"/>
                <w:b/>
                <w:sz w:val="20"/>
              </w:rPr>
            </w:pPr>
            <w:r w:rsidRPr="00363F58">
              <w:rPr>
                <w:rFonts w:ascii="Century Gothic" w:hAnsi="Century Gothic"/>
                <w:b/>
                <w:sz w:val="20"/>
              </w:rPr>
              <w:t>Commencement Date</w:t>
            </w:r>
          </w:p>
        </w:tc>
        <w:tc>
          <w:tcPr>
            <w:tcW w:w="1985" w:type="dxa"/>
          </w:tcPr>
          <w:p w:rsidR="000B1D99" w:rsidRPr="00363F58" w:rsidRDefault="000B1D99" w:rsidP="00FF3107">
            <w:pPr>
              <w:rPr>
                <w:rFonts w:ascii="Century Gothic" w:hAnsi="Century Gothic"/>
                <w:sz w:val="20"/>
              </w:rPr>
            </w:pPr>
          </w:p>
          <w:p w:rsidR="000B1D99" w:rsidRPr="00363F58" w:rsidRDefault="000B1D99" w:rsidP="00FF3107">
            <w:pPr>
              <w:rPr>
                <w:rFonts w:ascii="Century Gothic" w:hAnsi="Century Gothic"/>
                <w:sz w:val="20"/>
              </w:rPr>
            </w:pPr>
            <w:r w:rsidRPr="00363F58">
              <w:rPr>
                <w:rFonts w:ascii="Century Gothic" w:hAnsi="Century Gothic"/>
                <w:sz w:val="20"/>
              </w:rPr>
              <w:t>12 March, 2012</w:t>
            </w:r>
          </w:p>
          <w:p w:rsidR="000B1D99" w:rsidRPr="00363F58" w:rsidRDefault="000B1D99" w:rsidP="00FF3107">
            <w:pPr>
              <w:rPr>
                <w:rFonts w:ascii="Century Gothic" w:hAnsi="Century Gothic"/>
                <w:sz w:val="20"/>
              </w:rPr>
            </w:pPr>
          </w:p>
        </w:tc>
        <w:tc>
          <w:tcPr>
            <w:tcW w:w="2409" w:type="dxa"/>
            <w:gridSpan w:val="2"/>
          </w:tcPr>
          <w:p w:rsidR="000B1D99" w:rsidRPr="00363F58" w:rsidRDefault="000B1D99" w:rsidP="00FF3107">
            <w:pPr>
              <w:rPr>
                <w:rFonts w:ascii="Century Gothic" w:hAnsi="Century Gothic"/>
                <w:b/>
                <w:sz w:val="20"/>
              </w:rPr>
            </w:pPr>
          </w:p>
          <w:p w:rsidR="000B1D99" w:rsidRPr="00363F58" w:rsidRDefault="000B1D99" w:rsidP="00FF3107">
            <w:pPr>
              <w:rPr>
                <w:rFonts w:ascii="Century Gothic" w:hAnsi="Century Gothic"/>
                <w:b/>
                <w:sz w:val="20"/>
              </w:rPr>
            </w:pPr>
            <w:r w:rsidRPr="00363F58">
              <w:rPr>
                <w:rFonts w:ascii="Century Gothic" w:hAnsi="Century Gothic"/>
                <w:b/>
                <w:sz w:val="20"/>
              </w:rPr>
              <w:t>Completion Date</w:t>
            </w:r>
          </w:p>
        </w:tc>
        <w:tc>
          <w:tcPr>
            <w:tcW w:w="1801" w:type="dxa"/>
          </w:tcPr>
          <w:p w:rsidR="000B1D99" w:rsidRPr="00363F58" w:rsidRDefault="000B1D99" w:rsidP="00FF3107">
            <w:pPr>
              <w:rPr>
                <w:rFonts w:ascii="Century Gothic" w:hAnsi="Century Gothic"/>
                <w:sz w:val="20"/>
              </w:rPr>
            </w:pPr>
          </w:p>
          <w:p w:rsidR="000B1D99" w:rsidRPr="00363F58" w:rsidRDefault="000B1D99" w:rsidP="00FF3107">
            <w:pPr>
              <w:rPr>
                <w:rFonts w:ascii="Century Gothic" w:hAnsi="Century Gothic"/>
                <w:sz w:val="20"/>
              </w:rPr>
            </w:pPr>
            <w:r w:rsidRPr="00363F58">
              <w:rPr>
                <w:rFonts w:ascii="Century Gothic" w:hAnsi="Century Gothic"/>
                <w:sz w:val="20"/>
              </w:rPr>
              <w:t>30 June, 2015</w:t>
            </w:r>
          </w:p>
        </w:tc>
      </w:tr>
      <w:tr w:rsidR="000B1D99">
        <w:tc>
          <w:tcPr>
            <w:tcW w:w="3085" w:type="dxa"/>
          </w:tcPr>
          <w:p w:rsidR="000B1D99" w:rsidRPr="00363F58" w:rsidRDefault="000B1D99" w:rsidP="00FF3107">
            <w:pPr>
              <w:rPr>
                <w:rFonts w:ascii="Century Gothic" w:hAnsi="Century Gothic"/>
                <w:b/>
                <w:sz w:val="20"/>
              </w:rPr>
            </w:pPr>
          </w:p>
          <w:p w:rsidR="000B1D99" w:rsidRPr="00363F58" w:rsidRDefault="000B1D99" w:rsidP="00FF3107">
            <w:pPr>
              <w:rPr>
                <w:rFonts w:ascii="Century Gothic" w:hAnsi="Century Gothic"/>
                <w:b/>
                <w:sz w:val="20"/>
              </w:rPr>
            </w:pPr>
            <w:r w:rsidRPr="00363F58">
              <w:rPr>
                <w:rFonts w:ascii="Century Gothic" w:hAnsi="Century Gothic"/>
                <w:b/>
                <w:sz w:val="20"/>
              </w:rPr>
              <w:t>Total Australian $</w:t>
            </w:r>
          </w:p>
        </w:tc>
        <w:tc>
          <w:tcPr>
            <w:tcW w:w="6195" w:type="dxa"/>
            <w:gridSpan w:val="4"/>
          </w:tcPr>
          <w:p w:rsidR="000B1D99" w:rsidRPr="00363F58" w:rsidRDefault="000B1D99" w:rsidP="00FF3107">
            <w:pPr>
              <w:rPr>
                <w:rFonts w:ascii="Century Gothic" w:hAnsi="Century Gothic"/>
                <w:sz w:val="20"/>
              </w:rPr>
            </w:pPr>
          </w:p>
          <w:p w:rsidR="000B1D99" w:rsidRPr="00363F58" w:rsidRDefault="000B1D99" w:rsidP="00FF3107">
            <w:pPr>
              <w:rPr>
                <w:rFonts w:ascii="Century Gothic" w:hAnsi="Century Gothic"/>
                <w:sz w:val="20"/>
              </w:rPr>
            </w:pPr>
            <w:r w:rsidRPr="00363F58">
              <w:rPr>
                <w:rFonts w:ascii="Century Gothic" w:hAnsi="Century Gothic"/>
                <w:sz w:val="20"/>
              </w:rPr>
              <w:t xml:space="preserve">$15 million </w:t>
            </w:r>
          </w:p>
          <w:p w:rsidR="000B1D99" w:rsidRPr="00363F58" w:rsidRDefault="000B1D99" w:rsidP="00FF3107">
            <w:pPr>
              <w:rPr>
                <w:rFonts w:ascii="Century Gothic" w:hAnsi="Century Gothic"/>
                <w:sz w:val="20"/>
              </w:rPr>
            </w:pPr>
          </w:p>
        </w:tc>
      </w:tr>
      <w:tr w:rsidR="000B1D99">
        <w:tc>
          <w:tcPr>
            <w:tcW w:w="3085" w:type="dxa"/>
          </w:tcPr>
          <w:p w:rsidR="000B1D99" w:rsidRPr="00363F58" w:rsidRDefault="000B1D99" w:rsidP="00FF3107">
            <w:pPr>
              <w:rPr>
                <w:rFonts w:ascii="Century Gothic" w:hAnsi="Century Gothic"/>
                <w:b/>
                <w:sz w:val="20"/>
              </w:rPr>
            </w:pPr>
          </w:p>
          <w:p w:rsidR="000B1D99" w:rsidRPr="00363F58" w:rsidRDefault="000B1D99" w:rsidP="00FF3107">
            <w:pPr>
              <w:rPr>
                <w:rFonts w:ascii="Century Gothic" w:hAnsi="Century Gothic"/>
                <w:b/>
                <w:sz w:val="20"/>
              </w:rPr>
            </w:pPr>
            <w:r w:rsidRPr="00363F58">
              <w:rPr>
                <w:rFonts w:ascii="Century Gothic" w:hAnsi="Century Gothic"/>
                <w:b/>
                <w:sz w:val="20"/>
              </w:rPr>
              <w:t>Delivery Organisations</w:t>
            </w:r>
          </w:p>
          <w:p w:rsidR="000B1D99" w:rsidRPr="00363F58" w:rsidRDefault="000B1D99" w:rsidP="00FF3107">
            <w:pPr>
              <w:rPr>
                <w:rFonts w:ascii="Century Gothic" w:hAnsi="Century Gothic"/>
                <w:b/>
                <w:sz w:val="20"/>
              </w:rPr>
            </w:pPr>
          </w:p>
        </w:tc>
        <w:tc>
          <w:tcPr>
            <w:tcW w:w="2977" w:type="dxa"/>
            <w:gridSpan w:val="2"/>
          </w:tcPr>
          <w:p w:rsidR="000B1D99" w:rsidRPr="00363F58" w:rsidRDefault="000B1D99" w:rsidP="00FF3107">
            <w:pPr>
              <w:pStyle w:val="ListParagraph"/>
              <w:numPr>
                <w:ilvl w:val="0"/>
                <w:numId w:val="7"/>
              </w:numPr>
              <w:rPr>
                <w:rFonts w:ascii="Century Gothic" w:hAnsi="Century Gothic"/>
                <w:sz w:val="20"/>
              </w:rPr>
            </w:pPr>
            <w:r w:rsidRPr="00363F58">
              <w:rPr>
                <w:rFonts w:ascii="Century Gothic" w:hAnsi="Century Gothic"/>
                <w:sz w:val="20"/>
              </w:rPr>
              <w:t xml:space="preserve">EDF </w:t>
            </w:r>
          </w:p>
          <w:p w:rsidR="000B1D99" w:rsidRPr="00363F58" w:rsidRDefault="000B1D99" w:rsidP="00FF3107">
            <w:pPr>
              <w:pStyle w:val="ListParagraph"/>
              <w:numPr>
                <w:ilvl w:val="0"/>
                <w:numId w:val="7"/>
              </w:numPr>
              <w:rPr>
                <w:rFonts w:ascii="Century Gothic" w:hAnsi="Century Gothic"/>
                <w:sz w:val="20"/>
              </w:rPr>
            </w:pPr>
            <w:r w:rsidRPr="00363F58">
              <w:rPr>
                <w:rFonts w:ascii="Century Gothic" w:hAnsi="Century Gothic"/>
                <w:sz w:val="20"/>
              </w:rPr>
              <w:t>SNV</w:t>
            </w:r>
          </w:p>
          <w:p w:rsidR="000B1D99" w:rsidRPr="00363F58" w:rsidRDefault="000B1D99" w:rsidP="00FF3107">
            <w:pPr>
              <w:pStyle w:val="ListParagraph"/>
              <w:numPr>
                <w:ilvl w:val="0"/>
                <w:numId w:val="7"/>
              </w:numPr>
              <w:rPr>
                <w:rFonts w:ascii="Century Gothic" w:hAnsi="Century Gothic"/>
                <w:sz w:val="20"/>
              </w:rPr>
            </w:pPr>
            <w:r w:rsidRPr="00363F58">
              <w:rPr>
                <w:rFonts w:ascii="Century Gothic" w:hAnsi="Century Gothic"/>
                <w:sz w:val="20"/>
              </w:rPr>
              <w:t>Save the Children</w:t>
            </w:r>
          </w:p>
        </w:tc>
        <w:tc>
          <w:tcPr>
            <w:tcW w:w="3218" w:type="dxa"/>
            <w:gridSpan w:val="2"/>
          </w:tcPr>
          <w:p w:rsidR="000B1D99" w:rsidRPr="00363F58" w:rsidRDefault="000B1D99" w:rsidP="00FF3107">
            <w:pPr>
              <w:pStyle w:val="ListParagraph"/>
              <w:numPr>
                <w:ilvl w:val="0"/>
                <w:numId w:val="7"/>
              </w:numPr>
              <w:rPr>
                <w:rFonts w:ascii="Century Gothic" w:hAnsi="Century Gothic"/>
                <w:sz w:val="20"/>
              </w:rPr>
            </w:pPr>
            <w:r w:rsidRPr="00363F58">
              <w:rPr>
                <w:rFonts w:ascii="Century Gothic" w:hAnsi="Century Gothic"/>
                <w:sz w:val="20"/>
              </w:rPr>
              <w:t xml:space="preserve">Oxfam </w:t>
            </w:r>
          </w:p>
          <w:p w:rsidR="000B1D99" w:rsidRPr="00363F58" w:rsidRDefault="000B1D99" w:rsidP="00FF3107">
            <w:pPr>
              <w:pStyle w:val="ListParagraph"/>
              <w:numPr>
                <w:ilvl w:val="0"/>
                <w:numId w:val="7"/>
              </w:numPr>
              <w:rPr>
                <w:rFonts w:ascii="Century Gothic" w:hAnsi="Century Gothic"/>
                <w:sz w:val="20"/>
              </w:rPr>
            </w:pPr>
            <w:r w:rsidRPr="00363F58">
              <w:rPr>
                <w:rFonts w:ascii="Century Gothic" w:hAnsi="Century Gothic"/>
                <w:sz w:val="20"/>
              </w:rPr>
              <w:t>CARE</w:t>
            </w:r>
          </w:p>
          <w:p w:rsidR="000B1D99" w:rsidRPr="00363F58" w:rsidRDefault="000B1D99" w:rsidP="00FF3107">
            <w:pPr>
              <w:pStyle w:val="ListParagraph"/>
              <w:numPr>
                <w:ilvl w:val="0"/>
                <w:numId w:val="7"/>
              </w:numPr>
              <w:rPr>
                <w:rFonts w:ascii="Century Gothic" w:hAnsi="Century Gothic"/>
                <w:sz w:val="20"/>
              </w:rPr>
            </w:pPr>
            <w:r w:rsidRPr="00363F58">
              <w:rPr>
                <w:rFonts w:ascii="Century Gothic" w:hAnsi="Century Gothic"/>
                <w:sz w:val="20"/>
              </w:rPr>
              <w:t>Red Cross</w:t>
            </w:r>
          </w:p>
        </w:tc>
      </w:tr>
      <w:tr w:rsidR="000B1D99">
        <w:tc>
          <w:tcPr>
            <w:tcW w:w="3085" w:type="dxa"/>
          </w:tcPr>
          <w:p w:rsidR="000B1D99" w:rsidRPr="00363F58" w:rsidRDefault="000B1D99" w:rsidP="00FF3107">
            <w:pPr>
              <w:rPr>
                <w:rFonts w:ascii="Century Gothic" w:hAnsi="Century Gothic"/>
                <w:b/>
                <w:sz w:val="20"/>
              </w:rPr>
            </w:pPr>
          </w:p>
          <w:p w:rsidR="000B1D99" w:rsidRPr="00363F58" w:rsidRDefault="000B1D99" w:rsidP="00FF3107">
            <w:pPr>
              <w:rPr>
                <w:rFonts w:ascii="Century Gothic" w:hAnsi="Century Gothic"/>
                <w:b/>
                <w:sz w:val="20"/>
              </w:rPr>
            </w:pPr>
            <w:r w:rsidRPr="00363F58">
              <w:rPr>
                <w:rFonts w:ascii="Century Gothic" w:hAnsi="Century Gothic"/>
                <w:b/>
                <w:sz w:val="20"/>
              </w:rPr>
              <w:t>Country/Region</w:t>
            </w:r>
          </w:p>
        </w:tc>
        <w:tc>
          <w:tcPr>
            <w:tcW w:w="6195" w:type="dxa"/>
            <w:gridSpan w:val="4"/>
          </w:tcPr>
          <w:p w:rsidR="000B1D99" w:rsidRPr="00363F58" w:rsidRDefault="000B1D99" w:rsidP="00FF3107">
            <w:pPr>
              <w:rPr>
                <w:rFonts w:ascii="Century Gothic" w:hAnsi="Century Gothic"/>
                <w:sz w:val="20"/>
              </w:rPr>
            </w:pPr>
          </w:p>
          <w:p w:rsidR="000B1D99" w:rsidRPr="00363F58" w:rsidRDefault="000B1D99" w:rsidP="00FF3107">
            <w:pPr>
              <w:rPr>
                <w:rFonts w:ascii="Century Gothic" w:hAnsi="Century Gothic"/>
                <w:sz w:val="20"/>
              </w:rPr>
            </w:pPr>
            <w:r w:rsidRPr="00363F58">
              <w:rPr>
                <w:rFonts w:ascii="Century Gothic" w:hAnsi="Century Gothic"/>
                <w:sz w:val="20"/>
              </w:rPr>
              <w:t>Vietnam</w:t>
            </w:r>
          </w:p>
          <w:p w:rsidR="000B1D99" w:rsidRPr="00363F58" w:rsidRDefault="000B1D99" w:rsidP="00FF3107">
            <w:pPr>
              <w:rPr>
                <w:rFonts w:ascii="Century Gothic" w:hAnsi="Century Gothic"/>
                <w:sz w:val="20"/>
              </w:rPr>
            </w:pPr>
          </w:p>
        </w:tc>
      </w:tr>
      <w:tr w:rsidR="000B1D99">
        <w:tc>
          <w:tcPr>
            <w:tcW w:w="3085" w:type="dxa"/>
          </w:tcPr>
          <w:p w:rsidR="000B1D99" w:rsidRPr="00363F58" w:rsidRDefault="000B1D99" w:rsidP="00FF3107">
            <w:pPr>
              <w:rPr>
                <w:rFonts w:ascii="Century Gothic" w:hAnsi="Century Gothic"/>
                <w:b/>
                <w:sz w:val="20"/>
              </w:rPr>
            </w:pPr>
          </w:p>
          <w:p w:rsidR="000B1D99" w:rsidRPr="00363F58" w:rsidRDefault="000B1D99" w:rsidP="00FF3107">
            <w:pPr>
              <w:rPr>
                <w:rFonts w:ascii="Century Gothic" w:hAnsi="Century Gothic"/>
                <w:b/>
                <w:sz w:val="20"/>
              </w:rPr>
            </w:pPr>
            <w:r w:rsidRPr="00363F58">
              <w:rPr>
                <w:rFonts w:ascii="Century Gothic" w:hAnsi="Century Gothic"/>
                <w:b/>
                <w:sz w:val="20"/>
              </w:rPr>
              <w:t>Primary Sector</w:t>
            </w:r>
          </w:p>
        </w:tc>
        <w:tc>
          <w:tcPr>
            <w:tcW w:w="2977" w:type="dxa"/>
            <w:gridSpan w:val="2"/>
          </w:tcPr>
          <w:p w:rsidR="000B1D99" w:rsidRPr="00363F58" w:rsidRDefault="000B1D99" w:rsidP="00FF3107">
            <w:pPr>
              <w:rPr>
                <w:rFonts w:ascii="Century Gothic" w:hAnsi="Century Gothic"/>
                <w:sz w:val="20"/>
              </w:rPr>
            </w:pPr>
          </w:p>
          <w:p w:rsidR="000B1D99" w:rsidRPr="00363F58" w:rsidRDefault="000B1D99" w:rsidP="00FF3107">
            <w:pPr>
              <w:rPr>
                <w:rFonts w:ascii="Century Gothic" w:hAnsi="Century Gothic"/>
                <w:sz w:val="20"/>
              </w:rPr>
            </w:pPr>
            <w:r w:rsidRPr="00363F58">
              <w:rPr>
                <w:rFonts w:ascii="Century Gothic" w:hAnsi="Century Gothic"/>
                <w:sz w:val="20"/>
              </w:rPr>
              <w:t>Climate Change</w:t>
            </w:r>
          </w:p>
          <w:p w:rsidR="000B1D99" w:rsidRPr="00363F58" w:rsidRDefault="000B1D99" w:rsidP="00FF3107">
            <w:pPr>
              <w:rPr>
                <w:rFonts w:ascii="Century Gothic" w:hAnsi="Century Gothic"/>
                <w:sz w:val="20"/>
              </w:rPr>
            </w:pPr>
          </w:p>
        </w:tc>
        <w:tc>
          <w:tcPr>
            <w:tcW w:w="3218" w:type="dxa"/>
            <w:gridSpan w:val="2"/>
          </w:tcPr>
          <w:p w:rsidR="000B1D99" w:rsidRPr="00363F58" w:rsidRDefault="000B1D99" w:rsidP="00FF3107">
            <w:pPr>
              <w:rPr>
                <w:rFonts w:ascii="Century Gothic" w:hAnsi="Century Gothic"/>
                <w:sz w:val="20"/>
              </w:rPr>
            </w:pPr>
          </w:p>
          <w:p w:rsidR="000B1D99" w:rsidRPr="00363F58" w:rsidRDefault="000B1D99" w:rsidP="00FF3107">
            <w:pPr>
              <w:rPr>
                <w:rFonts w:ascii="Century Gothic" w:hAnsi="Century Gothic"/>
                <w:sz w:val="20"/>
              </w:rPr>
            </w:pPr>
            <w:r w:rsidRPr="00363F58">
              <w:rPr>
                <w:rFonts w:ascii="Century Gothic" w:hAnsi="Century Gothic"/>
                <w:sz w:val="20"/>
              </w:rPr>
              <w:t>Disaster Risk Reduction</w:t>
            </w:r>
          </w:p>
        </w:tc>
      </w:tr>
    </w:tbl>
    <w:p w:rsidR="000B1D99" w:rsidRDefault="000B1D99" w:rsidP="000B1D99">
      <w:pPr>
        <w:pStyle w:val="DonnasStyle"/>
        <w:rPr>
          <w:b/>
          <w:color w:val="365F91" w:themeColor="accent1" w:themeShade="BF"/>
          <w:sz w:val="24"/>
        </w:rPr>
      </w:pPr>
    </w:p>
    <w:p w:rsidR="00791B9B" w:rsidRDefault="00791B9B" w:rsidP="005A3DD7">
      <w:pPr>
        <w:pStyle w:val="Heading2"/>
      </w:pPr>
    </w:p>
    <w:p w:rsidR="00791B9B" w:rsidRDefault="00791B9B" w:rsidP="005A3DD7">
      <w:pPr>
        <w:pStyle w:val="Heading2"/>
      </w:pPr>
    </w:p>
    <w:p w:rsidR="00791B9B" w:rsidRDefault="00791B9B" w:rsidP="005A3DD7">
      <w:pPr>
        <w:pStyle w:val="Heading2"/>
      </w:pPr>
    </w:p>
    <w:p w:rsidR="00791B9B" w:rsidRDefault="00791B9B" w:rsidP="005A3DD7">
      <w:pPr>
        <w:pStyle w:val="Heading2"/>
      </w:pPr>
    </w:p>
    <w:p w:rsidR="005A3DD7" w:rsidRPr="00E76AD7" w:rsidRDefault="005A3DD7" w:rsidP="00E76AD7">
      <w:pPr>
        <w:rPr>
          <w:rFonts w:ascii="Century Gothic" w:hAnsi="Century Gothic"/>
          <w:b/>
          <w:color w:val="8DB3E2" w:themeColor="text2" w:themeTint="66"/>
          <w:sz w:val="22"/>
        </w:rPr>
      </w:pPr>
      <w:r w:rsidRPr="00E76AD7">
        <w:rPr>
          <w:rFonts w:ascii="Century Gothic" w:hAnsi="Century Gothic"/>
          <w:b/>
          <w:color w:val="8DB3E2" w:themeColor="text2" w:themeTint="66"/>
          <w:sz w:val="22"/>
        </w:rPr>
        <w:t>Summary of Evaluation Criteria Ratings</w:t>
      </w:r>
    </w:p>
    <w:p w:rsidR="00E76AD7" w:rsidRDefault="00E76AD7" w:rsidP="005A3DD7">
      <w:pPr>
        <w:pStyle w:val="DonnasStyle"/>
      </w:pPr>
    </w:p>
    <w:p w:rsidR="005A3DD7" w:rsidRDefault="005A3DD7" w:rsidP="005A3DD7">
      <w:pPr>
        <w:pStyle w:val="DonnasStyle"/>
      </w:pPr>
      <w:r>
        <w:t>Ratings against DFAT Evaluation Criteria relate to the mid-term performance of the overall program.  Individual projects are not rated</w:t>
      </w:r>
      <w:r>
        <w:rPr>
          <w:rStyle w:val="FootnoteReference"/>
        </w:rPr>
        <w:footnoteReference w:id="1"/>
      </w:r>
      <w:r>
        <w:t xml:space="preserve">. </w:t>
      </w:r>
    </w:p>
    <w:p w:rsidR="005A3DD7" w:rsidRDefault="005A3DD7" w:rsidP="005A3DD7">
      <w:pPr>
        <w:pStyle w:val="DonnasStyle"/>
      </w:pPr>
    </w:p>
    <w:tbl>
      <w:tblPr>
        <w:tblStyle w:val="TableGrid"/>
        <w:tblW w:w="0" w:type="auto"/>
        <w:tblLook w:val="00A0" w:firstRow="1" w:lastRow="0" w:firstColumn="1" w:lastColumn="0" w:noHBand="0" w:noVBand="0"/>
        <w:tblCaption w:val="Evaluation criteria"/>
        <w:tblDescription w:val="Ratings for each criteria:&#10;Relevance - 5&#10;Effectiveness - 4&#10;Efficiency - 4&#10;Sustainability - 3&#10;Gender equality - 4&#10;Monitoring and Evaluation - 4&#10;Analysis and learning - 4"/>
      </w:tblPr>
      <w:tblGrid>
        <w:gridCol w:w="7196"/>
        <w:gridCol w:w="1984"/>
      </w:tblGrid>
      <w:tr w:rsidR="005A3DD7" w:rsidTr="00746B24">
        <w:trPr>
          <w:tblHeader/>
        </w:trPr>
        <w:tc>
          <w:tcPr>
            <w:tcW w:w="7196" w:type="dxa"/>
            <w:shd w:val="clear" w:color="auto" w:fill="99CCFF"/>
          </w:tcPr>
          <w:p w:rsidR="005A3DD7" w:rsidRPr="00C533B0" w:rsidRDefault="005A3DD7" w:rsidP="00FF3107">
            <w:pPr>
              <w:pStyle w:val="DonnasStyle"/>
              <w:jc w:val="center"/>
              <w:rPr>
                <w:b/>
                <w:color w:val="FFFFFF" w:themeColor="background1"/>
              </w:rPr>
            </w:pPr>
            <w:r w:rsidRPr="00C533B0">
              <w:rPr>
                <w:b/>
                <w:color w:val="FFFFFF" w:themeColor="background1"/>
              </w:rPr>
              <w:t>Evaluation Criteria</w:t>
            </w:r>
          </w:p>
        </w:tc>
        <w:tc>
          <w:tcPr>
            <w:tcW w:w="1984" w:type="dxa"/>
            <w:shd w:val="clear" w:color="auto" w:fill="99CCFF"/>
          </w:tcPr>
          <w:p w:rsidR="005A3DD7" w:rsidRPr="00C533B0" w:rsidRDefault="005A3DD7" w:rsidP="00FF3107">
            <w:pPr>
              <w:pStyle w:val="DonnasStyle"/>
              <w:jc w:val="center"/>
              <w:rPr>
                <w:b/>
                <w:color w:val="FFFFFF" w:themeColor="background1"/>
              </w:rPr>
            </w:pPr>
            <w:r w:rsidRPr="00C533B0">
              <w:rPr>
                <w:b/>
                <w:color w:val="FFFFFF" w:themeColor="background1"/>
              </w:rPr>
              <w:t>Rating (1-6)</w:t>
            </w:r>
          </w:p>
        </w:tc>
      </w:tr>
      <w:tr w:rsidR="005A3DD7">
        <w:tc>
          <w:tcPr>
            <w:tcW w:w="7196" w:type="dxa"/>
          </w:tcPr>
          <w:p w:rsidR="005A3DD7" w:rsidRPr="00B07DD6" w:rsidRDefault="005A3DD7" w:rsidP="00FF3107">
            <w:pPr>
              <w:pStyle w:val="DonnasStyle"/>
            </w:pPr>
            <w:r w:rsidRPr="00B07DD6">
              <w:t>Relevance</w:t>
            </w:r>
          </w:p>
        </w:tc>
        <w:tc>
          <w:tcPr>
            <w:tcW w:w="1984" w:type="dxa"/>
          </w:tcPr>
          <w:p w:rsidR="005A3DD7" w:rsidRPr="00F13E9B" w:rsidRDefault="005A3DD7" w:rsidP="00FF3107">
            <w:pPr>
              <w:pStyle w:val="DonnasStyle"/>
              <w:jc w:val="center"/>
              <w:rPr>
                <w:rFonts w:ascii="Helvetica" w:hAnsi="Helvetica" w:cs="Helvetica"/>
                <w:b/>
              </w:rPr>
            </w:pPr>
            <w:r w:rsidRPr="00F13E9B">
              <w:rPr>
                <w:rFonts w:ascii="Helvetica" w:hAnsi="Helvetica" w:cs="Helvetica"/>
                <w:b/>
              </w:rPr>
              <w:t>5</w:t>
            </w:r>
          </w:p>
        </w:tc>
      </w:tr>
      <w:tr w:rsidR="005A3DD7">
        <w:tc>
          <w:tcPr>
            <w:tcW w:w="7196" w:type="dxa"/>
          </w:tcPr>
          <w:p w:rsidR="005A3DD7" w:rsidRPr="00B07DD6" w:rsidRDefault="005A3DD7" w:rsidP="00FF3107">
            <w:pPr>
              <w:pStyle w:val="DonnasStyle"/>
            </w:pPr>
            <w:r w:rsidRPr="00B07DD6">
              <w:t>Effectiveness</w:t>
            </w:r>
          </w:p>
        </w:tc>
        <w:tc>
          <w:tcPr>
            <w:tcW w:w="1984" w:type="dxa"/>
          </w:tcPr>
          <w:p w:rsidR="005A3DD7" w:rsidRPr="00F13E9B" w:rsidRDefault="005A3DD7" w:rsidP="00FF3107">
            <w:pPr>
              <w:pStyle w:val="DonnasStyle"/>
              <w:jc w:val="center"/>
              <w:rPr>
                <w:rFonts w:ascii="Helvetica" w:hAnsi="Helvetica" w:cs="Helvetica"/>
                <w:b/>
              </w:rPr>
            </w:pPr>
            <w:r w:rsidRPr="00F13E9B">
              <w:rPr>
                <w:rFonts w:ascii="Helvetica" w:hAnsi="Helvetica" w:cs="Helvetica"/>
                <w:b/>
              </w:rPr>
              <w:t>4</w:t>
            </w:r>
          </w:p>
        </w:tc>
      </w:tr>
      <w:tr w:rsidR="005A3DD7">
        <w:tc>
          <w:tcPr>
            <w:tcW w:w="7196" w:type="dxa"/>
          </w:tcPr>
          <w:p w:rsidR="005A3DD7" w:rsidRPr="00B07DD6" w:rsidRDefault="005A3DD7" w:rsidP="00FF3107">
            <w:pPr>
              <w:pStyle w:val="DonnasStyle"/>
            </w:pPr>
            <w:r w:rsidRPr="00B07DD6">
              <w:t>Efficiency</w:t>
            </w:r>
          </w:p>
        </w:tc>
        <w:tc>
          <w:tcPr>
            <w:tcW w:w="1984" w:type="dxa"/>
          </w:tcPr>
          <w:p w:rsidR="005A3DD7" w:rsidRPr="00F13E9B" w:rsidRDefault="005A3DD7" w:rsidP="00FF3107">
            <w:pPr>
              <w:pStyle w:val="DonnasStyle"/>
              <w:jc w:val="center"/>
              <w:rPr>
                <w:rFonts w:ascii="Helvetica" w:hAnsi="Helvetica" w:cs="Helvetica"/>
                <w:b/>
              </w:rPr>
            </w:pPr>
            <w:r w:rsidRPr="00F13E9B">
              <w:rPr>
                <w:rFonts w:ascii="Helvetica" w:hAnsi="Helvetica" w:cs="Helvetica"/>
                <w:b/>
              </w:rPr>
              <w:t>4</w:t>
            </w:r>
          </w:p>
        </w:tc>
      </w:tr>
      <w:tr w:rsidR="005A3DD7">
        <w:tc>
          <w:tcPr>
            <w:tcW w:w="7196" w:type="dxa"/>
          </w:tcPr>
          <w:p w:rsidR="005A3DD7" w:rsidRPr="00B07DD6" w:rsidRDefault="005A3DD7" w:rsidP="00FF3107">
            <w:pPr>
              <w:pStyle w:val="DonnasStyle"/>
            </w:pPr>
            <w:r w:rsidRPr="00B07DD6">
              <w:t>Sustainability</w:t>
            </w:r>
          </w:p>
        </w:tc>
        <w:tc>
          <w:tcPr>
            <w:tcW w:w="1984" w:type="dxa"/>
          </w:tcPr>
          <w:p w:rsidR="005A3DD7" w:rsidRPr="00F13E9B" w:rsidRDefault="005A3DD7" w:rsidP="00FF3107">
            <w:pPr>
              <w:pStyle w:val="DonnasStyle"/>
              <w:jc w:val="center"/>
              <w:rPr>
                <w:rFonts w:ascii="Helvetica" w:hAnsi="Helvetica" w:cs="Helvetica"/>
                <w:b/>
              </w:rPr>
            </w:pPr>
            <w:r>
              <w:rPr>
                <w:rFonts w:ascii="Helvetica" w:hAnsi="Helvetica" w:cs="Helvetica"/>
                <w:b/>
              </w:rPr>
              <w:t>3</w:t>
            </w:r>
          </w:p>
        </w:tc>
      </w:tr>
      <w:tr w:rsidR="005A3DD7">
        <w:tc>
          <w:tcPr>
            <w:tcW w:w="7196" w:type="dxa"/>
          </w:tcPr>
          <w:p w:rsidR="005A3DD7" w:rsidRPr="00B07DD6" w:rsidRDefault="005A3DD7" w:rsidP="00FF3107">
            <w:pPr>
              <w:pStyle w:val="DonnasStyle"/>
            </w:pPr>
            <w:r w:rsidRPr="00B07DD6">
              <w:t>Gender Equality</w:t>
            </w:r>
          </w:p>
        </w:tc>
        <w:tc>
          <w:tcPr>
            <w:tcW w:w="1984" w:type="dxa"/>
          </w:tcPr>
          <w:p w:rsidR="005A3DD7" w:rsidRPr="00F13E9B" w:rsidRDefault="005A3DD7" w:rsidP="00FF3107">
            <w:pPr>
              <w:pStyle w:val="DonnasStyle"/>
              <w:jc w:val="center"/>
              <w:rPr>
                <w:rFonts w:ascii="Helvetica" w:hAnsi="Helvetica" w:cs="Helvetica"/>
                <w:b/>
              </w:rPr>
            </w:pPr>
            <w:r w:rsidRPr="00F13E9B">
              <w:rPr>
                <w:rFonts w:ascii="Helvetica" w:hAnsi="Helvetica" w:cs="Helvetica"/>
                <w:b/>
              </w:rPr>
              <w:t>4</w:t>
            </w:r>
          </w:p>
        </w:tc>
      </w:tr>
      <w:tr w:rsidR="005A3DD7">
        <w:tc>
          <w:tcPr>
            <w:tcW w:w="7196" w:type="dxa"/>
          </w:tcPr>
          <w:p w:rsidR="005A3DD7" w:rsidRPr="00B07DD6" w:rsidRDefault="005A3DD7" w:rsidP="00FF3107">
            <w:pPr>
              <w:pStyle w:val="DonnasStyle"/>
            </w:pPr>
            <w:r w:rsidRPr="00B07DD6">
              <w:t>Monitoring &amp; Evaluation</w:t>
            </w:r>
          </w:p>
        </w:tc>
        <w:tc>
          <w:tcPr>
            <w:tcW w:w="1984" w:type="dxa"/>
          </w:tcPr>
          <w:p w:rsidR="005A3DD7" w:rsidRPr="00F13E9B" w:rsidRDefault="005A3DD7" w:rsidP="00FF3107">
            <w:pPr>
              <w:pStyle w:val="DonnasStyle"/>
              <w:jc w:val="center"/>
              <w:rPr>
                <w:rFonts w:ascii="Helvetica" w:hAnsi="Helvetica" w:cs="Helvetica"/>
                <w:b/>
              </w:rPr>
            </w:pPr>
            <w:r w:rsidRPr="00F13E9B">
              <w:rPr>
                <w:rFonts w:ascii="Helvetica" w:hAnsi="Helvetica" w:cs="Helvetica"/>
                <w:b/>
              </w:rPr>
              <w:t>4</w:t>
            </w:r>
          </w:p>
        </w:tc>
      </w:tr>
      <w:tr w:rsidR="005A3DD7">
        <w:tc>
          <w:tcPr>
            <w:tcW w:w="7196" w:type="dxa"/>
          </w:tcPr>
          <w:p w:rsidR="005A3DD7" w:rsidRPr="00B07DD6" w:rsidRDefault="005A3DD7" w:rsidP="00FF3107">
            <w:pPr>
              <w:pStyle w:val="DonnasStyle"/>
            </w:pPr>
            <w:r w:rsidRPr="00B07DD6">
              <w:t>Analysis &amp; Learning</w:t>
            </w:r>
          </w:p>
        </w:tc>
        <w:tc>
          <w:tcPr>
            <w:tcW w:w="1984" w:type="dxa"/>
          </w:tcPr>
          <w:p w:rsidR="005A3DD7" w:rsidRPr="00F13E9B" w:rsidRDefault="005A3DD7" w:rsidP="00FF3107">
            <w:pPr>
              <w:pStyle w:val="DonnasStyle"/>
              <w:jc w:val="center"/>
              <w:rPr>
                <w:rFonts w:ascii="Helvetica" w:hAnsi="Helvetica" w:cs="Helvetica"/>
                <w:b/>
              </w:rPr>
            </w:pPr>
            <w:r w:rsidRPr="00F13E9B">
              <w:rPr>
                <w:rFonts w:ascii="Helvetica" w:hAnsi="Helvetica" w:cs="Helvetica"/>
                <w:b/>
              </w:rPr>
              <w:t>4</w:t>
            </w:r>
          </w:p>
        </w:tc>
      </w:tr>
    </w:tbl>
    <w:p w:rsidR="005A3DD7" w:rsidRPr="00C330E9" w:rsidRDefault="005A3DD7" w:rsidP="005A3D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6"/>
        </w:rPr>
      </w:pPr>
    </w:p>
    <w:p w:rsidR="005A3DD7" w:rsidRPr="00C330E9" w:rsidRDefault="005A3DD7" w:rsidP="005A3D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Rating Scale</w:t>
      </w:r>
    </w:p>
    <w:tbl>
      <w:tblPr>
        <w:tblStyle w:val="TableGrid"/>
        <w:tblW w:w="4661" w:type="pct"/>
        <w:tblLayout w:type="fixed"/>
        <w:tblLook w:val="00A0" w:firstRow="1" w:lastRow="0" w:firstColumn="1" w:lastColumn="0" w:noHBand="0" w:noVBand="0"/>
        <w:tblCaption w:val="Rating scale"/>
        <w:tblDescription w:val="Satisfactory ratings:&#10;6 - Very high quality&#10;5 - Good quality&#10;4 - Adequate quality&#10;Less than satisfactory ratings:&#10;3 - Less than adequate quality&#10;2- poor quality&#10;1 - very poor quality"/>
      </w:tblPr>
      <w:tblGrid>
        <w:gridCol w:w="866"/>
        <w:gridCol w:w="3637"/>
        <w:gridCol w:w="850"/>
        <w:gridCol w:w="3827"/>
      </w:tblGrid>
      <w:tr w:rsidR="005A3DD7" w:rsidRPr="00C330E9" w:rsidTr="00746B24">
        <w:trPr>
          <w:tblHeader/>
        </w:trPr>
        <w:tc>
          <w:tcPr>
            <w:tcW w:w="4503" w:type="dxa"/>
            <w:gridSpan w:val="2"/>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Satisfactory</w:t>
            </w:r>
          </w:p>
        </w:tc>
        <w:tc>
          <w:tcPr>
            <w:tcW w:w="4677" w:type="dxa"/>
            <w:gridSpan w:val="2"/>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Less than Satisfactory</w:t>
            </w:r>
          </w:p>
        </w:tc>
      </w:tr>
      <w:tr w:rsidR="005A3DD7" w:rsidRPr="00C330E9">
        <w:trPr>
          <w:trHeight w:val="234"/>
        </w:trPr>
        <w:tc>
          <w:tcPr>
            <w:tcW w:w="866"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6</w:t>
            </w:r>
          </w:p>
        </w:tc>
        <w:tc>
          <w:tcPr>
            <w:tcW w:w="3637"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Cs/>
                <w:color w:val="000000"/>
                <w:sz w:val="16"/>
              </w:rPr>
            </w:pPr>
            <w:r w:rsidRPr="00C330E9">
              <w:rPr>
                <w:rFonts w:ascii="Century Gothic" w:hAnsi="Century Gothic" w:cs="Helvetica"/>
                <w:bCs/>
                <w:color w:val="000000"/>
                <w:sz w:val="16"/>
              </w:rPr>
              <w:t>Very high quality</w:t>
            </w:r>
          </w:p>
        </w:tc>
        <w:tc>
          <w:tcPr>
            <w:tcW w:w="850"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3</w:t>
            </w:r>
          </w:p>
        </w:tc>
        <w:tc>
          <w:tcPr>
            <w:tcW w:w="3827"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Cs/>
                <w:color w:val="000000"/>
                <w:sz w:val="16"/>
              </w:rPr>
            </w:pPr>
            <w:r w:rsidRPr="00C330E9">
              <w:rPr>
                <w:rFonts w:ascii="Century Gothic" w:hAnsi="Century Gothic" w:cs="Helvetica"/>
                <w:bCs/>
                <w:color w:val="000000"/>
                <w:sz w:val="16"/>
              </w:rPr>
              <w:t>Less than adequate quality</w:t>
            </w:r>
          </w:p>
        </w:tc>
      </w:tr>
      <w:tr w:rsidR="005A3DD7" w:rsidRPr="00C330E9">
        <w:tc>
          <w:tcPr>
            <w:tcW w:w="866"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5</w:t>
            </w:r>
          </w:p>
        </w:tc>
        <w:tc>
          <w:tcPr>
            <w:tcW w:w="3637"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Cs/>
                <w:color w:val="000000"/>
                <w:sz w:val="16"/>
              </w:rPr>
            </w:pPr>
            <w:r w:rsidRPr="00C330E9">
              <w:rPr>
                <w:rFonts w:ascii="Century Gothic" w:hAnsi="Century Gothic" w:cs="Helvetica"/>
                <w:bCs/>
                <w:color w:val="000000"/>
                <w:sz w:val="16"/>
              </w:rPr>
              <w:t>Good quality</w:t>
            </w:r>
          </w:p>
        </w:tc>
        <w:tc>
          <w:tcPr>
            <w:tcW w:w="850"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2</w:t>
            </w:r>
          </w:p>
        </w:tc>
        <w:tc>
          <w:tcPr>
            <w:tcW w:w="3827"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Cs/>
                <w:color w:val="000000"/>
                <w:sz w:val="16"/>
              </w:rPr>
            </w:pPr>
            <w:r w:rsidRPr="00C330E9">
              <w:rPr>
                <w:rFonts w:ascii="Century Gothic" w:hAnsi="Century Gothic" w:cs="Helvetica"/>
                <w:bCs/>
                <w:color w:val="000000"/>
                <w:sz w:val="16"/>
              </w:rPr>
              <w:t>Poor quality</w:t>
            </w:r>
          </w:p>
        </w:tc>
      </w:tr>
      <w:tr w:rsidR="005A3DD7" w:rsidRPr="00C330E9">
        <w:tc>
          <w:tcPr>
            <w:tcW w:w="866"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4</w:t>
            </w:r>
          </w:p>
        </w:tc>
        <w:tc>
          <w:tcPr>
            <w:tcW w:w="3637"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Cs/>
                <w:color w:val="000000"/>
                <w:sz w:val="16"/>
              </w:rPr>
            </w:pPr>
            <w:r w:rsidRPr="00C330E9">
              <w:rPr>
                <w:rFonts w:ascii="Century Gothic" w:hAnsi="Century Gothic" w:cs="Helvetica"/>
                <w:bCs/>
                <w:color w:val="000000"/>
                <w:sz w:val="16"/>
              </w:rPr>
              <w:t>Adequate quality</w:t>
            </w:r>
          </w:p>
        </w:tc>
        <w:tc>
          <w:tcPr>
            <w:tcW w:w="850"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bCs/>
                <w:color w:val="000000"/>
                <w:sz w:val="16"/>
              </w:rPr>
            </w:pPr>
            <w:r w:rsidRPr="00C330E9">
              <w:rPr>
                <w:rFonts w:ascii="Century Gothic" w:hAnsi="Century Gothic" w:cs="Helvetica"/>
                <w:b/>
                <w:bCs/>
                <w:color w:val="000000"/>
                <w:sz w:val="16"/>
              </w:rPr>
              <w:t>1</w:t>
            </w:r>
          </w:p>
        </w:tc>
        <w:tc>
          <w:tcPr>
            <w:tcW w:w="3827" w:type="dxa"/>
          </w:tcPr>
          <w:p w:rsidR="005A3DD7" w:rsidRPr="00C330E9" w:rsidRDefault="005A3DD7" w:rsidP="00FF3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Cs/>
                <w:color w:val="000000"/>
                <w:sz w:val="16"/>
              </w:rPr>
            </w:pPr>
            <w:r w:rsidRPr="00C330E9">
              <w:rPr>
                <w:rFonts w:ascii="Century Gothic" w:hAnsi="Century Gothic" w:cs="Helvetica"/>
                <w:bCs/>
                <w:color w:val="000000"/>
                <w:sz w:val="16"/>
              </w:rPr>
              <w:t>Very poor quality</w:t>
            </w:r>
          </w:p>
        </w:tc>
      </w:tr>
    </w:tbl>
    <w:p w:rsidR="000B1D99" w:rsidRDefault="000B1D99" w:rsidP="000B1D99">
      <w:pPr>
        <w:pStyle w:val="DonnasStyle"/>
        <w:rPr>
          <w:b/>
          <w:color w:val="365F91" w:themeColor="accent1" w:themeShade="BF"/>
          <w:sz w:val="24"/>
        </w:rPr>
      </w:pPr>
    </w:p>
    <w:p w:rsidR="000B1D99" w:rsidRDefault="000B1D99" w:rsidP="000B1D99">
      <w:pPr>
        <w:pStyle w:val="DonnasStyle"/>
        <w:rPr>
          <w:b/>
          <w:color w:val="365F91" w:themeColor="accent1" w:themeShade="BF"/>
          <w:sz w:val="24"/>
        </w:rPr>
      </w:pPr>
    </w:p>
    <w:p w:rsidR="000B1D99" w:rsidRDefault="000B1D99" w:rsidP="000B1D99">
      <w:pPr>
        <w:pStyle w:val="DonnasStyle"/>
        <w:rPr>
          <w:b/>
          <w:color w:val="244061" w:themeColor="accent1" w:themeShade="80"/>
          <w:sz w:val="24"/>
        </w:rPr>
      </w:pPr>
    </w:p>
    <w:p w:rsidR="000B1D99" w:rsidRPr="00662A1D" w:rsidRDefault="000B1D99" w:rsidP="000B1D99">
      <w:pPr>
        <w:pStyle w:val="DonnasStyle"/>
        <w:rPr>
          <w:b/>
          <w:color w:val="365F91" w:themeColor="accent1" w:themeShade="BF"/>
          <w:sz w:val="24"/>
        </w:rPr>
      </w:pPr>
      <w:r>
        <w:rPr>
          <w:b/>
          <w:color w:val="365F91" w:themeColor="accent1" w:themeShade="BF"/>
          <w:sz w:val="24"/>
        </w:rPr>
        <w:br w:type="page"/>
      </w:r>
      <w:r w:rsidRPr="00662A1D">
        <w:rPr>
          <w:b/>
          <w:color w:val="365F91" w:themeColor="accent1" w:themeShade="BF"/>
          <w:sz w:val="24"/>
        </w:rPr>
        <w:lastRenderedPageBreak/>
        <w:t>Acronyms and Abbreviations</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1M6/5R</w:t>
      </w:r>
      <w:r w:rsidRPr="00263CAF">
        <w:tab/>
        <w:t>One must six reductions/five reductions</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AMNEP</w:t>
      </w:r>
      <w:r w:rsidRPr="00263CAF">
        <w:tab/>
        <w:t>Australia Mekong NGO Engagement Platform</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ARC</w:t>
      </w:r>
      <w:r w:rsidRPr="00263CAF">
        <w:tab/>
        <w:t>Australian Red Cross</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CBDRM</w:t>
      </w:r>
      <w:r w:rsidRPr="00263CAF">
        <w:tab/>
        <w:t>Community Based Disaster Risk Management</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CCA</w:t>
      </w:r>
      <w:r w:rsidRPr="00263CAF">
        <w:tab/>
        <w:t>Climate Change Adaptation</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CCCAG</w:t>
      </w:r>
      <w:r w:rsidRPr="00263CAF">
        <w:tab/>
        <w:t>Community-based Climate Change Action Grants</w:t>
      </w:r>
    </w:p>
    <w:p w:rsidR="000B1D99" w:rsidRPr="00263CAF" w:rsidRDefault="000B1D99" w:rsidP="000B1D99">
      <w:pPr>
        <w:tabs>
          <w:tab w:val="left" w:pos="1809"/>
          <w:tab w:val="left" w:pos="9281"/>
        </w:tabs>
        <w:rPr>
          <w:rFonts w:ascii="Century Gothic" w:hAnsi="Century Gothic"/>
          <w:sz w:val="22"/>
        </w:rPr>
      </w:pPr>
      <w:r w:rsidRPr="00263CAF">
        <w:rPr>
          <w:rFonts w:ascii="Century Gothic" w:hAnsi="Century Gothic"/>
          <w:i/>
          <w:sz w:val="22"/>
        </w:rPr>
        <w:t>CSFC</w:t>
      </w:r>
      <w:r w:rsidRPr="00263CAF">
        <w:rPr>
          <w:rFonts w:ascii="Century Gothic" w:hAnsi="Century Gothic" w:cs="Times New Roman"/>
          <w:bCs/>
          <w:i/>
          <w:sz w:val="22"/>
        </w:rPr>
        <w:tab/>
      </w:r>
      <w:r w:rsidRPr="00263CAF">
        <w:rPr>
          <w:rFonts w:ascii="Century Gothic" w:hAnsi="Century Gothic"/>
          <w:sz w:val="22"/>
        </w:rPr>
        <w:t xml:space="preserve">Committee for Storm and Flood Control </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lang w:val="en-AU"/>
        </w:rPr>
      </w:pPr>
      <w:r w:rsidRPr="00263CAF">
        <w:rPr>
          <w:i/>
        </w:rPr>
        <w:t>CSO</w:t>
      </w:r>
      <w:r w:rsidRPr="00263CAF">
        <w:rPr>
          <w:i/>
        </w:rPr>
        <w:tab/>
      </w:r>
      <w:r w:rsidRPr="00263CAF">
        <w:rPr>
          <w:lang w:val="en-AU"/>
        </w:rPr>
        <w:t>Civil Society Organisation/s</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lang w:val="en-AU"/>
        </w:rPr>
      </w:pPr>
      <w:r w:rsidRPr="00263CAF">
        <w:rPr>
          <w:i/>
        </w:rPr>
        <w:t>DARD</w:t>
      </w:r>
      <w:r w:rsidRPr="00263CAF">
        <w:rPr>
          <w:i/>
        </w:rPr>
        <w:tab/>
      </w:r>
      <w:r w:rsidRPr="00263CAF">
        <w:rPr>
          <w:lang w:val="en-AU"/>
        </w:rPr>
        <w:t>Department of Agriculture and Rural Development</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rPr>
          <w:i/>
        </w:rPr>
        <w:t>DFAT</w:t>
      </w:r>
      <w:r w:rsidRPr="00263CAF">
        <w:rPr>
          <w:i/>
        </w:rPr>
        <w:tab/>
      </w:r>
      <w:r w:rsidRPr="00263CAF">
        <w:rPr>
          <w:lang w:val="en-AU"/>
        </w:rPr>
        <w:t>Department of Foreign Affairs and Trade</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rFonts w:cs="Arial"/>
          <w:szCs w:val="22"/>
          <w:lang w:val="en-GB"/>
        </w:rPr>
      </w:pPr>
      <w:r w:rsidRPr="00263CAF">
        <w:t>DRR</w:t>
      </w:r>
      <w:r w:rsidRPr="00263CAF">
        <w:tab/>
      </w:r>
      <w:r w:rsidRPr="00263CAF">
        <w:rPr>
          <w:rFonts w:cs="Arial"/>
          <w:szCs w:val="22"/>
          <w:lang w:val="en-GB"/>
        </w:rPr>
        <w:t>Disaster Risk Reduction</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EDF</w:t>
      </w:r>
      <w:r w:rsidRPr="00263CAF">
        <w:tab/>
      </w:r>
      <w:r w:rsidRPr="00263CAF">
        <w:rPr>
          <w:rFonts w:cs="Arial"/>
          <w:szCs w:val="22"/>
          <w:lang w:val="en-GB"/>
        </w:rPr>
        <w:t xml:space="preserve">Environmental Defence Fund </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rFonts w:cs="Arial"/>
          <w:szCs w:val="22"/>
          <w:lang w:val="en-GB"/>
        </w:rPr>
      </w:pPr>
      <w:r w:rsidRPr="00263CAF">
        <w:t>EOPO/s</w:t>
      </w:r>
      <w:r w:rsidRPr="00263CAF">
        <w:tab/>
      </w:r>
      <w:r w:rsidRPr="00263CAF">
        <w:rPr>
          <w:rFonts w:cs="Arial"/>
          <w:szCs w:val="22"/>
          <w:lang w:val="en-GB"/>
        </w:rPr>
        <w:t>End of Program Outcome/s</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GHG</w:t>
      </w:r>
      <w:r w:rsidRPr="00263CAF">
        <w:tab/>
        <w:t>Greenhouse Gas</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GoV</w:t>
      </w:r>
      <w:r w:rsidRPr="00263CAF">
        <w:tab/>
        <w:t>Government of Vietnam</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M&amp;E</w:t>
      </w:r>
      <w:r w:rsidRPr="00263CAF">
        <w:tab/>
        <w:t>Monitoring and Evaluation</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MARD</w:t>
      </w:r>
      <w:r w:rsidRPr="00263CAF">
        <w:tab/>
        <w:t>Ministry of Agriculture and Rural Development</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MDGs</w:t>
      </w:r>
      <w:r w:rsidRPr="00263CAF">
        <w:tab/>
        <w:t>Millennium Development Goals</w:t>
      </w:r>
    </w:p>
    <w:p w:rsidR="000B1D99" w:rsidRPr="00263CAF" w:rsidRDefault="000B1D99" w:rsidP="000B1D99">
      <w:pPr>
        <w:tabs>
          <w:tab w:val="left" w:pos="1809"/>
          <w:tab w:val="left" w:pos="9281"/>
        </w:tabs>
        <w:rPr>
          <w:rFonts w:ascii="Century Gothic" w:hAnsi="Century Gothic"/>
          <w:sz w:val="22"/>
        </w:rPr>
      </w:pPr>
      <w:r w:rsidRPr="00263CAF">
        <w:rPr>
          <w:rFonts w:ascii="Century Gothic" w:hAnsi="Century Gothic"/>
          <w:sz w:val="22"/>
        </w:rPr>
        <w:t>MONRE</w:t>
      </w:r>
      <w:r w:rsidRPr="00263CAF">
        <w:rPr>
          <w:rFonts w:ascii="Century Gothic" w:hAnsi="Century Gothic" w:cs="Times New Roman"/>
          <w:bCs/>
          <w:sz w:val="22"/>
        </w:rPr>
        <w:tab/>
      </w:r>
      <w:r w:rsidRPr="00263CAF">
        <w:rPr>
          <w:rFonts w:ascii="Century Gothic" w:hAnsi="Century Gothic"/>
          <w:sz w:val="22"/>
        </w:rPr>
        <w:t>Ministry of Natural Resources and Environment</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pPr>
      <w:r w:rsidRPr="00263CAF">
        <w:t>NGO</w:t>
      </w:r>
      <w:r w:rsidRPr="00263CAF">
        <w:tab/>
        <w:t>Non Government Organisation/s</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lang w:val="en-AU"/>
        </w:rPr>
      </w:pPr>
      <w:r w:rsidRPr="00263CAF">
        <w:t>NTP-RCC</w:t>
      </w:r>
      <w:r w:rsidRPr="00263CAF">
        <w:tab/>
        <w:t>National Target Program to Respond to Climate Change</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lang w:val="en-AU"/>
        </w:rPr>
      </w:pPr>
      <w:r w:rsidRPr="00263CAF">
        <w:t>PLWD</w:t>
      </w:r>
      <w:r w:rsidRPr="00263CAF">
        <w:tab/>
      </w:r>
      <w:r w:rsidRPr="00263CAF">
        <w:rPr>
          <w:lang w:val="en-AU"/>
        </w:rPr>
        <w:t>People Living With Disability</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lang w:val="en-AU"/>
        </w:rPr>
      </w:pPr>
      <w:r w:rsidRPr="00263CAF">
        <w:t>PQRG</w:t>
      </w:r>
      <w:r w:rsidRPr="00263CAF">
        <w:tab/>
      </w:r>
      <w:r w:rsidRPr="00263CAF">
        <w:rPr>
          <w:lang w:val="en-AU"/>
        </w:rPr>
        <w:t>AMNEP Program Quality Resource Group</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rFonts w:cs="Arial"/>
          <w:szCs w:val="22"/>
          <w:lang w:val="en-GB"/>
        </w:rPr>
      </w:pPr>
      <w:r w:rsidRPr="00263CAF">
        <w:t>SC</w:t>
      </w:r>
      <w:r w:rsidRPr="00263CAF">
        <w:tab/>
      </w:r>
      <w:r w:rsidRPr="00263CAF">
        <w:rPr>
          <w:rFonts w:cs="Arial"/>
          <w:szCs w:val="22"/>
          <w:lang w:val="en-GB"/>
        </w:rPr>
        <w:t>Save the Children</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rFonts w:cs="Arial"/>
          <w:lang w:val="en-GB"/>
        </w:rPr>
      </w:pPr>
      <w:r w:rsidRPr="00263CAF">
        <w:t>SNV</w:t>
      </w:r>
      <w:r w:rsidRPr="00263CAF">
        <w:tab/>
      </w:r>
      <w:r w:rsidRPr="00263CAF">
        <w:rPr>
          <w:rFonts w:cs="Arial"/>
          <w:szCs w:val="22"/>
          <w:lang w:val="en-GB"/>
        </w:rPr>
        <w:t xml:space="preserve">Netherlands Development Organisation </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rFonts w:cs="Arial"/>
          <w:lang w:val="en-GB"/>
        </w:rPr>
      </w:pPr>
      <w:r w:rsidRPr="00263CAF">
        <w:t>SRI</w:t>
      </w:r>
      <w:r w:rsidRPr="00263CAF">
        <w:tab/>
      </w:r>
      <w:r w:rsidRPr="00263CAF">
        <w:rPr>
          <w:rFonts w:cs="Arial"/>
          <w:lang w:val="en-GB"/>
        </w:rPr>
        <w:t>System of Rice Intensification</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rFonts w:cs="Arial"/>
          <w:lang w:val="en-GB"/>
        </w:rPr>
      </w:pPr>
      <w:r w:rsidRPr="00263CAF">
        <w:t>tCO2e</w:t>
      </w:r>
      <w:r w:rsidRPr="00263CAF">
        <w:tab/>
      </w:r>
      <w:r w:rsidRPr="00263CAF">
        <w:rPr>
          <w:rFonts w:cs="Arial"/>
          <w:lang w:val="en-GB"/>
        </w:rPr>
        <w:t>Tonnes of Carbon Dioxide Equivalent</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rFonts w:cs="Arial"/>
          <w:lang w:val="en-GB"/>
        </w:rPr>
      </w:pPr>
      <w:r w:rsidRPr="00263CAF">
        <w:t>ToC</w:t>
      </w:r>
      <w:r w:rsidRPr="00263CAF">
        <w:tab/>
      </w:r>
      <w:r w:rsidRPr="00263CAF">
        <w:rPr>
          <w:rFonts w:cs="Arial"/>
          <w:lang w:val="en-GB"/>
        </w:rPr>
        <w:t>Theory of Change</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szCs w:val="22"/>
        </w:rPr>
      </w:pPr>
      <w:r w:rsidRPr="00263CAF">
        <w:t>VANGOCA</w:t>
      </w:r>
      <w:r w:rsidRPr="00263CAF">
        <w:tab/>
      </w:r>
      <w:r w:rsidRPr="00263CAF">
        <w:rPr>
          <w:rFonts w:cs="Arial"/>
          <w:lang w:val="en-GB"/>
        </w:rPr>
        <w:t>Vietnam-Australia NGO Cooperation Assistance Program</w:t>
      </w:r>
    </w:p>
    <w:p w:rsidR="000C3659"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szCs w:val="22"/>
        </w:rPr>
      </w:pPr>
      <w:r w:rsidRPr="00263CAF">
        <w:t>VGGS</w:t>
      </w:r>
      <w:r w:rsidRPr="00263CAF">
        <w:tab/>
      </w:r>
      <w:r w:rsidRPr="00263CAF">
        <w:rPr>
          <w:szCs w:val="22"/>
        </w:rPr>
        <w:t>Vietnam Green Growth Strategy</w:t>
      </w:r>
    </w:p>
    <w:p w:rsidR="000B1D99" w:rsidRPr="00263CAF" w:rsidRDefault="000C365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lang w:val="en-AU"/>
        </w:rPr>
      </w:pPr>
      <w:r>
        <w:rPr>
          <w:szCs w:val="22"/>
        </w:rPr>
        <w:t>VNRC</w:t>
      </w:r>
      <w:r>
        <w:rPr>
          <w:szCs w:val="22"/>
        </w:rPr>
        <w:tab/>
        <w:t>Vietnam Red Cross</w:t>
      </w:r>
    </w:p>
    <w:p w:rsidR="000B1D99" w:rsidRPr="00263CAF" w:rsidRDefault="000B1D99" w:rsidP="000B1D99">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809"/>
          <w:tab w:val="left" w:pos="9281"/>
        </w:tabs>
        <w:jc w:val="left"/>
        <w:rPr>
          <w:szCs w:val="22"/>
        </w:rPr>
      </w:pPr>
      <w:r w:rsidRPr="00263CAF">
        <w:t>WU</w:t>
      </w:r>
      <w:r w:rsidRPr="00263CAF">
        <w:tab/>
        <w:t>Women’s Union</w:t>
      </w:r>
    </w:p>
    <w:p w:rsidR="000B1D99" w:rsidRDefault="000B1D99" w:rsidP="000B1D99">
      <w:pPr>
        <w:rPr>
          <w:rFonts w:asciiTheme="majorHAnsi" w:eastAsiaTheme="majorEastAsia" w:hAnsiTheme="majorHAnsi" w:cstheme="majorBidi"/>
          <w:b/>
          <w:bCs/>
          <w:color w:val="345A8A" w:themeColor="accent1" w:themeShade="B5"/>
          <w:sz w:val="32"/>
          <w:szCs w:val="32"/>
        </w:rPr>
      </w:pPr>
    </w:p>
    <w:p w:rsidR="000B1D99" w:rsidRPr="00BE206D" w:rsidRDefault="000B1D99" w:rsidP="000B1D99">
      <w:pPr>
        <w:rPr>
          <w:rStyle w:val="Heading1Char"/>
        </w:rPr>
      </w:pPr>
      <w:r w:rsidRPr="00A83960">
        <w:rPr>
          <w:rStyle w:val="Heading1Char"/>
        </w:rPr>
        <w:t>Definitions</w:t>
      </w:r>
      <w:r>
        <w:rPr>
          <w:rStyle w:val="Heading1Char"/>
        </w:rPr>
        <w:tab/>
      </w:r>
    </w:p>
    <w:p w:rsidR="000B1D99" w:rsidRDefault="000B1D99" w:rsidP="000B1D99">
      <w:pPr>
        <w:jc w:val="both"/>
        <w:rPr>
          <w:rStyle w:val="Heading1Char"/>
        </w:rPr>
      </w:pPr>
      <w:r>
        <w:rPr>
          <w:rFonts w:ascii="Century Gothic" w:hAnsi="Century Gothic"/>
          <w:b/>
          <w:sz w:val="22"/>
          <w:szCs w:val="22"/>
        </w:rPr>
        <w:t xml:space="preserve">Climate Change </w:t>
      </w:r>
      <w:r w:rsidRPr="006F4ED9">
        <w:rPr>
          <w:rFonts w:ascii="Century Gothic" w:hAnsi="Century Gothic"/>
          <w:b/>
          <w:sz w:val="22"/>
          <w:szCs w:val="22"/>
        </w:rPr>
        <w:t>Adaptation</w:t>
      </w:r>
      <w:r w:rsidRPr="002C1549">
        <w:rPr>
          <w:rStyle w:val="Heading1Char"/>
          <w:rFonts w:ascii="Century Gothic" w:hAnsi="Century Gothic"/>
          <w:sz w:val="22"/>
          <w:szCs w:val="22"/>
        </w:rPr>
        <w:t xml:space="preserve"> </w:t>
      </w:r>
      <w:r w:rsidRPr="006D34DE">
        <w:rPr>
          <w:rStyle w:val="Heading1Char"/>
          <w:rFonts w:ascii="Century Gothic" w:hAnsi="Century Gothic"/>
          <w:b w:val="0"/>
          <w:color w:val="auto"/>
          <w:sz w:val="22"/>
          <w:szCs w:val="22"/>
        </w:rPr>
        <w:t>refers to the</w:t>
      </w:r>
      <w:r>
        <w:rPr>
          <w:rStyle w:val="Heading1Char"/>
          <w:rFonts w:ascii="Century Gothic" w:hAnsi="Century Gothic"/>
          <w:sz w:val="22"/>
          <w:szCs w:val="22"/>
        </w:rPr>
        <w:t xml:space="preserve"> </w:t>
      </w:r>
      <w:r>
        <w:rPr>
          <w:rFonts w:ascii="Century Gothic" w:hAnsi="Century Gothic"/>
          <w:sz w:val="22"/>
          <w:szCs w:val="22"/>
        </w:rPr>
        <w:t>a</w:t>
      </w:r>
      <w:r w:rsidRPr="006F4ED9">
        <w:rPr>
          <w:rFonts w:ascii="Century Gothic" w:hAnsi="Century Gothic"/>
          <w:sz w:val="22"/>
          <w:szCs w:val="22"/>
        </w:rPr>
        <w:t xml:space="preserve">djustment in natural or human systems in response to actual or expected climatic stimuli or their effects, which moderates harm or exploits beneficial opportunities. Various types of adaptation can be distinguished, including anticipatory and reactive adaptation, private and public adaptation, and autonomous and planned </w:t>
      </w:r>
      <w:r>
        <w:rPr>
          <w:rFonts w:ascii="Century Gothic" w:hAnsi="Century Gothic"/>
          <w:sz w:val="22"/>
          <w:szCs w:val="22"/>
        </w:rPr>
        <w:t>adaptation</w:t>
      </w:r>
      <w:r w:rsidRPr="006F4ED9">
        <w:rPr>
          <w:rStyle w:val="FootnoteReference"/>
          <w:rFonts w:ascii="Century Gothic" w:hAnsi="Century Gothic"/>
          <w:sz w:val="22"/>
          <w:szCs w:val="22"/>
        </w:rPr>
        <w:footnoteReference w:id="2"/>
      </w:r>
      <w:r>
        <w:rPr>
          <w:rFonts w:ascii="Century Gothic" w:hAnsi="Century Gothic"/>
          <w:sz w:val="22"/>
          <w:szCs w:val="22"/>
        </w:rPr>
        <w:t>.</w:t>
      </w:r>
      <w:r w:rsidRPr="006F4ED9">
        <w:rPr>
          <w:rFonts w:ascii="Century Gothic" w:hAnsi="Century Gothic"/>
          <w:sz w:val="22"/>
          <w:szCs w:val="22"/>
        </w:rPr>
        <w:t xml:space="preserve"> </w:t>
      </w:r>
    </w:p>
    <w:p w:rsidR="000B1D99" w:rsidRPr="008A3368" w:rsidRDefault="000B1D99" w:rsidP="000B1D99">
      <w:pPr>
        <w:jc w:val="both"/>
        <w:rPr>
          <w:rStyle w:val="Heading1Char"/>
        </w:rPr>
      </w:pPr>
    </w:p>
    <w:p w:rsidR="000B1D99" w:rsidRPr="008A3368" w:rsidRDefault="000B1D99" w:rsidP="000B1D99">
      <w:pPr>
        <w:jc w:val="both"/>
        <w:rPr>
          <w:rFonts w:asciiTheme="majorHAnsi" w:eastAsiaTheme="majorEastAsia" w:hAnsiTheme="majorHAnsi" w:cstheme="majorBidi"/>
          <w:b/>
          <w:bCs/>
          <w:color w:val="345A8A" w:themeColor="accent1" w:themeShade="B5"/>
          <w:sz w:val="32"/>
          <w:szCs w:val="32"/>
        </w:rPr>
      </w:pPr>
      <w:r w:rsidRPr="00BE206D">
        <w:rPr>
          <w:rFonts w:ascii="Century Gothic" w:hAnsi="Century Gothic" w:cs="Helvetica"/>
          <w:b/>
          <w:sz w:val="22"/>
        </w:rPr>
        <w:t>Climate Change Mitigation</w:t>
      </w:r>
      <w:r>
        <w:rPr>
          <w:rFonts w:ascii="Century Gothic" w:hAnsi="Century Gothic" w:cs="Helvetica"/>
          <w:b/>
          <w:sz w:val="22"/>
        </w:rPr>
        <w:t xml:space="preserve"> </w:t>
      </w:r>
      <w:r w:rsidRPr="003F5244">
        <w:rPr>
          <w:rFonts w:ascii="Century Gothic" w:hAnsi="Century Gothic" w:cs="Helvetica"/>
          <w:sz w:val="22"/>
        </w:rPr>
        <w:t>refers to</w:t>
      </w:r>
      <w:r>
        <w:rPr>
          <w:rFonts w:ascii="Century Gothic" w:hAnsi="Century Gothic" w:cs="Helvetica"/>
          <w:sz w:val="22"/>
        </w:rPr>
        <w:t xml:space="preserve"> an </w:t>
      </w:r>
      <w:r w:rsidRPr="00BE206D">
        <w:rPr>
          <w:rFonts w:ascii="Century Gothic" w:hAnsi="Century Gothic" w:cs="Helvetica"/>
          <w:sz w:val="22"/>
        </w:rPr>
        <w:t>intervention or activity to reduce the anthropogenic forcing of t</w:t>
      </w:r>
      <w:r>
        <w:rPr>
          <w:rFonts w:ascii="Century Gothic" w:hAnsi="Century Gothic" w:cs="Helvetica"/>
          <w:sz w:val="22"/>
        </w:rPr>
        <w:t>he climate system.</w:t>
      </w:r>
      <w:r w:rsidRPr="00BE206D">
        <w:rPr>
          <w:rFonts w:ascii="Century Gothic" w:hAnsi="Century Gothic" w:cs="Helvetica"/>
          <w:sz w:val="22"/>
        </w:rPr>
        <w:t xml:space="preserve"> </w:t>
      </w:r>
      <w:r>
        <w:rPr>
          <w:rFonts w:ascii="Century Gothic" w:hAnsi="Century Gothic" w:cs="Helvetica"/>
          <w:sz w:val="22"/>
        </w:rPr>
        <w:t>I</w:t>
      </w:r>
      <w:r w:rsidRPr="00BE206D">
        <w:rPr>
          <w:rFonts w:ascii="Century Gothic" w:hAnsi="Century Gothic" w:cs="Helvetica"/>
          <w:sz w:val="22"/>
        </w:rPr>
        <w:t>t includes strategies to reduce greenhouse gas emissions and enhance greenhouse gas sinks</w:t>
      </w:r>
      <w:r>
        <w:rPr>
          <w:rStyle w:val="FootnoteReference"/>
          <w:rFonts w:ascii="Century Gothic" w:hAnsi="Century Gothic" w:cs="Helvetica"/>
          <w:sz w:val="22"/>
        </w:rPr>
        <w:footnoteReference w:id="3"/>
      </w:r>
      <w:r w:rsidRPr="00BE206D">
        <w:rPr>
          <w:rFonts w:ascii="Century Gothic" w:hAnsi="Century Gothic" w:cs="Helvetica"/>
          <w:sz w:val="22"/>
        </w:rPr>
        <w:t>.</w:t>
      </w:r>
    </w:p>
    <w:p w:rsidR="000B1D99" w:rsidRDefault="000B1D99" w:rsidP="000B1D99">
      <w:pPr>
        <w:pStyle w:val="BodyText"/>
        <w:rPr>
          <w:rFonts w:ascii="Century Gothic" w:hAnsi="Century Gothic"/>
          <w:b/>
          <w:sz w:val="22"/>
        </w:rPr>
      </w:pPr>
    </w:p>
    <w:p w:rsidR="000B1D99" w:rsidRPr="0094647A" w:rsidRDefault="000B1D99" w:rsidP="000B1D99">
      <w:pPr>
        <w:pStyle w:val="BodyText"/>
        <w:rPr>
          <w:rFonts w:ascii="Century Gothic" w:hAnsi="Century Gothic"/>
          <w:sz w:val="22"/>
        </w:rPr>
      </w:pPr>
      <w:r w:rsidRPr="0094647A">
        <w:rPr>
          <w:rFonts w:ascii="Century Gothic" w:hAnsi="Century Gothic"/>
          <w:b/>
          <w:sz w:val="22"/>
        </w:rPr>
        <w:t>Civil Society Organisation (CSO)</w:t>
      </w:r>
      <w:r w:rsidRPr="0094647A">
        <w:rPr>
          <w:rFonts w:ascii="Century Gothic" w:hAnsi="Century Gothic"/>
          <w:sz w:val="22"/>
        </w:rPr>
        <w:t xml:space="preserve"> </w:t>
      </w:r>
      <w:r>
        <w:rPr>
          <w:rFonts w:ascii="Century Gothic" w:hAnsi="Century Gothic"/>
          <w:sz w:val="22"/>
        </w:rPr>
        <w:t>r</w:t>
      </w:r>
      <w:r w:rsidRPr="0094647A">
        <w:rPr>
          <w:rFonts w:ascii="Century Gothic" w:hAnsi="Century Gothic"/>
          <w:sz w:val="22"/>
        </w:rPr>
        <w:t xml:space="preserve">efers to a wide range of non-government and non-market organisations through which people organise themselves to pursue shared interests </w:t>
      </w:r>
      <w:r w:rsidRPr="0094647A">
        <w:rPr>
          <w:rFonts w:ascii="Century Gothic" w:hAnsi="Century Gothic"/>
          <w:sz w:val="22"/>
        </w:rPr>
        <w:lastRenderedPageBreak/>
        <w:t>or values in public life</w:t>
      </w:r>
      <w:r w:rsidRPr="0094647A">
        <w:rPr>
          <w:rStyle w:val="FootnoteReference"/>
          <w:rFonts w:ascii="Century Gothic" w:hAnsi="Century Gothic"/>
          <w:sz w:val="22"/>
        </w:rPr>
        <w:footnoteReference w:id="4"/>
      </w:r>
      <w:r w:rsidRPr="0094647A">
        <w:rPr>
          <w:rFonts w:ascii="Century Gothic" w:hAnsi="Century Gothic"/>
          <w:sz w:val="22"/>
        </w:rPr>
        <w:t>. This includes organisations such as registered charities, village and community based organisation/s (CBO/s), non-government organisations (NGOs), faith-based organisation/s (FBOs), women's organisations, co-operatives, professional associations, </w:t>
      </w:r>
      <w:hyperlink r:id="rId8" w:tgtFrame="_top" w:history="1">
        <w:r w:rsidRPr="0094647A">
          <w:rPr>
            <w:rFonts w:ascii="Century Gothic" w:hAnsi="Century Gothic"/>
            <w:sz w:val="22"/>
          </w:rPr>
          <w:t>trade unions</w:t>
        </w:r>
      </w:hyperlink>
      <w:r w:rsidRPr="0094647A">
        <w:rPr>
          <w:rFonts w:ascii="Century Gothic" w:hAnsi="Century Gothic"/>
          <w:sz w:val="22"/>
        </w:rPr>
        <w:t>, self-help groups, </w:t>
      </w:r>
      <w:hyperlink r:id="rId9" w:tgtFrame="_top" w:history="1">
        <w:r w:rsidRPr="0094647A">
          <w:rPr>
            <w:rFonts w:ascii="Century Gothic" w:hAnsi="Century Gothic"/>
            <w:sz w:val="22"/>
          </w:rPr>
          <w:t>social movements</w:t>
        </w:r>
      </w:hyperlink>
      <w:r w:rsidRPr="0094647A">
        <w:rPr>
          <w:rFonts w:ascii="Century Gothic" w:hAnsi="Century Gothic"/>
          <w:sz w:val="22"/>
        </w:rPr>
        <w:t>, business associations, coalitions and advocacy groups, disabled people’s organisations (DPO/s), indigenous groups, chambers of commerce, independent research institutes and the not-for-profit media.</w:t>
      </w:r>
    </w:p>
    <w:p w:rsidR="000B1D99" w:rsidRDefault="000B1D99" w:rsidP="000B1D99"/>
    <w:p w:rsidR="000B1D99" w:rsidRPr="004C7444" w:rsidRDefault="000B1D99" w:rsidP="000B1D99">
      <w:pPr>
        <w:jc w:val="both"/>
        <w:rPr>
          <w:rFonts w:ascii="Century Gothic" w:hAnsi="Century Gothic"/>
          <w:sz w:val="22"/>
          <w:szCs w:val="20"/>
          <w:lang w:val="en-AU"/>
        </w:rPr>
      </w:pPr>
      <w:r w:rsidRPr="004C7444">
        <w:rPr>
          <w:rFonts w:ascii="Century Gothic" w:hAnsi="Century Gothic"/>
          <w:b/>
          <w:sz w:val="22"/>
          <w:szCs w:val="20"/>
          <w:lang w:val="en-AU"/>
        </w:rPr>
        <w:t>Disaster Risk Reduction (DRR)</w:t>
      </w:r>
      <w:r>
        <w:rPr>
          <w:rFonts w:ascii="Century Gothic" w:hAnsi="Century Gothic"/>
          <w:sz w:val="22"/>
          <w:szCs w:val="20"/>
          <w:lang w:val="en-AU"/>
        </w:rPr>
        <w:t xml:space="preserve"> is the concept and practice of reducing disaster risks through systematic efforts to analyse and reduce the causal factors of disasters, reducing exposure to hazards, lessening vulnerability of people and property, wise management of land and the environment, and improving preparedness and early warning for adverse events are all examples of DRR</w:t>
      </w:r>
      <w:r>
        <w:rPr>
          <w:rStyle w:val="FootnoteReference"/>
          <w:rFonts w:ascii="Century Gothic" w:hAnsi="Century Gothic"/>
          <w:sz w:val="22"/>
          <w:szCs w:val="20"/>
          <w:lang w:val="en-AU"/>
        </w:rPr>
        <w:footnoteReference w:id="5"/>
      </w:r>
      <w:r>
        <w:rPr>
          <w:rFonts w:ascii="Century Gothic" w:hAnsi="Century Gothic"/>
          <w:sz w:val="22"/>
          <w:szCs w:val="20"/>
          <w:lang w:val="en-AU"/>
        </w:rPr>
        <w:t>.</w:t>
      </w:r>
    </w:p>
    <w:p w:rsidR="000B1D99" w:rsidRDefault="000B1D99" w:rsidP="000B1D99"/>
    <w:p w:rsidR="000B1D99" w:rsidRDefault="000B1D99" w:rsidP="000B1D99">
      <w:pPr>
        <w:pStyle w:val="DonnasStyle"/>
      </w:pPr>
      <w:r w:rsidRPr="00D767B6">
        <w:rPr>
          <w:b/>
        </w:rPr>
        <w:t>Partnership:</w:t>
      </w:r>
      <w:r>
        <w:t xml:space="preserve"> In the context of AMNEP, partnership is not seen as a specific way of operating, but as a broader approach to the way in which DFAT and NGOs do business. Because AM-NEP addresses multiple sectors across a regional portfolio, a range of partnering approaches is expected. In this context partnership is defined as an ongoing working relationship where risks and benefits are shared. A partnership is based on principles of equity, transparency and mutual accountability. In practical terms this means that each partner is involved in co-creating projects and programs, committing tangible resource contributions and mutual accountability</w:t>
      </w:r>
      <w:r>
        <w:rPr>
          <w:rStyle w:val="FootnoteReference"/>
        </w:rPr>
        <w:footnoteReference w:id="6"/>
      </w:r>
      <w:r>
        <w:t xml:space="preserve">. </w:t>
      </w:r>
    </w:p>
    <w:p w:rsidR="000B1D99" w:rsidRDefault="000B1D99" w:rsidP="000B1D99">
      <w:pPr>
        <w:rPr>
          <w:b/>
        </w:rPr>
      </w:pPr>
    </w:p>
    <w:p w:rsidR="000B1D99" w:rsidRPr="00CE1D5A" w:rsidRDefault="000B1D99" w:rsidP="000B1D99">
      <w:pPr>
        <w:jc w:val="both"/>
        <w:rPr>
          <w:rFonts w:ascii="Century Gothic" w:hAnsi="Century Gothic" w:cs="Calibri"/>
          <w:sz w:val="22"/>
          <w:lang w:val="id-ID"/>
        </w:rPr>
      </w:pPr>
      <w:r w:rsidRPr="00BC7B9D">
        <w:rPr>
          <w:rFonts w:ascii="Century Gothic" w:hAnsi="Century Gothic"/>
          <w:b/>
          <w:sz w:val="22"/>
        </w:rPr>
        <w:t xml:space="preserve">Social Inclusion: </w:t>
      </w:r>
      <w:r w:rsidRPr="00BC7B9D">
        <w:rPr>
          <w:rFonts w:ascii="Century Gothic" w:hAnsi="Century Gothic" w:cs="Calibri"/>
          <w:sz w:val="22"/>
          <w:lang w:val="id-ID"/>
        </w:rPr>
        <w:t>S</w:t>
      </w:r>
      <w:r w:rsidRPr="00BC7B9D">
        <w:rPr>
          <w:rFonts w:ascii="Century Gothic" w:hAnsi="Century Gothic" w:cs="Calibri"/>
          <w:sz w:val="22"/>
        </w:rPr>
        <w:t>ocial inclusion is a</w:t>
      </w:r>
      <w:r w:rsidRPr="00BC7B9D">
        <w:rPr>
          <w:rFonts w:ascii="Century Gothic" w:hAnsi="Century Gothic" w:cs="Calibri"/>
          <w:sz w:val="22"/>
          <w:lang w:val="id-ID"/>
        </w:rPr>
        <w:t xml:space="preserve"> </w:t>
      </w:r>
      <w:r w:rsidRPr="00BC7B9D">
        <w:rPr>
          <w:rFonts w:ascii="Century Gothic" w:hAnsi="Century Gothic" w:cs="Calibri"/>
          <w:b/>
          <w:sz w:val="22"/>
          <w:lang w:val="id-ID"/>
        </w:rPr>
        <w:t>value, process and outcome</w:t>
      </w:r>
      <w:r w:rsidRPr="00BC7B9D">
        <w:rPr>
          <w:rFonts w:ascii="Century Gothic" w:hAnsi="Century Gothic" w:cs="Calibri"/>
          <w:sz w:val="22"/>
          <w:lang w:val="id-ID"/>
        </w:rPr>
        <w:t xml:space="preserve"> in which</w:t>
      </w:r>
      <w:r w:rsidRPr="00BC7B9D">
        <w:rPr>
          <w:rFonts w:ascii="Century Gothic" w:hAnsi="Century Gothic" w:cs="Calibri"/>
          <w:i/>
          <w:sz w:val="22"/>
          <w:lang w:val="id-ID"/>
        </w:rPr>
        <w:t xml:space="preserve"> </w:t>
      </w:r>
      <w:r w:rsidRPr="00BC7B9D">
        <w:rPr>
          <w:rFonts w:ascii="Century Gothic" w:hAnsi="Century Gothic" w:cs="Calibri"/>
          <w:sz w:val="22"/>
          <w:lang w:val="id-ID"/>
        </w:rPr>
        <w:t xml:space="preserve">notions of equity, empowerment and rights are placed at the core of the development paradigm. Inclusion means that marginalised people (i.e. those who are usuallly excluded from decision making) gain </w:t>
      </w:r>
      <w:r w:rsidRPr="00BC7B9D">
        <w:rPr>
          <w:rFonts w:ascii="Century Gothic" w:eastAsia="Calibri" w:hAnsi="Century Gothic" w:cs="Arial,Bold"/>
          <w:bCs/>
          <w:sz w:val="22"/>
          <w:lang w:val="id-ID" w:eastAsia="id-ID"/>
        </w:rPr>
        <w:t xml:space="preserve">access to and control over public spaces, resources and decision making affecting their lives, and that </w:t>
      </w:r>
      <w:r w:rsidRPr="00BC7B9D">
        <w:rPr>
          <w:rFonts w:ascii="Century Gothic" w:hAnsi="Century Gothic" w:cs="Calibri"/>
          <w:sz w:val="22"/>
          <w:lang w:val="id-ID"/>
        </w:rPr>
        <w:t>government service delivery is cogisant of and responsive to their different and unique needs so that all citizens have equitable opportunities to access services</w:t>
      </w:r>
    </w:p>
    <w:p w:rsidR="000769DE" w:rsidRDefault="000769DE" w:rsidP="000B1D99">
      <w:pPr>
        <w:rPr>
          <w:rStyle w:val="Heading1Char"/>
        </w:rPr>
      </w:pPr>
    </w:p>
    <w:p w:rsidR="000769DE" w:rsidRDefault="000769DE" w:rsidP="000B1D99">
      <w:pPr>
        <w:rPr>
          <w:rStyle w:val="Heading1Char"/>
        </w:rPr>
      </w:pPr>
    </w:p>
    <w:p w:rsidR="000B1D99" w:rsidRPr="005C17D2" w:rsidRDefault="000B1D99" w:rsidP="000B1D99">
      <w:pPr>
        <w:rPr>
          <w:rFonts w:ascii="Century Gothic" w:hAnsi="Century Gothic"/>
          <w:b/>
          <w:color w:val="365F91" w:themeColor="accent1" w:themeShade="BF"/>
          <w:sz w:val="28"/>
        </w:rPr>
      </w:pPr>
      <w:r w:rsidRPr="00A83960">
        <w:rPr>
          <w:rStyle w:val="Heading1Char"/>
          <w:rFonts w:ascii="Century Gothic" w:hAnsi="Century Gothic"/>
          <w:color w:val="FF0000"/>
          <w:sz w:val="22"/>
        </w:rPr>
        <w:br w:type="page"/>
      </w:r>
      <w:r w:rsidRPr="005C17D2">
        <w:rPr>
          <w:rFonts w:ascii="Century Gothic" w:hAnsi="Century Gothic"/>
          <w:b/>
          <w:color w:val="365F91" w:themeColor="accent1" w:themeShade="BF"/>
          <w:sz w:val="28"/>
        </w:rPr>
        <w:lastRenderedPageBreak/>
        <w:t xml:space="preserve">Table of Contents </w:t>
      </w:r>
    </w:p>
    <w:p w:rsidR="000B1D99" w:rsidRPr="00A83960" w:rsidRDefault="000B1D99" w:rsidP="000B1D99">
      <w:pPr>
        <w:rPr>
          <w:rFonts w:ascii="Century Gothic" w:hAnsi="Century Gothic"/>
          <w:b/>
          <w:color w:val="FF0000"/>
        </w:rPr>
      </w:pPr>
    </w:p>
    <w:p w:rsidR="006A0C91" w:rsidRDefault="004F2071">
      <w:pPr>
        <w:pStyle w:val="TOC1"/>
        <w:tabs>
          <w:tab w:val="right" w:leader="dot" w:pos="9622"/>
        </w:tabs>
        <w:rPr>
          <w:rFonts w:eastAsiaTheme="minorEastAsia"/>
          <w:b w:val="0"/>
          <w:noProof/>
        </w:rPr>
      </w:pPr>
      <w:r>
        <w:rPr>
          <w:rFonts w:ascii="Helvetica" w:hAnsi="Helvetica" w:cs="Helvetica"/>
          <w:bCs/>
          <w:color w:val="000000"/>
          <w:u w:val="single"/>
        </w:rPr>
        <w:fldChar w:fldCharType="begin"/>
      </w:r>
      <w:r w:rsidR="000B1D99">
        <w:rPr>
          <w:rFonts w:ascii="Helvetica" w:hAnsi="Helvetica" w:cs="Helvetica"/>
          <w:bCs/>
          <w:color w:val="000000"/>
          <w:u w:val="single"/>
        </w:rPr>
        <w:instrText xml:space="preserve"> TOC \o "1-4" </w:instrText>
      </w:r>
      <w:r>
        <w:rPr>
          <w:rFonts w:ascii="Helvetica" w:hAnsi="Helvetica" w:cs="Helvetica"/>
          <w:bCs/>
          <w:color w:val="000000"/>
          <w:u w:val="single"/>
        </w:rPr>
        <w:fldChar w:fldCharType="separate"/>
      </w:r>
      <w:r w:rsidR="006A0C91">
        <w:rPr>
          <w:noProof/>
        </w:rPr>
        <w:t>Executive Summary</w:t>
      </w:r>
      <w:r w:rsidR="006A0C91">
        <w:rPr>
          <w:noProof/>
        </w:rPr>
        <w:tab/>
      </w:r>
      <w:r w:rsidR="006A0C91">
        <w:rPr>
          <w:noProof/>
        </w:rPr>
        <w:fldChar w:fldCharType="begin"/>
      </w:r>
      <w:r w:rsidR="006A0C91">
        <w:rPr>
          <w:noProof/>
        </w:rPr>
        <w:instrText xml:space="preserve"> PAGEREF _Toc266010012 \h </w:instrText>
      </w:r>
      <w:r w:rsidR="006A0C91">
        <w:rPr>
          <w:noProof/>
        </w:rPr>
      </w:r>
      <w:r w:rsidR="006A0C91">
        <w:rPr>
          <w:noProof/>
        </w:rPr>
        <w:fldChar w:fldCharType="separate"/>
      </w:r>
      <w:r w:rsidR="00F304F4">
        <w:rPr>
          <w:noProof/>
        </w:rPr>
        <w:t>6</w:t>
      </w:r>
      <w:r w:rsidR="006A0C91">
        <w:rPr>
          <w:noProof/>
        </w:rPr>
        <w:fldChar w:fldCharType="end"/>
      </w:r>
    </w:p>
    <w:p w:rsidR="006A0C91" w:rsidRDefault="006A0C91">
      <w:pPr>
        <w:pStyle w:val="TOC2"/>
        <w:tabs>
          <w:tab w:val="right" w:leader="dot" w:pos="9622"/>
        </w:tabs>
        <w:rPr>
          <w:rFonts w:eastAsiaTheme="minorEastAsia"/>
          <w:b w:val="0"/>
          <w:noProof/>
          <w:sz w:val="24"/>
          <w:szCs w:val="24"/>
        </w:rPr>
      </w:pPr>
      <w:r w:rsidRPr="00174990">
        <w:rPr>
          <w:noProof/>
          <w:lang w:val="en-GB"/>
        </w:rPr>
        <w:t>Context</w:t>
      </w:r>
      <w:r>
        <w:rPr>
          <w:noProof/>
        </w:rPr>
        <w:tab/>
      </w:r>
      <w:r>
        <w:rPr>
          <w:noProof/>
        </w:rPr>
        <w:fldChar w:fldCharType="begin"/>
      </w:r>
      <w:r>
        <w:rPr>
          <w:noProof/>
        </w:rPr>
        <w:instrText xml:space="preserve"> PAGEREF _Toc266010013 \h </w:instrText>
      </w:r>
      <w:r>
        <w:rPr>
          <w:noProof/>
        </w:rPr>
      </w:r>
      <w:r>
        <w:rPr>
          <w:noProof/>
        </w:rPr>
        <w:fldChar w:fldCharType="separate"/>
      </w:r>
      <w:r w:rsidR="00F304F4">
        <w:rPr>
          <w:noProof/>
        </w:rPr>
        <w:t>6</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Program Performance – Headline Findings</w:t>
      </w:r>
      <w:r>
        <w:rPr>
          <w:noProof/>
        </w:rPr>
        <w:tab/>
      </w:r>
      <w:r>
        <w:rPr>
          <w:noProof/>
        </w:rPr>
        <w:fldChar w:fldCharType="begin"/>
      </w:r>
      <w:r>
        <w:rPr>
          <w:noProof/>
        </w:rPr>
        <w:instrText xml:space="preserve"> PAGEREF _Toc266010014 \h </w:instrText>
      </w:r>
      <w:r>
        <w:rPr>
          <w:noProof/>
        </w:rPr>
      </w:r>
      <w:r>
        <w:rPr>
          <w:noProof/>
        </w:rPr>
        <w:fldChar w:fldCharType="separate"/>
      </w:r>
      <w:r w:rsidR="00F304F4">
        <w:rPr>
          <w:noProof/>
        </w:rPr>
        <w:t>6</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Summary of Recommendations</w:t>
      </w:r>
      <w:r>
        <w:rPr>
          <w:noProof/>
        </w:rPr>
        <w:tab/>
      </w:r>
      <w:r>
        <w:rPr>
          <w:noProof/>
        </w:rPr>
        <w:fldChar w:fldCharType="begin"/>
      </w:r>
      <w:r>
        <w:rPr>
          <w:noProof/>
        </w:rPr>
        <w:instrText xml:space="preserve"> PAGEREF _Toc266010015 \h </w:instrText>
      </w:r>
      <w:r>
        <w:rPr>
          <w:noProof/>
        </w:rPr>
      </w:r>
      <w:r>
        <w:rPr>
          <w:noProof/>
        </w:rPr>
        <w:fldChar w:fldCharType="separate"/>
      </w:r>
      <w:r w:rsidR="00F304F4">
        <w:rPr>
          <w:noProof/>
        </w:rPr>
        <w:t>7</w:t>
      </w:r>
      <w:r>
        <w:rPr>
          <w:noProof/>
        </w:rPr>
        <w:fldChar w:fldCharType="end"/>
      </w:r>
    </w:p>
    <w:p w:rsidR="006A0C91" w:rsidRDefault="006A0C91">
      <w:pPr>
        <w:pStyle w:val="TOC1"/>
        <w:tabs>
          <w:tab w:val="right" w:leader="dot" w:pos="9622"/>
        </w:tabs>
        <w:rPr>
          <w:rFonts w:eastAsiaTheme="minorEastAsia"/>
          <w:b w:val="0"/>
          <w:noProof/>
        </w:rPr>
      </w:pPr>
      <w:r>
        <w:rPr>
          <w:noProof/>
        </w:rPr>
        <w:t>Section 1: Introduction</w:t>
      </w:r>
      <w:r>
        <w:rPr>
          <w:noProof/>
        </w:rPr>
        <w:tab/>
      </w:r>
      <w:r>
        <w:rPr>
          <w:noProof/>
        </w:rPr>
        <w:fldChar w:fldCharType="begin"/>
      </w:r>
      <w:r>
        <w:rPr>
          <w:noProof/>
        </w:rPr>
        <w:instrText xml:space="preserve"> PAGEREF _Toc266010016 \h </w:instrText>
      </w:r>
      <w:r>
        <w:rPr>
          <w:noProof/>
        </w:rPr>
      </w:r>
      <w:r>
        <w:rPr>
          <w:noProof/>
        </w:rPr>
        <w:fldChar w:fldCharType="separate"/>
      </w:r>
      <w:r w:rsidR="00F304F4">
        <w:rPr>
          <w:noProof/>
        </w:rPr>
        <w:t>10</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1. Activity Background</w:t>
      </w:r>
      <w:r>
        <w:rPr>
          <w:noProof/>
        </w:rPr>
        <w:tab/>
      </w:r>
      <w:r>
        <w:rPr>
          <w:noProof/>
        </w:rPr>
        <w:fldChar w:fldCharType="begin"/>
      </w:r>
      <w:r>
        <w:rPr>
          <w:noProof/>
        </w:rPr>
        <w:instrText xml:space="preserve"> PAGEREF _Toc266010017 \h </w:instrText>
      </w:r>
      <w:r>
        <w:rPr>
          <w:noProof/>
        </w:rPr>
      </w:r>
      <w:r>
        <w:rPr>
          <w:noProof/>
        </w:rPr>
        <w:fldChar w:fldCharType="separate"/>
      </w:r>
      <w:r w:rsidR="00F304F4">
        <w:rPr>
          <w:noProof/>
        </w:rPr>
        <w:t>10</w:t>
      </w:r>
      <w:r>
        <w:rPr>
          <w:noProof/>
        </w:rPr>
        <w:fldChar w:fldCharType="end"/>
      </w:r>
    </w:p>
    <w:p w:rsidR="006A0C91" w:rsidRDefault="006A0C91">
      <w:pPr>
        <w:pStyle w:val="TOC3"/>
        <w:tabs>
          <w:tab w:val="right" w:leader="dot" w:pos="9622"/>
        </w:tabs>
        <w:rPr>
          <w:rFonts w:eastAsiaTheme="minorEastAsia"/>
          <w:noProof/>
          <w:sz w:val="24"/>
          <w:szCs w:val="24"/>
        </w:rPr>
      </w:pPr>
      <w:r>
        <w:rPr>
          <w:noProof/>
        </w:rPr>
        <w:t>1.1 Community-based Climate Change Action Grants</w:t>
      </w:r>
      <w:r>
        <w:rPr>
          <w:noProof/>
        </w:rPr>
        <w:tab/>
      </w:r>
      <w:r>
        <w:rPr>
          <w:noProof/>
        </w:rPr>
        <w:fldChar w:fldCharType="begin"/>
      </w:r>
      <w:r>
        <w:rPr>
          <w:noProof/>
        </w:rPr>
        <w:instrText xml:space="preserve"> PAGEREF _Toc266010018 \h </w:instrText>
      </w:r>
      <w:r>
        <w:rPr>
          <w:noProof/>
        </w:rPr>
      </w:r>
      <w:r>
        <w:rPr>
          <w:noProof/>
        </w:rPr>
        <w:fldChar w:fldCharType="separate"/>
      </w:r>
      <w:r w:rsidR="00F304F4">
        <w:rPr>
          <w:noProof/>
        </w:rPr>
        <w:t>10</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2. Policy Context</w:t>
      </w:r>
      <w:r>
        <w:rPr>
          <w:noProof/>
        </w:rPr>
        <w:tab/>
      </w:r>
      <w:r>
        <w:rPr>
          <w:noProof/>
        </w:rPr>
        <w:fldChar w:fldCharType="begin"/>
      </w:r>
      <w:r>
        <w:rPr>
          <w:noProof/>
        </w:rPr>
        <w:instrText xml:space="preserve"> PAGEREF _Toc266010019 \h </w:instrText>
      </w:r>
      <w:r>
        <w:rPr>
          <w:noProof/>
        </w:rPr>
      </w:r>
      <w:r>
        <w:rPr>
          <w:noProof/>
        </w:rPr>
        <w:fldChar w:fldCharType="separate"/>
      </w:r>
      <w:r w:rsidR="00F304F4">
        <w:rPr>
          <w:noProof/>
        </w:rPr>
        <w:t>10</w:t>
      </w:r>
      <w:r>
        <w:rPr>
          <w:noProof/>
        </w:rPr>
        <w:fldChar w:fldCharType="end"/>
      </w:r>
    </w:p>
    <w:p w:rsidR="006A0C91" w:rsidRDefault="006A0C91">
      <w:pPr>
        <w:pStyle w:val="TOC3"/>
        <w:tabs>
          <w:tab w:val="right" w:leader="dot" w:pos="9622"/>
        </w:tabs>
        <w:rPr>
          <w:rFonts w:eastAsiaTheme="minorEastAsia"/>
          <w:noProof/>
          <w:sz w:val="24"/>
          <w:szCs w:val="24"/>
        </w:rPr>
      </w:pPr>
      <w:r>
        <w:rPr>
          <w:noProof/>
        </w:rPr>
        <w:t>2.1. Vietnam</w:t>
      </w:r>
      <w:r>
        <w:rPr>
          <w:noProof/>
        </w:rPr>
        <w:tab/>
      </w:r>
      <w:r>
        <w:rPr>
          <w:noProof/>
        </w:rPr>
        <w:fldChar w:fldCharType="begin"/>
      </w:r>
      <w:r>
        <w:rPr>
          <w:noProof/>
        </w:rPr>
        <w:instrText xml:space="preserve"> PAGEREF _Toc266010020 \h </w:instrText>
      </w:r>
      <w:r>
        <w:rPr>
          <w:noProof/>
        </w:rPr>
      </w:r>
      <w:r>
        <w:rPr>
          <w:noProof/>
        </w:rPr>
        <w:fldChar w:fldCharType="separate"/>
      </w:r>
      <w:r w:rsidR="00F304F4">
        <w:rPr>
          <w:noProof/>
        </w:rPr>
        <w:t>10</w:t>
      </w:r>
      <w:r>
        <w:rPr>
          <w:noProof/>
        </w:rPr>
        <w:fldChar w:fldCharType="end"/>
      </w:r>
    </w:p>
    <w:p w:rsidR="006A0C91" w:rsidRDefault="006A0C91">
      <w:pPr>
        <w:pStyle w:val="TOC3"/>
        <w:tabs>
          <w:tab w:val="right" w:leader="dot" w:pos="9622"/>
        </w:tabs>
        <w:rPr>
          <w:rFonts w:eastAsiaTheme="minorEastAsia"/>
          <w:noProof/>
          <w:sz w:val="24"/>
          <w:szCs w:val="24"/>
        </w:rPr>
      </w:pPr>
      <w:r>
        <w:rPr>
          <w:noProof/>
        </w:rPr>
        <w:t>2.2a DFAT Australian Aid</w:t>
      </w:r>
      <w:r>
        <w:rPr>
          <w:noProof/>
        </w:rPr>
        <w:tab/>
      </w:r>
      <w:r>
        <w:rPr>
          <w:noProof/>
        </w:rPr>
        <w:fldChar w:fldCharType="begin"/>
      </w:r>
      <w:r>
        <w:rPr>
          <w:noProof/>
        </w:rPr>
        <w:instrText xml:space="preserve"> PAGEREF _Toc266010021 \h </w:instrText>
      </w:r>
      <w:r>
        <w:rPr>
          <w:noProof/>
        </w:rPr>
      </w:r>
      <w:r>
        <w:rPr>
          <w:noProof/>
        </w:rPr>
        <w:fldChar w:fldCharType="separate"/>
      </w:r>
      <w:r w:rsidR="00F304F4">
        <w:rPr>
          <w:noProof/>
        </w:rPr>
        <w:t>11</w:t>
      </w:r>
      <w:r>
        <w:rPr>
          <w:noProof/>
        </w:rPr>
        <w:fldChar w:fldCharType="end"/>
      </w:r>
    </w:p>
    <w:p w:rsidR="006A0C91" w:rsidRDefault="006A0C91">
      <w:pPr>
        <w:pStyle w:val="TOC3"/>
        <w:tabs>
          <w:tab w:val="right" w:leader="dot" w:pos="9622"/>
        </w:tabs>
        <w:rPr>
          <w:rFonts w:eastAsiaTheme="minorEastAsia"/>
          <w:noProof/>
          <w:sz w:val="24"/>
          <w:szCs w:val="24"/>
        </w:rPr>
      </w:pPr>
      <w:r>
        <w:rPr>
          <w:noProof/>
        </w:rPr>
        <w:t>2.3. The Australian Mekong Engagement Platform</w:t>
      </w:r>
      <w:r>
        <w:rPr>
          <w:noProof/>
        </w:rPr>
        <w:tab/>
      </w:r>
      <w:r>
        <w:rPr>
          <w:noProof/>
        </w:rPr>
        <w:fldChar w:fldCharType="begin"/>
      </w:r>
      <w:r>
        <w:rPr>
          <w:noProof/>
        </w:rPr>
        <w:instrText xml:space="preserve"> PAGEREF _Toc266010022 \h </w:instrText>
      </w:r>
      <w:r>
        <w:rPr>
          <w:noProof/>
        </w:rPr>
      </w:r>
      <w:r>
        <w:rPr>
          <w:noProof/>
        </w:rPr>
        <w:fldChar w:fldCharType="separate"/>
      </w:r>
      <w:r w:rsidR="00F304F4">
        <w:rPr>
          <w:noProof/>
        </w:rPr>
        <w:t>12</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3. The Review</w:t>
      </w:r>
      <w:r>
        <w:rPr>
          <w:noProof/>
        </w:rPr>
        <w:tab/>
      </w:r>
      <w:r>
        <w:rPr>
          <w:noProof/>
        </w:rPr>
        <w:fldChar w:fldCharType="begin"/>
      </w:r>
      <w:r>
        <w:rPr>
          <w:noProof/>
        </w:rPr>
        <w:instrText xml:space="preserve"> PAGEREF _Toc266010023 \h </w:instrText>
      </w:r>
      <w:r>
        <w:rPr>
          <w:noProof/>
        </w:rPr>
      </w:r>
      <w:r>
        <w:rPr>
          <w:noProof/>
        </w:rPr>
        <w:fldChar w:fldCharType="separate"/>
      </w:r>
      <w:r w:rsidR="00F304F4">
        <w:rPr>
          <w:noProof/>
        </w:rPr>
        <w:t>12</w:t>
      </w:r>
      <w:r>
        <w:rPr>
          <w:noProof/>
        </w:rPr>
        <w:fldChar w:fldCharType="end"/>
      </w:r>
    </w:p>
    <w:p w:rsidR="006A0C91" w:rsidRDefault="006A0C91">
      <w:pPr>
        <w:pStyle w:val="TOC3"/>
        <w:tabs>
          <w:tab w:val="right" w:leader="dot" w:pos="9622"/>
        </w:tabs>
        <w:rPr>
          <w:rFonts w:eastAsiaTheme="minorEastAsia"/>
          <w:noProof/>
          <w:sz w:val="24"/>
          <w:szCs w:val="24"/>
        </w:rPr>
      </w:pPr>
      <w:r>
        <w:rPr>
          <w:noProof/>
        </w:rPr>
        <w:t>3.1 Scope and Objectives</w:t>
      </w:r>
      <w:r>
        <w:rPr>
          <w:noProof/>
        </w:rPr>
        <w:tab/>
      </w:r>
      <w:r>
        <w:rPr>
          <w:noProof/>
        </w:rPr>
        <w:fldChar w:fldCharType="begin"/>
      </w:r>
      <w:r>
        <w:rPr>
          <w:noProof/>
        </w:rPr>
        <w:instrText xml:space="preserve"> PAGEREF _Toc266010024 \h </w:instrText>
      </w:r>
      <w:r>
        <w:rPr>
          <w:noProof/>
        </w:rPr>
      </w:r>
      <w:r>
        <w:rPr>
          <w:noProof/>
        </w:rPr>
        <w:fldChar w:fldCharType="separate"/>
      </w:r>
      <w:r w:rsidR="00F304F4">
        <w:rPr>
          <w:noProof/>
        </w:rPr>
        <w:t>12</w:t>
      </w:r>
      <w:r>
        <w:rPr>
          <w:noProof/>
        </w:rPr>
        <w:fldChar w:fldCharType="end"/>
      </w:r>
    </w:p>
    <w:p w:rsidR="006A0C91" w:rsidRDefault="006A0C91">
      <w:pPr>
        <w:pStyle w:val="TOC3"/>
        <w:tabs>
          <w:tab w:val="right" w:leader="dot" w:pos="9622"/>
        </w:tabs>
        <w:rPr>
          <w:rFonts w:eastAsiaTheme="minorEastAsia"/>
          <w:noProof/>
          <w:sz w:val="24"/>
          <w:szCs w:val="24"/>
        </w:rPr>
      </w:pPr>
      <w:r>
        <w:rPr>
          <w:noProof/>
        </w:rPr>
        <w:t>3.2. Key Questions</w:t>
      </w:r>
      <w:r>
        <w:rPr>
          <w:noProof/>
        </w:rPr>
        <w:tab/>
      </w:r>
      <w:r>
        <w:rPr>
          <w:noProof/>
        </w:rPr>
        <w:fldChar w:fldCharType="begin"/>
      </w:r>
      <w:r>
        <w:rPr>
          <w:noProof/>
        </w:rPr>
        <w:instrText xml:space="preserve"> PAGEREF _Toc266010025 \h </w:instrText>
      </w:r>
      <w:r>
        <w:rPr>
          <w:noProof/>
        </w:rPr>
      </w:r>
      <w:r>
        <w:rPr>
          <w:noProof/>
        </w:rPr>
        <w:fldChar w:fldCharType="separate"/>
      </w:r>
      <w:r w:rsidR="00F304F4">
        <w:rPr>
          <w:noProof/>
        </w:rPr>
        <w:t>12</w:t>
      </w:r>
      <w:r>
        <w:rPr>
          <w:noProof/>
        </w:rPr>
        <w:fldChar w:fldCharType="end"/>
      </w:r>
    </w:p>
    <w:p w:rsidR="006A0C91" w:rsidRDefault="006A0C91">
      <w:pPr>
        <w:pStyle w:val="TOC3"/>
        <w:tabs>
          <w:tab w:val="right" w:leader="dot" w:pos="9622"/>
        </w:tabs>
        <w:rPr>
          <w:rFonts w:eastAsiaTheme="minorEastAsia"/>
          <w:noProof/>
          <w:sz w:val="24"/>
          <w:szCs w:val="24"/>
        </w:rPr>
      </w:pPr>
      <w:r>
        <w:rPr>
          <w:noProof/>
        </w:rPr>
        <w:t>3.3. Methods</w:t>
      </w:r>
      <w:r>
        <w:rPr>
          <w:noProof/>
        </w:rPr>
        <w:tab/>
      </w:r>
      <w:r>
        <w:rPr>
          <w:noProof/>
        </w:rPr>
        <w:fldChar w:fldCharType="begin"/>
      </w:r>
      <w:r>
        <w:rPr>
          <w:noProof/>
        </w:rPr>
        <w:instrText xml:space="preserve"> PAGEREF _Toc266010026 \h </w:instrText>
      </w:r>
      <w:r>
        <w:rPr>
          <w:noProof/>
        </w:rPr>
      </w:r>
      <w:r>
        <w:rPr>
          <w:noProof/>
        </w:rPr>
        <w:fldChar w:fldCharType="separate"/>
      </w:r>
      <w:r w:rsidR="00F304F4">
        <w:rPr>
          <w:noProof/>
        </w:rPr>
        <w:t>13</w:t>
      </w:r>
      <w:r>
        <w:rPr>
          <w:noProof/>
        </w:rPr>
        <w:fldChar w:fldCharType="end"/>
      </w:r>
    </w:p>
    <w:p w:rsidR="006A0C91" w:rsidRDefault="006A0C91">
      <w:pPr>
        <w:pStyle w:val="TOC3"/>
        <w:tabs>
          <w:tab w:val="right" w:leader="dot" w:pos="9622"/>
        </w:tabs>
        <w:rPr>
          <w:rFonts w:eastAsiaTheme="minorEastAsia"/>
          <w:noProof/>
          <w:sz w:val="24"/>
          <w:szCs w:val="24"/>
        </w:rPr>
      </w:pPr>
      <w:r>
        <w:rPr>
          <w:noProof/>
        </w:rPr>
        <w:t>3.4. Limitations</w:t>
      </w:r>
      <w:r>
        <w:rPr>
          <w:noProof/>
        </w:rPr>
        <w:tab/>
      </w:r>
      <w:r>
        <w:rPr>
          <w:noProof/>
        </w:rPr>
        <w:fldChar w:fldCharType="begin"/>
      </w:r>
      <w:r>
        <w:rPr>
          <w:noProof/>
        </w:rPr>
        <w:instrText xml:space="preserve"> PAGEREF _Toc266010027 \h </w:instrText>
      </w:r>
      <w:r>
        <w:rPr>
          <w:noProof/>
        </w:rPr>
      </w:r>
      <w:r>
        <w:rPr>
          <w:noProof/>
        </w:rPr>
        <w:fldChar w:fldCharType="separate"/>
      </w:r>
      <w:r w:rsidR="00F304F4">
        <w:rPr>
          <w:noProof/>
        </w:rPr>
        <w:t>13</w:t>
      </w:r>
      <w:r>
        <w:rPr>
          <w:noProof/>
        </w:rPr>
        <w:fldChar w:fldCharType="end"/>
      </w:r>
    </w:p>
    <w:p w:rsidR="006A0C91" w:rsidRDefault="006A0C91">
      <w:pPr>
        <w:pStyle w:val="TOC3"/>
        <w:tabs>
          <w:tab w:val="right" w:leader="dot" w:pos="9622"/>
        </w:tabs>
        <w:rPr>
          <w:rFonts w:eastAsiaTheme="minorEastAsia"/>
          <w:noProof/>
          <w:sz w:val="24"/>
          <w:szCs w:val="24"/>
        </w:rPr>
      </w:pPr>
      <w:r>
        <w:rPr>
          <w:noProof/>
        </w:rPr>
        <w:t>3.5. Review Team</w:t>
      </w:r>
      <w:r>
        <w:rPr>
          <w:noProof/>
        </w:rPr>
        <w:tab/>
      </w:r>
      <w:r>
        <w:rPr>
          <w:noProof/>
        </w:rPr>
        <w:fldChar w:fldCharType="begin"/>
      </w:r>
      <w:r>
        <w:rPr>
          <w:noProof/>
        </w:rPr>
        <w:instrText xml:space="preserve"> PAGEREF _Toc266010028 \h </w:instrText>
      </w:r>
      <w:r>
        <w:rPr>
          <w:noProof/>
        </w:rPr>
      </w:r>
      <w:r>
        <w:rPr>
          <w:noProof/>
        </w:rPr>
        <w:fldChar w:fldCharType="separate"/>
      </w:r>
      <w:r w:rsidR="00F304F4">
        <w:rPr>
          <w:noProof/>
        </w:rPr>
        <w:t>13</w:t>
      </w:r>
      <w:r>
        <w:rPr>
          <w:noProof/>
        </w:rPr>
        <w:fldChar w:fldCharType="end"/>
      </w:r>
    </w:p>
    <w:p w:rsidR="006A0C91" w:rsidRDefault="006A0C91">
      <w:pPr>
        <w:pStyle w:val="TOC1"/>
        <w:tabs>
          <w:tab w:val="right" w:leader="dot" w:pos="9622"/>
        </w:tabs>
        <w:rPr>
          <w:rFonts w:eastAsiaTheme="minorEastAsia"/>
          <w:b w:val="0"/>
          <w:noProof/>
        </w:rPr>
      </w:pPr>
      <w:r>
        <w:rPr>
          <w:noProof/>
        </w:rPr>
        <w:t>SECTION 2: REVIEW FINDINGS</w:t>
      </w:r>
      <w:r>
        <w:rPr>
          <w:noProof/>
        </w:rPr>
        <w:tab/>
      </w:r>
      <w:r>
        <w:rPr>
          <w:noProof/>
        </w:rPr>
        <w:fldChar w:fldCharType="begin"/>
      </w:r>
      <w:r>
        <w:rPr>
          <w:noProof/>
        </w:rPr>
        <w:instrText xml:space="preserve"> PAGEREF _Toc266010029 \h </w:instrText>
      </w:r>
      <w:r>
        <w:rPr>
          <w:noProof/>
        </w:rPr>
      </w:r>
      <w:r>
        <w:rPr>
          <w:noProof/>
        </w:rPr>
        <w:fldChar w:fldCharType="separate"/>
      </w:r>
      <w:r w:rsidR="00F304F4">
        <w:rPr>
          <w:noProof/>
        </w:rPr>
        <w:t>13</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4. Findings Against DFAT Evaluation Criteria</w:t>
      </w:r>
      <w:r>
        <w:rPr>
          <w:noProof/>
        </w:rPr>
        <w:tab/>
      </w:r>
      <w:r>
        <w:rPr>
          <w:noProof/>
        </w:rPr>
        <w:fldChar w:fldCharType="begin"/>
      </w:r>
      <w:r>
        <w:rPr>
          <w:noProof/>
        </w:rPr>
        <w:instrText xml:space="preserve"> PAGEREF _Toc266010030 \h </w:instrText>
      </w:r>
      <w:r>
        <w:rPr>
          <w:noProof/>
        </w:rPr>
      </w:r>
      <w:r>
        <w:rPr>
          <w:noProof/>
        </w:rPr>
        <w:fldChar w:fldCharType="separate"/>
      </w:r>
      <w:r w:rsidR="00F304F4">
        <w:rPr>
          <w:noProof/>
        </w:rPr>
        <w:t>14</w:t>
      </w:r>
      <w:r>
        <w:rPr>
          <w:noProof/>
        </w:rPr>
        <w:fldChar w:fldCharType="end"/>
      </w:r>
    </w:p>
    <w:p w:rsidR="006A0C91" w:rsidRDefault="006A0C91">
      <w:pPr>
        <w:pStyle w:val="TOC3"/>
        <w:tabs>
          <w:tab w:val="right" w:leader="dot" w:pos="9622"/>
        </w:tabs>
        <w:rPr>
          <w:rFonts w:eastAsiaTheme="minorEastAsia"/>
          <w:noProof/>
          <w:sz w:val="24"/>
          <w:szCs w:val="24"/>
        </w:rPr>
      </w:pPr>
      <w:r>
        <w:rPr>
          <w:noProof/>
        </w:rPr>
        <w:t>4.1. Relevance</w:t>
      </w:r>
      <w:r>
        <w:rPr>
          <w:noProof/>
        </w:rPr>
        <w:tab/>
      </w:r>
      <w:r>
        <w:rPr>
          <w:noProof/>
        </w:rPr>
        <w:fldChar w:fldCharType="begin"/>
      </w:r>
      <w:r>
        <w:rPr>
          <w:noProof/>
        </w:rPr>
        <w:instrText xml:space="preserve"> PAGEREF _Toc266010031 \h </w:instrText>
      </w:r>
      <w:r>
        <w:rPr>
          <w:noProof/>
        </w:rPr>
      </w:r>
      <w:r>
        <w:rPr>
          <w:noProof/>
        </w:rPr>
        <w:fldChar w:fldCharType="separate"/>
      </w:r>
      <w:r w:rsidR="00F304F4">
        <w:rPr>
          <w:noProof/>
        </w:rPr>
        <w:t>14</w:t>
      </w:r>
      <w:r>
        <w:rPr>
          <w:noProof/>
        </w:rPr>
        <w:fldChar w:fldCharType="end"/>
      </w:r>
    </w:p>
    <w:p w:rsidR="006A0C91" w:rsidRDefault="006A0C91">
      <w:pPr>
        <w:pStyle w:val="TOC3"/>
        <w:tabs>
          <w:tab w:val="right" w:leader="dot" w:pos="9622"/>
        </w:tabs>
        <w:rPr>
          <w:rFonts w:eastAsiaTheme="minorEastAsia"/>
          <w:noProof/>
          <w:sz w:val="24"/>
          <w:szCs w:val="24"/>
        </w:rPr>
      </w:pPr>
      <w:r>
        <w:rPr>
          <w:noProof/>
        </w:rPr>
        <w:t>4.2. Effectiveness</w:t>
      </w:r>
      <w:r>
        <w:rPr>
          <w:noProof/>
        </w:rPr>
        <w:tab/>
      </w:r>
      <w:r>
        <w:rPr>
          <w:noProof/>
        </w:rPr>
        <w:fldChar w:fldCharType="begin"/>
      </w:r>
      <w:r>
        <w:rPr>
          <w:noProof/>
        </w:rPr>
        <w:instrText xml:space="preserve"> PAGEREF _Toc266010032 \h </w:instrText>
      </w:r>
      <w:r>
        <w:rPr>
          <w:noProof/>
        </w:rPr>
      </w:r>
      <w:r>
        <w:rPr>
          <w:noProof/>
        </w:rPr>
        <w:fldChar w:fldCharType="separate"/>
      </w:r>
      <w:r w:rsidR="00F304F4">
        <w:rPr>
          <w:noProof/>
        </w:rPr>
        <w:t>15</w:t>
      </w:r>
      <w:r>
        <w:rPr>
          <w:noProof/>
        </w:rPr>
        <w:fldChar w:fldCharType="end"/>
      </w:r>
    </w:p>
    <w:p w:rsidR="006A0C91" w:rsidRDefault="006A0C91">
      <w:pPr>
        <w:pStyle w:val="TOC3"/>
        <w:tabs>
          <w:tab w:val="right" w:leader="dot" w:pos="9622"/>
        </w:tabs>
        <w:rPr>
          <w:rFonts w:eastAsiaTheme="minorEastAsia"/>
          <w:noProof/>
          <w:sz w:val="24"/>
          <w:szCs w:val="24"/>
        </w:rPr>
      </w:pPr>
      <w:r>
        <w:rPr>
          <w:noProof/>
        </w:rPr>
        <w:t>4.3. Efficiency</w:t>
      </w:r>
      <w:r>
        <w:rPr>
          <w:noProof/>
        </w:rPr>
        <w:tab/>
      </w:r>
      <w:r>
        <w:rPr>
          <w:noProof/>
        </w:rPr>
        <w:fldChar w:fldCharType="begin"/>
      </w:r>
      <w:r>
        <w:rPr>
          <w:noProof/>
        </w:rPr>
        <w:instrText xml:space="preserve"> PAGEREF _Toc266010033 \h </w:instrText>
      </w:r>
      <w:r>
        <w:rPr>
          <w:noProof/>
        </w:rPr>
      </w:r>
      <w:r>
        <w:rPr>
          <w:noProof/>
        </w:rPr>
        <w:fldChar w:fldCharType="separate"/>
      </w:r>
      <w:r w:rsidR="00F304F4">
        <w:rPr>
          <w:noProof/>
        </w:rPr>
        <w:t>19</w:t>
      </w:r>
      <w:r>
        <w:rPr>
          <w:noProof/>
        </w:rPr>
        <w:fldChar w:fldCharType="end"/>
      </w:r>
    </w:p>
    <w:p w:rsidR="006A0C91" w:rsidRDefault="006A0C91">
      <w:pPr>
        <w:pStyle w:val="TOC3"/>
        <w:tabs>
          <w:tab w:val="right" w:leader="dot" w:pos="9622"/>
        </w:tabs>
        <w:rPr>
          <w:rFonts w:eastAsiaTheme="minorEastAsia"/>
          <w:noProof/>
          <w:sz w:val="24"/>
          <w:szCs w:val="24"/>
        </w:rPr>
      </w:pPr>
      <w:r>
        <w:rPr>
          <w:noProof/>
        </w:rPr>
        <w:t>4.4. Impact</w:t>
      </w:r>
      <w:r>
        <w:rPr>
          <w:noProof/>
        </w:rPr>
        <w:tab/>
      </w:r>
      <w:r>
        <w:rPr>
          <w:noProof/>
        </w:rPr>
        <w:fldChar w:fldCharType="begin"/>
      </w:r>
      <w:r>
        <w:rPr>
          <w:noProof/>
        </w:rPr>
        <w:instrText xml:space="preserve"> PAGEREF _Toc266010034 \h </w:instrText>
      </w:r>
      <w:r>
        <w:rPr>
          <w:noProof/>
        </w:rPr>
      </w:r>
      <w:r>
        <w:rPr>
          <w:noProof/>
        </w:rPr>
        <w:fldChar w:fldCharType="separate"/>
      </w:r>
      <w:r w:rsidR="00F304F4">
        <w:rPr>
          <w:noProof/>
        </w:rPr>
        <w:t>20</w:t>
      </w:r>
      <w:r>
        <w:rPr>
          <w:noProof/>
        </w:rPr>
        <w:fldChar w:fldCharType="end"/>
      </w:r>
    </w:p>
    <w:p w:rsidR="006A0C91" w:rsidRDefault="006A0C91">
      <w:pPr>
        <w:pStyle w:val="TOC3"/>
        <w:tabs>
          <w:tab w:val="right" w:leader="dot" w:pos="9622"/>
        </w:tabs>
        <w:rPr>
          <w:rFonts w:eastAsiaTheme="minorEastAsia"/>
          <w:noProof/>
          <w:sz w:val="24"/>
          <w:szCs w:val="24"/>
        </w:rPr>
      </w:pPr>
      <w:r>
        <w:rPr>
          <w:noProof/>
        </w:rPr>
        <w:t>4.5. Sustainability</w:t>
      </w:r>
      <w:r>
        <w:rPr>
          <w:noProof/>
        </w:rPr>
        <w:tab/>
      </w:r>
      <w:r>
        <w:rPr>
          <w:noProof/>
        </w:rPr>
        <w:fldChar w:fldCharType="begin"/>
      </w:r>
      <w:r>
        <w:rPr>
          <w:noProof/>
        </w:rPr>
        <w:instrText xml:space="preserve"> PAGEREF _Toc266010035 \h </w:instrText>
      </w:r>
      <w:r>
        <w:rPr>
          <w:noProof/>
        </w:rPr>
      </w:r>
      <w:r>
        <w:rPr>
          <w:noProof/>
        </w:rPr>
        <w:fldChar w:fldCharType="separate"/>
      </w:r>
      <w:r w:rsidR="00F304F4">
        <w:rPr>
          <w:noProof/>
        </w:rPr>
        <w:t>21</w:t>
      </w:r>
      <w:r>
        <w:rPr>
          <w:noProof/>
        </w:rPr>
        <w:fldChar w:fldCharType="end"/>
      </w:r>
    </w:p>
    <w:p w:rsidR="006A0C91" w:rsidRDefault="006A0C91">
      <w:pPr>
        <w:pStyle w:val="TOC3"/>
        <w:tabs>
          <w:tab w:val="right" w:leader="dot" w:pos="9622"/>
        </w:tabs>
        <w:rPr>
          <w:rFonts w:eastAsiaTheme="minorEastAsia"/>
          <w:noProof/>
          <w:sz w:val="24"/>
          <w:szCs w:val="24"/>
        </w:rPr>
      </w:pPr>
      <w:r>
        <w:rPr>
          <w:noProof/>
        </w:rPr>
        <w:t>4.6. Gender and Social Inclusion</w:t>
      </w:r>
      <w:r>
        <w:rPr>
          <w:noProof/>
        </w:rPr>
        <w:tab/>
      </w:r>
      <w:r>
        <w:rPr>
          <w:noProof/>
        </w:rPr>
        <w:fldChar w:fldCharType="begin"/>
      </w:r>
      <w:r>
        <w:rPr>
          <w:noProof/>
        </w:rPr>
        <w:instrText xml:space="preserve"> PAGEREF _Toc266010036 \h </w:instrText>
      </w:r>
      <w:r>
        <w:rPr>
          <w:noProof/>
        </w:rPr>
      </w:r>
      <w:r>
        <w:rPr>
          <w:noProof/>
        </w:rPr>
        <w:fldChar w:fldCharType="separate"/>
      </w:r>
      <w:r w:rsidR="00F304F4">
        <w:rPr>
          <w:noProof/>
        </w:rPr>
        <w:t>24</w:t>
      </w:r>
      <w:r>
        <w:rPr>
          <w:noProof/>
        </w:rPr>
        <w:fldChar w:fldCharType="end"/>
      </w:r>
    </w:p>
    <w:p w:rsidR="006A0C91" w:rsidRDefault="006A0C91">
      <w:pPr>
        <w:pStyle w:val="TOC3"/>
        <w:tabs>
          <w:tab w:val="right" w:leader="dot" w:pos="9622"/>
        </w:tabs>
        <w:rPr>
          <w:rFonts w:eastAsiaTheme="minorEastAsia"/>
          <w:noProof/>
          <w:sz w:val="24"/>
          <w:szCs w:val="24"/>
        </w:rPr>
      </w:pPr>
      <w:r>
        <w:rPr>
          <w:noProof/>
        </w:rPr>
        <w:t>4.7. Monitoring and Evaluation</w:t>
      </w:r>
      <w:r>
        <w:rPr>
          <w:noProof/>
        </w:rPr>
        <w:tab/>
      </w:r>
      <w:r>
        <w:rPr>
          <w:noProof/>
        </w:rPr>
        <w:fldChar w:fldCharType="begin"/>
      </w:r>
      <w:r>
        <w:rPr>
          <w:noProof/>
        </w:rPr>
        <w:instrText xml:space="preserve"> PAGEREF _Toc266010037 \h </w:instrText>
      </w:r>
      <w:r>
        <w:rPr>
          <w:noProof/>
        </w:rPr>
      </w:r>
      <w:r>
        <w:rPr>
          <w:noProof/>
        </w:rPr>
        <w:fldChar w:fldCharType="separate"/>
      </w:r>
      <w:r w:rsidR="00F304F4">
        <w:rPr>
          <w:noProof/>
        </w:rPr>
        <w:t>26</w:t>
      </w:r>
      <w:r>
        <w:rPr>
          <w:noProof/>
        </w:rPr>
        <w:fldChar w:fldCharType="end"/>
      </w:r>
    </w:p>
    <w:p w:rsidR="006A0C91" w:rsidRDefault="006A0C91">
      <w:pPr>
        <w:pStyle w:val="TOC3"/>
        <w:tabs>
          <w:tab w:val="right" w:leader="dot" w:pos="9622"/>
        </w:tabs>
        <w:rPr>
          <w:rFonts w:eastAsiaTheme="minorEastAsia"/>
          <w:noProof/>
          <w:sz w:val="24"/>
          <w:szCs w:val="24"/>
        </w:rPr>
      </w:pPr>
      <w:r>
        <w:rPr>
          <w:noProof/>
        </w:rPr>
        <w:t>4.8. Analysis and Learning</w:t>
      </w:r>
      <w:r>
        <w:rPr>
          <w:noProof/>
        </w:rPr>
        <w:tab/>
      </w:r>
      <w:r>
        <w:rPr>
          <w:noProof/>
        </w:rPr>
        <w:fldChar w:fldCharType="begin"/>
      </w:r>
      <w:r>
        <w:rPr>
          <w:noProof/>
        </w:rPr>
        <w:instrText xml:space="preserve"> PAGEREF _Toc266010038 \h </w:instrText>
      </w:r>
      <w:r>
        <w:rPr>
          <w:noProof/>
        </w:rPr>
      </w:r>
      <w:r>
        <w:rPr>
          <w:noProof/>
        </w:rPr>
        <w:fldChar w:fldCharType="separate"/>
      </w:r>
      <w:r w:rsidR="00F304F4">
        <w:rPr>
          <w:noProof/>
        </w:rPr>
        <w:t>28</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5. Partnership Observations</w:t>
      </w:r>
      <w:r>
        <w:rPr>
          <w:noProof/>
        </w:rPr>
        <w:tab/>
      </w:r>
      <w:r>
        <w:rPr>
          <w:noProof/>
        </w:rPr>
        <w:fldChar w:fldCharType="begin"/>
      </w:r>
      <w:r>
        <w:rPr>
          <w:noProof/>
        </w:rPr>
        <w:instrText xml:space="preserve"> PAGEREF _Toc266010039 \h </w:instrText>
      </w:r>
      <w:r>
        <w:rPr>
          <w:noProof/>
        </w:rPr>
      </w:r>
      <w:r>
        <w:rPr>
          <w:noProof/>
        </w:rPr>
        <w:fldChar w:fldCharType="separate"/>
      </w:r>
      <w:r w:rsidR="00F304F4">
        <w:rPr>
          <w:noProof/>
        </w:rPr>
        <w:t>29</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6. Civil Society Engagement</w:t>
      </w:r>
      <w:r>
        <w:rPr>
          <w:noProof/>
        </w:rPr>
        <w:tab/>
      </w:r>
      <w:r>
        <w:rPr>
          <w:noProof/>
        </w:rPr>
        <w:fldChar w:fldCharType="begin"/>
      </w:r>
      <w:r>
        <w:rPr>
          <w:noProof/>
        </w:rPr>
        <w:instrText xml:space="preserve"> PAGEREF _Toc266010040 \h </w:instrText>
      </w:r>
      <w:r>
        <w:rPr>
          <w:noProof/>
        </w:rPr>
      </w:r>
      <w:r>
        <w:rPr>
          <w:noProof/>
        </w:rPr>
        <w:fldChar w:fldCharType="separate"/>
      </w:r>
      <w:r w:rsidR="00F304F4">
        <w:rPr>
          <w:noProof/>
        </w:rPr>
        <w:t>32</w:t>
      </w:r>
      <w:r>
        <w:rPr>
          <w:noProof/>
        </w:rPr>
        <w:fldChar w:fldCharType="end"/>
      </w:r>
    </w:p>
    <w:p w:rsidR="006A0C91" w:rsidRDefault="006A0C91">
      <w:pPr>
        <w:pStyle w:val="TOC1"/>
        <w:tabs>
          <w:tab w:val="right" w:leader="dot" w:pos="9622"/>
        </w:tabs>
        <w:rPr>
          <w:rFonts w:eastAsiaTheme="minorEastAsia"/>
          <w:b w:val="0"/>
          <w:noProof/>
        </w:rPr>
      </w:pPr>
      <w:r>
        <w:rPr>
          <w:noProof/>
        </w:rPr>
        <w:t>SECTION 3: SUMMARY AND CONCLUSIONS</w:t>
      </w:r>
      <w:r>
        <w:rPr>
          <w:noProof/>
        </w:rPr>
        <w:tab/>
      </w:r>
      <w:r>
        <w:rPr>
          <w:noProof/>
        </w:rPr>
        <w:fldChar w:fldCharType="begin"/>
      </w:r>
      <w:r>
        <w:rPr>
          <w:noProof/>
        </w:rPr>
        <w:instrText xml:space="preserve"> PAGEREF _Toc266010041 \h </w:instrText>
      </w:r>
      <w:r>
        <w:rPr>
          <w:noProof/>
        </w:rPr>
      </w:r>
      <w:r>
        <w:rPr>
          <w:noProof/>
        </w:rPr>
        <w:fldChar w:fldCharType="separate"/>
      </w:r>
      <w:r w:rsidR="00F304F4">
        <w:rPr>
          <w:noProof/>
        </w:rPr>
        <w:t>34</w:t>
      </w:r>
      <w:r>
        <w:rPr>
          <w:noProof/>
        </w:rPr>
        <w:fldChar w:fldCharType="end"/>
      </w:r>
    </w:p>
    <w:p w:rsidR="006A0C91" w:rsidRDefault="006A0C91">
      <w:pPr>
        <w:pStyle w:val="TOC2"/>
        <w:tabs>
          <w:tab w:val="right" w:leader="dot" w:pos="9622"/>
        </w:tabs>
        <w:rPr>
          <w:rFonts w:eastAsiaTheme="minorEastAsia"/>
          <w:b w:val="0"/>
          <w:noProof/>
          <w:sz w:val="24"/>
          <w:szCs w:val="24"/>
        </w:rPr>
      </w:pPr>
      <w:r>
        <w:rPr>
          <w:noProof/>
        </w:rPr>
        <w:t>7. Concluding remarks</w:t>
      </w:r>
      <w:r>
        <w:rPr>
          <w:noProof/>
        </w:rPr>
        <w:tab/>
      </w:r>
      <w:r>
        <w:rPr>
          <w:noProof/>
        </w:rPr>
        <w:fldChar w:fldCharType="begin"/>
      </w:r>
      <w:r>
        <w:rPr>
          <w:noProof/>
        </w:rPr>
        <w:instrText xml:space="preserve"> PAGEREF _Toc266010042 \h </w:instrText>
      </w:r>
      <w:r>
        <w:rPr>
          <w:noProof/>
        </w:rPr>
      </w:r>
      <w:r>
        <w:rPr>
          <w:noProof/>
        </w:rPr>
        <w:fldChar w:fldCharType="separate"/>
      </w:r>
      <w:r w:rsidR="00F304F4">
        <w:rPr>
          <w:noProof/>
        </w:rPr>
        <w:t>34</w:t>
      </w:r>
      <w:r>
        <w:rPr>
          <w:noProof/>
        </w:rPr>
        <w:fldChar w:fldCharType="end"/>
      </w:r>
    </w:p>
    <w:p w:rsidR="00A878B5" w:rsidRPr="0065787D" w:rsidRDefault="004F2071" w:rsidP="0065787D">
      <w:pPr>
        <w:pStyle w:val="Heading1"/>
      </w:pPr>
      <w:r>
        <w:rPr>
          <w:rFonts w:ascii="Helvetica" w:eastAsiaTheme="minorHAnsi" w:hAnsi="Helvetica" w:cs="Helvetica"/>
          <w:bCs w:val="0"/>
          <w:color w:val="000000"/>
          <w:sz w:val="24"/>
          <w:szCs w:val="24"/>
          <w:u w:val="single"/>
        </w:rPr>
        <w:fldChar w:fldCharType="end"/>
      </w:r>
      <w:r w:rsidR="000B1D99">
        <w:br w:type="page"/>
      </w:r>
      <w:bookmarkStart w:id="1" w:name="_Toc266010012"/>
      <w:r w:rsidR="000B1D99">
        <w:lastRenderedPageBreak/>
        <w:t>Executive Summary</w:t>
      </w:r>
      <w:bookmarkEnd w:id="1"/>
    </w:p>
    <w:p w:rsidR="00195DCE" w:rsidRPr="00A878B5" w:rsidRDefault="00A878B5" w:rsidP="00211B03">
      <w:pPr>
        <w:pStyle w:val="Heading2"/>
        <w:rPr>
          <w:lang w:val="en-GB"/>
        </w:rPr>
      </w:pPr>
      <w:bookmarkStart w:id="2" w:name="_Toc266010013"/>
      <w:r w:rsidRPr="00A878B5">
        <w:rPr>
          <w:lang w:val="en-GB"/>
        </w:rPr>
        <w:t>Context</w:t>
      </w:r>
      <w:bookmarkEnd w:id="2"/>
    </w:p>
    <w:p w:rsidR="0065787D" w:rsidRDefault="00195DCE" w:rsidP="000B1D99">
      <w:pPr>
        <w:widowControl w:val="0"/>
        <w:autoSpaceDE w:val="0"/>
        <w:autoSpaceDN w:val="0"/>
        <w:adjustRightInd w:val="0"/>
        <w:contextualSpacing/>
        <w:jc w:val="both"/>
        <w:rPr>
          <w:rFonts w:ascii="Century Gothic" w:hAnsi="Century Gothic" w:cs="Arial"/>
          <w:sz w:val="22"/>
          <w:lang w:val="en-GB"/>
        </w:rPr>
      </w:pPr>
      <w:r w:rsidRPr="00195DCE">
        <w:rPr>
          <w:rFonts w:ascii="Century Gothic" w:hAnsi="Century Gothic" w:cs="Arial"/>
          <w:sz w:val="22"/>
          <w:lang w:val="en-GB"/>
        </w:rPr>
        <w:t xml:space="preserve">Climate change </w:t>
      </w:r>
      <w:r>
        <w:rPr>
          <w:rFonts w:ascii="Century Gothic" w:hAnsi="Century Gothic" w:cs="Arial"/>
          <w:sz w:val="22"/>
          <w:lang w:val="en-GB"/>
        </w:rPr>
        <w:t>is</w:t>
      </w:r>
      <w:r w:rsidRPr="00195DCE">
        <w:rPr>
          <w:rFonts w:ascii="Century Gothic" w:hAnsi="Century Gothic" w:cs="Arial"/>
          <w:sz w:val="22"/>
          <w:lang w:val="en-GB"/>
        </w:rPr>
        <w:t xml:space="preserve"> a major development challenge that </w:t>
      </w:r>
      <w:r w:rsidRPr="0065787D">
        <w:rPr>
          <w:rFonts w:ascii="Century Gothic" w:hAnsi="Century Gothic" w:cs="Arial"/>
          <w:b/>
          <w:sz w:val="22"/>
          <w:lang w:val="en-GB"/>
        </w:rPr>
        <w:t>threatens to destabilise economic growth, exacerbate food shortages and erode recent gains in poverty reduction</w:t>
      </w:r>
      <w:r w:rsidRPr="00195DCE">
        <w:rPr>
          <w:rFonts w:ascii="Century Gothic" w:hAnsi="Century Gothic" w:cs="Arial"/>
          <w:sz w:val="22"/>
          <w:lang w:val="en-GB"/>
        </w:rPr>
        <w:t xml:space="preserve"> in Vietnam. </w:t>
      </w:r>
    </w:p>
    <w:p w:rsidR="0065787D" w:rsidRDefault="0065787D" w:rsidP="000B1D99">
      <w:pPr>
        <w:widowControl w:val="0"/>
        <w:autoSpaceDE w:val="0"/>
        <w:autoSpaceDN w:val="0"/>
        <w:adjustRightInd w:val="0"/>
        <w:contextualSpacing/>
        <w:jc w:val="both"/>
        <w:rPr>
          <w:rFonts w:ascii="Century Gothic" w:hAnsi="Century Gothic" w:cs="Arial"/>
          <w:sz w:val="22"/>
          <w:lang w:val="en-GB"/>
        </w:rPr>
      </w:pPr>
    </w:p>
    <w:p w:rsidR="000B1D99" w:rsidRPr="0065787D" w:rsidRDefault="000B1D99" w:rsidP="000B1D99">
      <w:pPr>
        <w:widowControl w:val="0"/>
        <w:autoSpaceDE w:val="0"/>
        <w:autoSpaceDN w:val="0"/>
        <w:adjustRightInd w:val="0"/>
        <w:contextualSpacing/>
        <w:jc w:val="both"/>
        <w:rPr>
          <w:rFonts w:ascii="Century Gothic" w:hAnsi="Century Gothic" w:cs="Helvetica"/>
          <w:iCs/>
          <w:sz w:val="22"/>
        </w:rPr>
      </w:pPr>
      <w:r w:rsidRPr="00195DCE">
        <w:rPr>
          <w:rFonts w:ascii="Century Gothic" w:hAnsi="Century Gothic" w:cs="Helvetica"/>
          <w:iCs/>
          <w:sz w:val="22"/>
        </w:rPr>
        <w:t xml:space="preserve">The Government of Vietnam places high strategic importance upon </w:t>
      </w:r>
      <w:r w:rsidR="00195DCE" w:rsidRPr="00195DCE">
        <w:rPr>
          <w:rFonts w:ascii="Century Gothic" w:hAnsi="Century Gothic" w:cs="Helvetica"/>
          <w:iCs/>
          <w:sz w:val="22"/>
        </w:rPr>
        <w:t xml:space="preserve">understanding and </w:t>
      </w:r>
      <w:r w:rsidRPr="00195DCE">
        <w:rPr>
          <w:rFonts w:ascii="Century Gothic" w:hAnsi="Century Gothic" w:cs="Helvetica"/>
          <w:iCs/>
          <w:sz w:val="22"/>
        </w:rPr>
        <w:t xml:space="preserve">managing its climate related risks. </w:t>
      </w:r>
      <w:r>
        <w:rPr>
          <w:rFonts w:ascii="Century Gothic" w:hAnsi="Century Gothic" w:cs="Helvetica"/>
          <w:iCs/>
          <w:sz w:val="22"/>
        </w:rPr>
        <w:t xml:space="preserve">This priority is reflected within </w:t>
      </w:r>
      <w:r w:rsidRPr="00622099">
        <w:rPr>
          <w:rFonts w:ascii="Century Gothic" w:hAnsi="Century Gothic" w:cs="Helvetica"/>
          <w:iCs/>
          <w:sz w:val="22"/>
        </w:rPr>
        <w:t>Australia’s commitment</w:t>
      </w:r>
      <w:r>
        <w:rPr>
          <w:rFonts w:ascii="Century Gothic" w:hAnsi="Century Gothic" w:cs="Helvetica"/>
          <w:iCs/>
          <w:sz w:val="22"/>
        </w:rPr>
        <w:t xml:space="preserve"> to</w:t>
      </w:r>
      <w:r w:rsidRPr="00622099">
        <w:rPr>
          <w:rFonts w:ascii="Century Gothic" w:hAnsi="Century Gothic" w:cs="Helvetica"/>
          <w:iCs/>
          <w:sz w:val="22"/>
        </w:rPr>
        <w:t xml:space="preserve"> </w:t>
      </w:r>
      <w:r w:rsidRPr="00622099">
        <w:rPr>
          <w:rFonts w:ascii="Century Gothic" w:hAnsi="Century Gothic" w:cs="Arial"/>
          <w:sz w:val="22"/>
          <w:lang w:val="en-GB"/>
        </w:rPr>
        <w:t xml:space="preserve">the Environmental Sustainability pillar of the </w:t>
      </w:r>
      <w:r>
        <w:rPr>
          <w:rFonts w:ascii="Century Gothic" w:hAnsi="Century Gothic" w:cs="Arial"/>
          <w:i/>
          <w:sz w:val="22"/>
          <w:lang w:val="en-GB"/>
        </w:rPr>
        <w:t>Vietnam -</w:t>
      </w:r>
      <w:r w:rsidRPr="00622099">
        <w:rPr>
          <w:rFonts w:ascii="Century Gothic" w:hAnsi="Century Gothic" w:cs="Arial"/>
          <w:i/>
          <w:sz w:val="22"/>
          <w:lang w:val="en-GB"/>
        </w:rPr>
        <w:t xml:space="preserve"> Australia</w:t>
      </w:r>
      <w:r>
        <w:rPr>
          <w:rFonts w:ascii="Century Gothic" w:hAnsi="Century Gothic" w:cs="Arial"/>
          <w:i/>
          <w:sz w:val="22"/>
          <w:lang w:val="en-GB"/>
        </w:rPr>
        <w:t xml:space="preserve"> Joint Aid Program Strategy 2012</w:t>
      </w:r>
      <w:r w:rsidRPr="00622099">
        <w:rPr>
          <w:rFonts w:ascii="Century Gothic" w:hAnsi="Century Gothic" w:cs="Arial"/>
          <w:i/>
          <w:sz w:val="22"/>
          <w:lang w:val="en-GB"/>
        </w:rPr>
        <w:t>-15.</w:t>
      </w:r>
      <w:r>
        <w:rPr>
          <w:rFonts w:ascii="Century Gothic" w:hAnsi="Century Gothic" w:cs="Arial"/>
          <w:i/>
          <w:sz w:val="22"/>
          <w:lang w:val="en-GB"/>
        </w:rPr>
        <w:t xml:space="preserve"> </w:t>
      </w:r>
      <w:r>
        <w:rPr>
          <w:rFonts w:ascii="Century Gothic" w:hAnsi="Century Gothic" w:cs="Helvetica"/>
          <w:iCs/>
          <w:sz w:val="22"/>
        </w:rPr>
        <w:t>Additional</w:t>
      </w:r>
      <w:r w:rsidRPr="00622099">
        <w:rPr>
          <w:rFonts w:ascii="Century Gothic" w:hAnsi="Century Gothic" w:cs="Helvetica"/>
          <w:iCs/>
          <w:sz w:val="22"/>
        </w:rPr>
        <w:t xml:space="preserve"> to its wider commitments under this strategy, Australia has recognised the importance of building resilience to climate relat</w:t>
      </w:r>
      <w:r>
        <w:rPr>
          <w:rFonts w:ascii="Century Gothic" w:hAnsi="Century Gothic" w:cs="Helvetica"/>
          <w:iCs/>
          <w:sz w:val="22"/>
        </w:rPr>
        <w:t xml:space="preserve">ed risks at the community level, </w:t>
      </w:r>
      <w:r w:rsidRPr="00622099">
        <w:rPr>
          <w:rFonts w:ascii="Century Gothic" w:hAnsi="Century Gothic" w:cs="Helvetica"/>
          <w:iCs/>
          <w:sz w:val="22"/>
        </w:rPr>
        <w:t xml:space="preserve">and the </w:t>
      </w:r>
      <w:r w:rsidRPr="00622099">
        <w:rPr>
          <w:rFonts w:ascii="Century Gothic" w:eastAsia="Times New Roman" w:hAnsi="Century Gothic" w:cs="Arial"/>
          <w:sz w:val="22"/>
          <w:lang w:eastAsia="en-AU"/>
        </w:rPr>
        <w:t xml:space="preserve">important role that NGOs play in </w:t>
      </w:r>
      <w:r w:rsidR="008B3C5D">
        <w:rPr>
          <w:rFonts w:ascii="Century Gothic" w:eastAsia="Times New Roman" w:hAnsi="Century Gothic" w:cs="Arial"/>
          <w:sz w:val="22"/>
          <w:lang w:eastAsia="en-AU"/>
        </w:rPr>
        <w:t>facilitating this</w:t>
      </w:r>
      <w:r w:rsidRPr="00622099">
        <w:rPr>
          <w:rFonts w:ascii="Century Gothic" w:eastAsia="Times New Roman" w:hAnsi="Century Gothic" w:cs="Arial"/>
          <w:sz w:val="22"/>
          <w:lang w:eastAsia="en-AU"/>
        </w:rPr>
        <w:t xml:space="preserve">. </w:t>
      </w:r>
    </w:p>
    <w:p w:rsidR="00A878B5" w:rsidRDefault="00A878B5" w:rsidP="000B1D99">
      <w:pPr>
        <w:widowControl w:val="0"/>
        <w:autoSpaceDE w:val="0"/>
        <w:autoSpaceDN w:val="0"/>
        <w:adjustRightInd w:val="0"/>
        <w:contextualSpacing/>
        <w:jc w:val="both"/>
        <w:rPr>
          <w:rFonts w:ascii="Century Gothic" w:eastAsia="Times New Roman" w:hAnsi="Century Gothic" w:cs="Arial"/>
          <w:sz w:val="22"/>
          <w:lang w:eastAsia="en-AU"/>
        </w:rPr>
      </w:pPr>
    </w:p>
    <w:p w:rsidR="000B1D99" w:rsidRPr="00A878B5" w:rsidRDefault="00A878B5" w:rsidP="000B1D99">
      <w:pPr>
        <w:widowControl w:val="0"/>
        <w:autoSpaceDE w:val="0"/>
        <w:autoSpaceDN w:val="0"/>
        <w:adjustRightInd w:val="0"/>
        <w:contextualSpacing/>
        <w:jc w:val="both"/>
        <w:rPr>
          <w:rFonts w:ascii="Century Gothic" w:eastAsia="Times New Roman" w:hAnsi="Century Gothic" w:cs="Arial"/>
          <w:b/>
          <w:color w:val="8DB3E2" w:themeColor="text2" w:themeTint="66"/>
          <w:sz w:val="22"/>
          <w:lang w:eastAsia="en-AU"/>
        </w:rPr>
      </w:pPr>
      <w:r w:rsidRPr="00A878B5">
        <w:rPr>
          <w:rFonts w:ascii="Century Gothic" w:eastAsia="Times New Roman" w:hAnsi="Century Gothic" w:cs="Arial"/>
          <w:b/>
          <w:color w:val="8DB3E2" w:themeColor="text2" w:themeTint="66"/>
          <w:sz w:val="22"/>
          <w:lang w:eastAsia="en-AU"/>
        </w:rPr>
        <w:t>Australia’s Response</w:t>
      </w:r>
    </w:p>
    <w:p w:rsidR="000B1D99" w:rsidRDefault="008729FE" w:rsidP="000B1D99">
      <w:pPr>
        <w:widowControl w:val="0"/>
        <w:autoSpaceDE w:val="0"/>
        <w:autoSpaceDN w:val="0"/>
        <w:adjustRightInd w:val="0"/>
        <w:contextualSpacing/>
        <w:jc w:val="both"/>
        <w:rPr>
          <w:rFonts w:ascii="Century Gothic" w:eastAsia="Times New Roman" w:hAnsi="Century Gothic" w:cs="Arial"/>
          <w:sz w:val="22"/>
          <w:lang w:eastAsia="en-AU"/>
        </w:rPr>
      </w:pPr>
      <w:r>
        <w:rPr>
          <w:rFonts w:ascii="Century Gothic" w:eastAsia="Times New Roman" w:hAnsi="Century Gothic" w:cs="Arial"/>
          <w:sz w:val="22"/>
          <w:lang w:eastAsia="en-AU"/>
        </w:rPr>
        <w:t xml:space="preserve">DFAT’s </w:t>
      </w:r>
      <w:r w:rsidR="000B1D99" w:rsidRPr="00622099">
        <w:rPr>
          <w:rFonts w:ascii="Century Gothic" w:eastAsia="Times New Roman" w:hAnsi="Century Gothic" w:cs="Arial"/>
          <w:sz w:val="22"/>
          <w:lang w:eastAsia="en-AU"/>
        </w:rPr>
        <w:t xml:space="preserve">Community-based Climate Change Action Grants (CCCAG) facilitate this recognition by providing </w:t>
      </w:r>
      <w:r w:rsidR="000B1D99">
        <w:rPr>
          <w:rFonts w:ascii="Century Gothic" w:eastAsia="Times New Roman" w:hAnsi="Century Gothic" w:cs="Arial"/>
          <w:sz w:val="22"/>
          <w:lang w:eastAsia="en-AU"/>
        </w:rPr>
        <w:t>$</w:t>
      </w:r>
      <w:r w:rsidR="000B1D99" w:rsidRPr="0080102C">
        <w:rPr>
          <w:rFonts w:ascii="Century Gothic" w:eastAsia="Times New Roman" w:hAnsi="Century Gothic" w:cs="Arial"/>
          <w:b/>
          <w:sz w:val="22"/>
          <w:lang w:eastAsia="en-AU"/>
        </w:rPr>
        <w:t>15 million in grants to six international NGOs</w:t>
      </w:r>
      <w:r w:rsidR="000B1D99" w:rsidRPr="00622099">
        <w:rPr>
          <w:rFonts w:ascii="Century Gothic" w:eastAsia="Times New Roman" w:hAnsi="Century Gothic" w:cs="Arial"/>
          <w:sz w:val="22"/>
          <w:lang w:eastAsia="en-AU"/>
        </w:rPr>
        <w:t xml:space="preserve"> and their local partners to support </w:t>
      </w:r>
      <w:r w:rsidR="000B1D99" w:rsidRPr="0080102C">
        <w:rPr>
          <w:rFonts w:ascii="Century Gothic" w:eastAsia="Times New Roman" w:hAnsi="Century Gothic" w:cs="Arial"/>
          <w:sz w:val="22"/>
          <w:lang w:eastAsia="en-AU"/>
        </w:rPr>
        <w:t>community based adaptation and mitigation</w:t>
      </w:r>
      <w:r w:rsidR="000B1D99">
        <w:rPr>
          <w:rFonts w:ascii="Century Gothic" w:eastAsia="Times New Roman" w:hAnsi="Century Gothic" w:cs="Arial"/>
          <w:sz w:val="22"/>
          <w:lang w:eastAsia="en-AU"/>
        </w:rPr>
        <w:t xml:space="preserve"> initiatives including:</w:t>
      </w:r>
    </w:p>
    <w:p w:rsidR="000B1D99" w:rsidRPr="00622099" w:rsidRDefault="000B1D99" w:rsidP="000B1D99">
      <w:pPr>
        <w:widowControl w:val="0"/>
        <w:autoSpaceDE w:val="0"/>
        <w:autoSpaceDN w:val="0"/>
        <w:adjustRightInd w:val="0"/>
        <w:contextualSpacing/>
        <w:jc w:val="both"/>
        <w:rPr>
          <w:rFonts w:ascii="Century Gothic" w:eastAsia="Times New Roman" w:hAnsi="Century Gothic" w:cs="Arial"/>
          <w:sz w:val="22"/>
          <w:lang w:eastAsia="en-AU"/>
        </w:rPr>
      </w:pPr>
    </w:p>
    <w:p w:rsidR="000B1D99" w:rsidRPr="00622099" w:rsidRDefault="000B1D99" w:rsidP="000B1D99">
      <w:pPr>
        <w:pStyle w:val="ListParagraph"/>
        <w:numPr>
          <w:ilvl w:val="0"/>
          <w:numId w:val="8"/>
        </w:numPr>
        <w:contextualSpacing w:val="0"/>
        <w:jc w:val="both"/>
        <w:rPr>
          <w:rFonts w:ascii="Century Gothic" w:hAnsi="Century Gothic" w:cs="Arial"/>
          <w:sz w:val="22"/>
          <w:szCs w:val="22"/>
          <w:lang w:val="en-GB"/>
        </w:rPr>
      </w:pPr>
      <w:r w:rsidRPr="00622099">
        <w:rPr>
          <w:rFonts w:ascii="Century Gothic" w:hAnsi="Century Gothic" w:cs="Arial"/>
          <w:sz w:val="22"/>
          <w:szCs w:val="22"/>
          <w:lang w:val="en-GB"/>
        </w:rPr>
        <w:t xml:space="preserve">four </w:t>
      </w:r>
      <w:r w:rsidRPr="0080102C">
        <w:rPr>
          <w:rFonts w:ascii="Century Gothic" w:hAnsi="Century Gothic" w:cs="Arial"/>
          <w:b/>
          <w:sz w:val="22"/>
          <w:szCs w:val="22"/>
          <w:lang w:val="en-GB"/>
        </w:rPr>
        <w:t>adaptation partnerships</w:t>
      </w:r>
      <w:r w:rsidRPr="00622099">
        <w:rPr>
          <w:rFonts w:ascii="Century Gothic" w:hAnsi="Century Gothic" w:cs="Arial"/>
          <w:sz w:val="22"/>
          <w:szCs w:val="22"/>
          <w:lang w:val="en-GB"/>
        </w:rPr>
        <w:t xml:space="preserve">, led by Australian Red Cross, CARE Australia, Oxfam Australia and Save the Children that promote an integrated approach to climate change </w:t>
      </w:r>
      <w:r w:rsidRPr="0080102C">
        <w:rPr>
          <w:rFonts w:ascii="Century Gothic" w:hAnsi="Century Gothic" w:cs="Arial"/>
          <w:b/>
          <w:sz w:val="22"/>
          <w:szCs w:val="22"/>
          <w:lang w:val="en-GB"/>
        </w:rPr>
        <w:t>adaption and disaster risk reduction</w:t>
      </w:r>
      <w:r w:rsidRPr="00622099">
        <w:rPr>
          <w:rFonts w:ascii="Century Gothic" w:hAnsi="Century Gothic" w:cs="Arial"/>
          <w:sz w:val="22"/>
          <w:szCs w:val="22"/>
          <w:lang w:val="en-GB"/>
        </w:rPr>
        <w:t xml:space="preserve"> at </w:t>
      </w:r>
      <w:r w:rsidRPr="00CC3F7B">
        <w:rPr>
          <w:rFonts w:ascii="Century Gothic" w:hAnsi="Century Gothic" w:cs="Arial"/>
          <w:b/>
          <w:sz w:val="22"/>
          <w:szCs w:val="22"/>
          <w:lang w:val="en-GB"/>
        </w:rPr>
        <w:t>the community-level</w:t>
      </w:r>
      <w:r w:rsidRPr="00622099">
        <w:rPr>
          <w:rFonts w:ascii="Century Gothic" w:hAnsi="Century Gothic" w:cs="Arial"/>
          <w:sz w:val="22"/>
          <w:szCs w:val="22"/>
          <w:lang w:val="en-GB"/>
        </w:rPr>
        <w:t>; and</w:t>
      </w:r>
    </w:p>
    <w:p w:rsidR="000B1D99" w:rsidRPr="00622099" w:rsidRDefault="000B1D99" w:rsidP="000B1D99">
      <w:pPr>
        <w:jc w:val="both"/>
        <w:rPr>
          <w:rFonts w:ascii="Century Gothic" w:hAnsi="Century Gothic" w:cs="Arial"/>
          <w:sz w:val="22"/>
          <w:szCs w:val="12"/>
          <w:lang w:val="en-GB"/>
        </w:rPr>
      </w:pPr>
    </w:p>
    <w:p w:rsidR="000B1D99" w:rsidRDefault="000B1D99" w:rsidP="000B1D99">
      <w:pPr>
        <w:pStyle w:val="ListParagraph"/>
        <w:numPr>
          <w:ilvl w:val="0"/>
          <w:numId w:val="8"/>
        </w:numPr>
        <w:contextualSpacing w:val="0"/>
        <w:jc w:val="both"/>
        <w:rPr>
          <w:rFonts w:ascii="Century Gothic" w:hAnsi="Century Gothic" w:cs="Arial"/>
          <w:sz w:val="22"/>
          <w:szCs w:val="22"/>
          <w:lang w:val="en-GB"/>
        </w:rPr>
      </w:pPr>
      <w:r w:rsidRPr="00622099">
        <w:rPr>
          <w:rFonts w:ascii="Century Gothic" w:hAnsi="Century Gothic" w:cs="Arial"/>
          <w:sz w:val="22"/>
          <w:szCs w:val="22"/>
          <w:lang w:val="en-GB"/>
        </w:rPr>
        <w:t xml:space="preserve">two </w:t>
      </w:r>
      <w:r w:rsidRPr="0080102C">
        <w:rPr>
          <w:rFonts w:ascii="Century Gothic" w:hAnsi="Century Gothic" w:cs="Arial"/>
          <w:b/>
          <w:sz w:val="22"/>
          <w:szCs w:val="22"/>
          <w:lang w:val="en-GB"/>
        </w:rPr>
        <w:t>mitigation partnerships</w:t>
      </w:r>
      <w:r w:rsidRPr="00622099">
        <w:rPr>
          <w:rFonts w:ascii="Century Gothic" w:hAnsi="Century Gothic" w:cs="Arial"/>
          <w:sz w:val="22"/>
          <w:szCs w:val="22"/>
          <w:lang w:val="en-GB"/>
        </w:rPr>
        <w:t xml:space="preserve"> led by Environmental Defence Fund</w:t>
      </w:r>
      <w:r w:rsidR="007E4D60">
        <w:rPr>
          <w:rFonts w:ascii="Century Gothic" w:hAnsi="Century Gothic" w:cs="Arial"/>
          <w:sz w:val="22"/>
          <w:szCs w:val="22"/>
          <w:lang w:val="en-GB"/>
        </w:rPr>
        <w:t xml:space="preserve"> (EDF)</w:t>
      </w:r>
      <w:r w:rsidRPr="00622099">
        <w:rPr>
          <w:rFonts w:ascii="Century Gothic" w:hAnsi="Century Gothic" w:cs="Arial"/>
          <w:sz w:val="22"/>
          <w:szCs w:val="22"/>
          <w:lang w:val="en-GB"/>
        </w:rPr>
        <w:t xml:space="preserve"> and </w:t>
      </w:r>
      <w:r>
        <w:rPr>
          <w:rFonts w:ascii="Century Gothic" w:hAnsi="Century Gothic" w:cs="Arial"/>
          <w:sz w:val="22"/>
          <w:szCs w:val="22"/>
          <w:lang w:val="en-GB"/>
        </w:rPr>
        <w:t>the</w:t>
      </w:r>
      <w:r w:rsidRPr="00622099">
        <w:rPr>
          <w:rFonts w:ascii="Century Gothic" w:hAnsi="Century Gothic" w:cs="Arial"/>
          <w:sz w:val="22"/>
          <w:szCs w:val="22"/>
          <w:lang w:val="en-GB"/>
        </w:rPr>
        <w:t xml:space="preserve"> Netherlands Development Organisation</w:t>
      </w:r>
      <w:r>
        <w:rPr>
          <w:rFonts w:ascii="Century Gothic" w:hAnsi="Century Gothic" w:cs="Arial"/>
          <w:sz w:val="22"/>
          <w:szCs w:val="22"/>
          <w:lang w:val="en-GB"/>
        </w:rPr>
        <w:t xml:space="preserve"> </w:t>
      </w:r>
      <w:r w:rsidR="007E4D60">
        <w:rPr>
          <w:rFonts w:ascii="Century Gothic" w:hAnsi="Century Gothic" w:cs="Arial"/>
          <w:sz w:val="22"/>
          <w:szCs w:val="22"/>
          <w:lang w:val="en-GB"/>
        </w:rPr>
        <w:t xml:space="preserve">(SNV) </w:t>
      </w:r>
      <w:r w:rsidRPr="00622099">
        <w:rPr>
          <w:rFonts w:ascii="Century Gothic" w:hAnsi="Century Gothic" w:cs="Arial"/>
          <w:sz w:val="22"/>
          <w:szCs w:val="22"/>
          <w:lang w:val="en-GB"/>
        </w:rPr>
        <w:t xml:space="preserve">that </w:t>
      </w:r>
      <w:r w:rsidRPr="0080102C">
        <w:rPr>
          <w:rFonts w:ascii="Century Gothic" w:hAnsi="Century Gothic" w:cs="Arial"/>
          <w:b/>
          <w:sz w:val="22"/>
          <w:szCs w:val="22"/>
          <w:lang w:val="en-GB"/>
        </w:rPr>
        <w:t>build the capacity of smallholder rice producers and provincial agencies to reduce greenhouse gas emissions and improve benefits from rice production</w:t>
      </w:r>
      <w:r w:rsidRPr="00622099">
        <w:rPr>
          <w:rFonts w:ascii="Century Gothic" w:hAnsi="Century Gothic" w:cs="Arial"/>
          <w:sz w:val="22"/>
          <w:szCs w:val="22"/>
          <w:lang w:val="en-GB"/>
        </w:rPr>
        <w:t xml:space="preserve"> in Vietnam’s Mekong Delta and Central Region.</w:t>
      </w:r>
    </w:p>
    <w:p w:rsidR="000B1D99" w:rsidRDefault="000B1D99" w:rsidP="000B1D99">
      <w:pPr>
        <w:jc w:val="both"/>
        <w:rPr>
          <w:rFonts w:ascii="Century Gothic" w:hAnsi="Century Gothic" w:cs="Arial"/>
          <w:sz w:val="22"/>
          <w:lang w:val="en-GB"/>
        </w:rPr>
      </w:pPr>
    </w:p>
    <w:p w:rsidR="000B1D99" w:rsidRPr="00E918F2" w:rsidRDefault="000B1D99" w:rsidP="000B1D99">
      <w:pPr>
        <w:jc w:val="both"/>
        <w:rPr>
          <w:rFonts w:ascii="Century Gothic" w:hAnsi="Century Gothic" w:cs="Arial"/>
          <w:sz w:val="22"/>
          <w:szCs w:val="22"/>
          <w:lang w:val="en-GB"/>
        </w:rPr>
      </w:pPr>
      <w:r>
        <w:rPr>
          <w:rFonts w:ascii="Century Gothic" w:hAnsi="Century Gothic" w:cs="Arial"/>
          <w:sz w:val="22"/>
          <w:lang w:val="en-GB"/>
        </w:rPr>
        <w:t xml:space="preserve">Together, </w:t>
      </w:r>
      <w:r w:rsidRPr="0015321E">
        <w:rPr>
          <w:rFonts w:ascii="Century Gothic" w:hAnsi="Century Gothic" w:cs="Arial"/>
          <w:sz w:val="22"/>
          <w:lang w:val="en-GB"/>
        </w:rPr>
        <w:t xml:space="preserve">these partnerships aim to </w:t>
      </w:r>
      <w:r w:rsidRPr="00CC3F7B">
        <w:rPr>
          <w:rFonts w:ascii="Century Gothic" w:hAnsi="Century Gothic" w:cs="Arial"/>
          <w:b/>
          <w:sz w:val="22"/>
          <w:lang w:val="en-GB"/>
        </w:rPr>
        <w:t xml:space="preserve">directly benefit around </w:t>
      </w:r>
      <w:r w:rsidRPr="00CC3F7B">
        <w:rPr>
          <w:rFonts w:ascii="Century Gothic" w:hAnsi="Century Gothic" w:cs="Arial"/>
          <w:b/>
          <w:bCs/>
          <w:sz w:val="22"/>
        </w:rPr>
        <w:t>240,000 vulnerable people</w:t>
      </w:r>
      <w:r w:rsidRPr="0015321E">
        <w:rPr>
          <w:rFonts w:ascii="Century Gothic" w:hAnsi="Century Gothic" w:cs="Arial"/>
          <w:sz w:val="22"/>
          <w:lang w:val="en-GB"/>
        </w:rPr>
        <w:t xml:space="preserve"> through </w:t>
      </w:r>
      <w:r w:rsidRPr="00CC3F7B">
        <w:rPr>
          <w:rFonts w:ascii="Century Gothic" w:hAnsi="Century Gothic" w:cs="Arial"/>
          <w:b/>
          <w:sz w:val="22"/>
          <w:lang w:val="en-GB"/>
        </w:rPr>
        <w:t>improved resilience</w:t>
      </w:r>
      <w:r w:rsidRPr="0015321E">
        <w:rPr>
          <w:rFonts w:ascii="Century Gothic" w:hAnsi="Century Gothic" w:cs="Arial"/>
          <w:sz w:val="22"/>
          <w:lang w:val="en-GB"/>
        </w:rPr>
        <w:t xml:space="preserve"> to the unavoidable risks of climate change and natural disasters and through new agriculture practices to reduce </w:t>
      </w:r>
      <w:r>
        <w:rPr>
          <w:rFonts w:ascii="Century Gothic" w:hAnsi="Century Gothic" w:cs="Arial"/>
          <w:sz w:val="22"/>
          <w:lang w:val="en-GB"/>
        </w:rPr>
        <w:t>GHG</w:t>
      </w:r>
      <w:r w:rsidRPr="0015321E">
        <w:rPr>
          <w:rFonts w:ascii="Century Gothic" w:hAnsi="Century Gothic" w:cs="Arial"/>
          <w:sz w:val="22"/>
          <w:lang w:val="en-GB"/>
        </w:rPr>
        <w:t xml:space="preserve"> and improve livelihoods.</w:t>
      </w:r>
    </w:p>
    <w:p w:rsidR="007E4D60" w:rsidRDefault="007E4D60" w:rsidP="000B1D99">
      <w:pPr>
        <w:jc w:val="both"/>
        <w:rPr>
          <w:rFonts w:ascii="Century Gothic" w:hAnsi="Century Gothic" w:cs="Arial"/>
          <w:sz w:val="22"/>
        </w:rPr>
      </w:pPr>
    </w:p>
    <w:p w:rsidR="007E4D60" w:rsidRPr="007E4D60" w:rsidRDefault="007E4D60" w:rsidP="000B1D99">
      <w:pPr>
        <w:jc w:val="both"/>
        <w:rPr>
          <w:rFonts w:ascii="Century Gothic" w:hAnsi="Century Gothic" w:cs="Arial"/>
          <w:b/>
          <w:color w:val="8DB3E2" w:themeColor="text2" w:themeTint="66"/>
          <w:sz w:val="22"/>
        </w:rPr>
      </w:pPr>
      <w:r w:rsidRPr="007E4D60">
        <w:rPr>
          <w:rFonts w:ascii="Century Gothic" w:hAnsi="Century Gothic" w:cs="Arial"/>
          <w:b/>
          <w:color w:val="8DB3E2" w:themeColor="text2" w:themeTint="66"/>
          <w:sz w:val="22"/>
        </w:rPr>
        <w:t>The Review</w:t>
      </w:r>
    </w:p>
    <w:p w:rsidR="00A878B5" w:rsidRDefault="000B1D99" w:rsidP="000B1D99">
      <w:pPr>
        <w:jc w:val="both"/>
        <w:rPr>
          <w:rFonts w:ascii="Century Gothic" w:hAnsi="Century Gothic" w:cs="Arial"/>
          <w:sz w:val="22"/>
          <w:szCs w:val="22"/>
        </w:rPr>
      </w:pPr>
      <w:r w:rsidRPr="00622099">
        <w:rPr>
          <w:rFonts w:ascii="Century Gothic" w:hAnsi="Century Gothic" w:cs="Arial"/>
          <w:sz w:val="22"/>
        </w:rPr>
        <w:t xml:space="preserve">DFAT </w:t>
      </w:r>
      <w:r>
        <w:rPr>
          <w:rFonts w:ascii="Century Gothic" w:hAnsi="Century Gothic" w:cs="Arial"/>
          <w:sz w:val="22"/>
        </w:rPr>
        <w:t>commissioned this</w:t>
      </w:r>
      <w:r w:rsidRPr="00622099">
        <w:rPr>
          <w:rFonts w:ascii="Century Gothic" w:hAnsi="Century Gothic" w:cs="Arial"/>
          <w:sz w:val="22"/>
        </w:rPr>
        <w:t xml:space="preserve"> Independent Progress Review to</w:t>
      </w:r>
      <w:r>
        <w:rPr>
          <w:rFonts w:ascii="Century Gothic" w:hAnsi="Century Gothic" w:cs="Arial"/>
          <w:sz w:val="22"/>
        </w:rPr>
        <w:t xml:space="preserve"> assess the performance of the </w:t>
      </w:r>
      <w:r w:rsidR="004932FE">
        <w:rPr>
          <w:rFonts w:ascii="Century Gothic" w:hAnsi="Century Gothic" w:cs="Arial"/>
          <w:sz w:val="22"/>
        </w:rPr>
        <w:t>CCCAG partnership in Vietnam</w:t>
      </w:r>
      <w:r>
        <w:rPr>
          <w:rFonts w:ascii="Century Gothic" w:hAnsi="Century Gothic" w:cs="Arial"/>
          <w:sz w:val="22"/>
        </w:rPr>
        <w:t xml:space="preserve">, draw lessons to inform DFAT thinking on the scope and priorities for future </w:t>
      </w:r>
      <w:r w:rsidR="004932FE">
        <w:rPr>
          <w:rFonts w:ascii="Century Gothic" w:hAnsi="Century Gothic" w:cs="Arial"/>
          <w:sz w:val="22"/>
        </w:rPr>
        <w:t>investments</w:t>
      </w:r>
      <w:r>
        <w:rPr>
          <w:rFonts w:ascii="Century Gothic" w:hAnsi="Century Gothic" w:cs="Arial"/>
          <w:sz w:val="22"/>
        </w:rPr>
        <w:t xml:space="preserve"> in the sector, and make </w:t>
      </w:r>
      <w:r w:rsidRPr="0034341B">
        <w:rPr>
          <w:rFonts w:ascii="Century Gothic" w:hAnsi="Century Gothic" w:cs="Arial"/>
          <w:sz w:val="22"/>
          <w:szCs w:val="22"/>
        </w:rPr>
        <w:t xml:space="preserve">recommendations on </w:t>
      </w:r>
      <w:r>
        <w:rPr>
          <w:rFonts w:ascii="Century Gothic" w:hAnsi="Century Gothic" w:cs="Arial"/>
          <w:sz w:val="22"/>
          <w:szCs w:val="22"/>
        </w:rPr>
        <w:t>how to</w:t>
      </w:r>
      <w:r w:rsidRPr="0034341B">
        <w:rPr>
          <w:rFonts w:ascii="Century Gothic" w:hAnsi="Century Gothic" w:cs="Arial"/>
          <w:sz w:val="22"/>
          <w:szCs w:val="22"/>
        </w:rPr>
        <w:t xml:space="preserve"> strengthen </w:t>
      </w:r>
      <w:r>
        <w:rPr>
          <w:rFonts w:ascii="Century Gothic" w:hAnsi="Century Gothic" w:cs="Arial"/>
          <w:sz w:val="22"/>
          <w:szCs w:val="22"/>
        </w:rPr>
        <w:t xml:space="preserve">the </w:t>
      </w:r>
      <w:r w:rsidR="004932FE">
        <w:rPr>
          <w:rFonts w:ascii="Century Gothic" w:hAnsi="Century Gothic" w:cs="Arial"/>
          <w:sz w:val="22"/>
          <w:szCs w:val="22"/>
        </w:rPr>
        <w:t>partnership</w:t>
      </w:r>
      <w:r>
        <w:rPr>
          <w:rFonts w:ascii="Century Gothic" w:hAnsi="Century Gothic" w:cs="Arial"/>
          <w:sz w:val="22"/>
          <w:szCs w:val="22"/>
        </w:rPr>
        <w:t xml:space="preserve"> drawing on AMNEP resources.</w:t>
      </w:r>
    </w:p>
    <w:p w:rsidR="00F53E4F" w:rsidRPr="00A47E05" w:rsidRDefault="00514BB7" w:rsidP="00A47E05">
      <w:pPr>
        <w:pStyle w:val="Heading2"/>
      </w:pPr>
      <w:bookmarkStart w:id="3" w:name="_Toc266010014"/>
      <w:r w:rsidRPr="00514BB7">
        <w:t>Program Performance – Headline Findings</w:t>
      </w:r>
      <w:bookmarkEnd w:id="3"/>
    </w:p>
    <w:p w:rsidR="00F53E4F" w:rsidRPr="00F53E4F" w:rsidRDefault="00F53E4F" w:rsidP="001228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F53E4F">
        <w:rPr>
          <w:rFonts w:ascii="Century Gothic" w:hAnsi="Century Gothic" w:cs="Helvetica"/>
          <w:iCs/>
          <w:color w:val="000000"/>
          <w:sz w:val="22"/>
        </w:rPr>
        <w:t xml:space="preserve">CCCAG </w:t>
      </w:r>
      <w:r w:rsidR="001228FD">
        <w:rPr>
          <w:rFonts w:ascii="Century Gothic" w:hAnsi="Century Gothic" w:cs="Helvetica"/>
          <w:iCs/>
          <w:color w:val="000000"/>
          <w:sz w:val="22"/>
        </w:rPr>
        <w:t xml:space="preserve">is aligned with the </w:t>
      </w:r>
      <w:r w:rsidR="001228FD" w:rsidRPr="00116E84">
        <w:rPr>
          <w:rFonts w:ascii="Century Gothic" w:hAnsi="Century Gothic" w:cs="Helvetica"/>
          <w:b/>
          <w:iCs/>
          <w:color w:val="000000"/>
          <w:sz w:val="22"/>
        </w:rPr>
        <w:t>joint development priorities</w:t>
      </w:r>
      <w:r w:rsidR="001228FD">
        <w:rPr>
          <w:rFonts w:ascii="Century Gothic" w:hAnsi="Century Gothic" w:cs="Helvetica"/>
          <w:iCs/>
          <w:color w:val="000000"/>
          <w:sz w:val="22"/>
        </w:rPr>
        <w:t xml:space="preserve"> of the Government of Vietnam and the Government of Australia, and </w:t>
      </w:r>
      <w:r w:rsidRPr="001228FD">
        <w:rPr>
          <w:rFonts w:ascii="Century Gothic" w:hAnsi="Century Gothic" w:cs="Helvetica"/>
          <w:b/>
          <w:iCs/>
          <w:color w:val="000000"/>
          <w:sz w:val="22"/>
        </w:rPr>
        <w:t>represents a strategic and targeted investment</w:t>
      </w:r>
      <w:r>
        <w:rPr>
          <w:rFonts w:ascii="Century Gothic" w:hAnsi="Century Gothic" w:cs="Helvetica"/>
          <w:iCs/>
          <w:color w:val="000000"/>
          <w:sz w:val="22"/>
        </w:rPr>
        <w:t xml:space="preserve"> in supporting the Government of Vietnam to address the </w:t>
      </w:r>
      <w:r w:rsidRPr="00116E84">
        <w:rPr>
          <w:rFonts w:ascii="Century Gothic" w:hAnsi="Century Gothic" w:cs="Helvetica"/>
          <w:b/>
          <w:iCs/>
          <w:color w:val="000000"/>
          <w:sz w:val="22"/>
        </w:rPr>
        <w:t xml:space="preserve">very real threats of climate change to its development gains </w:t>
      </w:r>
      <w:r>
        <w:rPr>
          <w:rFonts w:ascii="Century Gothic" w:hAnsi="Century Gothic" w:cs="Helvetica"/>
          <w:iCs/>
          <w:color w:val="000000"/>
          <w:sz w:val="22"/>
        </w:rPr>
        <w:t>of recent years.</w:t>
      </w:r>
      <w:r w:rsidR="001228FD">
        <w:rPr>
          <w:rFonts w:ascii="Century Gothic" w:hAnsi="Century Gothic" w:cs="Helvetica"/>
          <w:iCs/>
          <w:color w:val="000000"/>
          <w:sz w:val="22"/>
        </w:rPr>
        <w:t xml:space="preserve"> </w:t>
      </w:r>
    </w:p>
    <w:p w:rsidR="00A878B5" w:rsidRDefault="00A878B5" w:rsidP="000B1D99">
      <w:pPr>
        <w:jc w:val="both"/>
        <w:rPr>
          <w:rFonts w:ascii="Century Gothic" w:hAnsi="Century Gothic" w:cs="Arial"/>
          <w:sz w:val="22"/>
          <w:szCs w:val="22"/>
        </w:rPr>
      </w:pPr>
    </w:p>
    <w:p w:rsidR="00A90262" w:rsidRDefault="00F53E4F" w:rsidP="00F53E4F">
      <w:pPr>
        <w:jc w:val="both"/>
        <w:rPr>
          <w:rFonts w:ascii="Century Gothic" w:hAnsi="Century Gothic"/>
          <w:sz w:val="22"/>
        </w:rPr>
      </w:pPr>
      <w:r>
        <w:rPr>
          <w:rFonts w:ascii="Century Gothic" w:hAnsi="Century Gothic"/>
          <w:sz w:val="22"/>
        </w:rPr>
        <w:t xml:space="preserve">CCCAG and its constituent projects have </w:t>
      </w:r>
      <w:r w:rsidRPr="00A90262">
        <w:rPr>
          <w:rFonts w:ascii="Century Gothic" w:hAnsi="Century Gothic"/>
          <w:b/>
          <w:sz w:val="22"/>
        </w:rPr>
        <w:t>made progress towards delivering on an ambitious set of approaches and activities</w:t>
      </w:r>
      <w:r>
        <w:rPr>
          <w:rFonts w:ascii="Century Gothic" w:hAnsi="Century Gothic"/>
          <w:sz w:val="22"/>
        </w:rPr>
        <w:t xml:space="preserve"> in a new area of focus for DFAT and many of the NGOs involved. </w:t>
      </w:r>
    </w:p>
    <w:p w:rsidR="00FE5F0E" w:rsidRDefault="00FE5F0E" w:rsidP="00F53E4F">
      <w:pPr>
        <w:jc w:val="both"/>
        <w:rPr>
          <w:rFonts w:ascii="Century Gothic" w:hAnsi="Century Gothic"/>
          <w:sz w:val="22"/>
        </w:rPr>
      </w:pPr>
    </w:p>
    <w:p w:rsidR="00FE5F0E" w:rsidRPr="00E14804" w:rsidRDefault="00FE5F0E" w:rsidP="00FE5F0E">
      <w:pPr>
        <w:jc w:val="both"/>
        <w:rPr>
          <w:rFonts w:ascii="Century Gothic" w:hAnsi="Century Gothic"/>
          <w:sz w:val="22"/>
        </w:rPr>
      </w:pPr>
      <w:r w:rsidRPr="00FE5F0E">
        <w:rPr>
          <w:rFonts w:ascii="Century Gothic" w:hAnsi="Century Gothic"/>
          <w:b/>
          <w:sz w:val="22"/>
          <w:lang w:val="en-AU"/>
        </w:rPr>
        <w:t>Mitigation investments</w:t>
      </w:r>
      <w:r>
        <w:rPr>
          <w:rFonts w:ascii="Century Gothic" w:hAnsi="Century Gothic"/>
          <w:sz w:val="22"/>
          <w:lang w:val="en-AU"/>
        </w:rPr>
        <w:t xml:space="preserve"> </w:t>
      </w:r>
      <w:r w:rsidRPr="00E14804">
        <w:rPr>
          <w:rFonts w:ascii="Century Gothic" w:hAnsi="Century Gothic"/>
          <w:sz w:val="22"/>
          <w:lang w:val="en-AU"/>
        </w:rPr>
        <w:t xml:space="preserve">have demonstrated </w:t>
      </w:r>
      <w:r w:rsidRPr="00E14804">
        <w:rPr>
          <w:rFonts w:ascii="Century Gothic" w:hAnsi="Century Gothic"/>
          <w:sz w:val="22"/>
        </w:rPr>
        <w:t xml:space="preserve">that community based mitigation in the rice production system is </w:t>
      </w:r>
      <w:r w:rsidRPr="00FE5F0E">
        <w:rPr>
          <w:rFonts w:ascii="Century Gothic" w:hAnsi="Century Gothic"/>
          <w:b/>
          <w:sz w:val="22"/>
        </w:rPr>
        <w:t>critical to achieving national emission reduction targets</w:t>
      </w:r>
      <w:r w:rsidRPr="00E14804">
        <w:rPr>
          <w:rFonts w:ascii="Century Gothic" w:hAnsi="Century Gothic"/>
          <w:sz w:val="22"/>
        </w:rPr>
        <w:t xml:space="preserve"> and has</w:t>
      </w:r>
      <w:r w:rsidRPr="00E14804">
        <w:rPr>
          <w:rFonts w:ascii="Century Gothic" w:hAnsi="Century Gothic"/>
          <w:b/>
          <w:sz w:val="22"/>
        </w:rPr>
        <w:t xml:space="preserve"> significant potential for high economic and social impact</w:t>
      </w:r>
      <w:r w:rsidRPr="00E14804">
        <w:rPr>
          <w:rFonts w:ascii="Century Gothic" w:hAnsi="Century Gothic"/>
          <w:sz w:val="22"/>
        </w:rPr>
        <w:t>.</w:t>
      </w:r>
    </w:p>
    <w:p w:rsidR="00A90262" w:rsidRDefault="00A90262" w:rsidP="00F53E4F">
      <w:pPr>
        <w:jc w:val="both"/>
        <w:rPr>
          <w:rFonts w:ascii="Century Gothic" w:hAnsi="Century Gothic"/>
          <w:sz w:val="22"/>
        </w:rPr>
      </w:pPr>
    </w:p>
    <w:p w:rsidR="00063300" w:rsidRDefault="00B41CE9" w:rsidP="00A90262">
      <w:pPr>
        <w:jc w:val="both"/>
        <w:rPr>
          <w:rFonts w:ascii="Century Gothic" w:hAnsi="Century Gothic"/>
          <w:sz w:val="22"/>
        </w:rPr>
      </w:pPr>
      <w:r w:rsidRPr="00B41CE9">
        <w:rPr>
          <w:rFonts w:ascii="Century Gothic" w:hAnsi="Century Gothic"/>
          <w:b/>
          <w:sz w:val="22"/>
        </w:rPr>
        <w:lastRenderedPageBreak/>
        <w:t>Adaptation investments</w:t>
      </w:r>
      <w:r>
        <w:rPr>
          <w:rFonts w:ascii="Century Gothic" w:hAnsi="Century Gothic"/>
          <w:sz w:val="22"/>
        </w:rPr>
        <w:t xml:space="preserve"> have</w:t>
      </w:r>
      <w:r w:rsidR="00A90262">
        <w:rPr>
          <w:rFonts w:ascii="Century Gothic" w:hAnsi="Century Gothic"/>
          <w:sz w:val="22"/>
        </w:rPr>
        <w:t xml:space="preserve"> enabled DFAT and its NGO partners to consider the </w:t>
      </w:r>
      <w:r w:rsidR="00A90262" w:rsidRPr="00A90262">
        <w:rPr>
          <w:rFonts w:ascii="Century Gothic" w:hAnsi="Century Gothic"/>
          <w:b/>
          <w:sz w:val="22"/>
        </w:rPr>
        <w:t>complex interactions and relationships between climate change, poverty, vulnerability, risk and resilience</w:t>
      </w:r>
      <w:r w:rsidR="00A90262">
        <w:rPr>
          <w:rFonts w:ascii="Century Gothic" w:hAnsi="Century Gothic"/>
          <w:sz w:val="22"/>
        </w:rPr>
        <w:t xml:space="preserve">. </w:t>
      </w:r>
      <w:r w:rsidR="0087050C">
        <w:rPr>
          <w:rFonts w:ascii="Century Gothic" w:hAnsi="Century Gothic"/>
          <w:sz w:val="22"/>
        </w:rPr>
        <w:t>Specifically, it</w:t>
      </w:r>
      <w:r w:rsidR="00A90262">
        <w:rPr>
          <w:rFonts w:ascii="Century Gothic" w:hAnsi="Century Gothic"/>
          <w:sz w:val="22"/>
        </w:rPr>
        <w:t xml:space="preserve"> has enabled them to </w:t>
      </w:r>
      <w:r w:rsidR="00A90262" w:rsidRPr="00A90262">
        <w:rPr>
          <w:rFonts w:ascii="Century Gothic" w:hAnsi="Century Gothic"/>
          <w:b/>
          <w:sz w:val="22"/>
        </w:rPr>
        <w:t>leverage</w:t>
      </w:r>
      <w:r w:rsidR="00A90262">
        <w:rPr>
          <w:rFonts w:ascii="Century Gothic" w:hAnsi="Century Gothic"/>
          <w:sz w:val="22"/>
        </w:rPr>
        <w:t xml:space="preserve"> past work and </w:t>
      </w:r>
      <w:r w:rsidR="006F1381">
        <w:rPr>
          <w:rFonts w:ascii="Century Gothic" w:hAnsi="Century Gothic"/>
          <w:sz w:val="22"/>
        </w:rPr>
        <w:t>relationships and</w:t>
      </w:r>
      <w:r w:rsidR="00A90262">
        <w:rPr>
          <w:rFonts w:ascii="Century Gothic" w:hAnsi="Century Gothic"/>
          <w:sz w:val="22"/>
        </w:rPr>
        <w:t xml:space="preserve"> to </w:t>
      </w:r>
      <w:r w:rsidR="00A90262" w:rsidRPr="00A90262">
        <w:rPr>
          <w:rFonts w:ascii="Century Gothic" w:hAnsi="Century Gothic"/>
          <w:b/>
          <w:sz w:val="22"/>
        </w:rPr>
        <w:t>test new and innovative approaches</w:t>
      </w:r>
      <w:r w:rsidR="00A90262">
        <w:rPr>
          <w:rFonts w:ascii="Century Gothic" w:hAnsi="Century Gothic"/>
          <w:sz w:val="22"/>
        </w:rPr>
        <w:t xml:space="preserve"> to addressing climate change adaptation and mitigation at the community level.</w:t>
      </w:r>
    </w:p>
    <w:p w:rsidR="00B41CE9" w:rsidRDefault="00B41CE9" w:rsidP="00063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lang w:val="en-AU"/>
        </w:rPr>
      </w:pPr>
    </w:p>
    <w:p w:rsidR="00063300" w:rsidRPr="00E14804" w:rsidRDefault="00063300" w:rsidP="00063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i/>
          <w:sz w:val="22"/>
          <w:lang w:val="en-AU"/>
        </w:rPr>
      </w:pPr>
      <w:r w:rsidRPr="00063300">
        <w:rPr>
          <w:rFonts w:ascii="Century Gothic" w:hAnsi="Century Gothic"/>
          <w:sz w:val="22"/>
          <w:lang w:val="en-AU"/>
        </w:rPr>
        <w:t xml:space="preserve">CCCAG </w:t>
      </w:r>
      <w:r w:rsidR="00E672F2">
        <w:rPr>
          <w:rFonts w:ascii="Century Gothic" w:hAnsi="Century Gothic"/>
          <w:sz w:val="22"/>
          <w:lang w:val="en-AU"/>
        </w:rPr>
        <w:t>has a strong focus</w:t>
      </w:r>
      <w:r>
        <w:rPr>
          <w:rFonts w:ascii="Century Gothic" w:hAnsi="Century Gothic"/>
          <w:sz w:val="22"/>
          <w:lang w:val="en-AU"/>
        </w:rPr>
        <w:t xml:space="preserve"> on </w:t>
      </w:r>
      <w:r w:rsidR="00E672F2">
        <w:rPr>
          <w:rFonts w:ascii="Century Gothic" w:hAnsi="Century Gothic"/>
          <w:sz w:val="22"/>
          <w:lang w:val="en-AU"/>
        </w:rPr>
        <w:t xml:space="preserve">gender and social inclusion and makes </w:t>
      </w:r>
      <w:r w:rsidR="00E672F2" w:rsidRPr="00E672F2">
        <w:rPr>
          <w:rFonts w:ascii="Century Gothic" w:hAnsi="Century Gothic"/>
          <w:b/>
          <w:sz w:val="22"/>
          <w:lang w:val="en-AU"/>
        </w:rPr>
        <w:t xml:space="preserve">direct investments </w:t>
      </w:r>
      <w:r w:rsidR="00E672F2" w:rsidRPr="00BB16DC">
        <w:rPr>
          <w:rFonts w:ascii="Century Gothic" w:hAnsi="Century Gothic"/>
          <w:sz w:val="22"/>
          <w:lang w:val="en-AU"/>
        </w:rPr>
        <w:t xml:space="preserve">in </w:t>
      </w:r>
      <w:r w:rsidR="00BB16DC" w:rsidRPr="00BB16DC">
        <w:rPr>
          <w:rFonts w:ascii="Century Gothic" w:hAnsi="Century Gothic"/>
          <w:sz w:val="22"/>
          <w:lang w:val="en-AU"/>
        </w:rPr>
        <w:t>the</w:t>
      </w:r>
      <w:r w:rsidR="00BB16DC">
        <w:rPr>
          <w:rFonts w:ascii="Century Gothic" w:hAnsi="Century Gothic"/>
          <w:b/>
          <w:sz w:val="22"/>
          <w:lang w:val="en-AU"/>
        </w:rPr>
        <w:t xml:space="preserve"> </w:t>
      </w:r>
      <w:r w:rsidR="00E672F2" w:rsidRPr="00E672F2">
        <w:rPr>
          <w:rFonts w:ascii="Century Gothic" w:hAnsi="Century Gothic"/>
          <w:b/>
          <w:sz w:val="22"/>
          <w:lang w:val="en-AU"/>
        </w:rPr>
        <w:t xml:space="preserve">economic </w:t>
      </w:r>
      <w:r w:rsidR="00BB16DC">
        <w:rPr>
          <w:rFonts w:ascii="Century Gothic" w:hAnsi="Century Gothic"/>
          <w:b/>
          <w:sz w:val="22"/>
          <w:lang w:val="en-AU"/>
        </w:rPr>
        <w:t>empowerment</w:t>
      </w:r>
      <w:r w:rsidR="00E14804">
        <w:rPr>
          <w:rFonts w:ascii="Century Gothic" w:hAnsi="Century Gothic"/>
          <w:b/>
          <w:sz w:val="22"/>
          <w:lang w:val="en-AU"/>
        </w:rPr>
        <w:t xml:space="preserve"> </w:t>
      </w:r>
      <w:r w:rsidR="00017D89">
        <w:rPr>
          <w:rFonts w:ascii="Century Gothic" w:hAnsi="Century Gothic"/>
          <w:b/>
          <w:sz w:val="22"/>
          <w:lang w:val="en-AU"/>
        </w:rPr>
        <w:t xml:space="preserve">of </w:t>
      </w:r>
      <w:r w:rsidR="00E14804">
        <w:rPr>
          <w:rFonts w:ascii="Century Gothic" w:hAnsi="Century Gothic"/>
          <w:b/>
          <w:sz w:val="22"/>
          <w:lang w:val="en-AU"/>
        </w:rPr>
        <w:t xml:space="preserve">women, </w:t>
      </w:r>
      <w:r w:rsidR="00E672F2" w:rsidRPr="00E14804">
        <w:rPr>
          <w:rFonts w:ascii="Century Gothic" w:hAnsi="Century Gothic"/>
          <w:sz w:val="22"/>
          <w:lang w:val="en-AU"/>
        </w:rPr>
        <w:t xml:space="preserve">people living with </w:t>
      </w:r>
      <w:r w:rsidR="00E672F2" w:rsidRPr="00D1416A">
        <w:rPr>
          <w:rFonts w:ascii="Century Gothic" w:hAnsi="Century Gothic"/>
          <w:b/>
          <w:sz w:val="22"/>
          <w:lang w:val="en-AU"/>
        </w:rPr>
        <w:t>disabilities</w:t>
      </w:r>
      <w:r w:rsidR="00E14804" w:rsidRPr="00D1416A">
        <w:rPr>
          <w:rFonts w:ascii="Century Gothic" w:hAnsi="Century Gothic"/>
          <w:b/>
          <w:sz w:val="22"/>
          <w:lang w:val="en-AU"/>
        </w:rPr>
        <w:t xml:space="preserve"> </w:t>
      </w:r>
      <w:r w:rsidR="00E14804" w:rsidRPr="00E14804">
        <w:rPr>
          <w:rFonts w:ascii="Century Gothic" w:hAnsi="Century Gothic"/>
          <w:sz w:val="22"/>
          <w:lang w:val="en-AU"/>
        </w:rPr>
        <w:t xml:space="preserve">and </w:t>
      </w:r>
      <w:r w:rsidR="00E14804" w:rsidRPr="00D1416A">
        <w:rPr>
          <w:rFonts w:ascii="Century Gothic" w:hAnsi="Century Gothic"/>
          <w:b/>
          <w:sz w:val="22"/>
          <w:lang w:val="en-AU"/>
        </w:rPr>
        <w:t>the</w:t>
      </w:r>
      <w:r w:rsidR="00E14804" w:rsidRPr="00E14804">
        <w:rPr>
          <w:rFonts w:ascii="Century Gothic" w:hAnsi="Century Gothic"/>
          <w:sz w:val="22"/>
          <w:lang w:val="en-AU"/>
        </w:rPr>
        <w:t xml:space="preserve"> </w:t>
      </w:r>
      <w:r w:rsidR="00E14804" w:rsidRPr="00D1416A">
        <w:rPr>
          <w:rFonts w:ascii="Century Gothic" w:hAnsi="Century Gothic"/>
          <w:b/>
          <w:sz w:val="22"/>
          <w:lang w:val="en-AU"/>
        </w:rPr>
        <w:t>poo</w:t>
      </w:r>
      <w:r w:rsidR="00E14804" w:rsidRPr="00E14804">
        <w:rPr>
          <w:rFonts w:ascii="Century Gothic" w:hAnsi="Century Gothic"/>
          <w:sz w:val="22"/>
          <w:lang w:val="en-AU"/>
        </w:rPr>
        <w:t>r.</w:t>
      </w:r>
    </w:p>
    <w:p w:rsidR="00A90262" w:rsidRPr="00E14804" w:rsidRDefault="00A90262" w:rsidP="00A90262">
      <w:pPr>
        <w:jc w:val="both"/>
        <w:rPr>
          <w:rFonts w:ascii="Century Gothic" w:hAnsi="Century Gothic"/>
          <w:sz w:val="22"/>
        </w:rPr>
      </w:pPr>
    </w:p>
    <w:p w:rsidR="00594F9A" w:rsidRDefault="001A03B3" w:rsidP="00A90262">
      <w:pPr>
        <w:jc w:val="both"/>
        <w:rPr>
          <w:rFonts w:ascii="Century Gothic" w:hAnsi="Century Gothic"/>
          <w:sz w:val="22"/>
        </w:rPr>
      </w:pPr>
      <w:r>
        <w:rPr>
          <w:rFonts w:ascii="Century Gothic" w:hAnsi="Century Gothic"/>
          <w:sz w:val="22"/>
        </w:rPr>
        <w:t>R</w:t>
      </w:r>
      <w:r w:rsidR="005D2544">
        <w:rPr>
          <w:rFonts w:ascii="Century Gothic" w:hAnsi="Century Gothic"/>
          <w:sz w:val="22"/>
        </w:rPr>
        <w:t xml:space="preserve">elationships have been built with relevant </w:t>
      </w:r>
      <w:r>
        <w:rPr>
          <w:rFonts w:ascii="Century Gothic" w:hAnsi="Century Gothic"/>
          <w:sz w:val="22"/>
        </w:rPr>
        <w:t xml:space="preserve">national and subnational </w:t>
      </w:r>
      <w:r w:rsidR="005D2544">
        <w:rPr>
          <w:rFonts w:ascii="Century Gothic" w:hAnsi="Century Gothic"/>
          <w:sz w:val="22"/>
        </w:rPr>
        <w:t>government agencies</w:t>
      </w:r>
      <w:r w:rsidR="000A780F">
        <w:rPr>
          <w:rFonts w:ascii="Century Gothic" w:hAnsi="Century Gothic"/>
          <w:sz w:val="22"/>
        </w:rPr>
        <w:t>, academic institutions and</w:t>
      </w:r>
      <w:r w:rsidR="005D2544">
        <w:rPr>
          <w:rFonts w:ascii="Century Gothic" w:hAnsi="Century Gothic"/>
          <w:sz w:val="22"/>
        </w:rPr>
        <w:t xml:space="preserve"> civil society </w:t>
      </w:r>
      <w:r>
        <w:rPr>
          <w:rFonts w:ascii="Century Gothic" w:hAnsi="Century Gothic"/>
          <w:sz w:val="22"/>
        </w:rPr>
        <w:t>(e.g.</w:t>
      </w:r>
      <w:r w:rsidR="005D2544">
        <w:rPr>
          <w:rFonts w:ascii="Century Gothic" w:hAnsi="Century Gothic"/>
          <w:sz w:val="22"/>
        </w:rPr>
        <w:t xml:space="preserve"> Vie</w:t>
      </w:r>
      <w:r w:rsidR="00DC1951">
        <w:rPr>
          <w:rFonts w:ascii="Century Gothic" w:hAnsi="Century Gothic"/>
          <w:sz w:val="22"/>
        </w:rPr>
        <w:t>tnam Red Cross and Women’s Union</w:t>
      </w:r>
      <w:r>
        <w:rPr>
          <w:rFonts w:ascii="Century Gothic" w:hAnsi="Century Gothic"/>
          <w:sz w:val="22"/>
        </w:rPr>
        <w:t>)</w:t>
      </w:r>
      <w:r w:rsidR="00E25DEE">
        <w:rPr>
          <w:rFonts w:ascii="Century Gothic" w:hAnsi="Century Gothic"/>
          <w:sz w:val="22"/>
        </w:rPr>
        <w:t xml:space="preserve"> which will </w:t>
      </w:r>
      <w:r w:rsidR="00DC1951" w:rsidRPr="00787A3B">
        <w:rPr>
          <w:rFonts w:ascii="Century Gothic" w:hAnsi="Century Gothic"/>
          <w:b/>
          <w:sz w:val="22"/>
        </w:rPr>
        <w:t>contribute to the potential for sustainability and replication</w:t>
      </w:r>
      <w:r w:rsidR="00594F9A">
        <w:rPr>
          <w:rFonts w:ascii="Century Gothic" w:hAnsi="Century Gothic"/>
          <w:sz w:val="22"/>
        </w:rPr>
        <w:t>.</w:t>
      </w:r>
    </w:p>
    <w:p w:rsidR="00DC1951" w:rsidRDefault="00DC1951" w:rsidP="00A90262">
      <w:pPr>
        <w:jc w:val="both"/>
        <w:rPr>
          <w:rFonts w:ascii="Century Gothic" w:hAnsi="Century Gothic"/>
          <w:sz w:val="22"/>
        </w:rPr>
      </w:pPr>
    </w:p>
    <w:p w:rsidR="009D5615" w:rsidRDefault="00D1416A" w:rsidP="00D14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sz w:val="22"/>
        </w:rPr>
      </w:pPr>
      <w:r>
        <w:rPr>
          <w:rFonts w:ascii="Century Gothic" w:hAnsi="Century Gothic" w:cs="Helvetica"/>
          <w:iCs/>
          <w:sz w:val="22"/>
        </w:rPr>
        <w:t>DFAT has used the opportunity presented by CCCAG to make</w:t>
      </w:r>
      <w:r w:rsidR="00787A3B" w:rsidRPr="00D1416A">
        <w:rPr>
          <w:rFonts w:ascii="Century Gothic" w:hAnsi="Century Gothic" w:cs="Helvetica"/>
          <w:iCs/>
          <w:sz w:val="22"/>
        </w:rPr>
        <w:t xml:space="preserve"> </w:t>
      </w:r>
      <w:r w:rsidR="00787A3B" w:rsidRPr="00D1416A">
        <w:rPr>
          <w:rFonts w:ascii="Century Gothic" w:hAnsi="Century Gothic" w:cs="Helvetica"/>
          <w:b/>
          <w:iCs/>
          <w:sz w:val="22"/>
        </w:rPr>
        <w:t xml:space="preserve">targeted and strategic investments </w:t>
      </w:r>
      <w:r w:rsidR="00787A3B" w:rsidRPr="00D1416A">
        <w:rPr>
          <w:rFonts w:ascii="Century Gothic" w:hAnsi="Century Gothic" w:cs="Helvetica"/>
          <w:iCs/>
          <w:sz w:val="22"/>
        </w:rPr>
        <w:t xml:space="preserve">through the Australia Mekong NGO Engagement Platform (AMNEP) to </w:t>
      </w:r>
      <w:r w:rsidR="00787A3B" w:rsidRPr="00D1416A">
        <w:rPr>
          <w:rFonts w:ascii="Century Gothic" w:hAnsi="Century Gothic" w:cs="Helvetica"/>
          <w:b/>
          <w:iCs/>
          <w:sz w:val="22"/>
        </w:rPr>
        <w:t xml:space="preserve">deepen engagement with </w:t>
      </w:r>
      <w:r w:rsidR="00787A3B" w:rsidRPr="00682AE8">
        <w:rPr>
          <w:rFonts w:ascii="Century Gothic" w:hAnsi="Century Gothic" w:cs="Helvetica"/>
          <w:iCs/>
          <w:sz w:val="22"/>
        </w:rPr>
        <w:t>NGOs</w:t>
      </w:r>
      <w:r w:rsidR="00787A3B" w:rsidRPr="00D1416A">
        <w:rPr>
          <w:rFonts w:ascii="Century Gothic" w:hAnsi="Century Gothic" w:cs="Helvetica"/>
          <w:b/>
          <w:iCs/>
          <w:sz w:val="22"/>
        </w:rPr>
        <w:t>.</w:t>
      </w:r>
      <w:r w:rsidR="00594F9A">
        <w:rPr>
          <w:rFonts w:ascii="Century Gothic" w:hAnsi="Century Gothic" w:cs="Helvetica"/>
          <w:b/>
          <w:iCs/>
          <w:sz w:val="22"/>
        </w:rPr>
        <w:t xml:space="preserve"> </w:t>
      </w:r>
      <w:r w:rsidR="00594F9A" w:rsidRPr="00936A9E">
        <w:rPr>
          <w:rFonts w:ascii="Century Gothic" w:hAnsi="Century Gothic" w:cs="Helvetica"/>
          <w:iCs/>
          <w:sz w:val="22"/>
        </w:rPr>
        <w:t xml:space="preserve">This engagement is </w:t>
      </w:r>
      <w:r w:rsidR="00594F9A" w:rsidRPr="00936A9E">
        <w:rPr>
          <w:rFonts w:ascii="Century Gothic" w:hAnsi="Century Gothic" w:cs="Helvetica"/>
          <w:b/>
          <w:iCs/>
          <w:sz w:val="22"/>
        </w:rPr>
        <w:t>paying dividends</w:t>
      </w:r>
      <w:r w:rsidR="00594F9A" w:rsidRPr="00936A9E">
        <w:rPr>
          <w:rFonts w:ascii="Century Gothic" w:hAnsi="Century Gothic" w:cs="Helvetica"/>
          <w:iCs/>
          <w:sz w:val="22"/>
        </w:rPr>
        <w:t xml:space="preserve"> for DFAT in its wider </w:t>
      </w:r>
      <w:r w:rsidR="00936A9E">
        <w:rPr>
          <w:rFonts w:ascii="Century Gothic" w:hAnsi="Century Gothic" w:cs="Helvetica"/>
          <w:iCs/>
          <w:sz w:val="22"/>
        </w:rPr>
        <w:t>bilater</w:t>
      </w:r>
      <w:r w:rsidR="00766621">
        <w:rPr>
          <w:rFonts w:ascii="Century Gothic" w:hAnsi="Century Gothic" w:cs="Helvetica"/>
          <w:iCs/>
          <w:sz w:val="22"/>
        </w:rPr>
        <w:t>al</w:t>
      </w:r>
      <w:r w:rsidR="00936A9E">
        <w:rPr>
          <w:rFonts w:ascii="Century Gothic" w:hAnsi="Century Gothic" w:cs="Helvetica"/>
          <w:iCs/>
          <w:sz w:val="22"/>
        </w:rPr>
        <w:t xml:space="preserve"> and multilateral engagements</w:t>
      </w:r>
      <w:r w:rsidR="00766621">
        <w:rPr>
          <w:rFonts w:ascii="Century Gothic" w:hAnsi="Century Gothic" w:cs="Helvetica"/>
          <w:iCs/>
          <w:sz w:val="22"/>
        </w:rPr>
        <w:t xml:space="preserve"> and for NGOs in mobilising their respective strengths to strengthen </w:t>
      </w:r>
      <w:r w:rsidR="009D5615" w:rsidRPr="009D5615">
        <w:rPr>
          <w:rFonts w:ascii="Century Gothic" w:hAnsi="Century Gothic" w:cs="Helvetica"/>
          <w:b/>
          <w:iCs/>
          <w:sz w:val="22"/>
        </w:rPr>
        <w:t>development effectiveness</w:t>
      </w:r>
      <w:r w:rsidR="009D5615">
        <w:rPr>
          <w:rFonts w:ascii="Century Gothic" w:hAnsi="Century Gothic" w:cs="Helvetica"/>
          <w:iCs/>
          <w:sz w:val="22"/>
        </w:rPr>
        <w:t xml:space="preserve"> and </w:t>
      </w:r>
      <w:r w:rsidR="00766621" w:rsidRPr="009D5615">
        <w:rPr>
          <w:rFonts w:ascii="Century Gothic" w:hAnsi="Century Gothic" w:cs="Helvetica"/>
          <w:b/>
          <w:iCs/>
          <w:sz w:val="22"/>
        </w:rPr>
        <w:t>aid performan</w:t>
      </w:r>
      <w:r w:rsidR="009D5615" w:rsidRPr="009D5615">
        <w:rPr>
          <w:rFonts w:ascii="Century Gothic" w:hAnsi="Century Gothic" w:cs="Helvetica"/>
          <w:b/>
          <w:iCs/>
          <w:sz w:val="22"/>
        </w:rPr>
        <w:t>ce</w:t>
      </w:r>
      <w:r w:rsidR="009D5615">
        <w:rPr>
          <w:rFonts w:ascii="Century Gothic" w:hAnsi="Century Gothic" w:cs="Helvetica"/>
          <w:iCs/>
          <w:sz w:val="22"/>
        </w:rPr>
        <w:t>.</w:t>
      </w:r>
    </w:p>
    <w:p w:rsidR="00682AE8" w:rsidRPr="001D276C" w:rsidRDefault="00514BB7" w:rsidP="001D276C">
      <w:pPr>
        <w:pStyle w:val="Heading2"/>
      </w:pPr>
      <w:bookmarkStart w:id="4" w:name="_Toc266010015"/>
      <w:r>
        <w:t>Summary of Recommendations</w:t>
      </w:r>
      <w:bookmarkEnd w:id="4"/>
    </w:p>
    <w:p w:rsidR="004F0815" w:rsidRPr="001D276C" w:rsidRDefault="004F0815" w:rsidP="004F0815">
      <w:pPr>
        <w:jc w:val="both"/>
        <w:rPr>
          <w:rFonts w:ascii="Century Gothic" w:hAnsi="Century Gothic"/>
          <w:sz w:val="22"/>
        </w:rPr>
      </w:pPr>
      <w:r>
        <w:rPr>
          <w:rFonts w:ascii="Century Gothic" w:hAnsi="Century Gothic"/>
          <w:sz w:val="22"/>
        </w:rPr>
        <w:t xml:space="preserve">This Review represents a key process in capturing lessons from CCCAG to inform the next stage of DFAT’s community-based climate change investment in Vietnam.  We hope that the combined efforts of all engaged in the Review can support DFAT and its CCCAG partners to reflect on progress made to date, refine the delivery of activities for the remaining duration of the program, and underpin critical analysis of future climate change adaptation and mitigation funding investments. </w:t>
      </w:r>
    </w:p>
    <w:p w:rsidR="004F0815" w:rsidRDefault="004F0815"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514BB7" w:rsidRDefault="005030C7"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We present our recommendations in two forms:</w:t>
      </w:r>
    </w:p>
    <w:p w:rsidR="00514BB7" w:rsidRDefault="00514BB7"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514BB7" w:rsidRPr="00514BB7" w:rsidRDefault="001E410C" w:rsidP="00514BB7">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095FF8">
        <w:rPr>
          <w:rFonts w:ascii="Century Gothic" w:hAnsi="Century Gothic" w:cs="Helvetica"/>
          <w:b/>
          <w:iCs/>
          <w:color w:val="000000"/>
          <w:sz w:val="22"/>
        </w:rPr>
        <w:t>Proposed I</w:t>
      </w:r>
      <w:r w:rsidR="00514BB7" w:rsidRPr="00095FF8">
        <w:rPr>
          <w:rFonts w:ascii="Century Gothic" w:hAnsi="Century Gothic" w:cs="Helvetica"/>
          <w:b/>
          <w:iCs/>
          <w:color w:val="000000"/>
          <w:sz w:val="22"/>
        </w:rPr>
        <w:t xml:space="preserve">mmediate </w:t>
      </w:r>
      <w:r w:rsidRPr="00095FF8">
        <w:rPr>
          <w:rFonts w:ascii="Century Gothic" w:hAnsi="Century Gothic" w:cs="Helvetica"/>
          <w:b/>
          <w:iCs/>
          <w:color w:val="000000"/>
          <w:sz w:val="22"/>
        </w:rPr>
        <w:t>A</w:t>
      </w:r>
      <w:r w:rsidR="00514BB7" w:rsidRPr="00095FF8">
        <w:rPr>
          <w:rFonts w:ascii="Century Gothic" w:hAnsi="Century Gothic" w:cs="Helvetica"/>
          <w:b/>
          <w:iCs/>
          <w:color w:val="000000"/>
          <w:sz w:val="22"/>
        </w:rPr>
        <w:t>ction</w:t>
      </w:r>
      <w:r w:rsidRPr="00095FF8">
        <w:rPr>
          <w:rFonts w:ascii="Century Gothic" w:hAnsi="Century Gothic" w:cs="Helvetica"/>
          <w:b/>
          <w:iCs/>
          <w:color w:val="000000"/>
          <w:sz w:val="22"/>
        </w:rPr>
        <w:t>s</w:t>
      </w:r>
      <w:r w:rsidR="00514BB7" w:rsidRPr="00514BB7">
        <w:rPr>
          <w:rFonts w:ascii="Century Gothic" w:hAnsi="Century Gothic" w:cs="Helvetica"/>
          <w:iCs/>
          <w:color w:val="000000"/>
          <w:sz w:val="22"/>
        </w:rPr>
        <w:t xml:space="preserve">: Actions that can be taken </w:t>
      </w:r>
      <w:r>
        <w:rPr>
          <w:rFonts w:ascii="Century Gothic" w:hAnsi="Century Gothic" w:cs="Helvetica"/>
          <w:iCs/>
          <w:color w:val="000000"/>
          <w:sz w:val="22"/>
        </w:rPr>
        <w:t>in</w:t>
      </w:r>
      <w:r w:rsidR="00514BB7" w:rsidRPr="00514BB7">
        <w:rPr>
          <w:rFonts w:ascii="Century Gothic" w:hAnsi="Century Gothic" w:cs="Helvetica"/>
          <w:iCs/>
          <w:color w:val="000000"/>
          <w:sz w:val="22"/>
        </w:rPr>
        <w:t xml:space="preserve"> life of the current program.</w:t>
      </w:r>
    </w:p>
    <w:p w:rsidR="00514BB7" w:rsidRPr="00514BB7" w:rsidRDefault="001E410C" w:rsidP="00514BB7">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095FF8">
        <w:rPr>
          <w:rFonts w:ascii="Century Gothic" w:hAnsi="Century Gothic" w:cs="Helvetica"/>
          <w:b/>
          <w:iCs/>
          <w:color w:val="000000"/>
          <w:sz w:val="22"/>
        </w:rPr>
        <w:t>Forward Considerations</w:t>
      </w:r>
      <w:r w:rsidR="00095FF8">
        <w:rPr>
          <w:rFonts w:ascii="Century Gothic" w:hAnsi="Century Gothic" w:cs="Helvetica"/>
          <w:b/>
          <w:iCs/>
          <w:color w:val="000000"/>
          <w:sz w:val="22"/>
        </w:rPr>
        <w:t>:</w:t>
      </w:r>
      <w:r w:rsidR="00514BB7" w:rsidRPr="00514BB7">
        <w:rPr>
          <w:rFonts w:ascii="Century Gothic" w:hAnsi="Century Gothic" w:cs="Helvetica"/>
          <w:iCs/>
          <w:color w:val="000000"/>
          <w:sz w:val="22"/>
        </w:rPr>
        <w:t xml:space="preserve"> </w:t>
      </w:r>
      <w:r w:rsidRPr="00514BB7">
        <w:rPr>
          <w:rFonts w:ascii="Century Gothic" w:hAnsi="Century Gothic" w:cs="Helvetica"/>
          <w:iCs/>
          <w:color w:val="000000"/>
          <w:sz w:val="22"/>
        </w:rPr>
        <w:t>Considerations</w:t>
      </w:r>
      <w:r w:rsidR="00514BB7" w:rsidRPr="00514BB7">
        <w:rPr>
          <w:rFonts w:ascii="Century Gothic" w:hAnsi="Century Gothic" w:cs="Helvetica"/>
          <w:iCs/>
          <w:color w:val="000000"/>
          <w:sz w:val="22"/>
        </w:rPr>
        <w:t xml:space="preserve"> and actions </w:t>
      </w:r>
      <w:r w:rsidR="002E67AA">
        <w:rPr>
          <w:rFonts w:ascii="Century Gothic" w:hAnsi="Century Gothic" w:cs="Helvetica"/>
          <w:iCs/>
          <w:color w:val="000000"/>
          <w:sz w:val="22"/>
        </w:rPr>
        <w:t xml:space="preserve">proposed </w:t>
      </w:r>
      <w:r>
        <w:rPr>
          <w:rFonts w:ascii="Century Gothic" w:hAnsi="Century Gothic" w:cs="Helvetica"/>
          <w:iCs/>
          <w:color w:val="000000"/>
          <w:sz w:val="22"/>
        </w:rPr>
        <w:t>to</w:t>
      </w:r>
      <w:r w:rsidR="00514BB7" w:rsidRPr="00514BB7">
        <w:rPr>
          <w:rFonts w:ascii="Century Gothic" w:hAnsi="Century Gothic" w:cs="Helvetica"/>
          <w:iCs/>
          <w:color w:val="000000"/>
          <w:sz w:val="22"/>
        </w:rPr>
        <w:t xml:space="preserve"> inform the design of DFAT’s next investment in community based climate change in Vietnam.</w:t>
      </w:r>
    </w:p>
    <w:p w:rsidR="000B1D99" w:rsidRPr="002A112F"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
          <w:iCs/>
          <w:sz w:val="22"/>
        </w:rPr>
      </w:pPr>
    </w:p>
    <w:tbl>
      <w:tblPr>
        <w:tblStyle w:val="TableGrid"/>
        <w:tblW w:w="0" w:type="auto"/>
        <w:tblLayout w:type="fixed"/>
        <w:tblLook w:val="00A0" w:firstRow="1" w:lastRow="0" w:firstColumn="1" w:lastColumn="0" w:noHBand="0" w:noVBand="0"/>
        <w:tblCaption w:val="Proposed Immediate Actions"/>
        <w:tblDescription w:val="The table lists proposed immediate actions that can be taken in the life of the current program. They are listed at both the program and project level"/>
      </w:tblPr>
      <w:tblGrid>
        <w:gridCol w:w="8330"/>
        <w:gridCol w:w="1417"/>
      </w:tblGrid>
      <w:tr w:rsidR="003D6C65" w:rsidRPr="002A112F" w:rsidTr="00746B24">
        <w:trPr>
          <w:tblHeader/>
        </w:trPr>
        <w:tc>
          <w:tcPr>
            <w:tcW w:w="9747" w:type="dxa"/>
            <w:gridSpan w:val="2"/>
            <w:shd w:val="clear" w:color="auto" w:fill="99CCFF"/>
          </w:tcPr>
          <w:p w:rsidR="003D6C65" w:rsidRPr="002A112F" w:rsidRDefault="002A112F" w:rsidP="009A236D">
            <w:pPr>
              <w:pStyle w:val="DonnasStyle"/>
              <w:jc w:val="center"/>
              <w:rPr>
                <w:rFonts w:cs="Helvetica"/>
                <w:b/>
              </w:rPr>
            </w:pPr>
            <w:r w:rsidRPr="002A112F">
              <w:rPr>
                <w:b/>
              </w:rPr>
              <w:t xml:space="preserve">Proposed </w:t>
            </w:r>
            <w:r w:rsidR="003D6C65" w:rsidRPr="002A112F">
              <w:rPr>
                <w:b/>
              </w:rPr>
              <w:t>Immediate Action - CCCAG Current Term</w:t>
            </w:r>
          </w:p>
        </w:tc>
      </w:tr>
      <w:tr w:rsidR="00AD53E5" w:rsidRPr="00884A95">
        <w:tc>
          <w:tcPr>
            <w:tcW w:w="9747" w:type="dxa"/>
            <w:gridSpan w:val="2"/>
          </w:tcPr>
          <w:p w:rsidR="00AD53E5" w:rsidRPr="00AD53E5" w:rsidRDefault="00AD53E5" w:rsidP="00AD53E5">
            <w:pPr>
              <w:pStyle w:val="DonnasStyle"/>
              <w:jc w:val="left"/>
              <w:rPr>
                <w:rFonts w:cs="Helvetica"/>
                <w:b/>
                <w:sz w:val="18"/>
              </w:rPr>
            </w:pPr>
            <w:r w:rsidRPr="00AD53E5">
              <w:rPr>
                <w:b/>
              </w:rPr>
              <w:t>Program Level</w:t>
            </w:r>
          </w:p>
        </w:tc>
      </w:tr>
      <w:tr w:rsidR="003D66D2" w:rsidRPr="00884A95">
        <w:tc>
          <w:tcPr>
            <w:tcW w:w="8330" w:type="dxa"/>
          </w:tcPr>
          <w:p w:rsidR="003D66D2" w:rsidRPr="00884A95" w:rsidRDefault="003D66D2" w:rsidP="003D66D2">
            <w:pPr>
              <w:pStyle w:val="DonnasStyle"/>
            </w:pPr>
            <w:r>
              <w:t>The efforts that all partners</w:t>
            </w:r>
            <w:r w:rsidR="009063C0">
              <w:t xml:space="preserve"> (DFAT, NGOs)</w:t>
            </w:r>
            <w:r>
              <w:t xml:space="preserve"> are making to the partnership are valuable and are paying dividends! Keep going! </w:t>
            </w:r>
            <w:r>
              <w:sym w:font="Wingdings" w:char="F04A"/>
            </w:r>
          </w:p>
        </w:tc>
        <w:tc>
          <w:tcPr>
            <w:tcW w:w="1417" w:type="dxa"/>
          </w:tcPr>
          <w:p w:rsidR="003D66D2" w:rsidRPr="003D66D2" w:rsidRDefault="003D66D2" w:rsidP="00056059">
            <w:pPr>
              <w:pStyle w:val="DonnasStyle"/>
              <w:jc w:val="center"/>
              <w:rPr>
                <w:rFonts w:cs="Helvetica"/>
                <w:sz w:val="18"/>
              </w:rPr>
            </w:pPr>
            <w:r w:rsidRPr="003D66D2">
              <w:rPr>
                <w:rFonts w:cs="Helvetica"/>
                <w:sz w:val="18"/>
              </w:rPr>
              <w:t>Partnership</w:t>
            </w:r>
          </w:p>
          <w:p w:rsidR="003D66D2" w:rsidRPr="003D66D2" w:rsidRDefault="003D66D2" w:rsidP="00056059">
            <w:pPr>
              <w:pStyle w:val="DonnasStyle"/>
              <w:jc w:val="center"/>
              <w:rPr>
                <w:rFonts w:cs="Helvetica"/>
                <w:sz w:val="18"/>
              </w:rPr>
            </w:pPr>
            <w:r w:rsidRPr="003D66D2">
              <w:rPr>
                <w:rFonts w:cs="Helvetica"/>
                <w:sz w:val="18"/>
              </w:rPr>
              <w:t>Efficiency</w:t>
            </w:r>
          </w:p>
          <w:p w:rsidR="003D66D2" w:rsidRPr="0072047A" w:rsidRDefault="003D66D2" w:rsidP="00056059">
            <w:pPr>
              <w:pStyle w:val="DonnasStyle"/>
              <w:jc w:val="center"/>
              <w:rPr>
                <w:rFonts w:cs="Helvetica"/>
                <w:b/>
                <w:sz w:val="18"/>
              </w:rPr>
            </w:pPr>
            <w:r w:rsidRPr="003D66D2">
              <w:rPr>
                <w:rFonts w:cs="Helvetica"/>
                <w:sz w:val="18"/>
              </w:rPr>
              <w:t>Analysis &amp; Learning</w:t>
            </w:r>
          </w:p>
        </w:tc>
      </w:tr>
      <w:tr w:rsidR="003D6C65" w:rsidRPr="00884A95">
        <w:tc>
          <w:tcPr>
            <w:tcW w:w="8330" w:type="dxa"/>
          </w:tcPr>
          <w:p w:rsidR="003D6C65" w:rsidRPr="00EB0C77" w:rsidRDefault="00EB0C77" w:rsidP="00AF3F29">
            <w:pPr>
              <w:pStyle w:val="DonnasStyle"/>
              <w:rPr>
                <w:rFonts w:cs="Century Gothic"/>
                <w:szCs w:val="30"/>
              </w:rPr>
            </w:pPr>
            <w:r w:rsidRPr="00AF3F29">
              <w:rPr>
                <w:rFonts w:cs="Century Gothic"/>
                <w:szCs w:val="30"/>
              </w:rPr>
              <w:t xml:space="preserve">Partnering meetings should provide an opportunity </w:t>
            </w:r>
            <w:r w:rsidR="00AF3F29">
              <w:rPr>
                <w:rFonts w:cs="Century Gothic"/>
                <w:szCs w:val="30"/>
              </w:rPr>
              <w:t>beyond information sharing and lessons learned from programming, for DFAT and partners to spend</w:t>
            </w:r>
            <w:r w:rsidRPr="00AF3F29">
              <w:rPr>
                <w:rFonts w:cs="Century Gothic"/>
                <w:szCs w:val="30"/>
              </w:rPr>
              <w:t xml:space="preserve"> time reflecting </w:t>
            </w:r>
            <w:r w:rsidR="00AD53E5" w:rsidRPr="00AF3F29">
              <w:rPr>
                <w:rFonts w:cs="Century Gothic"/>
                <w:szCs w:val="30"/>
              </w:rPr>
              <w:t xml:space="preserve">the evolution of </w:t>
            </w:r>
            <w:r w:rsidR="00AF3F29">
              <w:rPr>
                <w:rFonts w:cs="Century Gothic"/>
                <w:szCs w:val="30"/>
              </w:rPr>
              <w:t xml:space="preserve">the partnership itself and </w:t>
            </w:r>
            <w:r w:rsidR="00AD53E5" w:rsidRPr="006A077E">
              <w:rPr>
                <w:rFonts w:cs="Century Gothic"/>
                <w:szCs w:val="30"/>
              </w:rPr>
              <w:t>capture what is being done in new ways and what gains are being made.</w:t>
            </w:r>
          </w:p>
        </w:tc>
        <w:tc>
          <w:tcPr>
            <w:tcW w:w="1417" w:type="dxa"/>
          </w:tcPr>
          <w:p w:rsidR="00EB0C77" w:rsidRPr="00EB0C77" w:rsidRDefault="00EB0C77" w:rsidP="00056059">
            <w:pPr>
              <w:pStyle w:val="DonnasStyle"/>
              <w:jc w:val="center"/>
              <w:rPr>
                <w:rFonts w:cs="Helvetica"/>
                <w:sz w:val="18"/>
              </w:rPr>
            </w:pPr>
            <w:r w:rsidRPr="00EB0C77">
              <w:rPr>
                <w:rFonts w:cs="Helvetica"/>
                <w:sz w:val="18"/>
              </w:rPr>
              <w:t>Partnership</w:t>
            </w:r>
          </w:p>
          <w:p w:rsidR="00EB0C77" w:rsidRPr="00EB0C77" w:rsidRDefault="00EB0C77" w:rsidP="00056059">
            <w:pPr>
              <w:pStyle w:val="DonnasStyle"/>
              <w:jc w:val="center"/>
              <w:rPr>
                <w:rFonts w:cs="Helvetica"/>
                <w:sz w:val="18"/>
              </w:rPr>
            </w:pPr>
            <w:r w:rsidRPr="00EB0C77">
              <w:rPr>
                <w:rFonts w:cs="Helvetica"/>
                <w:sz w:val="18"/>
              </w:rPr>
              <w:t>Analysis and Learning</w:t>
            </w:r>
          </w:p>
          <w:p w:rsidR="003D6C65" w:rsidRPr="0072047A" w:rsidRDefault="00EB0C77" w:rsidP="00056059">
            <w:pPr>
              <w:pStyle w:val="DonnasStyle"/>
              <w:jc w:val="center"/>
              <w:rPr>
                <w:rFonts w:cs="Helvetica"/>
                <w:b/>
                <w:sz w:val="18"/>
              </w:rPr>
            </w:pPr>
            <w:r w:rsidRPr="00EB0C77">
              <w:rPr>
                <w:rFonts w:cs="Helvetica"/>
                <w:sz w:val="18"/>
              </w:rPr>
              <w:t>Efficiency</w:t>
            </w:r>
          </w:p>
        </w:tc>
      </w:tr>
      <w:tr w:rsidR="000D6FC8" w:rsidRPr="00884A95">
        <w:tc>
          <w:tcPr>
            <w:tcW w:w="8330" w:type="dxa"/>
          </w:tcPr>
          <w:p w:rsidR="000D6FC8" w:rsidRDefault="000D6FC8" w:rsidP="00A259CD">
            <w:pPr>
              <w:jc w:val="both"/>
              <w:rPr>
                <w:rFonts w:ascii="Century Gothic" w:hAnsi="Century Gothic"/>
                <w:sz w:val="22"/>
              </w:rPr>
            </w:pPr>
            <w:r>
              <w:rPr>
                <w:rFonts w:ascii="Century Gothic" w:hAnsi="Century Gothic"/>
                <w:sz w:val="22"/>
              </w:rPr>
              <w:t xml:space="preserve">We recommend that AMNEP engage with partners regarding practical steps it may take to support the joint advocacy plan. This may move beyond resourcing partners for specific activities, </w:t>
            </w:r>
            <w:r w:rsidR="00A259CD">
              <w:rPr>
                <w:rFonts w:ascii="Century Gothic" w:hAnsi="Century Gothic"/>
                <w:sz w:val="22"/>
              </w:rPr>
              <w:t>to</w:t>
            </w:r>
            <w:r>
              <w:rPr>
                <w:rFonts w:ascii="Century Gothic" w:hAnsi="Century Gothic"/>
                <w:sz w:val="22"/>
              </w:rPr>
              <w:t xml:space="preserve"> consider</w:t>
            </w:r>
            <w:r w:rsidR="00A259CD">
              <w:rPr>
                <w:rFonts w:ascii="Century Gothic" w:hAnsi="Century Gothic"/>
                <w:sz w:val="22"/>
              </w:rPr>
              <w:t>ing</w:t>
            </w:r>
            <w:r>
              <w:rPr>
                <w:rFonts w:ascii="Century Gothic" w:hAnsi="Century Gothic"/>
                <w:sz w:val="22"/>
              </w:rPr>
              <w:t xml:space="preserve"> innovative ways of identifying opportunities that do not place operational burden on existing partners</w:t>
            </w:r>
            <w:r w:rsidR="00514981">
              <w:rPr>
                <w:rFonts w:ascii="Century Gothic" w:hAnsi="Century Gothic"/>
                <w:sz w:val="22"/>
              </w:rPr>
              <w:t>/projects.</w:t>
            </w:r>
          </w:p>
        </w:tc>
        <w:tc>
          <w:tcPr>
            <w:tcW w:w="1417" w:type="dxa"/>
          </w:tcPr>
          <w:p w:rsidR="000D6FC8" w:rsidRDefault="000D6FC8" w:rsidP="00056059">
            <w:pPr>
              <w:pStyle w:val="DonnasStyle"/>
              <w:jc w:val="center"/>
              <w:rPr>
                <w:rFonts w:cs="Helvetica"/>
                <w:sz w:val="18"/>
              </w:rPr>
            </w:pPr>
            <w:r>
              <w:rPr>
                <w:rFonts w:cs="Helvetica"/>
                <w:sz w:val="18"/>
              </w:rPr>
              <w:t>Partnership</w:t>
            </w:r>
          </w:p>
          <w:p w:rsidR="000D6FC8" w:rsidRPr="0072047A" w:rsidRDefault="000D6FC8" w:rsidP="000D6FC8">
            <w:pPr>
              <w:pStyle w:val="DonnasStyle"/>
              <w:rPr>
                <w:rFonts w:cs="Helvetica"/>
                <w:sz w:val="18"/>
              </w:rPr>
            </w:pPr>
          </w:p>
        </w:tc>
      </w:tr>
      <w:tr w:rsidR="003D6C65" w:rsidRPr="00884A95">
        <w:tc>
          <w:tcPr>
            <w:tcW w:w="8330" w:type="dxa"/>
          </w:tcPr>
          <w:p w:rsidR="003D6C65" w:rsidRPr="000D6FC8" w:rsidRDefault="00D128E2" w:rsidP="00514981">
            <w:pPr>
              <w:jc w:val="both"/>
              <w:rPr>
                <w:rFonts w:ascii="Century Gothic" w:hAnsi="Century Gothic"/>
                <w:sz w:val="22"/>
              </w:rPr>
            </w:pPr>
            <w:r>
              <w:rPr>
                <w:rFonts w:ascii="Century Gothic" w:hAnsi="Century Gothic"/>
                <w:sz w:val="22"/>
              </w:rPr>
              <w:t xml:space="preserve">The Partnership needs to consider how to support the </w:t>
            </w:r>
            <w:r w:rsidR="006E039B">
              <w:rPr>
                <w:rFonts w:ascii="Century Gothic" w:hAnsi="Century Gothic"/>
                <w:sz w:val="22"/>
              </w:rPr>
              <w:t>develop</w:t>
            </w:r>
            <w:r>
              <w:rPr>
                <w:rFonts w:ascii="Century Gothic" w:hAnsi="Century Gothic"/>
                <w:sz w:val="22"/>
              </w:rPr>
              <w:t xml:space="preserve">ment of </w:t>
            </w:r>
            <w:r w:rsidR="00B46C0D">
              <w:rPr>
                <w:rFonts w:ascii="Century Gothic" w:hAnsi="Century Gothic"/>
                <w:sz w:val="22"/>
              </w:rPr>
              <w:t>a deeper</w:t>
            </w:r>
            <w:r w:rsidR="006E039B">
              <w:rPr>
                <w:rFonts w:ascii="Century Gothic" w:hAnsi="Century Gothic"/>
                <w:sz w:val="22"/>
              </w:rPr>
              <w:t xml:space="preserve"> shared understanding of key themes such as resilience</w:t>
            </w:r>
            <w:r w:rsidR="00B46C0D">
              <w:rPr>
                <w:rFonts w:ascii="Century Gothic" w:hAnsi="Century Gothic"/>
                <w:sz w:val="22"/>
              </w:rPr>
              <w:t>, the relationship between DRR and CCA etc</w:t>
            </w:r>
            <w:r>
              <w:rPr>
                <w:rFonts w:ascii="Century Gothic" w:hAnsi="Century Gothic"/>
                <w:sz w:val="22"/>
              </w:rPr>
              <w:t xml:space="preserve">. Investments in the development of common frameworks would be valuable contributions </w:t>
            </w:r>
            <w:r w:rsidR="00B46C0D">
              <w:rPr>
                <w:rFonts w:ascii="Century Gothic" w:hAnsi="Century Gothic"/>
                <w:sz w:val="22"/>
              </w:rPr>
              <w:t>however the extent to which this is feasible</w:t>
            </w:r>
            <w:r w:rsidR="00FC2592">
              <w:rPr>
                <w:rFonts w:ascii="Century Gothic" w:hAnsi="Century Gothic"/>
                <w:sz w:val="22"/>
              </w:rPr>
              <w:t xml:space="preserve"> (time, resourcing, opportunity costs and</w:t>
            </w:r>
            <w:r w:rsidR="00B46C0D">
              <w:rPr>
                <w:rFonts w:ascii="Century Gothic" w:hAnsi="Century Gothic"/>
                <w:sz w:val="22"/>
              </w:rPr>
              <w:t xml:space="preserve"> tradeoffs) at the current term is an issue for the Partnership.</w:t>
            </w:r>
            <w:r w:rsidR="000D6FC8">
              <w:rPr>
                <w:rFonts w:ascii="Century Gothic" w:hAnsi="Century Gothic"/>
                <w:sz w:val="22"/>
              </w:rPr>
              <w:t xml:space="preserve"> T</w:t>
            </w:r>
            <w:r w:rsidR="00632DDD">
              <w:rPr>
                <w:rFonts w:ascii="Century Gothic" w:hAnsi="Century Gothic"/>
                <w:sz w:val="22"/>
              </w:rPr>
              <w:t xml:space="preserve">his may be an opportunity </w:t>
            </w:r>
            <w:r w:rsidR="00632DDD">
              <w:rPr>
                <w:rFonts w:ascii="Century Gothic" w:hAnsi="Century Gothic"/>
                <w:sz w:val="22"/>
              </w:rPr>
              <w:lastRenderedPageBreak/>
              <w:t xml:space="preserve">for strategic investments by AMNEP or could be linked to the design </w:t>
            </w:r>
            <w:r w:rsidR="00514981">
              <w:rPr>
                <w:rFonts w:ascii="Century Gothic" w:hAnsi="Century Gothic"/>
                <w:sz w:val="22"/>
              </w:rPr>
              <w:t xml:space="preserve">process </w:t>
            </w:r>
            <w:r w:rsidR="00632DDD">
              <w:rPr>
                <w:rFonts w:ascii="Century Gothic" w:hAnsi="Century Gothic"/>
                <w:sz w:val="22"/>
              </w:rPr>
              <w:t>of the new program</w:t>
            </w:r>
            <w:r w:rsidR="005E0DDF">
              <w:rPr>
                <w:rFonts w:ascii="Century Gothic" w:hAnsi="Century Gothic"/>
                <w:sz w:val="22"/>
              </w:rPr>
              <w:t xml:space="preserve"> so as not to create an overburden on already busy partners.</w:t>
            </w:r>
            <w:r w:rsidR="00640AF2">
              <w:rPr>
                <w:rStyle w:val="FootnoteReference"/>
                <w:rFonts w:ascii="Century Gothic" w:hAnsi="Century Gothic"/>
                <w:sz w:val="22"/>
              </w:rPr>
              <w:footnoteReference w:id="7"/>
            </w:r>
          </w:p>
        </w:tc>
        <w:tc>
          <w:tcPr>
            <w:tcW w:w="1417" w:type="dxa"/>
          </w:tcPr>
          <w:p w:rsidR="003D6C65" w:rsidRPr="0072047A" w:rsidRDefault="003D6C65" w:rsidP="00056059">
            <w:pPr>
              <w:pStyle w:val="DonnasStyle"/>
              <w:jc w:val="center"/>
              <w:rPr>
                <w:rFonts w:cs="Helvetica"/>
                <w:sz w:val="18"/>
              </w:rPr>
            </w:pPr>
            <w:r w:rsidRPr="0072047A">
              <w:rPr>
                <w:rFonts w:cs="Helvetica"/>
                <w:sz w:val="18"/>
              </w:rPr>
              <w:lastRenderedPageBreak/>
              <w:t>Effectiveness</w:t>
            </w:r>
          </w:p>
          <w:p w:rsidR="003D6C65" w:rsidRPr="0072047A" w:rsidRDefault="003D6C65" w:rsidP="00056059">
            <w:pPr>
              <w:pStyle w:val="DonnasStyle"/>
              <w:jc w:val="center"/>
              <w:rPr>
                <w:rFonts w:cs="Helvetica"/>
                <w:sz w:val="18"/>
              </w:rPr>
            </w:pPr>
            <w:r w:rsidRPr="0072047A">
              <w:rPr>
                <w:rFonts w:cs="Helvetica"/>
                <w:sz w:val="18"/>
              </w:rPr>
              <w:t>M&amp;E</w:t>
            </w:r>
          </w:p>
          <w:p w:rsidR="003D6C65" w:rsidRPr="00B46C0D" w:rsidRDefault="003D6C65" w:rsidP="00B46C0D">
            <w:pPr>
              <w:pStyle w:val="DonnasStyle"/>
              <w:jc w:val="center"/>
              <w:rPr>
                <w:rFonts w:cs="Helvetica"/>
                <w:b/>
                <w:sz w:val="18"/>
              </w:rPr>
            </w:pPr>
            <w:r w:rsidRPr="00B46C0D">
              <w:rPr>
                <w:rFonts w:cs="Helvetica"/>
                <w:sz w:val="18"/>
              </w:rPr>
              <w:t xml:space="preserve">Annex </w:t>
            </w:r>
            <w:r w:rsidR="00B46C0D" w:rsidRPr="00B46C0D">
              <w:rPr>
                <w:rFonts w:cs="Helvetica"/>
                <w:sz w:val="18"/>
              </w:rPr>
              <w:t>7</w:t>
            </w:r>
          </w:p>
        </w:tc>
      </w:tr>
      <w:tr w:rsidR="004E0F8C" w:rsidRPr="00884A95">
        <w:tc>
          <w:tcPr>
            <w:tcW w:w="8330" w:type="dxa"/>
          </w:tcPr>
          <w:p w:rsidR="004E0F8C" w:rsidRPr="00884A95" w:rsidRDefault="00015373" w:rsidP="00551F49">
            <w:pPr>
              <w:pStyle w:val="DonnasStyle"/>
            </w:pPr>
            <w:r>
              <w:lastRenderedPageBreak/>
              <w:t xml:space="preserve">We </w:t>
            </w:r>
            <w:r w:rsidR="00E545FF">
              <w:t xml:space="preserve">strongly </w:t>
            </w:r>
            <w:r>
              <w:t xml:space="preserve">recommend that </w:t>
            </w:r>
            <w:r w:rsidR="002A77A0" w:rsidRPr="00884A95">
              <w:t xml:space="preserve">AMNEP consider </w:t>
            </w:r>
            <w:r w:rsidR="00632DDD">
              <w:t>a</w:t>
            </w:r>
            <w:r w:rsidR="00E545FF">
              <w:t xml:space="preserve"> </w:t>
            </w:r>
            <w:r w:rsidR="00632DDD">
              <w:t xml:space="preserve">strategic investment into an analysis on the potential engagements with Vietnamese civil society in future climate change </w:t>
            </w:r>
            <w:r w:rsidR="00551F49">
              <w:t xml:space="preserve">action and that this </w:t>
            </w:r>
            <w:r>
              <w:t>be used to inform the design of the future program.</w:t>
            </w:r>
          </w:p>
        </w:tc>
        <w:tc>
          <w:tcPr>
            <w:tcW w:w="1417" w:type="dxa"/>
          </w:tcPr>
          <w:p w:rsidR="007207F5" w:rsidRPr="007207F5" w:rsidRDefault="007207F5" w:rsidP="00056059">
            <w:pPr>
              <w:pStyle w:val="DonnasStyle"/>
              <w:jc w:val="center"/>
              <w:rPr>
                <w:rFonts w:cs="Helvetica"/>
                <w:sz w:val="18"/>
              </w:rPr>
            </w:pPr>
            <w:r w:rsidRPr="007207F5">
              <w:rPr>
                <w:rFonts w:cs="Helvetica"/>
                <w:sz w:val="18"/>
              </w:rPr>
              <w:t>Civil Society</w:t>
            </w:r>
          </w:p>
          <w:p w:rsidR="004E0F8C" w:rsidRPr="0072047A" w:rsidRDefault="007207F5" w:rsidP="007207F5">
            <w:pPr>
              <w:pStyle w:val="DonnasStyle"/>
              <w:jc w:val="center"/>
              <w:rPr>
                <w:rFonts w:cs="Helvetica"/>
                <w:b/>
                <w:sz w:val="18"/>
              </w:rPr>
            </w:pPr>
            <w:r w:rsidRPr="007207F5">
              <w:rPr>
                <w:rFonts w:cs="Helvetica"/>
                <w:sz w:val="18"/>
              </w:rPr>
              <w:t>Sustainability</w:t>
            </w:r>
          </w:p>
        </w:tc>
      </w:tr>
      <w:tr w:rsidR="003D6C65" w:rsidRPr="00884A95">
        <w:tc>
          <w:tcPr>
            <w:tcW w:w="8330" w:type="dxa"/>
          </w:tcPr>
          <w:p w:rsidR="003D6C65" w:rsidRPr="00056059" w:rsidRDefault="00015373" w:rsidP="00015373">
            <w:pPr>
              <w:jc w:val="both"/>
              <w:rPr>
                <w:rFonts w:ascii="Century Gothic" w:hAnsi="Century Gothic" w:cstheme="majorHAnsi"/>
                <w:sz w:val="22"/>
              </w:rPr>
            </w:pPr>
            <w:r>
              <w:rPr>
                <w:rFonts w:ascii="Century Gothic" w:hAnsi="Century Gothic"/>
                <w:sz w:val="22"/>
              </w:rPr>
              <w:t>DFAT and partners should consider how they can better integrate</w:t>
            </w:r>
            <w:r w:rsidRPr="00884A95">
              <w:rPr>
                <w:rFonts w:ascii="Century Gothic" w:hAnsi="Century Gothic"/>
                <w:sz w:val="22"/>
              </w:rPr>
              <w:t xml:space="preserve"> a</w:t>
            </w:r>
            <w:r>
              <w:rPr>
                <w:rFonts w:ascii="Century Gothic" w:hAnsi="Century Gothic"/>
                <w:sz w:val="22"/>
              </w:rPr>
              <w:t xml:space="preserve"> gendered analysis and a promotion of women’s’ leadership within their advocacy plan as practical action </w:t>
            </w:r>
            <w:r>
              <w:rPr>
                <w:rFonts w:ascii="Century Gothic" w:hAnsi="Century Gothic" w:cstheme="majorHAnsi"/>
                <w:sz w:val="22"/>
              </w:rPr>
              <w:t>towards promoting a</w:t>
            </w:r>
            <w:r w:rsidR="003D6C65" w:rsidRPr="00884A95">
              <w:rPr>
                <w:rFonts w:ascii="Century Gothic" w:hAnsi="Century Gothic" w:cstheme="majorHAnsi"/>
                <w:sz w:val="22"/>
              </w:rPr>
              <w:t xml:space="preserve"> stronger inclusive voice at the national level</w:t>
            </w:r>
            <w:r>
              <w:rPr>
                <w:rFonts w:ascii="Century Gothic" w:hAnsi="Century Gothic" w:cstheme="majorHAnsi"/>
                <w:sz w:val="22"/>
              </w:rPr>
              <w:t>.</w:t>
            </w:r>
          </w:p>
        </w:tc>
        <w:tc>
          <w:tcPr>
            <w:tcW w:w="1417" w:type="dxa"/>
          </w:tcPr>
          <w:p w:rsidR="00015373" w:rsidRPr="00015373" w:rsidRDefault="00015373" w:rsidP="00056059">
            <w:pPr>
              <w:pStyle w:val="DonnasStyle"/>
              <w:jc w:val="center"/>
              <w:rPr>
                <w:rFonts w:cs="Helvetica"/>
                <w:sz w:val="18"/>
              </w:rPr>
            </w:pPr>
            <w:r w:rsidRPr="00015373">
              <w:rPr>
                <w:rFonts w:cs="Helvetica"/>
                <w:sz w:val="18"/>
              </w:rPr>
              <w:t>Gender</w:t>
            </w:r>
          </w:p>
          <w:p w:rsidR="00015373" w:rsidRPr="00015373" w:rsidRDefault="00015373" w:rsidP="00056059">
            <w:pPr>
              <w:pStyle w:val="DonnasStyle"/>
              <w:jc w:val="center"/>
              <w:rPr>
                <w:rFonts w:cs="Helvetica"/>
                <w:sz w:val="18"/>
              </w:rPr>
            </w:pPr>
            <w:r w:rsidRPr="00015373">
              <w:rPr>
                <w:rFonts w:cs="Helvetica"/>
                <w:sz w:val="18"/>
              </w:rPr>
              <w:t>Annex 10</w:t>
            </w:r>
          </w:p>
          <w:p w:rsidR="00015373" w:rsidRDefault="00015373" w:rsidP="00056059">
            <w:pPr>
              <w:pStyle w:val="DonnasStyle"/>
              <w:jc w:val="center"/>
              <w:rPr>
                <w:rFonts w:cs="Helvetica"/>
                <w:b/>
                <w:sz w:val="18"/>
              </w:rPr>
            </w:pPr>
            <w:r w:rsidRPr="00015373">
              <w:rPr>
                <w:rFonts w:cs="Helvetica"/>
                <w:sz w:val="18"/>
              </w:rPr>
              <w:t>Partnership</w:t>
            </w:r>
          </w:p>
          <w:p w:rsidR="003D6C65" w:rsidRPr="0072047A" w:rsidRDefault="003D6C65" w:rsidP="00056059">
            <w:pPr>
              <w:pStyle w:val="DonnasStyle"/>
              <w:jc w:val="center"/>
              <w:rPr>
                <w:rFonts w:cs="Helvetica"/>
                <w:b/>
                <w:sz w:val="18"/>
              </w:rPr>
            </w:pPr>
          </w:p>
        </w:tc>
      </w:tr>
      <w:tr w:rsidR="004E0F8C" w:rsidRPr="00884A95">
        <w:tc>
          <w:tcPr>
            <w:tcW w:w="9747" w:type="dxa"/>
            <w:gridSpan w:val="2"/>
            <w:tcBorders>
              <w:bottom w:val="single" w:sz="4" w:space="0" w:color="000000" w:themeColor="text1"/>
            </w:tcBorders>
          </w:tcPr>
          <w:p w:rsidR="004E0F8C" w:rsidRPr="004E0F8C" w:rsidRDefault="004E0F8C" w:rsidP="00490C05">
            <w:pPr>
              <w:pStyle w:val="DonnasStyle"/>
              <w:rPr>
                <w:rFonts w:cs="Helvetica"/>
                <w:b/>
                <w:sz w:val="18"/>
              </w:rPr>
            </w:pPr>
            <w:r w:rsidRPr="004E0F8C">
              <w:rPr>
                <w:b/>
              </w:rPr>
              <w:t>Project Level</w:t>
            </w:r>
          </w:p>
        </w:tc>
      </w:tr>
      <w:tr w:rsidR="004E0F8C" w:rsidRPr="00884A95">
        <w:tc>
          <w:tcPr>
            <w:tcW w:w="8330" w:type="dxa"/>
            <w:tcBorders>
              <w:bottom w:val="single" w:sz="4" w:space="0" w:color="000000" w:themeColor="text1"/>
            </w:tcBorders>
          </w:tcPr>
          <w:p w:rsidR="00A12F69" w:rsidRPr="00A12F69" w:rsidRDefault="00A12F69" w:rsidP="00A12F69">
            <w:pPr>
              <w:pStyle w:val="DonnasStyle"/>
              <w:rPr>
                <w:szCs w:val="20"/>
              </w:rPr>
            </w:pPr>
            <w:r w:rsidRPr="00A12F69">
              <w:rPr>
                <w:lang w:val="en-AU"/>
              </w:rPr>
              <w:t xml:space="preserve">There is need for attention by </w:t>
            </w:r>
            <w:r w:rsidRPr="00A12F69">
              <w:rPr>
                <w:b/>
                <w:lang w:val="en-AU"/>
              </w:rPr>
              <w:t xml:space="preserve">all </w:t>
            </w:r>
            <w:r w:rsidRPr="00A12F69">
              <w:rPr>
                <w:lang w:val="en-AU"/>
              </w:rPr>
              <w:t xml:space="preserve">partners to pay </w:t>
            </w:r>
            <w:r w:rsidR="00150ED1" w:rsidRPr="00A12F69">
              <w:rPr>
                <w:lang w:val="en-AU"/>
              </w:rPr>
              <w:t>attention to</w:t>
            </w:r>
            <w:r w:rsidRPr="00A12F69">
              <w:rPr>
                <w:lang w:val="en-AU"/>
              </w:rPr>
              <w:t xml:space="preserve"> the collection of </w:t>
            </w:r>
            <w:r w:rsidRPr="00150ED1">
              <w:rPr>
                <w:u w:val="single"/>
                <w:lang w:val="en-AU"/>
              </w:rPr>
              <w:t>systematic, verifiable and non-contestable</w:t>
            </w:r>
            <w:r w:rsidRPr="00A12F69">
              <w:rPr>
                <w:lang w:val="en-AU"/>
              </w:rPr>
              <w:t xml:space="preserve"> evidence to support their analysis of development outcomes and indeed to inform future programming in an emergent sector. </w:t>
            </w:r>
            <w:r w:rsidR="00150ED1">
              <w:rPr>
                <w:lang w:val="en-AU"/>
              </w:rPr>
              <w:t>Specific examples have been provided in project summaries.</w:t>
            </w:r>
          </w:p>
          <w:p w:rsidR="004E0F8C" w:rsidRPr="00884A95" w:rsidRDefault="004E0F8C" w:rsidP="004E0F8C">
            <w:pPr>
              <w:pStyle w:val="DonnasStyle"/>
            </w:pPr>
          </w:p>
          <w:p w:rsidR="004E0F8C" w:rsidRPr="00A12F69" w:rsidRDefault="00A12F69" w:rsidP="004E0F8C">
            <w:pPr>
              <w:pStyle w:val="DonnasStyle"/>
              <w:rPr>
                <w:rFonts w:cs="Helvetica"/>
                <w:iCs/>
                <w:color w:val="000000"/>
              </w:rPr>
            </w:pPr>
            <w:r w:rsidRPr="00A12F69">
              <w:t xml:space="preserve">Mitigation projects can </w:t>
            </w:r>
            <w:r w:rsidR="004E0F8C" w:rsidRPr="00A12F69">
              <w:t>further strengthen M&amp;E and reporting by capturing the broader social benefits of these projects</w:t>
            </w:r>
            <w:r>
              <w:t xml:space="preserve"> includ</w:t>
            </w:r>
            <w:r w:rsidR="006D24F8">
              <w:t xml:space="preserve">ing gender, social and poverty </w:t>
            </w:r>
            <w:r w:rsidR="00067366">
              <w:t>inclusion, and resilience.</w:t>
            </w:r>
          </w:p>
          <w:p w:rsidR="004E0F8C" w:rsidRPr="00884A95" w:rsidRDefault="004E0F8C" w:rsidP="004E0F8C">
            <w:pPr>
              <w:pStyle w:val="DonnasStyle"/>
              <w:rPr>
                <w:rFonts w:cs="Helvetica"/>
                <w:iCs/>
                <w:color w:val="000000"/>
              </w:rPr>
            </w:pPr>
          </w:p>
          <w:p w:rsidR="001A754F" w:rsidRDefault="00A12F69" w:rsidP="00A12F69">
            <w:pPr>
              <w:pStyle w:val="DonnasStyle"/>
            </w:pPr>
            <w:r>
              <w:rPr>
                <w:rFonts w:cs="Helvetica"/>
                <w:iCs/>
                <w:color w:val="000000"/>
              </w:rPr>
              <w:t>A</w:t>
            </w:r>
            <w:r w:rsidR="004E0F8C" w:rsidRPr="00884A95">
              <w:rPr>
                <w:rFonts w:cs="Helvetica"/>
                <w:iCs/>
                <w:color w:val="000000"/>
              </w:rPr>
              <w:t xml:space="preserve">daptation projects could be strengthened by paying more attention to the systematic recording of </w:t>
            </w:r>
            <w:r w:rsidR="004E0F8C" w:rsidRPr="00884A95">
              <w:t>agronomic and economic data</w:t>
            </w:r>
            <w:r>
              <w:t xml:space="preserve"> at the household level.</w:t>
            </w:r>
          </w:p>
          <w:p w:rsidR="001A754F" w:rsidRDefault="001A754F" w:rsidP="001A754F">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720"/>
                <w:tab w:val="left" w:pos="1440"/>
              </w:tabs>
            </w:pPr>
            <w:r>
              <w:tab/>
            </w:r>
            <w:r>
              <w:tab/>
            </w:r>
            <w:r>
              <w:tab/>
            </w:r>
          </w:p>
          <w:p w:rsidR="004E0F8C" w:rsidRDefault="001A754F" w:rsidP="003A1DB4">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720"/>
                <w:tab w:val="left" w:pos="1440"/>
              </w:tabs>
            </w:pPr>
            <w:r>
              <w:t>M&amp;E efforts for community development/empowerment, gender and social inclusion can be considerably strengthened by moving away from project led monitoring and analysis, to engaging the community more actively in articul</w:t>
            </w:r>
            <w:r w:rsidR="004C1FF2">
              <w:t xml:space="preserve">ating and </w:t>
            </w:r>
            <w:r w:rsidR="00E94C69">
              <w:t>measuring development outcomes beyond the targeting of vulnerable people as recipients of aid.</w:t>
            </w:r>
          </w:p>
        </w:tc>
        <w:tc>
          <w:tcPr>
            <w:tcW w:w="1417" w:type="dxa"/>
            <w:tcBorders>
              <w:bottom w:val="single" w:sz="4" w:space="0" w:color="000000" w:themeColor="text1"/>
            </w:tcBorders>
          </w:tcPr>
          <w:p w:rsidR="00A12F69" w:rsidRPr="0072047A" w:rsidRDefault="00A12F69" w:rsidP="004C1FF2">
            <w:pPr>
              <w:pStyle w:val="DonnasStyle"/>
              <w:jc w:val="center"/>
              <w:rPr>
                <w:rFonts w:cs="Helvetica"/>
                <w:sz w:val="18"/>
              </w:rPr>
            </w:pPr>
            <w:r w:rsidRPr="0072047A">
              <w:rPr>
                <w:rFonts w:cs="Helvetica"/>
                <w:sz w:val="18"/>
              </w:rPr>
              <w:t>Effectiveness</w:t>
            </w:r>
          </w:p>
          <w:p w:rsidR="00A12F69" w:rsidRPr="0072047A" w:rsidRDefault="00A12F69" w:rsidP="004C1FF2">
            <w:pPr>
              <w:pStyle w:val="DonnasStyle"/>
              <w:jc w:val="center"/>
              <w:rPr>
                <w:rFonts w:cs="Helvetica"/>
                <w:sz w:val="18"/>
              </w:rPr>
            </w:pPr>
            <w:r w:rsidRPr="0072047A">
              <w:rPr>
                <w:rFonts w:cs="Helvetica"/>
                <w:sz w:val="18"/>
              </w:rPr>
              <w:t>Sustainability</w:t>
            </w:r>
          </w:p>
          <w:p w:rsidR="004C1FF2" w:rsidRDefault="00A12F69" w:rsidP="004C1FF2">
            <w:pPr>
              <w:pStyle w:val="DonnasStyle"/>
              <w:jc w:val="center"/>
              <w:rPr>
                <w:rFonts w:cs="Helvetica"/>
                <w:sz w:val="18"/>
              </w:rPr>
            </w:pPr>
            <w:r w:rsidRPr="0072047A">
              <w:rPr>
                <w:rFonts w:cs="Helvetica"/>
                <w:sz w:val="18"/>
              </w:rPr>
              <w:t>M&amp;E</w:t>
            </w:r>
          </w:p>
          <w:p w:rsidR="004E0F8C" w:rsidRPr="0072047A" w:rsidRDefault="004C1FF2" w:rsidP="004C1FF2">
            <w:pPr>
              <w:pStyle w:val="DonnasStyle"/>
              <w:jc w:val="center"/>
              <w:rPr>
                <w:rFonts w:cs="Helvetica"/>
                <w:sz w:val="18"/>
              </w:rPr>
            </w:pPr>
            <w:r>
              <w:rPr>
                <w:rFonts w:cs="Helvetica"/>
                <w:sz w:val="18"/>
              </w:rPr>
              <w:t>Gender &amp; Inclusion</w:t>
            </w:r>
          </w:p>
        </w:tc>
      </w:tr>
      <w:tr w:rsidR="005464F4" w:rsidRPr="00884A95">
        <w:tc>
          <w:tcPr>
            <w:tcW w:w="8330" w:type="dxa"/>
            <w:tcBorders>
              <w:bottom w:val="single" w:sz="4" w:space="0" w:color="000000" w:themeColor="text1"/>
            </w:tcBorders>
          </w:tcPr>
          <w:p w:rsidR="005464F4" w:rsidRPr="005464F4" w:rsidRDefault="00490C05" w:rsidP="00EB0C77">
            <w:pPr>
              <w:tabs>
                <w:tab w:val="left" w:pos="6920"/>
              </w:tabs>
              <w:jc w:val="both"/>
              <w:rPr>
                <w:rFonts w:ascii="Century Gothic" w:hAnsi="Century Gothic"/>
                <w:sz w:val="22"/>
              </w:rPr>
            </w:pPr>
            <w:r>
              <w:rPr>
                <w:rFonts w:ascii="Century Gothic" w:hAnsi="Century Gothic"/>
                <w:sz w:val="22"/>
              </w:rPr>
              <w:t>There is a need for partners to strength</w:t>
            </w:r>
            <w:r w:rsidR="00D30EC9">
              <w:rPr>
                <w:rFonts w:ascii="Century Gothic" w:hAnsi="Century Gothic"/>
                <w:sz w:val="22"/>
              </w:rPr>
              <w:t>en</w:t>
            </w:r>
            <w:r>
              <w:rPr>
                <w:rFonts w:ascii="Century Gothic" w:hAnsi="Century Gothic"/>
                <w:sz w:val="22"/>
              </w:rPr>
              <w:t xml:space="preserve"> the intervention logic around awareness raising and behavior change and </w:t>
            </w:r>
            <w:r w:rsidR="005464F4" w:rsidRPr="005464F4">
              <w:rPr>
                <w:rFonts w:ascii="Century Gothic" w:hAnsi="Century Gothic"/>
                <w:sz w:val="22"/>
              </w:rPr>
              <w:t>develop</w:t>
            </w:r>
            <w:r>
              <w:rPr>
                <w:rFonts w:ascii="Century Gothic" w:hAnsi="Century Gothic"/>
                <w:sz w:val="22"/>
              </w:rPr>
              <w:t xml:space="preserve"> more</w:t>
            </w:r>
            <w:r w:rsidR="005464F4" w:rsidRPr="005464F4">
              <w:rPr>
                <w:rFonts w:ascii="Century Gothic" w:hAnsi="Century Gothic"/>
                <w:sz w:val="22"/>
              </w:rPr>
              <w:t xml:space="preserve"> robust systems to evidence outcomes</w:t>
            </w:r>
            <w:r>
              <w:rPr>
                <w:rFonts w:ascii="Century Gothic" w:hAnsi="Century Gothic"/>
                <w:sz w:val="22"/>
              </w:rPr>
              <w:t xml:space="preserve"> related to these.</w:t>
            </w:r>
          </w:p>
        </w:tc>
        <w:tc>
          <w:tcPr>
            <w:tcW w:w="1417" w:type="dxa"/>
            <w:tcBorders>
              <w:bottom w:val="single" w:sz="4" w:space="0" w:color="000000" w:themeColor="text1"/>
            </w:tcBorders>
          </w:tcPr>
          <w:p w:rsidR="005464F4" w:rsidRPr="0072047A" w:rsidRDefault="005464F4" w:rsidP="00490C05">
            <w:pPr>
              <w:pStyle w:val="DonnasStyle"/>
              <w:rPr>
                <w:rFonts w:cs="Helvetica"/>
                <w:sz w:val="18"/>
              </w:rPr>
            </w:pPr>
            <w:r w:rsidRPr="0072047A">
              <w:rPr>
                <w:rFonts w:cs="Helvetica"/>
                <w:sz w:val="18"/>
              </w:rPr>
              <w:t>Effectiveness</w:t>
            </w:r>
          </w:p>
          <w:p w:rsidR="005464F4" w:rsidRPr="0072047A" w:rsidRDefault="005464F4" w:rsidP="005464F4">
            <w:pPr>
              <w:pStyle w:val="DonnasStyle"/>
              <w:jc w:val="center"/>
              <w:rPr>
                <w:rFonts w:cs="Helvetica"/>
                <w:sz w:val="18"/>
              </w:rPr>
            </w:pPr>
            <w:r w:rsidRPr="0072047A">
              <w:rPr>
                <w:rFonts w:cs="Helvetica"/>
                <w:sz w:val="18"/>
              </w:rPr>
              <w:t>Sustainability</w:t>
            </w:r>
          </w:p>
          <w:p w:rsidR="005464F4" w:rsidRPr="0072047A" w:rsidRDefault="005464F4" w:rsidP="005464F4">
            <w:pPr>
              <w:jc w:val="center"/>
              <w:rPr>
                <w:rFonts w:ascii="Century Gothic" w:hAnsi="Century Gothic"/>
                <w:sz w:val="18"/>
              </w:rPr>
            </w:pPr>
            <w:r w:rsidRPr="0072047A">
              <w:rPr>
                <w:rFonts w:ascii="Century Gothic" w:hAnsi="Century Gothic" w:cs="Helvetica"/>
                <w:sz w:val="18"/>
              </w:rPr>
              <w:t>M&amp;E</w:t>
            </w:r>
          </w:p>
        </w:tc>
      </w:tr>
      <w:tr w:rsidR="005464F4" w:rsidRPr="00884A95">
        <w:tc>
          <w:tcPr>
            <w:tcW w:w="8330" w:type="dxa"/>
            <w:tcBorders>
              <w:bottom w:val="single" w:sz="4" w:space="0" w:color="000000" w:themeColor="text1"/>
            </w:tcBorders>
          </w:tcPr>
          <w:p w:rsidR="005464F4" w:rsidRPr="005464F4" w:rsidRDefault="005464F4" w:rsidP="00A7400A">
            <w:pPr>
              <w:pStyle w:val="DonnasStyle"/>
            </w:pPr>
            <w:r>
              <w:t>P</w:t>
            </w:r>
            <w:r w:rsidRPr="002F4173">
              <w:t xml:space="preserve">artners </w:t>
            </w:r>
            <w:r>
              <w:t>should</w:t>
            </w:r>
            <w:r w:rsidR="00A7400A">
              <w:t xml:space="preserve"> pay</w:t>
            </w:r>
            <w:r w:rsidRPr="002F4173">
              <w:t xml:space="preserve"> more systematic attention to capacity building a</w:t>
            </w:r>
            <w:r>
              <w:t xml:space="preserve">nd institutional strengthening. In </w:t>
            </w:r>
            <w:r w:rsidRPr="002F4173">
              <w:t xml:space="preserve">particular to more clearly articulating and measuring the intended changes and desired capacity building outcomes of </w:t>
            </w:r>
            <w:r>
              <w:t>specific actors</w:t>
            </w:r>
            <w:r w:rsidR="00A7400A">
              <w:t xml:space="preserve"> – individuals, communities, systems, institutions.</w:t>
            </w:r>
          </w:p>
        </w:tc>
        <w:tc>
          <w:tcPr>
            <w:tcW w:w="1417" w:type="dxa"/>
            <w:tcBorders>
              <w:bottom w:val="single" w:sz="4" w:space="0" w:color="000000" w:themeColor="text1"/>
            </w:tcBorders>
          </w:tcPr>
          <w:p w:rsidR="005464F4" w:rsidRPr="0072047A" w:rsidRDefault="005464F4" w:rsidP="00056059">
            <w:pPr>
              <w:pStyle w:val="DonnasStyle"/>
              <w:jc w:val="center"/>
              <w:rPr>
                <w:rFonts w:cs="Helvetica"/>
                <w:sz w:val="18"/>
              </w:rPr>
            </w:pPr>
            <w:r w:rsidRPr="0072047A">
              <w:rPr>
                <w:rFonts w:cs="Helvetica"/>
                <w:sz w:val="18"/>
              </w:rPr>
              <w:t>Effectiveness</w:t>
            </w:r>
          </w:p>
          <w:p w:rsidR="005464F4" w:rsidRPr="0072047A" w:rsidRDefault="005464F4" w:rsidP="00056059">
            <w:pPr>
              <w:pStyle w:val="DonnasStyle"/>
              <w:jc w:val="center"/>
              <w:rPr>
                <w:rFonts w:cs="Helvetica"/>
                <w:sz w:val="18"/>
              </w:rPr>
            </w:pPr>
            <w:r w:rsidRPr="0072047A">
              <w:rPr>
                <w:rFonts w:cs="Helvetica"/>
                <w:sz w:val="18"/>
              </w:rPr>
              <w:t>Sustainability</w:t>
            </w:r>
          </w:p>
          <w:p w:rsidR="005464F4" w:rsidRPr="0072047A" w:rsidRDefault="005464F4" w:rsidP="00056059">
            <w:pPr>
              <w:pStyle w:val="DonnasStyle"/>
              <w:jc w:val="center"/>
              <w:rPr>
                <w:rFonts w:cs="Helvetica"/>
                <w:sz w:val="18"/>
              </w:rPr>
            </w:pPr>
            <w:r w:rsidRPr="0072047A">
              <w:rPr>
                <w:rFonts w:cs="Helvetica"/>
                <w:sz w:val="18"/>
              </w:rPr>
              <w:t>Impact</w:t>
            </w:r>
          </w:p>
          <w:p w:rsidR="005464F4" w:rsidRPr="0072047A" w:rsidRDefault="005464F4" w:rsidP="00056059">
            <w:pPr>
              <w:pStyle w:val="DonnasStyle"/>
              <w:jc w:val="center"/>
              <w:rPr>
                <w:rFonts w:cs="Helvetica"/>
                <w:b/>
                <w:sz w:val="18"/>
              </w:rPr>
            </w:pPr>
            <w:r w:rsidRPr="0072047A">
              <w:rPr>
                <w:rFonts w:cs="Helvetica"/>
                <w:sz w:val="18"/>
              </w:rPr>
              <w:t>M&amp;E</w:t>
            </w:r>
          </w:p>
        </w:tc>
      </w:tr>
    </w:tbl>
    <w:p w:rsidR="00D128E2" w:rsidRDefault="00D128E2"/>
    <w:tbl>
      <w:tblPr>
        <w:tblStyle w:val="TableGrid"/>
        <w:tblW w:w="0" w:type="auto"/>
        <w:tblLayout w:type="fixed"/>
        <w:tblLook w:val="00A0" w:firstRow="1" w:lastRow="0" w:firstColumn="1" w:lastColumn="0" w:noHBand="0" w:noVBand="0"/>
        <w:tblCaption w:val="Forward considerations - future program"/>
        <w:tblDescription w:val="The table lists considerations and actions proposed to inform the design of DFAT’s next investment in community based climate change in Vietnam.&#10;&#10;"/>
      </w:tblPr>
      <w:tblGrid>
        <w:gridCol w:w="8330"/>
        <w:gridCol w:w="1417"/>
      </w:tblGrid>
      <w:tr w:rsidR="003D6C65" w:rsidRPr="00884A95" w:rsidTr="00746B24">
        <w:trPr>
          <w:tblHeader/>
        </w:trPr>
        <w:tc>
          <w:tcPr>
            <w:tcW w:w="9747" w:type="dxa"/>
            <w:gridSpan w:val="2"/>
            <w:shd w:val="clear" w:color="auto" w:fill="99CCFF"/>
          </w:tcPr>
          <w:p w:rsidR="003D6C65" w:rsidRPr="002A112F" w:rsidRDefault="003D6C65" w:rsidP="00056059">
            <w:pPr>
              <w:pStyle w:val="DonnasStyle"/>
              <w:jc w:val="center"/>
              <w:rPr>
                <w:rFonts w:cs="Helvetica"/>
                <w:b/>
              </w:rPr>
            </w:pPr>
            <w:r w:rsidRPr="002A112F">
              <w:rPr>
                <w:b/>
              </w:rPr>
              <w:t>Forward Considerations - Future Program</w:t>
            </w:r>
          </w:p>
        </w:tc>
      </w:tr>
      <w:tr w:rsidR="009E7614" w:rsidRPr="00884A95">
        <w:tc>
          <w:tcPr>
            <w:tcW w:w="9747" w:type="dxa"/>
            <w:gridSpan w:val="2"/>
          </w:tcPr>
          <w:p w:rsidR="009E7614" w:rsidRPr="0072047A" w:rsidRDefault="009E7614" w:rsidP="009E7614">
            <w:pPr>
              <w:pStyle w:val="DonnasStyle"/>
              <w:jc w:val="left"/>
              <w:rPr>
                <w:rFonts w:cs="Helvetica"/>
                <w:sz w:val="18"/>
              </w:rPr>
            </w:pPr>
            <w:r w:rsidRPr="00811FD0">
              <w:rPr>
                <w:b/>
              </w:rPr>
              <w:t>Characteristics of Future Design</w:t>
            </w:r>
          </w:p>
        </w:tc>
      </w:tr>
      <w:tr w:rsidR="003D6C65" w:rsidRPr="00884A95">
        <w:tc>
          <w:tcPr>
            <w:tcW w:w="8330" w:type="dxa"/>
          </w:tcPr>
          <w:p w:rsidR="003D6C65" w:rsidRPr="00884A95" w:rsidRDefault="003D6C65" w:rsidP="00D128E2">
            <w:pPr>
              <w:pStyle w:val="DonnasStyle"/>
            </w:pPr>
            <w:r w:rsidRPr="00884A95">
              <w:t xml:space="preserve">The design of the future partnership mechanism should </w:t>
            </w:r>
            <w:r w:rsidR="00D128E2">
              <w:t>be of sufficient</w:t>
            </w:r>
            <w:r w:rsidRPr="00884A95">
              <w:t xml:space="preserve"> duration and resourcing to enable NGOs to deliver and evidence sustainable outcomes.</w:t>
            </w:r>
          </w:p>
        </w:tc>
        <w:tc>
          <w:tcPr>
            <w:tcW w:w="1417" w:type="dxa"/>
          </w:tcPr>
          <w:p w:rsidR="003D6C65" w:rsidRPr="0072047A" w:rsidRDefault="003D6C65" w:rsidP="00056059">
            <w:pPr>
              <w:pStyle w:val="DonnasStyle"/>
              <w:jc w:val="center"/>
              <w:rPr>
                <w:rFonts w:cs="Helvetica"/>
                <w:sz w:val="18"/>
              </w:rPr>
            </w:pPr>
            <w:r w:rsidRPr="0072047A">
              <w:rPr>
                <w:rFonts w:cs="Helvetica"/>
                <w:sz w:val="18"/>
              </w:rPr>
              <w:t>Effectiveness</w:t>
            </w:r>
          </w:p>
          <w:p w:rsidR="003D6C65" w:rsidRPr="0072047A" w:rsidRDefault="003D6C65" w:rsidP="00056059">
            <w:pPr>
              <w:pStyle w:val="DonnasStyle"/>
              <w:jc w:val="center"/>
              <w:rPr>
                <w:rFonts w:cs="Helvetica"/>
                <w:sz w:val="18"/>
              </w:rPr>
            </w:pPr>
            <w:r w:rsidRPr="0072047A">
              <w:rPr>
                <w:rFonts w:cs="Helvetica"/>
                <w:sz w:val="18"/>
              </w:rPr>
              <w:t>Sustainability</w:t>
            </w:r>
          </w:p>
          <w:p w:rsidR="003D6C65" w:rsidRPr="0072047A" w:rsidRDefault="003D6C65" w:rsidP="00056059">
            <w:pPr>
              <w:pStyle w:val="DonnasStyle"/>
              <w:jc w:val="center"/>
              <w:rPr>
                <w:rFonts w:cs="Helvetica"/>
                <w:sz w:val="18"/>
              </w:rPr>
            </w:pPr>
            <w:r w:rsidRPr="0072047A">
              <w:rPr>
                <w:rFonts w:cs="Helvetica"/>
                <w:sz w:val="18"/>
              </w:rPr>
              <w:t>M&amp;E</w:t>
            </w:r>
          </w:p>
        </w:tc>
      </w:tr>
      <w:tr w:rsidR="003D6C65" w:rsidRPr="00884A95">
        <w:tc>
          <w:tcPr>
            <w:tcW w:w="8330" w:type="dxa"/>
          </w:tcPr>
          <w:p w:rsidR="00811FD0" w:rsidRDefault="003D6C65" w:rsidP="00056059">
            <w:pPr>
              <w:pStyle w:val="DonnasStyle"/>
            </w:pPr>
            <w:r w:rsidRPr="00390C59">
              <w:t xml:space="preserve">A program level Theory of Change will bring congruence to a future partnership and should be a feature of the </w:t>
            </w:r>
            <w:r w:rsidR="00811FD0">
              <w:t>future design.</w:t>
            </w:r>
          </w:p>
          <w:p w:rsidR="003D6C65" w:rsidRPr="00390C59" w:rsidRDefault="003D6C65" w:rsidP="00056059">
            <w:pPr>
              <w:pStyle w:val="DonnasStyle"/>
            </w:pPr>
          </w:p>
          <w:p w:rsidR="003D6C65" w:rsidRPr="00884A95" w:rsidRDefault="003D6C65" w:rsidP="00E20F77">
            <w:pPr>
              <w:pStyle w:val="DonnasStyle"/>
            </w:pPr>
            <w:r w:rsidRPr="00390C59">
              <w:t>The engagement of partn</w:t>
            </w:r>
            <w:r w:rsidR="00E20F77">
              <w:t xml:space="preserve">ers in the development of this program logic </w:t>
            </w:r>
            <w:r w:rsidRPr="00390C59">
              <w:t>is fundamental to developing a shared underst</w:t>
            </w:r>
            <w:r w:rsidR="00390C59" w:rsidRPr="00390C59">
              <w:t xml:space="preserve">anding of the purpose of the </w:t>
            </w:r>
            <w:r w:rsidR="00390C59" w:rsidRPr="00390C59">
              <w:lastRenderedPageBreak/>
              <w:t xml:space="preserve">investment </w:t>
            </w:r>
            <w:r w:rsidR="00390C59">
              <w:t>and better articulating their contributions to shared high-level outcomes. It will also</w:t>
            </w:r>
            <w:r w:rsidR="00390C59" w:rsidRPr="00390C59">
              <w:t xml:space="preserve"> provide a framework through which they can orientate interventions, focus capacity building and advocacy</w:t>
            </w:r>
            <w:r w:rsidR="00390C59">
              <w:t>.</w:t>
            </w:r>
          </w:p>
        </w:tc>
        <w:tc>
          <w:tcPr>
            <w:tcW w:w="1417" w:type="dxa"/>
          </w:tcPr>
          <w:p w:rsidR="003D6C65" w:rsidRPr="0072047A" w:rsidRDefault="003D6C65" w:rsidP="00056059">
            <w:pPr>
              <w:pStyle w:val="DonnasStyle"/>
              <w:jc w:val="center"/>
              <w:rPr>
                <w:rFonts w:cs="Helvetica"/>
                <w:sz w:val="18"/>
              </w:rPr>
            </w:pPr>
            <w:r w:rsidRPr="0072047A">
              <w:rPr>
                <w:rFonts w:cs="Helvetica"/>
                <w:sz w:val="18"/>
              </w:rPr>
              <w:lastRenderedPageBreak/>
              <w:t>Effectiveness</w:t>
            </w:r>
          </w:p>
          <w:p w:rsidR="003D6C65" w:rsidRPr="0072047A" w:rsidRDefault="003D6C65" w:rsidP="00056059">
            <w:pPr>
              <w:pStyle w:val="DonnasStyle"/>
              <w:jc w:val="center"/>
              <w:rPr>
                <w:rFonts w:cs="Helvetica"/>
                <w:sz w:val="18"/>
              </w:rPr>
            </w:pPr>
            <w:r w:rsidRPr="0072047A">
              <w:rPr>
                <w:rFonts w:cs="Helvetica"/>
                <w:sz w:val="18"/>
              </w:rPr>
              <w:t>M&amp;E</w:t>
            </w:r>
          </w:p>
        </w:tc>
      </w:tr>
      <w:tr w:rsidR="009A517D" w:rsidRPr="00884A95">
        <w:tc>
          <w:tcPr>
            <w:tcW w:w="8330" w:type="dxa"/>
          </w:tcPr>
          <w:p w:rsidR="0016425A" w:rsidRDefault="009A517D" w:rsidP="009A517D">
            <w:pPr>
              <w:pStyle w:val="DonnasStyle"/>
            </w:pPr>
            <w:r>
              <w:lastRenderedPageBreak/>
              <w:t xml:space="preserve">A shared M&amp;E framework at the </w:t>
            </w:r>
            <w:r w:rsidRPr="009A517D">
              <w:rPr>
                <w:u w:val="single"/>
              </w:rPr>
              <w:t>results</w:t>
            </w:r>
            <w:r>
              <w:t xml:space="preserve"> and </w:t>
            </w:r>
            <w:r>
              <w:rPr>
                <w:u w:val="single"/>
              </w:rPr>
              <w:t>outco</w:t>
            </w:r>
            <w:r w:rsidRPr="009A517D">
              <w:rPr>
                <w:u w:val="single"/>
              </w:rPr>
              <w:t>me</w:t>
            </w:r>
            <w:r>
              <w:t xml:space="preserve"> level should be a key feature of the future design.</w:t>
            </w:r>
            <w:r w:rsidR="0016425A">
              <w:t xml:space="preserve"> </w:t>
            </w:r>
          </w:p>
          <w:p w:rsidR="0016425A" w:rsidRDefault="0016425A" w:rsidP="009A517D">
            <w:pPr>
              <w:pStyle w:val="DonnasStyle"/>
            </w:pPr>
          </w:p>
          <w:p w:rsidR="009A517D" w:rsidRPr="006F67EA" w:rsidRDefault="0016425A" w:rsidP="009A517D">
            <w:pPr>
              <w:pStyle w:val="DonnasStyle"/>
            </w:pPr>
            <w:r>
              <w:t>Proportionality should be a consideration in determining both the characteristic of the mechanism and the scope of investments.</w:t>
            </w:r>
          </w:p>
        </w:tc>
        <w:tc>
          <w:tcPr>
            <w:tcW w:w="1417" w:type="dxa"/>
          </w:tcPr>
          <w:p w:rsidR="0016425A" w:rsidRDefault="0016425A" w:rsidP="00056059">
            <w:pPr>
              <w:pStyle w:val="DonnasStyle"/>
              <w:jc w:val="center"/>
              <w:rPr>
                <w:rFonts w:cs="Helvetica"/>
                <w:sz w:val="18"/>
              </w:rPr>
            </w:pPr>
            <w:r>
              <w:rPr>
                <w:rFonts w:cs="Helvetica"/>
                <w:sz w:val="18"/>
              </w:rPr>
              <w:t>M&amp;E</w:t>
            </w:r>
          </w:p>
          <w:p w:rsidR="009A517D" w:rsidRPr="0072047A" w:rsidRDefault="0016425A" w:rsidP="00056059">
            <w:pPr>
              <w:pStyle w:val="DonnasStyle"/>
              <w:jc w:val="center"/>
              <w:rPr>
                <w:rFonts w:cs="Helvetica"/>
                <w:sz w:val="18"/>
              </w:rPr>
            </w:pPr>
            <w:r>
              <w:rPr>
                <w:rFonts w:cs="Helvetica"/>
                <w:sz w:val="18"/>
              </w:rPr>
              <w:t>Effectiveness</w:t>
            </w:r>
          </w:p>
        </w:tc>
      </w:tr>
      <w:tr w:rsidR="00195D83" w:rsidRPr="00884A95">
        <w:tc>
          <w:tcPr>
            <w:tcW w:w="8330" w:type="dxa"/>
          </w:tcPr>
          <w:p w:rsidR="00195D83" w:rsidRDefault="00195D83" w:rsidP="00857942">
            <w:pPr>
              <w:pStyle w:val="DonnasStyle"/>
            </w:pPr>
            <w:r>
              <w:t>The future design should provide a clear articulati</w:t>
            </w:r>
            <w:r w:rsidR="00857942">
              <w:t>on of the purpose of partnering. Ideally, the design architecture would provide a mechanism to support partnership, analysis and learning. This would include M&amp;E arrangements for the overarching partnership and analysis and learning efforts.</w:t>
            </w:r>
          </w:p>
        </w:tc>
        <w:tc>
          <w:tcPr>
            <w:tcW w:w="1417" w:type="dxa"/>
          </w:tcPr>
          <w:p w:rsidR="00195D83" w:rsidRDefault="00195D83" w:rsidP="00056059">
            <w:pPr>
              <w:pStyle w:val="DonnasStyle"/>
              <w:jc w:val="center"/>
              <w:rPr>
                <w:rFonts w:cs="Helvetica"/>
                <w:sz w:val="18"/>
              </w:rPr>
            </w:pPr>
            <w:r>
              <w:rPr>
                <w:rFonts w:cs="Helvetica"/>
                <w:sz w:val="18"/>
              </w:rPr>
              <w:t xml:space="preserve">M&amp;E </w:t>
            </w:r>
          </w:p>
          <w:p w:rsidR="005462EB" w:rsidRDefault="00195D83" w:rsidP="00056059">
            <w:pPr>
              <w:pStyle w:val="DonnasStyle"/>
              <w:jc w:val="center"/>
              <w:rPr>
                <w:rFonts w:cs="Helvetica"/>
                <w:sz w:val="18"/>
              </w:rPr>
            </w:pPr>
            <w:r>
              <w:rPr>
                <w:rFonts w:cs="Helvetica"/>
                <w:sz w:val="18"/>
              </w:rPr>
              <w:t>Partnership</w:t>
            </w:r>
          </w:p>
          <w:p w:rsidR="00195D83" w:rsidRDefault="00195D83" w:rsidP="00056059">
            <w:pPr>
              <w:pStyle w:val="DonnasStyle"/>
              <w:jc w:val="center"/>
              <w:rPr>
                <w:rFonts w:cs="Helvetica"/>
                <w:sz w:val="18"/>
              </w:rPr>
            </w:pPr>
          </w:p>
        </w:tc>
      </w:tr>
      <w:tr w:rsidR="006E1B38" w:rsidRPr="00884A95">
        <w:tc>
          <w:tcPr>
            <w:tcW w:w="8330" w:type="dxa"/>
          </w:tcPr>
          <w:p w:rsidR="006E1B38" w:rsidRDefault="006E1B38" w:rsidP="00F575D9">
            <w:pPr>
              <w:pStyle w:val="DonnasStyle"/>
            </w:pPr>
            <w:r>
              <w:t xml:space="preserve">The design should clearly articulate </w:t>
            </w:r>
            <w:r w:rsidR="00F575D9">
              <w:t>and provide space for a meaningful role for Vietnamese civil society – NGOs, mass organisations – beyond service delivery.</w:t>
            </w:r>
          </w:p>
        </w:tc>
        <w:tc>
          <w:tcPr>
            <w:tcW w:w="1417" w:type="dxa"/>
          </w:tcPr>
          <w:p w:rsidR="006E1B38" w:rsidRDefault="00F575D9" w:rsidP="00056059">
            <w:pPr>
              <w:pStyle w:val="DonnasStyle"/>
              <w:jc w:val="center"/>
              <w:rPr>
                <w:rFonts w:cs="Helvetica"/>
                <w:sz w:val="18"/>
              </w:rPr>
            </w:pPr>
            <w:r>
              <w:rPr>
                <w:rFonts w:cs="Helvetica"/>
                <w:sz w:val="18"/>
              </w:rPr>
              <w:t>Civil Society</w:t>
            </w:r>
          </w:p>
        </w:tc>
      </w:tr>
      <w:tr w:rsidR="00EB0C77" w:rsidRPr="00884A95">
        <w:tc>
          <w:tcPr>
            <w:tcW w:w="8330" w:type="dxa"/>
          </w:tcPr>
          <w:p w:rsidR="00EB0C77" w:rsidRDefault="00EB0C77" w:rsidP="00D56540">
            <w:pPr>
              <w:pStyle w:val="DonnasStyle"/>
            </w:pPr>
            <w:r>
              <w:t xml:space="preserve">Design architecture should build on lessons learned from past DFAT NGO partnerships and AMNEP guidance and seek to ensure that management arrangements </w:t>
            </w:r>
            <w:r w:rsidR="00D56540">
              <w:t>reflect</w:t>
            </w:r>
            <w:r>
              <w:t xml:space="preserve"> appropriate </w:t>
            </w:r>
            <w:r w:rsidR="00D56540">
              <w:t>levels</w:t>
            </w:r>
            <w:r>
              <w:t xml:space="preserve"> of business transactions </w:t>
            </w:r>
            <w:r w:rsidR="00D56540">
              <w:t>while maintaining value for m</w:t>
            </w:r>
            <w:r>
              <w:t>oney</w:t>
            </w:r>
            <w:r w:rsidR="00D56540">
              <w:t xml:space="preserve"> and </w:t>
            </w:r>
            <w:r>
              <w:t>accountability</w:t>
            </w:r>
            <w:r w:rsidR="00D56540">
              <w:t xml:space="preserve"> considerations.</w:t>
            </w:r>
          </w:p>
        </w:tc>
        <w:tc>
          <w:tcPr>
            <w:tcW w:w="1417" w:type="dxa"/>
          </w:tcPr>
          <w:p w:rsidR="00EB0C77" w:rsidRDefault="00EB0C77" w:rsidP="00056059">
            <w:pPr>
              <w:pStyle w:val="DonnasStyle"/>
              <w:jc w:val="center"/>
              <w:rPr>
                <w:rFonts w:cs="Helvetica"/>
                <w:sz w:val="18"/>
              </w:rPr>
            </w:pPr>
            <w:r>
              <w:rPr>
                <w:rFonts w:cs="Helvetica"/>
                <w:sz w:val="18"/>
              </w:rPr>
              <w:t>Efficiency</w:t>
            </w:r>
          </w:p>
          <w:p w:rsidR="00EB0C77" w:rsidRDefault="00EB0C77" w:rsidP="00056059">
            <w:pPr>
              <w:pStyle w:val="DonnasStyle"/>
              <w:jc w:val="center"/>
              <w:rPr>
                <w:rFonts w:cs="Helvetica"/>
                <w:sz w:val="18"/>
              </w:rPr>
            </w:pPr>
            <w:r>
              <w:rPr>
                <w:rFonts w:cs="Helvetica"/>
                <w:sz w:val="18"/>
              </w:rPr>
              <w:t>Partnership</w:t>
            </w:r>
          </w:p>
        </w:tc>
      </w:tr>
      <w:tr w:rsidR="009E7614" w:rsidRPr="00884A95">
        <w:tc>
          <w:tcPr>
            <w:tcW w:w="9747" w:type="dxa"/>
            <w:gridSpan w:val="2"/>
          </w:tcPr>
          <w:p w:rsidR="009E7614" w:rsidRPr="0072047A" w:rsidRDefault="009E7614" w:rsidP="009E7614">
            <w:pPr>
              <w:pStyle w:val="DonnasStyle"/>
              <w:jc w:val="left"/>
              <w:rPr>
                <w:rFonts w:cs="Helvetica"/>
                <w:sz w:val="18"/>
              </w:rPr>
            </w:pPr>
            <w:r w:rsidRPr="00811FD0">
              <w:rPr>
                <w:b/>
              </w:rPr>
              <w:t>Scope of Future Design</w:t>
            </w:r>
          </w:p>
        </w:tc>
      </w:tr>
      <w:tr w:rsidR="003D6C65" w:rsidRPr="00884A95">
        <w:tc>
          <w:tcPr>
            <w:tcW w:w="8330" w:type="dxa"/>
          </w:tcPr>
          <w:p w:rsidR="003D6C65" w:rsidRPr="006F67EA" w:rsidRDefault="00056059" w:rsidP="006F67EA">
            <w:pPr>
              <w:pStyle w:val="DonnasStyle"/>
            </w:pPr>
            <w:r w:rsidRPr="006F67EA">
              <w:t xml:space="preserve">Future investments in adaptation and resilience need </w:t>
            </w:r>
            <w:r w:rsidR="006F67EA" w:rsidRPr="006F67EA">
              <w:t xml:space="preserve">move towards a more </w:t>
            </w:r>
            <w:r w:rsidR="008847DB" w:rsidRPr="006F67EA">
              <w:t>nuanced</w:t>
            </w:r>
            <w:r w:rsidR="006F67EA" w:rsidRPr="006F67EA">
              <w:t xml:space="preserve"> integration of CCA and DRR, and </w:t>
            </w:r>
            <w:r w:rsidRPr="006F67EA">
              <w:t>extend beyond the current focus of DRR efforts on emergency preparedness and response</w:t>
            </w:r>
            <w:r w:rsidR="006F67EA" w:rsidRPr="006F67EA">
              <w:t>.</w:t>
            </w:r>
          </w:p>
        </w:tc>
        <w:tc>
          <w:tcPr>
            <w:tcW w:w="1417" w:type="dxa"/>
          </w:tcPr>
          <w:p w:rsidR="008847DB" w:rsidRPr="0072047A" w:rsidRDefault="00056059" w:rsidP="00056059">
            <w:pPr>
              <w:pStyle w:val="DonnasStyle"/>
              <w:jc w:val="center"/>
              <w:rPr>
                <w:rFonts w:cs="Helvetica"/>
                <w:sz w:val="18"/>
              </w:rPr>
            </w:pPr>
            <w:r w:rsidRPr="0072047A">
              <w:rPr>
                <w:rFonts w:cs="Helvetica"/>
                <w:sz w:val="18"/>
              </w:rPr>
              <w:t>Relevance</w:t>
            </w:r>
          </w:p>
          <w:p w:rsidR="00056059" w:rsidRPr="0072047A" w:rsidRDefault="008847DB" w:rsidP="00056059">
            <w:pPr>
              <w:pStyle w:val="DonnasStyle"/>
              <w:jc w:val="center"/>
              <w:rPr>
                <w:rFonts w:cs="Helvetica"/>
                <w:sz w:val="18"/>
              </w:rPr>
            </w:pPr>
            <w:r w:rsidRPr="0072047A">
              <w:rPr>
                <w:rFonts w:cs="Helvetica"/>
                <w:sz w:val="18"/>
              </w:rPr>
              <w:t>Effectiveness</w:t>
            </w:r>
          </w:p>
          <w:p w:rsidR="003D6C65" w:rsidRPr="0072047A" w:rsidRDefault="00056059" w:rsidP="00056059">
            <w:pPr>
              <w:pStyle w:val="DonnasStyle"/>
              <w:jc w:val="center"/>
              <w:rPr>
                <w:rFonts w:cs="Helvetica"/>
                <w:sz w:val="18"/>
              </w:rPr>
            </w:pPr>
            <w:r w:rsidRPr="0072047A">
              <w:rPr>
                <w:rFonts w:cs="Helvetica"/>
                <w:sz w:val="18"/>
              </w:rPr>
              <w:t>Annex 7</w:t>
            </w:r>
          </w:p>
        </w:tc>
      </w:tr>
      <w:tr w:rsidR="003D6C65" w:rsidRPr="00884A95">
        <w:tc>
          <w:tcPr>
            <w:tcW w:w="8330" w:type="dxa"/>
          </w:tcPr>
          <w:p w:rsidR="003D6C65" w:rsidRPr="00884A95" w:rsidRDefault="003D6C65" w:rsidP="00056059">
            <w:pPr>
              <w:jc w:val="both"/>
              <w:rPr>
                <w:rFonts w:ascii="Century Gothic" w:hAnsi="Century Gothic"/>
                <w:sz w:val="22"/>
              </w:rPr>
            </w:pPr>
            <w:r w:rsidRPr="00884A95">
              <w:rPr>
                <w:rFonts w:ascii="Century Gothic" w:hAnsi="Century Gothic"/>
                <w:sz w:val="22"/>
              </w:rPr>
              <w:t xml:space="preserve">The strong performance and potential for high impact warrants ongoing investment in community based mitigation activities as part of DFATs future climate change funding priorities in Vietnam. </w:t>
            </w:r>
          </w:p>
          <w:p w:rsidR="003D6C65" w:rsidRPr="00884A95" w:rsidRDefault="003D6C65" w:rsidP="00056059">
            <w:pPr>
              <w:jc w:val="both"/>
              <w:rPr>
                <w:rFonts w:ascii="Century Gothic" w:hAnsi="Century Gothic"/>
                <w:sz w:val="22"/>
              </w:rPr>
            </w:pPr>
          </w:p>
          <w:p w:rsidR="001540EB" w:rsidRDefault="003D6C65" w:rsidP="00E85892">
            <w:pPr>
              <w:jc w:val="both"/>
              <w:rPr>
                <w:rFonts w:ascii="Century Gothic" w:hAnsi="Century Gothic"/>
                <w:sz w:val="22"/>
              </w:rPr>
            </w:pPr>
            <w:r w:rsidRPr="00884A95">
              <w:rPr>
                <w:rFonts w:ascii="Century Gothic" w:hAnsi="Century Gothic"/>
                <w:sz w:val="22"/>
              </w:rPr>
              <w:t>In the context of the new aid policy</w:t>
            </w:r>
            <w:r w:rsidR="00E85892">
              <w:rPr>
                <w:rFonts w:ascii="Century Gothic" w:hAnsi="Century Gothic"/>
                <w:sz w:val="22"/>
              </w:rPr>
              <w:t xml:space="preserve">, these </w:t>
            </w:r>
            <w:r w:rsidRPr="00884A95">
              <w:rPr>
                <w:rFonts w:ascii="Century Gothic" w:hAnsi="Century Gothic"/>
                <w:sz w:val="22"/>
              </w:rPr>
              <w:t>investments should explore how market linkages can leverage private sector investment into low emission products and servic</w:t>
            </w:r>
            <w:r w:rsidR="00A259CD">
              <w:rPr>
                <w:rFonts w:ascii="Century Gothic" w:hAnsi="Century Gothic"/>
                <w:sz w:val="22"/>
              </w:rPr>
              <w:t>es delivered through community-</w:t>
            </w:r>
            <w:r w:rsidRPr="00884A95">
              <w:rPr>
                <w:rFonts w:ascii="Century Gothic" w:hAnsi="Century Gothic"/>
                <w:sz w:val="22"/>
              </w:rPr>
              <w:t>based initiatives.</w:t>
            </w:r>
          </w:p>
          <w:p w:rsidR="001540EB" w:rsidRDefault="001540EB" w:rsidP="00E85892">
            <w:pPr>
              <w:jc w:val="both"/>
              <w:rPr>
                <w:rFonts w:ascii="Century Gothic" w:hAnsi="Century Gothic"/>
                <w:sz w:val="22"/>
              </w:rPr>
            </w:pPr>
          </w:p>
          <w:p w:rsidR="003D6C65" w:rsidRPr="001540EB" w:rsidRDefault="001540EB" w:rsidP="00E85892">
            <w:pPr>
              <w:jc w:val="both"/>
              <w:rPr>
                <w:rFonts w:ascii="Century Gothic" w:hAnsi="Century Gothic"/>
                <w:sz w:val="22"/>
              </w:rPr>
            </w:pPr>
            <w:r w:rsidRPr="001540EB">
              <w:rPr>
                <w:rFonts w:ascii="Century Gothic" w:hAnsi="Century Gothic"/>
                <w:sz w:val="22"/>
              </w:rPr>
              <w:t>CCM partners need to consider a number of key threats to sustainability in the design of the next stage of investments in green rice cultivation</w:t>
            </w:r>
          </w:p>
        </w:tc>
        <w:tc>
          <w:tcPr>
            <w:tcW w:w="1417" w:type="dxa"/>
          </w:tcPr>
          <w:p w:rsidR="003D6C65" w:rsidRPr="0072047A" w:rsidRDefault="003D6C65" w:rsidP="00056059">
            <w:pPr>
              <w:pStyle w:val="DonnasStyle"/>
              <w:jc w:val="center"/>
              <w:rPr>
                <w:rFonts w:cs="Helvetica"/>
                <w:sz w:val="18"/>
              </w:rPr>
            </w:pPr>
            <w:r w:rsidRPr="0072047A">
              <w:rPr>
                <w:rFonts w:cs="Helvetica"/>
                <w:sz w:val="18"/>
              </w:rPr>
              <w:t>Relevance</w:t>
            </w:r>
          </w:p>
          <w:p w:rsidR="003D6C65" w:rsidRPr="0072047A" w:rsidRDefault="003D6C65" w:rsidP="00056059">
            <w:pPr>
              <w:pStyle w:val="DonnasStyle"/>
              <w:jc w:val="center"/>
              <w:rPr>
                <w:rFonts w:cs="Helvetica"/>
                <w:sz w:val="18"/>
              </w:rPr>
            </w:pPr>
            <w:r w:rsidRPr="0072047A">
              <w:rPr>
                <w:rFonts w:cs="Helvetica"/>
                <w:sz w:val="18"/>
              </w:rPr>
              <w:t>Effectiveness</w:t>
            </w:r>
          </w:p>
          <w:p w:rsidR="003D6C65" w:rsidRPr="0072047A" w:rsidRDefault="003D6C65" w:rsidP="00056059">
            <w:pPr>
              <w:pStyle w:val="DonnasStyle"/>
              <w:jc w:val="center"/>
              <w:rPr>
                <w:rFonts w:cs="Helvetica"/>
                <w:sz w:val="18"/>
              </w:rPr>
            </w:pPr>
            <w:r w:rsidRPr="0072047A">
              <w:rPr>
                <w:rFonts w:cs="Helvetica"/>
                <w:sz w:val="18"/>
              </w:rPr>
              <w:t>Sustainability</w:t>
            </w:r>
          </w:p>
          <w:p w:rsidR="005E165A" w:rsidRDefault="003D6C65" w:rsidP="00056059">
            <w:pPr>
              <w:pStyle w:val="DonnasStyle"/>
              <w:jc w:val="center"/>
              <w:rPr>
                <w:rFonts w:cs="Helvetica"/>
                <w:sz w:val="18"/>
              </w:rPr>
            </w:pPr>
            <w:r w:rsidRPr="0072047A">
              <w:rPr>
                <w:rFonts w:cs="Helvetica"/>
                <w:sz w:val="18"/>
              </w:rPr>
              <w:t>Impact</w:t>
            </w:r>
          </w:p>
          <w:p w:rsidR="005E165A" w:rsidRDefault="005E165A" w:rsidP="00056059">
            <w:pPr>
              <w:pStyle w:val="DonnasStyle"/>
              <w:jc w:val="center"/>
              <w:rPr>
                <w:rFonts w:cs="Helvetica"/>
                <w:sz w:val="18"/>
              </w:rPr>
            </w:pPr>
          </w:p>
          <w:p w:rsidR="005E165A" w:rsidRDefault="005E165A" w:rsidP="00056059">
            <w:pPr>
              <w:pStyle w:val="DonnasStyle"/>
              <w:jc w:val="center"/>
              <w:rPr>
                <w:rFonts w:cs="Helvetica"/>
                <w:sz w:val="18"/>
              </w:rPr>
            </w:pPr>
          </w:p>
          <w:p w:rsidR="005E165A" w:rsidRDefault="005E165A" w:rsidP="00056059">
            <w:pPr>
              <w:pStyle w:val="DonnasStyle"/>
              <w:jc w:val="center"/>
              <w:rPr>
                <w:rFonts w:cs="Helvetica"/>
                <w:sz w:val="18"/>
              </w:rPr>
            </w:pPr>
          </w:p>
          <w:p w:rsidR="005E165A" w:rsidRDefault="005E165A" w:rsidP="00056059">
            <w:pPr>
              <w:pStyle w:val="DonnasStyle"/>
              <w:jc w:val="center"/>
              <w:rPr>
                <w:rFonts w:cs="Helvetica"/>
                <w:sz w:val="18"/>
              </w:rPr>
            </w:pPr>
          </w:p>
          <w:p w:rsidR="005E165A" w:rsidRDefault="005E165A" w:rsidP="00056059">
            <w:pPr>
              <w:pStyle w:val="DonnasStyle"/>
              <w:jc w:val="center"/>
              <w:rPr>
                <w:rFonts w:cs="Helvetica"/>
                <w:sz w:val="18"/>
              </w:rPr>
            </w:pPr>
          </w:p>
          <w:p w:rsidR="005E165A" w:rsidRDefault="005E165A" w:rsidP="00056059">
            <w:pPr>
              <w:pStyle w:val="DonnasStyle"/>
              <w:jc w:val="center"/>
              <w:rPr>
                <w:rFonts w:cs="Helvetica"/>
                <w:sz w:val="18"/>
              </w:rPr>
            </w:pPr>
          </w:p>
          <w:p w:rsidR="003D6C65" w:rsidRPr="0072047A" w:rsidRDefault="005E165A" w:rsidP="00056059">
            <w:pPr>
              <w:pStyle w:val="DonnasStyle"/>
              <w:jc w:val="center"/>
              <w:rPr>
                <w:rFonts w:cs="Helvetica"/>
                <w:sz w:val="18"/>
              </w:rPr>
            </w:pPr>
            <w:r w:rsidRPr="005E165A">
              <w:rPr>
                <w:rFonts w:cs="Helvetica"/>
                <w:sz w:val="18"/>
              </w:rPr>
              <w:t>Annex 9</w:t>
            </w:r>
          </w:p>
        </w:tc>
      </w:tr>
      <w:tr w:rsidR="00390C59" w:rsidRPr="00884A95">
        <w:tc>
          <w:tcPr>
            <w:tcW w:w="8330" w:type="dxa"/>
          </w:tcPr>
          <w:p w:rsidR="00390C59" w:rsidRPr="00884A95" w:rsidRDefault="002A00C3" w:rsidP="00AE23E7">
            <w:pPr>
              <w:pStyle w:val="DonnasStyle"/>
            </w:pPr>
            <w:r>
              <w:t xml:space="preserve">Gender and social inclusion should be a key feature of future investments. </w:t>
            </w:r>
            <w:r w:rsidR="00AE23E7">
              <w:t xml:space="preserve"> Particular attention should be paid to how to develop womens’ leadership for climate change action.</w:t>
            </w:r>
          </w:p>
        </w:tc>
        <w:tc>
          <w:tcPr>
            <w:tcW w:w="1417" w:type="dxa"/>
          </w:tcPr>
          <w:p w:rsidR="00AE23E7" w:rsidRDefault="00AE23E7" w:rsidP="00056059">
            <w:pPr>
              <w:pStyle w:val="DonnasStyle"/>
              <w:jc w:val="center"/>
              <w:rPr>
                <w:rFonts w:cs="Helvetica"/>
                <w:sz w:val="18"/>
              </w:rPr>
            </w:pPr>
            <w:r>
              <w:rPr>
                <w:rFonts w:cs="Helvetica"/>
                <w:sz w:val="18"/>
              </w:rPr>
              <w:t>Gender</w:t>
            </w:r>
          </w:p>
          <w:p w:rsidR="00AE23E7" w:rsidRDefault="00AE23E7" w:rsidP="00056059">
            <w:pPr>
              <w:pStyle w:val="DonnasStyle"/>
              <w:jc w:val="center"/>
              <w:rPr>
                <w:rFonts w:cs="Helvetica"/>
                <w:sz w:val="18"/>
              </w:rPr>
            </w:pPr>
            <w:r>
              <w:rPr>
                <w:rFonts w:cs="Helvetica"/>
                <w:sz w:val="18"/>
              </w:rPr>
              <w:t>Impact</w:t>
            </w:r>
          </w:p>
          <w:p w:rsidR="00390C59" w:rsidRPr="005E165A" w:rsidRDefault="00AE23E7" w:rsidP="00056059">
            <w:pPr>
              <w:pStyle w:val="DonnasStyle"/>
              <w:jc w:val="center"/>
              <w:rPr>
                <w:rFonts w:cs="Helvetica"/>
                <w:sz w:val="18"/>
              </w:rPr>
            </w:pPr>
            <w:r>
              <w:rPr>
                <w:rFonts w:cs="Helvetica"/>
                <w:sz w:val="18"/>
              </w:rPr>
              <w:t xml:space="preserve">Annex </w:t>
            </w:r>
            <w:r w:rsidR="00B46C0D">
              <w:rPr>
                <w:rFonts w:cs="Helvetica"/>
                <w:sz w:val="18"/>
              </w:rPr>
              <w:t>10</w:t>
            </w:r>
          </w:p>
        </w:tc>
      </w:tr>
      <w:tr w:rsidR="009E7614" w:rsidRPr="00884A95">
        <w:tc>
          <w:tcPr>
            <w:tcW w:w="9747" w:type="dxa"/>
            <w:gridSpan w:val="2"/>
          </w:tcPr>
          <w:p w:rsidR="009E7614" w:rsidRPr="0072047A" w:rsidRDefault="009E7614" w:rsidP="009E7614">
            <w:pPr>
              <w:pStyle w:val="DonnasStyle"/>
              <w:jc w:val="left"/>
              <w:rPr>
                <w:rFonts w:cs="Helvetica"/>
                <w:sz w:val="18"/>
              </w:rPr>
            </w:pPr>
            <w:r w:rsidRPr="005E165A">
              <w:rPr>
                <w:b/>
              </w:rPr>
              <w:t>Technical Quality of Future Design</w:t>
            </w:r>
          </w:p>
        </w:tc>
      </w:tr>
      <w:tr w:rsidR="003D6C65" w:rsidRPr="00884A95">
        <w:tc>
          <w:tcPr>
            <w:tcW w:w="8330" w:type="dxa"/>
          </w:tcPr>
          <w:p w:rsidR="003D6C65" w:rsidRPr="00884A95" w:rsidRDefault="005E165A" w:rsidP="00127277">
            <w:pPr>
              <w:pStyle w:val="DonnasStyle"/>
            </w:pPr>
            <w:r>
              <w:t xml:space="preserve">DFAT should consider mobilising AMNEP support to strengthen partner capacity for </w:t>
            </w:r>
            <w:r w:rsidR="00127277">
              <w:t xml:space="preserve">(logic and evidenced based) </w:t>
            </w:r>
            <w:r>
              <w:t>design and M&amp;E.</w:t>
            </w:r>
            <w:r w:rsidR="008A16D1">
              <w:t xml:space="preserve"> This could be extended to additional common issues or agency specific priorities</w:t>
            </w:r>
            <w:r w:rsidR="005C7B00">
              <w:t xml:space="preserve"> on a needs basis.</w:t>
            </w:r>
          </w:p>
        </w:tc>
        <w:tc>
          <w:tcPr>
            <w:tcW w:w="1417" w:type="dxa"/>
          </w:tcPr>
          <w:p w:rsidR="005E165A" w:rsidRPr="0072047A" w:rsidRDefault="005E165A" w:rsidP="005E165A">
            <w:pPr>
              <w:pStyle w:val="DonnasStyle"/>
              <w:jc w:val="center"/>
              <w:rPr>
                <w:rFonts w:cs="Helvetica"/>
                <w:sz w:val="18"/>
              </w:rPr>
            </w:pPr>
            <w:r w:rsidRPr="0072047A">
              <w:rPr>
                <w:rFonts w:cs="Helvetica"/>
                <w:sz w:val="18"/>
              </w:rPr>
              <w:t>Effectiveness</w:t>
            </w:r>
          </w:p>
          <w:p w:rsidR="005E165A" w:rsidRPr="0072047A" w:rsidRDefault="005E165A" w:rsidP="005E165A">
            <w:pPr>
              <w:pStyle w:val="DonnasStyle"/>
              <w:jc w:val="center"/>
              <w:rPr>
                <w:rFonts w:cs="Helvetica"/>
                <w:sz w:val="18"/>
              </w:rPr>
            </w:pPr>
            <w:r w:rsidRPr="0072047A">
              <w:rPr>
                <w:rFonts w:cs="Helvetica"/>
                <w:sz w:val="18"/>
              </w:rPr>
              <w:t>Sustainability</w:t>
            </w:r>
          </w:p>
          <w:p w:rsidR="003D6C65" w:rsidRPr="005E165A" w:rsidRDefault="005E165A" w:rsidP="005E165A">
            <w:pPr>
              <w:pStyle w:val="DonnasStyle"/>
              <w:jc w:val="center"/>
              <w:rPr>
                <w:rFonts w:cs="Helvetica"/>
                <w:sz w:val="18"/>
              </w:rPr>
            </w:pPr>
            <w:r w:rsidRPr="0072047A">
              <w:rPr>
                <w:rFonts w:cs="Helvetica"/>
                <w:sz w:val="18"/>
              </w:rPr>
              <w:t xml:space="preserve">M&amp;E </w:t>
            </w:r>
          </w:p>
        </w:tc>
      </w:tr>
      <w:tr w:rsidR="003D6C65" w:rsidRPr="00884A95">
        <w:tc>
          <w:tcPr>
            <w:tcW w:w="8330" w:type="dxa"/>
          </w:tcPr>
          <w:p w:rsidR="003D6C65" w:rsidRPr="00884A95" w:rsidRDefault="003D6C65" w:rsidP="00D178E8">
            <w:pPr>
              <w:pStyle w:val="DonnasStyle"/>
            </w:pPr>
            <w:r w:rsidRPr="00884A95">
              <w:t xml:space="preserve">Future designs and M&amp;E need to pay stronger attention to capacity building development </w:t>
            </w:r>
            <w:r w:rsidR="00D178E8">
              <w:t>and the articulation of capacity building plans.</w:t>
            </w:r>
          </w:p>
        </w:tc>
        <w:tc>
          <w:tcPr>
            <w:tcW w:w="1417" w:type="dxa"/>
          </w:tcPr>
          <w:p w:rsidR="003D6C65" w:rsidRPr="0072047A" w:rsidRDefault="003D6C65" w:rsidP="00056059">
            <w:pPr>
              <w:pStyle w:val="DonnasStyle"/>
              <w:jc w:val="center"/>
              <w:rPr>
                <w:rFonts w:cs="Helvetica"/>
                <w:sz w:val="18"/>
              </w:rPr>
            </w:pPr>
            <w:r w:rsidRPr="0072047A">
              <w:rPr>
                <w:rFonts w:cs="Helvetica"/>
                <w:sz w:val="18"/>
              </w:rPr>
              <w:t>Effectiveness</w:t>
            </w:r>
          </w:p>
          <w:p w:rsidR="003D6C65" w:rsidRPr="0072047A" w:rsidRDefault="003D6C65" w:rsidP="00056059">
            <w:pPr>
              <w:pStyle w:val="DonnasStyle"/>
              <w:jc w:val="center"/>
              <w:rPr>
                <w:rFonts w:cs="Helvetica"/>
                <w:sz w:val="18"/>
              </w:rPr>
            </w:pPr>
            <w:r w:rsidRPr="0072047A">
              <w:rPr>
                <w:rFonts w:cs="Helvetica"/>
                <w:sz w:val="18"/>
              </w:rPr>
              <w:t>Sustainability</w:t>
            </w:r>
          </w:p>
          <w:p w:rsidR="003D6C65" w:rsidRPr="0072047A" w:rsidRDefault="003D6C65" w:rsidP="00056059">
            <w:pPr>
              <w:pStyle w:val="DonnasStyle"/>
              <w:jc w:val="center"/>
              <w:rPr>
                <w:rFonts w:cs="Helvetica"/>
                <w:sz w:val="18"/>
              </w:rPr>
            </w:pPr>
            <w:r w:rsidRPr="0072047A">
              <w:rPr>
                <w:rFonts w:cs="Helvetica"/>
                <w:sz w:val="18"/>
              </w:rPr>
              <w:t xml:space="preserve">M&amp;E </w:t>
            </w:r>
          </w:p>
          <w:p w:rsidR="003D6C65" w:rsidRPr="0072047A" w:rsidRDefault="003D6C65" w:rsidP="0085622A">
            <w:pPr>
              <w:pStyle w:val="DonnasStyle"/>
              <w:jc w:val="center"/>
              <w:rPr>
                <w:rFonts w:cs="Helvetica"/>
                <w:b/>
                <w:sz w:val="18"/>
              </w:rPr>
            </w:pPr>
            <w:r w:rsidRPr="0072047A">
              <w:rPr>
                <w:rFonts w:cs="Helvetica"/>
                <w:sz w:val="18"/>
              </w:rPr>
              <w:t>Civil Society</w:t>
            </w:r>
            <w:r w:rsidRPr="0072047A">
              <w:rPr>
                <w:rFonts w:cs="Helvetica"/>
                <w:b/>
                <w:sz w:val="18"/>
              </w:rPr>
              <w:t xml:space="preserve"> </w:t>
            </w:r>
          </w:p>
        </w:tc>
      </w:tr>
      <w:tr w:rsidR="003D6C65" w:rsidRPr="00884A95">
        <w:tc>
          <w:tcPr>
            <w:tcW w:w="8330" w:type="dxa"/>
          </w:tcPr>
          <w:p w:rsidR="003D6C65" w:rsidRPr="00884A95" w:rsidRDefault="003D6C65" w:rsidP="00F73105">
            <w:pPr>
              <w:pStyle w:val="DonnasStyle"/>
            </w:pPr>
            <w:r w:rsidRPr="00884A95">
              <w:t>Sustainability plans should be cl</w:t>
            </w:r>
            <w:r w:rsidR="00F73105">
              <w:t>early articulated within future</w:t>
            </w:r>
            <w:r w:rsidRPr="00884A95">
              <w:t xml:space="preserve"> designs. </w:t>
            </w:r>
          </w:p>
        </w:tc>
        <w:tc>
          <w:tcPr>
            <w:tcW w:w="1417" w:type="dxa"/>
          </w:tcPr>
          <w:p w:rsidR="003D6C65" w:rsidRPr="0072047A" w:rsidRDefault="003D6C65" w:rsidP="00056059">
            <w:pPr>
              <w:pStyle w:val="DonnasStyle"/>
              <w:jc w:val="center"/>
              <w:rPr>
                <w:rFonts w:cs="Helvetica"/>
                <w:sz w:val="18"/>
              </w:rPr>
            </w:pPr>
            <w:r w:rsidRPr="0072047A">
              <w:rPr>
                <w:rFonts w:cs="Helvetica"/>
                <w:sz w:val="18"/>
              </w:rPr>
              <w:t>Sustainability</w:t>
            </w:r>
          </w:p>
          <w:p w:rsidR="003D6C65" w:rsidRPr="0072047A" w:rsidRDefault="003D6C65" w:rsidP="00056059">
            <w:pPr>
              <w:pStyle w:val="DonnasStyle"/>
              <w:jc w:val="center"/>
              <w:rPr>
                <w:rFonts w:cs="Helvetica"/>
                <w:sz w:val="18"/>
              </w:rPr>
            </w:pPr>
            <w:r w:rsidRPr="0072047A">
              <w:rPr>
                <w:rFonts w:cs="Helvetica"/>
                <w:sz w:val="18"/>
              </w:rPr>
              <w:t>Effectiveness</w:t>
            </w:r>
          </w:p>
          <w:p w:rsidR="003D6C65" w:rsidRPr="0072047A" w:rsidRDefault="003D6C65" w:rsidP="00B46C0D">
            <w:pPr>
              <w:pStyle w:val="DonnasStyle"/>
              <w:jc w:val="center"/>
              <w:rPr>
                <w:rFonts w:cs="Helvetica"/>
                <w:b/>
                <w:sz w:val="18"/>
              </w:rPr>
            </w:pPr>
            <w:r w:rsidRPr="0072047A">
              <w:rPr>
                <w:rFonts w:cs="Helvetica"/>
                <w:sz w:val="18"/>
              </w:rPr>
              <w:t xml:space="preserve">Annex </w:t>
            </w:r>
            <w:r w:rsidR="00B46C0D">
              <w:rPr>
                <w:rFonts w:cs="Helvetica"/>
                <w:sz w:val="18"/>
              </w:rPr>
              <w:t>9</w:t>
            </w:r>
          </w:p>
        </w:tc>
      </w:tr>
    </w:tbl>
    <w:p w:rsidR="000B1D99" w:rsidRDefault="000B1D99" w:rsidP="000B1D99">
      <w:pPr>
        <w:jc w:val="both"/>
        <w:rPr>
          <w:rFonts w:ascii="Century Gothic" w:hAnsi="Century Gothic"/>
          <w:sz w:val="22"/>
        </w:rPr>
      </w:pPr>
    </w:p>
    <w:p w:rsidR="006A2283" w:rsidRDefault="006A2283" w:rsidP="006A2283">
      <w:pPr>
        <w:tabs>
          <w:tab w:val="left" w:pos="6920"/>
        </w:tabs>
        <w:jc w:val="both"/>
        <w:rPr>
          <w:rFonts w:ascii="Century Gothic" w:hAnsi="Century Gothic" w:cstheme="majorHAnsi"/>
          <w:sz w:val="22"/>
          <w:lang w:val="en-AU"/>
        </w:rPr>
      </w:pPr>
    </w:p>
    <w:p w:rsidR="000B1D99" w:rsidRDefault="001E3DB1" w:rsidP="001E3DB1">
      <w:pPr>
        <w:pStyle w:val="Heading1"/>
      </w:pPr>
      <w:r>
        <w:br w:type="page"/>
      </w:r>
      <w:bookmarkStart w:id="5" w:name="_Toc266010016"/>
      <w:r w:rsidR="000B1D99">
        <w:lastRenderedPageBreak/>
        <w:t>Section 1: Introduction</w:t>
      </w:r>
      <w:bookmarkEnd w:id="5"/>
      <w:r w:rsidR="000B1D99">
        <w:t xml:space="preserve"> </w:t>
      </w:r>
    </w:p>
    <w:p w:rsidR="000B1D99" w:rsidRDefault="000B1D99" w:rsidP="000B1D99">
      <w:pPr>
        <w:pStyle w:val="Heading2"/>
      </w:pPr>
      <w:bookmarkStart w:id="6" w:name="_Toc266010017"/>
      <w:bookmarkStart w:id="7" w:name="_Toc246085473"/>
      <w:bookmarkStart w:id="8" w:name="_Toc258243158"/>
      <w:bookmarkStart w:id="9" w:name="_Toc259808021"/>
      <w:r>
        <w:t>1. Activity Background</w:t>
      </w:r>
      <w:bookmarkEnd w:id="6"/>
    </w:p>
    <w:p w:rsidR="000B1D99" w:rsidRPr="006A7C1F" w:rsidRDefault="000B1D99" w:rsidP="000B1D99">
      <w:pPr>
        <w:pStyle w:val="Heading3"/>
      </w:pPr>
      <w:bookmarkStart w:id="10" w:name="_Toc266010018"/>
      <w:r>
        <w:t xml:space="preserve">1.1 </w:t>
      </w:r>
      <w:bookmarkEnd w:id="7"/>
      <w:bookmarkEnd w:id="8"/>
      <w:bookmarkEnd w:id="9"/>
      <w:r>
        <w:t>Community-based Climate Change Action Grants</w:t>
      </w:r>
      <w:bookmarkEnd w:id="10"/>
      <w:r>
        <w:t xml:space="preserve"> </w:t>
      </w:r>
    </w:p>
    <w:p w:rsidR="000B1D99" w:rsidRPr="007A0C3F" w:rsidRDefault="000B1D99" w:rsidP="000B1D99">
      <w:pPr>
        <w:spacing w:before="80" w:after="120" w:line="280" w:lineRule="exact"/>
        <w:jc w:val="both"/>
        <w:rPr>
          <w:rFonts w:ascii="Century Gothic" w:eastAsia="Times New Roman" w:hAnsi="Century Gothic" w:cs="Arial"/>
          <w:sz w:val="22"/>
          <w:lang w:eastAsia="en-AU"/>
        </w:rPr>
      </w:pPr>
      <w:r w:rsidRPr="007A0C3F">
        <w:rPr>
          <w:rFonts w:ascii="Century Gothic" w:eastAsia="Times New Roman" w:hAnsi="Century Gothic" w:cs="Arial"/>
          <w:sz w:val="22"/>
          <w:lang w:eastAsia="en-AU"/>
        </w:rPr>
        <w:t>Community-based activities play an important role in helping developing countries respond to climate change, while also contributing to poverty reduction and enhancing livelihoods. By working directly with communities and using local knowledge, activities can be targeted to address community priorities and build the capacity of communities to respond to climate change challenges and development needs.</w:t>
      </w:r>
    </w:p>
    <w:p w:rsidR="000B1D99" w:rsidRPr="007A0C3F" w:rsidRDefault="000B1D99" w:rsidP="000B1D99">
      <w:pPr>
        <w:spacing w:before="80" w:after="80" w:line="280" w:lineRule="exact"/>
        <w:jc w:val="both"/>
        <w:rPr>
          <w:rFonts w:ascii="Century Gothic" w:eastAsia="Times New Roman" w:hAnsi="Century Gothic" w:cs="Arial"/>
          <w:sz w:val="22"/>
          <w:lang w:eastAsia="en-AU"/>
        </w:rPr>
      </w:pPr>
      <w:r>
        <w:rPr>
          <w:rFonts w:ascii="Century Gothic" w:eastAsia="Times New Roman" w:hAnsi="Century Gothic" w:cs="Arial"/>
          <w:sz w:val="22"/>
          <w:lang w:eastAsia="en-AU"/>
        </w:rPr>
        <w:t>Recognising</w:t>
      </w:r>
      <w:r w:rsidRPr="007A0C3F">
        <w:rPr>
          <w:rFonts w:ascii="Century Gothic" w:eastAsia="Times New Roman" w:hAnsi="Century Gothic" w:cs="Arial"/>
          <w:sz w:val="22"/>
          <w:lang w:eastAsia="en-AU"/>
        </w:rPr>
        <w:t xml:space="preserve"> the important role that non-government organisations (NGOs) play in developing and implementing community-based climate change responses, the Australian Government committed up to AUD$30 million</w:t>
      </w:r>
      <w:r>
        <w:rPr>
          <w:rFonts w:ascii="Century Gothic" w:eastAsia="Times New Roman" w:hAnsi="Century Gothic" w:cs="Arial"/>
          <w:sz w:val="22"/>
          <w:lang w:eastAsia="en-AU"/>
        </w:rPr>
        <w:t xml:space="preserve"> for </w:t>
      </w:r>
      <w:r w:rsidRPr="007A0C3F">
        <w:rPr>
          <w:rFonts w:ascii="Century Gothic" w:eastAsia="Times New Roman" w:hAnsi="Century Gothic" w:cs="Arial"/>
          <w:sz w:val="22"/>
          <w:lang w:eastAsia="en-AU"/>
        </w:rPr>
        <w:t xml:space="preserve">Community-based Climate Change Action Grants </w:t>
      </w:r>
      <w:r>
        <w:rPr>
          <w:rFonts w:ascii="Century Gothic" w:eastAsia="Times New Roman" w:hAnsi="Century Gothic" w:cs="Arial"/>
          <w:sz w:val="22"/>
          <w:lang w:eastAsia="en-AU"/>
        </w:rPr>
        <w:t>(CCCAG)</w:t>
      </w:r>
      <w:r>
        <w:rPr>
          <w:rStyle w:val="FootnoteReference"/>
          <w:rFonts w:ascii="Century Gothic" w:eastAsia="Times New Roman" w:hAnsi="Century Gothic" w:cs="Arial"/>
          <w:sz w:val="22"/>
          <w:lang w:eastAsia="en-AU"/>
        </w:rPr>
        <w:footnoteReference w:id="8"/>
      </w:r>
      <w:r>
        <w:rPr>
          <w:rFonts w:ascii="Century Gothic" w:eastAsia="Times New Roman" w:hAnsi="Century Gothic" w:cs="Arial"/>
          <w:sz w:val="22"/>
          <w:lang w:eastAsia="en-AU"/>
        </w:rPr>
        <w:t xml:space="preserve"> in </w:t>
      </w:r>
      <w:r w:rsidRPr="007A0C3F">
        <w:rPr>
          <w:rFonts w:ascii="Century Gothic" w:eastAsia="Times New Roman" w:hAnsi="Century Gothic" w:cs="Arial"/>
          <w:sz w:val="22"/>
          <w:lang w:eastAsia="en-AU"/>
        </w:rPr>
        <w:t xml:space="preserve">South East Asia and the Pacific. </w:t>
      </w:r>
      <w:r>
        <w:rPr>
          <w:rFonts w:ascii="Century Gothic" w:eastAsia="Times New Roman" w:hAnsi="Century Gothic" w:cs="Arial"/>
          <w:sz w:val="22"/>
          <w:lang w:eastAsia="en-AU"/>
        </w:rPr>
        <w:t>These grants</w:t>
      </w:r>
      <w:r w:rsidRPr="007A0C3F">
        <w:rPr>
          <w:rFonts w:ascii="Century Gothic" w:eastAsia="Times New Roman" w:hAnsi="Century Gothic" w:cs="Arial"/>
          <w:sz w:val="22"/>
          <w:lang w:eastAsia="en-AU"/>
        </w:rPr>
        <w:t xml:space="preserve"> fall into two main categories:</w:t>
      </w:r>
    </w:p>
    <w:p w:rsidR="000B1D99" w:rsidRPr="00DC115A" w:rsidRDefault="000B1D99" w:rsidP="000B1D99">
      <w:pPr>
        <w:numPr>
          <w:ilvl w:val="0"/>
          <w:numId w:val="17"/>
        </w:numPr>
        <w:tabs>
          <w:tab w:val="num" w:pos="1200"/>
        </w:tabs>
        <w:spacing w:before="80" w:after="80" w:line="280" w:lineRule="exact"/>
        <w:jc w:val="both"/>
        <w:rPr>
          <w:rFonts w:ascii="Century Gothic" w:eastAsia="Times New Roman" w:hAnsi="Century Gothic" w:cs="Arial"/>
          <w:sz w:val="22"/>
          <w:lang w:eastAsia="en-AU"/>
        </w:rPr>
      </w:pPr>
      <w:r w:rsidRPr="001425F8">
        <w:rPr>
          <w:rFonts w:ascii="Century Gothic" w:eastAsia="Times New Roman" w:hAnsi="Century Gothic" w:cs="Arial"/>
          <w:sz w:val="22"/>
          <w:lang w:eastAsia="en-AU"/>
        </w:rPr>
        <w:t xml:space="preserve">Community-based </w:t>
      </w:r>
      <w:r w:rsidRPr="001425F8">
        <w:rPr>
          <w:rFonts w:ascii="Century Gothic" w:eastAsia="Times New Roman" w:hAnsi="Century Gothic" w:cs="Arial"/>
          <w:b/>
          <w:sz w:val="22"/>
          <w:lang w:eastAsia="en-AU"/>
        </w:rPr>
        <w:t>adaptation</w:t>
      </w:r>
      <w:r w:rsidRPr="001425F8">
        <w:rPr>
          <w:rFonts w:ascii="Century Gothic" w:eastAsia="Times New Roman" w:hAnsi="Century Gothic" w:cs="Arial"/>
          <w:sz w:val="22"/>
          <w:lang w:eastAsia="en-AU"/>
        </w:rPr>
        <w:t xml:space="preserve"> grants</w:t>
      </w:r>
      <w:r w:rsidRPr="00DC115A">
        <w:rPr>
          <w:rFonts w:ascii="Century Gothic" w:eastAsia="Times New Roman" w:hAnsi="Century Gothic" w:cs="Arial"/>
          <w:sz w:val="22"/>
          <w:lang w:eastAsia="en-AU"/>
        </w:rPr>
        <w:t xml:space="preserve">, </w:t>
      </w:r>
      <w:r>
        <w:rPr>
          <w:rFonts w:ascii="Century Gothic" w:eastAsia="Times New Roman" w:hAnsi="Century Gothic" w:cs="Arial"/>
          <w:sz w:val="22"/>
          <w:lang w:eastAsia="en-AU"/>
        </w:rPr>
        <w:t>to</w:t>
      </w:r>
      <w:r w:rsidRPr="00DC115A">
        <w:rPr>
          <w:rFonts w:ascii="Century Gothic" w:eastAsia="Times New Roman" w:hAnsi="Century Gothic" w:cs="Arial"/>
          <w:sz w:val="22"/>
          <w:lang w:eastAsia="en-AU"/>
        </w:rPr>
        <w:t xml:space="preserve"> help build the resilience of communities to the impacts of climate change; and</w:t>
      </w:r>
    </w:p>
    <w:p w:rsidR="000B1D99" w:rsidRPr="00921AA2" w:rsidRDefault="000B1D99" w:rsidP="000B1D99">
      <w:pPr>
        <w:numPr>
          <w:ilvl w:val="0"/>
          <w:numId w:val="17"/>
        </w:numPr>
        <w:tabs>
          <w:tab w:val="num" w:pos="1200"/>
        </w:tabs>
        <w:spacing w:before="80" w:after="80" w:line="280" w:lineRule="exact"/>
        <w:jc w:val="both"/>
        <w:rPr>
          <w:rFonts w:ascii="Century Gothic" w:eastAsia="Times New Roman" w:hAnsi="Century Gothic" w:cs="Arial"/>
          <w:sz w:val="22"/>
          <w:lang w:eastAsia="en-AU"/>
        </w:rPr>
      </w:pPr>
      <w:r w:rsidRPr="00DC115A">
        <w:rPr>
          <w:rFonts w:ascii="Century Gothic" w:eastAsia="Times New Roman" w:hAnsi="Century Gothic" w:cs="Arial"/>
          <w:sz w:val="22"/>
          <w:lang w:eastAsia="en-AU"/>
        </w:rPr>
        <w:t xml:space="preserve">Community-based </w:t>
      </w:r>
      <w:r w:rsidRPr="001425F8">
        <w:rPr>
          <w:rFonts w:ascii="Century Gothic" w:eastAsia="Times New Roman" w:hAnsi="Century Gothic" w:cs="Arial"/>
          <w:b/>
          <w:sz w:val="22"/>
          <w:lang w:eastAsia="en-AU"/>
        </w:rPr>
        <w:t>mitigation</w:t>
      </w:r>
      <w:r w:rsidRPr="00DC115A">
        <w:rPr>
          <w:rFonts w:ascii="Century Gothic" w:eastAsia="Times New Roman" w:hAnsi="Century Gothic" w:cs="Arial"/>
          <w:sz w:val="22"/>
          <w:lang w:eastAsia="en-AU"/>
        </w:rPr>
        <w:t xml:space="preserve"> grants,</w:t>
      </w:r>
      <w:r w:rsidRPr="007A0C3F">
        <w:rPr>
          <w:rFonts w:ascii="Century Gothic" w:eastAsia="Times New Roman" w:hAnsi="Century Gothic" w:cs="Arial"/>
          <w:sz w:val="22"/>
          <w:lang w:eastAsia="en-AU"/>
        </w:rPr>
        <w:t xml:space="preserve"> </w:t>
      </w:r>
      <w:r>
        <w:rPr>
          <w:rFonts w:ascii="Century Gothic" w:eastAsia="Times New Roman" w:hAnsi="Century Gothic" w:cs="Arial"/>
          <w:sz w:val="22"/>
          <w:lang w:eastAsia="en-AU"/>
        </w:rPr>
        <w:t>to</w:t>
      </w:r>
      <w:r w:rsidRPr="007A0C3F">
        <w:rPr>
          <w:rFonts w:ascii="Century Gothic" w:eastAsia="Times New Roman" w:hAnsi="Century Gothic" w:cs="Arial"/>
          <w:sz w:val="22"/>
          <w:lang w:eastAsia="en-AU"/>
        </w:rPr>
        <w:t xml:space="preserve"> help communities reduce or avoid greenhouse gas </w:t>
      </w:r>
      <w:r>
        <w:rPr>
          <w:rFonts w:ascii="Century Gothic" w:eastAsia="Times New Roman" w:hAnsi="Century Gothic" w:cs="Arial"/>
          <w:sz w:val="22"/>
          <w:lang w:eastAsia="en-AU"/>
        </w:rPr>
        <w:t xml:space="preserve">(GHG) </w:t>
      </w:r>
      <w:r w:rsidRPr="007A0C3F">
        <w:rPr>
          <w:rFonts w:ascii="Century Gothic" w:eastAsia="Times New Roman" w:hAnsi="Century Gothic" w:cs="Arial"/>
          <w:sz w:val="22"/>
          <w:lang w:eastAsia="en-AU"/>
        </w:rPr>
        <w:t>emissions, while addressing key development priorities.</w:t>
      </w:r>
    </w:p>
    <w:p w:rsidR="000B1D99" w:rsidRDefault="000B1D99" w:rsidP="000B1D99">
      <w:pPr>
        <w:jc w:val="both"/>
        <w:rPr>
          <w:rFonts w:ascii="Century Gothic" w:hAnsi="Century Gothic" w:cs="Arial"/>
          <w:sz w:val="22"/>
          <w:lang w:val="en-GB"/>
        </w:rPr>
      </w:pPr>
      <w:r>
        <w:rPr>
          <w:rFonts w:ascii="Century Gothic" w:hAnsi="Century Gothic" w:cs="Arial"/>
          <w:sz w:val="22"/>
          <w:lang w:val="en-GB"/>
        </w:rPr>
        <w:t>In Vietnam, the Department of Foreign Affairs and Trade (DFAT) secured $15 million</w:t>
      </w:r>
      <w:r w:rsidRPr="0015321E">
        <w:rPr>
          <w:rFonts w:ascii="Century Gothic" w:hAnsi="Century Gothic" w:cs="Arial"/>
          <w:sz w:val="22"/>
          <w:lang w:val="en-GB"/>
        </w:rPr>
        <w:t xml:space="preserve"> to support six projects over 2.5 years</w:t>
      </w:r>
      <w:r>
        <w:rPr>
          <w:rFonts w:ascii="Century Gothic" w:hAnsi="Century Gothic" w:cs="Arial"/>
          <w:sz w:val="22"/>
          <w:lang w:val="en-GB"/>
        </w:rPr>
        <w:t xml:space="preserve"> from July 2012 to December 2014</w:t>
      </w:r>
      <w:r>
        <w:rPr>
          <w:rStyle w:val="FootnoteReference"/>
          <w:rFonts w:ascii="Century Gothic" w:hAnsi="Century Gothic" w:cs="Arial"/>
          <w:sz w:val="22"/>
          <w:lang w:val="en-GB"/>
        </w:rPr>
        <w:footnoteReference w:id="9"/>
      </w:r>
      <w:r w:rsidRPr="0015321E">
        <w:rPr>
          <w:rFonts w:ascii="Century Gothic" w:hAnsi="Century Gothic" w:cs="Arial"/>
          <w:sz w:val="22"/>
          <w:lang w:val="en-GB"/>
        </w:rPr>
        <w:t>. This includes:</w:t>
      </w:r>
    </w:p>
    <w:p w:rsidR="000B1D99" w:rsidRPr="0015321E" w:rsidRDefault="000B1D99" w:rsidP="000B1D99">
      <w:pPr>
        <w:jc w:val="both"/>
        <w:rPr>
          <w:rFonts w:ascii="Century Gothic" w:hAnsi="Century Gothic" w:cs="Arial"/>
          <w:sz w:val="22"/>
          <w:lang w:val="en-GB"/>
        </w:rPr>
      </w:pPr>
    </w:p>
    <w:p w:rsidR="000B1D99" w:rsidRPr="0015321E" w:rsidRDefault="000B1D99" w:rsidP="000B1D99">
      <w:pPr>
        <w:pStyle w:val="ListParagraph"/>
        <w:numPr>
          <w:ilvl w:val="0"/>
          <w:numId w:val="8"/>
        </w:numPr>
        <w:contextualSpacing w:val="0"/>
        <w:jc w:val="both"/>
        <w:rPr>
          <w:rFonts w:ascii="Century Gothic" w:hAnsi="Century Gothic" w:cs="Arial"/>
          <w:sz w:val="22"/>
          <w:szCs w:val="22"/>
          <w:lang w:val="en-GB"/>
        </w:rPr>
      </w:pPr>
      <w:r w:rsidRPr="0015321E">
        <w:rPr>
          <w:rFonts w:ascii="Century Gothic" w:hAnsi="Century Gothic" w:cs="Arial"/>
          <w:sz w:val="22"/>
          <w:szCs w:val="22"/>
          <w:lang w:val="en-GB"/>
        </w:rPr>
        <w:t>four adaptation partnerships, led by Australian Red Cross</w:t>
      </w:r>
      <w:r>
        <w:rPr>
          <w:rFonts w:ascii="Century Gothic" w:hAnsi="Century Gothic" w:cs="Arial"/>
          <w:sz w:val="22"/>
          <w:szCs w:val="22"/>
          <w:lang w:val="en-GB"/>
        </w:rPr>
        <w:t xml:space="preserve"> (ARC)</w:t>
      </w:r>
      <w:r w:rsidRPr="0015321E">
        <w:rPr>
          <w:rFonts w:ascii="Century Gothic" w:hAnsi="Century Gothic" w:cs="Arial"/>
          <w:sz w:val="22"/>
          <w:szCs w:val="22"/>
          <w:lang w:val="en-GB"/>
        </w:rPr>
        <w:t>, C</w:t>
      </w:r>
      <w:r>
        <w:rPr>
          <w:rFonts w:ascii="Century Gothic" w:hAnsi="Century Gothic" w:cs="Arial"/>
          <w:sz w:val="22"/>
          <w:szCs w:val="22"/>
          <w:lang w:val="en-GB"/>
        </w:rPr>
        <w:t>ARE</w:t>
      </w:r>
      <w:r w:rsidRPr="0015321E">
        <w:rPr>
          <w:rFonts w:ascii="Century Gothic" w:hAnsi="Century Gothic" w:cs="Arial"/>
          <w:sz w:val="22"/>
          <w:szCs w:val="22"/>
          <w:lang w:val="en-GB"/>
        </w:rPr>
        <w:t xml:space="preserve"> Australia, Oxfam Australia and Save the Children </w:t>
      </w:r>
      <w:r>
        <w:rPr>
          <w:rFonts w:ascii="Century Gothic" w:hAnsi="Century Gothic" w:cs="Arial"/>
          <w:sz w:val="22"/>
          <w:szCs w:val="22"/>
          <w:lang w:val="en-GB"/>
        </w:rPr>
        <w:t xml:space="preserve">(SC) that promote </w:t>
      </w:r>
      <w:r w:rsidRPr="0015321E">
        <w:rPr>
          <w:rFonts w:ascii="Century Gothic" w:hAnsi="Century Gothic" w:cs="Arial"/>
          <w:sz w:val="22"/>
          <w:szCs w:val="22"/>
          <w:lang w:val="en-GB"/>
        </w:rPr>
        <w:t xml:space="preserve">an integrated approach to climate change adaption </w:t>
      </w:r>
      <w:r>
        <w:rPr>
          <w:rFonts w:ascii="Century Gothic" w:hAnsi="Century Gothic" w:cs="Arial"/>
          <w:sz w:val="22"/>
          <w:szCs w:val="22"/>
          <w:lang w:val="en-GB"/>
        </w:rPr>
        <w:t xml:space="preserve">(CCA) </w:t>
      </w:r>
      <w:r w:rsidRPr="0015321E">
        <w:rPr>
          <w:rFonts w:ascii="Century Gothic" w:hAnsi="Century Gothic" w:cs="Arial"/>
          <w:sz w:val="22"/>
          <w:szCs w:val="22"/>
          <w:lang w:val="en-GB"/>
        </w:rPr>
        <w:t xml:space="preserve">and disaster risk reduction </w:t>
      </w:r>
      <w:r>
        <w:rPr>
          <w:rFonts w:ascii="Century Gothic" w:hAnsi="Century Gothic" w:cs="Arial"/>
          <w:sz w:val="22"/>
          <w:szCs w:val="22"/>
          <w:lang w:val="en-GB"/>
        </w:rPr>
        <w:t xml:space="preserve">(DRR) </w:t>
      </w:r>
      <w:r w:rsidRPr="0015321E">
        <w:rPr>
          <w:rFonts w:ascii="Century Gothic" w:hAnsi="Century Gothic" w:cs="Arial"/>
          <w:sz w:val="22"/>
          <w:szCs w:val="22"/>
          <w:lang w:val="en-GB"/>
        </w:rPr>
        <w:t>at the community-level; and</w:t>
      </w:r>
    </w:p>
    <w:p w:rsidR="000B1D99" w:rsidRPr="00AF3BA5" w:rsidRDefault="000B1D99" w:rsidP="000B1D99">
      <w:pPr>
        <w:jc w:val="both"/>
        <w:rPr>
          <w:rFonts w:ascii="Century Gothic" w:hAnsi="Century Gothic" w:cs="Arial"/>
          <w:sz w:val="22"/>
          <w:szCs w:val="12"/>
          <w:lang w:val="en-GB"/>
        </w:rPr>
      </w:pPr>
    </w:p>
    <w:p w:rsidR="000B1D99" w:rsidRPr="0015321E" w:rsidRDefault="000B1D99" w:rsidP="000B1D99">
      <w:pPr>
        <w:pStyle w:val="ListParagraph"/>
        <w:numPr>
          <w:ilvl w:val="0"/>
          <w:numId w:val="8"/>
        </w:numPr>
        <w:contextualSpacing w:val="0"/>
        <w:jc w:val="both"/>
        <w:rPr>
          <w:rFonts w:ascii="Century Gothic" w:hAnsi="Century Gothic" w:cs="Arial"/>
          <w:sz w:val="22"/>
          <w:szCs w:val="22"/>
          <w:lang w:val="en-GB"/>
        </w:rPr>
      </w:pPr>
      <w:r w:rsidRPr="0015321E">
        <w:rPr>
          <w:rFonts w:ascii="Century Gothic" w:hAnsi="Century Gothic" w:cs="Arial"/>
          <w:sz w:val="22"/>
          <w:szCs w:val="22"/>
          <w:lang w:val="en-GB"/>
        </w:rPr>
        <w:t>two mitigation partners</w:t>
      </w:r>
      <w:r>
        <w:rPr>
          <w:rFonts w:ascii="Century Gothic" w:hAnsi="Century Gothic" w:cs="Arial"/>
          <w:sz w:val="22"/>
          <w:szCs w:val="22"/>
          <w:lang w:val="en-GB"/>
        </w:rPr>
        <w:t>hips led by Environmental Defenc</w:t>
      </w:r>
      <w:r w:rsidRPr="0015321E">
        <w:rPr>
          <w:rFonts w:ascii="Century Gothic" w:hAnsi="Century Gothic" w:cs="Arial"/>
          <w:sz w:val="22"/>
          <w:szCs w:val="22"/>
          <w:lang w:val="en-GB"/>
        </w:rPr>
        <w:t xml:space="preserve">e Fund (EDF) and  </w:t>
      </w:r>
      <w:r>
        <w:rPr>
          <w:rFonts w:ascii="Century Gothic" w:hAnsi="Century Gothic" w:cs="Arial"/>
          <w:sz w:val="22"/>
          <w:szCs w:val="22"/>
          <w:lang w:val="en-GB"/>
        </w:rPr>
        <w:t xml:space="preserve">the </w:t>
      </w:r>
      <w:r w:rsidRPr="0015321E">
        <w:rPr>
          <w:rFonts w:ascii="Century Gothic" w:hAnsi="Century Gothic" w:cs="Arial"/>
          <w:sz w:val="22"/>
          <w:szCs w:val="22"/>
          <w:lang w:val="en-GB"/>
        </w:rPr>
        <w:t>Netherlands Developmen</w:t>
      </w:r>
      <w:r>
        <w:rPr>
          <w:rFonts w:ascii="Century Gothic" w:hAnsi="Century Gothic" w:cs="Arial"/>
          <w:sz w:val="22"/>
          <w:szCs w:val="22"/>
          <w:lang w:val="en-GB"/>
        </w:rPr>
        <w:t>t Organisation (SNV) that build</w:t>
      </w:r>
      <w:r w:rsidRPr="0015321E">
        <w:rPr>
          <w:rFonts w:ascii="Century Gothic" w:hAnsi="Century Gothic" w:cs="Arial"/>
          <w:sz w:val="22"/>
          <w:szCs w:val="22"/>
          <w:lang w:val="en-GB"/>
        </w:rPr>
        <w:t xml:space="preserve"> the capacity of smallholder rice producers and provincial agencies to reduce </w:t>
      </w:r>
      <w:r>
        <w:rPr>
          <w:rFonts w:ascii="Century Gothic" w:hAnsi="Century Gothic" w:cs="Arial"/>
          <w:sz w:val="22"/>
          <w:szCs w:val="22"/>
          <w:lang w:val="en-GB"/>
        </w:rPr>
        <w:t xml:space="preserve">green house gas (GHG) emissions </w:t>
      </w:r>
      <w:r w:rsidRPr="0015321E">
        <w:rPr>
          <w:rFonts w:ascii="Century Gothic" w:hAnsi="Century Gothic" w:cs="Arial"/>
          <w:sz w:val="22"/>
          <w:szCs w:val="22"/>
          <w:lang w:val="en-GB"/>
        </w:rPr>
        <w:t xml:space="preserve">and improve benefits from rice production in </w:t>
      </w:r>
      <w:r>
        <w:rPr>
          <w:rFonts w:ascii="Century Gothic" w:hAnsi="Century Gothic" w:cs="Arial"/>
          <w:sz w:val="22"/>
          <w:szCs w:val="22"/>
          <w:lang w:val="en-GB"/>
        </w:rPr>
        <w:t>the</w:t>
      </w:r>
      <w:r w:rsidRPr="0015321E">
        <w:rPr>
          <w:rFonts w:ascii="Century Gothic" w:hAnsi="Century Gothic" w:cs="Arial"/>
          <w:sz w:val="22"/>
          <w:szCs w:val="22"/>
          <w:lang w:val="en-GB"/>
        </w:rPr>
        <w:t xml:space="preserve"> Mekong Delta and Central Region</w:t>
      </w:r>
      <w:r>
        <w:rPr>
          <w:rFonts w:ascii="Century Gothic" w:hAnsi="Century Gothic" w:cs="Arial"/>
          <w:sz w:val="22"/>
          <w:szCs w:val="22"/>
          <w:lang w:val="en-GB"/>
        </w:rPr>
        <w:t>s</w:t>
      </w:r>
      <w:r w:rsidRPr="0015321E">
        <w:rPr>
          <w:rFonts w:ascii="Century Gothic" w:hAnsi="Century Gothic" w:cs="Arial"/>
          <w:sz w:val="22"/>
          <w:szCs w:val="22"/>
          <w:lang w:val="en-GB"/>
        </w:rPr>
        <w:t>.</w:t>
      </w:r>
    </w:p>
    <w:p w:rsidR="000B1D99" w:rsidRPr="0015321E" w:rsidRDefault="000B1D99" w:rsidP="000B1D99">
      <w:pPr>
        <w:pStyle w:val="ListParagraph"/>
        <w:jc w:val="both"/>
        <w:rPr>
          <w:rFonts w:ascii="Century Gothic" w:hAnsi="Century Gothic" w:cs="Arial"/>
          <w:sz w:val="22"/>
          <w:lang w:val="en-GB"/>
        </w:rPr>
      </w:pPr>
    </w:p>
    <w:p w:rsidR="000B1D99" w:rsidRPr="00E11859" w:rsidRDefault="000B1D99" w:rsidP="000B1D99">
      <w:pPr>
        <w:jc w:val="both"/>
        <w:rPr>
          <w:rFonts w:ascii="Century Gothic" w:hAnsi="Century Gothic" w:cs="Arial"/>
          <w:sz w:val="22"/>
          <w:lang w:val="en-GB"/>
        </w:rPr>
      </w:pPr>
      <w:r w:rsidRPr="0015321E">
        <w:rPr>
          <w:rFonts w:ascii="Century Gothic" w:hAnsi="Century Gothic" w:cs="Arial"/>
          <w:sz w:val="22"/>
          <w:lang w:val="en-GB"/>
        </w:rPr>
        <w:t xml:space="preserve">Together, </w:t>
      </w:r>
      <w:r>
        <w:rPr>
          <w:rFonts w:ascii="Century Gothic" w:hAnsi="Century Gothic" w:cs="Arial"/>
          <w:sz w:val="22"/>
          <w:lang w:val="en-GB"/>
        </w:rPr>
        <w:t>CCCAG</w:t>
      </w:r>
      <w:r w:rsidRPr="0015321E">
        <w:rPr>
          <w:rFonts w:ascii="Century Gothic" w:hAnsi="Century Gothic" w:cs="Arial"/>
          <w:sz w:val="22"/>
          <w:lang w:val="en-GB"/>
        </w:rPr>
        <w:t xml:space="preserve"> </w:t>
      </w:r>
      <w:r>
        <w:rPr>
          <w:rFonts w:ascii="Century Gothic" w:hAnsi="Century Gothic" w:cs="Arial"/>
          <w:sz w:val="22"/>
          <w:lang w:val="en-GB"/>
        </w:rPr>
        <w:t>projects</w:t>
      </w:r>
      <w:r w:rsidRPr="0015321E">
        <w:rPr>
          <w:rFonts w:ascii="Century Gothic" w:hAnsi="Century Gothic" w:cs="Arial"/>
          <w:sz w:val="22"/>
          <w:lang w:val="en-GB"/>
        </w:rPr>
        <w:t xml:space="preserve"> aim to directly benefit around </w:t>
      </w:r>
      <w:r>
        <w:rPr>
          <w:rFonts w:ascii="Century Gothic" w:hAnsi="Century Gothic" w:cs="Arial"/>
          <w:bCs/>
          <w:sz w:val="22"/>
        </w:rPr>
        <w:t>24</w:t>
      </w:r>
      <w:r w:rsidRPr="0015321E">
        <w:rPr>
          <w:rFonts w:ascii="Century Gothic" w:hAnsi="Century Gothic" w:cs="Arial"/>
          <w:bCs/>
          <w:sz w:val="22"/>
        </w:rPr>
        <w:t>0,000 vulnerable people</w:t>
      </w:r>
      <w:r w:rsidRPr="0015321E">
        <w:rPr>
          <w:rFonts w:ascii="Century Gothic" w:hAnsi="Century Gothic" w:cs="Arial"/>
          <w:sz w:val="22"/>
          <w:lang w:val="en-GB"/>
        </w:rPr>
        <w:t xml:space="preserve"> through improved resilience to the unavoidable risks of climate change and natural disasters and through new agriculture practices to reduce </w:t>
      </w:r>
      <w:r>
        <w:rPr>
          <w:rFonts w:ascii="Century Gothic" w:hAnsi="Century Gothic" w:cs="Arial"/>
          <w:sz w:val="22"/>
          <w:lang w:val="en-GB"/>
        </w:rPr>
        <w:t>GHG</w:t>
      </w:r>
      <w:r w:rsidRPr="0015321E">
        <w:rPr>
          <w:rFonts w:ascii="Century Gothic" w:hAnsi="Century Gothic" w:cs="Arial"/>
          <w:sz w:val="22"/>
          <w:lang w:val="en-GB"/>
        </w:rPr>
        <w:t xml:space="preserve"> and improve livelihoods. </w:t>
      </w:r>
    </w:p>
    <w:p w:rsidR="000B1D99" w:rsidRPr="00EE2499" w:rsidRDefault="000B1D99" w:rsidP="000B1D99">
      <w:pPr>
        <w:pStyle w:val="Heading2"/>
      </w:pPr>
      <w:bookmarkStart w:id="11" w:name="_Toc266010019"/>
      <w:r>
        <w:t>2. Policy Context</w:t>
      </w:r>
      <w:bookmarkEnd w:id="11"/>
      <w:r>
        <w:t xml:space="preserve"> </w:t>
      </w:r>
    </w:p>
    <w:p w:rsidR="000B1D99" w:rsidRPr="00272567" w:rsidRDefault="000B1D99" w:rsidP="000B1D99">
      <w:pPr>
        <w:pStyle w:val="Heading3"/>
      </w:pPr>
      <w:bookmarkStart w:id="12" w:name="_Toc258243161"/>
      <w:bookmarkStart w:id="13" w:name="_Toc259808023"/>
      <w:bookmarkStart w:id="14" w:name="_Toc266010020"/>
      <w:r>
        <w:t>2.1. Vietnam</w:t>
      </w:r>
      <w:bookmarkEnd w:id="12"/>
      <w:bookmarkEnd w:id="13"/>
      <w:bookmarkEnd w:id="14"/>
      <w:r>
        <w:t xml:space="preserve"> </w:t>
      </w:r>
    </w:p>
    <w:p w:rsidR="000B1D99" w:rsidRDefault="000B1D99" w:rsidP="000B1D99">
      <w:pPr>
        <w:pStyle w:val="DonnasStyle"/>
      </w:pPr>
      <w:r>
        <w:rPr>
          <w:rFonts w:cs="Helvetica"/>
          <w:iCs/>
        </w:rPr>
        <w:t xml:space="preserve">As a country </w:t>
      </w:r>
      <w:r w:rsidRPr="00D140BA">
        <w:rPr>
          <w:rFonts w:cs="Helvetica"/>
          <w:b/>
          <w:iCs/>
        </w:rPr>
        <w:t>particularly affected</w:t>
      </w:r>
      <w:r w:rsidRPr="006763FC">
        <w:rPr>
          <w:rFonts w:cs="Helvetica"/>
          <w:b/>
          <w:iCs/>
        </w:rPr>
        <w:t xml:space="preserve"> by the adverse </w:t>
      </w:r>
      <w:r>
        <w:rPr>
          <w:rFonts w:cs="Helvetica"/>
          <w:b/>
          <w:iCs/>
        </w:rPr>
        <w:t>impacts</w:t>
      </w:r>
      <w:r w:rsidRPr="006763FC">
        <w:rPr>
          <w:rFonts w:cs="Helvetica"/>
          <w:b/>
          <w:iCs/>
        </w:rPr>
        <w:t xml:space="preserve"> of climate change</w:t>
      </w:r>
      <w:r>
        <w:rPr>
          <w:rStyle w:val="FootnoteReference"/>
          <w:rFonts w:cs="Helvetica"/>
          <w:iCs/>
        </w:rPr>
        <w:footnoteReference w:id="10"/>
      </w:r>
      <w:r>
        <w:rPr>
          <w:rFonts w:cs="Helvetica"/>
          <w:iCs/>
        </w:rPr>
        <w:t xml:space="preserve">, the </w:t>
      </w:r>
      <w:r w:rsidRPr="0015321E">
        <w:rPr>
          <w:rFonts w:cs="Arial"/>
          <w:lang w:val="en-GB"/>
        </w:rPr>
        <w:t xml:space="preserve">Government of Vietnam </w:t>
      </w:r>
      <w:r>
        <w:rPr>
          <w:rFonts w:cs="Arial"/>
          <w:lang w:val="en-GB"/>
        </w:rPr>
        <w:t xml:space="preserve">(GoV) </w:t>
      </w:r>
      <w:r w:rsidRPr="0015321E">
        <w:rPr>
          <w:rFonts w:cs="Arial"/>
          <w:lang w:val="en-GB"/>
        </w:rPr>
        <w:t xml:space="preserve">sees climate change as </w:t>
      </w:r>
      <w:r>
        <w:rPr>
          <w:rFonts w:cs="Arial"/>
          <w:lang w:val="en-GB"/>
        </w:rPr>
        <w:t>a major</w:t>
      </w:r>
      <w:r w:rsidRPr="0015321E">
        <w:rPr>
          <w:rFonts w:cs="Arial"/>
          <w:lang w:val="en-GB"/>
        </w:rPr>
        <w:t xml:space="preserve"> </w:t>
      </w:r>
      <w:r>
        <w:rPr>
          <w:rFonts w:cs="Arial"/>
          <w:lang w:val="en-GB"/>
        </w:rPr>
        <w:t xml:space="preserve">development </w:t>
      </w:r>
      <w:r w:rsidRPr="0015321E">
        <w:rPr>
          <w:rFonts w:cs="Arial"/>
          <w:lang w:val="en-GB"/>
        </w:rPr>
        <w:t>challe</w:t>
      </w:r>
      <w:r>
        <w:rPr>
          <w:rFonts w:cs="Arial"/>
          <w:lang w:val="en-GB"/>
        </w:rPr>
        <w:t xml:space="preserve">nge that </w:t>
      </w:r>
      <w:r w:rsidRPr="0015321E">
        <w:rPr>
          <w:rFonts w:cs="Arial"/>
          <w:lang w:val="en-GB"/>
        </w:rPr>
        <w:t>threatens to destabilise economic growth, exacerbate food shortages and erode recent gains in poverty reduction</w:t>
      </w:r>
      <w:r>
        <w:rPr>
          <w:rFonts w:cs="Arial"/>
          <w:lang w:val="en-GB"/>
        </w:rPr>
        <w:t xml:space="preserve">, </w:t>
      </w:r>
      <w:r w:rsidRPr="0015321E">
        <w:rPr>
          <w:rFonts w:cs="Arial"/>
          <w:lang w:val="en-GB"/>
        </w:rPr>
        <w:t>all of which would negatively impact progress towards achieving the Millennium Development Goals</w:t>
      </w:r>
      <w:r>
        <w:rPr>
          <w:rFonts w:cs="Arial"/>
          <w:lang w:val="en-GB"/>
        </w:rPr>
        <w:t>. As such it</w:t>
      </w:r>
      <w:r w:rsidRPr="009D6B2A">
        <w:t xml:space="preserve"> has developed a range of laws, </w:t>
      </w:r>
      <w:r w:rsidRPr="009D6B2A">
        <w:lastRenderedPageBreak/>
        <w:t>strategies, and programs for responding to climate change.</w:t>
      </w:r>
    </w:p>
    <w:p w:rsidR="000B1D99" w:rsidRDefault="000B1D99" w:rsidP="000B1D99">
      <w:pPr>
        <w:jc w:val="both"/>
        <w:rPr>
          <w:rFonts w:ascii="Century Gothic" w:hAnsi="Century Gothic"/>
          <w:sz w:val="22"/>
        </w:rPr>
      </w:pPr>
    </w:p>
    <w:p w:rsidR="000B1D99" w:rsidRDefault="000B1D99" w:rsidP="000B1D99">
      <w:pPr>
        <w:jc w:val="both"/>
        <w:rPr>
          <w:rFonts w:ascii="Century Gothic" w:hAnsi="Century Gothic"/>
          <w:sz w:val="22"/>
        </w:rPr>
      </w:pPr>
      <w:r w:rsidRPr="009D6B2A">
        <w:rPr>
          <w:rFonts w:ascii="Century Gothic" w:hAnsi="Century Gothic"/>
          <w:sz w:val="22"/>
        </w:rPr>
        <w:t>The National Target Program to Respond to Climate Change (NTP</w:t>
      </w:r>
      <w:r>
        <w:rPr>
          <w:rFonts w:ascii="Century Gothic" w:hAnsi="Century Gothic"/>
          <w:sz w:val="22"/>
        </w:rPr>
        <w:t>-</w:t>
      </w:r>
      <w:r w:rsidRPr="009D6B2A">
        <w:rPr>
          <w:rFonts w:ascii="Century Gothic" w:hAnsi="Century Gothic"/>
          <w:sz w:val="22"/>
        </w:rPr>
        <w:t>RCC) lays the foundation for sectoral and local ac</w:t>
      </w:r>
      <w:r>
        <w:rPr>
          <w:rFonts w:ascii="Century Gothic" w:hAnsi="Century Gothic"/>
          <w:sz w:val="22"/>
        </w:rPr>
        <w:t xml:space="preserve">tion planning and coordination and is overseen by </w:t>
      </w:r>
      <w:r w:rsidRPr="009D6B2A">
        <w:rPr>
          <w:rFonts w:ascii="Century Gothic" w:hAnsi="Century Gothic"/>
          <w:sz w:val="22"/>
        </w:rPr>
        <w:t xml:space="preserve">Ministry of Natural Resources and Environment </w:t>
      </w:r>
      <w:r>
        <w:rPr>
          <w:rFonts w:ascii="Century Gothic" w:hAnsi="Century Gothic"/>
          <w:sz w:val="22"/>
        </w:rPr>
        <w:t xml:space="preserve">(MONRE). </w:t>
      </w:r>
      <w:r w:rsidRPr="009D6B2A">
        <w:rPr>
          <w:rFonts w:ascii="Century Gothic" w:hAnsi="Century Gothic"/>
          <w:sz w:val="22"/>
        </w:rPr>
        <w:t>The strategic objectives of the NTP</w:t>
      </w:r>
      <w:r>
        <w:rPr>
          <w:rFonts w:ascii="Century Gothic" w:hAnsi="Century Gothic"/>
          <w:sz w:val="22"/>
        </w:rPr>
        <w:t>-</w:t>
      </w:r>
      <w:r w:rsidRPr="009D6B2A">
        <w:rPr>
          <w:rFonts w:ascii="Century Gothic" w:hAnsi="Century Gothic"/>
          <w:sz w:val="22"/>
        </w:rPr>
        <w:t>RCC are</w:t>
      </w:r>
      <w:r>
        <w:rPr>
          <w:rFonts w:ascii="Century Gothic" w:hAnsi="Century Gothic"/>
          <w:sz w:val="22"/>
        </w:rPr>
        <w:t xml:space="preserve"> to </w:t>
      </w:r>
      <w:r w:rsidRPr="009B2C4E">
        <w:rPr>
          <w:rFonts w:ascii="Century Gothic" w:hAnsi="Century Gothic"/>
          <w:sz w:val="22"/>
        </w:rPr>
        <w:t>assess climate change impacts on sectors and regions and to develop action plans to e</w:t>
      </w:r>
      <w:r>
        <w:rPr>
          <w:rFonts w:ascii="Century Gothic" w:hAnsi="Century Gothic"/>
          <w:sz w:val="22"/>
        </w:rPr>
        <w:t>ffective</w:t>
      </w:r>
      <w:r w:rsidRPr="009B2C4E">
        <w:rPr>
          <w:rFonts w:ascii="Century Gothic" w:hAnsi="Century Gothic"/>
          <w:sz w:val="22"/>
        </w:rPr>
        <w:t xml:space="preserve">ly respond to climate change in </w:t>
      </w:r>
      <w:r>
        <w:rPr>
          <w:rFonts w:ascii="Century Gothic" w:hAnsi="Century Gothic"/>
          <w:sz w:val="22"/>
        </w:rPr>
        <w:t>both the short and long-term</w:t>
      </w:r>
      <w:r w:rsidRPr="009B2C4E">
        <w:rPr>
          <w:rFonts w:ascii="Century Gothic" w:hAnsi="Century Gothic"/>
          <w:sz w:val="22"/>
        </w:rPr>
        <w:t xml:space="preserve"> to ensure </w:t>
      </w:r>
      <w:r>
        <w:rPr>
          <w:rFonts w:ascii="Century Gothic" w:hAnsi="Century Gothic"/>
          <w:sz w:val="22"/>
        </w:rPr>
        <w:t xml:space="preserve">the </w:t>
      </w:r>
      <w:r w:rsidRPr="009B2C4E">
        <w:rPr>
          <w:rFonts w:ascii="Century Gothic" w:hAnsi="Century Gothic"/>
          <w:sz w:val="22"/>
        </w:rPr>
        <w:t>sustainab</w:t>
      </w:r>
      <w:r>
        <w:rPr>
          <w:rFonts w:ascii="Century Gothic" w:hAnsi="Century Gothic"/>
          <w:sz w:val="22"/>
        </w:rPr>
        <w:t>le development of Vietn</w:t>
      </w:r>
      <w:r w:rsidRPr="009B2C4E">
        <w:rPr>
          <w:rFonts w:ascii="Century Gothic" w:hAnsi="Century Gothic"/>
          <w:sz w:val="22"/>
        </w:rPr>
        <w:t>am, to take opportunities to develop towards a low-carbon economy, and to join the international community‘s efforts in mitigating climate change and protecting the climatic system.</w:t>
      </w:r>
      <w:r>
        <w:rPr>
          <w:rStyle w:val="FootnoteReference"/>
          <w:rFonts w:ascii="Century Gothic" w:hAnsi="Century Gothic"/>
          <w:sz w:val="22"/>
        </w:rPr>
        <w:footnoteReference w:id="11"/>
      </w:r>
      <w:r>
        <w:rPr>
          <w:rFonts w:ascii="Century Gothic" w:hAnsi="Century Gothic"/>
          <w:sz w:val="22"/>
        </w:rPr>
        <w:t xml:space="preserve"> </w:t>
      </w:r>
    </w:p>
    <w:p w:rsidR="000B1D99" w:rsidRPr="009D6B2A" w:rsidRDefault="000B1D99" w:rsidP="000B1D99">
      <w:pPr>
        <w:jc w:val="both"/>
        <w:rPr>
          <w:rFonts w:ascii="Century Gothic" w:hAnsi="Century Gothic"/>
          <w:sz w:val="22"/>
        </w:rPr>
      </w:pPr>
    </w:p>
    <w:p w:rsidR="000B1D99" w:rsidRPr="009D6B2A" w:rsidRDefault="0081397F" w:rsidP="000B1D99">
      <w:pPr>
        <w:jc w:val="both"/>
        <w:rPr>
          <w:rFonts w:ascii="Century Gothic" w:hAnsi="Century Gothic"/>
          <w:sz w:val="22"/>
        </w:rPr>
      </w:pPr>
      <w:r>
        <w:rPr>
          <w:rFonts w:ascii="Century Gothic" w:hAnsi="Century Gothic"/>
          <w:sz w:val="22"/>
        </w:rPr>
        <w:t>The</w:t>
      </w:r>
      <w:r w:rsidR="000B1D99" w:rsidRPr="009D6B2A">
        <w:rPr>
          <w:rFonts w:ascii="Century Gothic" w:hAnsi="Century Gothic"/>
          <w:sz w:val="22"/>
        </w:rPr>
        <w:t xml:space="preserve"> Ministry of Agriculture and Rural Development (MARD) Action Plan Framework for Adaptation to Climate Change in the Agricultur</w:t>
      </w:r>
      <w:r w:rsidR="000B1D99">
        <w:rPr>
          <w:rFonts w:ascii="Century Gothic" w:hAnsi="Century Gothic"/>
          <w:sz w:val="22"/>
        </w:rPr>
        <w:t>e and Rural Development Sector (2008-2020)</w:t>
      </w:r>
      <w:r w:rsidR="000B1D99" w:rsidRPr="009D6B2A">
        <w:rPr>
          <w:rFonts w:ascii="Century Gothic" w:hAnsi="Century Gothic"/>
          <w:sz w:val="22"/>
        </w:rPr>
        <w:t xml:space="preserve"> </w:t>
      </w:r>
      <w:r>
        <w:rPr>
          <w:rFonts w:ascii="Century Gothic" w:hAnsi="Century Gothic"/>
          <w:sz w:val="22"/>
        </w:rPr>
        <w:t>aims</w:t>
      </w:r>
      <w:r w:rsidR="000B1D99" w:rsidRPr="009D6B2A">
        <w:rPr>
          <w:rFonts w:ascii="Century Gothic" w:hAnsi="Century Gothic"/>
          <w:sz w:val="22"/>
        </w:rPr>
        <w:t xml:space="preserve"> </w:t>
      </w:r>
      <w:r>
        <w:rPr>
          <w:rFonts w:ascii="Century Gothic" w:hAnsi="Century Gothic"/>
          <w:sz w:val="22"/>
        </w:rPr>
        <w:t>to</w:t>
      </w:r>
      <w:r w:rsidR="000B1D99" w:rsidRPr="009D6B2A">
        <w:rPr>
          <w:rFonts w:ascii="Century Gothic" w:hAnsi="Century Gothic"/>
          <w:sz w:val="22"/>
        </w:rPr>
        <w:t xml:space="preserve"> enhance the </w:t>
      </w:r>
      <w:r w:rsidR="000B1D99">
        <w:rPr>
          <w:rFonts w:ascii="Century Gothic" w:hAnsi="Century Gothic"/>
          <w:sz w:val="22"/>
        </w:rPr>
        <w:t>GoV’s</w:t>
      </w:r>
      <w:r w:rsidR="000B1D99" w:rsidRPr="009D6B2A">
        <w:rPr>
          <w:rFonts w:ascii="Century Gothic" w:hAnsi="Century Gothic"/>
          <w:sz w:val="22"/>
        </w:rPr>
        <w:t xml:space="preserve"> capabilities for adaptation and mitigation to minimise its adverse impacts and to ensure sustainable development of the agriculture sector. </w:t>
      </w:r>
    </w:p>
    <w:p w:rsidR="000B1D99" w:rsidRPr="00EB62B3" w:rsidRDefault="000B1D99" w:rsidP="000B1D99">
      <w:pPr>
        <w:shd w:val="clear" w:color="auto" w:fill="FFFFFF"/>
        <w:spacing w:before="100" w:beforeAutospacing="1" w:after="240"/>
        <w:jc w:val="both"/>
        <w:rPr>
          <w:rFonts w:ascii="Century Gothic" w:hAnsi="Century Gothic"/>
          <w:sz w:val="22"/>
          <w:szCs w:val="22"/>
        </w:rPr>
      </w:pPr>
      <w:r w:rsidRPr="009D6B2A">
        <w:rPr>
          <w:rFonts w:ascii="Century Gothic" w:hAnsi="Century Gothic"/>
          <w:sz w:val="22"/>
          <w:szCs w:val="22"/>
        </w:rPr>
        <w:t>The Vietnam Green Growth Strategy</w:t>
      </w:r>
      <w:r>
        <w:rPr>
          <w:rFonts w:ascii="Century Gothic" w:hAnsi="Century Gothic"/>
          <w:sz w:val="22"/>
          <w:szCs w:val="22"/>
        </w:rPr>
        <w:t xml:space="preserve"> (VGGS </w:t>
      </w:r>
      <w:r w:rsidRPr="009D6B2A">
        <w:rPr>
          <w:rFonts w:ascii="Century Gothic" w:hAnsi="Century Gothic"/>
          <w:sz w:val="22"/>
          <w:szCs w:val="22"/>
        </w:rPr>
        <w:t>2012</w:t>
      </w:r>
      <w:r>
        <w:rPr>
          <w:rFonts w:ascii="Century Gothic" w:hAnsi="Century Gothic"/>
          <w:sz w:val="22"/>
          <w:szCs w:val="22"/>
        </w:rPr>
        <w:t>)</w:t>
      </w:r>
      <w:r w:rsidRPr="009D6B2A">
        <w:rPr>
          <w:rFonts w:ascii="Century Gothic" w:hAnsi="Century Gothic"/>
          <w:sz w:val="22"/>
          <w:szCs w:val="22"/>
        </w:rPr>
        <w:t xml:space="preserve"> has high-level political support, overseen by the Nation</w:t>
      </w:r>
      <w:r>
        <w:rPr>
          <w:rFonts w:ascii="Century Gothic" w:hAnsi="Century Gothic"/>
          <w:sz w:val="22"/>
          <w:szCs w:val="22"/>
        </w:rPr>
        <w:t>al Committee on Climate Change</w:t>
      </w:r>
      <w:r w:rsidRPr="009D6B2A">
        <w:rPr>
          <w:rFonts w:ascii="Century Gothic" w:hAnsi="Century Gothic"/>
          <w:sz w:val="22"/>
          <w:szCs w:val="22"/>
        </w:rPr>
        <w:t xml:space="preserve"> headed by t</w:t>
      </w:r>
      <w:r>
        <w:rPr>
          <w:rFonts w:ascii="Century Gothic" w:hAnsi="Century Gothic"/>
          <w:sz w:val="22"/>
          <w:szCs w:val="22"/>
        </w:rPr>
        <w:t>he Prime Minister. Its</w:t>
      </w:r>
      <w:r w:rsidRPr="009D6B2A">
        <w:rPr>
          <w:rFonts w:ascii="Century Gothic" w:hAnsi="Century Gothic"/>
          <w:sz w:val="22"/>
          <w:szCs w:val="22"/>
        </w:rPr>
        <w:t xml:space="preserve"> strategic tasks</w:t>
      </w:r>
      <w:r>
        <w:rPr>
          <w:rFonts w:ascii="Century Gothic" w:hAnsi="Century Gothic"/>
          <w:sz w:val="22"/>
          <w:szCs w:val="22"/>
        </w:rPr>
        <w:t xml:space="preserve"> are</w:t>
      </w:r>
      <w:r w:rsidRPr="009D6B2A">
        <w:rPr>
          <w:rFonts w:ascii="Century Gothic" w:hAnsi="Century Gothic"/>
          <w:sz w:val="22"/>
          <w:szCs w:val="22"/>
        </w:rPr>
        <w:t>: i. low carbon growth</w:t>
      </w:r>
      <w:r>
        <w:rPr>
          <w:rFonts w:ascii="Century Gothic" w:hAnsi="Century Gothic"/>
          <w:sz w:val="22"/>
          <w:szCs w:val="22"/>
        </w:rPr>
        <w:t>,</w:t>
      </w:r>
      <w:r w:rsidRPr="009D6B2A">
        <w:rPr>
          <w:rFonts w:ascii="Century Gothic" w:hAnsi="Century Gothic"/>
          <w:sz w:val="22"/>
          <w:szCs w:val="22"/>
        </w:rPr>
        <w:t xml:space="preserve"> ii. greening production; and iii. greening lifestyl</w:t>
      </w:r>
      <w:r>
        <w:rPr>
          <w:rFonts w:ascii="Century Gothic" w:hAnsi="Century Gothic"/>
          <w:sz w:val="22"/>
          <w:szCs w:val="22"/>
        </w:rPr>
        <w:t>es and sustainable consumption.</w:t>
      </w:r>
      <w:r w:rsidRPr="009D6B2A">
        <w:rPr>
          <w:rFonts w:ascii="Century Gothic" w:hAnsi="Century Gothic"/>
          <w:sz w:val="22"/>
          <w:szCs w:val="22"/>
        </w:rPr>
        <w:t xml:space="preserve"> As such, </w:t>
      </w:r>
      <w:r>
        <w:rPr>
          <w:rFonts w:ascii="Century Gothic" w:eastAsia="Times New Roman" w:hAnsi="Century Gothic" w:cs="Times New Roman"/>
          <w:sz w:val="22"/>
          <w:szCs w:val="22"/>
          <w:lang w:val="en-GB"/>
        </w:rPr>
        <w:t xml:space="preserve">consideration of </w:t>
      </w:r>
      <w:r w:rsidRPr="009D6B2A">
        <w:rPr>
          <w:rFonts w:ascii="Century Gothic" w:eastAsia="Times New Roman" w:hAnsi="Century Gothic" w:cs="Times New Roman"/>
          <w:sz w:val="22"/>
          <w:szCs w:val="22"/>
          <w:lang w:val="en-GB"/>
        </w:rPr>
        <w:t xml:space="preserve">low carbon economy and green growth are seen as key principles </w:t>
      </w:r>
      <w:r>
        <w:rPr>
          <w:rFonts w:ascii="Century Gothic" w:eastAsia="Times New Roman" w:hAnsi="Century Gothic" w:cs="Times New Roman"/>
          <w:sz w:val="22"/>
          <w:szCs w:val="22"/>
          <w:lang w:val="en-GB"/>
        </w:rPr>
        <w:t>for</w:t>
      </w:r>
      <w:r w:rsidRPr="009D6B2A">
        <w:rPr>
          <w:rFonts w:ascii="Century Gothic" w:eastAsia="Times New Roman" w:hAnsi="Century Gothic" w:cs="Times New Roman"/>
          <w:sz w:val="22"/>
          <w:szCs w:val="22"/>
          <w:lang w:val="en-GB"/>
        </w:rPr>
        <w:t xml:space="preserve"> ac</w:t>
      </w:r>
      <w:r>
        <w:rPr>
          <w:rFonts w:ascii="Century Gothic" w:eastAsia="Times New Roman" w:hAnsi="Century Gothic" w:cs="Times New Roman"/>
          <w:sz w:val="22"/>
          <w:szCs w:val="22"/>
          <w:lang w:val="en-GB"/>
        </w:rPr>
        <w:t>hieving sustainable development,</w:t>
      </w:r>
      <w:r w:rsidRPr="009D6B2A">
        <w:rPr>
          <w:rFonts w:ascii="Century Gothic" w:eastAsia="Times New Roman" w:hAnsi="Century Gothic" w:cs="Times New Roman"/>
          <w:sz w:val="22"/>
          <w:szCs w:val="22"/>
          <w:lang w:val="en-GB"/>
        </w:rPr>
        <w:t xml:space="preserve"> and the reduction of GHG emissions and increased capability to absorb GHG</w:t>
      </w:r>
      <w:r>
        <w:rPr>
          <w:rFonts w:ascii="Century Gothic" w:eastAsia="Times New Roman" w:hAnsi="Century Gothic" w:cs="Times New Roman"/>
          <w:sz w:val="22"/>
          <w:szCs w:val="22"/>
          <w:lang w:val="en-GB"/>
        </w:rPr>
        <w:t>s</w:t>
      </w:r>
      <w:r w:rsidRPr="009D6B2A">
        <w:rPr>
          <w:rFonts w:ascii="Century Gothic" w:eastAsia="Times New Roman" w:hAnsi="Century Gothic" w:cs="Times New Roman"/>
          <w:sz w:val="22"/>
          <w:szCs w:val="22"/>
          <w:lang w:val="en-GB"/>
        </w:rPr>
        <w:t xml:space="preserve"> are set to become a mandatory indicators in Vietnam’s social and economic development</w:t>
      </w:r>
      <w:r>
        <w:rPr>
          <w:rStyle w:val="FootnoteReference"/>
          <w:rFonts w:ascii="Century Gothic" w:eastAsia="Times New Roman" w:hAnsi="Century Gothic" w:cs="Times New Roman"/>
          <w:sz w:val="22"/>
          <w:szCs w:val="22"/>
          <w:lang w:val="en-GB"/>
        </w:rPr>
        <w:footnoteReference w:id="12"/>
      </w:r>
      <w:r w:rsidRPr="009D6B2A">
        <w:rPr>
          <w:rFonts w:ascii="Century Gothic" w:eastAsia="Times New Roman" w:hAnsi="Century Gothic" w:cs="Times New Roman"/>
          <w:sz w:val="22"/>
          <w:szCs w:val="22"/>
          <w:lang w:val="en-GB"/>
        </w:rPr>
        <w:t>.</w:t>
      </w:r>
      <w:r w:rsidRPr="009D6B2A">
        <w:rPr>
          <w:rFonts w:ascii="Century Gothic" w:hAnsi="Century Gothic"/>
          <w:sz w:val="22"/>
          <w:szCs w:val="22"/>
        </w:rPr>
        <w:t xml:space="preserve"> </w:t>
      </w:r>
    </w:p>
    <w:p w:rsidR="000B1D99" w:rsidRDefault="000B1D99" w:rsidP="000B1D99">
      <w:pPr>
        <w:jc w:val="both"/>
        <w:rPr>
          <w:rFonts w:ascii="Century Gothic" w:eastAsia="Cambria" w:hAnsi="Century Gothic" w:cs="Times New Roman"/>
          <w:sz w:val="22"/>
          <w:szCs w:val="22"/>
        </w:rPr>
      </w:pPr>
      <w:r>
        <w:rPr>
          <w:rFonts w:ascii="Century Gothic" w:eastAsia="Cambria" w:hAnsi="Century Gothic" w:cs="Times New Roman"/>
          <w:sz w:val="22"/>
          <w:szCs w:val="22"/>
        </w:rPr>
        <w:t>Vietnam has a sound</w:t>
      </w:r>
      <w:r w:rsidRPr="00EB62B3">
        <w:rPr>
          <w:rFonts w:ascii="Century Gothic" w:eastAsia="Cambria" w:hAnsi="Century Gothic" w:cs="Times New Roman"/>
          <w:sz w:val="22"/>
          <w:szCs w:val="22"/>
        </w:rPr>
        <w:t xml:space="preserve"> legislative basis with regard to gender and climate change. </w:t>
      </w:r>
      <w:r>
        <w:rPr>
          <w:rFonts w:ascii="Century Gothic" w:eastAsia="Cambria" w:hAnsi="Century Gothic" w:cs="Times New Roman"/>
          <w:sz w:val="22"/>
          <w:szCs w:val="22"/>
        </w:rPr>
        <w:t>The</w:t>
      </w:r>
      <w:r w:rsidRPr="00EB62B3">
        <w:rPr>
          <w:rFonts w:ascii="Century Gothic" w:eastAsia="Cambria" w:hAnsi="Century Gothic" w:cs="Times New Roman"/>
          <w:sz w:val="22"/>
          <w:szCs w:val="22"/>
        </w:rPr>
        <w:t xml:space="preserve"> Law on Gender Equality (2007) and National Strategy on Gender Equality (2011-2020) oblige all sectors and Ministries to mainstream gender</w:t>
      </w:r>
      <w:r>
        <w:rPr>
          <w:rFonts w:ascii="Century Gothic" w:eastAsia="Cambria" w:hAnsi="Century Gothic" w:cs="Times New Roman"/>
          <w:sz w:val="22"/>
          <w:szCs w:val="22"/>
        </w:rPr>
        <w:t xml:space="preserve"> and develop </w:t>
      </w:r>
      <w:r w:rsidRPr="00EB62B3">
        <w:rPr>
          <w:rFonts w:ascii="Century Gothic" w:eastAsia="Cambria" w:hAnsi="Century Gothic" w:cs="Times New Roman"/>
          <w:sz w:val="22"/>
          <w:szCs w:val="22"/>
        </w:rPr>
        <w:t xml:space="preserve">Action Plans </w:t>
      </w:r>
      <w:r w:rsidR="00734A2E">
        <w:rPr>
          <w:rFonts w:ascii="Century Gothic" w:eastAsia="Cambria" w:hAnsi="Century Gothic" w:cs="Times New Roman"/>
          <w:sz w:val="22"/>
          <w:szCs w:val="22"/>
        </w:rPr>
        <w:t>for</w:t>
      </w:r>
      <w:r w:rsidRPr="00EB62B3">
        <w:rPr>
          <w:rFonts w:ascii="Century Gothic" w:eastAsia="Cambria" w:hAnsi="Century Gothic" w:cs="Times New Roman"/>
          <w:sz w:val="22"/>
          <w:szCs w:val="22"/>
        </w:rPr>
        <w:t xml:space="preserve"> gender equality</w:t>
      </w:r>
      <w:r>
        <w:rPr>
          <w:rFonts w:ascii="Century Gothic" w:eastAsia="Cambria" w:hAnsi="Century Gothic" w:cs="Times New Roman"/>
          <w:sz w:val="22"/>
          <w:szCs w:val="22"/>
        </w:rPr>
        <w:t xml:space="preserve">. </w:t>
      </w:r>
      <w:r w:rsidRPr="00EB62B3">
        <w:rPr>
          <w:rFonts w:ascii="Century Gothic" w:hAnsi="Century Gothic"/>
          <w:sz w:val="22"/>
        </w:rPr>
        <w:t>The NPT</w:t>
      </w:r>
      <w:r>
        <w:rPr>
          <w:rFonts w:ascii="Century Gothic" w:hAnsi="Century Gothic"/>
          <w:sz w:val="22"/>
        </w:rPr>
        <w:t>-</w:t>
      </w:r>
      <w:r w:rsidRPr="00EB62B3">
        <w:rPr>
          <w:rFonts w:ascii="Century Gothic" w:hAnsi="Century Gothic"/>
          <w:sz w:val="22"/>
        </w:rPr>
        <w:t xml:space="preserve">RCC </w:t>
      </w:r>
      <w:r w:rsidRPr="00EB62B3">
        <w:rPr>
          <w:rFonts w:ascii="Century Gothic" w:eastAsia="Cambria" w:hAnsi="Century Gothic" w:cs="Times New Roman"/>
          <w:sz w:val="22"/>
          <w:szCs w:val="22"/>
        </w:rPr>
        <w:t xml:space="preserve">recognises </w:t>
      </w:r>
      <w:r>
        <w:rPr>
          <w:rFonts w:ascii="Century Gothic" w:eastAsia="Cambria" w:hAnsi="Century Gothic" w:cs="Times New Roman"/>
          <w:sz w:val="22"/>
          <w:szCs w:val="22"/>
        </w:rPr>
        <w:t>the</w:t>
      </w:r>
      <w:r w:rsidRPr="00EB62B3">
        <w:rPr>
          <w:rFonts w:ascii="Century Gothic" w:eastAsia="Cambria" w:hAnsi="Century Gothic" w:cs="Times New Roman"/>
          <w:sz w:val="22"/>
          <w:szCs w:val="22"/>
        </w:rPr>
        <w:t xml:space="preserve"> potential climate change impacts on women and underlines gender equality as a guiding principle. The National Strategy for Natural Disaster Prevention, R</w:t>
      </w:r>
      <w:r>
        <w:rPr>
          <w:rFonts w:ascii="Century Gothic" w:eastAsia="Cambria" w:hAnsi="Century Gothic" w:cs="Times New Roman"/>
          <w:sz w:val="22"/>
          <w:szCs w:val="22"/>
        </w:rPr>
        <w:t xml:space="preserve">esponse and Mitigation </w:t>
      </w:r>
      <w:r>
        <w:rPr>
          <w:rFonts w:ascii="Century Gothic" w:hAnsi="Century Gothic"/>
          <w:sz w:val="22"/>
          <w:szCs w:val="22"/>
        </w:rPr>
        <w:t>further highlights the</w:t>
      </w:r>
      <w:r>
        <w:rPr>
          <w:rFonts w:ascii="Century Gothic" w:eastAsia="Cambria" w:hAnsi="Century Gothic" w:cs="Times New Roman"/>
          <w:sz w:val="22"/>
          <w:szCs w:val="22"/>
        </w:rPr>
        <w:t xml:space="preserve"> </w:t>
      </w:r>
      <w:r w:rsidRPr="00EB62B3">
        <w:rPr>
          <w:rFonts w:ascii="Century Gothic" w:eastAsia="Cambria" w:hAnsi="Century Gothic" w:cs="Times New Roman"/>
          <w:sz w:val="22"/>
          <w:szCs w:val="22"/>
        </w:rPr>
        <w:t>negative impacts</w:t>
      </w:r>
      <w:r>
        <w:rPr>
          <w:rFonts w:ascii="Century Gothic" w:eastAsia="Cambria" w:hAnsi="Century Gothic" w:cs="Times New Roman"/>
          <w:sz w:val="22"/>
          <w:szCs w:val="22"/>
        </w:rPr>
        <w:t xml:space="preserve"> of disasters</w:t>
      </w:r>
      <w:r w:rsidRPr="00EB62B3">
        <w:rPr>
          <w:rFonts w:ascii="Century Gothic" w:eastAsia="Cambria" w:hAnsi="Century Gothic" w:cs="Times New Roman"/>
          <w:sz w:val="22"/>
          <w:szCs w:val="22"/>
        </w:rPr>
        <w:t xml:space="preserve"> on vulnerable groups such as the old, disabled people, women and children</w:t>
      </w:r>
      <w:r>
        <w:rPr>
          <w:rStyle w:val="FootnoteReference"/>
          <w:rFonts w:ascii="Century Gothic" w:eastAsia="Cambria" w:hAnsi="Century Gothic" w:cs="Times New Roman"/>
          <w:sz w:val="22"/>
          <w:szCs w:val="22"/>
        </w:rPr>
        <w:footnoteReference w:id="13"/>
      </w:r>
      <w:r>
        <w:rPr>
          <w:rFonts w:ascii="Century Gothic" w:eastAsia="Cambria" w:hAnsi="Century Gothic" w:cs="Times New Roman"/>
          <w:sz w:val="22"/>
          <w:szCs w:val="22"/>
        </w:rPr>
        <w:t>”. As such, the extent to which interventions are able to support gendered analysis and action on the effects of climate change upon women and indeed all segments of Vietnamese society is fundamental in supporting the GoVs action on climate change.</w:t>
      </w:r>
    </w:p>
    <w:p w:rsidR="000B1D99" w:rsidRPr="00CC631B" w:rsidRDefault="000B1D99" w:rsidP="000B1D99">
      <w:pPr>
        <w:pStyle w:val="Heading3"/>
      </w:pPr>
      <w:bookmarkStart w:id="15" w:name="_Toc258243162"/>
      <w:bookmarkStart w:id="16" w:name="_Toc259808024"/>
      <w:bookmarkStart w:id="17" w:name="_Toc266010021"/>
      <w:r>
        <w:t>2.2a</w:t>
      </w:r>
      <w:r w:rsidRPr="00E278D0">
        <w:t xml:space="preserve"> </w:t>
      </w:r>
      <w:r>
        <w:t>DFAT Australian Aid</w:t>
      </w:r>
      <w:bookmarkEnd w:id="15"/>
      <w:bookmarkEnd w:id="16"/>
      <w:bookmarkEnd w:id="17"/>
      <w:r>
        <w:t xml:space="preserve"> </w:t>
      </w:r>
    </w:p>
    <w:p w:rsidR="000B1D99" w:rsidRPr="00CE10FA" w:rsidRDefault="000B1D99" w:rsidP="000B1D99">
      <w:pPr>
        <w:jc w:val="both"/>
        <w:rPr>
          <w:rFonts w:ascii="Century Gothic" w:hAnsi="Century Gothic" w:cs="Century Gothic"/>
          <w:iCs/>
          <w:sz w:val="22"/>
          <w:szCs w:val="30"/>
        </w:rPr>
      </w:pPr>
      <w:r w:rsidRPr="0034250E">
        <w:rPr>
          <w:rFonts w:ascii="Century Gothic" w:hAnsi="Century Gothic" w:cs="Century Gothic"/>
          <w:iCs/>
          <w:sz w:val="22"/>
          <w:szCs w:val="30"/>
        </w:rPr>
        <w:t xml:space="preserve">The Australian Government has committed to play its part in the global response to </w:t>
      </w:r>
      <w:r>
        <w:rPr>
          <w:rFonts w:ascii="Century Gothic" w:hAnsi="Century Gothic" w:cs="Century Gothic"/>
          <w:iCs/>
          <w:sz w:val="22"/>
          <w:szCs w:val="30"/>
        </w:rPr>
        <w:t xml:space="preserve">climate change. This work is being progressed through the ‘building resilience’ priority of its new aid policy which states that Australia will </w:t>
      </w:r>
      <w:r w:rsidRPr="008F313F">
        <w:t xml:space="preserve"> </w:t>
      </w:r>
      <w:r w:rsidRPr="008F313F">
        <w:rPr>
          <w:rFonts w:ascii="Century Gothic" w:hAnsi="Century Gothic"/>
          <w:sz w:val="22"/>
        </w:rPr>
        <w:t>“work with countries in the region to build resilience to climate-related shocks and manage the impacts of climate change</w:t>
      </w:r>
      <w:r>
        <w:rPr>
          <w:rStyle w:val="FootnoteReference"/>
          <w:rFonts w:ascii="Century Gothic" w:hAnsi="Century Gothic"/>
          <w:sz w:val="22"/>
        </w:rPr>
        <w:footnoteReference w:id="14"/>
      </w:r>
      <w:r>
        <w:rPr>
          <w:rFonts w:ascii="Century Gothic" w:hAnsi="Century Gothic"/>
          <w:sz w:val="22"/>
        </w:rPr>
        <w:t>”</w:t>
      </w:r>
      <w:r w:rsidRPr="008F313F">
        <w:rPr>
          <w:rFonts w:ascii="Century Gothic" w:hAnsi="Century Gothic"/>
          <w:sz w:val="22"/>
        </w:rPr>
        <w:t xml:space="preserve"> </w:t>
      </w:r>
    </w:p>
    <w:p w:rsidR="000B1D99" w:rsidRPr="00250207" w:rsidRDefault="000B1D99" w:rsidP="000B1D99">
      <w:pPr>
        <w:ind w:left="567" w:right="701"/>
        <w:jc w:val="both"/>
        <w:rPr>
          <w:rFonts w:ascii="Century Gothic" w:hAnsi="Century Gothic" w:cs="Century Gothic"/>
          <w:i/>
          <w:iCs/>
          <w:color w:val="FF0000"/>
          <w:sz w:val="22"/>
          <w:szCs w:val="30"/>
        </w:rPr>
      </w:pPr>
    </w:p>
    <w:p w:rsidR="000B1D99" w:rsidRDefault="000B1D99" w:rsidP="000B1D99">
      <w:pPr>
        <w:jc w:val="both"/>
        <w:rPr>
          <w:rFonts w:ascii="Century Gothic" w:hAnsi="Century Gothic" w:cs="Arial"/>
          <w:sz w:val="22"/>
          <w:lang w:val="en-GB"/>
        </w:rPr>
      </w:pPr>
      <w:r w:rsidRPr="0015321E">
        <w:rPr>
          <w:rFonts w:ascii="Century Gothic" w:hAnsi="Century Gothic" w:cs="Arial"/>
          <w:sz w:val="22"/>
          <w:lang w:val="en-GB"/>
        </w:rPr>
        <w:t>Climate change is a key focus of Australia’s develo</w:t>
      </w:r>
      <w:r>
        <w:rPr>
          <w:rFonts w:ascii="Century Gothic" w:hAnsi="Century Gothic" w:cs="Arial"/>
          <w:sz w:val="22"/>
          <w:lang w:val="en-GB"/>
        </w:rPr>
        <w:t xml:space="preserve">pment cooperation with Vietnam </w:t>
      </w:r>
      <w:r w:rsidRPr="0015321E">
        <w:rPr>
          <w:rFonts w:ascii="Century Gothic" w:hAnsi="Century Gothic" w:cs="Arial"/>
          <w:sz w:val="22"/>
          <w:lang w:val="en-GB"/>
        </w:rPr>
        <w:t xml:space="preserve">identified by both countries as a priority under the Environmental Sustainability pillar of the </w:t>
      </w:r>
      <w:r w:rsidRPr="0015321E">
        <w:rPr>
          <w:rFonts w:ascii="Century Gothic" w:hAnsi="Century Gothic" w:cs="Arial"/>
          <w:i/>
          <w:sz w:val="22"/>
          <w:lang w:val="en-GB"/>
        </w:rPr>
        <w:t>Vietnam – Australia Joint Aid Program Strategy 2010-15.</w:t>
      </w:r>
      <w:r w:rsidRPr="0015321E">
        <w:rPr>
          <w:rFonts w:ascii="Century Gothic" w:hAnsi="Century Gothic" w:cs="Arial"/>
          <w:sz w:val="22"/>
          <w:lang w:val="en-GB"/>
        </w:rPr>
        <w:t xml:space="preserve"> </w:t>
      </w:r>
      <w:r>
        <w:rPr>
          <w:rFonts w:ascii="Century Gothic" w:hAnsi="Century Gothic" w:cs="Arial"/>
          <w:sz w:val="22"/>
          <w:lang w:val="en-GB"/>
        </w:rPr>
        <w:t xml:space="preserve">DFAT </w:t>
      </w:r>
      <w:r w:rsidRPr="0015321E">
        <w:rPr>
          <w:rFonts w:ascii="Century Gothic" w:hAnsi="Century Gothic" w:cs="Arial"/>
          <w:sz w:val="22"/>
          <w:lang w:val="en-GB"/>
        </w:rPr>
        <w:t>has developed a delivery strategy to guide Austra</w:t>
      </w:r>
      <w:r>
        <w:rPr>
          <w:rFonts w:ascii="Century Gothic" w:hAnsi="Century Gothic" w:cs="Arial"/>
          <w:sz w:val="22"/>
          <w:lang w:val="en-GB"/>
        </w:rPr>
        <w:t>lia’s climate change assistance to Vietnam. B</w:t>
      </w:r>
      <w:r w:rsidRPr="0015321E">
        <w:rPr>
          <w:rFonts w:ascii="Century Gothic" w:hAnsi="Century Gothic" w:cs="Arial"/>
          <w:sz w:val="22"/>
          <w:lang w:val="en-GB"/>
        </w:rPr>
        <w:t xml:space="preserve">road </w:t>
      </w:r>
      <w:r>
        <w:rPr>
          <w:rFonts w:ascii="Century Gothic" w:hAnsi="Century Gothic" w:cs="Arial"/>
          <w:sz w:val="22"/>
          <w:lang w:val="en-GB"/>
        </w:rPr>
        <w:t xml:space="preserve">stakeholder </w:t>
      </w:r>
      <w:r w:rsidRPr="0015321E">
        <w:rPr>
          <w:rFonts w:ascii="Century Gothic" w:hAnsi="Century Gothic" w:cs="Arial"/>
          <w:sz w:val="22"/>
          <w:lang w:val="en-GB"/>
        </w:rPr>
        <w:t xml:space="preserve">consultation </w:t>
      </w:r>
      <w:r>
        <w:rPr>
          <w:rFonts w:ascii="Century Gothic" w:hAnsi="Century Gothic" w:cs="Arial"/>
          <w:sz w:val="22"/>
          <w:lang w:val="en-GB"/>
        </w:rPr>
        <w:t xml:space="preserve">including with Vietnamese civil society and international NGOs active in </w:t>
      </w:r>
      <w:r w:rsidRPr="0015321E">
        <w:rPr>
          <w:rFonts w:ascii="Century Gothic" w:hAnsi="Century Gothic" w:cs="Arial"/>
          <w:sz w:val="22"/>
          <w:lang w:val="en-GB"/>
        </w:rPr>
        <w:t xml:space="preserve">climate change emphasised the need for community-level engagement to build community resilience and </w:t>
      </w:r>
      <w:r>
        <w:rPr>
          <w:rFonts w:ascii="Century Gothic" w:hAnsi="Century Gothic" w:cs="Arial"/>
          <w:sz w:val="22"/>
          <w:lang w:val="en-GB"/>
        </w:rPr>
        <w:t>reinforce and inform national and sub national policies.</w:t>
      </w:r>
    </w:p>
    <w:p w:rsidR="000B1D99" w:rsidRPr="0015321E" w:rsidRDefault="000B1D99" w:rsidP="000B1D99">
      <w:pPr>
        <w:jc w:val="both"/>
        <w:rPr>
          <w:rFonts w:ascii="Century Gothic" w:hAnsi="Century Gothic" w:cs="Arial"/>
          <w:sz w:val="22"/>
          <w:lang w:val="en-GB"/>
        </w:rPr>
      </w:pPr>
    </w:p>
    <w:p w:rsidR="000B1D99" w:rsidRDefault="000B1D99" w:rsidP="000B1D99">
      <w:pPr>
        <w:jc w:val="both"/>
        <w:rPr>
          <w:rFonts w:ascii="Century Gothic" w:hAnsi="Century Gothic" w:cs="Arial"/>
          <w:sz w:val="22"/>
          <w:lang w:val="en-GB"/>
        </w:rPr>
      </w:pPr>
      <w:r>
        <w:rPr>
          <w:rFonts w:ascii="Century Gothic" w:hAnsi="Century Gothic" w:cs="Arial"/>
          <w:sz w:val="22"/>
          <w:lang w:val="en-GB"/>
        </w:rPr>
        <w:lastRenderedPageBreak/>
        <w:t xml:space="preserve">Support for </w:t>
      </w:r>
      <w:r w:rsidRPr="0015321E">
        <w:rPr>
          <w:rFonts w:ascii="Century Gothic" w:hAnsi="Century Gothic" w:cs="Arial"/>
          <w:sz w:val="22"/>
          <w:lang w:val="en-GB"/>
        </w:rPr>
        <w:t xml:space="preserve">NGO </w:t>
      </w:r>
      <w:r>
        <w:rPr>
          <w:rFonts w:ascii="Century Gothic" w:hAnsi="Century Gothic" w:cs="Arial"/>
          <w:sz w:val="22"/>
          <w:lang w:val="en-GB"/>
        </w:rPr>
        <w:t>engagement</w:t>
      </w:r>
      <w:r w:rsidRPr="0015321E">
        <w:rPr>
          <w:rFonts w:ascii="Century Gothic" w:hAnsi="Century Gothic" w:cs="Arial"/>
          <w:sz w:val="22"/>
          <w:lang w:val="en-GB"/>
        </w:rPr>
        <w:t xml:space="preserve"> </w:t>
      </w:r>
      <w:r>
        <w:rPr>
          <w:rFonts w:ascii="Century Gothic" w:hAnsi="Century Gothic" w:cs="Arial"/>
          <w:sz w:val="22"/>
          <w:lang w:val="en-GB"/>
        </w:rPr>
        <w:t>on</w:t>
      </w:r>
      <w:r w:rsidRPr="0015321E">
        <w:rPr>
          <w:rFonts w:ascii="Century Gothic" w:hAnsi="Century Gothic" w:cs="Arial"/>
          <w:sz w:val="22"/>
          <w:lang w:val="en-GB"/>
        </w:rPr>
        <w:t xml:space="preserve"> climate change builds on </w:t>
      </w:r>
      <w:r>
        <w:rPr>
          <w:rFonts w:ascii="Century Gothic" w:hAnsi="Century Gothic" w:cs="Arial"/>
          <w:sz w:val="22"/>
          <w:lang w:val="en-GB"/>
        </w:rPr>
        <w:t xml:space="preserve">DFAT’s </w:t>
      </w:r>
      <w:r w:rsidRPr="0015321E">
        <w:rPr>
          <w:rFonts w:ascii="Century Gothic" w:hAnsi="Century Gothic" w:cs="Arial"/>
          <w:sz w:val="22"/>
          <w:lang w:val="en-GB"/>
        </w:rPr>
        <w:t>experience under Vietnam-Australia NGO Co</w:t>
      </w:r>
      <w:r>
        <w:rPr>
          <w:rFonts w:ascii="Century Gothic" w:hAnsi="Century Gothic" w:cs="Arial"/>
          <w:sz w:val="22"/>
          <w:lang w:val="en-GB"/>
        </w:rPr>
        <w:t xml:space="preserve">operation Assistance (VANGOCA) </w:t>
      </w:r>
      <w:r w:rsidRPr="0015321E">
        <w:rPr>
          <w:rFonts w:ascii="Century Gothic" w:hAnsi="Century Gothic" w:cs="Arial"/>
          <w:sz w:val="22"/>
          <w:lang w:val="en-GB"/>
        </w:rPr>
        <w:t xml:space="preserve">where </w:t>
      </w:r>
      <w:r>
        <w:rPr>
          <w:rFonts w:ascii="Century Gothic" w:hAnsi="Century Gothic" w:cs="Arial"/>
          <w:sz w:val="22"/>
          <w:lang w:val="en-GB"/>
        </w:rPr>
        <w:t>it partnered with</w:t>
      </w:r>
      <w:r w:rsidRPr="0015321E">
        <w:rPr>
          <w:rFonts w:ascii="Century Gothic" w:hAnsi="Century Gothic" w:cs="Arial"/>
          <w:sz w:val="22"/>
          <w:lang w:val="en-GB"/>
        </w:rPr>
        <w:t xml:space="preserve"> NGOs to develop Community Based Disaster Risk Management (C</w:t>
      </w:r>
      <w:r>
        <w:rPr>
          <w:rFonts w:ascii="Century Gothic" w:hAnsi="Century Gothic" w:cs="Arial"/>
          <w:sz w:val="22"/>
          <w:lang w:val="en-GB"/>
        </w:rPr>
        <w:t>BDRM) approaches. CCCAG</w:t>
      </w:r>
      <w:r w:rsidRPr="0015321E">
        <w:rPr>
          <w:rFonts w:ascii="Century Gothic" w:hAnsi="Century Gothic" w:cs="Arial"/>
          <w:sz w:val="22"/>
          <w:lang w:val="en-GB"/>
        </w:rPr>
        <w:t xml:space="preserve"> expand</w:t>
      </w:r>
      <w:r>
        <w:rPr>
          <w:rFonts w:ascii="Century Gothic" w:hAnsi="Century Gothic" w:cs="Arial"/>
          <w:sz w:val="22"/>
          <w:lang w:val="en-GB"/>
        </w:rPr>
        <w:t>s</w:t>
      </w:r>
      <w:r w:rsidRPr="0015321E">
        <w:rPr>
          <w:rFonts w:ascii="Century Gothic" w:hAnsi="Century Gothic" w:cs="Arial"/>
          <w:sz w:val="22"/>
          <w:lang w:val="en-GB"/>
        </w:rPr>
        <w:t xml:space="preserve"> on this approach by looking beyond the immediate risk of natural disasters to consider the broader impacts of climate change on people’s livelihoods.</w:t>
      </w:r>
    </w:p>
    <w:p w:rsidR="000B1D99" w:rsidRPr="00FB235D" w:rsidRDefault="000B1D99" w:rsidP="000B1D99">
      <w:pPr>
        <w:pStyle w:val="Heading3"/>
        <w:rPr>
          <w:color w:val="C0504D" w:themeColor="accent2"/>
        </w:rPr>
      </w:pPr>
      <w:bookmarkStart w:id="18" w:name="_Toc266010022"/>
      <w:bookmarkStart w:id="19" w:name="_Toc258243164"/>
      <w:bookmarkStart w:id="20" w:name="_Toc259808025"/>
      <w:r>
        <w:t>2.3. The Australian Mekong Engagement Platform</w:t>
      </w:r>
      <w:bookmarkEnd w:id="18"/>
      <w:r>
        <w:t xml:space="preserve"> </w:t>
      </w:r>
      <w:bookmarkEnd w:id="19"/>
      <w:bookmarkEnd w:id="20"/>
    </w:p>
    <w:p w:rsidR="00C01FF0" w:rsidRDefault="000B1D99" w:rsidP="000B1D99">
      <w:pPr>
        <w:jc w:val="both"/>
        <w:rPr>
          <w:rFonts w:ascii="Century Gothic" w:hAnsi="Century Gothic" w:cs="Arial"/>
          <w:sz w:val="22"/>
        </w:rPr>
      </w:pPr>
      <w:r w:rsidRPr="00015E37">
        <w:rPr>
          <w:rFonts w:ascii="Century Gothic" w:hAnsi="Century Gothic" w:cs="Arial"/>
          <w:sz w:val="22"/>
        </w:rPr>
        <w:t xml:space="preserve">The Australia-Mekong NGO Engagement Platform (AMNEP) </w:t>
      </w:r>
      <w:r>
        <w:rPr>
          <w:rFonts w:ascii="Century Gothic" w:hAnsi="Century Gothic" w:cs="Arial"/>
          <w:sz w:val="22"/>
        </w:rPr>
        <w:t xml:space="preserve">is a DFAT initiative that </w:t>
      </w:r>
      <w:r w:rsidRPr="00015E37">
        <w:rPr>
          <w:rFonts w:ascii="Century Gothic" w:hAnsi="Century Gothic" w:cs="Arial"/>
          <w:sz w:val="22"/>
        </w:rPr>
        <w:t xml:space="preserve">supports DFAT and NGOs to deliver effective </w:t>
      </w:r>
      <w:r>
        <w:rPr>
          <w:rFonts w:ascii="Century Gothic" w:hAnsi="Century Gothic" w:cs="Arial"/>
          <w:sz w:val="22"/>
        </w:rPr>
        <w:t>aid</w:t>
      </w:r>
      <w:r w:rsidRPr="00015E37">
        <w:rPr>
          <w:rFonts w:ascii="Century Gothic" w:hAnsi="Century Gothic" w:cs="Arial"/>
          <w:sz w:val="22"/>
        </w:rPr>
        <w:t xml:space="preserve"> </w:t>
      </w:r>
      <w:r>
        <w:rPr>
          <w:rFonts w:ascii="Century Gothic" w:hAnsi="Century Gothic" w:cs="Arial"/>
          <w:sz w:val="22"/>
        </w:rPr>
        <w:t>by</w:t>
      </w:r>
      <w:r w:rsidRPr="00015E37">
        <w:rPr>
          <w:rFonts w:ascii="Century Gothic" w:hAnsi="Century Gothic" w:cs="Arial"/>
          <w:sz w:val="22"/>
        </w:rPr>
        <w:t xml:space="preserve"> </w:t>
      </w:r>
      <w:r>
        <w:rPr>
          <w:rFonts w:ascii="Century Gothic" w:hAnsi="Century Gothic" w:cs="Arial"/>
          <w:sz w:val="22"/>
        </w:rPr>
        <w:t>providing</w:t>
      </w:r>
      <w:r w:rsidRPr="00015E37">
        <w:rPr>
          <w:rFonts w:ascii="Century Gothic" w:hAnsi="Century Gothic" w:cs="Arial"/>
          <w:sz w:val="22"/>
        </w:rPr>
        <w:t xml:space="preserve"> high-quality technical expertise, resources for better monitoring, evaluation and risk management </w:t>
      </w:r>
      <w:r>
        <w:rPr>
          <w:rFonts w:ascii="Century Gothic" w:hAnsi="Century Gothic" w:cs="Arial"/>
          <w:sz w:val="22"/>
        </w:rPr>
        <w:t xml:space="preserve">and </w:t>
      </w:r>
      <w:r w:rsidRPr="00015E37">
        <w:rPr>
          <w:rFonts w:ascii="Century Gothic" w:hAnsi="Century Gothic" w:cs="Arial"/>
          <w:sz w:val="22"/>
        </w:rPr>
        <w:t xml:space="preserve">access to policy dialogue and learning </w:t>
      </w:r>
      <w:r>
        <w:rPr>
          <w:rFonts w:ascii="Century Gothic" w:hAnsi="Century Gothic" w:cs="Arial"/>
          <w:sz w:val="22"/>
        </w:rPr>
        <w:t xml:space="preserve">events </w:t>
      </w:r>
      <w:r w:rsidRPr="00015E37">
        <w:rPr>
          <w:rFonts w:ascii="Century Gothic" w:hAnsi="Century Gothic" w:cs="Arial"/>
          <w:sz w:val="22"/>
        </w:rPr>
        <w:t xml:space="preserve">to NGO partnership programs. </w:t>
      </w:r>
    </w:p>
    <w:p w:rsidR="00C01FF0" w:rsidRDefault="00C01FF0" w:rsidP="000B1D99">
      <w:pPr>
        <w:jc w:val="both"/>
        <w:rPr>
          <w:rFonts w:ascii="Century Gothic" w:hAnsi="Century Gothic" w:cs="Arial"/>
          <w:sz w:val="22"/>
        </w:rPr>
      </w:pPr>
    </w:p>
    <w:p w:rsidR="000B1D99" w:rsidRPr="007B514D" w:rsidRDefault="000B1D99" w:rsidP="000B1D99">
      <w:pPr>
        <w:jc w:val="both"/>
        <w:rPr>
          <w:rFonts w:ascii="Century Gothic" w:hAnsi="Century Gothic" w:cs="Arial"/>
          <w:sz w:val="22"/>
        </w:rPr>
      </w:pPr>
      <w:r>
        <w:rPr>
          <w:rFonts w:ascii="Century Gothic" w:hAnsi="Century Gothic" w:cs="Arial"/>
          <w:sz w:val="22"/>
        </w:rPr>
        <w:t xml:space="preserve">AMNEP has </w:t>
      </w:r>
      <w:r w:rsidR="00C01FF0">
        <w:rPr>
          <w:rFonts w:ascii="Century Gothic" w:hAnsi="Century Gothic" w:cs="Arial"/>
          <w:sz w:val="22"/>
        </w:rPr>
        <w:t xml:space="preserve">provided </w:t>
      </w:r>
      <w:r w:rsidR="003377A4">
        <w:rPr>
          <w:rFonts w:ascii="Century Gothic" w:hAnsi="Century Gothic" w:cs="Arial"/>
          <w:sz w:val="22"/>
        </w:rPr>
        <w:t xml:space="preserve">a range of supports </w:t>
      </w:r>
      <w:r w:rsidR="00C01FF0">
        <w:rPr>
          <w:rFonts w:ascii="Century Gothic" w:hAnsi="Century Gothic" w:cs="Arial"/>
          <w:sz w:val="22"/>
        </w:rPr>
        <w:t>to both DFAT and NGOs as they work together to</w:t>
      </w:r>
      <w:r>
        <w:rPr>
          <w:rFonts w:ascii="Century Gothic" w:hAnsi="Century Gothic" w:cs="Arial"/>
          <w:sz w:val="22"/>
        </w:rPr>
        <w:t xml:space="preserve"> build an effective partnership for climate change in Vietnam. </w:t>
      </w:r>
    </w:p>
    <w:p w:rsidR="000B1D99" w:rsidRDefault="000B1D99" w:rsidP="000B1D99">
      <w:pPr>
        <w:pStyle w:val="Heading2"/>
      </w:pPr>
      <w:bookmarkStart w:id="21" w:name="_Toc266010023"/>
      <w:r>
        <w:t>3. The Review</w:t>
      </w:r>
      <w:bookmarkEnd w:id="21"/>
      <w:r>
        <w:t xml:space="preserve"> </w:t>
      </w:r>
    </w:p>
    <w:p w:rsidR="000B1D99" w:rsidRDefault="000B1D99" w:rsidP="000B1D99">
      <w:pPr>
        <w:pStyle w:val="Heading3"/>
      </w:pPr>
      <w:bookmarkStart w:id="22" w:name="_Toc266010024"/>
      <w:r>
        <w:t>3.1 Scope and Objectives</w:t>
      </w:r>
      <w:bookmarkEnd w:id="22"/>
      <w:r>
        <w:t xml:space="preserve"> </w:t>
      </w:r>
    </w:p>
    <w:p w:rsidR="000B1D99" w:rsidRPr="00453703" w:rsidRDefault="000B1D99" w:rsidP="000B1D99">
      <w:pPr>
        <w:jc w:val="both"/>
        <w:rPr>
          <w:rFonts w:ascii="Century Gothic" w:hAnsi="Century Gothic" w:cs="Arial"/>
          <w:sz w:val="22"/>
        </w:rPr>
      </w:pPr>
      <w:r w:rsidRPr="00453703">
        <w:rPr>
          <w:rFonts w:ascii="Century Gothic" w:hAnsi="Century Gothic" w:cs="Arial"/>
          <w:sz w:val="22"/>
        </w:rPr>
        <w:t xml:space="preserve">DFAT has commissioned </w:t>
      </w:r>
      <w:r>
        <w:rPr>
          <w:rFonts w:ascii="Century Gothic" w:hAnsi="Century Gothic" w:cs="Arial"/>
          <w:sz w:val="22"/>
        </w:rPr>
        <w:t>an</w:t>
      </w:r>
      <w:r w:rsidRPr="00453703">
        <w:rPr>
          <w:rFonts w:ascii="Century Gothic" w:hAnsi="Century Gothic" w:cs="Arial"/>
          <w:sz w:val="22"/>
        </w:rPr>
        <w:t xml:space="preserve"> </w:t>
      </w:r>
      <w:r>
        <w:rPr>
          <w:rFonts w:ascii="Century Gothic" w:hAnsi="Century Gothic" w:cs="Arial"/>
          <w:sz w:val="22"/>
        </w:rPr>
        <w:t xml:space="preserve">Independent </w:t>
      </w:r>
      <w:r w:rsidRPr="00453703">
        <w:rPr>
          <w:rFonts w:ascii="Century Gothic" w:hAnsi="Century Gothic" w:cs="Arial"/>
          <w:sz w:val="22"/>
        </w:rPr>
        <w:t>Progress Review</w:t>
      </w:r>
      <w:r>
        <w:rPr>
          <w:rFonts w:ascii="Century Gothic" w:hAnsi="Century Gothic" w:cs="Arial"/>
          <w:sz w:val="22"/>
        </w:rPr>
        <w:t xml:space="preserve"> </w:t>
      </w:r>
      <w:r w:rsidRPr="00453703">
        <w:rPr>
          <w:rFonts w:ascii="Century Gothic" w:hAnsi="Century Gothic" w:cs="Arial"/>
          <w:sz w:val="22"/>
        </w:rPr>
        <w:t>to</w:t>
      </w:r>
      <w:r>
        <w:rPr>
          <w:rFonts w:ascii="Century Gothic" w:hAnsi="Century Gothic" w:cs="Arial"/>
          <w:sz w:val="22"/>
        </w:rPr>
        <w:t>:</w:t>
      </w:r>
      <w:r w:rsidRPr="00453703">
        <w:rPr>
          <w:rFonts w:ascii="Century Gothic" w:hAnsi="Century Gothic" w:cs="Arial"/>
          <w:sz w:val="22"/>
        </w:rPr>
        <w:t xml:space="preserve"> </w:t>
      </w:r>
    </w:p>
    <w:p w:rsidR="000B1D99" w:rsidRPr="00453703" w:rsidRDefault="000B1D99" w:rsidP="000B1D99">
      <w:pPr>
        <w:jc w:val="both"/>
        <w:rPr>
          <w:rFonts w:ascii="Century Gothic" w:hAnsi="Century Gothic" w:cs="Arial"/>
          <w:sz w:val="22"/>
        </w:rPr>
      </w:pPr>
    </w:p>
    <w:p w:rsidR="000B1D99" w:rsidRDefault="000B1D99" w:rsidP="000B1D99">
      <w:pPr>
        <w:pStyle w:val="ListParagraph"/>
        <w:numPr>
          <w:ilvl w:val="0"/>
          <w:numId w:val="25"/>
        </w:numPr>
        <w:jc w:val="both"/>
        <w:rPr>
          <w:rFonts w:ascii="Century Gothic" w:hAnsi="Century Gothic" w:cs="Arial"/>
          <w:sz w:val="22"/>
          <w:szCs w:val="22"/>
        </w:rPr>
      </w:pPr>
      <w:r w:rsidRPr="00453703">
        <w:rPr>
          <w:rFonts w:ascii="Century Gothic" w:hAnsi="Century Gothic" w:cs="Arial"/>
          <w:sz w:val="22"/>
          <w:szCs w:val="22"/>
        </w:rPr>
        <w:t>Assess the performance of the Vietnam CCCAG partnership and projects in order to make any necessary adjustments to maximise the benefit of the partnership/ projects</w:t>
      </w:r>
      <w:r>
        <w:rPr>
          <w:rFonts w:ascii="Century Gothic" w:hAnsi="Century Gothic" w:cs="Arial"/>
          <w:sz w:val="22"/>
          <w:szCs w:val="22"/>
        </w:rPr>
        <w:t>;</w:t>
      </w:r>
      <w:r w:rsidRPr="00453703">
        <w:rPr>
          <w:rFonts w:ascii="Century Gothic" w:hAnsi="Century Gothic" w:cs="Arial"/>
          <w:sz w:val="22"/>
          <w:szCs w:val="22"/>
        </w:rPr>
        <w:t xml:space="preserve"> </w:t>
      </w:r>
    </w:p>
    <w:p w:rsidR="000B1D99" w:rsidRPr="00A425FD" w:rsidRDefault="000B1D99" w:rsidP="000B1D99">
      <w:pPr>
        <w:pStyle w:val="ListParagraph"/>
        <w:ind w:left="360"/>
        <w:jc w:val="both"/>
        <w:rPr>
          <w:rFonts w:ascii="Century Gothic" w:hAnsi="Century Gothic" w:cs="Arial"/>
          <w:sz w:val="22"/>
          <w:szCs w:val="22"/>
        </w:rPr>
      </w:pPr>
    </w:p>
    <w:p w:rsidR="000B1D99" w:rsidRDefault="000B1D99" w:rsidP="000B1D99">
      <w:pPr>
        <w:pStyle w:val="ListParagraph"/>
        <w:numPr>
          <w:ilvl w:val="0"/>
          <w:numId w:val="25"/>
        </w:numPr>
        <w:contextualSpacing w:val="0"/>
        <w:jc w:val="both"/>
        <w:rPr>
          <w:rFonts w:ascii="Century Gothic" w:hAnsi="Century Gothic" w:cs="Arial"/>
          <w:sz w:val="22"/>
          <w:szCs w:val="22"/>
        </w:rPr>
      </w:pPr>
      <w:r w:rsidRPr="00453703">
        <w:rPr>
          <w:rFonts w:ascii="Century Gothic" w:hAnsi="Century Gothic" w:cs="Arial"/>
          <w:sz w:val="22"/>
          <w:szCs w:val="22"/>
        </w:rPr>
        <w:t>Provide recommendations on how to strengthen NGO partnerships across proje</w:t>
      </w:r>
      <w:r>
        <w:rPr>
          <w:rFonts w:ascii="Century Gothic" w:hAnsi="Century Gothic" w:cs="Arial"/>
          <w:sz w:val="22"/>
          <w:szCs w:val="22"/>
        </w:rPr>
        <w:t>cts, drawing on AMNEP resources;</w:t>
      </w:r>
    </w:p>
    <w:p w:rsidR="000B1D99" w:rsidRPr="00FA49F7" w:rsidRDefault="000B1D99" w:rsidP="000B1D99">
      <w:pPr>
        <w:jc w:val="both"/>
        <w:rPr>
          <w:rFonts w:ascii="Century Gothic" w:hAnsi="Century Gothic" w:cs="Arial"/>
          <w:sz w:val="22"/>
          <w:szCs w:val="22"/>
        </w:rPr>
      </w:pPr>
    </w:p>
    <w:p w:rsidR="000B1D99" w:rsidRPr="000A75CA" w:rsidRDefault="000B1D99" w:rsidP="000B1D99">
      <w:pPr>
        <w:pStyle w:val="ListParagraph"/>
        <w:numPr>
          <w:ilvl w:val="0"/>
          <w:numId w:val="25"/>
        </w:numPr>
        <w:contextualSpacing w:val="0"/>
        <w:jc w:val="both"/>
        <w:rPr>
          <w:rFonts w:ascii="Century Gothic" w:hAnsi="Century Gothic" w:cs="Arial"/>
          <w:sz w:val="22"/>
          <w:szCs w:val="22"/>
        </w:rPr>
      </w:pPr>
      <w:r>
        <w:rPr>
          <w:rFonts w:ascii="Century Gothic" w:hAnsi="Century Gothic" w:cs="Arial"/>
          <w:sz w:val="22"/>
          <w:szCs w:val="22"/>
        </w:rPr>
        <w:t xml:space="preserve">Draw out key lessons which will </w:t>
      </w:r>
      <w:r w:rsidRPr="00FA49F7">
        <w:rPr>
          <w:rFonts w:ascii="Century Gothic" w:hAnsi="Century Gothic" w:cs="Arial"/>
          <w:sz w:val="22"/>
          <w:szCs w:val="22"/>
        </w:rPr>
        <w:t>inform DFAT thinking regarding the scope and priorities of any future funding to the sector beyond the life of the current program</w:t>
      </w:r>
      <w:r>
        <w:rPr>
          <w:rStyle w:val="FootnoteReference"/>
          <w:rFonts w:ascii="Century Gothic" w:hAnsi="Century Gothic" w:cs="Arial"/>
          <w:sz w:val="22"/>
          <w:szCs w:val="22"/>
        </w:rPr>
        <w:footnoteReference w:id="15"/>
      </w:r>
      <w:r>
        <w:rPr>
          <w:rFonts w:ascii="Century Gothic" w:hAnsi="Century Gothic" w:cs="Arial"/>
          <w:sz w:val="22"/>
          <w:szCs w:val="22"/>
        </w:rPr>
        <w:t>.</w:t>
      </w:r>
    </w:p>
    <w:p w:rsidR="000B1D99" w:rsidRPr="00567E91" w:rsidRDefault="000B1D99" w:rsidP="000B1D99">
      <w:pPr>
        <w:pStyle w:val="Heading3"/>
      </w:pPr>
      <w:bookmarkStart w:id="23" w:name="_Toc266010025"/>
      <w:r>
        <w:t>3.2. Key Questions</w:t>
      </w:r>
      <w:bookmarkEnd w:id="23"/>
      <w:r>
        <w:t xml:space="preserve"> </w:t>
      </w:r>
    </w:p>
    <w:p w:rsidR="000B1D99" w:rsidRDefault="000B1D99" w:rsidP="000B1D99">
      <w:pPr>
        <w:jc w:val="both"/>
        <w:rPr>
          <w:rFonts w:ascii="Century Gothic" w:hAnsi="Century Gothic"/>
          <w:sz w:val="22"/>
        </w:rPr>
      </w:pPr>
      <w:r>
        <w:rPr>
          <w:rFonts w:ascii="Century Gothic" w:hAnsi="Century Gothic"/>
          <w:sz w:val="22"/>
        </w:rPr>
        <w:t xml:space="preserve">The key evaluation questions </w:t>
      </w:r>
      <w:r w:rsidR="008A1BFC">
        <w:rPr>
          <w:rFonts w:ascii="Century Gothic" w:hAnsi="Century Gothic"/>
          <w:sz w:val="22"/>
        </w:rPr>
        <w:t>established in</w:t>
      </w:r>
      <w:r>
        <w:rPr>
          <w:rFonts w:ascii="Century Gothic" w:hAnsi="Century Gothic"/>
          <w:sz w:val="22"/>
        </w:rPr>
        <w:t xml:space="preserve"> the Terms of Reference (ToR) in Annex 1are:</w:t>
      </w:r>
    </w:p>
    <w:p w:rsidR="000B1D99" w:rsidRDefault="000B1D99" w:rsidP="000B1D99">
      <w:pPr>
        <w:jc w:val="both"/>
        <w:rPr>
          <w:rFonts w:ascii="Century Gothic" w:hAnsi="Century Gothic"/>
          <w:sz w:val="22"/>
        </w:rPr>
      </w:pPr>
    </w:p>
    <w:p w:rsidR="000B1D99" w:rsidRPr="009A327C" w:rsidRDefault="000B1D99" w:rsidP="000B1D99">
      <w:pPr>
        <w:pStyle w:val="ListParagraph"/>
        <w:numPr>
          <w:ilvl w:val="0"/>
          <w:numId w:val="18"/>
        </w:numPr>
        <w:spacing w:after="120" w:line="240" w:lineRule="atLeast"/>
        <w:contextualSpacing w:val="0"/>
        <w:jc w:val="both"/>
        <w:rPr>
          <w:rFonts w:ascii="Century Gothic" w:hAnsi="Century Gothic" w:cs="Arial"/>
          <w:sz w:val="22"/>
          <w:szCs w:val="22"/>
        </w:rPr>
      </w:pPr>
      <w:r w:rsidRPr="009A327C">
        <w:rPr>
          <w:rFonts w:ascii="Century Gothic" w:hAnsi="Century Gothic" w:cs="Arial"/>
          <w:sz w:val="22"/>
          <w:szCs w:val="22"/>
        </w:rPr>
        <w:t>To what extent are the Vietnam CCCAG program and projects likely to achieve their stated goal, objectives and outcomes? What are the positive/negative changes directly or indirectly by the project on the women and men in achieving project objectives and outcomes?</w:t>
      </w:r>
    </w:p>
    <w:p w:rsidR="000B1D99" w:rsidRPr="009A327C" w:rsidRDefault="000B1D99" w:rsidP="000B1D99">
      <w:pPr>
        <w:pStyle w:val="ListParagraph"/>
        <w:numPr>
          <w:ilvl w:val="0"/>
          <w:numId w:val="18"/>
        </w:numPr>
        <w:spacing w:after="120" w:line="240" w:lineRule="atLeast"/>
        <w:contextualSpacing w:val="0"/>
        <w:jc w:val="both"/>
        <w:rPr>
          <w:rFonts w:ascii="Century Gothic" w:hAnsi="Century Gothic" w:cs="Arial"/>
          <w:sz w:val="22"/>
          <w:szCs w:val="22"/>
        </w:rPr>
      </w:pPr>
      <w:r w:rsidRPr="009A327C">
        <w:rPr>
          <w:rFonts w:ascii="Century Gothic" w:hAnsi="Century Gothic" w:cs="Arial"/>
          <w:sz w:val="22"/>
          <w:szCs w:val="22"/>
        </w:rPr>
        <w:t>Do beneficiaries (communities, provincial government, etc) have sufficient ownership, capacity and resources required to achieve the intended results?</w:t>
      </w:r>
    </w:p>
    <w:p w:rsidR="000B1D99" w:rsidRPr="009A327C" w:rsidRDefault="000B1D99" w:rsidP="000B1D99">
      <w:pPr>
        <w:pStyle w:val="ListParagraph"/>
        <w:numPr>
          <w:ilvl w:val="0"/>
          <w:numId w:val="18"/>
        </w:numPr>
        <w:spacing w:after="120" w:line="240" w:lineRule="atLeast"/>
        <w:contextualSpacing w:val="0"/>
        <w:jc w:val="both"/>
        <w:rPr>
          <w:rFonts w:ascii="Century Gothic" w:hAnsi="Century Gothic" w:cs="Arial"/>
          <w:sz w:val="22"/>
          <w:szCs w:val="22"/>
        </w:rPr>
      </w:pPr>
      <w:r w:rsidRPr="009A327C">
        <w:rPr>
          <w:rFonts w:ascii="Century Gothic" w:hAnsi="Century Gothic" w:cs="Arial"/>
          <w:sz w:val="22"/>
          <w:szCs w:val="22"/>
        </w:rPr>
        <w:t>How successful are the CCCAGs in working together to share lessons and experience across projects and at the national level to allow the program to add up to more than the sum of its parts?</w:t>
      </w:r>
    </w:p>
    <w:p w:rsidR="000B1D99" w:rsidRPr="009A327C" w:rsidRDefault="000B1D99" w:rsidP="000B1D99">
      <w:pPr>
        <w:pStyle w:val="ListParagraph"/>
        <w:numPr>
          <w:ilvl w:val="0"/>
          <w:numId w:val="18"/>
        </w:numPr>
        <w:spacing w:after="120" w:line="240" w:lineRule="atLeast"/>
        <w:contextualSpacing w:val="0"/>
        <w:jc w:val="both"/>
        <w:rPr>
          <w:rFonts w:ascii="Century Gothic" w:hAnsi="Century Gothic" w:cs="Arial"/>
          <w:sz w:val="22"/>
          <w:szCs w:val="22"/>
        </w:rPr>
      </w:pPr>
      <w:r w:rsidRPr="009A327C">
        <w:rPr>
          <w:rFonts w:ascii="Century Gothic" w:hAnsi="Century Gothic" w:cs="Arial"/>
          <w:sz w:val="22"/>
          <w:szCs w:val="22"/>
        </w:rPr>
        <w:t xml:space="preserve">To what extent will the Vietnam CCCAG </w:t>
      </w:r>
      <w:r>
        <w:rPr>
          <w:rFonts w:ascii="Century Gothic" w:hAnsi="Century Gothic" w:cs="Arial"/>
          <w:sz w:val="22"/>
          <w:szCs w:val="22"/>
        </w:rPr>
        <w:t>p</w:t>
      </w:r>
      <w:r w:rsidRPr="009A327C">
        <w:rPr>
          <w:rFonts w:ascii="Century Gothic" w:hAnsi="Century Gothic" w:cs="Arial"/>
          <w:sz w:val="22"/>
          <w:szCs w:val="22"/>
        </w:rPr>
        <w:t xml:space="preserve">artnership/projects lead to positive sustainable impacts for Vietnam? To what extent are the Vietnam CCCAG </w:t>
      </w:r>
      <w:r>
        <w:rPr>
          <w:rFonts w:ascii="Century Gothic" w:hAnsi="Century Gothic" w:cs="Arial"/>
          <w:sz w:val="22"/>
          <w:szCs w:val="22"/>
        </w:rPr>
        <w:t>p</w:t>
      </w:r>
      <w:r w:rsidRPr="009A327C">
        <w:rPr>
          <w:rFonts w:ascii="Century Gothic" w:hAnsi="Century Gothic" w:cs="Arial"/>
          <w:sz w:val="22"/>
          <w:szCs w:val="22"/>
        </w:rPr>
        <w:t>artnership/project outcomes likely to be adopted more broadly, including within provincial planning?</w:t>
      </w:r>
    </w:p>
    <w:p w:rsidR="000B1D99" w:rsidRPr="009A327C" w:rsidRDefault="000B1D99" w:rsidP="000B1D99">
      <w:pPr>
        <w:pStyle w:val="ListParagraph"/>
        <w:numPr>
          <w:ilvl w:val="0"/>
          <w:numId w:val="18"/>
        </w:numPr>
        <w:spacing w:after="120" w:line="240" w:lineRule="atLeast"/>
        <w:contextualSpacing w:val="0"/>
        <w:jc w:val="both"/>
        <w:rPr>
          <w:rFonts w:ascii="Century Gothic" w:hAnsi="Century Gothic" w:cs="Arial"/>
          <w:sz w:val="22"/>
          <w:szCs w:val="22"/>
        </w:rPr>
      </w:pPr>
      <w:r w:rsidRPr="009A327C">
        <w:rPr>
          <w:rFonts w:ascii="Century Gothic" w:hAnsi="Century Gothic"/>
          <w:sz w:val="22"/>
        </w:rPr>
        <w:t>Do beneficiaries, partners and other stakeholders have sufficient ownership, capacity and resources to maintain the outcomes after Australian Government funding has ceased? Are there any actions that can be taken now that will increase the likelihood that the initiatives will be sustainable?</w:t>
      </w:r>
    </w:p>
    <w:p w:rsidR="000B1D99" w:rsidRPr="009A327C" w:rsidRDefault="000B1D99" w:rsidP="000B1D99">
      <w:pPr>
        <w:pStyle w:val="ListParagraph"/>
        <w:numPr>
          <w:ilvl w:val="0"/>
          <w:numId w:val="18"/>
        </w:numPr>
        <w:spacing w:after="120" w:line="240" w:lineRule="atLeast"/>
        <w:contextualSpacing w:val="0"/>
        <w:jc w:val="both"/>
        <w:rPr>
          <w:rFonts w:ascii="Century Gothic" w:hAnsi="Century Gothic"/>
          <w:sz w:val="22"/>
        </w:rPr>
      </w:pPr>
      <w:r w:rsidRPr="009A327C">
        <w:rPr>
          <w:rFonts w:ascii="Century Gothic" w:eastAsia="Times New Roman" w:hAnsi="Century Gothic" w:cs="Arial"/>
          <w:sz w:val="22"/>
          <w:szCs w:val="22"/>
        </w:rPr>
        <w:lastRenderedPageBreak/>
        <w:t>What are the key characteristics of successful initiatives under the program, and how can these be adapted to other contexts or opportunities for replication and larger scale implementation?</w:t>
      </w:r>
    </w:p>
    <w:p w:rsidR="000B1D99" w:rsidRPr="00434B08" w:rsidRDefault="000B1D99" w:rsidP="000B1D99">
      <w:pPr>
        <w:pStyle w:val="ListParagraph"/>
        <w:numPr>
          <w:ilvl w:val="0"/>
          <w:numId w:val="18"/>
        </w:numPr>
        <w:spacing w:after="120" w:line="240" w:lineRule="atLeast"/>
        <w:jc w:val="both"/>
        <w:rPr>
          <w:rFonts w:ascii="Century Gothic" w:hAnsi="Century Gothic"/>
          <w:sz w:val="22"/>
        </w:rPr>
      </w:pPr>
      <w:r w:rsidRPr="009A327C">
        <w:rPr>
          <w:rFonts w:ascii="Century Gothic" w:eastAsia="Times New Roman" w:hAnsi="Century Gothic" w:cs="Arial"/>
          <w:sz w:val="22"/>
          <w:szCs w:val="22"/>
        </w:rPr>
        <w:t xml:space="preserve">To what extent </w:t>
      </w:r>
      <w:r>
        <w:rPr>
          <w:rFonts w:ascii="Century Gothic" w:eastAsia="Times New Roman" w:hAnsi="Century Gothic" w:cs="Arial"/>
          <w:sz w:val="22"/>
          <w:szCs w:val="22"/>
        </w:rPr>
        <w:t xml:space="preserve">do </w:t>
      </w:r>
      <w:r w:rsidRPr="009A327C">
        <w:rPr>
          <w:rFonts w:ascii="Century Gothic" w:eastAsia="Times New Roman" w:hAnsi="Century Gothic" w:cs="Arial"/>
          <w:sz w:val="22"/>
          <w:szCs w:val="22"/>
        </w:rPr>
        <w:t>the Vietnam CCCAG partnership and projects ensure that the needs of the most vulnerable groups, by gender, ethnicity, disability and other relevant factors, have been adequately considered.</w:t>
      </w:r>
    </w:p>
    <w:p w:rsidR="000B1D99" w:rsidRDefault="000B1D99" w:rsidP="000B1D99">
      <w:pPr>
        <w:jc w:val="both"/>
        <w:rPr>
          <w:rFonts w:ascii="Century Gothic" w:hAnsi="Century Gothic" w:cs="Arial"/>
          <w:sz w:val="22"/>
        </w:rPr>
      </w:pPr>
      <w:r>
        <w:rPr>
          <w:rFonts w:ascii="Century Gothic" w:hAnsi="Century Gothic" w:cs="Arial"/>
          <w:sz w:val="22"/>
        </w:rPr>
        <w:t>Given that CCCAG has sought to draw upon the lessons learned from earlier DFAT-NGO partnerships in Vietnam</w:t>
      </w:r>
      <w:r>
        <w:rPr>
          <w:rStyle w:val="FootnoteReference"/>
          <w:rFonts w:ascii="Century Gothic" w:hAnsi="Century Gothic" w:cs="Arial"/>
          <w:sz w:val="22"/>
        </w:rPr>
        <w:footnoteReference w:id="16"/>
      </w:r>
      <w:r>
        <w:rPr>
          <w:rFonts w:ascii="Century Gothic" w:hAnsi="Century Gothic" w:cs="Arial"/>
          <w:sz w:val="22"/>
        </w:rPr>
        <w:t xml:space="preserve">, the Review also </w:t>
      </w:r>
      <w:r w:rsidR="00757026">
        <w:rPr>
          <w:rFonts w:ascii="Century Gothic" w:hAnsi="Century Gothic" w:cs="Arial"/>
          <w:sz w:val="22"/>
        </w:rPr>
        <w:t>examines</w:t>
      </w:r>
      <w:r>
        <w:rPr>
          <w:rFonts w:ascii="Century Gothic" w:hAnsi="Century Gothic" w:cs="Arial"/>
          <w:sz w:val="22"/>
        </w:rPr>
        <w:t xml:space="preserve"> the extent to which these have been implemented and the added value of these new approaches.</w:t>
      </w:r>
    </w:p>
    <w:p w:rsidR="000B1D99" w:rsidRDefault="000B1D99" w:rsidP="000B1D99">
      <w:pPr>
        <w:pStyle w:val="Heading3"/>
      </w:pPr>
      <w:bookmarkStart w:id="24" w:name="_Toc266010026"/>
      <w:r>
        <w:t>3.3. Methods</w:t>
      </w:r>
      <w:bookmarkEnd w:id="24"/>
      <w:r>
        <w:t xml:space="preserve"> </w:t>
      </w:r>
    </w:p>
    <w:p w:rsidR="000B1D99" w:rsidRDefault="000B1D99" w:rsidP="000B1D99">
      <w:pPr>
        <w:jc w:val="both"/>
        <w:rPr>
          <w:rFonts w:ascii="Century Gothic" w:hAnsi="Century Gothic" w:cs="Arial"/>
          <w:sz w:val="22"/>
          <w:szCs w:val="22"/>
        </w:rPr>
      </w:pPr>
      <w:r>
        <w:rPr>
          <w:rFonts w:ascii="Century Gothic" w:hAnsi="Century Gothic"/>
          <w:sz w:val="22"/>
          <w:lang w:val="en-AU"/>
        </w:rPr>
        <w:t>The Review was guided by a detailed Review Plan developed by the team in consultation with DFAT and CCCAG partners. The mixed methods approach adopted aimed to support the building of the partnership, verify progress and emerging outcomes, and contribute to the analytics undertaken by DFAT and partners throughout implementation.</w:t>
      </w:r>
    </w:p>
    <w:p w:rsidR="000B1D99" w:rsidRPr="007D4B8F" w:rsidRDefault="000B1D99" w:rsidP="000B1D99">
      <w:pPr>
        <w:jc w:val="both"/>
        <w:rPr>
          <w:rFonts w:ascii="Century Gothic" w:hAnsi="Century Gothic" w:cs="Arial"/>
          <w:sz w:val="22"/>
          <w:szCs w:val="22"/>
        </w:rPr>
      </w:pPr>
    </w:p>
    <w:p w:rsidR="000B1D99" w:rsidRPr="00891A48" w:rsidRDefault="000B1D99" w:rsidP="000B1D99">
      <w:pPr>
        <w:jc w:val="both"/>
        <w:rPr>
          <w:rFonts w:ascii="Century Gothic" w:hAnsi="Century Gothic"/>
          <w:sz w:val="22"/>
          <w:lang w:val="en-AU"/>
        </w:rPr>
      </w:pPr>
      <w:r>
        <w:rPr>
          <w:rFonts w:ascii="Century Gothic" w:hAnsi="Century Gothic"/>
          <w:sz w:val="22"/>
          <w:lang w:val="en-AU"/>
        </w:rPr>
        <w:t xml:space="preserve">Methods included a desk review of key documentation, a three week field mission </w:t>
      </w:r>
      <w:r w:rsidRPr="0091258E">
        <w:rPr>
          <w:rFonts w:ascii="Century Gothic" w:hAnsi="Century Gothic"/>
          <w:sz w:val="22"/>
          <w:lang w:val="en-AU"/>
        </w:rPr>
        <w:t>(see Annex 2) during which targeted consultations were held with a range of key actors (see Annex 3),</w:t>
      </w:r>
      <w:r>
        <w:rPr>
          <w:rFonts w:ascii="Century Gothic" w:hAnsi="Century Gothic"/>
          <w:sz w:val="22"/>
          <w:lang w:val="en-AU"/>
        </w:rPr>
        <w:t xml:space="preserve"> discussion on key strategic issues with DFAT and CCCAG partners, and analysis of primary and secondary data provided by partners. A multistakeholder workshop, as well as debriefings with each partner were held at the end of the field mission, during which the Review Team was able to discuss </w:t>
      </w:r>
      <w:r w:rsidRPr="0091258E">
        <w:rPr>
          <w:rFonts w:ascii="Century Gothic" w:hAnsi="Century Gothic"/>
          <w:sz w:val="22"/>
          <w:lang w:val="en-AU"/>
        </w:rPr>
        <w:t xml:space="preserve">the preliminary findings and seek clarification and feedback. A list of </w:t>
      </w:r>
      <w:r>
        <w:rPr>
          <w:rFonts w:ascii="Century Gothic" w:hAnsi="Century Gothic"/>
          <w:sz w:val="22"/>
          <w:lang w:val="en-AU"/>
        </w:rPr>
        <w:t>consultations</w:t>
      </w:r>
      <w:r w:rsidRPr="0091258E">
        <w:rPr>
          <w:rFonts w:ascii="Century Gothic" w:hAnsi="Century Gothic"/>
          <w:sz w:val="22"/>
          <w:lang w:val="en-AU"/>
        </w:rPr>
        <w:t xml:space="preserve"> is provided at Annex 4.</w:t>
      </w:r>
    </w:p>
    <w:p w:rsidR="000B1D99" w:rsidRDefault="000B1D99" w:rsidP="000B1D99">
      <w:pPr>
        <w:pStyle w:val="Heading3"/>
      </w:pPr>
      <w:bookmarkStart w:id="25" w:name="_Toc266010027"/>
      <w:r>
        <w:t>3.4. Limitations</w:t>
      </w:r>
      <w:bookmarkEnd w:id="25"/>
      <w:r>
        <w:t xml:space="preserve"> </w:t>
      </w:r>
    </w:p>
    <w:p w:rsidR="000B1D99" w:rsidRDefault="000B1D99" w:rsidP="000B1D99">
      <w:pPr>
        <w:pStyle w:val="DonnasStyle"/>
      </w:pPr>
      <w:r>
        <w:t>The</w:t>
      </w:r>
      <w:r w:rsidRPr="002A0CF9">
        <w:t xml:space="preserve"> challenge for </w:t>
      </w:r>
      <w:r>
        <w:t>any</w:t>
      </w:r>
      <w:r w:rsidRPr="002A0CF9">
        <w:t xml:space="preserve"> </w:t>
      </w:r>
      <w:r>
        <w:t>r</w:t>
      </w:r>
      <w:r w:rsidRPr="002A0CF9">
        <w:t>eview of multi</w:t>
      </w:r>
      <w:r>
        <w:t>-</w:t>
      </w:r>
      <w:r w:rsidRPr="002A0CF9">
        <w:t>partner grant programs</w:t>
      </w:r>
      <w:r>
        <w:t>, delivered in geographically diverse locations,</w:t>
      </w:r>
      <w:r w:rsidRPr="002A0CF9">
        <w:t xml:space="preserve"> is the extent to which </w:t>
      </w:r>
      <w:r>
        <w:t>it</w:t>
      </w:r>
      <w:r w:rsidRPr="002A0CF9">
        <w:t xml:space="preserve"> can </w:t>
      </w:r>
      <w:r>
        <w:t xml:space="preserve">fairly </w:t>
      </w:r>
      <w:r w:rsidRPr="002A0CF9">
        <w:t>make detailed assessment of</w:t>
      </w:r>
      <w:r>
        <w:t xml:space="preserve"> the performance</w:t>
      </w:r>
      <w:r w:rsidRPr="002A0CF9">
        <w:t xml:space="preserve"> </w:t>
      </w:r>
      <w:r>
        <w:t xml:space="preserve">of </w:t>
      </w:r>
      <w:r w:rsidRPr="002A0CF9">
        <w:t xml:space="preserve">individual partner </w:t>
      </w:r>
      <w:r>
        <w:t>activities</w:t>
      </w:r>
      <w:r w:rsidRPr="002A0CF9">
        <w:t xml:space="preserve"> based upon short visits to single locations. </w:t>
      </w:r>
      <w:r>
        <w:t xml:space="preserve">As such, the Review has </w:t>
      </w:r>
      <w:r w:rsidRPr="002A0CF9">
        <w:t>foc</w:t>
      </w:r>
      <w:r>
        <w:t>used upon the performance of the overall CCCAG Vietnam program and the contributions of each partner to it. We have not made a substantive assessment of individual projects or approaches</w:t>
      </w:r>
      <w:r>
        <w:rPr>
          <w:rStyle w:val="FootnoteReference"/>
        </w:rPr>
        <w:footnoteReference w:id="17"/>
      </w:r>
      <w:r>
        <w:t xml:space="preserve">. </w:t>
      </w:r>
    </w:p>
    <w:p w:rsidR="000B1D99" w:rsidRDefault="000B1D99" w:rsidP="000B1D99">
      <w:pPr>
        <w:jc w:val="both"/>
        <w:rPr>
          <w:rFonts w:ascii="Century Gothic" w:hAnsi="Century Gothic"/>
          <w:sz w:val="22"/>
        </w:rPr>
      </w:pPr>
    </w:p>
    <w:p w:rsidR="000B1D99" w:rsidRDefault="000B1D99" w:rsidP="000B1D99">
      <w:pPr>
        <w:jc w:val="both"/>
        <w:rPr>
          <w:rFonts w:ascii="Century Gothic" w:hAnsi="Century Gothic"/>
          <w:sz w:val="22"/>
        </w:rPr>
      </w:pPr>
      <w:r>
        <w:rPr>
          <w:rFonts w:ascii="Century Gothic" w:hAnsi="Century Gothic"/>
          <w:sz w:val="22"/>
        </w:rPr>
        <w:t>Key informants were selected by CCCAG partners in each location</w:t>
      </w:r>
      <w:r w:rsidR="000D1E73">
        <w:rPr>
          <w:rFonts w:ascii="Century Gothic" w:hAnsi="Century Gothic"/>
          <w:sz w:val="22"/>
        </w:rPr>
        <w:t xml:space="preserve">. CCCAG </w:t>
      </w:r>
      <w:r>
        <w:rPr>
          <w:rFonts w:ascii="Century Gothic" w:hAnsi="Century Gothic"/>
          <w:sz w:val="22"/>
        </w:rPr>
        <w:t>partners and DFAT Officers attended all consultations and field activities. This is not unusual for a mission of this nature, and the team sought to take the potential of any bias into account in the formulation of lines of inquiry and analysis of outcomes of consultations.</w:t>
      </w:r>
    </w:p>
    <w:p w:rsidR="000B1D99" w:rsidRDefault="000B1D99" w:rsidP="000B1D99">
      <w:pPr>
        <w:pStyle w:val="Heading3"/>
      </w:pPr>
      <w:bookmarkStart w:id="26" w:name="_Toc266010028"/>
      <w:r>
        <w:t>3.5. Review Team</w:t>
      </w:r>
      <w:bookmarkEnd w:id="26"/>
      <w:r>
        <w:t xml:space="preserve"> </w:t>
      </w:r>
    </w:p>
    <w:p w:rsidR="000B1D99" w:rsidRDefault="000B1D99" w:rsidP="000B1D99">
      <w:pPr>
        <w:jc w:val="both"/>
        <w:rPr>
          <w:rFonts w:ascii="Century Gothic" w:hAnsi="Century Gothic"/>
          <w:sz w:val="22"/>
        </w:rPr>
      </w:pPr>
      <w:r>
        <w:rPr>
          <w:rFonts w:ascii="Century Gothic" w:hAnsi="Century Gothic"/>
          <w:sz w:val="22"/>
        </w:rPr>
        <w:t>The four person Review T</w:t>
      </w:r>
      <w:r w:rsidRPr="00AF7B25">
        <w:rPr>
          <w:rFonts w:ascii="Century Gothic" w:hAnsi="Century Gothic"/>
          <w:sz w:val="22"/>
        </w:rPr>
        <w:t xml:space="preserve">eam brings a wide range of </w:t>
      </w:r>
      <w:r>
        <w:rPr>
          <w:rFonts w:ascii="Century Gothic" w:hAnsi="Century Gothic"/>
          <w:sz w:val="22"/>
        </w:rPr>
        <w:t>Vietnam</w:t>
      </w:r>
      <w:r w:rsidRPr="00AF7B25">
        <w:rPr>
          <w:rFonts w:ascii="Century Gothic" w:hAnsi="Century Gothic"/>
          <w:sz w:val="22"/>
        </w:rPr>
        <w:t xml:space="preserve"> and </w:t>
      </w:r>
      <w:r w:rsidR="00D756A7">
        <w:rPr>
          <w:rFonts w:ascii="Century Gothic" w:hAnsi="Century Gothic"/>
          <w:sz w:val="22"/>
        </w:rPr>
        <w:t>regional</w:t>
      </w:r>
      <w:r w:rsidRPr="00AF7B25">
        <w:rPr>
          <w:rFonts w:ascii="Century Gothic" w:hAnsi="Century Gothic"/>
          <w:sz w:val="22"/>
        </w:rPr>
        <w:t xml:space="preserve"> experience in </w:t>
      </w:r>
      <w:r>
        <w:rPr>
          <w:rFonts w:ascii="Century Gothic" w:hAnsi="Century Gothic"/>
          <w:sz w:val="22"/>
        </w:rPr>
        <w:t xml:space="preserve">climate change adaptation and mitigation, </w:t>
      </w:r>
      <w:r w:rsidRPr="00AF7B25">
        <w:rPr>
          <w:rFonts w:ascii="Century Gothic" w:hAnsi="Century Gothic"/>
          <w:sz w:val="22"/>
        </w:rPr>
        <w:t>civil society</w:t>
      </w:r>
      <w:r>
        <w:rPr>
          <w:rFonts w:ascii="Century Gothic" w:hAnsi="Century Gothic"/>
          <w:sz w:val="22"/>
        </w:rPr>
        <w:t>,</w:t>
      </w:r>
      <w:r w:rsidRPr="00AF7B25">
        <w:rPr>
          <w:rFonts w:ascii="Century Gothic" w:hAnsi="Century Gothic"/>
          <w:sz w:val="22"/>
        </w:rPr>
        <w:t xml:space="preserve"> community development</w:t>
      </w:r>
      <w:r>
        <w:rPr>
          <w:rFonts w:ascii="Century Gothic" w:hAnsi="Century Gothic"/>
          <w:sz w:val="22"/>
        </w:rPr>
        <w:t xml:space="preserve">, gender and inclusion, and extensive practical </w:t>
      </w:r>
      <w:r w:rsidRPr="00AF7B25">
        <w:rPr>
          <w:rFonts w:ascii="Century Gothic" w:hAnsi="Century Gothic"/>
          <w:sz w:val="22"/>
        </w:rPr>
        <w:t>experience in evaluation and learn</w:t>
      </w:r>
      <w:r>
        <w:rPr>
          <w:rFonts w:ascii="Century Gothic" w:hAnsi="Century Gothic"/>
          <w:sz w:val="22"/>
        </w:rPr>
        <w:t>ing.</w:t>
      </w:r>
      <w:r w:rsidRPr="003431DE">
        <w:rPr>
          <w:rFonts w:ascii="Century Gothic" w:hAnsi="Century Gothic"/>
          <w:sz w:val="22"/>
        </w:rPr>
        <w:t xml:space="preserve"> </w:t>
      </w:r>
      <w:r>
        <w:rPr>
          <w:rFonts w:ascii="Century Gothic" w:hAnsi="Century Gothic"/>
          <w:sz w:val="22"/>
        </w:rPr>
        <w:t xml:space="preserve">Bios of the team members are provided at </w:t>
      </w:r>
      <w:r w:rsidRPr="0091258E">
        <w:rPr>
          <w:rFonts w:ascii="Century Gothic" w:hAnsi="Century Gothic"/>
          <w:sz w:val="22"/>
        </w:rPr>
        <w:t xml:space="preserve">Annex </w:t>
      </w:r>
      <w:r w:rsidRPr="00434B08">
        <w:rPr>
          <w:rFonts w:ascii="Century Gothic" w:hAnsi="Century Gothic"/>
          <w:sz w:val="22"/>
        </w:rPr>
        <w:t>5.</w:t>
      </w:r>
      <w:r>
        <w:rPr>
          <w:rFonts w:ascii="Century Gothic" w:hAnsi="Century Gothic"/>
          <w:sz w:val="22"/>
        </w:rPr>
        <w:t xml:space="preserve"> </w:t>
      </w:r>
      <w:r w:rsidR="00D756A7">
        <w:rPr>
          <w:rFonts w:ascii="Century Gothic" w:hAnsi="Century Gothic"/>
          <w:sz w:val="22"/>
        </w:rPr>
        <w:t xml:space="preserve"> </w:t>
      </w:r>
      <w:r>
        <w:rPr>
          <w:rFonts w:ascii="Century Gothic" w:hAnsi="Century Gothic"/>
          <w:sz w:val="22"/>
        </w:rPr>
        <w:t xml:space="preserve">DFAT Officers from both Vietnam Post and Canberra transitioned in and out of the mission, which was also accompanied by implementing </w:t>
      </w:r>
      <w:r w:rsidRPr="00AB3A18">
        <w:rPr>
          <w:rFonts w:ascii="Century Gothic" w:hAnsi="Century Gothic"/>
          <w:sz w:val="22"/>
        </w:rPr>
        <w:t>partners</w:t>
      </w:r>
      <w:r>
        <w:rPr>
          <w:rFonts w:ascii="Century Gothic" w:hAnsi="Century Gothic"/>
          <w:sz w:val="22"/>
        </w:rPr>
        <w:t>,</w:t>
      </w:r>
      <w:r w:rsidRPr="00AB3A18">
        <w:rPr>
          <w:rFonts w:ascii="Century Gothic" w:hAnsi="Century Gothic"/>
          <w:sz w:val="22"/>
        </w:rPr>
        <w:t xml:space="preserve"> and </w:t>
      </w:r>
      <w:r>
        <w:rPr>
          <w:rFonts w:ascii="Century Gothic" w:hAnsi="Century Gothic"/>
          <w:sz w:val="22"/>
        </w:rPr>
        <w:t>a local translator.</w:t>
      </w:r>
    </w:p>
    <w:p w:rsidR="000B1D99" w:rsidRDefault="000B1D99" w:rsidP="000B1D99">
      <w:pPr>
        <w:pStyle w:val="Heading1"/>
      </w:pPr>
      <w:bookmarkStart w:id="27" w:name="_Toc266010029"/>
      <w:r>
        <w:t>SECTION 2: REVIEW FINDINGS</w:t>
      </w:r>
      <w:bookmarkEnd w:id="27"/>
      <w:r>
        <w:t xml:space="preserve"> </w:t>
      </w:r>
    </w:p>
    <w:p w:rsidR="000B1D99" w:rsidRDefault="000B1D99" w:rsidP="000B1D99">
      <w:pPr>
        <w:pStyle w:val="DonnasStyle"/>
      </w:pPr>
      <w:r>
        <w:t xml:space="preserve">The observations of the Review are assessed </w:t>
      </w:r>
      <w:r w:rsidR="00FA285C">
        <w:t>against</w:t>
      </w:r>
      <w:r>
        <w:t xml:space="preserve"> DFAT quality standards. Ratings have been provided with</w:t>
      </w:r>
      <w:r w:rsidR="0046771A">
        <w:t>in</w:t>
      </w:r>
      <w:r>
        <w:t xml:space="preserve"> the Executive Summary. </w:t>
      </w:r>
      <w:r w:rsidRPr="00E5165B">
        <w:rPr>
          <w:b/>
        </w:rPr>
        <w:t xml:space="preserve">Our assessment takes </w:t>
      </w:r>
      <w:r w:rsidR="0046771A">
        <w:rPr>
          <w:b/>
        </w:rPr>
        <w:t xml:space="preserve">into account that </w:t>
      </w:r>
      <w:r w:rsidR="0046771A">
        <w:rPr>
          <w:b/>
        </w:rPr>
        <w:lastRenderedPageBreak/>
        <w:t>projects are</w:t>
      </w:r>
      <w:r w:rsidRPr="00E5165B">
        <w:rPr>
          <w:b/>
        </w:rPr>
        <w:t xml:space="preserve"> at mid term</w:t>
      </w:r>
      <w:r>
        <w:t xml:space="preserve"> and recognises </w:t>
      </w:r>
      <w:r w:rsidR="0046771A">
        <w:t>the requirement of time</w:t>
      </w:r>
      <w:r>
        <w:t xml:space="preserve"> to explore new approaches and relationships within a new sector. </w:t>
      </w:r>
      <w:r w:rsidR="009C02EC">
        <w:t xml:space="preserve">Our findings therefore are </w:t>
      </w:r>
      <w:r>
        <w:t xml:space="preserve">based on an </w:t>
      </w:r>
      <w:r w:rsidRPr="009C02EC">
        <w:rPr>
          <w:b/>
        </w:rPr>
        <w:t>assessment of what is reasonably expected at this point in time</w:t>
      </w:r>
      <w:r>
        <w:t>.</w:t>
      </w:r>
    </w:p>
    <w:p w:rsidR="000B1D99" w:rsidRPr="001E4DB9" w:rsidRDefault="000B1D99" w:rsidP="000B1D99">
      <w:pPr>
        <w:pStyle w:val="Heading2"/>
      </w:pPr>
      <w:bookmarkStart w:id="28" w:name="_Toc266010030"/>
      <w:r>
        <w:t>4. Findings Against DFAT Evaluation Criteria</w:t>
      </w:r>
      <w:bookmarkEnd w:id="28"/>
      <w:r>
        <w:t xml:space="preserve"> </w:t>
      </w:r>
    </w:p>
    <w:p w:rsidR="000B1D99" w:rsidRPr="002522CF" w:rsidRDefault="000B1D99" w:rsidP="000B1D99">
      <w:pPr>
        <w:pStyle w:val="Heading3"/>
        <w:rPr>
          <w:color w:val="FF0000"/>
        </w:rPr>
      </w:pPr>
      <w:bookmarkStart w:id="29" w:name="_Toc266010031"/>
      <w:r>
        <w:t>4.1. Relevance</w:t>
      </w:r>
      <w:bookmarkEnd w:id="29"/>
      <w:r>
        <w:t xml:space="preserve"> </w:t>
      </w:r>
    </w:p>
    <w:p w:rsidR="000B1D99" w:rsidRPr="00B10A76" w:rsidRDefault="000B1D99" w:rsidP="000B1D99">
      <w:pPr>
        <w:pStyle w:val="DonnasStyle"/>
        <w:rPr>
          <w:color w:val="8DB3E2" w:themeColor="text2" w:themeTint="66"/>
        </w:rPr>
      </w:pPr>
      <w:r w:rsidRPr="00B10A76">
        <w:rPr>
          <w:b/>
          <w:i/>
          <w:color w:val="8DB3E2" w:themeColor="text2" w:themeTint="66"/>
        </w:rPr>
        <w:t>Program Level Observations</w:t>
      </w:r>
    </w:p>
    <w:p w:rsidR="000B1D99" w:rsidRPr="00B037C8" w:rsidRDefault="000B1D99" w:rsidP="000B1D99">
      <w:pPr>
        <w:pStyle w:val="DonnasStyle"/>
        <w:rPr>
          <w:rFonts w:cs="Helvetica"/>
          <w:iCs/>
          <w:color w:val="000000"/>
        </w:rPr>
      </w:pPr>
      <w:r>
        <w:rPr>
          <w:rFonts w:cs="Helvetica"/>
          <w:iCs/>
          <w:color w:val="000000"/>
        </w:rPr>
        <w:t xml:space="preserve">CCCAG demonstrates a </w:t>
      </w:r>
      <w:r w:rsidRPr="007A25B8">
        <w:rPr>
          <w:rFonts w:cs="Helvetica"/>
          <w:b/>
          <w:iCs/>
          <w:color w:val="000000"/>
        </w:rPr>
        <w:t>very high degree of relevance</w:t>
      </w:r>
      <w:r>
        <w:rPr>
          <w:rFonts w:cs="Helvetica"/>
          <w:b/>
          <w:iCs/>
          <w:color w:val="000000"/>
        </w:rPr>
        <w:t xml:space="preserve"> at the</w:t>
      </w:r>
      <w:r w:rsidRPr="007A25B8">
        <w:rPr>
          <w:rFonts w:cs="Helvetica"/>
          <w:b/>
          <w:iCs/>
          <w:color w:val="000000"/>
        </w:rPr>
        <w:t xml:space="preserve"> program</w:t>
      </w:r>
      <w:r w:rsidRPr="008036C8">
        <w:rPr>
          <w:rFonts w:cs="Helvetica"/>
          <w:b/>
          <w:iCs/>
          <w:color w:val="000000"/>
        </w:rPr>
        <w:t xml:space="preserve"> level</w:t>
      </w:r>
      <w:r>
        <w:rPr>
          <w:rFonts w:cs="Helvetica"/>
          <w:iCs/>
          <w:color w:val="000000"/>
        </w:rPr>
        <w:t xml:space="preserve">. Climate change is a significant development concern in Vietnam which </w:t>
      </w:r>
      <w:r w:rsidRPr="006566B7">
        <w:rPr>
          <w:rFonts w:cs="Calibri"/>
          <w:color w:val="000000"/>
          <w:szCs w:val="22"/>
        </w:rPr>
        <w:t>“threatens to destabilise economic growth, exacerbate food shortages and erode recent gains in poverty reduction – all of which would negatively impact progress towards achieving the Millennium Development Goals</w:t>
      </w:r>
      <w:r>
        <w:rPr>
          <w:rStyle w:val="FootnoteReference"/>
          <w:rFonts w:cs="Calibri"/>
          <w:color w:val="000000"/>
          <w:szCs w:val="22"/>
        </w:rPr>
        <w:footnoteReference w:id="18"/>
      </w:r>
      <w:r w:rsidRPr="006566B7">
        <w:rPr>
          <w:rFonts w:cs="Calibri"/>
          <w:color w:val="000000"/>
          <w:szCs w:val="22"/>
        </w:rPr>
        <w:t>”</w:t>
      </w:r>
    </w:p>
    <w:p w:rsidR="000B1D99" w:rsidRDefault="000B1D99" w:rsidP="000B1D9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Default="00F90ACC" w:rsidP="000B1D9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The investment of $15 million for</w:t>
      </w:r>
      <w:r w:rsidR="000B1D99">
        <w:rPr>
          <w:rFonts w:ascii="Century Gothic" w:hAnsi="Century Gothic" w:cs="Helvetica"/>
          <w:iCs/>
          <w:color w:val="000000"/>
          <w:sz w:val="22"/>
        </w:rPr>
        <w:t xml:space="preserve"> community based mitigation and adaptation is in </w:t>
      </w:r>
      <w:r w:rsidR="000B1D99" w:rsidRPr="00174025">
        <w:rPr>
          <w:rFonts w:ascii="Century Gothic" w:hAnsi="Century Gothic" w:cs="Helvetica"/>
          <w:b/>
          <w:iCs/>
          <w:color w:val="000000"/>
          <w:sz w:val="22"/>
        </w:rPr>
        <w:t>line with Vietnam’s national priorities</w:t>
      </w:r>
      <w:r w:rsidR="000B1D99">
        <w:rPr>
          <w:rFonts w:ascii="Century Gothic" w:hAnsi="Century Gothic" w:cs="Helvetica"/>
          <w:iCs/>
          <w:color w:val="000000"/>
          <w:sz w:val="22"/>
        </w:rPr>
        <w:t xml:space="preserve"> established in the NTP-RCC and other GoV policies and programs (see </w:t>
      </w:r>
      <w:r w:rsidR="000B1D99" w:rsidRPr="00EE6A4A">
        <w:rPr>
          <w:rFonts w:ascii="Century Gothic" w:hAnsi="Century Gothic" w:cs="Helvetica"/>
          <w:iCs/>
          <w:sz w:val="22"/>
        </w:rPr>
        <w:t>2.1</w:t>
      </w:r>
      <w:r w:rsidR="000B1D99">
        <w:rPr>
          <w:rFonts w:ascii="Century Gothic" w:hAnsi="Century Gothic" w:cs="Helvetica"/>
          <w:iCs/>
          <w:color w:val="000000"/>
          <w:sz w:val="22"/>
        </w:rPr>
        <w:t>), and which are reflected within the GoV/</w:t>
      </w:r>
      <w:r w:rsidR="000B1D99" w:rsidRPr="00D76C4A">
        <w:rPr>
          <w:rFonts w:ascii="Century Gothic" w:hAnsi="Century Gothic" w:cs="Helvetica"/>
          <w:iCs/>
          <w:color w:val="000000"/>
          <w:sz w:val="22"/>
        </w:rPr>
        <w:t>GoA joint development plan</w:t>
      </w:r>
      <w:r w:rsidR="000B1D99">
        <w:rPr>
          <w:rFonts w:ascii="Century Gothic" w:hAnsi="Century Gothic" w:cs="Helvetica"/>
          <w:iCs/>
          <w:color w:val="000000"/>
          <w:sz w:val="22"/>
        </w:rPr>
        <w:t>.</w:t>
      </w:r>
      <w:r w:rsidR="000B1D99" w:rsidRPr="00D76C4A">
        <w:rPr>
          <w:rFonts w:ascii="Century Gothic" w:hAnsi="Century Gothic" w:cs="Helvetica"/>
          <w:iCs/>
          <w:color w:val="000000"/>
          <w:sz w:val="22"/>
        </w:rPr>
        <w:t xml:space="preserve"> </w:t>
      </w:r>
    </w:p>
    <w:p w:rsidR="000B1D99" w:rsidRPr="00800633" w:rsidRDefault="000B1D99" w:rsidP="000B1D9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i/>
        </w:rPr>
      </w:pPr>
    </w:p>
    <w:p w:rsidR="000B1D99" w:rsidRDefault="000B1D99" w:rsidP="000B1D99">
      <w:pPr>
        <w:pStyle w:val="DonnasStyle"/>
      </w:pPr>
      <w:r>
        <w:t xml:space="preserve">Importantly, </w:t>
      </w:r>
      <w:r w:rsidRPr="004E2D54">
        <w:rPr>
          <w:i/>
        </w:rPr>
        <w:t>CCCAG</w:t>
      </w:r>
      <w:r>
        <w:rPr>
          <w:i/>
        </w:rPr>
        <w:t xml:space="preserve">’s </w:t>
      </w:r>
      <w:r>
        <w:rPr>
          <w:b/>
          <w:i/>
        </w:rPr>
        <w:t>pro-</w:t>
      </w:r>
      <w:r w:rsidRPr="00AD7F33">
        <w:rPr>
          <w:b/>
          <w:i/>
        </w:rPr>
        <w:t xml:space="preserve">poor approach </w:t>
      </w:r>
      <w:r>
        <w:rPr>
          <w:b/>
          <w:i/>
        </w:rPr>
        <w:t>and</w:t>
      </w:r>
      <w:r w:rsidRPr="004E2D54">
        <w:rPr>
          <w:i/>
        </w:rPr>
        <w:t xml:space="preserve"> </w:t>
      </w:r>
      <w:r w:rsidRPr="00587BF5">
        <w:rPr>
          <w:b/>
          <w:i/>
        </w:rPr>
        <w:t xml:space="preserve">strong attention </w:t>
      </w:r>
      <w:r>
        <w:rPr>
          <w:b/>
          <w:i/>
        </w:rPr>
        <w:t xml:space="preserve">to </w:t>
      </w:r>
      <w:r w:rsidRPr="00587BF5">
        <w:rPr>
          <w:b/>
          <w:i/>
        </w:rPr>
        <w:t xml:space="preserve">wider crosscutting </w:t>
      </w:r>
      <w:r>
        <w:rPr>
          <w:b/>
          <w:i/>
        </w:rPr>
        <w:t xml:space="preserve">development </w:t>
      </w:r>
      <w:r w:rsidRPr="00587BF5">
        <w:rPr>
          <w:b/>
          <w:i/>
        </w:rPr>
        <w:t>issues, policies and safeguards</w:t>
      </w:r>
      <w:r>
        <w:t xml:space="preserve"> such as gender equality and disability inclusive development </w:t>
      </w:r>
      <w:r w:rsidR="00B7500D">
        <w:t xml:space="preserve">align with GoV and DFAT policy and fill </w:t>
      </w:r>
      <w:r>
        <w:t xml:space="preserve">gaps created by the focus </w:t>
      </w:r>
      <w:r w:rsidR="00B7500D">
        <w:t>of</w:t>
      </w:r>
      <w:r>
        <w:t xml:space="preserve"> national programs </w:t>
      </w:r>
      <w:r w:rsidR="00B7500D">
        <w:t>(e.g</w:t>
      </w:r>
      <w:r>
        <w:t xml:space="preserve"> SP-RCC</w:t>
      </w:r>
      <w:r w:rsidR="00B7500D">
        <w:t>)</w:t>
      </w:r>
      <w:r>
        <w:t xml:space="preserve"> on infrastructure and sectoral-based adaptation. </w:t>
      </w:r>
    </w:p>
    <w:p w:rsidR="000B1D99" w:rsidRDefault="000B1D99" w:rsidP="000B1D99">
      <w:pPr>
        <w:pStyle w:val="DonnasStyle"/>
      </w:pPr>
    </w:p>
    <w:p w:rsidR="000B1D99" w:rsidRDefault="000B1D99" w:rsidP="000B1D99">
      <w:pPr>
        <w:pStyle w:val="DonnasStyle"/>
      </w:pPr>
      <w:r>
        <w:t xml:space="preserve">CCCAG further </w:t>
      </w:r>
      <w:r w:rsidRPr="004E1336">
        <w:rPr>
          <w:b/>
          <w:i/>
        </w:rPr>
        <w:t>brings civil society voices to the adaptation process</w:t>
      </w:r>
      <w:r>
        <w:t xml:space="preserve"> and builds upon an understanding of the </w:t>
      </w:r>
      <w:r w:rsidRPr="00F671F0">
        <w:rPr>
          <w:b/>
          <w:i/>
        </w:rPr>
        <w:t>specific strengths of NGOs in working directly with communities</w:t>
      </w:r>
      <w:r>
        <w:t xml:space="preserve">, including the most vulnerable to ensure that that they can reap the benefits of development assistance. This builds on the work of NGOs in supporting CBDRM approaches under DFAT’s VANGOCA program from </w:t>
      </w:r>
      <w:r w:rsidRPr="00496F4C">
        <w:t>2004 - 2009.</w:t>
      </w:r>
    </w:p>
    <w:p w:rsidR="000B1D99" w:rsidRDefault="000B1D99" w:rsidP="000B1D99">
      <w:pPr>
        <w:pStyle w:val="DonnasStyle"/>
      </w:pPr>
    </w:p>
    <w:p w:rsidR="000B1D99" w:rsidRDefault="000B1D99" w:rsidP="000B1D99">
      <w:pPr>
        <w:jc w:val="both"/>
        <w:rPr>
          <w:rFonts w:ascii="Century Gothic" w:hAnsi="Century Gothic"/>
          <w:sz w:val="22"/>
        </w:rPr>
      </w:pPr>
      <w:r w:rsidRPr="00B85D67">
        <w:rPr>
          <w:rFonts w:ascii="Century Gothic" w:hAnsi="Century Gothic"/>
          <w:sz w:val="22"/>
        </w:rPr>
        <w:t xml:space="preserve">The Review recognises that </w:t>
      </w:r>
      <w:r>
        <w:rPr>
          <w:rFonts w:ascii="Century Gothic" w:hAnsi="Century Gothic"/>
          <w:sz w:val="22"/>
        </w:rPr>
        <w:t>reducing</w:t>
      </w:r>
      <w:r w:rsidRPr="00B85D67">
        <w:rPr>
          <w:rFonts w:ascii="Century Gothic" w:hAnsi="Century Gothic"/>
          <w:sz w:val="22"/>
        </w:rPr>
        <w:t xml:space="preserve"> people’s vulnerabilities to the shocks of climate related disasters is an important factor in building resilience</w:t>
      </w:r>
      <w:r>
        <w:rPr>
          <w:rFonts w:ascii="Century Gothic" w:hAnsi="Century Gothic"/>
          <w:sz w:val="22"/>
        </w:rPr>
        <w:t xml:space="preserve"> and adapting to climate change</w:t>
      </w:r>
      <w:r w:rsidRPr="00B85D67">
        <w:rPr>
          <w:rFonts w:ascii="Century Gothic" w:hAnsi="Century Gothic"/>
          <w:sz w:val="22"/>
        </w:rPr>
        <w:t xml:space="preserve">. </w:t>
      </w:r>
      <w:r>
        <w:rPr>
          <w:rFonts w:ascii="Century Gothic" w:hAnsi="Century Gothic"/>
          <w:sz w:val="22"/>
        </w:rPr>
        <w:t>A key challenge for</w:t>
      </w:r>
      <w:r w:rsidRPr="00B85D67">
        <w:rPr>
          <w:rFonts w:ascii="Century Gothic" w:hAnsi="Century Gothic"/>
          <w:sz w:val="22"/>
        </w:rPr>
        <w:t xml:space="preserve"> DFAT and its partners beyond the life of CCCAG, will be the extent to which they are able</w:t>
      </w:r>
      <w:r>
        <w:rPr>
          <w:rFonts w:ascii="Century Gothic" w:hAnsi="Century Gothic"/>
          <w:sz w:val="22"/>
        </w:rPr>
        <w:t xml:space="preserve"> </w:t>
      </w:r>
      <w:r w:rsidRPr="003809A1">
        <w:rPr>
          <w:rFonts w:ascii="Century Gothic" w:hAnsi="Century Gothic"/>
          <w:sz w:val="22"/>
        </w:rPr>
        <w:t>to</w:t>
      </w:r>
      <w:r w:rsidRPr="00B85D67">
        <w:rPr>
          <w:rFonts w:ascii="Century Gothic" w:hAnsi="Century Gothic"/>
          <w:b/>
          <w:sz w:val="22"/>
        </w:rPr>
        <w:t xml:space="preserve"> </w:t>
      </w:r>
      <w:r w:rsidRPr="003D1B49">
        <w:rPr>
          <w:rFonts w:ascii="Century Gothic" w:hAnsi="Century Gothic"/>
          <w:b/>
          <w:sz w:val="22"/>
        </w:rPr>
        <w:t xml:space="preserve">extend beyond the current focus of DRR on emergency preparedness and response </w:t>
      </w:r>
      <w:r w:rsidR="0028070C">
        <w:rPr>
          <w:rFonts w:ascii="Century Gothic" w:hAnsi="Century Gothic"/>
          <w:b/>
          <w:sz w:val="22"/>
        </w:rPr>
        <w:t xml:space="preserve">and take into </w:t>
      </w:r>
      <w:r w:rsidRPr="003D1B49">
        <w:rPr>
          <w:rFonts w:ascii="Century Gothic" w:hAnsi="Century Gothic"/>
          <w:b/>
          <w:sz w:val="22"/>
        </w:rPr>
        <w:t>account</w:t>
      </w:r>
      <w:r w:rsidR="0028070C">
        <w:rPr>
          <w:rFonts w:ascii="Century Gothic" w:hAnsi="Century Gothic"/>
          <w:b/>
          <w:sz w:val="22"/>
        </w:rPr>
        <w:t xml:space="preserve"> </w:t>
      </w:r>
      <w:r w:rsidRPr="003D1B49">
        <w:rPr>
          <w:rFonts w:ascii="Century Gothic" w:hAnsi="Century Gothic"/>
          <w:b/>
          <w:sz w:val="22"/>
        </w:rPr>
        <w:t>a broader definition of resilience and adaptive capacity</w:t>
      </w:r>
      <w:r w:rsidR="00423F16">
        <w:rPr>
          <w:rFonts w:ascii="Century Gothic" w:hAnsi="Century Gothic"/>
          <w:b/>
          <w:sz w:val="22"/>
        </w:rPr>
        <w:t>,</w:t>
      </w:r>
      <w:r>
        <w:rPr>
          <w:rFonts w:ascii="Century Gothic" w:hAnsi="Century Gothic"/>
          <w:sz w:val="22"/>
        </w:rPr>
        <w:t xml:space="preserve"> and plan activities which</w:t>
      </w:r>
      <w:r w:rsidRPr="00B85D67">
        <w:rPr>
          <w:rFonts w:ascii="Century Gothic" w:hAnsi="Century Gothic"/>
          <w:sz w:val="22"/>
        </w:rPr>
        <w:t xml:space="preserve"> consider the</w:t>
      </w:r>
      <w:r w:rsidR="00423F16">
        <w:rPr>
          <w:rFonts w:ascii="Century Gothic" w:hAnsi="Century Gothic"/>
          <w:sz w:val="22"/>
        </w:rPr>
        <w:t xml:space="preserve"> </w:t>
      </w:r>
      <w:r w:rsidRPr="00B85D67">
        <w:rPr>
          <w:rFonts w:ascii="Century Gothic" w:hAnsi="Century Gothic"/>
          <w:sz w:val="22"/>
        </w:rPr>
        <w:t xml:space="preserve">impacts of a changing climate across a range of domains </w:t>
      </w:r>
      <w:r w:rsidR="00423F16">
        <w:rPr>
          <w:rFonts w:ascii="Century Gothic" w:hAnsi="Century Gothic"/>
          <w:sz w:val="22"/>
        </w:rPr>
        <w:t>e.g.</w:t>
      </w:r>
      <w:r>
        <w:rPr>
          <w:rFonts w:ascii="Century Gothic" w:hAnsi="Century Gothic"/>
          <w:sz w:val="22"/>
        </w:rPr>
        <w:t xml:space="preserve"> </w:t>
      </w:r>
      <w:r w:rsidRPr="00B85D67">
        <w:rPr>
          <w:rFonts w:ascii="Century Gothic" w:hAnsi="Century Gothic"/>
          <w:sz w:val="22"/>
        </w:rPr>
        <w:t>agriculture, health, infrastructure and natural ecosystems.</w:t>
      </w:r>
      <w:r>
        <w:rPr>
          <w:rFonts w:ascii="Century Gothic" w:hAnsi="Century Gothic"/>
          <w:sz w:val="22"/>
        </w:rPr>
        <w:t xml:space="preserve"> </w:t>
      </w:r>
    </w:p>
    <w:p w:rsidR="000B1D99" w:rsidRDefault="000B1D99" w:rsidP="000B1D99">
      <w:pPr>
        <w:jc w:val="both"/>
        <w:rPr>
          <w:rFonts w:ascii="Century Gothic" w:hAnsi="Century Gothic"/>
          <w:sz w:val="22"/>
        </w:rPr>
      </w:pPr>
    </w:p>
    <w:p w:rsidR="000B1D99" w:rsidRPr="00B674EF" w:rsidRDefault="000B1D99" w:rsidP="000B1D99">
      <w:pPr>
        <w:jc w:val="both"/>
        <w:rPr>
          <w:rFonts w:ascii="Century Gothic" w:hAnsi="Century Gothic"/>
          <w:sz w:val="22"/>
        </w:rPr>
      </w:pPr>
      <w:r>
        <w:rPr>
          <w:rFonts w:ascii="Century Gothic" w:hAnsi="Century Gothic"/>
          <w:sz w:val="22"/>
        </w:rPr>
        <w:t xml:space="preserve">This issue </w:t>
      </w:r>
      <w:r w:rsidR="00AB51F3">
        <w:rPr>
          <w:rFonts w:ascii="Century Gothic" w:hAnsi="Century Gothic"/>
          <w:sz w:val="22"/>
        </w:rPr>
        <w:t>is complex and created considerable debate throughout the Review. O</w:t>
      </w:r>
      <w:r>
        <w:rPr>
          <w:rFonts w:ascii="Century Gothic" w:hAnsi="Century Gothic"/>
          <w:sz w:val="22"/>
        </w:rPr>
        <w:t xml:space="preserve">ngoing debate </w:t>
      </w:r>
      <w:r w:rsidR="00AB51F3">
        <w:rPr>
          <w:rFonts w:ascii="Century Gothic" w:hAnsi="Century Gothic"/>
          <w:sz w:val="22"/>
        </w:rPr>
        <w:t>is warranted to</w:t>
      </w:r>
      <w:r>
        <w:rPr>
          <w:rFonts w:ascii="Century Gothic" w:hAnsi="Century Gothic"/>
          <w:sz w:val="22"/>
        </w:rPr>
        <w:t xml:space="preserve"> inform the design of the future program. </w:t>
      </w:r>
      <w:r w:rsidR="00A60C93">
        <w:rPr>
          <w:rFonts w:ascii="Century Gothic" w:hAnsi="Century Gothic"/>
          <w:sz w:val="22"/>
        </w:rPr>
        <w:t>W</w:t>
      </w:r>
      <w:r w:rsidRPr="00B85D67">
        <w:rPr>
          <w:rFonts w:ascii="Century Gothic" w:hAnsi="Century Gothic"/>
          <w:sz w:val="22"/>
        </w:rPr>
        <w:t xml:space="preserve">e propose that a staged framework </w:t>
      </w:r>
      <w:r w:rsidR="00A60C93">
        <w:rPr>
          <w:rFonts w:ascii="Century Gothic" w:hAnsi="Century Gothic"/>
          <w:sz w:val="22"/>
        </w:rPr>
        <w:t xml:space="preserve">could be considered, </w:t>
      </w:r>
      <w:r>
        <w:rPr>
          <w:rFonts w:ascii="Century Gothic" w:hAnsi="Century Gothic"/>
          <w:sz w:val="22"/>
        </w:rPr>
        <w:t>in which</w:t>
      </w:r>
      <w:r w:rsidRPr="00B85D67">
        <w:rPr>
          <w:rFonts w:ascii="Century Gothic" w:hAnsi="Century Gothic"/>
          <w:sz w:val="22"/>
        </w:rPr>
        <w:t xml:space="preserve"> disaster preparedness </w:t>
      </w:r>
      <w:r>
        <w:rPr>
          <w:rFonts w:ascii="Century Gothic" w:hAnsi="Century Gothic"/>
          <w:sz w:val="22"/>
        </w:rPr>
        <w:t>remains valid</w:t>
      </w:r>
      <w:r w:rsidRPr="00B85D67">
        <w:rPr>
          <w:rFonts w:ascii="Century Gothic" w:hAnsi="Century Gothic"/>
          <w:sz w:val="22"/>
        </w:rPr>
        <w:t xml:space="preserve"> for addressing immediate and short-term hazards</w:t>
      </w:r>
      <w:r>
        <w:rPr>
          <w:rFonts w:ascii="Century Gothic" w:hAnsi="Century Gothic"/>
          <w:sz w:val="22"/>
        </w:rPr>
        <w:t xml:space="preserve"> in the most vulnerable areas</w:t>
      </w:r>
      <w:r w:rsidR="00064A11">
        <w:rPr>
          <w:rFonts w:ascii="Century Gothic" w:hAnsi="Century Gothic"/>
          <w:sz w:val="22"/>
        </w:rPr>
        <w:t xml:space="preserve">. However </w:t>
      </w:r>
      <w:r w:rsidRPr="00B85D67">
        <w:rPr>
          <w:rFonts w:ascii="Century Gothic" w:hAnsi="Century Gothic"/>
          <w:sz w:val="22"/>
        </w:rPr>
        <w:t xml:space="preserve">for the medium and long term, DRR </w:t>
      </w:r>
      <w:r>
        <w:rPr>
          <w:rFonts w:ascii="Century Gothic" w:hAnsi="Century Gothic"/>
          <w:sz w:val="22"/>
        </w:rPr>
        <w:t xml:space="preserve">efforts </w:t>
      </w:r>
      <w:r w:rsidRPr="00B85D67">
        <w:rPr>
          <w:rFonts w:ascii="Century Gothic" w:hAnsi="Century Gothic"/>
          <w:sz w:val="22"/>
        </w:rPr>
        <w:t xml:space="preserve">should move progressively towards addressing root causes and building </w:t>
      </w:r>
      <w:r>
        <w:rPr>
          <w:rFonts w:ascii="Century Gothic" w:hAnsi="Century Gothic"/>
          <w:sz w:val="22"/>
        </w:rPr>
        <w:t xml:space="preserve">the </w:t>
      </w:r>
      <w:r w:rsidRPr="00B85D67">
        <w:rPr>
          <w:rFonts w:ascii="Century Gothic" w:hAnsi="Century Gothic"/>
          <w:sz w:val="22"/>
        </w:rPr>
        <w:t xml:space="preserve">resilience of communities. </w:t>
      </w:r>
      <w:r>
        <w:rPr>
          <w:rFonts w:ascii="Century Gothic" w:hAnsi="Century Gothic"/>
          <w:sz w:val="22"/>
        </w:rPr>
        <w:t xml:space="preserve">In order to support this debate, we have provided a more detailed discussion on the issue and the opportunities </w:t>
      </w:r>
      <w:r w:rsidRPr="00B674EF">
        <w:rPr>
          <w:rFonts w:ascii="Century Gothic" w:hAnsi="Century Gothic"/>
          <w:sz w:val="22"/>
        </w:rPr>
        <w:t>in Annex 7.</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rPr>
      </w:pPr>
    </w:p>
    <w:p w:rsidR="000B1D99" w:rsidRPr="00B10A76"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iCs/>
          <w:color w:val="8DB3E2" w:themeColor="text2" w:themeTint="66"/>
          <w:sz w:val="22"/>
        </w:rPr>
      </w:pPr>
      <w:r w:rsidRPr="00B10A76">
        <w:rPr>
          <w:rFonts w:ascii="Century Gothic" w:hAnsi="Century Gothic" w:cs="Helvetica"/>
          <w:b/>
          <w:iCs/>
          <w:color w:val="8DB3E2" w:themeColor="text2" w:themeTint="66"/>
          <w:sz w:val="22"/>
        </w:rPr>
        <w:t>Project Level Observations</w:t>
      </w:r>
    </w:p>
    <w:p w:rsidR="000B1D99" w:rsidRPr="0057406B" w:rsidRDefault="000B1D99" w:rsidP="000B1D99">
      <w:pPr>
        <w:pStyle w:val="DonnasStyle"/>
      </w:pPr>
      <w:r w:rsidRPr="007409B7">
        <w:t>The</w:t>
      </w:r>
      <w:r w:rsidRPr="007409B7">
        <w:rPr>
          <w:b/>
        </w:rPr>
        <w:t xml:space="preserve"> mitigation projects are clearly aligned with the GoV’s climate change and agricultural development strategies </w:t>
      </w:r>
      <w:r w:rsidRPr="007409B7">
        <w:t>which have established targets of 20% productivity improvement and 20% reduction in GHGs by 2020</w:t>
      </w:r>
      <w:r w:rsidRPr="007409B7">
        <w:rPr>
          <w:b/>
        </w:rPr>
        <w:t xml:space="preserve">. </w:t>
      </w:r>
      <w:r w:rsidRPr="007409B7">
        <w:rPr>
          <w:bCs w:val="0"/>
        </w:rPr>
        <w:t>In 2000, total emissions in Vietnam were 150.9 million tCO2e, of which 65.1 million tCO2e was from agriculture</w:t>
      </w:r>
      <w:r>
        <w:rPr>
          <w:bCs w:val="0"/>
        </w:rPr>
        <w:t>.</w:t>
      </w:r>
      <w:r w:rsidRPr="007409B7">
        <w:rPr>
          <w:bCs w:val="0"/>
        </w:rPr>
        <w:t xml:space="preserve"> </w:t>
      </w:r>
      <w:r>
        <w:rPr>
          <w:bCs w:val="0"/>
        </w:rPr>
        <w:t>N</w:t>
      </w:r>
      <w:r w:rsidRPr="007409B7">
        <w:rPr>
          <w:bCs w:val="0"/>
        </w:rPr>
        <w:t xml:space="preserve">early 60% of </w:t>
      </w:r>
      <w:r>
        <w:rPr>
          <w:bCs w:val="0"/>
        </w:rPr>
        <w:t xml:space="preserve">agricultural emissions </w:t>
      </w:r>
      <w:r w:rsidRPr="007409B7">
        <w:rPr>
          <w:bCs w:val="0"/>
        </w:rPr>
        <w:t xml:space="preserve">were accounted for by methane and nitrous oxide emissions from rice </w:t>
      </w:r>
      <w:r w:rsidRPr="007409B7">
        <w:rPr>
          <w:bCs w:val="0"/>
        </w:rPr>
        <w:lastRenderedPageBreak/>
        <w:t>cultivation</w:t>
      </w:r>
      <w:r w:rsidRPr="007409B7">
        <w:rPr>
          <w:bCs w:val="0"/>
          <w:vertAlign w:val="superscript"/>
        </w:rPr>
        <w:footnoteReference w:id="19"/>
      </w:r>
      <w:r w:rsidRPr="007409B7">
        <w:rPr>
          <w:bCs w:val="0"/>
        </w:rPr>
        <w:t xml:space="preserve">. </w:t>
      </w:r>
      <w:r>
        <w:rPr>
          <w:bCs w:val="0"/>
        </w:rPr>
        <w:t>W</w:t>
      </w:r>
      <w:r w:rsidRPr="007409B7">
        <w:rPr>
          <w:bCs w:val="0"/>
        </w:rPr>
        <w:t xml:space="preserve">ith over 7 million hectares of rice under cultivation in rural areas, this source of emissions has been identified </w:t>
      </w:r>
      <w:r>
        <w:rPr>
          <w:bCs w:val="0"/>
        </w:rPr>
        <w:t>as</w:t>
      </w:r>
      <w:r w:rsidRPr="007409B7">
        <w:rPr>
          <w:bCs w:val="0"/>
        </w:rPr>
        <w:t xml:space="preserve"> the key to pro-poor agricultural GHG mitigation</w:t>
      </w:r>
      <w:r w:rsidRPr="007409B7">
        <w:rPr>
          <w:rStyle w:val="FootnoteReference"/>
          <w:bCs w:val="0"/>
        </w:rPr>
        <w:footnoteReference w:id="20"/>
      </w:r>
      <w:r w:rsidRPr="007409B7">
        <w:rPr>
          <w:bCs w:val="0"/>
        </w:rPr>
        <w:t>.</w:t>
      </w:r>
      <w:r w:rsidRPr="0057406B">
        <w:t xml:space="preserve"> </w:t>
      </w:r>
    </w:p>
    <w:p w:rsidR="000B1D99" w:rsidRPr="008B61D6"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sz w:val="22"/>
        </w:rPr>
      </w:pPr>
    </w:p>
    <w:p w:rsidR="000B1D99" w:rsidRPr="008B61D6" w:rsidRDefault="000B1D99" w:rsidP="000B1D99">
      <w:pPr>
        <w:pStyle w:val="DonnasStyle"/>
      </w:pPr>
      <w:r w:rsidRPr="008B61D6">
        <w:t>The</w:t>
      </w:r>
      <w:r w:rsidRPr="008B61D6">
        <w:rPr>
          <w:b/>
        </w:rPr>
        <w:t xml:space="preserve"> mitigation projects are strongly aligned with </w:t>
      </w:r>
      <w:r>
        <w:rPr>
          <w:b/>
        </w:rPr>
        <w:t xml:space="preserve">the objective of the </w:t>
      </w:r>
      <w:r w:rsidRPr="008B61D6">
        <w:rPr>
          <w:b/>
        </w:rPr>
        <w:t>Australian Aid</w:t>
      </w:r>
      <w:r>
        <w:rPr>
          <w:b/>
        </w:rPr>
        <w:t xml:space="preserve"> program </w:t>
      </w:r>
      <w:r w:rsidRPr="008B61D6">
        <w:rPr>
          <w:b/>
        </w:rPr>
        <w:t xml:space="preserve">to promote </w:t>
      </w:r>
      <w:r>
        <w:rPr>
          <w:b/>
        </w:rPr>
        <w:t xml:space="preserve">prosperity </w:t>
      </w:r>
      <w:r>
        <w:t>and</w:t>
      </w:r>
      <w:r>
        <w:rPr>
          <w:b/>
        </w:rPr>
        <w:t xml:space="preserve"> reduce poverty</w:t>
      </w:r>
      <w:r>
        <w:rPr>
          <w:rStyle w:val="FootnoteReference"/>
          <w:b/>
        </w:rPr>
        <w:footnoteReference w:id="21"/>
      </w:r>
      <w:r w:rsidRPr="008B61D6">
        <w:rPr>
          <w:b/>
        </w:rPr>
        <w:t>.</w:t>
      </w:r>
      <w:r w:rsidRPr="008B61D6">
        <w:t xml:space="preserve"> DFAT’s Vietnam Climate Change Delivery Strategy 2011-</w:t>
      </w:r>
      <w:r>
        <w:t xml:space="preserve"> </w:t>
      </w:r>
      <w:r w:rsidRPr="008B61D6">
        <w:t>2016, articulates outcomes relating to green growth and the application of clean technologies, with specific reference to low-carbon rice production techniques</w:t>
      </w:r>
      <w:r>
        <w:rPr>
          <w:rStyle w:val="FootnoteReference"/>
        </w:rPr>
        <w:footnoteReference w:id="22"/>
      </w:r>
      <w:r w:rsidRPr="008B61D6">
        <w:t>. Both projects are implementing activities that contribute to the outcomes listed in the Strategy’s P</w:t>
      </w:r>
      <w:r>
        <w:t xml:space="preserve">erformance Assessment Framework. </w:t>
      </w:r>
    </w:p>
    <w:p w:rsidR="000B1D99" w:rsidRDefault="000B1D99" w:rsidP="000B1D99">
      <w:pPr>
        <w:pStyle w:val="DonnasStyle"/>
        <w:rPr>
          <w:color w:val="365F91" w:themeColor="accent1" w:themeShade="BF"/>
        </w:rPr>
      </w:pPr>
    </w:p>
    <w:p w:rsidR="000B1D99" w:rsidRPr="008658DF"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sz w:val="22"/>
        </w:rPr>
      </w:pPr>
      <w:r w:rsidRPr="001A391C">
        <w:rPr>
          <w:rFonts w:ascii="Century Gothic" w:hAnsi="Century Gothic" w:cs="Helvetica"/>
          <w:b/>
          <w:iCs/>
          <w:sz w:val="22"/>
        </w:rPr>
        <w:t xml:space="preserve">Adaptation efforts </w:t>
      </w:r>
      <w:r>
        <w:rPr>
          <w:rFonts w:ascii="Century Gothic" w:hAnsi="Century Gothic" w:cs="Helvetica"/>
          <w:b/>
          <w:iCs/>
          <w:sz w:val="22"/>
        </w:rPr>
        <w:t xml:space="preserve">practically respond to the </w:t>
      </w:r>
      <w:r w:rsidRPr="001A391C">
        <w:rPr>
          <w:rFonts w:ascii="Century Gothic" w:hAnsi="Century Gothic" w:cs="Helvetica"/>
          <w:b/>
          <w:iCs/>
          <w:sz w:val="22"/>
        </w:rPr>
        <w:t>objectives of the NTP-RCC</w:t>
      </w:r>
      <w:r>
        <w:rPr>
          <w:rFonts w:ascii="Century Gothic" w:hAnsi="Century Gothic" w:cs="Helvetica"/>
          <w:b/>
          <w:iCs/>
          <w:sz w:val="22"/>
        </w:rPr>
        <w:t xml:space="preserve">, VGGS and other GoV policies and programs </w:t>
      </w:r>
      <w:r w:rsidRPr="008658DF">
        <w:rPr>
          <w:rFonts w:ascii="Century Gothic" w:hAnsi="Century Gothic" w:cs="Helvetica"/>
          <w:iCs/>
          <w:sz w:val="22"/>
        </w:rPr>
        <w:t>to identify measures to respond to climate change</w:t>
      </w:r>
      <w:r>
        <w:rPr>
          <w:rFonts w:ascii="Century Gothic" w:hAnsi="Century Gothic" w:cs="Helvetica"/>
          <w:iCs/>
          <w:sz w:val="22"/>
        </w:rPr>
        <w:t>;</w:t>
      </w:r>
      <w:r w:rsidRPr="008658DF">
        <w:rPr>
          <w:rFonts w:ascii="Century Gothic" w:hAnsi="Century Gothic" w:cs="Helvetica"/>
          <w:iCs/>
          <w:sz w:val="22"/>
        </w:rPr>
        <w:t xml:space="preserve"> </w:t>
      </w:r>
      <w:r w:rsidRPr="008658DF">
        <w:rPr>
          <w:rFonts w:ascii="Century Gothic" w:hAnsi="Century Gothic"/>
          <w:sz w:val="22"/>
        </w:rPr>
        <w:t>enhance public awareness, responsibility and participation and develop human resources to respond to climate change;</w:t>
      </w:r>
      <w:r w:rsidRPr="008658DF">
        <w:rPr>
          <w:rFonts w:ascii="Century Gothic" w:hAnsi="Century Gothic" w:cs="Helvetica"/>
          <w:iCs/>
          <w:sz w:val="22"/>
        </w:rPr>
        <w:t xml:space="preserve"> </w:t>
      </w:r>
      <w:r w:rsidRPr="008658DF">
        <w:rPr>
          <w:rFonts w:ascii="Century Gothic" w:hAnsi="Century Gothic"/>
          <w:sz w:val="22"/>
        </w:rPr>
        <w:t>promote international cooperation to support climate change;</w:t>
      </w:r>
      <w:r w:rsidRPr="008658DF">
        <w:rPr>
          <w:rFonts w:ascii="Century Gothic" w:hAnsi="Century Gothic" w:cs="Helvetica"/>
          <w:iCs/>
          <w:sz w:val="22"/>
        </w:rPr>
        <w:t xml:space="preserve"> and </w:t>
      </w:r>
      <w:r w:rsidRPr="008658DF">
        <w:rPr>
          <w:rFonts w:ascii="Century Gothic" w:hAnsi="Century Gothic"/>
          <w:sz w:val="22"/>
        </w:rPr>
        <w:t>mainstream climate change issues into socio-economic, sectoral and local development strategies, plans and planning.</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b/>
          <w:iCs/>
          <w:color w:val="000000"/>
          <w:sz w:val="22"/>
        </w:rPr>
        <w:t xml:space="preserve">CCCAG adaptation projects </w:t>
      </w:r>
      <w:r w:rsidR="0075108B">
        <w:rPr>
          <w:rFonts w:ascii="Century Gothic" w:hAnsi="Century Gothic" w:cs="Helvetica"/>
          <w:b/>
          <w:iCs/>
          <w:color w:val="000000"/>
          <w:sz w:val="22"/>
        </w:rPr>
        <w:t>are trying to</w:t>
      </w:r>
      <w:r>
        <w:rPr>
          <w:rFonts w:ascii="Century Gothic" w:hAnsi="Century Gothic" w:cs="Helvetica"/>
          <w:b/>
          <w:iCs/>
          <w:color w:val="000000"/>
          <w:sz w:val="22"/>
        </w:rPr>
        <w:t xml:space="preserve"> compliment and add value to</w:t>
      </w:r>
      <w:r w:rsidRPr="00775C49">
        <w:rPr>
          <w:rFonts w:ascii="Century Gothic" w:hAnsi="Century Gothic" w:cs="Helvetica"/>
          <w:b/>
          <w:iCs/>
          <w:color w:val="000000"/>
          <w:sz w:val="22"/>
        </w:rPr>
        <w:t xml:space="preserve"> </w:t>
      </w:r>
      <w:r>
        <w:rPr>
          <w:rFonts w:ascii="Century Gothic" w:hAnsi="Century Gothic" w:cs="Helvetica"/>
          <w:b/>
          <w:iCs/>
          <w:color w:val="000000"/>
          <w:sz w:val="22"/>
        </w:rPr>
        <w:t xml:space="preserve">the </w:t>
      </w:r>
      <w:r w:rsidRPr="00775C49">
        <w:rPr>
          <w:rFonts w:ascii="Century Gothic" w:hAnsi="Century Gothic" w:cs="Helvetica"/>
          <w:b/>
          <w:iCs/>
          <w:color w:val="000000"/>
          <w:sz w:val="22"/>
        </w:rPr>
        <w:t>wider set of development priorities</w:t>
      </w:r>
      <w:r>
        <w:rPr>
          <w:rFonts w:ascii="Century Gothic" w:hAnsi="Century Gothic" w:cs="Helvetica"/>
          <w:b/>
          <w:iCs/>
          <w:color w:val="000000"/>
          <w:sz w:val="22"/>
        </w:rPr>
        <w:t xml:space="preserve"> </w:t>
      </w:r>
      <w:r w:rsidRPr="009617A3">
        <w:rPr>
          <w:rFonts w:ascii="Century Gothic" w:hAnsi="Century Gothic" w:cs="Helvetica"/>
          <w:iCs/>
          <w:color w:val="000000"/>
          <w:sz w:val="22"/>
        </w:rPr>
        <w:t>(</w:t>
      </w:r>
      <w:r>
        <w:rPr>
          <w:rFonts w:ascii="Century Gothic" w:hAnsi="Century Gothic" w:cs="Helvetica"/>
          <w:iCs/>
          <w:color w:val="000000"/>
          <w:sz w:val="22"/>
        </w:rPr>
        <w:t xml:space="preserve">including </w:t>
      </w:r>
      <w:r w:rsidRPr="009617A3">
        <w:rPr>
          <w:rFonts w:ascii="Century Gothic" w:hAnsi="Century Gothic" w:cs="Helvetica"/>
          <w:iCs/>
          <w:color w:val="000000"/>
          <w:sz w:val="22"/>
        </w:rPr>
        <w:t>poverty alleviation, gender</w:t>
      </w:r>
      <w:r>
        <w:rPr>
          <w:rFonts w:ascii="Century Gothic" w:hAnsi="Century Gothic" w:cs="Helvetica"/>
          <w:iCs/>
          <w:color w:val="000000"/>
          <w:sz w:val="22"/>
        </w:rPr>
        <w:t xml:space="preserve"> equality and DRR</w:t>
      </w:r>
      <w:r w:rsidRPr="009617A3">
        <w:rPr>
          <w:rFonts w:ascii="Century Gothic" w:hAnsi="Century Gothic" w:cs="Helvetica"/>
          <w:iCs/>
          <w:color w:val="000000"/>
          <w:sz w:val="22"/>
        </w:rPr>
        <w:t>)</w:t>
      </w:r>
      <w:r w:rsidRPr="009617A3">
        <w:rPr>
          <w:rFonts w:ascii="Century Gothic" w:hAnsi="Century Gothic" w:cs="Helvetica"/>
          <w:b/>
          <w:iCs/>
          <w:color w:val="000000"/>
          <w:sz w:val="22"/>
        </w:rPr>
        <w:t xml:space="preserve"> </w:t>
      </w:r>
      <w:r>
        <w:rPr>
          <w:rFonts w:ascii="Century Gothic" w:hAnsi="Century Gothic" w:cs="Helvetica"/>
          <w:b/>
          <w:iCs/>
          <w:color w:val="000000"/>
          <w:sz w:val="22"/>
        </w:rPr>
        <w:t xml:space="preserve">by contributing to </w:t>
      </w:r>
      <w:r w:rsidRPr="00092B84">
        <w:rPr>
          <w:rFonts w:ascii="Century Gothic" w:hAnsi="Century Gothic" w:cs="Helvetica"/>
          <w:b/>
          <w:iCs/>
          <w:color w:val="000000"/>
          <w:sz w:val="22"/>
        </w:rPr>
        <w:t>government planning systems and programs</w:t>
      </w:r>
      <w:r w:rsidR="00951920">
        <w:rPr>
          <w:rFonts w:ascii="Century Gothic" w:hAnsi="Century Gothic" w:cs="Helvetica"/>
          <w:b/>
          <w:iCs/>
          <w:color w:val="000000"/>
          <w:sz w:val="22"/>
        </w:rPr>
        <w:t>,</w:t>
      </w:r>
      <w:r w:rsidRPr="00092B84">
        <w:rPr>
          <w:rFonts w:ascii="Century Gothic" w:hAnsi="Century Gothic" w:cs="Helvetica"/>
          <w:b/>
          <w:iCs/>
          <w:color w:val="000000"/>
          <w:sz w:val="22"/>
        </w:rPr>
        <w:t xml:space="preserve"> and working through mass organisations.</w:t>
      </w:r>
      <w:r>
        <w:rPr>
          <w:rFonts w:ascii="Century Gothic" w:hAnsi="Century Gothic" w:cs="Helvetica"/>
          <w:iCs/>
          <w:color w:val="000000"/>
          <w:sz w:val="22"/>
        </w:rPr>
        <w:t xml:space="preserve"> Partners have supported participatory capacity and vulnerability assessments which have been integrated within the Social and Economic Development Planning (SEDP) process and plans at the commune and district levels. The use of pro-poor approaches seek to ensure that the needs of the most vulnerable are identified and addressed.</w:t>
      </w:r>
    </w:p>
    <w:p w:rsidR="000B1D99" w:rsidRPr="00882897" w:rsidRDefault="000B1D99" w:rsidP="000B1D99">
      <w:pPr>
        <w:pStyle w:val="Heading3"/>
      </w:pPr>
      <w:bookmarkStart w:id="30" w:name="_Toc265573229"/>
      <w:bookmarkStart w:id="31" w:name="_Toc266010032"/>
      <w:r>
        <w:t>4.2. Effectiveness</w:t>
      </w:r>
      <w:bookmarkEnd w:id="30"/>
      <w:bookmarkEnd w:id="31"/>
      <w:r>
        <w:t xml:space="preserve"> </w:t>
      </w:r>
    </w:p>
    <w:p w:rsidR="000B1D99" w:rsidRPr="00B10A76" w:rsidRDefault="000B1D99" w:rsidP="000B1D99">
      <w:pPr>
        <w:pStyle w:val="DonnasStyle"/>
        <w:rPr>
          <w:color w:val="8DB3E2" w:themeColor="text2" w:themeTint="66"/>
        </w:rPr>
      </w:pPr>
      <w:r w:rsidRPr="00B10A76">
        <w:rPr>
          <w:b/>
          <w:i/>
          <w:color w:val="8DB3E2" w:themeColor="text2" w:themeTint="66"/>
        </w:rPr>
        <w:t>Program Level Observations</w:t>
      </w:r>
    </w:p>
    <w:p w:rsidR="000B1D99" w:rsidRPr="006604C1" w:rsidRDefault="000B1D99" w:rsidP="000B1D99">
      <w:pPr>
        <w:pStyle w:val="DonnasStyle"/>
      </w:pPr>
      <w:r>
        <w:t xml:space="preserve">The Review found </w:t>
      </w:r>
      <w:r w:rsidRPr="00D352CB">
        <w:rPr>
          <w:b/>
        </w:rPr>
        <w:t xml:space="preserve">evidence of progress by all partners against their own objectives </w:t>
      </w:r>
      <w:r>
        <w:rPr>
          <w:b/>
        </w:rPr>
        <w:t>and</w:t>
      </w:r>
      <w:r w:rsidRPr="00D352CB">
        <w:rPr>
          <w:b/>
        </w:rPr>
        <w:t xml:space="preserve"> the CCCAG Result Areas</w:t>
      </w:r>
      <w:r>
        <w:t>. Emerging outcomes include:</w:t>
      </w:r>
    </w:p>
    <w:p w:rsidR="000B1D99" w:rsidRDefault="000B1D99" w:rsidP="000B1D99">
      <w:pPr>
        <w:pStyle w:val="DonnasStyle"/>
        <w:rPr>
          <w:rFonts w:cs="Arial"/>
          <w:bCs w:val="0"/>
          <w:color w:val="660066"/>
          <w:szCs w:val="22"/>
        </w:rPr>
      </w:pPr>
    </w:p>
    <w:p w:rsidR="000B1D99" w:rsidRPr="00CF0CFB" w:rsidRDefault="000B1D99" w:rsidP="000B1D99">
      <w:pPr>
        <w:pStyle w:val="DonnasStyle"/>
        <w:numPr>
          <w:ilvl w:val="0"/>
          <w:numId w:val="28"/>
        </w:numPr>
        <w:rPr>
          <w:rFonts w:cs="Arial"/>
          <w:szCs w:val="22"/>
        </w:rPr>
      </w:pPr>
      <w:r>
        <w:rPr>
          <w:rFonts w:cs="Arial"/>
          <w:color w:val="660066"/>
          <w:szCs w:val="22"/>
        </w:rPr>
        <w:t>‘</w:t>
      </w:r>
      <w:r w:rsidRPr="00CF0CFB">
        <w:rPr>
          <w:rFonts w:cs="Arial"/>
          <w:szCs w:val="22"/>
        </w:rPr>
        <w:t xml:space="preserve">Green’ rice production </w:t>
      </w:r>
      <w:r>
        <w:rPr>
          <w:rFonts w:cs="Arial"/>
          <w:szCs w:val="22"/>
        </w:rPr>
        <w:t xml:space="preserve">(EDF, SNV) </w:t>
      </w:r>
      <w:r w:rsidR="004A1E7C">
        <w:rPr>
          <w:rFonts w:cs="Arial"/>
          <w:szCs w:val="22"/>
        </w:rPr>
        <w:t>demonstrate increased yields and</w:t>
      </w:r>
      <w:r w:rsidRPr="00CF0CFB">
        <w:rPr>
          <w:rFonts w:cs="Arial"/>
          <w:szCs w:val="22"/>
        </w:rPr>
        <w:t xml:space="preserve"> lower inputs </w:t>
      </w:r>
      <w:r>
        <w:rPr>
          <w:rFonts w:cs="Arial"/>
          <w:szCs w:val="22"/>
        </w:rPr>
        <w:t>which</w:t>
      </w:r>
      <w:r w:rsidR="004A1E7C">
        <w:rPr>
          <w:rFonts w:cs="Arial"/>
          <w:szCs w:val="22"/>
        </w:rPr>
        <w:t xml:space="preserve"> has</w:t>
      </w:r>
      <w:r w:rsidRPr="00CF0CFB">
        <w:rPr>
          <w:rFonts w:cs="Arial"/>
          <w:szCs w:val="22"/>
        </w:rPr>
        <w:t xml:space="preserve"> provided economic benefits for households while reducing GHG emissions;</w:t>
      </w:r>
    </w:p>
    <w:p w:rsidR="000B1D99" w:rsidRDefault="000B1D99" w:rsidP="000B1D99">
      <w:pPr>
        <w:pStyle w:val="ListParagraph"/>
        <w:numPr>
          <w:ilvl w:val="0"/>
          <w:numId w:val="28"/>
        </w:numPr>
        <w:spacing w:after="120" w:line="240" w:lineRule="atLeast"/>
        <w:jc w:val="both"/>
        <w:rPr>
          <w:rFonts w:ascii="Century Gothic" w:hAnsi="Century Gothic" w:cs="Arial"/>
          <w:sz w:val="22"/>
          <w:szCs w:val="22"/>
        </w:rPr>
      </w:pPr>
      <w:r w:rsidRPr="00CF0CFB">
        <w:rPr>
          <w:rFonts w:ascii="Century Gothic" w:hAnsi="Century Gothic" w:cs="Arial"/>
          <w:sz w:val="22"/>
          <w:szCs w:val="22"/>
        </w:rPr>
        <w:t xml:space="preserve">Mitigation projects have worked with universities and government agencies, developing a rigorous approach to scientific research and data collection which has enabled the development of a strong evidence base which </w:t>
      </w:r>
      <w:r>
        <w:rPr>
          <w:rFonts w:ascii="Century Gothic" w:hAnsi="Century Gothic" w:cs="Arial"/>
          <w:sz w:val="22"/>
          <w:szCs w:val="22"/>
        </w:rPr>
        <w:t xml:space="preserve">is being </w:t>
      </w:r>
      <w:r w:rsidRPr="00CF0CFB">
        <w:rPr>
          <w:rFonts w:ascii="Century Gothic" w:hAnsi="Century Gothic" w:cs="Arial"/>
          <w:sz w:val="22"/>
          <w:szCs w:val="22"/>
        </w:rPr>
        <w:t>used to inform policy</w:t>
      </w:r>
      <w:r>
        <w:rPr>
          <w:rFonts w:ascii="Century Gothic" w:hAnsi="Century Gothic" w:cs="Arial"/>
          <w:sz w:val="22"/>
          <w:szCs w:val="22"/>
        </w:rPr>
        <w:t xml:space="preserve"> dialogue at provincial and national levels</w:t>
      </w:r>
      <w:r w:rsidRPr="00CF0CFB">
        <w:rPr>
          <w:rFonts w:ascii="Century Gothic" w:hAnsi="Century Gothic" w:cs="Arial"/>
          <w:sz w:val="22"/>
          <w:szCs w:val="22"/>
        </w:rPr>
        <w:t>;</w:t>
      </w:r>
      <w:r>
        <w:rPr>
          <w:rFonts w:ascii="Century Gothic" w:hAnsi="Century Gothic" w:cs="Arial"/>
          <w:sz w:val="22"/>
          <w:szCs w:val="22"/>
        </w:rPr>
        <w:t xml:space="preserve"> </w:t>
      </w:r>
    </w:p>
    <w:p w:rsidR="000B1D99" w:rsidRPr="00CF0CFB" w:rsidRDefault="000B1D99" w:rsidP="000B1D99">
      <w:pPr>
        <w:pStyle w:val="ListParagraph"/>
        <w:numPr>
          <w:ilvl w:val="0"/>
          <w:numId w:val="28"/>
        </w:numPr>
        <w:spacing w:after="120" w:line="240" w:lineRule="atLeast"/>
        <w:jc w:val="both"/>
        <w:rPr>
          <w:rFonts w:ascii="Century Gothic" w:hAnsi="Century Gothic" w:cs="Arial"/>
          <w:sz w:val="22"/>
          <w:szCs w:val="22"/>
        </w:rPr>
      </w:pPr>
      <w:r>
        <w:rPr>
          <w:rFonts w:ascii="Century Gothic" w:hAnsi="Century Gothic" w:cs="Arial"/>
          <w:sz w:val="22"/>
          <w:szCs w:val="22"/>
        </w:rPr>
        <w:t>Enabling opportunities for civil society actors to engage with local government to test community based approaches to adaptation;</w:t>
      </w:r>
    </w:p>
    <w:p w:rsidR="000B1D99" w:rsidRPr="00CF0CFB" w:rsidRDefault="000B1D99" w:rsidP="000B1D99">
      <w:pPr>
        <w:pStyle w:val="ListParagraph"/>
        <w:numPr>
          <w:ilvl w:val="0"/>
          <w:numId w:val="28"/>
        </w:numPr>
        <w:spacing w:after="120" w:line="240" w:lineRule="atLeast"/>
        <w:jc w:val="both"/>
        <w:rPr>
          <w:rFonts w:ascii="Century Gothic" w:hAnsi="Century Gothic" w:cs="Arial"/>
          <w:sz w:val="22"/>
          <w:szCs w:val="22"/>
        </w:rPr>
      </w:pPr>
      <w:r w:rsidRPr="00CF0CFB">
        <w:rPr>
          <w:rFonts w:ascii="Century Gothic" w:hAnsi="Century Gothic" w:cs="Arial"/>
          <w:sz w:val="22"/>
          <w:szCs w:val="22"/>
        </w:rPr>
        <w:t xml:space="preserve">The development of guidelines for participatory capacity and vulnerability assessment and the piloting of these processes at the community level has led an increased voice </w:t>
      </w:r>
      <w:r>
        <w:rPr>
          <w:rFonts w:ascii="Century Gothic" w:hAnsi="Century Gothic" w:cs="Arial"/>
          <w:sz w:val="22"/>
          <w:szCs w:val="22"/>
        </w:rPr>
        <w:t>for</w:t>
      </w:r>
      <w:r w:rsidRPr="00CF0CFB">
        <w:rPr>
          <w:rFonts w:ascii="Century Gothic" w:hAnsi="Century Gothic" w:cs="Arial"/>
          <w:sz w:val="22"/>
          <w:szCs w:val="22"/>
        </w:rPr>
        <w:t xml:space="preserve"> vulnerable people and the integration of these approaches within local development plans (SEDP);</w:t>
      </w:r>
    </w:p>
    <w:p w:rsidR="000B1D99" w:rsidRPr="00CF0CFB" w:rsidRDefault="000B1D99" w:rsidP="000B1D99">
      <w:pPr>
        <w:pStyle w:val="ListParagraph"/>
        <w:numPr>
          <w:ilvl w:val="0"/>
          <w:numId w:val="28"/>
        </w:numPr>
        <w:spacing w:after="120" w:line="240" w:lineRule="atLeast"/>
        <w:jc w:val="both"/>
        <w:rPr>
          <w:rFonts w:ascii="Century Gothic" w:hAnsi="Century Gothic" w:cs="Arial"/>
          <w:sz w:val="22"/>
          <w:szCs w:val="22"/>
        </w:rPr>
      </w:pPr>
      <w:r w:rsidRPr="00CF0CFB">
        <w:rPr>
          <w:rFonts w:ascii="Century Gothic" w:hAnsi="Century Gothic" w:cs="Arial"/>
          <w:sz w:val="22"/>
          <w:szCs w:val="22"/>
        </w:rPr>
        <w:t>The promotion of gender and socially inclusive practices, particularly with regard to the targeting of women and other vulnerable groups including People Living with Disability (PLWD), female headed households, the poor, landless and ethnic minorities;</w:t>
      </w:r>
    </w:p>
    <w:p w:rsidR="000B1D99" w:rsidRPr="00CF0CFB" w:rsidRDefault="000B1D99" w:rsidP="000B1D99">
      <w:pPr>
        <w:pStyle w:val="ListParagraph"/>
        <w:numPr>
          <w:ilvl w:val="0"/>
          <w:numId w:val="28"/>
        </w:numPr>
        <w:spacing w:after="120" w:line="240" w:lineRule="atLeast"/>
        <w:jc w:val="both"/>
        <w:rPr>
          <w:rFonts w:ascii="Century Gothic" w:hAnsi="Century Gothic" w:cs="Arial"/>
          <w:sz w:val="22"/>
          <w:szCs w:val="22"/>
        </w:rPr>
      </w:pPr>
      <w:r>
        <w:rPr>
          <w:rFonts w:ascii="Century Gothic" w:hAnsi="Century Gothic" w:cs="Arial"/>
          <w:sz w:val="22"/>
          <w:szCs w:val="22"/>
        </w:rPr>
        <w:lastRenderedPageBreak/>
        <w:t>A</w:t>
      </w:r>
      <w:r w:rsidRPr="00CF0CFB">
        <w:rPr>
          <w:rFonts w:ascii="Century Gothic" w:hAnsi="Century Gothic" w:cs="Arial"/>
          <w:sz w:val="22"/>
          <w:szCs w:val="22"/>
        </w:rPr>
        <w:t>ccess</w:t>
      </w:r>
      <w:r>
        <w:rPr>
          <w:rFonts w:ascii="Century Gothic" w:hAnsi="Century Gothic" w:cs="Arial"/>
          <w:sz w:val="22"/>
          <w:szCs w:val="22"/>
        </w:rPr>
        <w:t xml:space="preserve"> to</w:t>
      </w:r>
      <w:r w:rsidRPr="00CF0CFB">
        <w:rPr>
          <w:rFonts w:ascii="Century Gothic" w:hAnsi="Century Gothic" w:cs="Arial"/>
          <w:sz w:val="22"/>
          <w:szCs w:val="22"/>
        </w:rPr>
        <w:t xml:space="preserve"> pro-poor financing for vulnerable groups</w:t>
      </w:r>
      <w:r>
        <w:rPr>
          <w:rFonts w:ascii="Century Gothic" w:hAnsi="Century Gothic" w:cs="Arial"/>
          <w:sz w:val="22"/>
          <w:szCs w:val="22"/>
        </w:rPr>
        <w:t xml:space="preserve"> </w:t>
      </w:r>
      <w:r w:rsidRPr="00CF0CFB">
        <w:rPr>
          <w:rFonts w:ascii="Century Gothic" w:hAnsi="Century Gothic" w:cs="Arial"/>
          <w:sz w:val="22"/>
          <w:szCs w:val="22"/>
        </w:rPr>
        <w:t xml:space="preserve">including through </w:t>
      </w:r>
      <w:r>
        <w:rPr>
          <w:rFonts w:ascii="Century Gothic" w:hAnsi="Century Gothic" w:cs="Arial"/>
          <w:sz w:val="22"/>
          <w:szCs w:val="22"/>
        </w:rPr>
        <w:t xml:space="preserve">loans from </w:t>
      </w:r>
      <w:r w:rsidRPr="00CF0CFB">
        <w:rPr>
          <w:rFonts w:ascii="Century Gothic" w:hAnsi="Century Gothic" w:cs="Arial"/>
          <w:sz w:val="22"/>
          <w:szCs w:val="22"/>
        </w:rPr>
        <w:t xml:space="preserve">the Bank for the Poor </w:t>
      </w:r>
      <w:r>
        <w:rPr>
          <w:rFonts w:ascii="Century Gothic" w:hAnsi="Century Gothic" w:cs="Arial"/>
          <w:sz w:val="22"/>
          <w:szCs w:val="22"/>
        </w:rPr>
        <w:t>(OXFAM), and</w:t>
      </w:r>
      <w:r w:rsidRPr="00CF0CFB">
        <w:rPr>
          <w:rFonts w:ascii="Century Gothic" w:hAnsi="Century Gothic" w:cs="Arial"/>
          <w:sz w:val="22"/>
          <w:szCs w:val="22"/>
        </w:rPr>
        <w:t xml:space="preserve"> the development of new microfinance instruments managed by the W</w:t>
      </w:r>
      <w:r w:rsidR="00331DDB">
        <w:rPr>
          <w:rFonts w:ascii="Century Gothic" w:hAnsi="Century Gothic" w:cs="Arial"/>
          <w:sz w:val="22"/>
          <w:szCs w:val="22"/>
        </w:rPr>
        <w:t>omens’ Union ((WU)</w:t>
      </w:r>
      <w:r>
        <w:rPr>
          <w:rFonts w:ascii="Century Gothic" w:hAnsi="Century Gothic" w:cs="Arial"/>
          <w:sz w:val="22"/>
          <w:szCs w:val="22"/>
        </w:rPr>
        <w:t xml:space="preserve"> (CARE);</w:t>
      </w:r>
    </w:p>
    <w:p w:rsidR="000B1D99" w:rsidRPr="00CF0CFB" w:rsidRDefault="000B1D99" w:rsidP="000B1D99">
      <w:pPr>
        <w:pStyle w:val="ListParagraph"/>
        <w:numPr>
          <w:ilvl w:val="0"/>
          <w:numId w:val="28"/>
        </w:numPr>
        <w:spacing w:after="120" w:line="240" w:lineRule="atLeast"/>
        <w:jc w:val="both"/>
        <w:rPr>
          <w:rFonts w:ascii="Century Gothic" w:hAnsi="Century Gothic" w:cs="Arial"/>
          <w:sz w:val="22"/>
          <w:szCs w:val="22"/>
        </w:rPr>
      </w:pPr>
      <w:r w:rsidRPr="00CF0CFB">
        <w:rPr>
          <w:rFonts w:ascii="Century Gothic" w:hAnsi="Century Gothic" w:cs="Arial"/>
          <w:sz w:val="22"/>
          <w:szCs w:val="22"/>
        </w:rPr>
        <w:t>The development of quality, child-centred climate change communications materials and teaching resources</w:t>
      </w:r>
      <w:r>
        <w:rPr>
          <w:rFonts w:ascii="Century Gothic" w:hAnsi="Century Gothic" w:cs="Arial"/>
          <w:sz w:val="22"/>
          <w:szCs w:val="22"/>
        </w:rPr>
        <w:t xml:space="preserve"> (SC) and support for the integration of climate change and DRR into school curricula (ARC, PLAN, SC).</w:t>
      </w:r>
    </w:p>
    <w:p w:rsidR="000B1D99" w:rsidRDefault="000B1D99" w:rsidP="000B1D99">
      <w:pPr>
        <w:pStyle w:val="DonnasStyle"/>
      </w:pPr>
      <w:r>
        <w:t>Additional examples are dispersed throughout the various sections of this report. In response to the key evaluation questions, Annex 8 provides a summary of the characteristics of successful initiatives to support future design considerations.</w:t>
      </w:r>
    </w:p>
    <w:p w:rsidR="000B1D99" w:rsidRDefault="000B1D99" w:rsidP="000B1D99">
      <w:pPr>
        <w:pStyle w:val="DonnasStyle"/>
      </w:pPr>
    </w:p>
    <w:p w:rsidR="00E14854" w:rsidRDefault="00E14854" w:rsidP="000B1D99">
      <w:pPr>
        <w:pStyle w:val="DonnasStyle"/>
        <w:rPr>
          <w:b/>
          <w:color w:val="8DB3E2" w:themeColor="text2" w:themeTint="66"/>
        </w:rPr>
      </w:pPr>
      <w:r w:rsidRPr="00E14854">
        <w:rPr>
          <w:b/>
          <w:color w:val="8DB3E2" w:themeColor="text2" w:themeTint="66"/>
        </w:rPr>
        <w:t>F</w:t>
      </w:r>
      <w:r w:rsidR="000B1D99" w:rsidRPr="00E14854">
        <w:rPr>
          <w:b/>
          <w:color w:val="8DB3E2" w:themeColor="text2" w:themeTint="66"/>
        </w:rPr>
        <w:t xml:space="preserve">actors </w:t>
      </w:r>
      <w:r w:rsidR="00DD521E">
        <w:rPr>
          <w:b/>
          <w:color w:val="8DB3E2" w:themeColor="text2" w:themeTint="66"/>
        </w:rPr>
        <w:t>Impacting</w:t>
      </w:r>
      <w:r>
        <w:rPr>
          <w:b/>
          <w:color w:val="8DB3E2" w:themeColor="text2" w:themeTint="66"/>
        </w:rPr>
        <w:t xml:space="preserve"> Effectiveness</w:t>
      </w:r>
    </w:p>
    <w:p w:rsidR="000B1D99" w:rsidRPr="00007137" w:rsidRDefault="000B1D99" w:rsidP="000B1D99">
      <w:pPr>
        <w:pStyle w:val="DonnasStyle"/>
        <w:rPr>
          <w:rFonts w:cs="Arial"/>
          <w:szCs w:val="22"/>
        </w:rPr>
      </w:pPr>
      <w:r w:rsidRPr="00B20440">
        <w:rPr>
          <w:rFonts w:cs="Arial"/>
          <w:b/>
          <w:szCs w:val="22"/>
        </w:rPr>
        <w:t>The structure of CCCAG as a grant mechani</w:t>
      </w:r>
      <w:r>
        <w:rPr>
          <w:rFonts w:cs="Arial"/>
          <w:b/>
          <w:szCs w:val="22"/>
        </w:rPr>
        <w:t>sm financing stand-alone, short-</w:t>
      </w:r>
      <w:r w:rsidRPr="00B20440">
        <w:rPr>
          <w:rFonts w:cs="Arial"/>
          <w:b/>
          <w:szCs w:val="22"/>
        </w:rPr>
        <w:t>term investments in an emerging sector presents challenges to both DFAT and its partners in demonstrating effectiveness</w:t>
      </w:r>
      <w:r w:rsidRPr="00007137">
        <w:rPr>
          <w:rFonts w:cs="Arial"/>
          <w:szCs w:val="22"/>
        </w:rPr>
        <w:t xml:space="preserve">. </w:t>
      </w:r>
      <w:r w:rsidR="002B72B9">
        <w:rPr>
          <w:rFonts w:cs="Arial"/>
          <w:szCs w:val="22"/>
        </w:rPr>
        <w:t>Three</w:t>
      </w:r>
      <w:r w:rsidRPr="00007137">
        <w:rPr>
          <w:rFonts w:cs="Arial"/>
          <w:szCs w:val="22"/>
        </w:rPr>
        <w:t xml:space="preserve"> </w:t>
      </w:r>
      <w:r>
        <w:rPr>
          <w:rFonts w:cs="Arial"/>
          <w:szCs w:val="22"/>
        </w:rPr>
        <w:t xml:space="preserve">interrelated </w:t>
      </w:r>
      <w:r w:rsidRPr="00007137">
        <w:rPr>
          <w:rFonts w:cs="Arial"/>
          <w:szCs w:val="22"/>
        </w:rPr>
        <w:t xml:space="preserve">issues </w:t>
      </w:r>
      <w:r w:rsidR="002B72B9">
        <w:rPr>
          <w:rFonts w:cs="Arial"/>
          <w:szCs w:val="22"/>
        </w:rPr>
        <w:t>impact</w:t>
      </w:r>
      <w:r w:rsidRPr="00007137">
        <w:rPr>
          <w:rFonts w:cs="Arial"/>
          <w:szCs w:val="22"/>
        </w:rPr>
        <w:t xml:space="preserve"> effectiveness: </w:t>
      </w:r>
      <w:r>
        <w:rPr>
          <w:rFonts w:cs="Arial"/>
          <w:szCs w:val="22"/>
        </w:rPr>
        <w:t xml:space="preserve">i. striking a balance between testing and delivering results; ii. </w:t>
      </w:r>
      <w:r w:rsidRPr="00007137">
        <w:rPr>
          <w:rFonts w:cs="Arial"/>
          <w:szCs w:val="22"/>
        </w:rPr>
        <w:t>the absence of an overarching program logic</w:t>
      </w:r>
      <w:r>
        <w:rPr>
          <w:rFonts w:cs="Arial"/>
          <w:szCs w:val="22"/>
        </w:rPr>
        <w:t>/T</w:t>
      </w:r>
      <w:r w:rsidR="002B72B9">
        <w:rPr>
          <w:rFonts w:cs="Arial"/>
          <w:szCs w:val="22"/>
        </w:rPr>
        <w:t>heory of Change (T</w:t>
      </w:r>
      <w:r>
        <w:rPr>
          <w:rFonts w:cs="Arial"/>
          <w:szCs w:val="22"/>
        </w:rPr>
        <w:t>oC</w:t>
      </w:r>
      <w:r w:rsidR="002B72B9">
        <w:rPr>
          <w:rFonts w:cs="Arial"/>
          <w:szCs w:val="22"/>
        </w:rPr>
        <w:t>)</w:t>
      </w:r>
      <w:r w:rsidRPr="00007137">
        <w:rPr>
          <w:rFonts w:cs="Arial"/>
          <w:szCs w:val="22"/>
        </w:rPr>
        <w:t xml:space="preserve"> and  i</w:t>
      </w:r>
      <w:r>
        <w:rPr>
          <w:rFonts w:cs="Arial"/>
          <w:szCs w:val="22"/>
        </w:rPr>
        <w:t>i</w:t>
      </w:r>
      <w:r w:rsidRPr="00007137">
        <w:rPr>
          <w:rFonts w:cs="Arial"/>
          <w:szCs w:val="22"/>
        </w:rPr>
        <w:t>i. the short implementation period.</w:t>
      </w:r>
    </w:p>
    <w:p w:rsidR="000B1D99" w:rsidRDefault="000B1D99" w:rsidP="000B1D99">
      <w:pPr>
        <w:pStyle w:val="DonnasStyle"/>
      </w:pPr>
    </w:p>
    <w:p w:rsidR="000B1D99" w:rsidRDefault="000B1D99" w:rsidP="000B1D99">
      <w:pPr>
        <w:pStyle w:val="DonnasStyle"/>
        <w:rPr>
          <w:rFonts w:cs="Arial"/>
          <w:szCs w:val="22"/>
        </w:rPr>
      </w:pPr>
      <w:r w:rsidRPr="001A5922">
        <w:rPr>
          <w:rFonts w:cs="Arial"/>
          <w:szCs w:val="22"/>
        </w:rPr>
        <w:t xml:space="preserve">While in fairness, the intended purpose of CCCAG and its supported projects, would best be viewed </w:t>
      </w:r>
      <w:r>
        <w:rPr>
          <w:rFonts w:cs="Arial"/>
          <w:szCs w:val="22"/>
        </w:rPr>
        <w:t xml:space="preserve">as </w:t>
      </w:r>
      <w:r w:rsidRPr="001A5922">
        <w:rPr>
          <w:rFonts w:cs="Arial"/>
          <w:szCs w:val="22"/>
        </w:rPr>
        <w:t xml:space="preserve">an early investment aimed at engaging DFAT and its partners in an emerging sector, </w:t>
      </w:r>
      <w:r>
        <w:rPr>
          <w:rFonts w:cs="Arial"/>
          <w:szCs w:val="22"/>
        </w:rPr>
        <w:t>allowing them to</w:t>
      </w:r>
      <w:r w:rsidRPr="001A5922">
        <w:rPr>
          <w:rFonts w:cs="Arial"/>
          <w:szCs w:val="22"/>
        </w:rPr>
        <w:t xml:space="preserve"> test potential approaches and key relationships, this was not </w:t>
      </w:r>
      <w:r>
        <w:rPr>
          <w:rFonts w:cs="Arial"/>
          <w:szCs w:val="22"/>
        </w:rPr>
        <w:t>made explicit</w:t>
      </w:r>
      <w:r w:rsidRPr="001A5922">
        <w:rPr>
          <w:rFonts w:cs="Arial"/>
          <w:szCs w:val="22"/>
        </w:rPr>
        <w:t>.</w:t>
      </w:r>
      <w:r>
        <w:rPr>
          <w:rFonts w:cs="Arial"/>
          <w:color w:val="660066"/>
          <w:szCs w:val="22"/>
        </w:rPr>
        <w:t xml:space="preserve"> </w:t>
      </w:r>
      <w:r w:rsidRPr="00B20440">
        <w:rPr>
          <w:rFonts w:cs="Arial"/>
          <w:szCs w:val="22"/>
        </w:rPr>
        <w:t xml:space="preserve">There was </w:t>
      </w:r>
      <w:r>
        <w:rPr>
          <w:rFonts w:cs="Arial"/>
          <w:szCs w:val="22"/>
        </w:rPr>
        <w:t>a</w:t>
      </w:r>
      <w:r w:rsidRPr="00B20440">
        <w:rPr>
          <w:rFonts w:cs="Arial"/>
          <w:szCs w:val="22"/>
        </w:rPr>
        <w:t xml:space="preserve"> level of </w:t>
      </w:r>
      <w:r w:rsidRPr="00061906">
        <w:rPr>
          <w:rFonts w:cs="Arial"/>
          <w:b/>
          <w:szCs w:val="22"/>
        </w:rPr>
        <w:t>mixed messaging between</w:t>
      </w:r>
      <w:r w:rsidR="004A1E7C">
        <w:rPr>
          <w:rFonts w:cs="Arial"/>
          <w:b/>
          <w:szCs w:val="22"/>
        </w:rPr>
        <w:t xml:space="preserve"> the opportunity presented by ”</w:t>
      </w:r>
      <w:r w:rsidRPr="00061906">
        <w:rPr>
          <w:rFonts w:cs="Arial"/>
          <w:b/>
          <w:szCs w:val="22"/>
        </w:rPr>
        <w:t>fast start” funding and the expectation that projects would deliver high level results in a short timeframe</w:t>
      </w:r>
      <w:r>
        <w:rPr>
          <w:rFonts w:cs="Arial"/>
          <w:szCs w:val="22"/>
        </w:rPr>
        <w:t>. This contributed to some mismatch between projects and the funding mechanism</w:t>
      </w:r>
      <w:r w:rsidRPr="00B20440">
        <w:rPr>
          <w:rFonts w:cs="Arial"/>
          <w:szCs w:val="22"/>
        </w:rPr>
        <w:t>.</w:t>
      </w:r>
      <w:r>
        <w:rPr>
          <w:rFonts w:cs="Arial"/>
          <w:szCs w:val="22"/>
        </w:rPr>
        <w:t xml:space="preserve"> </w:t>
      </w:r>
    </w:p>
    <w:p w:rsidR="0032489B" w:rsidRDefault="0032489B" w:rsidP="000B1D99">
      <w:pPr>
        <w:pStyle w:val="DonnasStyle"/>
        <w:rPr>
          <w:rFonts w:cs="Arial"/>
          <w:szCs w:val="22"/>
        </w:rPr>
      </w:pPr>
    </w:p>
    <w:p w:rsidR="0032489B" w:rsidRP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r w:rsidRPr="0032489B">
        <w:rPr>
          <w:rFonts w:ascii="Century Gothic" w:hAnsi="Century Gothic"/>
          <w:sz w:val="18"/>
        </w:rPr>
        <w:t xml:space="preserve">“The whole process / design of CCCAG created a lot of challenges. </w:t>
      </w:r>
    </w:p>
    <w:p w:rsidR="0032489B" w:rsidRP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p>
    <w:p w:rsidR="0032489B" w:rsidRP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r w:rsidRPr="0032489B">
        <w:rPr>
          <w:rFonts w:ascii="Century Gothic" w:hAnsi="Century Gothic"/>
          <w:sz w:val="18"/>
        </w:rPr>
        <w:t xml:space="preserve">We didn’t have clarity. It was not clear if we wanted innovation or to address quantity. </w:t>
      </w:r>
    </w:p>
    <w:p w:rsidR="0032489B" w:rsidRP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p>
    <w:p w:rsidR="0032489B" w:rsidRP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r w:rsidRPr="0032489B">
        <w:rPr>
          <w:rFonts w:ascii="Century Gothic" w:hAnsi="Century Gothic"/>
          <w:sz w:val="18"/>
        </w:rPr>
        <w:t>We really do need to have clearer expectations next time … “</w:t>
      </w:r>
    </w:p>
    <w:p w:rsid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right"/>
        <w:rPr>
          <w:rFonts w:ascii="Century Gothic" w:hAnsi="Century Gothic"/>
          <w:sz w:val="18"/>
        </w:rPr>
      </w:pPr>
    </w:p>
    <w:p w:rsidR="0032489B" w:rsidRP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right"/>
        <w:rPr>
          <w:rFonts w:ascii="Century Gothic" w:hAnsi="Century Gothic"/>
          <w:sz w:val="18"/>
        </w:rPr>
      </w:pPr>
      <w:r w:rsidRPr="0032489B">
        <w:rPr>
          <w:rFonts w:ascii="Century Gothic" w:hAnsi="Century Gothic"/>
          <w:sz w:val="18"/>
        </w:rPr>
        <w:t>Anonymous (DFAT)</w:t>
      </w:r>
    </w:p>
    <w:p w:rsidR="0032489B" w:rsidRDefault="0032489B" w:rsidP="000B1D99">
      <w:pPr>
        <w:pStyle w:val="DonnasStyle"/>
        <w:rPr>
          <w:rFonts w:cs="Arial"/>
          <w:szCs w:val="22"/>
        </w:rPr>
      </w:pPr>
    </w:p>
    <w:p w:rsidR="000B1D99" w:rsidRDefault="000B1D99" w:rsidP="000B1D99">
      <w:pPr>
        <w:pStyle w:val="DonnasStyle"/>
      </w:pPr>
      <w:r w:rsidRPr="00E44339">
        <w:t xml:space="preserve">The Review views this mismatch as a two-way responsibility based on </w:t>
      </w:r>
      <w:r w:rsidRPr="00E44339">
        <w:rPr>
          <w:b/>
        </w:rPr>
        <w:t>multiple trade</w:t>
      </w:r>
      <w:r w:rsidR="00617CC8" w:rsidRPr="00E44339">
        <w:rPr>
          <w:b/>
        </w:rPr>
        <w:t>-</w:t>
      </w:r>
      <w:r w:rsidRPr="00E44339">
        <w:rPr>
          <w:b/>
        </w:rPr>
        <w:t>offs by DFAT and NGO partners alike</w:t>
      </w:r>
      <w:r w:rsidRPr="00E44339">
        <w:t>.</w:t>
      </w:r>
      <w:r w:rsidRPr="00A836F8">
        <w:rPr>
          <w:i/>
        </w:rPr>
        <w:t xml:space="preserve"> </w:t>
      </w:r>
      <w:r w:rsidRPr="00E44339">
        <w:t xml:space="preserve">NGO partner designs were </w:t>
      </w:r>
      <w:r>
        <w:t>highly ambitious both in terms of scope and targeting for short-term interventions. This is partially accounted for by the competitive nature of funding</w:t>
      </w:r>
      <w:r>
        <w:rPr>
          <w:rStyle w:val="FootnoteReference"/>
        </w:rPr>
        <w:footnoteReference w:id="23"/>
      </w:r>
      <w:r>
        <w:t xml:space="preserve"> and a desire to engage in an emerging sector. It is also most likely a reflection of the expectations of </w:t>
      </w:r>
      <w:r w:rsidR="00E44339">
        <w:t>GoV</w:t>
      </w:r>
      <w:r>
        <w:t xml:space="preserve"> and communit</w:t>
      </w:r>
      <w:r w:rsidR="00E44339">
        <w:t>ies</w:t>
      </w:r>
      <w:r>
        <w:t xml:space="preserve"> for NGOs to focus on service delivery or capacity building. </w:t>
      </w:r>
      <w:r>
        <w:rPr>
          <w:rFonts w:cs="Helvetica"/>
          <w:iCs/>
          <w:color w:val="000000"/>
        </w:rPr>
        <w:t>Funding contracts were however put in place around approved project proposals, assessed against DFAT quality at entry criteria.</w:t>
      </w:r>
      <w:r>
        <w:t xml:space="preserve"> The funding mechanism did not clearly articulate expectations of what it felt could realistically be expected in a short timeframe, and raised expectations regarding ongoing resourcing and encouraged partners to design beyond the life of the CCCAG window</w:t>
      </w:r>
      <w:r>
        <w:rPr>
          <w:rStyle w:val="FootnoteReference"/>
        </w:rPr>
        <w:footnoteReference w:id="24"/>
      </w:r>
      <w:r>
        <w:t xml:space="preserve">. For DFAT we recognise the considerable downward pressure for the quick release of funds from a centrally created funding window which resulted in </w:t>
      </w:r>
      <w:r w:rsidR="002E4CC1">
        <w:t xml:space="preserve">a </w:t>
      </w:r>
      <w:r>
        <w:t xml:space="preserve">short design </w:t>
      </w:r>
      <w:r w:rsidR="002E4CC1">
        <w:t>window</w:t>
      </w:r>
      <w:r>
        <w:t xml:space="preserve">. We also note that </w:t>
      </w:r>
      <w:r>
        <w:rPr>
          <w:rFonts w:cs="Helvetica"/>
          <w:iCs/>
          <w:color w:val="000000"/>
        </w:rPr>
        <w:t xml:space="preserve">DFAT wanted to capitalise on the opportunity presented </w:t>
      </w:r>
      <w:r w:rsidR="002E4CC1">
        <w:rPr>
          <w:rFonts w:cs="Helvetica"/>
          <w:iCs/>
          <w:color w:val="000000"/>
        </w:rPr>
        <w:t>by the existence of CCCAG funds</w:t>
      </w:r>
      <w:r>
        <w:rPr>
          <w:rFonts w:cs="Helvetica"/>
          <w:iCs/>
          <w:color w:val="000000"/>
        </w:rPr>
        <w:t xml:space="preserve"> to </w:t>
      </w:r>
      <w:r>
        <w:t>engage a range of partners who could test different approaches to both the adaptation and mitigation.</w:t>
      </w:r>
    </w:p>
    <w:p w:rsidR="000B1D99" w:rsidRPr="002D02EA" w:rsidRDefault="000B1D99" w:rsidP="000B1D99">
      <w:pPr>
        <w:pStyle w:val="DonnasStyle"/>
      </w:pPr>
    </w:p>
    <w:p w:rsidR="000B1D99" w:rsidRDefault="000B1D99" w:rsidP="000B1D99">
      <w:pPr>
        <w:pStyle w:val="DonnasStyle"/>
        <w:tabs>
          <w:tab w:val="clear" w:pos="560"/>
          <w:tab w:val="left" w:pos="0"/>
        </w:tabs>
        <w:rPr>
          <w:rFonts w:cs="Arial"/>
          <w:szCs w:val="22"/>
        </w:rPr>
      </w:pPr>
      <w:r w:rsidRPr="00C97217">
        <w:t xml:space="preserve">The result of these </w:t>
      </w:r>
      <w:r>
        <w:t xml:space="preserve">mixed </w:t>
      </w:r>
      <w:r w:rsidRPr="00C97217">
        <w:t>messages and tradeoffs is an ambitious scope which</w:t>
      </w:r>
      <w:r>
        <w:t xml:space="preserve"> creates pressure for partners to meet </w:t>
      </w:r>
      <w:r w:rsidR="000838FB">
        <w:rPr>
          <w:rFonts w:cs="Arial"/>
          <w:szCs w:val="22"/>
        </w:rPr>
        <w:t>targets, deliver services and</w:t>
      </w:r>
      <w:r w:rsidRPr="00C97217">
        <w:rPr>
          <w:rFonts w:cs="Arial"/>
          <w:szCs w:val="22"/>
        </w:rPr>
        <w:t xml:space="preserve"> engage with of multiple actors </w:t>
      </w:r>
      <w:r w:rsidRPr="00C97217">
        <w:rPr>
          <w:rFonts w:cs="Arial"/>
          <w:szCs w:val="22"/>
        </w:rPr>
        <w:lastRenderedPageBreak/>
        <w:t>in a short period of time</w:t>
      </w:r>
      <w:r>
        <w:rPr>
          <w:rFonts w:cs="Arial"/>
          <w:szCs w:val="22"/>
        </w:rPr>
        <w:t xml:space="preserve">. This risks a </w:t>
      </w:r>
      <w:r w:rsidR="009D695D">
        <w:t xml:space="preserve">lack of focus, </w:t>
      </w:r>
      <w:r w:rsidRPr="00C97217">
        <w:t>poor integration of results at the program level</w:t>
      </w:r>
      <w:r>
        <w:t xml:space="preserve"> and a limited ability to deliver </w:t>
      </w:r>
      <w:r w:rsidRPr="00C97217">
        <w:t xml:space="preserve">models that </w:t>
      </w:r>
      <w:r>
        <w:t>can</w:t>
      </w:r>
      <w:r w:rsidRPr="00C97217">
        <w:t xml:space="preserve"> be </w:t>
      </w:r>
      <w:r w:rsidR="009D695D">
        <w:t xml:space="preserve">feasibly </w:t>
      </w:r>
      <w:r w:rsidRPr="00C97217">
        <w:t xml:space="preserve">replicated </w:t>
      </w:r>
      <w:r w:rsidR="00BF7C9E">
        <w:t xml:space="preserve">or upscaled </w:t>
      </w:r>
      <w:r>
        <w:t>which is a stated (albeit ambitious) expectation of the funding window</w:t>
      </w:r>
      <w:r w:rsidRPr="00C97217">
        <w:t xml:space="preserve">. </w:t>
      </w:r>
    </w:p>
    <w:p w:rsidR="000B1D99" w:rsidRPr="00C97217" w:rsidRDefault="000B1D99" w:rsidP="000B1D99">
      <w:pPr>
        <w:pStyle w:val="DonnasStyle"/>
        <w:tabs>
          <w:tab w:val="clear" w:pos="560"/>
          <w:tab w:val="left" w:pos="0"/>
        </w:tabs>
      </w:pPr>
    </w:p>
    <w:p w:rsidR="000B1D99" w:rsidRPr="00356E32" w:rsidRDefault="000B1D99" w:rsidP="000B1D99">
      <w:pPr>
        <w:pStyle w:val="DonnasStyle"/>
        <w:rPr>
          <w:rFonts w:cs="Cambria"/>
        </w:rPr>
      </w:pPr>
      <w:r>
        <w:rPr>
          <w:rFonts w:cs="Cambria"/>
        </w:rPr>
        <w:t xml:space="preserve">In learning from this it is important to acknowledge that the </w:t>
      </w:r>
      <w:r w:rsidRPr="00A41B26">
        <w:rPr>
          <w:rFonts w:cs="Cambria"/>
        </w:rPr>
        <w:t xml:space="preserve">way in which donors finance NGO activities significantly influences </w:t>
      </w:r>
      <w:r>
        <w:rPr>
          <w:rFonts w:cs="Cambria"/>
        </w:rPr>
        <w:t xml:space="preserve">how NGOs </w:t>
      </w:r>
      <w:r w:rsidRPr="00A41B26">
        <w:rPr>
          <w:rFonts w:cs="Cambria"/>
        </w:rPr>
        <w:t xml:space="preserve">are able to deliver </w:t>
      </w:r>
      <w:r>
        <w:rPr>
          <w:rFonts w:cs="Cambria"/>
        </w:rPr>
        <w:t>aid.</w:t>
      </w:r>
      <w:r w:rsidRPr="00714F84">
        <w:rPr>
          <w:rFonts w:cs="Cambria"/>
        </w:rPr>
        <w:t xml:space="preserve"> </w:t>
      </w:r>
      <w:r>
        <w:rPr>
          <w:rFonts w:cs="Cambria"/>
        </w:rPr>
        <w:t>Lessons learned through VANGOCA identified the need to ensure that NGO funding is of sufficient scale and duration to enable meaningful development impact and effectiveness:</w:t>
      </w:r>
      <w:r w:rsidRPr="00685A3E">
        <w:rPr>
          <w:rFonts w:ascii="Times New Roman" w:hAnsi="Times New Roman"/>
          <w:color w:val="000000"/>
          <w:sz w:val="21"/>
          <w:szCs w:val="21"/>
        </w:rPr>
        <w:t xml:space="preserve"> </w:t>
      </w:r>
    </w:p>
    <w:p w:rsidR="000B1D99" w:rsidRDefault="000B1D99" w:rsidP="000B1D99">
      <w:pPr>
        <w:pStyle w:val="DonnasStyle"/>
        <w:rPr>
          <w:rFonts w:ascii="Times New Roman" w:hAnsi="Times New Roman"/>
          <w:color w:val="000000"/>
          <w:sz w:val="21"/>
          <w:szCs w:val="21"/>
        </w:rPr>
      </w:pPr>
    </w:p>
    <w:p w:rsidR="000B1D99" w:rsidRDefault="000B1D99" w:rsidP="000B1D99">
      <w:pPr>
        <w:pStyle w:val="DonnasStyle"/>
        <w:tabs>
          <w:tab w:val="clear" w:pos="560"/>
          <w:tab w:val="left" w:pos="284"/>
          <w:tab w:val="left" w:pos="8080"/>
        </w:tabs>
        <w:ind w:left="284" w:right="220"/>
        <w:rPr>
          <w:color w:val="000000"/>
          <w:szCs w:val="21"/>
        </w:rPr>
      </w:pPr>
      <w:r w:rsidRPr="004E2DD3">
        <w:rPr>
          <w:color w:val="000000"/>
          <w:szCs w:val="21"/>
        </w:rPr>
        <w:t>“It is important to allow time to develop relationships, trust, build capacity, observe impact, learn lessons, and recalibrate implementation strategies to maximise impact</w:t>
      </w:r>
      <w:r>
        <w:rPr>
          <w:color w:val="000000"/>
          <w:szCs w:val="21"/>
        </w:rPr>
        <w:t>.</w:t>
      </w:r>
      <w:r>
        <w:rPr>
          <w:rStyle w:val="FootnoteReference"/>
          <w:color w:val="000000"/>
          <w:szCs w:val="21"/>
        </w:rPr>
        <w:footnoteReference w:id="25"/>
      </w:r>
      <w:r w:rsidRPr="004E2DD3">
        <w:rPr>
          <w:color w:val="000000"/>
          <w:szCs w:val="21"/>
        </w:rPr>
        <w:t>”</w:t>
      </w:r>
    </w:p>
    <w:p w:rsidR="000B1D99" w:rsidRPr="004E2DD3" w:rsidRDefault="000B1D99" w:rsidP="000B1D99">
      <w:pPr>
        <w:pStyle w:val="DonnasStyle"/>
        <w:ind w:left="567" w:right="560"/>
        <w:rPr>
          <w:color w:val="000000"/>
          <w:szCs w:val="21"/>
        </w:rPr>
      </w:pPr>
    </w:p>
    <w:p w:rsidR="000B1D99" w:rsidRDefault="000B1D99" w:rsidP="000B1D99">
      <w:pPr>
        <w:pStyle w:val="DonnasStyle"/>
        <w:rPr>
          <w:rFonts w:cs="Cambria"/>
        </w:rPr>
      </w:pPr>
      <w:r>
        <w:rPr>
          <w:rFonts w:cs="Cambria"/>
        </w:rPr>
        <w:t>The DFAT Office for Development Effectiveness Review of civil society financing similarly proposes</w:t>
      </w:r>
      <w:r w:rsidRPr="00FC2E75">
        <w:rPr>
          <w:rFonts w:cs="Cambria"/>
        </w:rPr>
        <w:t xml:space="preserve"> </w:t>
      </w:r>
      <w:r>
        <w:rPr>
          <w:rFonts w:cs="Cambria"/>
        </w:rPr>
        <w:t xml:space="preserve">that longer-term engagement and partnership models are likely to have a strong impact upon effectiveness and sustainability highlighting that </w:t>
      </w:r>
    </w:p>
    <w:p w:rsidR="000B1D99" w:rsidRDefault="000B1D99" w:rsidP="000B1D99">
      <w:pPr>
        <w:pStyle w:val="DonnasStyle"/>
        <w:rPr>
          <w:rFonts w:cs="Cambria"/>
        </w:rPr>
      </w:pPr>
    </w:p>
    <w:p w:rsidR="000B1D99" w:rsidRDefault="000B1D99" w:rsidP="000B1D99">
      <w:pPr>
        <w:pStyle w:val="DonnasStyle"/>
        <w:ind w:left="284" w:right="220"/>
        <w:rPr>
          <w:rFonts w:cs="Cambria"/>
        </w:rPr>
      </w:pPr>
      <w:r>
        <w:t>“One</w:t>
      </w:r>
      <w:r w:rsidRPr="00593B27">
        <w:t xml:space="preserve">-off grants for 12 months or less achieve little </w:t>
      </w:r>
      <w:r>
        <w:t>in terms of development outcome ...</w:t>
      </w:r>
      <w:r w:rsidRPr="00593B27">
        <w:t xml:space="preserve"> Indeed, the same might be ar</w:t>
      </w:r>
      <w:r>
        <w:t>gued about grants for 24 months</w:t>
      </w:r>
      <w:r>
        <w:rPr>
          <w:rStyle w:val="FootnoteReference"/>
        </w:rPr>
        <w:footnoteReference w:id="26"/>
      </w:r>
      <w:r>
        <w:t>”</w:t>
      </w:r>
    </w:p>
    <w:p w:rsidR="000B1D99" w:rsidRDefault="000B1D99" w:rsidP="000B1D99">
      <w:pPr>
        <w:pStyle w:val="DonnasStyle"/>
      </w:pPr>
    </w:p>
    <w:p w:rsidR="000B1D99" w:rsidRDefault="000B1D99" w:rsidP="000B1D99">
      <w:pPr>
        <w:pStyle w:val="DonnasStyle"/>
      </w:pPr>
      <w:r w:rsidRPr="00A836F8">
        <w:t xml:space="preserve">The short-term nature of the CCCAG funding mechanism contributes to further to the </w:t>
      </w:r>
      <w:r w:rsidRPr="00A836F8">
        <w:rPr>
          <w:b/>
        </w:rPr>
        <w:t>mismatch between the ambitions of both partners and DFAT to deliver development outcomes, in a short space of time</w:t>
      </w:r>
      <w:r w:rsidRPr="00A836F8">
        <w:t>. This has played out particularly for the CCA projects, all of which</w:t>
      </w:r>
      <w:r>
        <w:t xml:space="preserve"> have long term goals relating to community development, building resilience, capacity building and the testing of adaptive livelihoods models, This is discussed in more detail in the in Project Level Observations for CCA partners below.</w:t>
      </w:r>
    </w:p>
    <w:p w:rsidR="000B1D99" w:rsidRDefault="000B1D99" w:rsidP="000B1D99">
      <w:pPr>
        <w:pStyle w:val="DonnasStyle"/>
      </w:pPr>
    </w:p>
    <w:p w:rsidR="000B1D99" w:rsidRPr="00E51F0A"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
          <w:iCs/>
          <w:sz w:val="22"/>
        </w:rPr>
      </w:pPr>
      <w:r>
        <w:rPr>
          <w:rFonts w:ascii="Century Gothic" w:hAnsi="Century Gothic"/>
          <w:sz w:val="22"/>
          <w:szCs w:val="20"/>
        </w:rPr>
        <w:t>Finally, t</w:t>
      </w:r>
      <w:r w:rsidRPr="00E51F0A">
        <w:rPr>
          <w:rFonts w:ascii="Century Gothic" w:hAnsi="Century Gothic"/>
          <w:sz w:val="22"/>
          <w:szCs w:val="20"/>
        </w:rPr>
        <w:t xml:space="preserve">he </w:t>
      </w:r>
      <w:r w:rsidRPr="00E51F0A">
        <w:rPr>
          <w:rFonts w:ascii="Century Gothic" w:hAnsi="Century Gothic"/>
          <w:b/>
          <w:sz w:val="22"/>
          <w:szCs w:val="20"/>
        </w:rPr>
        <w:t xml:space="preserve">lack of an overarching program logic and </w:t>
      </w:r>
      <w:r w:rsidR="009E2CCA">
        <w:rPr>
          <w:rFonts w:ascii="Century Gothic" w:hAnsi="Century Gothic"/>
          <w:b/>
          <w:sz w:val="22"/>
          <w:szCs w:val="20"/>
        </w:rPr>
        <w:t>ToC</w:t>
      </w:r>
      <w:r w:rsidRPr="00E51F0A">
        <w:rPr>
          <w:rFonts w:ascii="Century Gothic" w:hAnsi="Century Gothic"/>
          <w:b/>
          <w:sz w:val="22"/>
          <w:szCs w:val="20"/>
        </w:rPr>
        <w:t xml:space="preserve"> for CCCAG creates challenges</w:t>
      </w:r>
      <w:r w:rsidRPr="00E51F0A">
        <w:rPr>
          <w:rFonts w:ascii="Century Gothic" w:hAnsi="Century Gothic"/>
          <w:sz w:val="22"/>
          <w:szCs w:val="20"/>
        </w:rPr>
        <w:t xml:space="preserve"> for DFAT and its partners </w:t>
      </w:r>
      <w:r>
        <w:rPr>
          <w:rFonts w:ascii="Century Gothic" w:hAnsi="Century Gothic"/>
          <w:sz w:val="22"/>
          <w:szCs w:val="20"/>
        </w:rPr>
        <w:t>to</w:t>
      </w:r>
      <w:r w:rsidRPr="00E51F0A">
        <w:rPr>
          <w:rFonts w:ascii="Century Gothic" w:hAnsi="Century Gothic"/>
          <w:sz w:val="22"/>
          <w:szCs w:val="20"/>
        </w:rPr>
        <w:t xml:space="preserve"> articulat</w:t>
      </w:r>
      <w:r>
        <w:rPr>
          <w:rFonts w:ascii="Century Gothic" w:hAnsi="Century Gothic"/>
          <w:sz w:val="22"/>
          <w:szCs w:val="20"/>
        </w:rPr>
        <w:t>e</w:t>
      </w:r>
      <w:r w:rsidRPr="00E51F0A">
        <w:rPr>
          <w:rFonts w:ascii="Century Gothic" w:hAnsi="Century Gothic"/>
          <w:sz w:val="22"/>
          <w:szCs w:val="20"/>
        </w:rPr>
        <w:t xml:space="preserve"> the intended </w:t>
      </w:r>
      <w:r w:rsidRPr="009E2CCA">
        <w:rPr>
          <w:rFonts w:ascii="Century Gothic" w:hAnsi="Century Gothic"/>
          <w:sz w:val="22"/>
          <w:szCs w:val="20"/>
          <w:u w:val="single"/>
        </w:rPr>
        <w:t xml:space="preserve">outcomes </w:t>
      </w:r>
      <w:r w:rsidRPr="00E51F0A">
        <w:rPr>
          <w:rFonts w:ascii="Century Gothic" w:hAnsi="Century Gothic"/>
          <w:sz w:val="22"/>
          <w:szCs w:val="20"/>
        </w:rPr>
        <w:t>of the program, the linkages between the two result areas (mitigation and adaptation), illustrat</w:t>
      </w:r>
      <w:r>
        <w:rPr>
          <w:rFonts w:ascii="Century Gothic" w:hAnsi="Century Gothic"/>
          <w:sz w:val="22"/>
          <w:szCs w:val="20"/>
        </w:rPr>
        <w:t>e</w:t>
      </w:r>
      <w:r w:rsidRPr="00E51F0A">
        <w:rPr>
          <w:rFonts w:ascii="Century Gothic" w:hAnsi="Century Gothic"/>
          <w:sz w:val="22"/>
          <w:szCs w:val="20"/>
        </w:rPr>
        <w:t xml:space="preserve"> synergies across the portfolio of projects and the ability to evidence partners’ specific contributions against clearly articulated and shared End-Of-Program-Outcomes.</w:t>
      </w:r>
      <w:r>
        <w:rPr>
          <w:rFonts w:ascii="Century Gothic" w:hAnsi="Century Gothic"/>
          <w:sz w:val="22"/>
          <w:szCs w:val="20"/>
        </w:rPr>
        <w:t xml:space="preserve"> </w:t>
      </w:r>
    </w:p>
    <w:p w:rsidR="000B1D99" w:rsidRDefault="000B1D99" w:rsidP="000B1D99">
      <w:pPr>
        <w:pStyle w:val="DonnasStyle"/>
      </w:pPr>
    </w:p>
    <w:p w:rsidR="000B1D99" w:rsidRDefault="000B1D99" w:rsidP="000B1D99">
      <w:pPr>
        <w:pStyle w:val="DonnasStyle"/>
      </w:pPr>
      <w:r>
        <w:t>Given the advanced stage of CCCAG and DFAT’s intent to proceed with the design of a new community based climate change program in the immediate future, it is not feasible to take action on this issue within the current program. We do recommend however that a program level ToC should be a key feature of the new investment.</w:t>
      </w:r>
    </w:p>
    <w:p w:rsidR="000B1D99" w:rsidRPr="00496626"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iCs/>
          <w:color w:val="000000"/>
          <w:sz w:val="22"/>
          <w:u w:val="single"/>
        </w:rPr>
      </w:pPr>
    </w:p>
    <w:p w:rsidR="000B1D99" w:rsidRPr="00E14854" w:rsidRDefault="000B1D99" w:rsidP="000B1D99">
      <w:pPr>
        <w:pStyle w:val="DonnasStyle"/>
        <w:rPr>
          <w:b/>
          <w:color w:val="8DB3E2" w:themeColor="text2" w:themeTint="66"/>
        </w:rPr>
      </w:pPr>
      <w:r w:rsidRPr="00E14854">
        <w:rPr>
          <w:b/>
          <w:i/>
          <w:color w:val="8DB3E2" w:themeColor="text2" w:themeTint="66"/>
        </w:rPr>
        <w:t>Project Level Observations</w:t>
      </w:r>
    </w:p>
    <w:p w:rsidR="000B1D99" w:rsidRPr="00FF0102" w:rsidRDefault="000B1D99" w:rsidP="000B1D99">
      <w:pPr>
        <w:pStyle w:val="DonnasStyle"/>
      </w:pPr>
      <w:r>
        <w:rPr>
          <w:b/>
        </w:rPr>
        <w:t>M</w:t>
      </w:r>
      <w:r w:rsidRPr="00FF0102">
        <w:rPr>
          <w:b/>
        </w:rPr>
        <w:t>itigation projects have successfully introduced, and seen growing adoption of new low-emissions rice cultivation techniques by farming communities.</w:t>
      </w:r>
      <w:r w:rsidRPr="00FF0102">
        <w:t xml:space="preserve"> In addition, both projects were able to demonstrate an increase in yields and reduction in inputs costs thereby increasing farmer profitability. In the case of the EDF project, M&amp;E results have shown average yield and profit increases of 11% and 41% respectively.</w:t>
      </w:r>
    </w:p>
    <w:p w:rsidR="000B1D99" w:rsidRPr="00FF0102" w:rsidRDefault="000B1D99" w:rsidP="000B1D99">
      <w:pPr>
        <w:pStyle w:val="DonnasStyle"/>
        <w:ind w:left="360"/>
      </w:pPr>
    </w:p>
    <w:p w:rsidR="000B1D99" w:rsidRPr="00FF0102" w:rsidRDefault="000B1D99" w:rsidP="000B1D99">
      <w:pPr>
        <w:pStyle w:val="DonnasStyle"/>
      </w:pPr>
      <w:r>
        <w:t>M&amp;E</w:t>
      </w:r>
      <w:r w:rsidRPr="00FF0102">
        <w:t xml:space="preserve"> of several crops has demonstrated reductions in </w:t>
      </w:r>
      <w:r>
        <w:t xml:space="preserve">GHG </w:t>
      </w:r>
      <w:r w:rsidRPr="00FF0102">
        <w:t>emissions. EDF’s results, whilst highly variable between locations and crops, indicate an average of 8 tCO</w:t>
      </w:r>
      <w:r w:rsidRPr="00FF0102">
        <w:rPr>
          <w:vertAlign w:val="subscript"/>
        </w:rPr>
        <w:t>2</w:t>
      </w:r>
      <w:r w:rsidRPr="00FF0102">
        <w:t>e/ha have been reduced through adoption of the One Must Six Reductions (1M6R)</w:t>
      </w:r>
      <w:r>
        <w:rPr>
          <w:rStyle w:val="FootnoteReference"/>
        </w:rPr>
        <w:footnoteReference w:id="27"/>
      </w:r>
      <w:r w:rsidRPr="00FF0102">
        <w:t xml:space="preserve"> cultivation technique. Similarly, SNV monitoring of the summer 2013 crops in Quang Binh and Binh </w:t>
      </w:r>
      <w:r w:rsidRPr="00FF0102">
        <w:lastRenderedPageBreak/>
        <w:t>Dinh indicated that</w:t>
      </w:r>
      <w:r>
        <w:t xml:space="preserve"> System of Rice Intensification</w:t>
      </w:r>
      <w:r w:rsidRPr="00FF0102">
        <w:t xml:space="preserve"> (SRI)</w:t>
      </w:r>
      <w:r>
        <w:rPr>
          <w:rStyle w:val="FootnoteReference"/>
        </w:rPr>
        <w:footnoteReference w:id="28"/>
      </w:r>
      <w:r w:rsidRPr="00FF0102">
        <w:t xml:space="preserve"> growing methods reduced GHGs by 4tCO</w:t>
      </w:r>
      <w:r w:rsidRPr="00FF0102">
        <w:rPr>
          <w:vertAlign w:val="subscript"/>
        </w:rPr>
        <w:t>2</w:t>
      </w:r>
      <w:r w:rsidRPr="00FF0102">
        <w:t>e/ha.</w:t>
      </w:r>
    </w:p>
    <w:p w:rsidR="000B1D99" w:rsidRPr="00FF0102" w:rsidRDefault="000B1D99" w:rsidP="000B1D99">
      <w:pPr>
        <w:pStyle w:val="DonnasStyle"/>
        <w:ind w:left="360"/>
      </w:pPr>
    </w:p>
    <w:p w:rsidR="000B1D99" w:rsidRPr="00FF0102" w:rsidRDefault="00A14C1F" w:rsidP="000B1D99">
      <w:pPr>
        <w:pStyle w:val="DonnasStyle"/>
      </w:pPr>
      <w:r>
        <w:t>The</w:t>
      </w:r>
      <w:r w:rsidR="000B1D99" w:rsidRPr="00FF0102">
        <w:rPr>
          <w:b/>
        </w:rPr>
        <w:t xml:space="preserve"> efficacy of other elements </w:t>
      </w:r>
      <w:r w:rsidR="000B1D99">
        <w:rPr>
          <w:b/>
        </w:rPr>
        <w:t xml:space="preserve">of the mitigation projects </w:t>
      </w:r>
      <w:r w:rsidR="000B1D99" w:rsidRPr="00FF0102">
        <w:rPr>
          <w:b/>
        </w:rPr>
        <w:t xml:space="preserve">are difficult to assess </w:t>
      </w:r>
      <w:r>
        <w:rPr>
          <w:b/>
        </w:rPr>
        <w:t>due to</w:t>
      </w:r>
      <w:r w:rsidR="000B1D99" w:rsidRPr="00FF0102">
        <w:rPr>
          <w:b/>
        </w:rPr>
        <w:t xml:space="preserve"> </w:t>
      </w:r>
      <w:r>
        <w:rPr>
          <w:b/>
        </w:rPr>
        <w:t xml:space="preserve">their </w:t>
      </w:r>
      <w:r w:rsidR="000B1D99" w:rsidRPr="00FF0102">
        <w:rPr>
          <w:b/>
        </w:rPr>
        <w:t>early stage of implementation.</w:t>
      </w:r>
      <w:r w:rsidR="000B1D99" w:rsidRPr="00FF0102">
        <w:t xml:space="preserve"> </w:t>
      </w:r>
      <w:r w:rsidR="000B1D99">
        <w:t>T</w:t>
      </w:r>
      <w:r w:rsidR="000B1D99" w:rsidRPr="00FF0102">
        <w:t xml:space="preserve">he short timeframe means it will be challenging for </w:t>
      </w:r>
      <w:r w:rsidR="000B1D99">
        <w:t>partners</w:t>
      </w:r>
      <w:r w:rsidR="000B1D99" w:rsidRPr="00FF0102">
        <w:t xml:space="preserve"> to deliver significant results in relation to the market based aspects of the projects be that carbon, renewable energy or “green rice”. Market based interventions require significant testing and development that is likely beyond the scope of the project timeframes. However, the initial efforts to build market-based activities have the potential to form the foundations of successful future initiatives pursued through DFAT, or other donor funding. For example, access to carbon markets requires development and approval of an appropriate methodology and subsequent project accreditation. This is beyond the sco</w:t>
      </w:r>
      <w:r w:rsidR="00BE4992">
        <w:t>pe of the projects in the short-</w:t>
      </w:r>
      <w:r w:rsidR="000B1D99" w:rsidRPr="00FF0102">
        <w:t>term, however, the GHG monitoring results obtained have the potential to form the basis of further investigation of the feasibility of this potential revenue stream for farmers.</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iCs/>
          <w:color w:val="000000"/>
          <w:sz w:val="22"/>
          <w:u w:val="single"/>
        </w:rPr>
      </w:pPr>
    </w:p>
    <w:p w:rsidR="000B1D99" w:rsidRDefault="000B1D99" w:rsidP="000B1D99">
      <w:pPr>
        <w:pStyle w:val="DonnasStyle"/>
      </w:pPr>
      <w:r>
        <w:t xml:space="preserve">The program wide challenges discussed above appear to have played out most significantly within the adaptation projects which have made varying levels of progress towards their objectives. </w:t>
      </w:r>
      <w:r w:rsidRPr="00997D5D">
        <w:rPr>
          <w:b/>
        </w:rPr>
        <w:t>All partners have been impacted in some way by the short</w:t>
      </w:r>
      <w:r>
        <w:rPr>
          <w:b/>
        </w:rPr>
        <w:t xml:space="preserve"> implementation period</w:t>
      </w:r>
      <w:r>
        <w:t>. Obtaining programming approvals</w:t>
      </w:r>
      <w:r>
        <w:rPr>
          <w:rStyle w:val="FootnoteReference"/>
        </w:rPr>
        <w:footnoteReference w:id="29"/>
      </w:r>
      <w:r>
        <w:t>, establishing baselines for M&amp;E, implementing vulnerability and capacity assessments, and assessing suitable interventions all take considerable time</w:t>
      </w:r>
      <w:r w:rsidR="0058360C">
        <w:t xml:space="preserve">. </w:t>
      </w:r>
      <w:r>
        <w:t>The nee</w:t>
      </w:r>
      <w:r w:rsidR="0058360C">
        <w:t>d to work through local partners, or</w:t>
      </w:r>
      <w:r>
        <w:t xml:space="preserve"> </w:t>
      </w:r>
      <w:r w:rsidR="0058360C">
        <w:t>align</w:t>
      </w:r>
      <w:r>
        <w:t xml:space="preserve"> </w:t>
      </w:r>
      <w:r w:rsidR="0058360C">
        <w:t>with government planning cycles</w:t>
      </w:r>
      <w:r w:rsidR="00420DEE">
        <w:t>,</w:t>
      </w:r>
      <w:r>
        <w:t xml:space="preserve"> further shortens the effective programming period.</w:t>
      </w:r>
    </w:p>
    <w:p w:rsidR="000B1D99" w:rsidRDefault="000B1D99" w:rsidP="000B1D99">
      <w:pPr>
        <w:pStyle w:val="DonnasStyle"/>
      </w:pPr>
    </w:p>
    <w:p w:rsidR="000B1D99" w:rsidRDefault="000B1D99" w:rsidP="000B1D99">
      <w:pPr>
        <w:pStyle w:val="DonnasStyle"/>
      </w:pPr>
      <w:r w:rsidRPr="00997D5D">
        <w:t xml:space="preserve">The impact of </w:t>
      </w:r>
      <w:r>
        <w:t xml:space="preserve">this is </w:t>
      </w:r>
      <w:r w:rsidRPr="00997D5D">
        <w:t xml:space="preserve">most </w:t>
      </w:r>
      <w:r>
        <w:t>visible within the livelihoods work. The need to undertake detailed analysis of adaptive livelihood opportunities, address seasonality and align with the work plans and priorities of local government partners are key considerations which affect the ability of partners to identify test and roll</w:t>
      </w:r>
      <w:r w:rsidRPr="00997D5D">
        <w:t xml:space="preserve"> out </w:t>
      </w:r>
      <w:r>
        <w:t xml:space="preserve">adaptive livelihoods approaches in a short space of time.  The implication of this for CCCAG is that livelihoods interventions have only begun in the second year of programming. In some cases these have not yet commenced or are being tested in inconsequential numbers. Despite the extension of CCCAG to 2015, this still does </w:t>
      </w:r>
      <w:r w:rsidRPr="00F6210C">
        <w:rPr>
          <w:b/>
        </w:rPr>
        <w:t xml:space="preserve">not allow sufficient time for evaluating the (sustained) success of these interventions overtime in terms of adaptiveness </w:t>
      </w:r>
      <w:r>
        <w:t>or impacts on household economy/poverty</w:t>
      </w:r>
      <w:r>
        <w:rPr>
          <w:rStyle w:val="FootnoteReference"/>
        </w:rPr>
        <w:footnoteReference w:id="30"/>
      </w:r>
      <w:r>
        <w:t xml:space="preserve">. </w:t>
      </w:r>
    </w:p>
    <w:p w:rsidR="000B1D99" w:rsidRDefault="000B1D99" w:rsidP="000B1D99">
      <w:pPr>
        <w:pStyle w:val="DonnasStyle"/>
      </w:pPr>
    </w:p>
    <w:p w:rsidR="000B1D99" w:rsidRDefault="000B1D99" w:rsidP="000B1D99">
      <w:pPr>
        <w:pStyle w:val="DonnasStyle"/>
      </w:pPr>
      <w:r>
        <w:t xml:space="preserve">The wide scope lack of overarching program logic/ToC </w:t>
      </w:r>
      <w:r w:rsidR="00F6210C">
        <w:t xml:space="preserve">for CCCAG </w:t>
      </w:r>
      <w:r>
        <w:t xml:space="preserve">has </w:t>
      </w:r>
      <w:r w:rsidR="005D0A1D">
        <w:t>contributed</w:t>
      </w:r>
      <w:r>
        <w:t xml:space="preserve"> in some cases in poor and unfocussed design. Project designs are generally ambitious, seeking to reach significant numbers of beneficiaries and addressing a wide range of climate change and DRR challenges which are as yet poorly integrated. </w:t>
      </w:r>
    </w:p>
    <w:p w:rsidR="000B1D99" w:rsidRDefault="000B1D99" w:rsidP="000B1D99">
      <w:pPr>
        <w:pStyle w:val="DonnasStyle"/>
      </w:pPr>
    </w:p>
    <w:p w:rsidR="000B1D99" w:rsidRPr="00E83ABC" w:rsidRDefault="000B1D99" w:rsidP="000B1D99">
      <w:pPr>
        <w:pStyle w:val="DonnasStyle"/>
      </w:pPr>
      <w:r>
        <w:t xml:space="preserve">Common challenges that have influenced our assessment of </w:t>
      </w:r>
      <w:r w:rsidR="001F7A37">
        <w:t xml:space="preserve">the </w:t>
      </w:r>
      <w:r>
        <w:t xml:space="preserve">effectiveness </w:t>
      </w:r>
      <w:r w:rsidR="001F7A37">
        <w:t xml:space="preserve">of project level interventions </w:t>
      </w:r>
      <w:r>
        <w:t>at this stage of implementation include</w:t>
      </w:r>
      <w:r>
        <w:rPr>
          <w:rStyle w:val="FootnoteReference"/>
        </w:rPr>
        <w:footnoteReference w:id="31"/>
      </w:r>
      <w:r>
        <w:t>:</w:t>
      </w:r>
    </w:p>
    <w:p w:rsidR="000B1D99" w:rsidRPr="004E65FC" w:rsidRDefault="000B1D99" w:rsidP="000B1D99">
      <w:pPr>
        <w:pStyle w:val="DonnasStyle"/>
        <w:ind w:left="360"/>
      </w:pPr>
    </w:p>
    <w:p w:rsidR="000B1D99" w:rsidRDefault="000B1D99" w:rsidP="000B1D99">
      <w:pPr>
        <w:pStyle w:val="DonnasStyle"/>
        <w:numPr>
          <w:ilvl w:val="0"/>
          <w:numId w:val="32"/>
        </w:numPr>
      </w:pPr>
      <w:r w:rsidRPr="0073179F">
        <w:rPr>
          <w:b/>
        </w:rPr>
        <w:t>Lack of shared clear articulation of key concepts</w:t>
      </w:r>
      <w:r>
        <w:t xml:space="preserve">: While each have their own specific targets, approach, set of relationships and local contexts, </w:t>
      </w:r>
      <w:r w:rsidR="009D6F58">
        <w:t>climate change adaptation (</w:t>
      </w:r>
      <w:r>
        <w:t>CCA</w:t>
      </w:r>
      <w:r w:rsidR="009D6F58">
        <w:t>)</w:t>
      </w:r>
      <w:r>
        <w:t xml:space="preserve"> p</w:t>
      </w:r>
      <w:r w:rsidRPr="00C8504F">
        <w:t xml:space="preserve">rojects </w:t>
      </w:r>
      <w:r>
        <w:t>tend to engage in</w:t>
      </w:r>
      <w:r w:rsidRPr="00C8504F">
        <w:t xml:space="preserve"> </w:t>
      </w:r>
      <w:r>
        <w:t xml:space="preserve">a similar suite of activities: i. raising awareness of climate related risks and desired behaviours; ii. capacity building, iii. adaptive </w:t>
      </w:r>
      <w:r w:rsidRPr="00C8504F">
        <w:t>livelihood</w:t>
      </w:r>
      <w:r>
        <w:t xml:space="preserve"> interventions,</w:t>
      </w:r>
      <w:r w:rsidR="007043C5">
        <w:t xml:space="preserve"> and</w:t>
      </w:r>
      <w:r>
        <w:t xml:space="preserve"> </w:t>
      </w:r>
      <w:r w:rsidR="007043C5">
        <w:t>i</w:t>
      </w:r>
      <w:r>
        <w:t xml:space="preserve">v. </w:t>
      </w:r>
      <w:r w:rsidRPr="00C8504F">
        <w:t>advocacy</w:t>
      </w:r>
      <w:r>
        <w:t xml:space="preserve">. There is </w:t>
      </w:r>
      <w:r w:rsidR="006B3B20">
        <w:t xml:space="preserve">an observable lack </w:t>
      </w:r>
      <w:r>
        <w:t xml:space="preserve">a </w:t>
      </w:r>
      <w:r w:rsidR="006B3B20">
        <w:t>clear</w:t>
      </w:r>
      <w:r w:rsidRPr="00C8504F">
        <w:t xml:space="preserve"> </w:t>
      </w:r>
      <w:r w:rsidR="006B3B20" w:rsidRPr="00C8504F">
        <w:lastRenderedPageBreak/>
        <w:t>defin</w:t>
      </w:r>
      <w:r w:rsidR="006B3B20">
        <w:t xml:space="preserve">ition and purpose </w:t>
      </w:r>
      <w:r>
        <w:t>for each of</w:t>
      </w:r>
      <w:r w:rsidRPr="00C8504F">
        <w:t xml:space="preserve"> </w:t>
      </w:r>
      <w:r w:rsidR="006B3B20">
        <w:t>these</w:t>
      </w:r>
      <w:r>
        <w:t xml:space="preserve"> across projects</w:t>
      </w:r>
      <w:r w:rsidR="006B3B20">
        <w:t xml:space="preserve">. This </w:t>
      </w:r>
      <w:r>
        <w:t xml:space="preserve">undermines their ability to demonstrate performance at the </w:t>
      </w:r>
      <w:r w:rsidRPr="00FE45CE">
        <w:rPr>
          <w:u w:val="single"/>
        </w:rPr>
        <w:t>outcome</w:t>
      </w:r>
      <w:r w:rsidRPr="00FE45CE">
        <w:t xml:space="preserve"> </w:t>
      </w:r>
      <w:r>
        <w:t>level.</w:t>
      </w:r>
      <w:r w:rsidR="00E86E41">
        <w:t xml:space="preserve"> Attention to </w:t>
      </w:r>
      <w:r w:rsidR="00EF68DE">
        <w:t>building</w:t>
      </w:r>
      <w:r w:rsidR="00E86E41">
        <w:t xml:space="preserve"> a deeper shared understanding of key themes and the development of common frameworks would strengthen effectiveness.</w:t>
      </w:r>
    </w:p>
    <w:p w:rsidR="000B1D99" w:rsidRDefault="000B1D99" w:rsidP="000B1D99">
      <w:pPr>
        <w:pStyle w:val="DonnasStyle"/>
        <w:ind w:left="360"/>
      </w:pPr>
    </w:p>
    <w:p w:rsidR="000B1D99" w:rsidRDefault="000B1D99" w:rsidP="000B1D99">
      <w:pPr>
        <w:pStyle w:val="DonnasStyle"/>
        <w:numPr>
          <w:ilvl w:val="0"/>
          <w:numId w:val="21"/>
        </w:numPr>
      </w:pPr>
      <w:r w:rsidRPr="004E65FC">
        <w:rPr>
          <w:b/>
        </w:rPr>
        <w:t>Less than optimal attention to analysis</w:t>
      </w:r>
      <w:r w:rsidRPr="0084770D">
        <w:t>:</w:t>
      </w:r>
      <w:r w:rsidRPr="004E65FC">
        <w:rPr>
          <w:b/>
        </w:rPr>
        <w:t xml:space="preserve"> </w:t>
      </w:r>
      <w:r w:rsidRPr="0084770D">
        <w:t xml:space="preserve">Projects tended to focus on assessment aligned to the delivery of predetermined outputs as opposed </w:t>
      </w:r>
      <w:r>
        <w:t>to wider analysis</w:t>
      </w:r>
      <w:r w:rsidR="007D39EC">
        <w:t>.</w:t>
      </w:r>
      <w:r>
        <w:t xml:space="preserve"> There was evidence of some deficit-based assessment of issues, capacities and competencies and a tendency to address immediately visible problems and symptoms rather than root causes. This in turn has led to specific predetermined and immediately achievable interventions rather than exploration of longer-term interventions including, for example management of the natural environment or working on strengthening primary producers bargaining power. </w:t>
      </w:r>
      <w:r w:rsidR="00337F8D">
        <w:t>This may be a symptom of the need to build early relationships with local stakeholders. Incremental changes in approaches and interventions over time would indicate progress.</w:t>
      </w:r>
    </w:p>
    <w:p w:rsidR="000B1D99" w:rsidRPr="00C67734" w:rsidRDefault="00C56087" w:rsidP="00C56087">
      <w:pPr>
        <w:pStyle w:val="DonnasStyle"/>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720"/>
          <w:tab w:val="left" w:pos="1440"/>
          <w:tab w:val="left" w:pos="2160"/>
          <w:tab w:val="left" w:pos="2880"/>
          <w:tab w:val="left" w:pos="3600"/>
          <w:tab w:val="left" w:pos="4320"/>
          <w:tab w:val="left" w:pos="5760"/>
        </w:tabs>
        <w:ind w:left="360"/>
      </w:pPr>
      <w:r>
        <w:tab/>
      </w:r>
      <w:r>
        <w:tab/>
      </w:r>
      <w:r>
        <w:tab/>
      </w:r>
      <w:r>
        <w:tab/>
      </w:r>
      <w:r>
        <w:tab/>
      </w:r>
      <w:r>
        <w:tab/>
      </w:r>
      <w:r>
        <w:tab/>
      </w:r>
      <w:r>
        <w:tab/>
      </w:r>
      <w:r>
        <w:tab/>
      </w:r>
    </w:p>
    <w:p w:rsidR="000B1D99" w:rsidRDefault="000B1D99" w:rsidP="000B1D99">
      <w:pPr>
        <w:pStyle w:val="DonnasStyle"/>
        <w:numPr>
          <w:ilvl w:val="0"/>
          <w:numId w:val="22"/>
        </w:numPr>
      </w:pPr>
      <w:r w:rsidRPr="00C70DDC">
        <w:rPr>
          <w:b/>
        </w:rPr>
        <w:t>Understanding capacity building</w:t>
      </w:r>
      <w:r w:rsidRPr="00C67734">
        <w:t xml:space="preserve">: </w:t>
      </w:r>
      <w:r w:rsidRPr="002F4173">
        <w:t xml:space="preserve">All partners are engaging in </w:t>
      </w:r>
      <w:r>
        <w:t xml:space="preserve">capacity building. A </w:t>
      </w:r>
      <w:r w:rsidRPr="002F4173">
        <w:t xml:space="preserve">variety of approaches are being used ranging from institutional strengthening, advocacy, training and mentoring to community empowerment and mobilisation. </w:t>
      </w:r>
      <w:r>
        <w:t>H</w:t>
      </w:r>
      <w:r w:rsidRPr="002F4173">
        <w:t xml:space="preserve">owever there is limited articulation of </w:t>
      </w:r>
      <w:r>
        <w:t>whose</w:t>
      </w:r>
      <w:r w:rsidRPr="002F4173">
        <w:t xml:space="preserve"> capacities are being built</w:t>
      </w:r>
      <w:r>
        <w:t>, and for what</w:t>
      </w:r>
      <w:r w:rsidRPr="002F4173">
        <w:t xml:space="preserve">. </w:t>
      </w:r>
      <w:r>
        <w:t xml:space="preserve">The ability to </w:t>
      </w:r>
      <w:r w:rsidR="002B34D7">
        <w:t>evidence planned</w:t>
      </w:r>
      <w:r>
        <w:t xml:space="preserve"> capacity building outcomes will be a key factor in determining success (see 4.5 </w:t>
      </w:r>
      <w:r w:rsidR="002B34D7">
        <w:t>Sustainability and 4.6 M&amp;E).</w:t>
      </w:r>
    </w:p>
    <w:p w:rsidR="000B1D99" w:rsidRDefault="000B1D99" w:rsidP="000B1D99">
      <w:pPr>
        <w:pStyle w:val="DonnasStyle"/>
        <w:ind w:left="360"/>
      </w:pPr>
    </w:p>
    <w:p w:rsidR="00C56087" w:rsidRPr="00C56087" w:rsidRDefault="000B1D99" w:rsidP="00E477AD">
      <w:pPr>
        <w:pStyle w:val="DonnasStyle"/>
        <w:numPr>
          <w:ilvl w:val="0"/>
          <w:numId w:val="21"/>
        </w:numPr>
        <w:rPr>
          <w:b/>
        </w:rPr>
      </w:pPr>
      <w:r w:rsidRPr="00160602">
        <w:rPr>
          <w:b/>
        </w:rPr>
        <w:t>Lack of strategic attention to behavior change</w:t>
      </w:r>
      <w:r w:rsidRPr="003175E6">
        <w:t>:</w:t>
      </w:r>
      <w:r>
        <w:t xml:space="preserve"> The implicit logic of current interventions is that the act of imparting information will result in increase</w:t>
      </w:r>
      <w:r w:rsidR="00D422A7">
        <w:t>d</w:t>
      </w:r>
      <w:r>
        <w:t xml:space="preserve"> knowledge </w:t>
      </w:r>
      <w:r w:rsidR="00D422A7">
        <w:t>that will lead to</w:t>
      </w:r>
      <w:r>
        <w:t xml:space="preserve"> behaviour change.</w:t>
      </w:r>
      <w:r w:rsidRPr="003175E6">
        <w:t xml:space="preserve"> </w:t>
      </w:r>
      <w:r>
        <w:t>This is both tenuous and contestable. There is a need for partners to develop more systemic and integrated strategies for awareness raising and behaviour change</w:t>
      </w:r>
      <w:r w:rsidR="00D422A7">
        <w:t>,</w:t>
      </w:r>
      <w:r>
        <w:t xml:space="preserve"> and develop robust systems to evidence outcomes. This also implies the need to identify the most relevant messaging for climate change awareness raising for poor and vulnerable people</w:t>
      </w:r>
      <w:r w:rsidRPr="00C67734">
        <w:t xml:space="preserve">. Awareness raising </w:t>
      </w:r>
      <w:r>
        <w:t>has so far focused on</w:t>
      </w:r>
      <w:r w:rsidRPr="00C67734">
        <w:t xml:space="preserve"> </w:t>
      </w:r>
      <w:r>
        <w:t xml:space="preserve">the causes of </w:t>
      </w:r>
      <w:r w:rsidRPr="00C67734">
        <w:t>climate change</w:t>
      </w:r>
      <w:r>
        <w:t xml:space="preserve"> and </w:t>
      </w:r>
      <w:r w:rsidRPr="00C67734">
        <w:t>its large-scale impacts</w:t>
      </w:r>
      <w:r>
        <w:t>.</w:t>
      </w:r>
      <w:r w:rsidRPr="00C67734">
        <w:t xml:space="preserve"> </w:t>
      </w:r>
      <w:r>
        <w:t>Proposed</w:t>
      </w:r>
      <w:r w:rsidRPr="00C67734">
        <w:t xml:space="preserve"> actions </w:t>
      </w:r>
      <w:r>
        <w:t>tend to be</w:t>
      </w:r>
      <w:r w:rsidRPr="00C67734">
        <w:t xml:space="preserve"> high-level “Save the Planet” </w:t>
      </w:r>
      <w:r>
        <w:t>messages rather</w:t>
      </w:r>
      <w:r w:rsidRPr="00C67734">
        <w:t xml:space="preserve"> than </w:t>
      </w:r>
      <w:r>
        <w:t xml:space="preserve">those </w:t>
      </w:r>
      <w:r w:rsidRPr="00C67734">
        <w:t xml:space="preserve">linked </w:t>
      </w:r>
      <w:r w:rsidR="00D422A7">
        <w:t>to</w:t>
      </w:r>
      <w:r>
        <w:t xml:space="preserve"> opportunities for vulnerable people to</w:t>
      </w:r>
      <w:r w:rsidRPr="00C67734">
        <w:t xml:space="preserve"> protect </w:t>
      </w:r>
      <w:r>
        <w:t>their own livelihoods, manage their natural environment etc. We do recognise that for some partners such messages are not within their immediate control, and that it will take time for them to work with local partners and communities to develop more nuanced local messages.</w:t>
      </w:r>
    </w:p>
    <w:p w:rsidR="000B1D99" w:rsidRPr="00E477AD" w:rsidRDefault="000B1D99" w:rsidP="00C56087">
      <w:pPr>
        <w:pStyle w:val="DonnasStyle"/>
        <w:rPr>
          <w:b/>
        </w:rPr>
      </w:pPr>
    </w:p>
    <w:p w:rsidR="000B1D99" w:rsidRPr="00882897" w:rsidRDefault="000B1D99" w:rsidP="000B1D99">
      <w:pPr>
        <w:pStyle w:val="Heading3"/>
        <w:rPr>
          <w:color w:val="FF0000"/>
        </w:rPr>
      </w:pPr>
      <w:bookmarkStart w:id="32" w:name="_Toc266010033"/>
      <w:r>
        <w:t>4.3. Efficiency</w:t>
      </w:r>
      <w:bookmarkEnd w:id="32"/>
    </w:p>
    <w:p w:rsidR="00FB1CD1" w:rsidRPr="00FB1CD1" w:rsidRDefault="000B1D99" w:rsidP="00FB1CD1">
      <w:pPr>
        <w:pStyle w:val="DonnasStyle"/>
        <w:rPr>
          <w:color w:val="8DB3E2" w:themeColor="text2" w:themeTint="66"/>
        </w:rPr>
      </w:pPr>
      <w:r w:rsidRPr="00B10A76">
        <w:rPr>
          <w:b/>
          <w:i/>
          <w:color w:val="8DB3E2" w:themeColor="text2" w:themeTint="66"/>
        </w:rPr>
        <w:t>Program Level Observations</w:t>
      </w:r>
    </w:p>
    <w:p w:rsidR="00FB1CD1" w:rsidRDefault="00146541"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Based on </w:t>
      </w:r>
      <w:r w:rsidR="000B1D99">
        <w:rPr>
          <w:rFonts w:ascii="Century Gothic" w:hAnsi="Century Gothic" w:cs="Helvetica"/>
          <w:iCs/>
          <w:color w:val="000000"/>
          <w:sz w:val="22"/>
        </w:rPr>
        <w:t xml:space="preserve">emerging outcomes and </w:t>
      </w:r>
      <w:r w:rsidR="009D6F58">
        <w:rPr>
          <w:rFonts w:ascii="Century Gothic" w:hAnsi="Century Gothic" w:cs="Helvetica"/>
          <w:iCs/>
          <w:color w:val="000000"/>
          <w:sz w:val="22"/>
        </w:rPr>
        <w:t>lessons</w:t>
      </w:r>
      <w:r w:rsidR="000B1D99">
        <w:rPr>
          <w:rFonts w:ascii="Century Gothic" w:hAnsi="Century Gothic" w:cs="Helvetica"/>
          <w:iCs/>
          <w:color w:val="000000"/>
          <w:sz w:val="22"/>
        </w:rPr>
        <w:t xml:space="preserve">, CCCAG has provided a valuable vehicle through which DFAT and its partners can test approaches to both community based </w:t>
      </w:r>
      <w:r w:rsidR="009D6F58">
        <w:rPr>
          <w:rFonts w:ascii="Century Gothic" w:hAnsi="Century Gothic" w:cs="Helvetica"/>
          <w:iCs/>
          <w:color w:val="000000"/>
          <w:sz w:val="22"/>
        </w:rPr>
        <w:t>CCA</w:t>
      </w:r>
      <w:r w:rsidR="000B1D99">
        <w:rPr>
          <w:rFonts w:ascii="Century Gothic" w:hAnsi="Century Gothic" w:cs="Helvetica"/>
          <w:iCs/>
          <w:color w:val="000000"/>
          <w:sz w:val="22"/>
        </w:rPr>
        <w:t xml:space="preserve"> and mitigation</w:t>
      </w:r>
      <w:r w:rsidR="000B1D99" w:rsidRPr="002C1549">
        <w:rPr>
          <w:rFonts w:ascii="Century Gothic" w:hAnsi="Century Gothic" w:cs="Helvetica"/>
          <w:iCs/>
          <w:color w:val="000000"/>
          <w:sz w:val="22"/>
        </w:rPr>
        <w:t xml:space="preserve"> </w:t>
      </w:r>
      <w:r w:rsidR="000B1D99">
        <w:rPr>
          <w:rFonts w:ascii="Century Gothic" w:hAnsi="Century Gothic" w:cs="Helvetica"/>
          <w:iCs/>
          <w:color w:val="000000"/>
          <w:sz w:val="22"/>
        </w:rPr>
        <w:t xml:space="preserve">in what is a new programming space. This represents a </w:t>
      </w:r>
      <w:r w:rsidR="000B1D99" w:rsidRPr="00EF75E7">
        <w:rPr>
          <w:rFonts w:ascii="Century Gothic" w:hAnsi="Century Gothic" w:cs="Helvetica"/>
          <w:b/>
          <w:iCs/>
          <w:color w:val="000000"/>
          <w:sz w:val="22"/>
        </w:rPr>
        <w:t>valuable first investment into testing the effectiveness of interventions and approaches to CCA and mitigation in order to inform future programming priorities</w:t>
      </w:r>
      <w:r w:rsidR="000B1D99">
        <w:rPr>
          <w:rFonts w:ascii="Century Gothic" w:hAnsi="Century Gothic" w:cs="Helvetica"/>
          <w:b/>
          <w:iCs/>
          <w:color w:val="000000"/>
          <w:sz w:val="22"/>
        </w:rPr>
        <w:t xml:space="preserve">. </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Pr="008971EF"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Significantly, DFAT Vietnam’s efforts in advocating strongly for the inclusion of mitigation investments within its CCCAG portfolio have resulted in a </w:t>
      </w:r>
      <w:r w:rsidRPr="00CF6F4E">
        <w:rPr>
          <w:rFonts w:ascii="Century Gothic" w:hAnsi="Century Gothic" w:cs="Helvetica"/>
          <w:b/>
          <w:iCs/>
          <w:color w:val="000000"/>
          <w:sz w:val="22"/>
        </w:rPr>
        <w:t>widening of Australia’s engagement in the climate change sector in Vietnam and allowed opportunities for testing the appetite for and feasibility of community based mitigation</w:t>
      </w:r>
      <w:r>
        <w:rPr>
          <w:rFonts w:ascii="Century Gothic" w:hAnsi="Century Gothic" w:cs="Helvetica"/>
          <w:iCs/>
          <w:color w:val="000000"/>
          <w:sz w:val="22"/>
        </w:rPr>
        <w:t>.</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i/>
          <w:iCs/>
          <w:color w:val="000000"/>
          <w:sz w:val="22"/>
        </w:rPr>
      </w:pPr>
    </w:p>
    <w:p w:rsidR="007E0104" w:rsidRDefault="000B1D99" w:rsidP="007E0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E0104">
        <w:rPr>
          <w:rFonts w:ascii="Century Gothic" w:hAnsi="Century Gothic"/>
          <w:b/>
          <w:i/>
          <w:sz w:val="22"/>
        </w:rPr>
        <w:t xml:space="preserve">DFAT has made concerted efforts </w:t>
      </w:r>
      <w:r w:rsidRPr="007E0104">
        <w:rPr>
          <w:rFonts w:ascii="Century Gothic" w:hAnsi="Century Gothic"/>
          <w:sz w:val="22"/>
        </w:rPr>
        <w:t xml:space="preserve">to build on the recommendations of the VANGOCA review and resources principles of AMNEP (see 2.3) to </w:t>
      </w:r>
      <w:r w:rsidRPr="007E0104">
        <w:rPr>
          <w:rFonts w:ascii="Century Gothic" w:hAnsi="Century Gothic"/>
          <w:b/>
          <w:sz w:val="22"/>
        </w:rPr>
        <w:t>seek a deeper programmatic engagement with its NGO partners</w:t>
      </w:r>
      <w:r w:rsidRPr="007E0104">
        <w:rPr>
          <w:rFonts w:ascii="Century Gothic" w:hAnsi="Century Gothic"/>
          <w:sz w:val="22"/>
        </w:rPr>
        <w:t xml:space="preserve">. This includes, ensuring adequate resourcing and </w:t>
      </w:r>
      <w:r w:rsidRPr="007E0104">
        <w:rPr>
          <w:rFonts w:ascii="Century Gothic" w:hAnsi="Century Gothic"/>
          <w:sz w:val="22"/>
        </w:rPr>
        <w:lastRenderedPageBreak/>
        <w:t>delegation of team responsibilities to enable regular monitoring of CCCAG activities and engagement of DFAT Program Managers</w:t>
      </w:r>
      <w:r w:rsidRPr="007E0104">
        <w:rPr>
          <w:rFonts w:ascii="Century Gothic" w:hAnsi="Century Gothic"/>
          <w:b/>
          <w:i/>
          <w:sz w:val="22"/>
        </w:rPr>
        <w:t xml:space="preserve"> </w:t>
      </w:r>
      <w:r w:rsidRPr="007E0104">
        <w:rPr>
          <w:rFonts w:ascii="Century Gothic" w:hAnsi="Century Gothic"/>
          <w:sz w:val="22"/>
        </w:rPr>
        <w:t xml:space="preserve">in dialogue with partners about contextual and implementation issues as opposed to a focus on contract management. This is bringing positive internal and external benefits to DFAT (see </w:t>
      </w:r>
      <w:r w:rsidR="006F7E2C" w:rsidRPr="007E0104">
        <w:rPr>
          <w:rFonts w:ascii="Century Gothic" w:hAnsi="Century Gothic"/>
          <w:sz w:val="22"/>
        </w:rPr>
        <w:t>5:</w:t>
      </w:r>
      <w:r w:rsidRPr="007E0104">
        <w:rPr>
          <w:rFonts w:ascii="Century Gothic" w:hAnsi="Century Gothic"/>
          <w:sz w:val="22"/>
        </w:rPr>
        <w:t xml:space="preserve"> Partnership) as it builds its engagement within the climate change sector in Vietnam.</w:t>
      </w:r>
      <w:r>
        <w:t xml:space="preserve"> </w:t>
      </w:r>
    </w:p>
    <w:p w:rsidR="007E0104" w:rsidRDefault="007E0104" w:rsidP="007E0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A671AA" w:rsidRDefault="007E0104" w:rsidP="007E0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Despite the issues relating to the design of CCCAG </w:t>
      </w:r>
      <w:r w:rsidR="00A671AA">
        <w:rPr>
          <w:rFonts w:ascii="Century Gothic" w:hAnsi="Century Gothic" w:cs="Helvetica"/>
          <w:iCs/>
          <w:color w:val="000000"/>
          <w:sz w:val="22"/>
        </w:rPr>
        <w:t>discussed previously</w:t>
      </w:r>
      <w:r>
        <w:rPr>
          <w:rFonts w:ascii="Century Gothic" w:hAnsi="Century Gothic" w:cs="Helvetica"/>
          <w:iCs/>
          <w:color w:val="000000"/>
          <w:sz w:val="22"/>
        </w:rPr>
        <w:t xml:space="preserve">, the </w:t>
      </w:r>
      <w:r w:rsidRPr="00A671AA">
        <w:rPr>
          <w:rFonts w:ascii="Century Gothic" w:hAnsi="Century Gothic" w:cs="Helvetica"/>
          <w:b/>
          <w:iCs/>
          <w:color w:val="000000"/>
          <w:sz w:val="22"/>
        </w:rPr>
        <w:t xml:space="preserve">management arrangements have been </w:t>
      </w:r>
      <w:r w:rsidR="00A671AA" w:rsidRPr="00A671AA">
        <w:rPr>
          <w:rFonts w:ascii="Century Gothic" w:hAnsi="Century Gothic" w:cs="Helvetica"/>
          <w:b/>
          <w:iCs/>
          <w:color w:val="000000"/>
          <w:sz w:val="22"/>
        </w:rPr>
        <w:t>appropriate and commensurate with the investment</w:t>
      </w:r>
      <w:r w:rsidR="00A671AA">
        <w:rPr>
          <w:rFonts w:ascii="Century Gothic" w:hAnsi="Century Gothic" w:cs="Helvetica"/>
          <w:iCs/>
          <w:color w:val="000000"/>
          <w:sz w:val="22"/>
        </w:rPr>
        <w:t xml:space="preserve">. CCCAG partners recognised DFAT efforts to </w:t>
      </w:r>
      <w:r w:rsidR="00A671AA" w:rsidRPr="008131F6">
        <w:rPr>
          <w:rFonts w:ascii="Century Gothic" w:hAnsi="Century Gothic" w:cs="Helvetica"/>
          <w:iCs/>
          <w:color w:val="000000"/>
          <w:sz w:val="22"/>
        </w:rPr>
        <w:t>minimise transaction costs</w:t>
      </w:r>
      <w:r w:rsidR="00A671AA">
        <w:rPr>
          <w:rFonts w:ascii="Century Gothic" w:hAnsi="Century Gothic" w:cs="Helvetica"/>
          <w:iCs/>
          <w:color w:val="000000"/>
          <w:sz w:val="22"/>
        </w:rPr>
        <w:t xml:space="preserve"> while maintaining a high level of accountability. </w:t>
      </w:r>
      <w:r w:rsidR="00DE3A4D">
        <w:rPr>
          <w:rFonts w:ascii="Century Gothic" w:hAnsi="Century Gothic" w:cs="Helvetica"/>
          <w:iCs/>
          <w:color w:val="000000"/>
          <w:sz w:val="22"/>
        </w:rPr>
        <w:t xml:space="preserve">In particular the development of a common reporting framework, streamlined reporting and </w:t>
      </w:r>
      <w:r w:rsidR="00D71C2A">
        <w:rPr>
          <w:rFonts w:ascii="Century Gothic" w:hAnsi="Century Gothic" w:cs="Helvetica"/>
          <w:iCs/>
          <w:color w:val="000000"/>
          <w:sz w:val="22"/>
        </w:rPr>
        <w:t>regular partnership meetings</w:t>
      </w:r>
      <w:r w:rsidR="00DE3A4D">
        <w:rPr>
          <w:rFonts w:ascii="Century Gothic" w:hAnsi="Century Gothic" w:cs="Helvetica"/>
          <w:iCs/>
          <w:color w:val="000000"/>
          <w:sz w:val="22"/>
        </w:rPr>
        <w:t xml:space="preserve"> enabled partners to develop some cross program synergies including the sharing of climate change communications materials, the replication of livelihoods strategies</w:t>
      </w:r>
      <w:r w:rsidR="00DE3A4D">
        <w:rPr>
          <w:rStyle w:val="FootnoteReference"/>
          <w:rFonts w:ascii="Century Gothic" w:hAnsi="Century Gothic" w:cs="Helvetica"/>
          <w:iCs/>
          <w:color w:val="000000"/>
          <w:sz w:val="22"/>
        </w:rPr>
        <w:footnoteReference w:id="32"/>
      </w:r>
      <w:r w:rsidR="00DE3A4D">
        <w:rPr>
          <w:rFonts w:ascii="Century Gothic" w:hAnsi="Century Gothic" w:cs="Helvetica"/>
          <w:iCs/>
          <w:color w:val="000000"/>
          <w:sz w:val="22"/>
        </w:rPr>
        <w:t xml:space="preserve">, </w:t>
      </w:r>
      <w:r w:rsidR="00D71C2A">
        <w:rPr>
          <w:rFonts w:ascii="Century Gothic" w:hAnsi="Century Gothic" w:cs="Helvetica"/>
          <w:iCs/>
          <w:color w:val="000000"/>
          <w:sz w:val="22"/>
        </w:rPr>
        <w:t xml:space="preserve">and </w:t>
      </w:r>
      <w:r w:rsidR="00DE3A4D">
        <w:rPr>
          <w:rFonts w:ascii="Century Gothic" w:hAnsi="Century Gothic" w:cs="Helvetica"/>
          <w:iCs/>
          <w:color w:val="000000"/>
          <w:sz w:val="22"/>
        </w:rPr>
        <w:t>joi</w:t>
      </w:r>
      <w:r w:rsidR="00D71C2A">
        <w:rPr>
          <w:rFonts w:ascii="Century Gothic" w:hAnsi="Century Gothic" w:cs="Helvetica"/>
          <w:iCs/>
          <w:color w:val="000000"/>
          <w:sz w:val="22"/>
        </w:rPr>
        <w:t>nt analysis and advocacy.</w:t>
      </w:r>
    </w:p>
    <w:p w:rsidR="0032489B" w:rsidRDefault="0032489B" w:rsidP="0032489B">
      <w:pPr>
        <w:jc w:val="both"/>
        <w:rPr>
          <w:rFonts w:ascii="Century Gothic" w:hAnsi="Century Gothic"/>
          <w:sz w:val="18"/>
        </w:rPr>
      </w:pPr>
    </w:p>
    <w:p w:rsid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r>
        <w:rPr>
          <w:rFonts w:ascii="Century Gothic" w:hAnsi="Century Gothic"/>
          <w:sz w:val="18"/>
        </w:rPr>
        <w:t>“The a</w:t>
      </w:r>
      <w:r w:rsidRPr="000E3399">
        <w:rPr>
          <w:rFonts w:ascii="Century Gothic" w:hAnsi="Century Gothic"/>
          <w:sz w:val="18"/>
        </w:rPr>
        <w:t xml:space="preserve">pproval process was consultative, the </w:t>
      </w:r>
      <w:r>
        <w:rPr>
          <w:rFonts w:ascii="Century Gothic" w:hAnsi="Century Gothic"/>
          <w:sz w:val="18"/>
        </w:rPr>
        <w:t xml:space="preserve">DFAT </w:t>
      </w:r>
      <w:r w:rsidRPr="000E3399">
        <w:rPr>
          <w:rFonts w:ascii="Century Gothic" w:hAnsi="Century Gothic"/>
          <w:sz w:val="18"/>
        </w:rPr>
        <w:t>tea</w:t>
      </w:r>
      <w:r>
        <w:rPr>
          <w:rFonts w:ascii="Century Gothic" w:hAnsi="Century Gothic"/>
          <w:sz w:val="18"/>
        </w:rPr>
        <w:t>m was very involved and responsive</w:t>
      </w:r>
      <w:r w:rsidRPr="000E3399">
        <w:rPr>
          <w:rFonts w:ascii="Century Gothic" w:hAnsi="Century Gothic"/>
          <w:sz w:val="18"/>
        </w:rPr>
        <w:t xml:space="preserve"> to partner queries and the contracting process was easy.</w:t>
      </w:r>
      <w:r>
        <w:rPr>
          <w:rFonts w:ascii="Century Gothic" w:hAnsi="Century Gothic"/>
          <w:sz w:val="18"/>
        </w:rPr>
        <w:t>”</w:t>
      </w:r>
    </w:p>
    <w:p w:rsid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p>
    <w:p w:rsid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18"/>
        </w:rPr>
      </w:pPr>
      <w:r>
        <w:rPr>
          <w:rFonts w:ascii="Century Gothic" w:hAnsi="Century Gothic"/>
          <w:sz w:val="18"/>
        </w:rPr>
        <w:t>“</w:t>
      </w:r>
      <w:r w:rsidRPr="000E3399">
        <w:rPr>
          <w:rFonts w:ascii="Century Gothic" w:hAnsi="Century Gothic"/>
          <w:sz w:val="18"/>
        </w:rPr>
        <w:t>Compared to other donors the reporting is easier and more focused</w:t>
      </w:r>
      <w:r>
        <w:rPr>
          <w:rFonts w:ascii="Century Gothic" w:hAnsi="Century Gothic"/>
          <w:sz w:val="18"/>
        </w:rPr>
        <w:t>.”</w:t>
      </w:r>
    </w:p>
    <w:p w:rsid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rPr>
          <w:rFonts w:ascii="Century Gothic" w:hAnsi="Century Gothic"/>
          <w:sz w:val="18"/>
        </w:rPr>
      </w:pPr>
    </w:p>
    <w:p w:rsidR="0032489B" w:rsidRPr="000E3399"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right"/>
        <w:rPr>
          <w:sz w:val="14"/>
        </w:rPr>
      </w:pPr>
      <w:r w:rsidRPr="000E3399">
        <w:rPr>
          <w:rFonts w:ascii="Century Gothic" w:hAnsi="Century Gothic"/>
          <w:sz w:val="14"/>
        </w:rPr>
        <w:t xml:space="preserve">Anonymous CCCAG Partners </w:t>
      </w:r>
    </w:p>
    <w:p w:rsidR="0032489B" w:rsidRDefault="0032489B" w:rsidP="007E0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7E0104" w:rsidRDefault="007E0104" w:rsidP="007E0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1744F" w:rsidRPr="0001744F" w:rsidRDefault="0001744F" w:rsidP="0001744F">
      <w:pPr>
        <w:pStyle w:val="DonnasStyle"/>
        <w:rPr>
          <w:color w:val="8DB3E2" w:themeColor="text2" w:themeTint="66"/>
        </w:rPr>
      </w:pPr>
      <w:r>
        <w:rPr>
          <w:b/>
          <w:i/>
          <w:color w:val="8DB3E2" w:themeColor="text2" w:themeTint="66"/>
        </w:rPr>
        <w:t>Project</w:t>
      </w:r>
      <w:r w:rsidRPr="00B10A76">
        <w:rPr>
          <w:b/>
          <w:i/>
          <w:color w:val="8DB3E2" w:themeColor="text2" w:themeTint="66"/>
        </w:rPr>
        <w:t xml:space="preserve"> Level Observations</w:t>
      </w:r>
    </w:p>
    <w:p w:rsidR="000B1D99" w:rsidRPr="00FE6EF1"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D</w:t>
      </w:r>
      <w:r w:rsidRPr="00220D1E">
        <w:rPr>
          <w:rFonts w:ascii="Century Gothic" w:hAnsi="Century Gothic" w:cs="Helvetica"/>
          <w:iCs/>
          <w:color w:val="000000"/>
          <w:sz w:val="22"/>
        </w:rPr>
        <w:t xml:space="preserve">etailed </w:t>
      </w:r>
      <w:r>
        <w:rPr>
          <w:rFonts w:ascii="Century Gothic" w:hAnsi="Century Gothic" w:cs="Helvetica"/>
          <w:iCs/>
          <w:color w:val="000000"/>
          <w:sz w:val="22"/>
        </w:rPr>
        <w:t xml:space="preserve">assessment </w:t>
      </w:r>
      <w:r w:rsidRPr="00220D1E">
        <w:rPr>
          <w:rFonts w:ascii="Century Gothic" w:hAnsi="Century Gothic" w:cs="Helvetica"/>
          <w:iCs/>
          <w:color w:val="000000"/>
          <w:sz w:val="22"/>
        </w:rPr>
        <w:t xml:space="preserve">of efficiency at </w:t>
      </w:r>
      <w:r>
        <w:rPr>
          <w:rFonts w:ascii="Century Gothic" w:hAnsi="Century Gothic" w:cs="Helvetica"/>
          <w:iCs/>
          <w:color w:val="000000"/>
          <w:sz w:val="22"/>
        </w:rPr>
        <w:t xml:space="preserve">the project level was outside of the scope of the Review. </w:t>
      </w:r>
      <w:r w:rsidR="00D1494E">
        <w:rPr>
          <w:rFonts w:ascii="Century Gothic" w:hAnsi="Century Gothic" w:cs="Helvetica"/>
          <w:iCs/>
          <w:color w:val="000000"/>
          <w:sz w:val="22"/>
        </w:rPr>
        <w:t xml:space="preserve">Aside from </w:t>
      </w:r>
      <w:r>
        <w:rPr>
          <w:rFonts w:ascii="Century Gothic" w:hAnsi="Century Gothic" w:cs="Helvetica"/>
          <w:iCs/>
          <w:color w:val="000000"/>
          <w:sz w:val="22"/>
        </w:rPr>
        <w:t xml:space="preserve">the inception and progress of some partner projects being delayed by GoV approvals and the need to align with government planning systems and partner mechanisms, the Review did not identify any major issue related to efficiency. It further recognised that </w:t>
      </w:r>
      <w:r w:rsidRPr="00E00720">
        <w:rPr>
          <w:rFonts w:ascii="Century Gothic" w:hAnsi="Century Gothic" w:cs="Helvetica"/>
          <w:b/>
          <w:iCs/>
          <w:color w:val="000000"/>
          <w:sz w:val="22"/>
        </w:rPr>
        <w:t>all</w:t>
      </w:r>
      <w:r w:rsidR="00981190">
        <w:rPr>
          <w:rFonts w:ascii="Century Gothic" w:hAnsi="Century Gothic" w:cs="Helvetica"/>
          <w:b/>
          <w:iCs/>
          <w:color w:val="000000"/>
          <w:sz w:val="22"/>
        </w:rPr>
        <w:t xml:space="preserve"> partners are experienced NGOs </w:t>
      </w:r>
      <w:r w:rsidRPr="00E00720">
        <w:rPr>
          <w:rFonts w:ascii="Century Gothic" w:hAnsi="Century Gothic" w:cs="Helvetica"/>
          <w:b/>
          <w:iCs/>
          <w:color w:val="000000"/>
          <w:sz w:val="22"/>
        </w:rPr>
        <w:t>who have sufficient internal management system</w:t>
      </w:r>
      <w:r w:rsidR="00D1494E">
        <w:rPr>
          <w:rFonts w:ascii="Century Gothic" w:hAnsi="Century Gothic" w:cs="Helvetica"/>
          <w:b/>
          <w:iCs/>
          <w:color w:val="000000"/>
          <w:sz w:val="22"/>
        </w:rPr>
        <w:t xml:space="preserve">s in place to manage operations and </w:t>
      </w:r>
      <w:r w:rsidRPr="00E00720">
        <w:rPr>
          <w:rFonts w:ascii="Century Gothic" w:hAnsi="Century Gothic" w:cs="Helvetica"/>
          <w:b/>
          <w:iCs/>
          <w:color w:val="000000"/>
          <w:sz w:val="22"/>
        </w:rPr>
        <w:t>risks</w:t>
      </w:r>
      <w:r w:rsidR="00981190">
        <w:rPr>
          <w:rFonts w:ascii="Century Gothic" w:hAnsi="Century Gothic" w:cs="Helvetica"/>
          <w:iCs/>
          <w:color w:val="000000"/>
          <w:sz w:val="22"/>
        </w:rPr>
        <w:t xml:space="preserve">. We also note that appropriate measures are in place to manage key safeguards </w:t>
      </w:r>
      <w:r w:rsidR="00502509">
        <w:rPr>
          <w:rFonts w:ascii="Century Gothic" w:hAnsi="Century Gothic" w:cs="Helvetica"/>
          <w:iCs/>
          <w:color w:val="000000"/>
          <w:sz w:val="22"/>
        </w:rPr>
        <w:t>e.g. fraud, child protection, environmental protection</w:t>
      </w:r>
      <w:r w:rsidR="00981190">
        <w:rPr>
          <w:rFonts w:ascii="Century Gothic" w:hAnsi="Century Gothic" w:cs="Helvetica"/>
          <w:iCs/>
          <w:color w:val="000000"/>
          <w:sz w:val="22"/>
        </w:rPr>
        <w:t>.</w:t>
      </w:r>
    </w:p>
    <w:p w:rsidR="000B1D99" w:rsidRPr="005E1F2A" w:rsidRDefault="000B1D99" w:rsidP="000B1D99">
      <w:pPr>
        <w:pStyle w:val="Heading3"/>
        <w:rPr>
          <w:color w:val="FF0000"/>
        </w:rPr>
      </w:pPr>
      <w:bookmarkStart w:id="33" w:name="_Toc266010034"/>
      <w:r>
        <w:t>4.4. Impact</w:t>
      </w:r>
      <w:bookmarkEnd w:id="33"/>
      <w:r>
        <w:t xml:space="preserve"> </w:t>
      </w:r>
    </w:p>
    <w:p w:rsidR="000B1D99" w:rsidRDefault="000B1D99" w:rsidP="000B1D99">
      <w:pPr>
        <w:pStyle w:val="DonnasStyle"/>
        <w:rPr>
          <w:rFonts w:cs="Helvetica"/>
          <w:iCs/>
          <w:color w:val="000000"/>
        </w:rPr>
      </w:pPr>
      <w:bookmarkStart w:id="34" w:name="OLE_LINK2"/>
      <w:r>
        <w:rPr>
          <w:rFonts w:cs="Helvetica"/>
          <w:iCs/>
          <w:color w:val="000000"/>
        </w:rPr>
        <w:t>While premature to assess impact at this early stage of implementation</w:t>
      </w:r>
      <w:r>
        <w:rPr>
          <w:rStyle w:val="FootnoteReference"/>
          <w:rFonts w:cs="Helvetica"/>
          <w:iCs/>
          <w:color w:val="000000"/>
        </w:rPr>
        <w:footnoteReference w:id="33"/>
      </w:r>
      <w:r>
        <w:rPr>
          <w:rFonts w:cs="Helvetica"/>
          <w:iCs/>
          <w:color w:val="000000"/>
        </w:rPr>
        <w:t xml:space="preserve">, in the interests of learning, the Review has identified a number of potential impacts which may assist DFAT and its partners in considering their investments in the context of a future program. </w:t>
      </w:r>
    </w:p>
    <w:p w:rsidR="000B1D99" w:rsidRDefault="000B1D99" w:rsidP="000B1D99">
      <w:pPr>
        <w:pStyle w:val="DonnasStyle"/>
        <w:rPr>
          <w:rFonts w:cs="Helvetica"/>
          <w:iCs/>
          <w:color w:val="000000"/>
        </w:rPr>
      </w:pPr>
    </w:p>
    <w:p w:rsidR="000B1D99" w:rsidRDefault="000B1D99" w:rsidP="000B1D99">
      <w:pPr>
        <w:pStyle w:val="DonnasStyle"/>
      </w:pPr>
      <w:r>
        <w:t xml:space="preserve">Both </w:t>
      </w:r>
      <w:r w:rsidRPr="005B793A">
        <w:rPr>
          <w:b/>
        </w:rPr>
        <w:t>mitigation projects</w:t>
      </w:r>
      <w:r>
        <w:t xml:space="preserve"> have made strong progress towards their stated objectives in relation to the implementation of low-input, high yield, low-GHG rice cultivation in their target communities. Rice cultivation in Vietnam accounts for 25% of national GHG emissions</w:t>
      </w:r>
      <w:r>
        <w:rPr>
          <w:rStyle w:val="FootnoteReference"/>
        </w:rPr>
        <w:footnoteReference w:id="34"/>
      </w:r>
      <w:r>
        <w:t>, with approximately 9 million or 65% of rural households involved in rice production</w:t>
      </w:r>
      <w:r>
        <w:rPr>
          <w:rStyle w:val="FootnoteReference"/>
        </w:rPr>
        <w:footnoteReference w:id="35"/>
      </w:r>
      <w:r>
        <w:t xml:space="preserve">. As such, </w:t>
      </w:r>
      <w:r w:rsidRPr="001800C9">
        <w:rPr>
          <w:b/>
        </w:rPr>
        <w:t xml:space="preserve">community based mitigation in the rice production system is critical to achieving national emission reduction targets and has significant potential for high </w:t>
      </w:r>
      <w:r>
        <w:rPr>
          <w:b/>
        </w:rPr>
        <w:t>economic</w:t>
      </w:r>
      <w:r w:rsidRPr="001800C9">
        <w:rPr>
          <w:b/>
        </w:rPr>
        <w:t xml:space="preserve"> and social impact</w:t>
      </w:r>
      <w:r>
        <w:t>.</w:t>
      </w:r>
    </w:p>
    <w:p w:rsidR="000B1D99" w:rsidRDefault="000B1D99" w:rsidP="000B1D99">
      <w:pPr>
        <w:pStyle w:val="DonnasStyle"/>
      </w:pPr>
    </w:p>
    <w:p w:rsidR="000B1D99" w:rsidRDefault="00E262F9" w:rsidP="000B1D99">
      <w:pPr>
        <w:pStyle w:val="DonnasStyle"/>
      </w:pPr>
      <w:r>
        <w:t>The cultivation methods</w:t>
      </w:r>
      <w:r w:rsidR="000B1D99">
        <w:t xml:space="preserve"> </w:t>
      </w:r>
      <w:r>
        <w:t xml:space="preserve">promoted by project </w:t>
      </w:r>
      <w:r w:rsidR="000B1D99">
        <w:t>have been effectively implemented a</w:t>
      </w:r>
      <w:r>
        <w:t xml:space="preserve">nd adopted in target communities. Due </w:t>
      </w:r>
      <w:r w:rsidR="000B1D99">
        <w:t xml:space="preserve">to the strong quantitative M&amp;E capabilities of partners they </w:t>
      </w:r>
      <w:r>
        <w:t>have</w:t>
      </w:r>
      <w:r w:rsidR="000B1D99">
        <w:t xml:space="preserve"> evidence</w:t>
      </w:r>
      <w:r>
        <w:t>d</w:t>
      </w:r>
      <w:r w:rsidR="000B1D99">
        <w:t xml:space="preserve"> positive development impacts even within the relatively brief implementation period. </w:t>
      </w:r>
      <w:r w:rsidR="000B1D99" w:rsidRPr="00223BE0">
        <w:t>Table 1</w:t>
      </w:r>
      <w:r w:rsidR="000B1D99">
        <w:t xml:space="preserve"> summarises the encouraging positive </w:t>
      </w:r>
      <w:r w:rsidR="00683018">
        <w:t>results</w:t>
      </w:r>
      <w:r w:rsidR="000B1D99">
        <w:t xml:space="preserve"> delivered </w:t>
      </w:r>
      <w:r w:rsidR="000B1D99">
        <w:lastRenderedPageBreak/>
        <w:t xml:space="preserve">by the projects in terms of both GHG </w:t>
      </w:r>
      <w:r w:rsidR="000B1D99" w:rsidRPr="00CE065B">
        <w:t>mitigation and</w:t>
      </w:r>
      <w:r w:rsidR="000B1D99">
        <w:t xml:space="preserve"> household economy.</w:t>
      </w:r>
    </w:p>
    <w:p w:rsidR="000B1D99" w:rsidRDefault="000B1D99" w:rsidP="000B1D99">
      <w:pPr>
        <w:pStyle w:val="DonnasStyle"/>
      </w:pPr>
    </w:p>
    <w:p w:rsidR="000B1D99" w:rsidRPr="00882897" w:rsidRDefault="000B1D99" w:rsidP="000B1D99">
      <w:pPr>
        <w:pStyle w:val="DonnasStyle"/>
        <w:jc w:val="center"/>
        <w:rPr>
          <w:b/>
          <w:sz w:val="20"/>
        </w:rPr>
      </w:pPr>
      <w:r>
        <w:rPr>
          <w:b/>
          <w:sz w:val="20"/>
        </w:rPr>
        <w:t>Table 1</w:t>
      </w:r>
      <w:r w:rsidRPr="00D8220A">
        <w:rPr>
          <w:b/>
          <w:sz w:val="20"/>
        </w:rPr>
        <w:t>: Emerging Results – Mitigation Projects</w:t>
      </w:r>
      <w:r>
        <w:rPr>
          <w:rStyle w:val="FootnoteReference"/>
          <w:b/>
          <w:sz w:val="20"/>
        </w:rPr>
        <w:footnoteReference w:id="36"/>
      </w:r>
    </w:p>
    <w:tbl>
      <w:tblPr>
        <w:tblStyle w:val="TableGrid"/>
        <w:tblW w:w="0" w:type="auto"/>
        <w:jc w:val="center"/>
        <w:tblLook w:val="00A0" w:firstRow="1" w:lastRow="0" w:firstColumn="1" w:lastColumn="0" w:noHBand="0" w:noVBand="0"/>
        <w:tblCaption w:val="Table 1: Emerging Results - Mitigation Projects"/>
        <w:tblDescription w:val="Table provides data on EDF and SNV projects, their emission reductions per HA, emission reductions (%), increased income/per ha (VND) and increased income/per household (VND)"/>
      </w:tblPr>
      <w:tblGrid>
        <w:gridCol w:w="1677"/>
        <w:gridCol w:w="1677"/>
        <w:gridCol w:w="1677"/>
        <w:gridCol w:w="1677"/>
        <w:gridCol w:w="1678"/>
      </w:tblGrid>
      <w:tr w:rsidR="000B1D99" w:rsidTr="00746B24">
        <w:trPr>
          <w:trHeight w:val="1088"/>
          <w:tblHeader/>
          <w:jc w:val="center"/>
        </w:trPr>
        <w:tc>
          <w:tcPr>
            <w:tcW w:w="1677" w:type="dxa"/>
            <w:shd w:val="clear" w:color="auto" w:fill="auto"/>
          </w:tcPr>
          <w:p w:rsidR="000B1D99" w:rsidRPr="00882897" w:rsidRDefault="000B1D99" w:rsidP="00FF3107">
            <w:pPr>
              <w:pStyle w:val="DonnasStyle"/>
              <w:jc w:val="center"/>
              <w:rPr>
                <w:b/>
                <w:sz w:val="20"/>
              </w:rPr>
            </w:pPr>
            <w:r w:rsidRPr="00882897">
              <w:rPr>
                <w:b/>
                <w:sz w:val="20"/>
              </w:rPr>
              <w:t>Project</w:t>
            </w:r>
          </w:p>
        </w:tc>
        <w:tc>
          <w:tcPr>
            <w:tcW w:w="1677" w:type="dxa"/>
            <w:shd w:val="clear" w:color="auto" w:fill="auto"/>
          </w:tcPr>
          <w:p w:rsidR="000B1D99" w:rsidRPr="00882897" w:rsidRDefault="000B1D99" w:rsidP="00FF3107">
            <w:pPr>
              <w:pStyle w:val="DonnasStyle"/>
              <w:jc w:val="center"/>
              <w:rPr>
                <w:b/>
                <w:sz w:val="20"/>
              </w:rPr>
            </w:pPr>
            <w:r w:rsidRPr="00882897">
              <w:rPr>
                <w:b/>
                <w:sz w:val="20"/>
              </w:rPr>
              <w:t>Emission Reductions (per ha)</w:t>
            </w:r>
          </w:p>
        </w:tc>
        <w:tc>
          <w:tcPr>
            <w:tcW w:w="1677" w:type="dxa"/>
            <w:shd w:val="clear" w:color="auto" w:fill="auto"/>
          </w:tcPr>
          <w:p w:rsidR="000B1D99" w:rsidRPr="00882897" w:rsidRDefault="000B1D99" w:rsidP="00FF3107">
            <w:pPr>
              <w:pStyle w:val="DonnasStyle"/>
              <w:jc w:val="center"/>
              <w:rPr>
                <w:b/>
                <w:sz w:val="20"/>
              </w:rPr>
            </w:pPr>
            <w:r w:rsidRPr="00882897">
              <w:rPr>
                <w:b/>
                <w:sz w:val="20"/>
              </w:rPr>
              <w:t>Emission Reduction (%)</w:t>
            </w:r>
          </w:p>
        </w:tc>
        <w:tc>
          <w:tcPr>
            <w:tcW w:w="1677" w:type="dxa"/>
            <w:shd w:val="clear" w:color="auto" w:fill="auto"/>
          </w:tcPr>
          <w:p w:rsidR="000B1D99" w:rsidRPr="00882897" w:rsidRDefault="000B1D99" w:rsidP="00FF3107">
            <w:pPr>
              <w:pStyle w:val="DonnasStyle"/>
              <w:jc w:val="center"/>
              <w:rPr>
                <w:b/>
                <w:sz w:val="20"/>
              </w:rPr>
            </w:pPr>
            <w:r w:rsidRPr="00882897">
              <w:rPr>
                <w:b/>
                <w:sz w:val="20"/>
              </w:rPr>
              <w:t>Increased Income/per ha (VND)</w:t>
            </w:r>
          </w:p>
        </w:tc>
        <w:tc>
          <w:tcPr>
            <w:tcW w:w="1678" w:type="dxa"/>
            <w:shd w:val="clear" w:color="auto" w:fill="auto"/>
          </w:tcPr>
          <w:p w:rsidR="000B1D99" w:rsidRPr="00882897" w:rsidRDefault="000B1D99" w:rsidP="00FF3107">
            <w:pPr>
              <w:pStyle w:val="DonnasStyle"/>
              <w:jc w:val="center"/>
              <w:rPr>
                <w:b/>
                <w:sz w:val="20"/>
              </w:rPr>
            </w:pPr>
            <w:r w:rsidRPr="00882897">
              <w:rPr>
                <w:b/>
                <w:sz w:val="20"/>
              </w:rPr>
              <w:t>Increased Income/per household (VND)</w:t>
            </w:r>
          </w:p>
        </w:tc>
      </w:tr>
      <w:tr w:rsidR="000B1D99">
        <w:trPr>
          <w:trHeight w:val="280"/>
          <w:jc w:val="center"/>
        </w:trPr>
        <w:tc>
          <w:tcPr>
            <w:tcW w:w="1677" w:type="dxa"/>
            <w:shd w:val="clear" w:color="auto" w:fill="auto"/>
          </w:tcPr>
          <w:p w:rsidR="000B1D99" w:rsidRPr="00882897" w:rsidRDefault="000B1D99" w:rsidP="00FF3107">
            <w:pPr>
              <w:pStyle w:val="DonnasStyle"/>
              <w:jc w:val="center"/>
              <w:rPr>
                <w:sz w:val="20"/>
              </w:rPr>
            </w:pPr>
            <w:r w:rsidRPr="00882897">
              <w:rPr>
                <w:sz w:val="20"/>
              </w:rPr>
              <w:t>EDF</w:t>
            </w:r>
          </w:p>
        </w:tc>
        <w:tc>
          <w:tcPr>
            <w:tcW w:w="1677" w:type="dxa"/>
            <w:shd w:val="clear" w:color="auto" w:fill="auto"/>
          </w:tcPr>
          <w:p w:rsidR="000B1D99" w:rsidRPr="00882897" w:rsidRDefault="000B1D99" w:rsidP="00FF3107">
            <w:pPr>
              <w:pStyle w:val="DonnasStyle"/>
              <w:jc w:val="center"/>
              <w:rPr>
                <w:sz w:val="20"/>
              </w:rPr>
            </w:pPr>
            <w:r w:rsidRPr="00882897">
              <w:rPr>
                <w:sz w:val="20"/>
              </w:rPr>
              <w:t>8 tCO</w:t>
            </w:r>
            <w:r w:rsidRPr="00882897">
              <w:rPr>
                <w:sz w:val="20"/>
                <w:vertAlign w:val="subscript"/>
              </w:rPr>
              <w:t>2</w:t>
            </w:r>
            <w:r w:rsidRPr="00882897">
              <w:rPr>
                <w:sz w:val="20"/>
              </w:rPr>
              <w:t>e</w:t>
            </w:r>
          </w:p>
        </w:tc>
        <w:tc>
          <w:tcPr>
            <w:tcW w:w="1677" w:type="dxa"/>
            <w:shd w:val="clear" w:color="auto" w:fill="auto"/>
          </w:tcPr>
          <w:p w:rsidR="000B1D99" w:rsidRPr="00882897" w:rsidRDefault="000B1D99" w:rsidP="00FF3107">
            <w:pPr>
              <w:pStyle w:val="DonnasStyle"/>
              <w:jc w:val="center"/>
              <w:rPr>
                <w:sz w:val="20"/>
              </w:rPr>
            </w:pPr>
            <w:r w:rsidRPr="00882897">
              <w:rPr>
                <w:sz w:val="20"/>
              </w:rPr>
              <w:t>60%</w:t>
            </w:r>
          </w:p>
        </w:tc>
        <w:tc>
          <w:tcPr>
            <w:tcW w:w="1677" w:type="dxa"/>
            <w:shd w:val="clear" w:color="auto" w:fill="auto"/>
          </w:tcPr>
          <w:p w:rsidR="000B1D99" w:rsidRPr="00882897" w:rsidRDefault="000B1D99" w:rsidP="00FF3107">
            <w:pPr>
              <w:pStyle w:val="DonnasStyle"/>
              <w:jc w:val="center"/>
              <w:rPr>
                <w:sz w:val="20"/>
              </w:rPr>
            </w:pPr>
            <w:r w:rsidRPr="00882897">
              <w:rPr>
                <w:sz w:val="20"/>
              </w:rPr>
              <w:t>8.0 million</w:t>
            </w:r>
          </w:p>
        </w:tc>
        <w:tc>
          <w:tcPr>
            <w:tcW w:w="1678" w:type="dxa"/>
            <w:shd w:val="clear" w:color="auto" w:fill="auto"/>
          </w:tcPr>
          <w:p w:rsidR="000B1D99" w:rsidRPr="00882897" w:rsidRDefault="000B1D99" w:rsidP="00FF3107">
            <w:pPr>
              <w:pStyle w:val="DonnasStyle"/>
              <w:jc w:val="center"/>
              <w:rPr>
                <w:sz w:val="20"/>
              </w:rPr>
            </w:pPr>
            <w:r w:rsidRPr="00882897">
              <w:rPr>
                <w:sz w:val="20"/>
              </w:rPr>
              <w:t>10.74 million</w:t>
            </w:r>
          </w:p>
        </w:tc>
      </w:tr>
      <w:tr w:rsidR="000B1D99">
        <w:trPr>
          <w:trHeight w:val="264"/>
          <w:jc w:val="center"/>
        </w:trPr>
        <w:tc>
          <w:tcPr>
            <w:tcW w:w="1677" w:type="dxa"/>
            <w:shd w:val="clear" w:color="auto" w:fill="auto"/>
          </w:tcPr>
          <w:p w:rsidR="000B1D99" w:rsidRPr="00882897" w:rsidRDefault="000B1D99" w:rsidP="00FF3107">
            <w:pPr>
              <w:pStyle w:val="DonnasStyle"/>
              <w:jc w:val="center"/>
              <w:rPr>
                <w:sz w:val="20"/>
              </w:rPr>
            </w:pPr>
            <w:r w:rsidRPr="00882897">
              <w:rPr>
                <w:sz w:val="20"/>
              </w:rPr>
              <w:t>SNV</w:t>
            </w:r>
          </w:p>
        </w:tc>
        <w:tc>
          <w:tcPr>
            <w:tcW w:w="1677" w:type="dxa"/>
            <w:shd w:val="clear" w:color="auto" w:fill="auto"/>
          </w:tcPr>
          <w:p w:rsidR="000B1D99" w:rsidRPr="00882897" w:rsidRDefault="000B1D99" w:rsidP="00FF3107">
            <w:pPr>
              <w:pStyle w:val="DonnasStyle"/>
              <w:jc w:val="center"/>
              <w:rPr>
                <w:sz w:val="20"/>
              </w:rPr>
            </w:pPr>
            <w:r w:rsidRPr="00882897">
              <w:rPr>
                <w:sz w:val="20"/>
              </w:rPr>
              <w:t>4 tCO</w:t>
            </w:r>
            <w:r w:rsidRPr="00882897">
              <w:rPr>
                <w:sz w:val="20"/>
                <w:vertAlign w:val="subscript"/>
              </w:rPr>
              <w:t>2</w:t>
            </w:r>
            <w:r w:rsidRPr="00882897">
              <w:rPr>
                <w:sz w:val="20"/>
              </w:rPr>
              <w:t>e</w:t>
            </w:r>
          </w:p>
        </w:tc>
        <w:tc>
          <w:tcPr>
            <w:tcW w:w="1677" w:type="dxa"/>
            <w:shd w:val="clear" w:color="auto" w:fill="auto"/>
          </w:tcPr>
          <w:p w:rsidR="000B1D99" w:rsidRPr="00882897" w:rsidRDefault="000B1D99" w:rsidP="00FF3107">
            <w:pPr>
              <w:pStyle w:val="DonnasStyle"/>
              <w:jc w:val="center"/>
              <w:rPr>
                <w:sz w:val="20"/>
              </w:rPr>
            </w:pPr>
            <w:r w:rsidRPr="00882897">
              <w:rPr>
                <w:sz w:val="20"/>
              </w:rPr>
              <w:t>23%</w:t>
            </w:r>
          </w:p>
        </w:tc>
        <w:tc>
          <w:tcPr>
            <w:tcW w:w="1677" w:type="dxa"/>
            <w:shd w:val="clear" w:color="auto" w:fill="auto"/>
          </w:tcPr>
          <w:p w:rsidR="000B1D99" w:rsidRPr="00882897" w:rsidRDefault="000B1D99" w:rsidP="00FF3107">
            <w:pPr>
              <w:pStyle w:val="DonnasStyle"/>
              <w:jc w:val="center"/>
              <w:rPr>
                <w:sz w:val="20"/>
              </w:rPr>
            </w:pPr>
            <w:r w:rsidRPr="00882897">
              <w:rPr>
                <w:sz w:val="20"/>
              </w:rPr>
              <w:t>400,000</w:t>
            </w:r>
          </w:p>
        </w:tc>
        <w:tc>
          <w:tcPr>
            <w:tcW w:w="1678" w:type="dxa"/>
            <w:shd w:val="clear" w:color="auto" w:fill="auto"/>
          </w:tcPr>
          <w:p w:rsidR="000B1D99" w:rsidRPr="00882897" w:rsidRDefault="000B1D99" w:rsidP="00FF3107">
            <w:pPr>
              <w:pStyle w:val="DonnasStyle"/>
              <w:jc w:val="center"/>
              <w:rPr>
                <w:sz w:val="20"/>
              </w:rPr>
            </w:pPr>
            <w:r w:rsidRPr="00882897">
              <w:rPr>
                <w:sz w:val="20"/>
              </w:rPr>
              <w:t>615,000</w:t>
            </w:r>
          </w:p>
        </w:tc>
      </w:tr>
      <w:bookmarkEnd w:id="34"/>
    </w:tbl>
    <w:p w:rsidR="000B1D99" w:rsidRPr="007E256A" w:rsidRDefault="000B1D99" w:rsidP="000B1D99">
      <w:pPr>
        <w:pStyle w:val="DonnasStyle"/>
        <w:jc w:val="center"/>
        <w:rPr>
          <w:rFonts w:cs="Helvetica"/>
          <w:iCs/>
          <w:color w:val="000000"/>
        </w:rPr>
      </w:pPr>
    </w:p>
    <w:p w:rsidR="000B1D99" w:rsidRPr="00E771AD"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Based on current engagements, scope and emerging outcomes identified in </w:t>
      </w:r>
      <w:r w:rsidRPr="0042798B">
        <w:rPr>
          <w:rFonts w:ascii="Century Gothic" w:hAnsi="Century Gothic" w:cs="Helvetica"/>
          <w:iCs/>
          <w:sz w:val="22"/>
        </w:rPr>
        <w:t>4.2</w:t>
      </w:r>
      <w:r>
        <w:rPr>
          <w:rFonts w:ascii="Century Gothic" w:hAnsi="Century Gothic" w:cs="Helvetica"/>
          <w:iCs/>
          <w:color w:val="000000"/>
          <w:sz w:val="22"/>
        </w:rPr>
        <w:t xml:space="preserve">, the Review anticipates the </w:t>
      </w:r>
      <w:r w:rsidRPr="00E771AD">
        <w:rPr>
          <w:rFonts w:ascii="Century Gothic" w:hAnsi="Century Gothic" w:cs="Helvetica"/>
          <w:iCs/>
          <w:color w:val="000000"/>
          <w:sz w:val="22"/>
        </w:rPr>
        <w:t xml:space="preserve">most likely impacts of </w:t>
      </w:r>
      <w:r w:rsidRPr="006763FC">
        <w:rPr>
          <w:rFonts w:ascii="Century Gothic" w:hAnsi="Century Gothic" w:cs="Helvetica"/>
          <w:b/>
          <w:iCs/>
          <w:color w:val="000000"/>
          <w:sz w:val="22"/>
        </w:rPr>
        <w:t>adaptation projects</w:t>
      </w:r>
      <w:r w:rsidRPr="00E771AD">
        <w:rPr>
          <w:rFonts w:ascii="Century Gothic" w:hAnsi="Century Gothic" w:cs="Helvetica"/>
          <w:iCs/>
          <w:color w:val="000000"/>
          <w:sz w:val="22"/>
        </w:rPr>
        <w:t xml:space="preserve"> </w:t>
      </w:r>
      <w:r>
        <w:rPr>
          <w:rFonts w:ascii="Century Gothic" w:hAnsi="Century Gothic" w:cs="Helvetica"/>
          <w:iCs/>
          <w:color w:val="000000"/>
          <w:sz w:val="22"/>
        </w:rPr>
        <w:t>to emerge through:</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iCs/>
          <w:color w:val="000000"/>
          <w:sz w:val="22"/>
        </w:rPr>
      </w:pPr>
    </w:p>
    <w:p w:rsidR="000B1D99" w:rsidRDefault="000B1D99" w:rsidP="000B1D9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E771AD">
        <w:rPr>
          <w:rFonts w:ascii="Century Gothic" w:hAnsi="Century Gothic" w:cs="Helvetica"/>
          <w:iCs/>
          <w:color w:val="000000"/>
          <w:sz w:val="22"/>
        </w:rPr>
        <w:t>The extent to which sub national government and civil society actors will be able to continue to implement participatory hazard, capacity and vulnerability assessment and integrate these with local planning;</w:t>
      </w:r>
    </w:p>
    <w:p w:rsidR="000B1D99" w:rsidRPr="009D5228" w:rsidRDefault="000B1D99" w:rsidP="000B1D9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Century Gothic" w:hAnsi="Century Gothic" w:cs="Helvetica"/>
          <w:iCs/>
          <w:color w:val="000000"/>
          <w:sz w:val="22"/>
        </w:rPr>
      </w:pPr>
    </w:p>
    <w:p w:rsidR="000B1D99" w:rsidRPr="00E771AD" w:rsidRDefault="000B1D99" w:rsidP="000B1D9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E771AD">
        <w:rPr>
          <w:rFonts w:ascii="Century Gothic" w:hAnsi="Century Gothic" w:cs="Helvetica"/>
          <w:iCs/>
          <w:color w:val="000000"/>
          <w:sz w:val="22"/>
        </w:rPr>
        <w:t xml:space="preserve">The extent to which these processes will engage the most vulnerable as actors </w:t>
      </w:r>
      <w:r>
        <w:rPr>
          <w:rFonts w:ascii="Century Gothic" w:hAnsi="Century Gothic" w:cs="Helvetica"/>
          <w:iCs/>
          <w:color w:val="000000"/>
          <w:sz w:val="22"/>
        </w:rPr>
        <w:t xml:space="preserve">as opposed to </w:t>
      </w:r>
      <w:r w:rsidRPr="00E771AD">
        <w:rPr>
          <w:rFonts w:ascii="Century Gothic" w:hAnsi="Century Gothic" w:cs="Helvetica"/>
          <w:iCs/>
          <w:color w:val="000000"/>
          <w:sz w:val="22"/>
        </w:rPr>
        <w:t>recipients of assistance;</w:t>
      </w:r>
    </w:p>
    <w:p w:rsidR="000B1D99" w:rsidRPr="00E771AD"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Pr="00E771AD" w:rsidRDefault="000B1D99" w:rsidP="000B1D9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Evidencing</w:t>
      </w:r>
      <w:r w:rsidRPr="00E771AD">
        <w:rPr>
          <w:rFonts w:ascii="Century Gothic" w:hAnsi="Century Gothic" w:cs="Helvetica"/>
          <w:iCs/>
          <w:color w:val="000000"/>
          <w:sz w:val="22"/>
        </w:rPr>
        <w:t xml:space="preserve"> adaptive livelihoods options which deliver results in terms of building the resi</w:t>
      </w:r>
      <w:r>
        <w:rPr>
          <w:rFonts w:ascii="Century Gothic" w:hAnsi="Century Gothic" w:cs="Helvetica"/>
          <w:iCs/>
          <w:color w:val="000000"/>
          <w:sz w:val="22"/>
        </w:rPr>
        <w:t xml:space="preserve">lience of vulnerable households. This evidence would </w:t>
      </w:r>
      <w:r w:rsidRPr="00E771AD">
        <w:rPr>
          <w:rFonts w:ascii="Century Gothic" w:hAnsi="Century Gothic" w:cs="Helvetica"/>
          <w:iCs/>
          <w:color w:val="000000"/>
          <w:sz w:val="22"/>
        </w:rPr>
        <w:t>extend beyond increased income</w:t>
      </w:r>
      <w:r>
        <w:rPr>
          <w:rFonts w:ascii="Century Gothic" w:hAnsi="Century Gothic" w:cs="Helvetica"/>
          <w:iCs/>
          <w:color w:val="000000"/>
          <w:sz w:val="22"/>
        </w:rPr>
        <w:t>,</w:t>
      </w:r>
      <w:r w:rsidRPr="00E771AD">
        <w:rPr>
          <w:rFonts w:ascii="Century Gothic" w:hAnsi="Century Gothic" w:cs="Helvetica"/>
          <w:iCs/>
          <w:color w:val="000000"/>
          <w:sz w:val="22"/>
        </w:rPr>
        <w:t xml:space="preserve"> and take into consideration</w:t>
      </w:r>
      <w:r>
        <w:rPr>
          <w:rFonts w:ascii="Century Gothic" w:hAnsi="Century Gothic" w:cs="Helvetica"/>
          <w:iCs/>
          <w:color w:val="000000"/>
          <w:sz w:val="22"/>
        </w:rPr>
        <w:t xml:space="preserve"> a range of factors including</w:t>
      </w:r>
      <w:r w:rsidRPr="00E771AD">
        <w:rPr>
          <w:rFonts w:ascii="Century Gothic" w:hAnsi="Century Gothic" w:cs="Helvetica"/>
          <w:iCs/>
          <w:color w:val="000000"/>
          <w:sz w:val="22"/>
        </w:rPr>
        <w:t xml:space="preserve"> seasonal resilience, reduction in crop failure</w:t>
      </w:r>
      <w:r>
        <w:rPr>
          <w:rFonts w:ascii="Century Gothic" w:hAnsi="Century Gothic" w:cs="Helvetica"/>
          <w:iCs/>
          <w:color w:val="000000"/>
          <w:sz w:val="22"/>
        </w:rPr>
        <w:t>, diversification of income sources and</w:t>
      </w:r>
      <w:r w:rsidRPr="00E771AD">
        <w:rPr>
          <w:rFonts w:ascii="Century Gothic" w:hAnsi="Century Gothic" w:cs="Helvetica"/>
          <w:iCs/>
          <w:color w:val="000000"/>
          <w:sz w:val="22"/>
        </w:rPr>
        <w:t xml:space="preserve"> </w:t>
      </w:r>
      <w:r>
        <w:rPr>
          <w:rFonts w:ascii="Century Gothic" w:hAnsi="Century Gothic" w:cs="Helvetica"/>
          <w:iCs/>
          <w:color w:val="000000"/>
          <w:sz w:val="22"/>
        </w:rPr>
        <w:t>increased bargaining power or access to markets.</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Pr="00E203F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As such, </w:t>
      </w:r>
      <w:r w:rsidRPr="003E0F84">
        <w:rPr>
          <w:rFonts w:ascii="Century Gothic" w:hAnsi="Century Gothic" w:cs="Helvetica"/>
          <w:b/>
          <w:iCs/>
          <w:color w:val="000000"/>
          <w:sz w:val="22"/>
        </w:rPr>
        <w:t>the demonstration of impact will be contingent upon systematic attention to articulating and measuring intended capacity building outcomes</w:t>
      </w:r>
      <w:r>
        <w:rPr>
          <w:rFonts w:ascii="Century Gothic" w:hAnsi="Century Gothic" w:cs="Helvetica"/>
          <w:iCs/>
          <w:color w:val="000000"/>
          <w:sz w:val="22"/>
        </w:rPr>
        <w:t xml:space="preserve"> particularly at the commune level, and the ensuring the </w:t>
      </w:r>
      <w:r w:rsidRPr="003E0F84">
        <w:rPr>
          <w:rFonts w:ascii="Century Gothic" w:hAnsi="Century Gothic" w:cs="Helvetica"/>
          <w:b/>
          <w:iCs/>
          <w:color w:val="000000"/>
          <w:sz w:val="22"/>
        </w:rPr>
        <w:t>measurement of both economic and social outcomes (positive and negative) from livelihood interventions</w:t>
      </w:r>
      <w:r>
        <w:rPr>
          <w:rFonts w:ascii="Century Gothic" w:hAnsi="Century Gothic" w:cs="Helvetica"/>
          <w:iCs/>
          <w:color w:val="000000"/>
          <w:sz w:val="22"/>
        </w:rPr>
        <w:t xml:space="preserve"> at the household level.</w:t>
      </w:r>
    </w:p>
    <w:p w:rsidR="000B1D99" w:rsidRPr="00450246" w:rsidRDefault="000B1D99" w:rsidP="000B1D99">
      <w:pPr>
        <w:pStyle w:val="Heading3"/>
        <w:rPr>
          <w:color w:val="FF0000"/>
        </w:rPr>
      </w:pPr>
      <w:bookmarkStart w:id="35" w:name="_Toc266010035"/>
      <w:r>
        <w:t>4.5. Sustainability</w:t>
      </w:r>
      <w:bookmarkEnd w:id="35"/>
      <w:r>
        <w:t xml:space="preserve"> </w:t>
      </w:r>
    </w:p>
    <w:p w:rsidR="000B1D99" w:rsidRPr="00327676" w:rsidRDefault="000B1D99" w:rsidP="000B1D99">
      <w:pPr>
        <w:pStyle w:val="DonnasStyle"/>
        <w:rPr>
          <w:color w:val="8DB3E2" w:themeColor="text2" w:themeTint="66"/>
        </w:rPr>
      </w:pPr>
      <w:r w:rsidRPr="00327676">
        <w:rPr>
          <w:b/>
          <w:color w:val="8DB3E2" w:themeColor="text2" w:themeTint="66"/>
        </w:rPr>
        <w:t>Program Level Observations</w:t>
      </w:r>
    </w:p>
    <w:p w:rsidR="000B1D99" w:rsidRDefault="000B1D99" w:rsidP="000B1D99">
      <w:pPr>
        <w:pStyle w:val="DonnasStyle"/>
      </w:pPr>
      <w:r w:rsidRPr="00A3161D">
        <w:t>Measuring sustainability presents significant challenges in multi-</w:t>
      </w:r>
      <w:r w:rsidRPr="00610D06">
        <w:t xml:space="preserve">partner initiatives </w:t>
      </w:r>
      <w:r>
        <w:t>with</w:t>
      </w:r>
      <w:r w:rsidRPr="00610D06">
        <w:t xml:space="preserve"> broad objectives and targets</w:t>
      </w:r>
      <w:r>
        <w:t xml:space="preserve">. This is made more complex by the lack of an overarching ToC for CCCAG, the diversity of geographic locations and short delivery timeframe. DFAT sought to address these challenges at the outset by </w:t>
      </w:r>
      <w:r w:rsidRPr="00D317D9">
        <w:t xml:space="preserve">encouraging partners to </w:t>
      </w:r>
      <w:r>
        <w:t>build</w:t>
      </w:r>
      <w:r w:rsidRPr="00D317D9">
        <w:t xml:space="preserve"> on existing programs and relationships, and to test interventions which could be further expanded</w:t>
      </w:r>
      <w:r>
        <w:t xml:space="preserve"> through ongoing programming opportunities beyond the life of CCCAG. </w:t>
      </w:r>
    </w:p>
    <w:p w:rsidR="000B1D99" w:rsidRDefault="000B1D99" w:rsidP="000B1D99">
      <w:pPr>
        <w:pStyle w:val="DonnasStyle"/>
        <w:rPr>
          <w:b/>
          <w:i/>
          <w:color w:val="8DB3E2" w:themeColor="text2" w:themeTint="66"/>
        </w:rPr>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r>
        <w:rPr>
          <w:rFonts w:ascii="Century Gothic" w:hAnsi="Century Gothic"/>
          <w:sz w:val="22"/>
        </w:rPr>
        <w:t>Our</w:t>
      </w:r>
      <w:r w:rsidRPr="00D45672">
        <w:rPr>
          <w:rFonts w:ascii="Century Gothic" w:hAnsi="Century Gothic"/>
          <w:sz w:val="22"/>
        </w:rPr>
        <w:t xml:space="preserve"> asse</w:t>
      </w:r>
      <w:r w:rsidR="00AE0E5E">
        <w:rPr>
          <w:rFonts w:ascii="Century Gothic" w:hAnsi="Century Gothic"/>
          <w:sz w:val="22"/>
        </w:rPr>
        <w:t>ssment of sustainability at mid-</w:t>
      </w:r>
      <w:r w:rsidRPr="00D45672">
        <w:rPr>
          <w:rFonts w:ascii="Century Gothic" w:hAnsi="Century Gothic"/>
          <w:sz w:val="22"/>
        </w:rPr>
        <w:t xml:space="preserve">term </w:t>
      </w:r>
      <w:r>
        <w:rPr>
          <w:rFonts w:ascii="Century Gothic" w:hAnsi="Century Gothic"/>
          <w:sz w:val="22"/>
        </w:rPr>
        <w:t>focuses</w:t>
      </w:r>
      <w:r w:rsidRPr="00D45672">
        <w:rPr>
          <w:rFonts w:ascii="Century Gothic" w:hAnsi="Century Gothic"/>
          <w:sz w:val="22"/>
        </w:rPr>
        <w:t xml:space="preserve"> on the extent to which CCCAG </w:t>
      </w:r>
      <w:r>
        <w:rPr>
          <w:rFonts w:ascii="Century Gothic" w:hAnsi="Century Gothic"/>
          <w:sz w:val="22"/>
        </w:rPr>
        <w:t>projects</w:t>
      </w:r>
      <w:r w:rsidRPr="00D45672">
        <w:rPr>
          <w:rFonts w:ascii="Century Gothic" w:hAnsi="Century Gothic"/>
          <w:sz w:val="22"/>
        </w:rPr>
        <w:t xml:space="preserve"> have established key relationships, a sufficient level of ownership, capacity and resources to enable local actors to achieve their intended results, and the extent to which this positions them to take forward relevant actions beyond the life of the program.</w:t>
      </w:r>
      <w:r w:rsidR="00AF723E">
        <w:rPr>
          <w:rFonts w:ascii="Century Gothic" w:hAnsi="Century Gothic"/>
          <w:sz w:val="22"/>
        </w:rPr>
        <w:t xml:space="preserve"> The R</w:t>
      </w:r>
      <w:r>
        <w:rPr>
          <w:rFonts w:ascii="Century Gothic" w:hAnsi="Century Gothic"/>
          <w:sz w:val="22"/>
        </w:rPr>
        <w:t>eview has observed the following progress in these areas.</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sz w:val="22"/>
        </w:rPr>
      </w:pPr>
      <w:r w:rsidRPr="00302A09">
        <w:rPr>
          <w:rFonts w:ascii="Century Gothic" w:hAnsi="Century Gothic" w:cs="Helvetica"/>
          <w:iCs/>
          <w:sz w:val="22"/>
        </w:rPr>
        <w:t xml:space="preserve">All partners have made </w:t>
      </w:r>
      <w:r w:rsidRPr="00302A09">
        <w:rPr>
          <w:rFonts w:ascii="Century Gothic" w:hAnsi="Century Gothic" w:cs="Helvetica"/>
          <w:b/>
          <w:iCs/>
          <w:sz w:val="22"/>
        </w:rPr>
        <w:t xml:space="preserve">conscious efforts to align with and work through government policy and planning systems. </w:t>
      </w:r>
      <w:r w:rsidRPr="00302A09">
        <w:rPr>
          <w:rFonts w:ascii="Century Gothic" w:hAnsi="Century Gothic" w:cs="Helvetica"/>
          <w:iCs/>
          <w:sz w:val="22"/>
        </w:rPr>
        <w:t>Projects have established local ownership</w:t>
      </w:r>
      <w:r w:rsidRPr="00302A09">
        <w:rPr>
          <w:rFonts w:ascii="Century Gothic" w:hAnsi="Century Gothic" w:cs="Helvetica"/>
          <w:b/>
          <w:iCs/>
          <w:sz w:val="22"/>
        </w:rPr>
        <w:t xml:space="preserve"> </w:t>
      </w:r>
      <w:r w:rsidRPr="00302A09">
        <w:rPr>
          <w:rFonts w:ascii="Century Gothic" w:hAnsi="Century Gothic" w:cs="Helvetica"/>
          <w:iCs/>
          <w:sz w:val="22"/>
        </w:rPr>
        <w:t>and encouraged</w:t>
      </w:r>
      <w:r>
        <w:rPr>
          <w:rFonts w:ascii="Century Gothic" w:hAnsi="Century Gothic" w:cs="Helvetica"/>
          <w:iCs/>
          <w:sz w:val="22"/>
        </w:rPr>
        <w:t xml:space="preserve"> approaches which seek to integrate climate change considerations into wider government programs such as </w:t>
      </w:r>
      <w:r w:rsidR="005E00D1">
        <w:rPr>
          <w:rFonts w:ascii="Century Gothic" w:hAnsi="Century Gothic" w:cs="Helvetica"/>
          <w:iCs/>
          <w:sz w:val="22"/>
        </w:rPr>
        <w:t>SEDP</w:t>
      </w:r>
      <w:r>
        <w:rPr>
          <w:rFonts w:ascii="Century Gothic" w:hAnsi="Century Gothic" w:cs="Helvetica"/>
          <w:iCs/>
          <w:sz w:val="22"/>
        </w:rPr>
        <w:t xml:space="preserve">, DRR, </w:t>
      </w:r>
      <w:r w:rsidRPr="00E5542F">
        <w:rPr>
          <w:rFonts w:ascii="Century Gothic" w:hAnsi="Century Gothic" w:cs="Helvetica"/>
          <w:iCs/>
          <w:sz w:val="22"/>
        </w:rPr>
        <w:t>agricultural</w:t>
      </w:r>
      <w:r>
        <w:rPr>
          <w:rFonts w:ascii="Century Gothic" w:hAnsi="Century Gothic" w:cs="Helvetica"/>
          <w:iCs/>
          <w:sz w:val="22"/>
        </w:rPr>
        <w:t xml:space="preserve"> extension and environmental </w:t>
      </w:r>
      <w:r>
        <w:rPr>
          <w:rFonts w:ascii="Century Gothic" w:hAnsi="Century Gothic" w:cs="Helvetica"/>
          <w:iCs/>
          <w:sz w:val="22"/>
        </w:rPr>
        <w:lastRenderedPageBreak/>
        <w:t xml:space="preserve">programs. In addition, they have encouraged </w:t>
      </w:r>
      <w:r w:rsidRPr="00941DCA">
        <w:rPr>
          <w:rFonts w:ascii="Century Gothic" w:hAnsi="Century Gothic" w:cs="Helvetica"/>
          <w:iCs/>
          <w:sz w:val="22"/>
        </w:rPr>
        <w:t xml:space="preserve">citizen’s engagement </w:t>
      </w:r>
      <w:r>
        <w:rPr>
          <w:rFonts w:ascii="Century Gothic" w:hAnsi="Century Gothic" w:cs="Helvetica"/>
          <w:iCs/>
          <w:sz w:val="22"/>
        </w:rPr>
        <w:t xml:space="preserve">through the adoption of </w:t>
      </w:r>
      <w:r w:rsidRPr="00941DCA">
        <w:rPr>
          <w:rFonts w:ascii="Century Gothic" w:hAnsi="Century Gothic" w:cs="Helvetica"/>
          <w:iCs/>
          <w:sz w:val="22"/>
        </w:rPr>
        <w:t>participatory approaches and modeling of d</w:t>
      </w:r>
      <w:r>
        <w:rPr>
          <w:rFonts w:ascii="Century Gothic" w:hAnsi="Century Gothic" w:cs="Helvetica"/>
          <w:iCs/>
          <w:sz w:val="22"/>
        </w:rPr>
        <w:t>esired behaviours and practices</w:t>
      </w:r>
      <w:r w:rsidRPr="00941DCA">
        <w:rPr>
          <w:rFonts w:ascii="Century Gothic" w:hAnsi="Century Gothic" w:cs="Helvetica"/>
          <w:iCs/>
          <w:sz w:val="22"/>
        </w:rPr>
        <w:t>.</w:t>
      </w:r>
    </w:p>
    <w:p w:rsidR="000B1D99" w:rsidRPr="0093764A"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sz w:val="22"/>
        </w:rPr>
      </w:pPr>
    </w:p>
    <w:p w:rsidR="000B1D99" w:rsidRPr="0093764A" w:rsidRDefault="000B1D99" w:rsidP="000B1D99">
      <w:pPr>
        <w:spacing w:after="120" w:line="240" w:lineRule="atLeast"/>
        <w:jc w:val="both"/>
        <w:rPr>
          <w:rFonts w:ascii="Century Gothic" w:hAnsi="Century Gothic" w:cs="Arial"/>
          <w:sz w:val="22"/>
          <w:szCs w:val="22"/>
        </w:rPr>
      </w:pPr>
      <w:r w:rsidRPr="0093764A">
        <w:rPr>
          <w:rFonts w:ascii="Century Gothic" w:hAnsi="Century Gothic" w:cs="Arial"/>
          <w:sz w:val="22"/>
          <w:szCs w:val="22"/>
        </w:rPr>
        <w:t>Specifically, partners have worked closely with relevant government agencies (e.g. MARD/DARD extension services</w:t>
      </w:r>
      <w:r>
        <w:rPr>
          <w:rFonts w:ascii="Century Gothic" w:hAnsi="Century Gothic" w:cs="Arial"/>
          <w:sz w:val="22"/>
          <w:szCs w:val="22"/>
        </w:rPr>
        <w:t xml:space="preserve">, </w:t>
      </w:r>
      <w:r w:rsidRPr="0093764A">
        <w:rPr>
          <w:rFonts w:ascii="Century Gothic" w:hAnsi="Century Gothic" w:cs="Arial"/>
          <w:sz w:val="22"/>
          <w:szCs w:val="22"/>
        </w:rPr>
        <w:t>MONRE</w:t>
      </w:r>
      <w:r>
        <w:rPr>
          <w:rFonts w:ascii="Century Gothic" w:hAnsi="Century Gothic" w:cs="Arial"/>
          <w:sz w:val="22"/>
          <w:szCs w:val="22"/>
        </w:rPr>
        <w:t xml:space="preserve"> and Storm and Flood </w:t>
      </w:r>
      <w:r w:rsidR="00DF6424">
        <w:rPr>
          <w:rFonts w:ascii="Century Gothic" w:hAnsi="Century Gothic" w:cs="Arial"/>
          <w:sz w:val="22"/>
          <w:szCs w:val="22"/>
        </w:rPr>
        <w:t xml:space="preserve">Control </w:t>
      </w:r>
      <w:r>
        <w:rPr>
          <w:rFonts w:ascii="Century Gothic" w:hAnsi="Century Gothic" w:cs="Arial"/>
          <w:sz w:val="22"/>
          <w:szCs w:val="22"/>
        </w:rPr>
        <w:t>Committees</w:t>
      </w:r>
      <w:r w:rsidRPr="0093764A">
        <w:rPr>
          <w:rFonts w:ascii="Century Gothic" w:hAnsi="Century Gothic" w:cs="Arial"/>
          <w:sz w:val="22"/>
          <w:szCs w:val="22"/>
        </w:rPr>
        <w:t xml:space="preserve">) to assess climate change risks and identify appropriate mitigation and adaptive livelihoods strategies. Partners working on </w:t>
      </w:r>
      <w:r w:rsidR="00DF6424">
        <w:rPr>
          <w:rFonts w:ascii="Century Gothic" w:hAnsi="Century Gothic" w:cs="Arial"/>
          <w:sz w:val="22"/>
          <w:szCs w:val="22"/>
        </w:rPr>
        <w:t>CCA</w:t>
      </w:r>
      <w:r w:rsidRPr="0093764A">
        <w:rPr>
          <w:rFonts w:ascii="Century Gothic" w:hAnsi="Century Gothic" w:cs="Arial"/>
          <w:sz w:val="22"/>
          <w:szCs w:val="22"/>
        </w:rPr>
        <w:t xml:space="preserve"> projects have engaged with local government bodies (</w:t>
      </w:r>
      <w:r>
        <w:rPr>
          <w:rFonts w:ascii="Century Gothic" w:hAnsi="Century Gothic" w:cs="Arial"/>
          <w:sz w:val="22"/>
          <w:szCs w:val="22"/>
        </w:rPr>
        <w:t xml:space="preserve">e.g. </w:t>
      </w:r>
      <w:r w:rsidRPr="0093764A">
        <w:rPr>
          <w:rFonts w:ascii="Century Gothic" w:hAnsi="Century Gothic" w:cs="Arial"/>
          <w:sz w:val="22"/>
          <w:szCs w:val="22"/>
        </w:rPr>
        <w:t>People</w:t>
      </w:r>
      <w:r>
        <w:rPr>
          <w:rFonts w:ascii="Century Gothic" w:hAnsi="Century Gothic" w:cs="Arial"/>
          <w:sz w:val="22"/>
          <w:szCs w:val="22"/>
        </w:rPr>
        <w:t>s’ Council</w:t>
      </w:r>
      <w:r w:rsidRPr="0093764A">
        <w:rPr>
          <w:rFonts w:ascii="Century Gothic" w:hAnsi="Century Gothic" w:cs="Arial"/>
          <w:sz w:val="22"/>
          <w:szCs w:val="22"/>
        </w:rPr>
        <w:t xml:space="preserve">s) to integrate participatory capacity and vulnerability assessment into the SEDP process and are advocating upward to the district level. While doing so they have contributed to strengthening the capacity of government service providers and civil society actors such as the WU and </w:t>
      </w:r>
      <w:r w:rsidR="00DF6424">
        <w:rPr>
          <w:rFonts w:ascii="Century Gothic" w:hAnsi="Century Gothic" w:cs="Arial"/>
          <w:sz w:val="22"/>
          <w:szCs w:val="22"/>
        </w:rPr>
        <w:t>Vietnam Red Cross (VNRC)</w:t>
      </w:r>
      <w:r w:rsidRPr="0093764A">
        <w:rPr>
          <w:rFonts w:ascii="Century Gothic" w:hAnsi="Century Gothic" w:cs="Arial"/>
          <w:sz w:val="22"/>
          <w:szCs w:val="22"/>
        </w:rPr>
        <w:t xml:space="preserve"> to support the facilitation of these processes. </w:t>
      </w:r>
    </w:p>
    <w:p w:rsidR="000B1D99" w:rsidRPr="0093764A" w:rsidRDefault="000B1D99" w:rsidP="000B1D99">
      <w:pPr>
        <w:spacing w:after="120" w:line="240" w:lineRule="atLeast"/>
        <w:jc w:val="both"/>
        <w:rPr>
          <w:rFonts w:ascii="Century Gothic" w:hAnsi="Century Gothic" w:cs="Arial"/>
          <w:sz w:val="22"/>
          <w:szCs w:val="22"/>
        </w:rPr>
      </w:pPr>
      <w:r w:rsidRPr="0093764A">
        <w:rPr>
          <w:rFonts w:ascii="Century Gothic" w:hAnsi="Century Gothic" w:cs="Arial"/>
          <w:sz w:val="22"/>
          <w:szCs w:val="22"/>
        </w:rPr>
        <w:t>Given the increasing role of people’s participation in the formulation of public plans</w:t>
      </w:r>
      <w:r>
        <w:rPr>
          <w:rFonts w:ascii="Century Gothic" w:hAnsi="Century Gothic" w:cs="Arial"/>
          <w:sz w:val="22"/>
          <w:szCs w:val="22"/>
        </w:rPr>
        <w:t>,</w:t>
      </w:r>
      <w:r w:rsidRPr="0093764A">
        <w:rPr>
          <w:rFonts w:ascii="Century Gothic" w:hAnsi="Century Gothic" w:cs="Arial"/>
          <w:sz w:val="22"/>
          <w:szCs w:val="22"/>
        </w:rPr>
        <w:t xml:space="preserve"> and an expectation that public service provision will become more demand driven in the process of decentralised governance in Vietnam</w:t>
      </w:r>
      <w:r w:rsidRPr="0093764A">
        <w:rPr>
          <w:rStyle w:val="FootnoteReference"/>
          <w:rFonts w:ascii="Century Gothic" w:hAnsi="Century Gothic" w:cs="Arial"/>
          <w:sz w:val="22"/>
          <w:szCs w:val="22"/>
        </w:rPr>
        <w:footnoteReference w:id="37"/>
      </w:r>
      <w:r w:rsidRPr="0093764A">
        <w:rPr>
          <w:rFonts w:ascii="Century Gothic" w:hAnsi="Century Gothic" w:cs="Arial"/>
          <w:sz w:val="22"/>
          <w:szCs w:val="22"/>
        </w:rPr>
        <w:t xml:space="preserve">, </w:t>
      </w:r>
      <w:r w:rsidRPr="002041AF">
        <w:rPr>
          <w:rFonts w:ascii="Century Gothic" w:hAnsi="Century Gothic" w:cs="Arial"/>
          <w:b/>
          <w:sz w:val="22"/>
          <w:szCs w:val="22"/>
        </w:rPr>
        <w:t>building demand for citizen’s engagement in community based planning processes (e.g SEDP and CBDRM) is highly relevant</w:t>
      </w:r>
      <w:r w:rsidRPr="00CC36E6">
        <w:rPr>
          <w:rFonts w:ascii="Century Gothic" w:hAnsi="Century Gothic" w:cs="Arial"/>
          <w:sz w:val="22"/>
          <w:szCs w:val="22"/>
        </w:rPr>
        <w:t xml:space="preserve"> and is likely</w:t>
      </w:r>
      <w:r>
        <w:rPr>
          <w:rFonts w:ascii="Century Gothic" w:hAnsi="Century Gothic" w:cs="Arial"/>
          <w:sz w:val="22"/>
          <w:szCs w:val="22"/>
        </w:rPr>
        <w:t xml:space="preserve"> to have wider application beyond the scope of current interventions.</w:t>
      </w:r>
    </w:p>
    <w:p w:rsidR="000B1D99" w:rsidRPr="00302A09" w:rsidRDefault="000B1D99" w:rsidP="000B1D99">
      <w:pPr>
        <w:spacing w:after="120" w:line="240" w:lineRule="atLeast"/>
        <w:jc w:val="both"/>
        <w:rPr>
          <w:rFonts w:ascii="Century Gothic" w:hAnsi="Century Gothic" w:cs="Arial"/>
          <w:sz w:val="22"/>
          <w:szCs w:val="22"/>
        </w:rPr>
      </w:pPr>
      <w:r w:rsidRPr="00302A09">
        <w:rPr>
          <w:rFonts w:ascii="Century Gothic" w:hAnsi="Century Gothic" w:cs="Arial"/>
          <w:b/>
          <w:sz w:val="22"/>
          <w:szCs w:val="22"/>
        </w:rPr>
        <w:t>CCCAG partners are working to develop a sense of ownership by local partners</w:t>
      </w:r>
      <w:r w:rsidRPr="00302A09">
        <w:rPr>
          <w:rFonts w:ascii="Century Gothic" w:hAnsi="Century Gothic" w:cs="Arial"/>
          <w:sz w:val="22"/>
          <w:szCs w:val="22"/>
        </w:rPr>
        <w:t xml:space="preserve">. In all field locations, local </w:t>
      </w:r>
      <w:r w:rsidR="00302A09">
        <w:rPr>
          <w:rFonts w:ascii="Century Gothic" w:hAnsi="Century Gothic" w:cs="Arial"/>
          <w:sz w:val="22"/>
          <w:szCs w:val="22"/>
        </w:rPr>
        <w:t>actors (government and civil society)</w:t>
      </w:r>
      <w:r w:rsidRPr="00302A09">
        <w:rPr>
          <w:rFonts w:ascii="Century Gothic" w:hAnsi="Century Gothic" w:cs="Arial"/>
          <w:sz w:val="22"/>
          <w:szCs w:val="22"/>
        </w:rPr>
        <w:t xml:space="preserve"> were able to discuss their local climate change challenges and </w:t>
      </w:r>
      <w:r w:rsidR="00302A09">
        <w:rPr>
          <w:rFonts w:ascii="Century Gothic" w:hAnsi="Century Gothic" w:cs="Arial"/>
          <w:sz w:val="22"/>
          <w:szCs w:val="22"/>
        </w:rPr>
        <w:t>their</w:t>
      </w:r>
      <w:r w:rsidRPr="00302A09">
        <w:rPr>
          <w:rFonts w:ascii="Century Gothic" w:hAnsi="Century Gothic" w:cs="Arial"/>
          <w:sz w:val="22"/>
          <w:szCs w:val="22"/>
        </w:rPr>
        <w:t xml:space="preserve"> impact</w:t>
      </w:r>
      <w:r w:rsidR="00302A09">
        <w:rPr>
          <w:rFonts w:ascii="Century Gothic" w:hAnsi="Century Gothic" w:cs="Arial"/>
          <w:sz w:val="22"/>
          <w:szCs w:val="22"/>
        </w:rPr>
        <w:t>s</w:t>
      </w:r>
      <w:r w:rsidRPr="00302A09">
        <w:rPr>
          <w:rFonts w:ascii="Century Gothic" w:hAnsi="Century Gothic" w:cs="Arial"/>
          <w:sz w:val="22"/>
          <w:szCs w:val="22"/>
        </w:rPr>
        <w:t xml:space="preserve"> on members of the community. They were also able to clearly present the objectives of their activities and report progress. </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r>
        <w:rPr>
          <w:rFonts w:ascii="Century Gothic" w:hAnsi="Century Gothic" w:cs="Helvetica"/>
          <w:iCs/>
          <w:sz w:val="22"/>
        </w:rPr>
        <w:t xml:space="preserve">The </w:t>
      </w:r>
      <w:r w:rsidRPr="00CC36E6">
        <w:rPr>
          <w:rFonts w:ascii="Century Gothic" w:hAnsi="Century Gothic" w:cs="Helvetica"/>
          <w:iCs/>
          <w:sz w:val="22"/>
        </w:rPr>
        <w:t>choice of partners to</w:t>
      </w:r>
      <w:r w:rsidRPr="00FD4B2D">
        <w:rPr>
          <w:rFonts w:ascii="Century Gothic" w:hAnsi="Century Gothic" w:cs="Helvetica"/>
          <w:b/>
          <w:iCs/>
          <w:sz w:val="22"/>
        </w:rPr>
        <w:t xml:space="preserve"> work with mass organisations </w:t>
      </w:r>
      <w:r w:rsidRPr="001A464E">
        <w:rPr>
          <w:rFonts w:ascii="Century Gothic" w:hAnsi="Century Gothic" w:cs="Helvetica"/>
          <w:iCs/>
          <w:sz w:val="22"/>
        </w:rPr>
        <w:t>(</w:t>
      </w:r>
      <w:r>
        <w:rPr>
          <w:rFonts w:ascii="Century Gothic" w:hAnsi="Century Gothic" w:cs="Helvetica"/>
          <w:iCs/>
          <w:sz w:val="22"/>
        </w:rPr>
        <w:t>e.g.</w:t>
      </w:r>
      <w:r w:rsidRPr="001A464E">
        <w:rPr>
          <w:rFonts w:ascii="Century Gothic" w:hAnsi="Century Gothic" w:cs="Helvetica"/>
          <w:iCs/>
          <w:sz w:val="22"/>
        </w:rPr>
        <w:t xml:space="preserve"> the WU</w:t>
      </w:r>
      <w:r>
        <w:rPr>
          <w:rFonts w:ascii="Century Gothic" w:hAnsi="Century Gothic" w:cs="Helvetica"/>
          <w:iCs/>
          <w:sz w:val="22"/>
        </w:rPr>
        <w:t>,</w:t>
      </w:r>
      <w:r w:rsidRPr="001A464E">
        <w:rPr>
          <w:rFonts w:ascii="Century Gothic" w:hAnsi="Century Gothic" w:cs="Helvetica"/>
          <w:iCs/>
          <w:sz w:val="22"/>
        </w:rPr>
        <w:t xml:space="preserve"> VNRC</w:t>
      </w:r>
      <w:r>
        <w:rPr>
          <w:rFonts w:ascii="Century Gothic" w:hAnsi="Century Gothic" w:cs="Helvetica"/>
          <w:iCs/>
          <w:sz w:val="22"/>
        </w:rPr>
        <w:t xml:space="preserve"> and Youth Union</w:t>
      </w:r>
      <w:r w:rsidRPr="001A464E">
        <w:rPr>
          <w:rFonts w:ascii="Century Gothic" w:hAnsi="Century Gothic" w:cs="Helvetica"/>
          <w:iCs/>
          <w:sz w:val="22"/>
        </w:rPr>
        <w:t>)</w:t>
      </w:r>
      <w:r w:rsidRPr="00FD4B2D">
        <w:rPr>
          <w:rFonts w:ascii="Century Gothic" w:hAnsi="Century Gothic" w:cs="Helvetica"/>
          <w:b/>
          <w:iCs/>
          <w:sz w:val="22"/>
        </w:rPr>
        <w:t xml:space="preserve"> also support</w:t>
      </w:r>
      <w:r>
        <w:rPr>
          <w:rFonts w:ascii="Century Gothic" w:hAnsi="Century Gothic" w:cs="Helvetica"/>
          <w:b/>
          <w:iCs/>
          <w:sz w:val="22"/>
        </w:rPr>
        <w:t>s</w:t>
      </w:r>
      <w:r w:rsidRPr="00FD4B2D">
        <w:rPr>
          <w:rFonts w:ascii="Century Gothic" w:hAnsi="Century Gothic" w:cs="Helvetica"/>
          <w:b/>
          <w:iCs/>
          <w:sz w:val="22"/>
        </w:rPr>
        <w:t xml:space="preserve"> sustainability</w:t>
      </w:r>
      <w:r>
        <w:rPr>
          <w:rFonts w:ascii="Century Gothic" w:hAnsi="Century Gothic" w:cs="Helvetica"/>
          <w:iCs/>
          <w:sz w:val="22"/>
        </w:rPr>
        <w:t>. Mass organisations have extensive reach into communities coupled with a high degree of legitimacy with government. They also experience internal and external tensions which incentivise performance and downward accountability</w:t>
      </w:r>
      <w:r>
        <w:rPr>
          <w:rStyle w:val="FootnoteReference"/>
          <w:rFonts w:ascii="Century Gothic" w:hAnsi="Century Gothic" w:cs="Helvetica"/>
          <w:iCs/>
          <w:sz w:val="22"/>
        </w:rPr>
        <w:footnoteReference w:id="38"/>
      </w:r>
      <w:r>
        <w:rPr>
          <w:rFonts w:ascii="Century Gothic" w:hAnsi="Century Gothic" w:cs="Helvetica"/>
          <w:iCs/>
          <w:sz w:val="22"/>
        </w:rPr>
        <w:t>. As mass organisations</w:t>
      </w:r>
      <w:r>
        <w:rPr>
          <w:rFonts w:ascii="Century Gothic" w:hAnsi="Century Gothic"/>
          <w:sz w:val="22"/>
        </w:rPr>
        <w:t xml:space="preserve"> have the potential to drive significant change at both institutional and social levels. As movements, they have characteristics of volunteerism, high turnover, bureaucracy and variable capacity that also mean that change can take time. This highlights the special value of high levels of engagement, embedded approaches (e.g. ARC) and a focus on institutional strengthening.</w:t>
      </w:r>
    </w:p>
    <w:p w:rsidR="000B1D99" w:rsidRPr="00774EA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p>
    <w:p w:rsidR="000B1D99" w:rsidRPr="00327676"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color w:val="8DB3E2" w:themeColor="text2" w:themeTint="66"/>
          <w:sz w:val="22"/>
          <w:szCs w:val="22"/>
        </w:rPr>
      </w:pPr>
      <w:r w:rsidRPr="00327676">
        <w:rPr>
          <w:rFonts w:ascii="Century Gothic" w:hAnsi="Century Gothic" w:cs="Arial"/>
          <w:b/>
          <w:color w:val="8DB3E2" w:themeColor="text2" w:themeTint="66"/>
          <w:sz w:val="22"/>
          <w:szCs w:val="22"/>
        </w:rPr>
        <w:t>Longer-term considerations for sustainability</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93255">
        <w:rPr>
          <w:rFonts w:ascii="Century Gothic" w:hAnsi="Century Gothic" w:cs="Arial"/>
          <w:sz w:val="22"/>
          <w:szCs w:val="22"/>
        </w:rPr>
        <w:t xml:space="preserve">While the analysis of sustainability at the </w:t>
      </w:r>
      <w:r>
        <w:rPr>
          <w:rFonts w:ascii="Century Gothic" w:hAnsi="Century Gothic" w:cs="Arial"/>
          <w:sz w:val="22"/>
          <w:szCs w:val="22"/>
        </w:rPr>
        <w:t>mid</w:t>
      </w:r>
      <w:r w:rsidR="00F72F70">
        <w:rPr>
          <w:rFonts w:ascii="Century Gothic" w:hAnsi="Century Gothic" w:cs="Arial"/>
          <w:sz w:val="22"/>
          <w:szCs w:val="22"/>
        </w:rPr>
        <w:t>-</w:t>
      </w:r>
      <w:r>
        <w:rPr>
          <w:rFonts w:ascii="Century Gothic" w:hAnsi="Century Gothic" w:cs="Arial"/>
          <w:sz w:val="22"/>
          <w:szCs w:val="22"/>
        </w:rPr>
        <w:t>term</w:t>
      </w:r>
      <w:r w:rsidRPr="00193255">
        <w:rPr>
          <w:rFonts w:ascii="Century Gothic" w:hAnsi="Century Gothic" w:cs="Arial"/>
          <w:sz w:val="22"/>
          <w:szCs w:val="22"/>
        </w:rPr>
        <w:t xml:space="preserve"> focus</w:t>
      </w:r>
      <w:r>
        <w:rPr>
          <w:rFonts w:ascii="Century Gothic" w:hAnsi="Century Gothic" w:cs="Arial"/>
          <w:sz w:val="22"/>
          <w:szCs w:val="22"/>
        </w:rPr>
        <w:t>es</w:t>
      </w:r>
      <w:r w:rsidRPr="00193255">
        <w:rPr>
          <w:rFonts w:ascii="Century Gothic" w:hAnsi="Century Gothic" w:cs="Arial"/>
          <w:sz w:val="22"/>
          <w:szCs w:val="22"/>
        </w:rPr>
        <w:t xml:space="preserve"> on relationship</w:t>
      </w:r>
      <w:r>
        <w:rPr>
          <w:rFonts w:ascii="Century Gothic" w:hAnsi="Century Gothic" w:cs="Arial"/>
          <w:sz w:val="22"/>
          <w:szCs w:val="22"/>
        </w:rPr>
        <w:t>s</w:t>
      </w:r>
      <w:r w:rsidRPr="00193255">
        <w:rPr>
          <w:rFonts w:ascii="Century Gothic" w:hAnsi="Century Gothic" w:cs="Arial"/>
          <w:sz w:val="22"/>
          <w:szCs w:val="22"/>
        </w:rPr>
        <w:t xml:space="preserve">, ownership and capacity, the Review has been asked to comment on the likelihood for communities and government to implement program activities </w:t>
      </w:r>
      <w:r>
        <w:rPr>
          <w:rFonts w:ascii="Century Gothic" w:hAnsi="Century Gothic" w:cs="Arial"/>
          <w:sz w:val="22"/>
          <w:szCs w:val="22"/>
        </w:rPr>
        <w:t>in the longer term</w:t>
      </w:r>
      <w:r w:rsidRPr="00193255">
        <w:rPr>
          <w:rFonts w:ascii="Century Gothic" w:hAnsi="Century Gothic" w:cs="Arial"/>
          <w:sz w:val="22"/>
          <w:szCs w:val="22"/>
        </w:rPr>
        <w:t>.</w:t>
      </w:r>
      <w:r>
        <w:t xml:space="preserve"> </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r w:rsidRPr="00127470">
        <w:rPr>
          <w:rFonts w:ascii="Century Gothic" w:hAnsi="Century Gothic"/>
          <w:sz w:val="22"/>
        </w:rPr>
        <w:t xml:space="preserve">While sustainability is a clearly articulated principle within all partner designs, </w:t>
      </w:r>
      <w:r w:rsidRPr="00127470">
        <w:rPr>
          <w:rFonts w:ascii="Century Gothic" w:hAnsi="Century Gothic"/>
          <w:b/>
          <w:sz w:val="22"/>
        </w:rPr>
        <w:t>sustainability planning is as yet limited</w:t>
      </w:r>
      <w:r w:rsidRPr="00127470">
        <w:rPr>
          <w:rFonts w:ascii="Century Gothic" w:hAnsi="Century Gothic"/>
          <w:sz w:val="22"/>
        </w:rPr>
        <w:t xml:space="preserve"> to efforts to raise awareness and change behaviours at the</w:t>
      </w:r>
      <w:r>
        <w:rPr>
          <w:rFonts w:ascii="Century Gothic" w:hAnsi="Century Gothic"/>
          <w:sz w:val="22"/>
        </w:rPr>
        <w:t xml:space="preserve"> individual and household level, </w:t>
      </w:r>
      <w:r w:rsidRPr="00656453">
        <w:rPr>
          <w:rFonts w:ascii="Century Gothic" w:hAnsi="Century Gothic"/>
          <w:sz w:val="22"/>
        </w:rPr>
        <w:t xml:space="preserve">the selection of partnerships for </w:t>
      </w:r>
      <w:r>
        <w:rPr>
          <w:rFonts w:ascii="Century Gothic" w:hAnsi="Century Gothic"/>
          <w:sz w:val="22"/>
        </w:rPr>
        <w:t xml:space="preserve">project approvals and administration, </w:t>
      </w:r>
      <w:r w:rsidRPr="00656453">
        <w:rPr>
          <w:rFonts w:ascii="Century Gothic" w:hAnsi="Century Gothic"/>
          <w:sz w:val="22"/>
        </w:rPr>
        <w:t>field level service delivery</w:t>
      </w:r>
      <w:r>
        <w:rPr>
          <w:rFonts w:ascii="Century Gothic" w:hAnsi="Century Gothic"/>
          <w:sz w:val="22"/>
        </w:rPr>
        <w:t xml:space="preserve"> (delivery of project interventions), capacity building for local service delivery </w:t>
      </w:r>
      <w:r w:rsidRPr="00656453">
        <w:rPr>
          <w:rFonts w:ascii="Century Gothic" w:hAnsi="Century Gothic"/>
          <w:sz w:val="22"/>
        </w:rPr>
        <w:t xml:space="preserve">(e.g. community assessment and planning, DRR </w:t>
      </w:r>
      <w:r>
        <w:rPr>
          <w:rFonts w:ascii="Century Gothic" w:hAnsi="Century Gothic"/>
          <w:sz w:val="22"/>
        </w:rPr>
        <w:t xml:space="preserve">emergency and response </w:t>
      </w:r>
      <w:r w:rsidRPr="00656453">
        <w:rPr>
          <w:rFonts w:ascii="Century Gothic" w:hAnsi="Century Gothic"/>
          <w:sz w:val="22"/>
        </w:rPr>
        <w:t>planning etc)</w:t>
      </w:r>
      <w:r>
        <w:rPr>
          <w:rFonts w:ascii="Century Gothic" w:hAnsi="Century Gothic"/>
          <w:sz w:val="22"/>
        </w:rPr>
        <w:t xml:space="preserve"> and</w:t>
      </w:r>
      <w:r w:rsidRPr="00656453">
        <w:rPr>
          <w:rFonts w:ascii="Century Gothic" w:hAnsi="Century Gothic"/>
          <w:sz w:val="22"/>
        </w:rPr>
        <w:t xml:space="preserve"> </w:t>
      </w:r>
      <w:r>
        <w:rPr>
          <w:rFonts w:ascii="Century Gothic" w:hAnsi="Century Gothic"/>
          <w:sz w:val="22"/>
        </w:rPr>
        <w:t>the identification advocacy opportunities.</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p>
    <w:p w:rsidR="000B1D99" w:rsidRPr="00B823B1"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sz w:val="22"/>
        </w:rPr>
        <w:t xml:space="preserve">NGO partners commonly articulate sustainability as a consideration for exit planning. </w:t>
      </w:r>
      <w:r w:rsidRPr="007C139C">
        <w:rPr>
          <w:rFonts w:ascii="Century Gothic" w:hAnsi="Century Gothic" w:cs="Helvetica"/>
          <w:iCs/>
          <w:color w:val="000000"/>
          <w:sz w:val="22"/>
        </w:rPr>
        <w:t xml:space="preserve">Sustainability is </w:t>
      </w:r>
      <w:r>
        <w:rPr>
          <w:rFonts w:ascii="Century Gothic" w:hAnsi="Century Gothic" w:cs="Helvetica"/>
          <w:iCs/>
          <w:color w:val="000000"/>
          <w:sz w:val="22"/>
        </w:rPr>
        <w:t xml:space="preserve">however, significantly more </w:t>
      </w:r>
      <w:r w:rsidRPr="007C139C">
        <w:rPr>
          <w:rFonts w:ascii="Century Gothic" w:hAnsi="Century Gothic" w:cs="Helvetica"/>
          <w:iCs/>
          <w:color w:val="000000"/>
          <w:sz w:val="22"/>
        </w:rPr>
        <w:t>complex</w:t>
      </w:r>
      <w:r w:rsidR="0083351D">
        <w:rPr>
          <w:rFonts w:ascii="Century Gothic" w:hAnsi="Century Gothic" w:cs="Helvetica"/>
          <w:iCs/>
          <w:color w:val="000000"/>
          <w:sz w:val="22"/>
        </w:rPr>
        <w:t xml:space="preserve">, </w:t>
      </w:r>
      <w:r>
        <w:rPr>
          <w:rFonts w:ascii="Century Gothic" w:hAnsi="Century Gothic" w:cs="Helvetica"/>
          <w:iCs/>
          <w:color w:val="000000"/>
          <w:sz w:val="22"/>
        </w:rPr>
        <w:t xml:space="preserve">influenced by a range of interrelated factors e.g. capacity (institutions), competency (individuals), resources, leadership and policy. </w:t>
      </w:r>
      <w:r w:rsidR="00B823B1">
        <w:rPr>
          <w:rFonts w:ascii="Century Gothic" w:hAnsi="Century Gothic" w:cs="Helvetica"/>
          <w:iCs/>
          <w:color w:val="000000"/>
          <w:sz w:val="22"/>
        </w:rPr>
        <w:t xml:space="preserve">For example, </w:t>
      </w:r>
      <w:r w:rsidRPr="00992BBA">
        <w:rPr>
          <w:rFonts w:ascii="Century Gothic" w:hAnsi="Century Gothic"/>
          <w:sz w:val="22"/>
        </w:rPr>
        <w:t xml:space="preserve">capacity building efforts delivered through training </w:t>
      </w:r>
      <w:r w:rsidR="00B823B1">
        <w:rPr>
          <w:rFonts w:ascii="Century Gothic" w:hAnsi="Century Gothic"/>
          <w:sz w:val="22"/>
        </w:rPr>
        <w:t>or</w:t>
      </w:r>
      <w:r w:rsidRPr="00992BBA">
        <w:rPr>
          <w:rFonts w:ascii="Century Gothic" w:hAnsi="Century Gothic"/>
          <w:sz w:val="22"/>
        </w:rPr>
        <w:t xml:space="preserve"> awareness raising </w:t>
      </w:r>
      <w:r w:rsidR="00B823B1">
        <w:rPr>
          <w:rFonts w:ascii="Century Gothic" w:hAnsi="Century Gothic"/>
          <w:sz w:val="22"/>
        </w:rPr>
        <w:t xml:space="preserve">may have some immediate effect </w:t>
      </w:r>
      <w:r w:rsidRPr="00992BBA">
        <w:rPr>
          <w:rFonts w:ascii="Century Gothic" w:hAnsi="Century Gothic"/>
          <w:sz w:val="22"/>
        </w:rPr>
        <w:t xml:space="preserve">at the individual level, the capacity of local institutions </w:t>
      </w:r>
      <w:r>
        <w:rPr>
          <w:rFonts w:ascii="Century Gothic" w:hAnsi="Century Gothic"/>
          <w:sz w:val="22"/>
        </w:rPr>
        <w:t xml:space="preserve">to sustain and further these practices </w:t>
      </w:r>
      <w:r w:rsidRPr="00992BBA">
        <w:rPr>
          <w:rFonts w:ascii="Century Gothic" w:hAnsi="Century Gothic"/>
          <w:sz w:val="22"/>
        </w:rPr>
        <w:t>is significantly more challenging</w:t>
      </w:r>
      <w:r w:rsidR="00B823B1">
        <w:rPr>
          <w:rFonts w:ascii="Century Gothic" w:hAnsi="Century Gothic"/>
          <w:sz w:val="22"/>
        </w:rPr>
        <w:t xml:space="preserve">. There is a need for </w:t>
      </w:r>
      <w:r w:rsidR="00B823B1" w:rsidRPr="00B823B1">
        <w:rPr>
          <w:rFonts w:ascii="Century Gothic" w:hAnsi="Century Gothic"/>
          <w:b/>
          <w:sz w:val="22"/>
        </w:rPr>
        <w:t xml:space="preserve">partners to pay stronger attention to evidencing and sustaining capacity </w:t>
      </w:r>
      <w:r w:rsidR="00B823B1" w:rsidRPr="00B823B1">
        <w:rPr>
          <w:rFonts w:ascii="Century Gothic" w:hAnsi="Century Gothic"/>
          <w:b/>
          <w:sz w:val="22"/>
        </w:rPr>
        <w:lastRenderedPageBreak/>
        <w:t>building</w:t>
      </w:r>
      <w:r w:rsidR="00B823B1">
        <w:rPr>
          <w:rFonts w:ascii="Century Gothic" w:hAnsi="Century Gothic"/>
          <w:sz w:val="22"/>
        </w:rPr>
        <w:t xml:space="preserve">. This is likely to </w:t>
      </w:r>
      <w:r w:rsidR="004A1E7C">
        <w:rPr>
          <w:rFonts w:ascii="Century Gothic" w:hAnsi="Century Gothic"/>
          <w:sz w:val="22"/>
        </w:rPr>
        <w:t>necessitate</w:t>
      </w:r>
      <w:r w:rsidRPr="00B823B1">
        <w:rPr>
          <w:rFonts w:ascii="Century Gothic" w:hAnsi="Century Gothic"/>
          <w:sz w:val="22"/>
        </w:rPr>
        <w:t xml:space="preserve"> stronger attention to institutional strengthening efforts than are currently evident.</w:t>
      </w:r>
      <w:r w:rsidRPr="00B823B1">
        <w:rPr>
          <w:rFonts w:ascii="Century Gothic" w:hAnsi="Century Gothic" w:cs="Helvetica"/>
          <w:iCs/>
          <w:color w:val="000000"/>
          <w:sz w:val="22"/>
        </w:rPr>
        <w:t xml:space="preserve"> </w:t>
      </w:r>
    </w:p>
    <w:p w:rsidR="000B1D99" w:rsidRPr="00B823B1"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sz w:val="22"/>
          <w:szCs w:val="22"/>
        </w:rPr>
      </w:pPr>
    </w:p>
    <w:p w:rsidR="000B1D99" w:rsidRPr="00047711"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74EA9">
        <w:rPr>
          <w:rFonts w:ascii="Century Gothic" w:hAnsi="Century Gothic" w:cs="Arial"/>
          <w:sz w:val="22"/>
          <w:szCs w:val="22"/>
        </w:rPr>
        <w:t xml:space="preserve">A </w:t>
      </w:r>
      <w:r>
        <w:rPr>
          <w:rFonts w:ascii="Century Gothic" w:hAnsi="Century Gothic" w:cs="Arial"/>
          <w:sz w:val="22"/>
          <w:szCs w:val="22"/>
        </w:rPr>
        <w:t xml:space="preserve">further future </w:t>
      </w:r>
      <w:r w:rsidRPr="00774EA9">
        <w:rPr>
          <w:rFonts w:ascii="Century Gothic" w:hAnsi="Century Gothic" w:cs="Arial"/>
          <w:sz w:val="22"/>
          <w:szCs w:val="22"/>
        </w:rPr>
        <w:t>challenge will be the extent to which resourcing is commensurate with the capacity of local government or civil society partners to continue with activities beyond the life of CCCAG interventio</w:t>
      </w:r>
      <w:r>
        <w:rPr>
          <w:rFonts w:ascii="Century Gothic" w:hAnsi="Century Gothic" w:cs="Arial"/>
          <w:sz w:val="22"/>
          <w:szCs w:val="22"/>
        </w:rPr>
        <w:t>n</w:t>
      </w:r>
      <w:r w:rsidRPr="00774EA9">
        <w:rPr>
          <w:rFonts w:ascii="Century Gothic" w:hAnsi="Century Gothic" w:cs="Arial"/>
          <w:sz w:val="22"/>
          <w:szCs w:val="22"/>
        </w:rPr>
        <w:t xml:space="preserve">. </w:t>
      </w:r>
      <w:r w:rsidRPr="00774EA9">
        <w:rPr>
          <w:rFonts w:ascii="Century Gothic" w:hAnsi="Century Gothic"/>
          <w:sz w:val="22"/>
        </w:rPr>
        <w:t xml:space="preserve">To extend project activities beyond their current </w:t>
      </w:r>
      <w:r>
        <w:rPr>
          <w:rFonts w:ascii="Century Gothic" w:hAnsi="Century Gothic"/>
          <w:sz w:val="22"/>
        </w:rPr>
        <w:t>reach</w:t>
      </w:r>
      <w:r w:rsidRPr="00774EA9">
        <w:rPr>
          <w:rFonts w:ascii="Century Gothic" w:hAnsi="Century Gothic"/>
          <w:sz w:val="22"/>
        </w:rPr>
        <w:t>, partners need to have worked towards the development of models that are replicable by government agencies at scale, and within their own costing and resourcing capacity, or targeted interventions that can be delivered by civil society actors</w:t>
      </w:r>
      <w:r>
        <w:rPr>
          <w:rFonts w:ascii="Century Gothic" w:hAnsi="Century Gothic"/>
          <w:sz w:val="22"/>
        </w:rPr>
        <w:t xml:space="preserve"> (mass organisations and local NGOs)</w:t>
      </w:r>
      <w:r w:rsidRPr="00774EA9">
        <w:rPr>
          <w:rFonts w:ascii="Century Gothic" w:hAnsi="Century Gothic"/>
          <w:sz w:val="22"/>
        </w:rPr>
        <w:t xml:space="preserve"> within their own programs.</w:t>
      </w:r>
      <w:r w:rsidRPr="00B74FD9">
        <w:rPr>
          <w:rFonts w:ascii="Century Gothic" w:hAnsi="Century Gothic"/>
          <w:sz w:val="22"/>
        </w:rPr>
        <w:t xml:space="preserve"> </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r>
        <w:rPr>
          <w:rFonts w:ascii="Century Gothic" w:hAnsi="Century Gothic" w:cs="Helvetica"/>
          <w:iCs/>
          <w:color w:val="000000"/>
          <w:sz w:val="22"/>
        </w:rPr>
        <w:t xml:space="preserve">As such, strengthening </w:t>
      </w:r>
      <w:r w:rsidRPr="00FB4D0A">
        <w:rPr>
          <w:rFonts w:ascii="Century Gothic" w:hAnsi="Century Gothic" w:cs="Helvetica"/>
          <w:b/>
          <w:iCs/>
          <w:color w:val="000000"/>
          <w:sz w:val="22"/>
        </w:rPr>
        <w:t>sustainability (where there is an expectation of replication) is an issue for design and requires significantly clearer articulation in future initiatives</w:t>
      </w:r>
      <w:r w:rsidRPr="00FB4D0A">
        <w:rPr>
          <w:rFonts w:ascii="Century Gothic" w:hAnsi="Century Gothic" w:cs="Helvetica"/>
          <w:iCs/>
          <w:color w:val="000000"/>
          <w:sz w:val="22"/>
        </w:rPr>
        <w:t>.</w:t>
      </w:r>
      <w:r w:rsidRPr="00992BBA">
        <w:rPr>
          <w:rFonts w:ascii="Century Gothic" w:hAnsi="Century Gothic" w:cs="Helvetica"/>
          <w:iCs/>
          <w:color w:val="000000"/>
          <w:sz w:val="22"/>
        </w:rPr>
        <w:t xml:space="preserve"> </w:t>
      </w:r>
      <w:r>
        <w:rPr>
          <w:rFonts w:ascii="Century Gothic" w:hAnsi="Century Gothic"/>
          <w:sz w:val="22"/>
        </w:rPr>
        <w:t xml:space="preserve">Annex </w:t>
      </w:r>
      <w:r w:rsidRPr="004B20D5">
        <w:rPr>
          <w:rFonts w:ascii="Century Gothic" w:hAnsi="Century Gothic"/>
          <w:sz w:val="22"/>
        </w:rPr>
        <w:t>9</w:t>
      </w:r>
      <w:r>
        <w:rPr>
          <w:rFonts w:ascii="Century Gothic" w:hAnsi="Century Gothic"/>
          <w:sz w:val="22"/>
        </w:rPr>
        <w:t xml:space="preserve"> has been developed to provide some more detailed considerations on how DFAT and partners may wish to frame sustainability considerations as they move towards completion of current initiatives as well as in the planning and design of future interventions.</w:t>
      </w:r>
    </w:p>
    <w:p w:rsidR="0032489B" w:rsidRDefault="0032489B"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p>
    <w:p w:rsid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755"/>
        </w:tabs>
        <w:jc w:val="center"/>
        <w:rPr>
          <w:rFonts w:ascii="Century Gothic" w:hAnsi="Century Gothic" w:cstheme="majorHAnsi"/>
          <w:b/>
          <w:sz w:val="18"/>
          <w:lang w:val="en-AU"/>
        </w:rPr>
      </w:pPr>
      <w:r>
        <w:rPr>
          <w:rFonts w:ascii="Century Gothic" w:hAnsi="Century Gothic" w:cstheme="majorHAnsi"/>
          <w:b/>
          <w:sz w:val="18"/>
          <w:lang w:val="en-AU"/>
        </w:rPr>
        <w:t>Engaging women</w:t>
      </w:r>
    </w:p>
    <w:p w:rsidR="0032489B"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755"/>
        </w:tabs>
        <w:jc w:val="center"/>
        <w:rPr>
          <w:rFonts w:ascii="Century Gothic" w:hAnsi="Century Gothic" w:cstheme="majorHAnsi"/>
          <w:b/>
          <w:sz w:val="18"/>
          <w:lang w:val="en-AU"/>
        </w:rPr>
      </w:pPr>
    </w:p>
    <w:p w:rsidR="0032489B" w:rsidRPr="004724F6"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755"/>
        </w:tabs>
        <w:jc w:val="both"/>
        <w:rPr>
          <w:rFonts w:ascii="Century Gothic" w:hAnsi="Century Gothic"/>
          <w:sz w:val="18"/>
          <w:szCs w:val="22"/>
          <w:lang w:val="en-AU"/>
        </w:rPr>
      </w:pPr>
      <w:r w:rsidRPr="004724F6">
        <w:rPr>
          <w:rFonts w:ascii="Century Gothic" w:hAnsi="Century Gothic" w:cstheme="majorHAnsi"/>
          <w:sz w:val="18"/>
          <w:lang w:val="en-AU"/>
        </w:rPr>
        <w:t>SNV and EDF have</w:t>
      </w:r>
      <w:r w:rsidRPr="004724F6">
        <w:rPr>
          <w:rFonts w:ascii="Century Gothic" w:hAnsi="Century Gothic"/>
          <w:sz w:val="18"/>
          <w:szCs w:val="22"/>
          <w:lang w:val="en-AU"/>
        </w:rPr>
        <w:t xml:space="preserve"> sought to empower both woman and men farmers in championing the adoption of new rice cultivation techniques, and use of renewable energy technologies. </w:t>
      </w:r>
    </w:p>
    <w:p w:rsidR="0032489B" w:rsidRPr="004724F6"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755"/>
        </w:tabs>
        <w:jc w:val="both"/>
        <w:rPr>
          <w:rFonts w:ascii="Century Gothic" w:hAnsi="Century Gothic"/>
          <w:sz w:val="18"/>
          <w:szCs w:val="22"/>
          <w:lang w:val="en-AU"/>
        </w:rPr>
      </w:pPr>
    </w:p>
    <w:p w:rsidR="0032489B" w:rsidRPr="004724F6"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755"/>
        </w:tabs>
        <w:jc w:val="both"/>
        <w:rPr>
          <w:rFonts w:ascii="Century Gothic" w:hAnsi="Century Gothic"/>
          <w:sz w:val="18"/>
          <w:szCs w:val="22"/>
          <w:lang w:val="en-AU"/>
        </w:rPr>
      </w:pPr>
      <w:r w:rsidRPr="004724F6">
        <w:rPr>
          <w:rFonts w:ascii="Century Gothic" w:hAnsi="Century Gothic"/>
          <w:sz w:val="18"/>
          <w:szCs w:val="22"/>
          <w:lang w:val="en-AU"/>
        </w:rPr>
        <w:t xml:space="preserve">EDF has taken affirmative steps to secure the participation of women within core farmer groups - the vehicle through which transfer of the new low-emissions rice cultivation techniques are delivered to households. This means that women are engaged in providing technical guidance to the communities. In many cases, women have become mentors or “invisible leaders” who work with community members to encourage the application of the new cultivation techniques. </w:t>
      </w:r>
    </w:p>
    <w:p w:rsidR="0032489B" w:rsidRPr="004724F6"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755"/>
        </w:tabs>
        <w:jc w:val="both"/>
        <w:rPr>
          <w:rFonts w:ascii="Century Gothic" w:hAnsi="Century Gothic"/>
          <w:sz w:val="18"/>
          <w:szCs w:val="22"/>
          <w:lang w:val="en-AU"/>
        </w:rPr>
      </w:pPr>
    </w:p>
    <w:p w:rsidR="0032489B" w:rsidRPr="004724F6" w:rsidRDefault="0032489B" w:rsidP="0032489B">
      <w:pPr>
        <w:pBdr>
          <w:top w:val="single" w:sz="4" w:space="1" w:color="auto"/>
          <w:left w:val="single" w:sz="4" w:space="4" w:color="auto"/>
          <w:bottom w:val="single" w:sz="4" w:space="1" w:color="auto"/>
          <w:right w:val="single" w:sz="4" w:space="4" w:color="auto"/>
        </w:pBdr>
        <w:shd w:val="clear" w:color="auto" w:fill="B8CCE4" w:themeFill="accent1" w:themeFillTint="66"/>
        <w:jc w:val="both"/>
        <w:rPr>
          <w:sz w:val="18"/>
        </w:rPr>
      </w:pPr>
      <w:r w:rsidRPr="004724F6">
        <w:rPr>
          <w:rFonts w:ascii="Century Gothic" w:hAnsi="Century Gothic"/>
          <w:sz w:val="18"/>
          <w:szCs w:val="22"/>
          <w:lang w:val="en-AU"/>
        </w:rPr>
        <w:t>SNV has engaged women to play crucial roles to promote and test the use of new technology such as rice husk residues in cookstoves as renewable energy alternatives to fossil fuels.</w:t>
      </w:r>
    </w:p>
    <w:p w:rsidR="0032489B" w:rsidRPr="004B2A80" w:rsidRDefault="0032489B"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Pr="004B2A80"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r>
        <w:rPr>
          <w:rFonts w:ascii="Century Gothic" w:hAnsi="Century Gothic"/>
          <w:sz w:val="22"/>
        </w:rPr>
        <w:t xml:space="preserve"> </w:t>
      </w:r>
    </w:p>
    <w:p w:rsidR="000B1D99" w:rsidRPr="00327676" w:rsidRDefault="000B1D99" w:rsidP="000B1D99">
      <w:pPr>
        <w:pStyle w:val="DonnasStyle"/>
        <w:rPr>
          <w:color w:val="8DB3E2" w:themeColor="text2" w:themeTint="66"/>
        </w:rPr>
      </w:pPr>
      <w:r w:rsidRPr="00327676">
        <w:rPr>
          <w:b/>
          <w:color w:val="8DB3E2" w:themeColor="text2" w:themeTint="66"/>
        </w:rPr>
        <w:t>Project Level Observations</w:t>
      </w:r>
    </w:p>
    <w:p w:rsidR="000B1D99" w:rsidRPr="00DA7901" w:rsidRDefault="000B1D99" w:rsidP="000B1D99">
      <w:pPr>
        <w:pStyle w:val="DonnasStyle"/>
      </w:pPr>
      <w:r w:rsidRPr="0060062C">
        <w:t>The</w:t>
      </w:r>
      <w:r w:rsidRPr="0060062C">
        <w:rPr>
          <w:b/>
        </w:rPr>
        <w:t xml:space="preserve"> sustained replication of the low-emission rice production system appears feasible</w:t>
      </w:r>
      <w:r w:rsidRPr="0060062C">
        <w:t>.</w:t>
      </w:r>
      <w:r w:rsidRPr="00DA7901">
        <w:t xml:space="preserve"> </w:t>
      </w:r>
      <w:r w:rsidRPr="00DA7901">
        <w:rPr>
          <w:szCs w:val="21"/>
          <w:lang w:val="en-AU"/>
        </w:rPr>
        <w:t xml:space="preserve">There is significant ownership and capacity in relation to the promotion of low-input, high-yield, low GHG rice cultivation. Local extension teams have a clear understanding of the farming protocols and have demonstrated capabilities in recruiting farmers to trial the techniques. </w:t>
      </w:r>
      <w:r w:rsidRPr="00DA7901">
        <w:t>Both SNV and EDF have been able to demonstrate to farmers that the low-emissions production techniques delivered higher yields and greater profit. Both projects have seen the diffusion of these new growing approaches to adjacent farms and experienced a willingness of new farmers to ‘opt-in’ purely on the basis of demonstrated positive results.</w:t>
      </w:r>
      <w:r w:rsidRPr="00DA7901">
        <w:rPr>
          <w:szCs w:val="21"/>
          <w:lang w:val="en-AU"/>
        </w:rPr>
        <w:t xml:space="preserve"> Farmers engaged in </w:t>
      </w:r>
      <w:r>
        <w:rPr>
          <w:szCs w:val="21"/>
          <w:lang w:val="en-AU"/>
        </w:rPr>
        <w:t>these</w:t>
      </w:r>
      <w:r w:rsidRPr="00DA7901">
        <w:rPr>
          <w:szCs w:val="21"/>
          <w:lang w:val="en-AU"/>
        </w:rPr>
        <w:t xml:space="preserve"> projects were clear that they would continue to utilise the cultivation techniques promoted even after the projects ceased. This was a result of a well-developed M&amp;E </w:t>
      </w:r>
      <w:r w:rsidR="0041215E">
        <w:rPr>
          <w:szCs w:val="21"/>
          <w:lang w:val="en-AU"/>
        </w:rPr>
        <w:t>/</w:t>
      </w:r>
      <w:r w:rsidRPr="00DA7901">
        <w:rPr>
          <w:szCs w:val="21"/>
          <w:lang w:val="en-AU"/>
        </w:rPr>
        <w:t xml:space="preserve"> reporting framework whereby producers participated in the collation of production data, and shared results </w:t>
      </w:r>
      <w:r>
        <w:rPr>
          <w:szCs w:val="21"/>
          <w:lang w:val="en-AU"/>
        </w:rPr>
        <w:t xml:space="preserve">(peer-to-peer) </w:t>
      </w:r>
      <w:r w:rsidRPr="00DA7901">
        <w:rPr>
          <w:szCs w:val="21"/>
          <w:lang w:val="en-AU"/>
        </w:rPr>
        <w:t>within the local farming community.</w:t>
      </w:r>
    </w:p>
    <w:p w:rsidR="000B1D99" w:rsidRPr="00566E2C" w:rsidRDefault="000B1D99" w:rsidP="000B1D99">
      <w:pPr>
        <w:shd w:val="clear" w:color="auto" w:fill="FFFFFF"/>
        <w:spacing w:line="240" w:lineRule="atLeast"/>
        <w:jc w:val="both"/>
        <w:rPr>
          <w:rFonts w:ascii="Century Gothic" w:hAnsi="Century Gothic" w:cs="Times New Roman"/>
          <w:color w:val="660066"/>
          <w:sz w:val="22"/>
          <w:szCs w:val="21"/>
          <w:lang w:val="en-AU"/>
        </w:rPr>
      </w:pPr>
    </w:p>
    <w:p w:rsidR="000B1D99" w:rsidRPr="00CE7050" w:rsidRDefault="000B1D99" w:rsidP="000B1D99">
      <w:pPr>
        <w:shd w:val="clear" w:color="auto" w:fill="FFFFFF"/>
        <w:jc w:val="both"/>
        <w:rPr>
          <w:rFonts w:ascii="Century Gothic" w:hAnsi="Century Gothic"/>
          <w:sz w:val="22"/>
          <w:szCs w:val="21"/>
          <w:lang w:val="en-AU"/>
        </w:rPr>
      </w:pPr>
      <w:r w:rsidRPr="00CE7050">
        <w:rPr>
          <w:rFonts w:ascii="Century Gothic" w:hAnsi="Century Gothic"/>
          <w:sz w:val="22"/>
          <w:szCs w:val="21"/>
          <w:lang w:val="en-AU"/>
        </w:rPr>
        <w:t>Both projects have been able to generate government support at district, province and national levels</w:t>
      </w:r>
      <w:r w:rsidR="00D94793">
        <w:rPr>
          <w:rFonts w:ascii="Century Gothic" w:hAnsi="Century Gothic"/>
          <w:sz w:val="22"/>
          <w:szCs w:val="21"/>
          <w:lang w:val="en-AU"/>
        </w:rPr>
        <w:t>. C</w:t>
      </w:r>
      <w:r w:rsidRPr="00CE7050">
        <w:rPr>
          <w:rFonts w:ascii="Century Gothic" w:hAnsi="Century Gothic"/>
          <w:sz w:val="22"/>
          <w:szCs w:val="21"/>
          <w:lang w:val="en-AU"/>
        </w:rPr>
        <w:t xml:space="preserve">ultivation techniques have been incorporated into larger scale provincial government </w:t>
      </w:r>
      <w:r w:rsidR="00D94793">
        <w:rPr>
          <w:rFonts w:ascii="Century Gothic" w:hAnsi="Century Gothic"/>
          <w:sz w:val="22"/>
          <w:szCs w:val="21"/>
          <w:lang w:val="en-AU"/>
        </w:rPr>
        <w:t xml:space="preserve">led </w:t>
      </w:r>
      <w:r w:rsidRPr="00CE7050">
        <w:rPr>
          <w:rFonts w:ascii="Century Gothic" w:hAnsi="Century Gothic"/>
          <w:sz w:val="22"/>
          <w:szCs w:val="21"/>
          <w:lang w:val="en-AU"/>
        </w:rPr>
        <w:t xml:space="preserve">pilot programs. </w:t>
      </w:r>
      <w:r>
        <w:rPr>
          <w:rFonts w:ascii="Century Gothic" w:hAnsi="Century Gothic"/>
          <w:sz w:val="22"/>
          <w:szCs w:val="21"/>
          <w:lang w:val="en-AU"/>
        </w:rPr>
        <w:t>I</w:t>
      </w:r>
      <w:r w:rsidRPr="00CE7050">
        <w:rPr>
          <w:rFonts w:ascii="Century Gothic" w:hAnsi="Century Gothic"/>
          <w:sz w:val="22"/>
          <w:szCs w:val="21"/>
          <w:lang w:val="en-AU"/>
        </w:rPr>
        <w:t>f scaled nationally</w:t>
      </w:r>
      <w:r>
        <w:rPr>
          <w:rFonts w:ascii="Century Gothic" w:hAnsi="Century Gothic"/>
          <w:sz w:val="22"/>
          <w:szCs w:val="21"/>
          <w:lang w:val="en-AU"/>
        </w:rPr>
        <w:t>,</w:t>
      </w:r>
      <w:r w:rsidRPr="00CE7050">
        <w:rPr>
          <w:rFonts w:ascii="Century Gothic" w:hAnsi="Century Gothic"/>
          <w:sz w:val="22"/>
          <w:szCs w:val="21"/>
          <w:lang w:val="en-AU"/>
        </w:rPr>
        <w:t xml:space="preserve"> the</w:t>
      </w:r>
      <w:r>
        <w:rPr>
          <w:rFonts w:ascii="Century Gothic" w:hAnsi="Century Gothic"/>
          <w:sz w:val="22"/>
          <w:szCs w:val="21"/>
          <w:lang w:val="en-AU"/>
        </w:rPr>
        <w:t>se cultivation techniques</w:t>
      </w:r>
      <w:r w:rsidRPr="00CE7050">
        <w:rPr>
          <w:rFonts w:ascii="Century Gothic" w:hAnsi="Century Gothic"/>
          <w:sz w:val="22"/>
          <w:szCs w:val="21"/>
          <w:lang w:val="en-AU"/>
        </w:rPr>
        <w:t xml:space="preserve"> would have a significant impact on the viability and livelihoods of millions of small-scale rice farmers.</w:t>
      </w:r>
    </w:p>
    <w:p w:rsidR="000B1D99" w:rsidRPr="00BD2C09" w:rsidRDefault="00B42E39" w:rsidP="000B1D99">
      <w:pPr>
        <w:pStyle w:val="DonnasStyle"/>
        <w:rPr>
          <w:color w:val="365F91" w:themeColor="accent1" w:themeShade="BF"/>
        </w:rPr>
      </w:pPr>
      <w:r>
        <w:rPr>
          <w:color w:val="365F91" w:themeColor="accent1" w:themeShade="BF"/>
        </w:rPr>
        <w:t xml:space="preserve"> </w:t>
      </w:r>
    </w:p>
    <w:p w:rsidR="000B1D99" w:rsidRPr="000C2E94"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themeColor="text1"/>
          <w:sz w:val="22"/>
        </w:rPr>
      </w:pPr>
      <w:r>
        <w:rPr>
          <w:rFonts w:ascii="Century Gothic" w:hAnsi="Century Gothic" w:cs="Helvetica"/>
          <w:iCs/>
          <w:color w:val="000000" w:themeColor="text1"/>
          <w:sz w:val="22"/>
        </w:rPr>
        <w:t>Factors that have strengthened the potential for</w:t>
      </w:r>
      <w:r w:rsidR="00B42E39">
        <w:rPr>
          <w:rFonts w:ascii="Century Gothic" w:hAnsi="Century Gothic" w:cs="Helvetica"/>
          <w:iCs/>
          <w:color w:val="000000" w:themeColor="text1"/>
          <w:sz w:val="22"/>
        </w:rPr>
        <w:t xml:space="preserve"> the </w:t>
      </w:r>
      <w:r>
        <w:rPr>
          <w:rFonts w:ascii="Century Gothic" w:hAnsi="Century Gothic" w:cs="Helvetica"/>
          <w:iCs/>
          <w:color w:val="000000" w:themeColor="text1"/>
          <w:sz w:val="22"/>
        </w:rPr>
        <w:t xml:space="preserve"> sustainability of mitigation projects include a focused and clearly articulated design combined with robust </w:t>
      </w:r>
      <w:r w:rsidRPr="00B70E4F">
        <w:rPr>
          <w:rFonts w:ascii="Century Gothic" w:hAnsi="Century Gothic" w:cs="Helvetica"/>
          <w:iCs/>
          <w:color w:val="000000" w:themeColor="text1"/>
          <w:sz w:val="22"/>
        </w:rPr>
        <w:t xml:space="preserve">attention to </w:t>
      </w:r>
      <w:r>
        <w:rPr>
          <w:rFonts w:ascii="Century Gothic" w:hAnsi="Century Gothic" w:cs="Helvetica"/>
          <w:iCs/>
          <w:color w:val="000000" w:themeColor="text1"/>
          <w:sz w:val="22"/>
        </w:rPr>
        <w:t xml:space="preserve">testing interventions and </w:t>
      </w:r>
      <w:r w:rsidRPr="00B70E4F">
        <w:rPr>
          <w:rFonts w:ascii="Century Gothic" w:hAnsi="Century Gothic" w:cs="Helvetica"/>
          <w:iCs/>
          <w:color w:val="000000" w:themeColor="text1"/>
          <w:sz w:val="22"/>
        </w:rPr>
        <w:t xml:space="preserve">creating an evidence base to inform national and provincial </w:t>
      </w:r>
      <w:r w:rsidRPr="00B70E4F">
        <w:rPr>
          <w:rFonts w:ascii="Century Gothic" w:hAnsi="Century Gothic" w:cs="Helvetica"/>
          <w:iCs/>
          <w:color w:val="000000" w:themeColor="text1"/>
          <w:sz w:val="22"/>
        </w:rPr>
        <w:lastRenderedPageBreak/>
        <w:t>policy</w:t>
      </w:r>
      <w:r>
        <w:rPr>
          <w:rFonts w:ascii="Century Gothic" w:hAnsi="Century Gothic" w:cs="Helvetica"/>
          <w:iCs/>
          <w:color w:val="000000" w:themeColor="text1"/>
          <w:sz w:val="22"/>
        </w:rPr>
        <w:t>. The projects have also created links</w:t>
      </w:r>
      <w:r w:rsidRPr="00B70E4F">
        <w:rPr>
          <w:rFonts w:ascii="Century Gothic" w:hAnsi="Century Gothic" w:cs="Helvetica"/>
          <w:iCs/>
          <w:color w:val="000000" w:themeColor="text1"/>
          <w:sz w:val="22"/>
        </w:rPr>
        <w:t xml:space="preserve"> with appropriate </w:t>
      </w:r>
      <w:r>
        <w:rPr>
          <w:rFonts w:ascii="Century Gothic" w:hAnsi="Century Gothic" w:cs="Helvetica"/>
          <w:iCs/>
          <w:color w:val="000000" w:themeColor="text1"/>
          <w:sz w:val="22"/>
        </w:rPr>
        <w:t xml:space="preserve">local </w:t>
      </w:r>
      <w:r w:rsidRPr="00B70E4F">
        <w:rPr>
          <w:rFonts w:ascii="Century Gothic" w:hAnsi="Century Gothic" w:cs="Helvetica"/>
          <w:iCs/>
          <w:color w:val="000000" w:themeColor="text1"/>
          <w:sz w:val="22"/>
        </w:rPr>
        <w:t>experts and institutions</w:t>
      </w:r>
      <w:r>
        <w:rPr>
          <w:rFonts w:ascii="Century Gothic" w:hAnsi="Century Gothic" w:cs="Helvetica"/>
          <w:iCs/>
          <w:color w:val="000000" w:themeColor="text1"/>
          <w:sz w:val="22"/>
        </w:rPr>
        <w:t xml:space="preserve"> (e.g. </w:t>
      </w:r>
      <w:r w:rsidR="00A23ABB">
        <w:rPr>
          <w:rFonts w:ascii="Century Gothic" w:hAnsi="Century Gothic" w:cs="Helvetica"/>
          <w:iCs/>
          <w:color w:val="000000" w:themeColor="text1"/>
          <w:sz w:val="22"/>
        </w:rPr>
        <w:t>national and sub national g</w:t>
      </w:r>
      <w:r>
        <w:rPr>
          <w:rFonts w:ascii="Century Gothic" w:hAnsi="Century Gothic" w:cs="Helvetica"/>
          <w:iCs/>
          <w:color w:val="000000" w:themeColor="text1"/>
          <w:sz w:val="22"/>
        </w:rPr>
        <w:t xml:space="preserve">overnment departments </w:t>
      </w:r>
      <w:r w:rsidR="00A23ABB">
        <w:rPr>
          <w:rFonts w:ascii="Century Gothic" w:hAnsi="Century Gothic" w:cs="Helvetica"/>
          <w:iCs/>
          <w:color w:val="000000" w:themeColor="text1"/>
          <w:sz w:val="22"/>
        </w:rPr>
        <w:t>U</w:t>
      </w:r>
      <w:r>
        <w:rPr>
          <w:rFonts w:ascii="Century Gothic" w:hAnsi="Century Gothic" w:cs="Helvetica"/>
          <w:iCs/>
          <w:color w:val="000000" w:themeColor="text1"/>
          <w:sz w:val="22"/>
        </w:rPr>
        <w:t xml:space="preserve">niversities, science and agricultural extension agencies) and paid </w:t>
      </w:r>
      <w:r w:rsidRPr="00B70E4F">
        <w:rPr>
          <w:rFonts w:ascii="Century Gothic" w:hAnsi="Century Gothic" w:cs="Helvetica"/>
          <w:iCs/>
          <w:color w:val="000000" w:themeColor="text1"/>
          <w:sz w:val="22"/>
        </w:rPr>
        <w:t>attention to</w:t>
      </w:r>
      <w:r>
        <w:rPr>
          <w:rFonts w:ascii="Century Gothic" w:hAnsi="Century Gothic" w:cs="Helvetica"/>
          <w:iCs/>
          <w:color w:val="000000" w:themeColor="text1"/>
          <w:sz w:val="22"/>
        </w:rPr>
        <w:t xml:space="preserve"> the</w:t>
      </w:r>
      <w:r w:rsidRPr="00B70E4F">
        <w:rPr>
          <w:rFonts w:ascii="Century Gothic" w:hAnsi="Century Gothic" w:cs="Helvetica"/>
          <w:iCs/>
          <w:color w:val="000000" w:themeColor="text1"/>
          <w:sz w:val="22"/>
        </w:rPr>
        <w:t xml:space="preserve"> creation of multistakeholder fora </w:t>
      </w:r>
      <w:r>
        <w:rPr>
          <w:rFonts w:ascii="Century Gothic" w:hAnsi="Century Gothic" w:cs="Helvetica"/>
          <w:iCs/>
          <w:color w:val="000000" w:themeColor="text1"/>
          <w:sz w:val="22"/>
        </w:rPr>
        <w:t xml:space="preserve">through which results can be communicated and shared to support replication. </w:t>
      </w:r>
      <w:r w:rsidR="00AE320F">
        <w:rPr>
          <w:rFonts w:ascii="Century Gothic" w:hAnsi="Century Gothic"/>
          <w:color w:val="000000" w:themeColor="text1"/>
          <w:sz w:val="22"/>
        </w:rPr>
        <w:t>The</w:t>
      </w:r>
      <w:r>
        <w:rPr>
          <w:rFonts w:ascii="Century Gothic" w:hAnsi="Century Gothic"/>
          <w:color w:val="000000" w:themeColor="text1"/>
          <w:sz w:val="22"/>
        </w:rPr>
        <w:t xml:space="preserve"> Review identified four </w:t>
      </w:r>
      <w:r w:rsidRPr="000C2E94">
        <w:rPr>
          <w:rFonts w:ascii="Century Gothic" w:hAnsi="Century Gothic"/>
          <w:color w:val="000000" w:themeColor="text1"/>
          <w:sz w:val="22"/>
        </w:rPr>
        <w:t>challenges to the sustainability of low-emi</w:t>
      </w:r>
      <w:r w:rsidR="00AE320F">
        <w:rPr>
          <w:rFonts w:ascii="Century Gothic" w:hAnsi="Century Gothic"/>
          <w:color w:val="000000" w:themeColor="text1"/>
          <w:sz w:val="22"/>
        </w:rPr>
        <w:t xml:space="preserve">ssions rice cultivation efforts that should be considered in the design of future interventions. These </w:t>
      </w:r>
      <w:r w:rsidRPr="000C2E94">
        <w:rPr>
          <w:rFonts w:ascii="Century Gothic" w:hAnsi="Century Gothic"/>
          <w:color w:val="000000" w:themeColor="text1"/>
          <w:sz w:val="22"/>
        </w:rPr>
        <w:t xml:space="preserve">are discussed in Annex </w:t>
      </w:r>
      <w:r w:rsidRPr="00D7316B">
        <w:rPr>
          <w:rFonts w:ascii="Century Gothic" w:hAnsi="Century Gothic"/>
          <w:sz w:val="22"/>
        </w:rPr>
        <w:t>9.</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u w:val="single"/>
        </w:rPr>
      </w:pPr>
    </w:p>
    <w:p w:rsidR="000B1D99" w:rsidRPr="001B5FBD" w:rsidRDefault="000B1D99" w:rsidP="001B5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olor w:val="FF0000"/>
          <w:sz w:val="22"/>
        </w:rPr>
      </w:pPr>
      <w:r w:rsidRPr="00AF0676">
        <w:rPr>
          <w:rFonts w:ascii="Century Gothic" w:hAnsi="Century Gothic"/>
          <w:sz w:val="22"/>
        </w:rPr>
        <w:t>In contrast, CCA partners utilise a community development</w:t>
      </w:r>
      <w:r>
        <w:rPr>
          <w:rFonts w:ascii="Century Gothic" w:hAnsi="Century Gothic"/>
          <w:sz w:val="22"/>
        </w:rPr>
        <w:t>,</w:t>
      </w:r>
      <w:r w:rsidRPr="00AF0676">
        <w:rPr>
          <w:rFonts w:ascii="Century Gothic" w:hAnsi="Century Gothic"/>
          <w:sz w:val="22"/>
        </w:rPr>
        <w:t xml:space="preserve"> as opposed to a commodity/sector-based approach. This means they work with relevant local institutions (e.g. commune, district, provincial councils</w:t>
      </w:r>
      <w:r>
        <w:rPr>
          <w:rFonts w:ascii="Century Gothic" w:hAnsi="Century Gothic"/>
          <w:sz w:val="22"/>
        </w:rPr>
        <w:t>,</w:t>
      </w:r>
      <w:r w:rsidRPr="00AF0676">
        <w:rPr>
          <w:rFonts w:ascii="Century Gothic" w:hAnsi="Century Gothic"/>
          <w:sz w:val="22"/>
        </w:rPr>
        <w:t xml:space="preserve"> mass organisations</w:t>
      </w:r>
      <w:r>
        <w:rPr>
          <w:rFonts w:ascii="Century Gothic" w:hAnsi="Century Gothic"/>
          <w:sz w:val="22"/>
        </w:rPr>
        <w:t>, CSOs</w:t>
      </w:r>
      <w:r w:rsidRPr="00AF0676">
        <w:rPr>
          <w:rFonts w:ascii="Century Gothic" w:hAnsi="Century Gothic"/>
          <w:sz w:val="22"/>
        </w:rPr>
        <w:t>), government line departments, and citizens, to assess local climate change risks, vulnerabilities and sensitivities</w:t>
      </w:r>
      <w:r>
        <w:rPr>
          <w:rFonts w:ascii="Century Gothic" w:hAnsi="Century Gothic"/>
          <w:sz w:val="22"/>
        </w:rPr>
        <w:t xml:space="preserve"> in order to</w:t>
      </w:r>
      <w:r w:rsidRPr="00AF0676">
        <w:rPr>
          <w:rFonts w:ascii="Century Gothic" w:hAnsi="Century Gothic"/>
          <w:sz w:val="22"/>
        </w:rPr>
        <w:t xml:space="preserve"> identify contextually suitable adaptive livelihoods interventions. This </w:t>
      </w:r>
      <w:r w:rsidR="001B62C0">
        <w:rPr>
          <w:rFonts w:ascii="Century Gothic" w:hAnsi="Century Gothic"/>
          <w:sz w:val="22"/>
        </w:rPr>
        <w:t>takes time.</w:t>
      </w:r>
      <w:r w:rsidRPr="001A178F">
        <w:rPr>
          <w:rFonts w:ascii="Century Gothic" w:hAnsi="Century Gothic"/>
          <w:sz w:val="22"/>
        </w:rPr>
        <w:t xml:space="preserve"> </w:t>
      </w:r>
      <w:r w:rsidR="001B62C0">
        <w:rPr>
          <w:rFonts w:ascii="Century Gothic" w:hAnsi="Century Gothic"/>
          <w:sz w:val="22"/>
        </w:rPr>
        <w:t>A</w:t>
      </w:r>
      <w:r w:rsidRPr="001A178F">
        <w:rPr>
          <w:rFonts w:ascii="Century Gothic" w:hAnsi="Century Gothic"/>
          <w:sz w:val="22"/>
        </w:rPr>
        <w:t xml:space="preserve">s a result livelihoods interventions have only just started on a small scale in some areas. The implication of this is that there has been </w:t>
      </w:r>
      <w:r w:rsidRPr="001A178F">
        <w:rPr>
          <w:rFonts w:ascii="Century Gothic" w:hAnsi="Century Gothic"/>
          <w:b/>
          <w:sz w:val="22"/>
        </w:rPr>
        <w:t xml:space="preserve">insufficient time as yet to enable partners to test the appropriateness and sustainability of adaptive livelihoods interventions in a meaningful and systematic way. </w:t>
      </w:r>
      <w:r w:rsidRPr="001A178F">
        <w:rPr>
          <w:rFonts w:ascii="Century Gothic" w:hAnsi="Century Gothic"/>
          <w:sz w:val="22"/>
        </w:rPr>
        <w:t>CCCAG partners are aware</w:t>
      </w:r>
      <w:r w:rsidRPr="00F46CA8">
        <w:rPr>
          <w:rFonts w:ascii="Century Gothic" w:hAnsi="Century Gothic"/>
          <w:sz w:val="22"/>
        </w:rPr>
        <w:t xml:space="preserve"> of the need to undertake more detailed analysis of livelihoods interventions throughout the life of the projects. In order to support this analysis, </w:t>
      </w:r>
      <w:r w:rsidRPr="00F46CA8">
        <w:rPr>
          <w:rFonts w:ascii="Century Gothic" w:hAnsi="Century Gothic" w:cs="Helvetica"/>
          <w:iCs/>
          <w:color w:val="000000"/>
          <w:sz w:val="22"/>
        </w:rPr>
        <w:t xml:space="preserve">Annex </w:t>
      </w:r>
      <w:r w:rsidRPr="00D7316B">
        <w:rPr>
          <w:rFonts w:ascii="Century Gothic" w:hAnsi="Century Gothic" w:cs="Helvetica"/>
          <w:iCs/>
          <w:sz w:val="22"/>
        </w:rPr>
        <w:t xml:space="preserve">9 </w:t>
      </w:r>
      <w:r>
        <w:rPr>
          <w:rFonts w:ascii="Century Gothic" w:hAnsi="Century Gothic" w:cs="Helvetica"/>
          <w:iCs/>
          <w:color w:val="000000"/>
          <w:sz w:val="22"/>
        </w:rPr>
        <w:t xml:space="preserve">contains </w:t>
      </w:r>
      <w:r w:rsidRPr="00F46CA8">
        <w:rPr>
          <w:rFonts w:ascii="Century Gothic" w:hAnsi="Century Gothic" w:cs="Helvetica"/>
          <w:iCs/>
          <w:color w:val="000000"/>
          <w:sz w:val="22"/>
        </w:rPr>
        <w:t xml:space="preserve">discussion on factors that </w:t>
      </w:r>
      <w:r w:rsidRPr="004201D4">
        <w:rPr>
          <w:rFonts w:ascii="Century Gothic" w:hAnsi="Century Gothic" w:cs="Helvetica"/>
          <w:iCs/>
          <w:color w:val="000000"/>
          <w:sz w:val="22"/>
        </w:rPr>
        <w:t xml:space="preserve">partners may wish to consider as </w:t>
      </w:r>
      <w:r>
        <w:rPr>
          <w:rFonts w:ascii="Century Gothic" w:hAnsi="Century Gothic" w:cs="Helvetica"/>
          <w:iCs/>
          <w:color w:val="000000"/>
          <w:sz w:val="22"/>
        </w:rPr>
        <w:t>they</w:t>
      </w:r>
      <w:r w:rsidRPr="004201D4">
        <w:rPr>
          <w:rFonts w:ascii="Century Gothic" w:hAnsi="Century Gothic" w:cs="Helvetica"/>
          <w:iCs/>
          <w:color w:val="000000"/>
          <w:sz w:val="22"/>
        </w:rPr>
        <w:t xml:space="preserve"> assess the </w:t>
      </w:r>
      <w:r>
        <w:rPr>
          <w:rFonts w:ascii="Century Gothic" w:hAnsi="Century Gothic" w:cs="Helvetica"/>
          <w:iCs/>
          <w:color w:val="000000"/>
          <w:sz w:val="22"/>
        </w:rPr>
        <w:t xml:space="preserve">efficacy and </w:t>
      </w:r>
      <w:r w:rsidRPr="004201D4">
        <w:rPr>
          <w:rFonts w:ascii="Century Gothic" w:hAnsi="Century Gothic" w:cs="Helvetica"/>
          <w:iCs/>
          <w:color w:val="000000"/>
          <w:sz w:val="22"/>
        </w:rPr>
        <w:t>sustainability of adaptive liveli</w:t>
      </w:r>
      <w:r>
        <w:rPr>
          <w:rFonts w:ascii="Century Gothic" w:hAnsi="Century Gothic" w:cs="Helvetica"/>
          <w:iCs/>
          <w:color w:val="000000"/>
          <w:sz w:val="22"/>
        </w:rPr>
        <w:t>hoods</w:t>
      </w:r>
      <w:r w:rsidRPr="004201D4">
        <w:rPr>
          <w:rFonts w:ascii="Century Gothic" w:hAnsi="Century Gothic" w:cs="Helvetica"/>
          <w:iCs/>
          <w:color w:val="000000"/>
          <w:sz w:val="22"/>
        </w:rPr>
        <w:t xml:space="preserve"> interventions </w:t>
      </w:r>
      <w:r>
        <w:rPr>
          <w:rFonts w:ascii="Century Gothic" w:hAnsi="Century Gothic" w:cs="Helvetica"/>
          <w:iCs/>
          <w:color w:val="000000"/>
          <w:sz w:val="22"/>
        </w:rPr>
        <w:t>in the remaining period</w:t>
      </w:r>
      <w:r w:rsidRPr="004201D4">
        <w:rPr>
          <w:rFonts w:ascii="Century Gothic" w:hAnsi="Century Gothic" w:cs="Helvetica"/>
          <w:iCs/>
          <w:color w:val="000000"/>
          <w:sz w:val="22"/>
        </w:rPr>
        <w:t>.</w:t>
      </w:r>
    </w:p>
    <w:p w:rsidR="000B1D99" w:rsidRPr="004A30A3" w:rsidRDefault="000B1D99" w:rsidP="004A30A3">
      <w:pPr>
        <w:pStyle w:val="Heading3"/>
      </w:pPr>
      <w:bookmarkStart w:id="36" w:name="_Toc266010036"/>
      <w:r>
        <w:t>4.6. Gender and Social Inclusion</w:t>
      </w:r>
      <w:bookmarkEnd w:id="36"/>
      <w:r>
        <w:t xml:space="preserve"> </w:t>
      </w:r>
    </w:p>
    <w:p w:rsidR="000B1D99" w:rsidRPr="00327676" w:rsidRDefault="000B1D99" w:rsidP="000B1D99">
      <w:pPr>
        <w:pStyle w:val="DonnasStyle"/>
        <w:rPr>
          <w:color w:val="8DB3E2" w:themeColor="text2" w:themeTint="66"/>
        </w:rPr>
      </w:pPr>
      <w:r w:rsidRPr="00327676">
        <w:rPr>
          <w:b/>
          <w:color w:val="8DB3E2" w:themeColor="text2" w:themeTint="66"/>
        </w:rPr>
        <w:t>Program Level Observations</w:t>
      </w:r>
    </w:p>
    <w:p w:rsidR="000B1D99" w:rsidRPr="0024354A" w:rsidRDefault="000B1D99" w:rsidP="000B1D99">
      <w:pPr>
        <w:jc w:val="both"/>
        <w:rPr>
          <w:rFonts w:ascii="Century Gothic" w:hAnsi="Century Gothic"/>
          <w:sz w:val="22"/>
        </w:rPr>
      </w:pPr>
      <w:r w:rsidRPr="00A17EE7">
        <w:rPr>
          <w:rFonts w:ascii="Century Gothic" w:hAnsi="Century Gothic" w:cstheme="majorHAnsi"/>
          <w:sz w:val="22"/>
        </w:rPr>
        <w:t xml:space="preserve">DFAT policy and CCCAG guidelines place emphasis on the </w:t>
      </w:r>
      <w:r w:rsidRPr="00084F38">
        <w:rPr>
          <w:rFonts w:ascii="Century Gothic" w:hAnsi="Century Gothic" w:cstheme="majorHAnsi"/>
          <w:sz w:val="22"/>
        </w:rPr>
        <w:t>importance of gendered and socially inclusive approaches to addressing development and climate change</w:t>
      </w:r>
      <w:r>
        <w:rPr>
          <w:rFonts w:ascii="Century Gothic" w:hAnsi="Century Gothic" w:cstheme="majorHAnsi"/>
          <w:sz w:val="22"/>
        </w:rPr>
        <w:t xml:space="preserve">, </w:t>
      </w:r>
      <w:r w:rsidRPr="00A17EE7">
        <w:rPr>
          <w:rFonts w:ascii="Century Gothic" w:hAnsi="Century Gothic" w:cstheme="majorHAnsi"/>
          <w:sz w:val="22"/>
        </w:rPr>
        <w:t>as well as ensuring the participation of women and other vulnerable groups including PLWD, children, ethnic minorities and the poor in project planning, deci</w:t>
      </w:r>
      <w:r>
        <w:rPr>
          <w:rFonts w:ascii="Century Gothic" w:hAnsi="Century Gothic" w:cstheme="majorHAnsi"/>
          <w:sz w:val="22"/>
        </w:rPr>
        <w:t>sion making and implementation</w:t>
      </w:r>
      <w:r w:rsidRPr="00084F38">
        <w:rPr>
          <w:rFonts w:ascii="Century Gothic" w:hAnsi="Century Gothic" w:cstheme="majorHAnsi"/>
          <w:sz w:val="22"/>
        </w:rPr>
        <w:t xml:space="preserve">. </w:t>
      </w:r>
      <w:r>
        <w:rPr>
          <w:rFonts w:ascii="Century Gothic" w:hAnsi="Century Gothic" w:cstheme="majorHAnsi"/>
          <w:sz w:val="22"/>
        </w:rPr>
        <w:t>This is a strength of CCCAG.</w:t>
      </w:r>
    </w:p>
    <w:p w:rsidR="000B1D99" w:rsidRDefault="000B1D99" w:rsidP="000B1D99">
      <w:pPr>
        <w:jc w:val="both"/>
        <w:rPr>
          <w:rFonts w:ascii="Century Gothic" w:hAnsi="Century Gothic"/>
          <w:sz w:val="22"/>
        </w:rPr>
      </w:pPr>
    </w:p>
    <w:p w:rsidR="000B1D99" w:rsidRPr="009F108A" w:rsidRDefault="000B1D99" w:rsidP="000B1D99">
      <w:pPr>
        <w:jc w:val="both"/>
        <w:rPr>
          <w:rFonts w:ascii="Century Gothic" w:hAnsi="Century Gothic"/>
          <w:sz w:val="22"/>
        </w:rPr>
      </w:pPr>
      <w:r w:rsidRPr="002821F7">
        <w:rPr>
          <w:rFonts w:ascii="Century Gothic" w:hAnsi="Century Gothic"/>
          <w:sz w:val="22"/>
        </w:rPr>
        <w:t xml:space="preserve">The fact that </w:t>
      </w:r>
      <w:r w:rsidRPr="009F108A">
        <w:rPr>
          <w:rFonts w:ascii="Century Gothic" w:hAnsi="Century Gothic"/>
          <w:sz w:val="22"/>
        </w:rPr>
        <w:t>DFAT made the</w:t>
      </w:r>
      <w:r w:rsidRPr="00D54BC3">
        <w:rPr>
          <w:rFonts w:ascii="Century Gothic" w:hAnsi="Century Gothic"/>
          <w:b/>
          <w:sz w:val="22"/>
        </w:rPr>
        <w:t xml:space="preserve"> targeting of the most vulnerable an explicit priority of the f</w:t>
      </w:r>
      <w:r>
        <w:rPr>
          <w:rFonts w:ascii="Century Gothic" w:hAnsi="Century Gothic"/>
          <w:b/>
          <w:sz w:val="22"/>
        </w:rPr>
        <w:t xml:space="preserve">unding mechanism, </w:t>
      </w:r>
      <w:r w:rsidRPr="009F108A">
        <w:rPr>
          <w:rFonts w:ascii="Century Gothic" w:hAnsi="Century Gothic"/>
          <w:sz w:val="22"/>
        </w:rPr>
        <w:t>and a criterion for selection and appraisal of projects is an important factor in creating this success</w:t>
      </w:r>
      <w:r>
        <w:rPr>
          <w:rFonts w:ascii="Century Gothic" w:hAnsi="Century Gothic"/>
          <w:b/>
          <w:sz w:val="22"/>
        </w:rPr>
        <w:t>.</w:t>
      </w:r>
      <w:r w:rsidRPr="002821F7">
        <w:rPr>
          <w:rFonts w:ascii="Century Gothic" w:hAnsi="Century Gothic"/>
          <w:sz w:val="22"/>
        </w:rPr>
        <w:t xml:space="preserve"> </w:t>
      </w:r>
      <w:r>
        <w:rPr>
          <w:rFonts w:ascii="Century Gothic" w:hAnsi="Century Gothic"/>
          <w:sz w:val="22"/>
        </w:rPr>
        <w:t xml:space="preserve"> </w:t>
      </w:r>
      <w:r w:rsidRPr="002821F7">
        <w:rPr>
          <w:rFonts w:ascii="Century Gothic" w:hAnsi="Century Gothic"/>
          <w:sz w:val="22"/>
        </w:rPr>
        <w:t xml:space="preserve">This is supported by the fact that </w:t>
      </w:r>
      <w:r>
        <w:rPr>
          <w:rFonts w:ascii="Century Gothic" w:hAnsi="Century Gothic"/>
          <w:sz w:val="22"/>
        </w:rPr>
        <w:t>CCCAG</w:t>
      </w:r>
      <w:r w:rsidRPr="002821F7">
        <w:rPr>
          <w:rFonts w:ascii="Century Gothic" w:hAnsi="Century Gothic"/>
          <w:sz w:val="22"/>
        </w:rPr>
        <w:t xml:space="preserve"> </w:t>
      </w:r>
      <w:r w:rsidRPr="00955995">
        <w:rPr>
          <w:rFonts w:ascii="Century Gothic" w:hAnsi="Century Gothic"/>
          <w:sz w:val="22"/>
        </w:rPr>
        <w:t>partners</w:t>
      </w:r>
      <w:r>
        <w:rPr>
          <w:rFonts w:ascii="Century Gothic" w:hAnsi="Century Gothic"/>
          <w:sz w:val="22"/>
        </w:rPr>
        <w:t xml:space="preserve"> have </w:t>
      </w:r>
      <w:r w:rsidRPr="00D54BC3">
        <w:rPr>
          <w:rFonts w:ascii="Century Gothic" w:hAnsi="Century Gothic"/>
          <w:b/>
          <w:sz w:val="22"/>
        </w:rPr>
        <w:t xml:space="preserve">strong institutional focus and mandates to work with the poorest of the poor </w:t>
      </w:r>
      <w:r>
        <w:rPr>
          <w:rFonts w:ascii="Century Gothic" w:hAnsi="Century Gothic"/>
          <w:b/>
          <w:sz w:val="22"/>
        </w:rPr>
        <w:t>and</w:t>
      </w:r>
      <w:r w:rsidRPr="00D54BC3">
        <w:rPr>
          <w:rFonts w:ascii="Century Gothic" w:hAnsi="Century Gothic"/>
          <w:b/>
          <w:sz w:val="22"/>
        </w:rPr>
        <w:t xml:space="preserve"> marginalised or vulnerable groups</w:t>
      </w:r>
      <w:r w:rsidRPr="002821F7">
        <w:rPr>
          <w:rFonts w:ascii="Century Gothic" w:hAnsi="Century Gothic"/>
          <w:sz w:val="22"/>
        </w:rPr>
        <w:t xml:space="preserve">. </w:t>
      </w:r>
    </w:p>
    <w:p w:rsidR="000B1D99" w:rsidRDefault="000B1D99" w:rsidP="000B1D99">
      <w:pPr>
        <w:jc w:val="both"/>
        <w:rPr>
          <w:rFonts w:ascii="Century Gothic" w:hAnsi="Century Gothic" w:cstheme="majorHAnsi"/>
          <w:sz w:val="22"/>
        </w:rPr>
      </w:pPr>
    </w:p>
    <w:p w:rsidR="000B1D99" w:rsidRDefault="000B1D99" w:rsidP="000B1D99">
      <w:pPr>
        <w:jc w:val="both"/>
        <w:rPr>
          <w:rFonts w:ascii="Century Gothic" w:hAnsi="Century Gothic" w:cstheme="majorHAnsi"/>
          <w:sz w:val="22"/>
        </w:rPr>
      </w:pPr>
      <w:r>
        <w:rPr>
          <w:rFonts w:ascii="Century Gothic" w:hAnsi="Century Gothic" w:cstheme="majorHAnsi"/>
          <w:sz w:val="22"/>
        </w:rPr>
        <w:t>CCCAG</w:t>
      </w:r>
      <w:r w:rsidRPr="00A17EE7">
        <w:rPr>
          <w:rFonts w:ascii="Century Gothic" w:hAnsi="Century Gothic" w:cstheme="majorHAnsi"/>
          <w:sz w:val="22"/>
        </w:rPr>
        <w:t xml:space="preserve"> </w:t>
      </w:r>
      <w:r w:rsidRPr="00034168">
        <w:rPr>
          <w:rFonts w:ascii="Century Gothic" w:hAnsi="Century Gothic" w:cstheme="majorHAnsi"/>
          <w:sz w:val="22"/>
        </w:rPr>
        <w:t>partners are cognisant that</w:t>
      </w:r>
      <w:r w:rsidRPr="00A17EE7">
        <w:rPr>
          <w:rFonts w:ascii="Century Gothic" w:hAnsi="Century Gothic" w:cstheme="majorHAnsi"/>
          <w:b/>
          <w:sz w:val="22"/>
        </w:rPr>
        <w:t xml:space="preserve"> the risks associated with climate change threaten to </w:t>
      </w:r>
      <w:r w:rsidRPr="0045403F">
        <w:rPr>
          <w:rFonts w:ascii="Century Gothic" w:hAnsi="Century Gothic" w:cstheme="majorHAnsi"/>
          <w:b/>
          <w:sz w:val="22"/>
        </w:rPr>
        <w:t>erode progress made towards gender equality</w:t>
      </w:r>
      <w:r w:rsidR="00034168">
        <w:rPr>
          <w:rFonts w:ascii="Century Gothic" w:hAnsi="Century Gothic" w:cstheme="majorHAnsi"/>
          <w:sz w:val="22"/>
        </w:rPr>
        <w:t xml:space="preserve">, </w:t>
      </w:r>
      <w:r w:rsidR="00034168" w:rsidRPr="001C0EEE">
        <w:rPr>
          <w:rFonts w:ascii="Century Gothic" w:hAnsi="Century Gothic" w:cstheme="majorHAnsi"/>
          <w:b/>
          <w:sz w:val="22"/>
        </w:rPr>
        <w:t>reinforce inequity</w:t>
      </w:r>
      <w:r w:rsidR="00034168">
        <w:rPr>
          <w:rFonts w:ascii="Century Gothic" w:hAnsi="Century Gothic" w:cstheme="majorHAnsi"/>
          <w:sz w:val="22"/>
        </w:rPr>
        <w:t xml:space="preserve"> </w:t>
      </w:r>
      <w:r w:rsidRPr="00A17EE7">
        <w:rPr>
          <w:rFonts w:ascii="Century Gothic" w:hAnsi="Century Gothic" w:cstheme="majorHAnsi"/>
          <w:sz w:val="22"/>
        </w:rPr>
        <w:t>and exacerbate issues such as women’s limited mobility, poor access to land and other resources.</w:t>
      </w:r>
    </w:p>
    <w:p w:rsidR="000B1D99" w:rsidRDefault="000B1D99" w:rsidP="000B1D99">
      <w:pPr>
        <w:pStyle w:val="DonnasStyle"/>
        <w:rPr>
          <w:b/>
          <w:i/>
          <w:color w:val="8DB3E2" w:themeColor="text2" w:themeTint="66"/>
        </w:rPr>
      </w:pPr>
    </w:p>
    <w:p w:rsidR="000B1D99" w:rsidRPr="00075CCD" w:rsidRDefault="000B1D99" w:rsidP="000B1D99">
      <w:pPr>
        <w:pStyle w:val="DonnasStyle"/>
        <w:rPr>
          <w:color w:val="8DB3E2" w:themeColor="text2" w:themeTint="66"/>
        </w:rPr>
      </w:pPr>
      <w:r w:rsidRPr="00075CCD">
        <w:rPr>
          <w:b/>
          <w:color w:val="8DB3E2" w:themeColor="text2" w:themeTint="66"/>
        </w:rPr>
        <w:t>Project Level Observations</w:t>
      </w:r>
    </w:p>
    <w:p w:rsidR="000B1D99" w:rsidRDefault="000B1D99" w:rsidP="000B1D99">
      <w:pPr>
        <w:pStyle w:val="DonnasStyle"/>
        <w:rPr>
          <w:lang w:val="en-AU"/>
        </w:rPr>
      </w:pPr>
      <w:r w:rsidRPr="00461064">
        <w:rPr>
          <w:b/>
          <w:lang w:val="en-AU"/>
        </w:rPr>
        <w:t>All partners have mainstreamed gender and social inclusion.</w:t>
      </w:r>
      <w:r w:rsidRPr="00A17EE7">
        <w:rPr>
          <w:lang w:val="en-AU"/>
        </w:rPr>
        <w:t xml:space="preserve"> This includes </w:t>
      </w:r>
      <w:r>
        <w:rPr>
          <w:lang w:val="en-AU"/>
        </w:rPr>
        <w:t xml:space="preserve">undertaking gender analysis before the intervention, </w:t>
      </w:r>
      <w:r w:rsidRPr="00A37E00">
        <w:rPr>
          <w:lang w:val="en-AU"/>
        </w:rPr>
        <w:t>demonstrating the active targeting of women as beneficiaries of aid</w:t>
      </w:r>
      <w:r>
        <w:rPr>
          <w:lang w:val="en-AU"/>
        </w:rPr>
        <w:t xml:space="preserve"> and</w:t>
      </w:r>
      <w:r w:rsidRPr="00A37E00">
        <w:rPr>
          <w:lang w:val="en-AU"/>
        </w:rPr>
        <w:t xml:space="preserve"> su</w:t>
      </w:r>
      <w:r w:rsidRPr="00A17EE7">
        <w:rPr>
          <w:lang w:val="en-AU"/>
        </w:rPr>
        <w:t>pporting women’s participation in planning, service delivery and capacity building.</w:t>
      </w:r>
      <w:r>
        <w:rPr>
          <w:lang w:val="en-AU"/>
        </w:rPr>
        <w:t xml:space="preserve"> </w:t>
      </w:r>
      <w:r w:rsidR="000A7CBE">
        <w:rPr>
          <w:lang w:val="en-AU"/>
        </w:rPr>
        <w:t xml:space="preserve">Specific contributions </w:t>
      </w:r>
      <w:r>
        <w:rPr>
          <w:lang w:val="en-AU"/>
        </w:rPr>
        <w:t>by partners includes:</w:t>
      </w:r>
    </w:p>
    <w:p w:rsidR="000B1D99" w:rsidRDefault="000B1D99" w:rsidP="000B1D99">
      <w:pPr>
        <w:pStyle w:val="ListParagraph"/>
        <w:spacing w:after="200"/>
        <w:ind w:left="357"/>
        <w:jc w:val="both"/>
        <w:rPr>
          <w:rFonts w:ascii="Century Gothic" w:hAnsi="Century Gothic"/>
          <w:sz w:val="22"/>
        </w:rPr>
      </w:pPr>
    </w:p>
    <w:p w:rsidR="000B1D99" w:rsidRDefault="000B1D99" w:rsidP="000B1D99">
      <w:pPr>
        <w:pStyle w:val="ListParagraph"/>
        <w:numPr>
          <w:ilvl w:val="0"/>
          <w:numId w:val="16"/>
        </w:numPr>
        <w:spacing w:after="200"/>
        <w:ind w:left="357" w:hanging="357"/>
        <w:jc w:val="both"/>
        <w:rPr>
          <w:rFonts w:ascii="Century Gothic" w:hAnsi="Century Gothic"/>
          <w:sz w:val="22"/>
        </w:rPr>
      </w:pPr>
      <w:r w:rsidRPr="00A17EE7">
        <w:rPr>
          <w:rFonts w:ascii="Century Gothic" w:hAnsi="Century Gothic"/>
          <w:sz w:val="22"/>
        </w:rPr>
        <w:t>The prioritisation of livelihoods assistance to</w:t>
      </w:r>
      <w:r>
        <w:rPr>
          <w:rFonts w:ascii="Century Gothic" w:hAnsi="Century Gothic"/>
          <w:sz w:val="22"/>
        </w:rPr>
        <w:t xml:space="preserve"> women, including </w:t>
      </w:r>
      <w:r w:rsidRPr="00A17EE7">
        <w:rPr>
          <w:rFonts w:ascii="Century Gothic" w:hAnsi="Century Gothic"/>
          <w:sz w:val="22"/>
        </w:rPr>
        <w:t xml:space="preserve">vulnerable and poor women, </w:t>
      </w:r>
      <w:r>
        <w:rPr>
          <w:rFonts w:ascii="Century Gothic" w:hAnsi="Century Gothic"/>
          <w:sz w:val="22"/>
        </w:rPr>
        <w:t xml:space="preserve">and </w:t>
      </w:r>
      <w:r w:rsidRPr="00A17EE7">
        <w:rPr>
          <w:rFonts w:ascii="Century Gothic" w:hAnsi="Century Gothic"/>
          <w:sz w:val="22"/>
        </w:rPr>
        <w:t>female headed households</w:t>
      </w:r>
      <w:r>
        <w:rPr>
          <w:rFonts w:ascii="Century Gothic" w:hAnsi="Century Gothic"/>
          <w:sz w:val="22"/>
        </w:rPr>
        <w:t xml:space="preserve"> (SC, CARE, Oxfam);</w:t>
      </w:r>
    </w:p>
    <w:p w:rsidR="000B1D99" w:rsidRPr="00A17EE7" w:rsidRDefault="000B1D99" w:rsidP="000B1D99">
      <w:pPr>
        <w:pStyle w:val="ListParagraph"/>
        <w:numPr>
          <w:ilvl w:val="0"/>
          <w:numId w:val="16"/>
        </w:numPr>
        <w:spacing w:after="200"/>
        <w:ind w:left="357" w:hanging="357"/>
        <w:jc w:val="both"/>
        <w:rPr>
          <w:rFonts w:ascii="Century Gothic" w:hAnsi="Century Gothic"/>
          <w:sz w:val="22"/>
        </w:rPr>
      </w:pPr>
      <w:r>
        <w:rPr>
          <w:rFonts w:ascii="Century Gothic" w:hAnsi="Century Gothic"/>
          <w:sz w:val="22"/>
        </w:rPr>
        <w:t>T</w:t>
      </w:r>
      <w:r w:rsidRPr="00A17EE7">
        <w:rPr>
          <w:rFonts w:ascii="Century Gothic" w:hAnsi="Century Gothic"/>
          <w:sz w:val="22"/>
        </w:rPr>
        <w:t>he identification of livelihoods models that are suitable for women</w:t>
      </w:r>
      <w:r>
        <w:rPr>
          <w:rFonts w:ascii="Century Gothic" w:hAnsi="Century Gothic"/>
          <w:sz w:val="22"/>
        </w:rPr>
        <w:t>,</w:t>
      </w:r>
      <w:r w:rsidRPr="00A17EE7">
        <w:rPr>
          <w:rFonts w:ascii="Century Gothic" w:hAnsi="Century Gothic"/>
          <w:sz w:val="22"/>
        </w:rPr>
        <w:t xml:space="preserve"> as well as other marginal groups</w:t>
      </w:r>
      <w:r>
        <w:rPr>
          <w:rFonts w:ascii="Century Gothic" w:hAnsi="Century Gothic"/>
          <w:sz w:val="22"/>
        </w:rPr>
        <w:t xml:space="preserve"> such as the landless, PLWD etc (CARE, SC, Oxfam)</w:t>
      </w:r>
      <w:r w:rsidRPr="00A17EE7">
        <w:rPr>
          <w:rFonts w:ascii="Century Gothic" w:hAnsi="Century Gothic"/>
          <w:sz w:val="22"/>
        </w:rPr>
        <w:t>;</w:t>
      </w:r>
    </w:p>
    <w:p w:rsidR="000B1D99" w:rsidRPr="00A17EE7" w:rsidRDefault="000B1D99" w:rsidP="000B1D99">
      <w:pPr>
        <w:pStyle w:val="ListParagraph"/>
        <w:numPr>
          <w:ilvl w:val="0"/>
          <w:numId w:val="16"/>
        </w:numPr>
        <w:spacing w:after="200"/>
        <w:ind w:left="357" w:hanging="357"/>
        <w:jc w:val="both"/>
        <w:rPr>
          <w:rFonts w:ascii="Century Gothic" w:hAnsi="Century Gothic"/>
          <w:sz w:val="22"/>
        </w:rPr>
      </w:pPr>
      <w:r w:rsidRPr="00A17EE7">
        <w:rPr>
          <w:rFonts w:ascii="Century Gothic" w:hAnsi="Century Gothic"/>
          <w:sz w:val="22"/>
        </w:rPr>
        <w:t>The inclusion o</w:t>
      </w:r>
      <w:r>
        <w:rPr>
          <w:rFonts w:ascii="Century Gothic" w:hAnsi="Century Gothic"/>
          <w:sz w:val="22"/>
        </w:rPr>
        <w:t>f women in micro</w:t>
      </w:r>
      <w:r w:rsidRPr="00A17EE7">
        <w:rPr>
          <w:rFonts w:ascii="Century Gothic" w:hAnsi="Century Gothic"/>
          <w:sz w:val="22"/>
        </w:rPr>
        <w:t>finance activities</w:t>
      </w:r>
      <w:r>
        <w:rPr>
          <w:rFonts w:ascii="Century Gothic" w:hAnsi="Century Gothic"/>
          <w:sz w:val="22"/>
        </w:rPr>
        <w:t xml:space="preserve"> </w:t>
      </w:r>
      <w:r w:rsidRPr="00A17EE7">
        <w:rPr>
          <w:rFonts w:ascii="Century Gothic" w:hAnsi="Century Gothic"/>
          <w:sz w:val="22"/>
        </w:rPr>
        <w:t>that aim to increase their economic resilience</w:t>
      </w:r>
      <w:r>
        <w:rPr>
          <w:rFonts w:ascii="Century Gothic" w:hAnsi="Century Gothic"/>
          <w:sz w:val="22"/>
        </w:rPr>
        <w:t xml:space="preserve"> (Oxfam, CARE, SC) and the development of new loan products for poor women to be administered by the WU (CARE);</w:t>
      </w:r>
    </w:p>
    <w:p w:rsidR="000B1D99" w:rsidRPr="00A17EE7" w:rsidRDefault="000B1D99" w:rsidP="000B1D99">
      <w:pPr>
        <w:pStyle w:val="ListParagraph"/>
        <w:numPr>
          <w:ilvl w:val="0"/>
          <w:numId w:val="16"/>
        </w:numPr>
        <w:spacing w:after="200"/>
        <w:ind w:left="357" w:hanging="357"/>
        <w:jc w:val="both"/>
        <w:rPr>
          <w:rFonts w:ascii="Century Gothic" w:hAnsi="Century Gothic"/>
          <w:sz w:val="22"/>
        </w:rPr>
      </w:pPr>
      <w:r>
        <w:rPr>
          <w:rFonts w:ascii="Century Gothic" w:hAnsi="Century Gothic"/>
          <w:sz w:val="22"/>
        </w:rPr>
        <w:lastRenderedPageBreak/>
        <w:t>The development of child-</w:t>
      </w:r>
      <w:r w:rsidRPr="00A17EE7">
        <w:rPr>
          <w:rFonts w:ascii="Century Gothic" w:hAnsi="Century Gothic"/>
          <w:sz w:val="22"/>
        </w:rPr>
        <w:t xml:space="preserve">centred </w:t>
      </w:r>
      <w:r>
        <w:rPr>
          <w:rFonts w:ascii="Century Gothic" w:hAnsi="Century Gothic"/>
          <w:sz w:val="22"/>
        </w:rPr>
        <w:t xml:space="preserve">CCA and DRR </w:t>
      </w:r>
      <w:r w:rsidRPr="00A17EE7">
        <w:rPr>
          <w:rFonts w:ascii="Century Gothic" w:hAnsi="Century Gothic"/>
          <w:sz w:val="22"/>
        </w:rPr>
        <w:t xml:space="preserve">communications materials </w:t>
      </w:r>
      <w:r>
        <w:rPr>
          <w:rFonts w:ascii="Century Gothic" w:hAnsi="Century Gothic"/>
          <w:sz w:val="22"/>
        </w:rPr>
        <w:t xml:space="preserve">(SC, ARC) </w:t>
      </w:r>
      <w:r w:rsidRPr="00A17EE7">
        <w:rPr>
          <w:rFonts w:ascii="Century Gothic" w:hAnsi="Century Gothic"/>
          <w:sz w:val="22"/>
        </w:rPr>
        <w:t>and the active targeting of women for awareness raising</w:t>
      </w:r>
      <w:r>
        <w:rPr>
          <w:rFonts w:ascii="Century Gothic" w:hAnsi="Century Gothic"/>
          <w:sz w:val="22"/>
        </w:rPr>
        <w:t xml:space="preserve"> (all partners);</w:t>
      </w:r>
    </w:p>
    <w:p w:rsidR="000B1D99" w:rsidRPr="0012315F" w:rsidRDefault="000B1D99" w:rsidP="000B1D99">
      <w:pPr>
        <w:pStyle w:val="ListParagraph"/>
        <w:numPr>
          <w:ilvl w:val="0"/>
          <w:numId w:val="16"/>
        </w:numPr>
        <w:spacing w:after="200"/>
        <w:ind w:left="357" w:hanging="357"/>
        <w:jc w:val="both"/>
        <w:rPr>
          <w:rFonts w:ascii="Century Gothic" w:hAnsi="Century Gothic" w:cstheme="majorHAnsi"/>
          <w:sz w:val="22"/>
        </w:rPr>
      </w:pPr>
      <w:r w:rsidRPr="00A17EE7">
        <w:rPr>
          <w:rFonts w:ascii="Century Gothic" w:hAnsi="Century Gothic"/>
          <w:sz w:val="22"/>
        </w:rPr>
        <w:t xml:space="preserve">Efforts to </w:t>
      </w:r>
      <w:r>
        <w:rPr>
          <w:rFonts w:ascii="Century Gothic" w:hAnsi="Century Gothic"/>
          <w:sz w:val="22"/>
        </w:rPr>
        <w:t xml:space="preserve">make </w:t>
      </w:r>
      <w:r w:rsidRPr="00A17EE7">
        <w:rPr>
          <w:rFonts w:ascii="Century Gothic" w:hAnsi="Century Gothic"/>
          <w:sz w:val="22"/>
        </w:rPr>
        <w:t>vulnerable community members including PLWD and female headed households</w:t>
      </w:r>
      <w:r>
        <w:rPr>
          <w:rFonts w:ascii="Century Gothic" w:hAnsi="Century Gothic"/>
          <w:sz w:val="22"/>
        </w:rPr>
        <w:t xml:space="preserve"> more visible within their communities, and including them</w:t>
      </w:r>
      <w:r w:rsidRPr="00A17EE7">
        <w:rPr>
          <w:rFonts w:ascii="Century Gothic" w:hAnsi="Century Gothic"/>
          <w:sz w:val="22"/>
        </w:rPr>
        <w:t xml:space="preserve"> </w:t>
      </w:r>
      <w:r>
        <w:rPr>
          <w:rFonts w:ascii="Century Gothic" w:hAnsi="Century Gothic"/>
          <w:sz w:val="22"/>
        </w:rPr>
        <w:t xml:space="preserve">in community planning for a (Oxfam, CARE, SC) and </w:t>
      </w:r>
      <w:r w:rsidRPr="00A17EE7">
        <w:rPr>
          <w:rFonts w:ascii="Century Gothic" w:hAnsi="Century Gothic"/>
          <w:sz w:val="22"/>
        </w:rPr>
        <w:t>disaster response plans</w:t>
      </w:r>
      <w:r>
        <w:rPr>
          <w:rFonts w:ascii="Century Gothic" w:hAnsi="Century Gothic"/>
          <w:sz w:val="22"/>
        </w:rPr>
        <w:t xml:space="preserve"> (ARC).</w:t>
      </w:r>
    </w:p>
    <w:p w:rsidR="000B1D99" w:rsidRDefault="000B1D99" w:rsidP="000B1D99">
      <w:pPr>
        <w:pStyle w:val="DonnasStyle"/>
      </w:pPr>
      <w:r>
        <w:t xml:space="preserve">Through these efforts, </w:t>
      </w:r>
      <w:r w:rsidRPr="00461064">
        <w:rPr>
          <w:b/>
        </w:rPr>
        <w:t>partners have promoted socially inclusive development planning</w:t>
      </w:r>
      <w:r>
        <w:t xml:space="preserve"> at the commune level, </w:t>
      </w:r>
      <w:r w:rsidRPr="00461064">
        <w:rPr>
          <w:b/>
        </w:rPr>
        <w:t>the prioritisation and delivery of inclusive agricultural extension services</w:t>
      </w:r>
      <w:r w:rsidRPr="002821F7">
        <w:t xml:space="preserve"> by government agencies</w:t>
      </w:r>
      <w:r>
        <w:t>,</w:t>
      </w:r>
      <w:r w:rsidRPr="002821F7">
        <w:t xml:space="preserve"> </w:t>
      </w:r>
      <w:r w:rsidRPr="00461064">
        <w:rPr>
          <w:b/>
        </w:rPr>
        <w:t>and</w:t>
      </w:r>
      <w:r w:rsidRPr="002821F7">
        <w:t xml:space="preserve"> </w:t>
      </w:r>
      <w:r w:rsidRPr="00461064">
        <w:rPr>
          <w:b/>
        </w:rPr>
        <w:t>social welfare services</w:t>
      </w:r>
      <w:r w:rsidRPr="002821F7">
        <w:t xml:space="preserve"> through the </w:t>
      </w:r>
      <w:r>
        <w:t>WU</w:t>
      </w:r>
      <w:r w:rsidRPr="002821F7">
        <w:t>, Commune and District Cou</w:t>
      </w:r>
      <w:r>
        <w:t>n</w:t>
      </w:r>
      <w:r w:rsidRPr="002821F7">
        <w:t>cils</w:t>
      </w:r>
      <w:r>
        <w:t xml:space="preserve"> that are responsive to the needs of marginalised and vulnerable groups</w:t>
      </w:r>
      <w:r w:rsidRPr="002821F7">
        <w:t>.</w:t>
      </w:r>
      <w:r>
        <w:t xml:space="preserve"> It is expected that this will result in ongoing practice change within these organisations and agencies</w:t>
      </w:r>
      <w:r w:rsidR="000605CA">
        <w:t xml:space="preserve"> (see Box)</w:t>
      </w:r>
      <w:r>
        <w:t>.</w:t>
      </w:r>
    </w:p>
    <w:p w:rsidR="0032489B" w:rsidRDefault="0032489B" w:rsidP="000B1D99">
      <w:pPr>
        <w:pStyle w:val="DonnasStyle"/>
      </w:pPr>
    </w:p>
    <w:p w:rsidR="0032489B"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center"/>
        <w:rPr>
          <w:rFonts w:ascii="Century Gothic" w:hAnsi="Century Gothic"/>
          <w:b/>
          <w:color w:val="222222"/>
          <w:sz w:val="18"/>
          <w:szCs w:val="26"/>
          <w:lang w:val="en-AU"/>
        </w:rPr>
      </w:pP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center"/>
        <w:rPr>
          <w:rFonts w:ascii="Century Gothic" w:hAnsi="Century Gothic"/>
          <w:b/>
          <w:color w:val="222222"/>
          <w:sz w:val="18"/>
          <w:szCs w:val="26"/>
          <w:lang w:val="en-AU"/>
        </w:rPr>
      </w:pPr>
      <w:r w:rsidRPr="005239A2">
        <w:rPr>
          <w:rFonts w:ascii="Century Gothic" w:hAnsi="Century Gothic"/>
          <w:b/>
          <w:color w:val="222222"/>
          <w:sz w:val="18"/>
          <w:szCs w:val="26"/>
          <w:lang w:val="en-AU"/>
        </w:rPr>
        <w:t>“Addressing gender inequality requires us to work closely together”</w:t>
      </w:r>
      <w:r w:rsidRPr="005239A2">
        <w:rPr>
          <w:rFonts w:ascii="Century Gothic" w:hAnsi="Century Gothic"/>
          <w:b/>
          <w:color w:val="222222"/>
          <w:sz w:val="18"/>
          <w:szCs w:val="26"/>
          <w:lang w:val="en-AU"/>
        </w:rPr>
        <w:br/>
      </w: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Pr>
          <w:rFonts w:ascii="Century Gothic" w:hAnsi="Century Gothic"/>
          <w:color w:val="222222"/>
          <w:sz w:val="18"/>
          <w:szCs w:val="26"/>
          <w:lang w:val="en-AU"/>
        </w:rPr>
        <w:t>Ms Dang Thi Trinh</w:t>
      </w:r>
      <w:r w:rsidRPr="005239A2">
        <w:rPr>
          <w:rFonts w:ascii="Century Gothic" w:hAnsi="Century Gothic"/>
          <w:color w:val="222222"/>
          <w:sz w:val="18"/>
          <w:szCs w:val="26"/>
          <w:lang w:val="en-AU"/>
        </w:rPr>
        <w:t xml:space="preserve"> shared with </w:t>
      </w:r>
      <w:r>
        <w:rPr>
          <w:rFonts w:ascii="Century Gothic" w:hAnsi="Century Gothic"/>
          <w:color w:val="222222"/>
          <w:sz w:val="18"/>
          <w:szCs w:val="26"/>
          <w:lang w:val="en-AU"/>
        </w:rPr>
        <w:t>us</w:t>
      </w:r>
      <w:r w:rsidRPr="005239A2">
        <w:rPr>
          <w:rFonts w:ascii="Century Gothic" w:hAnsi="Century Gothic"/>
          <w:color w:val="222222"/>
          <w:sz w:val="18"/>
          <w:szCs w:val="26"/>
          <w:lang w:val="en-AU"/>
        </w:rPr>
        <w:t xml:space="preserve"> how gender training offered by </w:t>
      </w:r>
      <w:r>
        <w:rPr>
          <w:rFonts w:ascii="Century Gothic" w:hAnsi="Century Gothic"/>
          <w:color w:val="222222"/>
          <w:sz w:val="18"/>
          <w:szCs w:val="26"/>
          <w:lang w:val="en-AU"/>
        </w:rPr>
        <w:t>the VNRC</w:t>
      </w:r>
      <w:r w:rsidRPr="005239A2">
        <w:rPr>
          <w:rFonts w:ascii="Century Gothic" w:hAnsi="Century Gothic"/>
          <w:color w:val="222222"/>
          <w:sz w:val="18"/>
          <w:szCs w:val="26"/>
          <w:lang w:val="en-AU"/>
        </w:rPr>
        <w:t xml:space="preserve"> to district government helped her to understand that climate change im</w:t>
      </w:r>
      <w:r>
        <w:rPr>
          <w:rFonts w:ascii="Century Gothic" w:hAnsi="Century Gothic"/>
          <w:color w:val="222222"/>
          <w:sz w:val="18"/>
          <w:szCs w:val="26"/>
          <w:lang w:val="en-AU"/>
        </w:rPr>
        <w:t xml:space="preserve">pacts women and men differently, </w:t>
      </w:r>
      <w:r w:rsidRPr="005239A2">
        <w:rPr>
          <w:rFonts w:ascii="Century Gothic" w:hAnsi="Century Gothic"/>
          <w:color w:val="222222"/>
          <w:sz w:val="18"/>
          <w:szCs w:val="26"/>
          <w:lang w:val="en-AU"/>
        </w:rPr>
        <w:t>and to see that women and men</w:t>
      </w:r>
      <w:r>
        <w:rPr>
          <w:rFonts w:ascii="Century Gothic" w:hAnsi="Century Gothic"/>
          <w:color w:val="222222"/>
          <w:sz w:val="18"/>
          <w:szCs w:val="26"/>
          <w:lang w:val="en-AU"/>
        </w:rPr>
        <w:t xml:space="preserve"> have differing</w:t>
      </w:r>
      <w:r w:rsidRPr="005239A2">
        <w:rPr>
          <w:rFonts w:ascii="Century Gothic" w:hAnsi="Century Gothic"/>
          <w:color w:val="222222"/>
          <w:sz w:val="18"/>
          <w:szCs w:val="26"/>
          <w:lang w:val="en-AU"/>
        </w:rPr>
        <w:t xml:space="preserve"> priorities, responsibilities and decision making abilities within households and the community.</w:t>
      </w: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p>
    <w:p w:rsidR="0032489B"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sidRPr="005239A2">
        <w:rPr>
          <w:rFonts w:ascii="Century Gothic" w:hAnsi="Century Gothic"/>
          <w:color w:val="222222"/>
          <w:sz w:val="18"/>
          <w:szCs w:val="26"/>
          <w:lang w:val="en-AU"/>
        </w:rPr>
        <w:t xml:space="preserve"> “Once we understand gender, we see the challenges in different ways - from the experience of women and from the experience of men. </w:t>
      </w:r>
    </w:p>
    <w:p w:rsidR="0032489B"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p>
    <w:p w:rsidR="0032489B"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Pr>
          <w:rFonts w:ascii="Century Gothic" w:hAnsi="Century Gothic"/>
          <w:color w:val="222222"/>
          <w:sz w:val="18"/>
          <w:szCs w:val="26"/>
          <w:lang w:val="en-AU"/>
        </w:rPr>
        <w:t>So, a</w:t>
      </w:r>
      <w:r w:rsidRPr="005239A2">
        <w:rPr>
          <w:rFonts w:ascii="Century Gothic" w:hAnsi="Century Gothic"/>
          <w:color w:val="222222"/>
          <w:sz w:val="18"/>
          <w:szCs w:val="26"/>
          <w:lang w:val="en-AU"/>
        </w:rPr>
        <w:t xml:space="preserve">s Officer in Charge of Labour and Social Affairs, I provided advice to the district authority to increase the budget for gender equality activities. </w:t>
      </w: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sidRPr="005239A2">
        <w:rPr>
          <w:rFonts w:ascii="Century Gothic" w:hAnsi="Century Gothic"/>
          <w:color w:val="222222"/>
          <w:sz w:val="18"/>
          <w:szCs w:val="26"/>
          <w:lang w:val="en-AU"/>
        </w:rPr>
        <w:t xml:space="preserve">I see that I need to work closely with Red Cross and the District Women’s Union to promote the participation of women in the community in general, not only </w:t>
      </w:r>
      <w:r>
        <w:rPr>
          <w:rFonts w:ascii="Century Gothic" w:hAnsi="Century Gothic"/>
          <w:color w:val="222222"/>
          <w:sz w:val="18"/>
          <w:szCs w:val="26"/>
          <w:lang w:val="en-AU"/>
        </w:rPr>
        <w:t>just for climate change!</w:t>
      </w: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sidRPr="005239A2">
        <w:rPr>
          <w:rFonts w:ascii="Century Gothic" w:hAnsi="Century Gothic"/>
          <w:color w:val="222222"/>
          <w:sz w:val="18"/>
          <w:szCs w:val="26"/>
          <w:lang w:val="en-AU"/>
        </w:rPr>
        <w:t xml:space="preserve">We need to spread gender equality messages to different villages and explain why women’s voices need to be considered and consulted. </w:t>
      </w: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sidRPr="005239A2">
        <w:rPr>
          <w:rFonts w:ascii="Century Gothic" w:hAnsi="Century Gothic"/>
          <w:color w:val="222222"/>
          <w:sz w:val="18"/>
          <w:szCs w:val="26"/>
          <w:lang w:val="en-AU"/>
        </w:rPr>
        <w:t xml:space="preserve">As mothers, women may bring different experiences for protecting their children during disasters and their experience may be different to their husband. </w:t>
      </w: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sidRPr="005239A2">
        <w:rPr>
          <w:rFonts w:ascii="Century Gothic" w:hAnsi="Century Gothic"/>
          <w:color w:val="222222"/>
          <w:sz w:val="18"/>
          <w:szCs w:val="26"/>
          <w:lang w:val="en-AU"/>
        </w:rPr>
        <w:t>So, as local authorities we need to understand their needs and try to promote participatory approaches when we plan interventions for the community”.</w:t>
      </w:r>
    </w:p>
    <w:p w:rsidR="0032489B" w:rsidRPr="005239A2" w:rsidRDefault="0032489B" w:rsidP="0032489B">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jc w:val="both"/>
        <w:rPr>
          <w:rFonts w:ascii="Century Gothic" w:hAnsi="Century Gothic"/>
          <w:color w:val="222222"/>
          <w:sz w:val="18"/>
          <w:szCs w:val="26"/>
          <w:lang w:val="en-AU"/>
        </w:rPr>
      </w:pPr>
      <w:r w:rsidRPr="005239A2">
        <w:rPr>
          <w:rFonts w:ascii="Century Gothic" w:hAnsi="Century Gothic"/>
          <w:color w:val="222222"/>
          <w:sz w:val="18"/>
          <w:lang w:val="en-AU"/>
        </w:rPr>
        <w:t> </w:t>
      </w:r>
    </w:p>
    <w:p w:rsidR="0032489B" w:rsidRDefault="0032489B" w:rsidP="0032489B">
      <w:pPr>
        <w:pStyle w:val="DonnasStyle"/>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rPr>
          <w:i/>
          <w:color w:val="222222"/>
          <w:sz w:val="18"/>
          <w:szCs w:val="26"/>
          <w:lang w:val="en-AU"/>
        </w:rPr>
      </w:pPr>
      <w:r w:rsidRPr="005239A2">
        <w:rPr>
          <w:i/>
          <w:color w:val="222222"/>
          <w:sz w:val="18"/>
          <w:szCs w:val="26"/>
          <w:lang w:val="en-AU"/>
        </w:rPr>
        <w:t xml:space="preserve">Discussion with the </w:t>
      </w:r>
      <w:r>
        <w:rPr>
          <w:i/>
          <w:color w:val="222222"/>
          <w:sz w:val="18"/>
          <w:szCs w:val="26"/>
          <w:lang w:val="en-AU"/>
        </w:rPr>
        <w:t>E</w:t>
      </w:r>
      <w:r w:rsidRPr="005239A2">
        <w:rPr>
          <w:i/>
          <w:color w:val="222222"/>
          <w:sz w:val="18"/>
          <w:szCs w:val="26"/>
          <w:lang w:val="en-AU"/>
        </w:rPr>
        <w:t xml:space="preserve">mergency </w:t>
      </w:r>
      <w:r>
        <w:rPr>
          <w:i/>
          <w:color w:val="222222"/>
          <w:sz w:val="18"/>
          <w:szCs w:val="26"/>
          <w:lang w:val="en-AU"/>
        </w:rPr>
        <w:t>R</w:t>
      </w:r>
      <w:r w:rsidRPr="005239A2">
        <w:rPr>
          <w:i/>
          <w:color w:val="222222"/>
          <w:sz w:val="18"/>
          <w:szCs w:val="26"/>
          <w:lang w:val="en-AU"/>
        </w:rPr>
        <w:t xml:space="preserve">esponse </w:t>
      </w:r>
      <w:r>
        <w:rPr>
          <w:i/>
          <w:color w:val="222222"/>
          <w:sz w:val="18"/>
          <w:szCs w:val="26"/>
          <w:lang w:val="en-AU"/>
        </w:rPr>
        <w:t>T</w:t>
      </w:r>
      <w:r w:rsidRPr="005239A2">
        <w:rPr>
          <w:i/>
          <w:color w:val="222222"/>
          <w:sz w:val="18"/>
          <w:szCs w:val="26"/>
          <w:lang w:val="en-AU"/>
        </w:rPr>
        <w:t>eam of the</w:t>
      </w:r>
      <w:r w:rsidRPr="005239A2">
        <w:rPr>
          <w:i/>
          <w:color w:val="222222"/>
          <w:sz w:val="20"/>
          <w:szCs w:val="26"/>
          <w:lang w:val="en-AU"/>
        </w:rPr>
        <w:t xml:space="preserve"> </w:t>
      </w:r>
      <w:r>
        <w:rPr>
          <w:i/>
          <w:color w:val="222222"/>
          <w:sz w:val="18"/>
          <w:szCs w:val="26"/>
          <w:lang w:val="en-AU"/>
        </w:rPr>
        <w:t xml:space="preserve">Commune CFCS, </w:t>
      </w:r>
      <w:r w:rsidRPr="005239A2">
        <w:rPr>
          <w:i/>
          <w:color w:val="222222"/>
          <w:sz w:val="18"/>
          <w:szCs w:val="26"/>
          <w:lang w:val="en-AU"/>
        </w:rPr>
        <w:t>Dong Huong Commune, An Ninh district, Kien Giang province.</w:t>
      </w:r>
    </w:p>
    <w:p w:rsidR="0032489B" w:rsidRDefault="0032489B" w:rsidP="0032489B">
      <w:pPr>
        <w:pStyle w:val="DonnasStyle"/>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pPr>
    </w:p>
    <w:p w:rsidR="000B1D99" w:rsidRDefault="000B1D99" w:rsidP="000B1D99">
      <w:pPr>
        <w:pStyle w:val="DonnasStyle"/>
      </w:pPr>
    </w:p>
    <w:p w:rsidR="00E57E85" w:rsidRDefault="001E0D8D" w:rsidP="001E0D8D">
      <w:pPr>
        <w:tabs>
          <w:tab w:val="left" w:pos="8789"/>
        </w:tabs>
        <w:jc w:val="both"/>
        <w:rPr>
          <w:rFonts w:ascii="Century Gothic" w:hAnsi="Century Gothic"/>
          <w:sz w:val="22"/>
        </w:rPr>
      </w:pPr>
      <w:r>
        <w:rPr>
          <w:rFonts w:ascii="Century Gothic" w:hAnsi="Century Gothic"/>
          <w:sz w:val="22"/>
        </w:rPr>
        <w:t xml:space="preserve">The key challenge for social inclusion will be the extent to which future initiatives and efforts are able to </w:t>
      </w:r>
      <w:r w:rsidRPr="00401FAA">
        <w:rPr>
          <w:rFonts w:ascii="Century Gothic" w:hAnsi="Century Gothic"/>
          <w:b/>
          <w:sz w:val="22"/>
        </w:rPr>
        <w:t>move beyond the targeting and participation of the most vulnerable in project activities, and extend towards supporting local government institutions to make genuine efforts to promote the meaningful engagement of the most vulnerable in development planning</w:t>
      </w:r>
      <w:r>
        <w:rPr>
          <w:rFonts w:ascii="Century Gothic" w:hAnsi="Century Gothic"/>
          <w:sz w:val="22"/>
        </w:rPr>
        <w:t>. This process of genuine empowerment would take place through more detailed and nuanced gendered and socially segmented analysis, leadership development, providing opportunities and platforms for women’s and ethnic minority voices and strengthening the downward accountability of local planners and service providers.</w:t>
      </w:r>
    </w:p>
    <w:p w:rsidR="001E0D8D" w:rsidRDefault="001E0D8D" w:rsidP="001E0D8D">
      <w:pPr>
        <w:tabs>
          <w:tab w:val="left" w:pos="8789"/>
        </w:tabs>
        <w:jc w:val="both"/>
        <w:rPr>
          <w:rFonts w:ascii="Century Gothic" w:hAnsi="Century Gothic"/>
          <w:sz w:val="22"/>
        </w:rPr>
      </w:pPr>
    </w:p>
    <w:p w:rsidR="00E57E85" w:rsidRPr="000C10C2" w:rsidRDefault="00401FAA" w:rsidP="00E57E85">
      <w:pPr>
        <w:jc w:val="both"/>
        <w:rPr>
          <w:rFonts w:ascii="Century Gothic" w:hAnsi="Century Gothic" w:cstheme="majorHAnsi"/>
          <w:color w:val="FF0000"/>
          <w:sz w:val="22"/>
          <w:lang w:val="en-AU"/>
        </w:rPr>
      </w:pPr>
      <w:r>
        <w:rPr>
          <w:rFonts w:ascii="Century Gothic" w:hAnsi="Century Gothic" w:cstheme="majorHAnsi"/>
          <w:sz w:val="22"/>
          <w:lang w:val="en-AU"/>
        </w:rPr>
        <w:t xml:space="preserve">We recommend </w:t>
      </w:r>
      <w:r w:rsidR="00E57E85" w:rsidRPr="00371818">
        <w:rPr>
          <w:rFonts w:ascii="Century Gothic" w:hAnsi="Century Gothic" w:cstheme="majorHAnsi"/>
          <w:b/>
          <w:sz w:val="22"/>
          <w:lang w:val="en-AU"/>
        </w:rPr>
        <w:t>increased attention to the promotion of women’s leadership on gender and climate change</w:t>
      </w:r>
      <w:r w:rsidR="00E57E85" w:rsidRPr="006A03E1">
        <w:rPr>
          <w:rFonts w:ascii="Century Gothic" w:hAnsi="Century Gothic" w:cstheme="majorHAnsi"/>
          <w:sz w:val="22"/>
          <w:lang w:val="en-AU"/>
        </w:rPr>
        <w:t>.</w:t>
      </w:r>
      <w:r w:rsidR="00E57E85" w:rsidRPr="00896FF4">
        <w:rPr>
          <w:rFonts w:ascii="Century Gothic" w:hAnsi="Century Gothic" w:cstheme="majorHAnsi"/>
          <w:sz w:val="22"/>
        </w:rPr>
        <w:t xml:space="preserve"> In all areas visited, women were actors within their communities and already contribute effectively to resilience o</w:t>
      </w:r>
      <w:r w:rsidR="00461064">
        <w:rPr>
          <w:rFonts w:ascii="Century Gothic" w:hAnsi="Century Gothic" w:cstheme="majorHAnsi"/>
          <w:sz w:val="22"/>
        </w:rPr>
        <w:t>f their family and communities, but were</w:t>
      </w:r>
      <w:r w:rsidR="00E57E85" w:rsidRPr="00896FF4">
        <w:rPr>
          <w:rFonts w:ascii="Century Gothic" w:hAnsi="Century Gothic" w:cstheme="majorHAnsi"/>
          <w:sz w:val="22"/>
          <w:lang w:val="en-AU"/>
        </w:rPr>
        <w:t xml:space="preserve"> excluded from wider engagement in DRR and CCA planning and management at the community level and </w:t>
      </w:r>
      <w:r w:rsidR="00461064">
        <w:rPr>
          <w:rFonts w:ascii="Century Gothic" w:hAnsi="Century Gothic" w:cstheme="majorHAnsi"/>
          <w:sz w:val="22"/>
          <w:lang w:val="en-AU"/>
        </w:rPr>
        <w:t xml:space="preserve">beyond. </w:t>
      </w:r>
      <w:r>
        <w:rPr>
          <w:rFonts w:ascii="Century Gothic" w:hAnsi="Century Gothic" w:cstheme="majorHAnsi"/>
          <w:sz w:val="22"/>
          <w:lang w:val="en-AU"/>
        </w:rPr>
        <w:t xml:space="preserve">We have provided some key principles and observations </w:t>
      </w:r>
      <w:r>
        <w:rPr>
          <w:rFonts w:ascii="Century Gothic" w:hAnsi="Century Gothic" w:cstheme="majorHAnsi"/>
          <w:sz w:val="22"/>
          <w:lang w:val="en-AU"/>
        </w:rPr>
        <w:lastRenderedPageBreak/>
        <w:t xml:space="preserve">within </w:t>
      </w:r>
      <w:r w:rsidR="000C10C2" w:rsidRPr="000C10C2">
        <w:rPr>
          <w:rFonts w:ascii="Century Gothic" w:hAnsi="Century Gothic" w:cstheme="majorHAnsi"/>
          <w:sz w:val="22"/>
          <w:lang w:val="en-AU"/>
        </w:rPr>
        <w:t>Annex 10</w:t>
      </w:r>
      <w:r>
        <w:rPr>
          <w:rFonts w:ascii="Century Gothic" w:hAnsi="Century Gothic" w:cstheme="majorHAnsi"/>
          <w:sz w:val="22"/>
          <w:lang w:val="en-AU"/>
        </w:rPr>
        <w:t xml:space="preserve"> to assist DFAT and partners to consider how to frame these future engagements.</w:t>
      </w:r>
    </w:p>
    <w:p w:rsidR="00E57E85" w:rsidRPr="00896FF4" w:rsidRDefault="00E57E85" w:rsidP="00E57E85">
      <w:pPr>
        <w:jc w:val="both"/>
        <w:rPr>
          <w:rFonts w:ascii="Century Gothic" w:hAnsi="Century Gothic" w:cstheme="majorHAnsi"/>
          <w:sz w:val="22"/>
        </w:rPr>
      </w:pPr>
    </w:p>
    <w:p w:rsidR="00933165" w:rsidRDefault="000B1D99" w:rsidP="000B1D99">
      <w:pPr>
        <w:jc w:val="both"/>
        <w:rPr>
          <w:rFonts w:ascii="Century Gothic" w:hAnsi="Century Gothic" w:cstheme="majorHAnsi"/>
          <w:sz w:val="22"/>
        </w:rPr>
      </w:pPr>
      <w:r w:rsidRPr="00A17EE7">
        <w:rPr>
          <w:rFonts w:ascii="Century Gothic" w:hAnsi="Century Gothic"/>
          <w:sz w:val="22"/>
        </w:rPr>
        <w:t xml:space="preserve">CCCAG </w:t>
      </w:r>
      <w:r w:rsidR="00933165">
        <w:rPr>
          <w:rFonts w:ascii="Century Gothic" w:hAnsi="Century Gothic"/>
          <w:b/>
          <w:sz w:val="22"/>
        </w:rPr>
        <w:t>partner’s</w:t>
      </w:r>
      <w:r w:rsidRPr="001513EE">
        <w:rPr>
          <w:rFonts w:ascii="Century Gothic" w:hAnsi="Century Gothic"/>
          <w:b/>
          <w:sz w:val="22"/>
        </w:rPr>
        <w:t xml:space="preserve"> engagement with the WU is strategically valuable</w:t>
      </w:r>
      <w:r w:rsidRPr="00A17EE7">
        <w:rPr>
          <w:rFonts w:ascii="Century Gothic" w:hAnsi="Century Gothic"/>
          <w:sz w:val="22"/>
        </w:rPr>
        <w:t xml:space="preserve"> on acc</w:t>
      </w:r>
      <w:r>
        <w:rPr>
          <w:rFonts w:ascii="Century Gothic" w:hAnsi="Century Gothic"/>
          <w:sz w:val="22"/>
        </w:rPr>
        <w:t>ount of its respected position</w:t>
      </w:r>
      <w:r w:rsidRPr="00A17EE7">
        <w:rPr>
          <w:rFonts w:ascii="Century Gothic" w:hAnsi="Century Gothic"/>
          <w:sz w:val="22"/>
        </w:rPr>
        <w:t xml:space="preserve"> with government and at the community level, its strong information dissemination capabilities, ability to reach large numbers of women, and the potential for key climate change and DRR messages to be integrated within </w:t>
      </w:r>
      <w:r>
        <w:rPr>
          <w:rFonts w:ascii="Century Gothic" w:hAnsi="Century Gothic"/>
          <w:sz w:val="22"/>
        </w:rPr>
        <w:t>its wider</w:t>
      </w:r>
      <w:r w:rsidRPr="00A17EE7">
        <w:rPr>
          <w:rFonts w:ascii="Century Gothic" w:hAnsi="Century Gothic"/>
          <w:sz w:val="22"/>
        </w:rPr>
        <w:t xml:space="preserve"> program. </w:t>
      </w:r>
      <w:r>
        <w:rPr>
          <w:rFonts w:ascii="Century Gothic" w:hAnsi="Century Gothic" w:cstheme="majorHAnsi"/>
          <w:sz w:val="22"/>
        </w:rPr>
        <w:t>While</w:t>
      </w:r>
      <w:r w:rsidRPr="00A17EE7">
        <w:rPr>
          <w:rFonts w:ascii="Century Gothic" w:hAnsi="Century Gothic" w:cstheme="majorHAnsi"/>
          <w:sz w:val="22"/>
        </w:rPr>
        <w:t xml:space="preserve"> partnerships with the WU </w:t>
      </w:r>
      <w:r>
        <w:rPr>
          <w:rFonts w:ascii="Century Gothic" w:hAnsi="Century Gothic" w:cstheme="majorHAnsi"/>
          <w:sz w:val="22"/>
        </w:rPr>
        <w:t xml:space="preserve">currently </w:t>
      </w:r>
      <w:r w:rsidRPr="00A17EE7">
        <w:rPr>
          <w:rFonts w:ascii="Century Gothic" w:hAnsi="Century Gothic" w:cstheme="majorHAnsi"/>
          <w:sz w:val="22"/>
        </w:rPr>
        <w:t>tend to focus on service delivery and project implementation</w:t>
      </w:r>
      <w:r>
        <w:rPr>
          <w:rFonts w:ascii="Century Gothic" w:hAnsi="Century Gothic" w:cstheme="majorHAnsi"/>
          <w:sz w:val="22"/>
        </w:rPr>
        <w:t xml:space="preserve">, </w:t>
      </w:r>
      <w:r w:rsidR="00933165">
        <w:rPr>
          <w:rFonts w:ascii="Century Gothic" w:hAnsi="Century Gothic" w:cstheme="majorHAnsi"/>
          <w:sz w:val="22"/>
        </w:rPr>
        <w:t>there is str</w:t>
      </w:r>
      <w:r w:rsidR="008D3620">
        <w:rPr>
          <w:rFonts w:ascii="Century Gothic" w:hAnsi="Century Gothic" w:cstheme="majorHAnsi"/>
          <w:sz w:val="22"/>
        </w:rPr>
        <w:t>o</w:t>
      </w:r>
      <w:r w:rsidR="00933165">
        <w:rPr>
          <w:rFonts w:ascii="Century Gothic" w:hAnsi="Century Gothic" w:cstheme="majorHAnsi"/>
          <w:sz w:val="22"/>
        </w:rPr>
        <w:t>ng potential to use these partnerships to</w:t>
      </w:r>
      <w:r w:rsidR="00933165" w:rsidRPr="00A17EE7">
        <w:rPr>
          <w:rFonts w:ascii="Century Gothic" w:hAnsi="Century Gothic" w:cstheme="majorHAnsi"/>
          <w:sz w:val="22"/>
        </w:rPr>
        <w:t xml:space="preserve"> promote women’s leadership </w:t>
      </w:r>
      <w:r w:rsidR="00933165">
        <w:rPr>
          <w:rFonts w:ascii="Century Gothic" w:hAnsi="Century Gothic" w:cstheme="majorHAnsi"/>
          <w:sz w:val="22"/>
        </w:rPr>
        <w:t>o</w:t>
      </w:r>
      <w:r w:rsidR="00933165" w:rsidRPr="00A17EE7">
        <w:rPr>
          <w:rFonts w:ascii="Century Gothic" w:hAnsi="Century Gothic" w:cstheme="majorHAnsi"/>
          <w:sz w:val="22"/>
        </w:rPr>
        <w:t>n climate change</w:t>
      </w:r>
      <w:r w:rsidR="00933165">
        <w:rPr>
          <w:rFonts w:ascii="Century Gothic" w:hAnsi="Century Gothic" w:cstheme="majorHAnsi"/>
          <w:sz w:val="22"/>
        </w:rPr>
        <w:t xml:space="preserve"> </w:t>
      </w:r>
      <w:r w:rsidR="00933165" w:rsidRPr="00A17EE7">
        <w:rPr>
          <w:rFonts w:ascii="Century Gothic" w:hAnsi="Century Gothic" w:cstheme="majorHAnsi"/>
          <w:sz w:val="22"/>
        </w:rPr>
        <w:t xml:space="preserve">and advocate for a stronger inclusive voice at the national level </w:t>
      </w:r>
      <w:r w:rsidR="00933165">
        <w:rPr>
          <w:rFonts w:ascii="Century Gothic" w:hAnsi="Century Gothic" w:cstheme="majorHAnsi"/>
          <w:sz w:val="22"/>
        </w:rPr>
        <w:t xml:space="preserve">and </w:t>
      </w:r>
      <w:r w:rsidR="008D3620">
        <w:rPr>
          <w:rFonts w:ascii="Century Gothic" w:hAnsi="Century Gothic" w:cstheme="majorHAnsi"/>
          <w:sz w:val="22"/>
        </w:rPr>
        <w:t>sub national levels</w:t>
      </w:r>
      <w:r w:rsidR="00933165">
        <w:rPr>
          <w:rFonts w:ascii="Century Gothic" w:hAnsi="Century Gothic" w:cstheme="majorHAnsi"/>
          <w:sz w:val="22"/>
        </w:rPr>
        <w:t xml:space="preserve">. </w:t>
      </w:r>
      <w:r w:rsidR="008D3620">
        <w:rPr>
          <w:rFonts w:ascii="Century Gothic" w:hAnsi="Century Gothic" w:cstheme="majorHAnsi"/>
          <w:sz w:val="22"/>
        </w:rPr>
        <w:t xml:space="preserve">We acknowledge the work that </w:t>
      </w:r>
      <w:r>
        <w:rPr>
          <w:rFonts w:ascii="Century Gothic" w:hAnsi="Century Gothic" w:cstheme="majorHAnsi"/>
          <w:sz w:val="22"/>
        </w:rPr>
        <w:t>CARE</w:t>
      </w:r>
      <w:r w:rsidR="00933165">
        <w:rPr>
          <w:rFonts w:ascii="Century Gothic" w:hAnsi="Century Gothic" w:cstheme="majorHAnsi"/>
          <w:sz w:val="22"/>
        </w:rPr>
        <w:t xml:space="preserve"> </w:t>
      </w:r>
      <w:r w:rsidR="008D3620">
        <w:rPr>
          <w:rFonts w:ascii="Century Gothic" w:hAnsi="Century Gothic" w:cstheme="majorHAnsi"/>
          <w:sz w:val="22"/>
        </w:rPr>
        <w:t>has commenced in</w:t>
      </w:r>
      <w:r>
        <w:rPr>
          <w:rFonts w:ascii="Century Gothic" w:hAnsi="Century Gothic" w:cstheme="majorHAnsi"/>
          <w:sz w:val="22"/>
        </w:rPr>
        <w:t xml:space="preserve"> exploring how the WU can take a more active role in role </w:t>
      </w:r>
      <w:r w:rsidR="008D3620">
        <w:rPr>
          <w:rFonts w:ascii="Century Gothic" w:hAnsi="Century Gothic" w:cstheme="majorHAnsi"/>
          <w:sz w:val="22"/>
        </w:rPr>
        <w:t xml:space="preserve">in </w:t>
      </w:r>
      <w:r w:rsidR="00B67C70">
        <w:rPr>
          <w:rFonts w:ascii="Century Gothic" w:hAnsi="Century Gothic" w:cstheme="majorHAnsi"/>
          <w:sz w:val="22"/>
        </w:rPr>
        <w:t xml:space="preserve">developing womens’ </w:t>
      </w:r>
      <w:r w:rsidR="008D3620">
        <w:rPr>
          <w:rFonts w:ascii="Century Gothic" w:hAnsi="Century Gothic" w:cstheme="majorHAnsi"/>
          <w:sz w:val="22"/>
        </w:rPr>
        <w:t>leadership for climate change action.</w:t>
      </w:r>
    </w:p>
    <w:p w:rsidR="000B1D99" w:rsidRDefault="000B1D99" w:rsidP="000B1D99">
      <w:pPr>
        <w:tabs>
          <w:tab w:val="left" w:pos="8789"/>
        </w:tabs>
        <w:jc w:val="both"/>
        <w:rPr>
          <w:rFonts w:ascii="Century Gothic" w:hAnsi="Century Gothic"/>
          <w:sz w:val="22"/>
        </w:rPr>
      </w:pPr>
    </w:p>
    <w:p w:rsidR="000B1D99" w:rsidRPr="00524D76" w:rsidRDefault="00735372" w:rsidP="00524D76">
      <w:pPr>
        <w:jc w:val="both"/>
        <w:rPr>
          <w:rFonts w:ascii="Century Gothic" w:hAnsi="Century Gothic"/>
          <w:sz w:val="22"/>
        </w:rPr>
      </w:pPr>
      <w:r>
        <w:rPr>
          <w:rFonts w:ascii="Century Gothic" w:hAnsi="Century Gothic"/>
          <w:sz w:val="22"/>
        </w:rPr>
        <w:t>In summary, the</w:t>
      </w:r>
      <w:r w:rsidR="000B1D99" w:rsidRPr="00413F92">
        <w:rPr>
          <w:rFonts w:ascii="Century Gothic" w:hAnsi="Century Gothic"/>
          <w:sz w:val="22"/>
        </w:rPr>
        <w:t xml:space="preserve"> CCCAG partnership provides a valuable forum within which DFAT and its partners </w:t>
      </w:r>
      <w:r w:rsidR="000B1D99">
        <w:rPr>
          <w:rFonts w:ascii="Century Gothic" w:hAnsi="Century Gothic"/>
          <w:sz w:val="22"/>
        </w:rPr>
        <w:t>can</w:t>
      </w:r>
      <w:r w:rsidR="000B1D99" w:rsidRPr="00413F92">
        <w:rPr>
          <w:rFonts w:ascii="Century Gothic" w:hAnsi="Century Gothic"/>
          <w:sz w:val="22"/>
        </w:rPr>
        <w:t xml:space="preserve"> undertake shared </w:t>
      </w:r>
      <w:r w:rsidR="000B1D99">
        <w:rPr>
          <w:rFonts w:ascii="Century Gothic" w:hAnsi="Century Gothic"/>
          <w:sz w:val="22"/>
        </w:rPr>
        <w:t>learning</w:t>
      </w:r>
      <w:r w:rsidR="000B1D99" w:rsidRPr="00413F92">
        <w:rPr>
          <w:rFonts w:ascii="Century Gothic" w:hAnsi="Century Gothic"/>
          <w:sz w:val="22"/>
        </w:rPr>
        <w:t xml:space="preserve"> and better integrate gender analysis within their efforts to influence policy. </w:t>
      </w:r>
      <w:r w:rsidR="000B1D99">
        <w:rPr>
          <w:rFonts w:ascii="Century Gothic" w:hAnsi="Century Gothic"/>
          <w:sz w:val="22"/>
        </w:rPr>
        <w:t>J</w:t>
      </w:r>
      <w:r w:rsidR="000B1D99" w:rsidRPr="00413F92">
        <w:rPr>
          <w:rFonts w:ascii="Century Gothic" w:hAnsi="Century Gothic"/>
          <w:sz w:val="22"/>
        </w:rPr>
        <w:t>oint advocacy efforts</w:t>
      </w:r>
      <w:r w:rsidR="000B1D99">
        <w:rPr>
          <w:rFonts w:ascii="Century Gothic" w:hAnsi="Century Gothic"/>
          <w:sz w:val="22"/>
        </w:rPr>
        <w:t>,</w:t>
      </w:r>
      <w:r w:rsidR="000B1D99" w:rsidRPr="00413F92">
        <w:rPr>
          <w:rFonts w:ascii="Century Gothic" w:hAnsi="Century Gothic"/>
          <w:sz w:val="22"/>
        </w:rPr>
        <w:t xml:space="preserve"> for example </w:t>
      </w:r>
      <w:r w:rsidR="000B1D99" w:rsidRPr="00413F92">
        <w:rPr>
          <w:rFonts w:ascii="Century Gothic" w:hAnsi="Century Gothic" w:cstheme="majorHAnsi"/>
          <w:sz w:val="22"/>
        </w:rPr>
        <w:t xml:space="preserve">provide a strategic opportunity for the sharing and analysis of good practice and lessons on gendered approaches </w:t>
      </w:r>
      <w:r w:rsidR="000B1D99">
        <w:rPr>
          <w:rFonts w:ascii="Century Gothic" w:hAnsi="Century Gothic" w:cstheme="majorHAnsi"/>
          <w:sz w:val="22"/>
        </w:rPr>
        <w:t>to</w:t>
      </w:r>
      <w:r w:rsidR="000B1D99" w:rsidRPr="00413F92">
        <w:rPr>
          <w:rFonts w:ascii="Century Gothic" w:hAnsi="Century Gothic" w:cstheme="majorHAnsi"/>
          <w:sz w:val="22"/>
        </w:rPr>
        <w:t xml:space="preserve"> support women’s leadership on climate change </w:t>
      </w:r>
      <w:r w:rsidR="000B1D99">
        <w:rPr>
          <w:rFonts w:ascii="Century Gothic" w:hAnsi="Century Gothic" w:cstheme="majorHAnsi"/>
          <w:sz w:val="22"/>
        </w:rPr>
        <w:t>within</w:t>
      </w:r>
      <w:r w:rsidR="000B1D99" w:rsidRPr="00413F92">
        <w:rPr>
          <w:rFonts w:ascii="Century Gothic" w:hAnsi="Century Gothic" w:cstheme="majorHAnsi"/>
          <w:sz w:val="22"/>
        </w:rPr>
        <w:t xml:space="preserve"> higher policy </w:t>
      </w:r>
      <w:r w:rsidR="000B1D99">
        <w:rPr>
          <w:rFonts w:ascii="Century Gothic" w:hAnsi="Century Gothic" w:cstheme="majorHAnsi"/>
          <w:sz w:val="22"/>
        </w:rPr>
        <w:t>for</w:t>
      </w:r>
      <w:r w:rsidR="000B1D99" w:rsidRPr="00413F92">
        <w:rPr>
          <w:rFonts w:ascii="Century Gothic" w:hAnsi="Century Gothic" w:cstheme="majorHAnsi"/>
          <w:sz w:val="22"/>
        </w:rPr>
        <w:t>a.</w:t>
      </w:r>
    </w:p>
    <w:p w:rsidR="000B1D99" w:rsidRPr="006827B7" w:rsidRDefault="000B1D99" w:rsidP="000B1D99">
      <w:pPr>
        <w:pStyle w:val="Heading3"/>
      </w:pPr>
      <w:bookmarkStart w:id="37" w:name="_Toc266010037"/>
      <w:r>
        <w:t>4.7. Monitoring and Evaluation</w:t>
      </w:r>
      <w:bookmarkEnd w:id="37"/>
      <w:r>
        <w:t xml:space="preserve"> </w:t>
      </w:r>
    </w:p>
    <w:p w:rsidR="000B1D99" w:rsidRPr="00B10A76" w:rsidRDefault="000B1D99" w:rsidP="000B1D99">
      <w:pPr>
        <w:pStyle w:val="DonnasStyle"/>
        <w:rPr>
          <w:color w:val="8DB3E2" w:themeColor="text2" w:themeTint="66"/>
        </w:rPr>
      </w:pPr>
      <w:r w:rsidRPr="00B10A76">
        <w:rPr>
          <w:b/>
          <w:i/>
          <w:color w:val="8DB3E2" w:themeColor="text2" w:themeTint="66"/>
        </w:rPr>
        <w:t>Program Level Observations</w:t>
      </w:r>
    </w:p>
    <w:p w:rsidR="000B1D99" w:rsidRPr="00545647" w:rsidRDefault="000B1D99" w:rsidP="000B1D99">
      <w:pPr>
        <w:pStyle w:val="DonnasStyle"/>
        <w:rPr>
          <w:szCs w:val="20"/>
        </w:rPr>
      </w:pPr>
      <w:r>
        <w:rPr>
          <w:szCs w:val="20"/>
        </w:rPr>
        <w:t xml:space="preserve">The absence of an overarching program logic and ToC for CCCAG means that it is </w:t>
      </w:r>
      <w:r w:rsidRPr="00545647">
        <w:rPr>
          <w:b/>
          <w:szCs w:val="20"/>
        </w:rPr>
        <w:t>challenging to clearly articulate emerging outcomes at the program level,</w:t>
      </w:r>
      <w:r w:rsidRPr="00545647">
        <w:rPr>
          <w:szCs w:val="20"/>
        </w:rPr>
        <w:t xml:space="preserve"> and partners struggle to articulate their own contributions towards a higher purpose.  </w:t>
      </w:r>
      <w:r w:rsidRPr="00545647">
        <w:rPr>
          <w:rFonts w:cs="Helvetica"/>
          <w:iCs/>
          <w:color w:val="000000"/>
        </w:rPr>
        <w:t xml:space="preserve">Despite this siloed structure, </w:t>
      </w:r>
      <w:r w:rsidRPr="00545647">
        <w:rPr>
          <w:rFonts w:cs="Helvetica"/>
          <w:b/>
          <w:iCs/>
          <w:color w:val="000000"/>
        </w:rPr>
        <w:t>DFAT has made solid efforts to bring some congruence to the program</w:t>
      </w:r>
      <w:r w:rsidRPr="00545647">
        <w:rPr>
          <w:rFonts w:cs="Helvetica"/>
          <w:iCs/>
          <w:color w:val="000000"/>
        </w:rPr>
        <w:t xml:space="preserve"> </w:t>
      </w:r>
      <w:r w:rsidRPr="00545647">
        <w:rPr>
          <w:rFonts w:cs="Helvetica"/>
          <w:b/>
          <w:iCs/>
          <w:color w:val="000000"/>
        </w:rPr>
        <w:t xml:space="preserve">by working with partners on the development of shared indicators. </w:t>
      </w:r>
      <w:r w:rsidRPr="00545647">
        <w:rPr>
          <w:rFonts w:cs="Helvetica"/>
          <w:iCs/>
          <w:color w:val="000000"/>
        </w:rPr>
        <w:t>These</w:t>
      </w:r>
      <w:r w:rsidRPr="00545647">
        <w:rPr>
          <w:rFonts w:cs="Helvetica"/>
          <w:b/>
          <w:iCs/>
          <w:color w:val="000000"/>
        </w:rPr>
        <w:t xml:space="preserve"> </w:t>
      </w:r>
      <w:r w:rsidRPr="00545647">
        <w:rPr>
          <w:rFonts w:cs="Helvetica"/>
          <w:iCs/>
          <w:color w:val="000000"/>
        </w:rPr>
        <w:t>indicators assist DFAT to aggregate CCCAG results at the program level so that they feed into results reporting against the Vietnam Climate Change Delivery Strategy</w:t>
      </w:r>
      <w:r w:rsidRPr="00545647">
        <w:rPr>
          <w:rStyle w:val="FootnoteReference"/>
          <w:rFonts w:cs="Helvetica"/>
          <w:iCs/>
          <w:color w:val="000000"/>
        </w:rPr>
        <w:footnoteReference w:id="39"/>
      </w:r>
      <w:r w:rsidRPr="00545647">
        <w:rPr>
          <w:rFonts w:cs="Helvetica"/>
          <w:iCs/>
          <w:color w:val="000000"/>
        </w:rPr>
        <w:t xml:space="preserve">. </w:t>
      </w:r>
    </w:p>
    <w:p w:rsidR="000B1D99" w:rsidRPr="00545647"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Default="000B1D99" w:rsidP="000B1D99">
      <w:pPr>
        <w:pStyle w:val="DonnasStyle"/>
        <w:rPr>
          <w:rFonts w:cs="Helvetica"/>
          <w:iCs/>
          <w:color w:val="000000"/>
        </w:rPr>
      </w:pPr>
      <w:r>
        <w:rPr>
          <w:rFonts w:cs="Helvetica"/>
          <w:iCs/>
          <w:color w:val="000000"/>
        </w:rPr>
        <w:t xml:space="preserve">The development of shared indicators against high-level program </w:t>
      </w:r>
      <w:r w:rsidRPr="002F42ED">
        <w:rPr>
          <w:rFonts w:cs="Helvetica"/>
          <w:iCs/>
          <w:color w:val="000000"/>
          <w:u w:val="single"/>
        </w:rPr>
        <w:t>results</w:t>
      </w:r>
      <w:r>
        <w:rPr>
          <w:rFonts w:cs="Helvetica"/>
          <w:iCs/>
          <w:color w:val="000000"/>
        </w:rPr>
        <w:t xml:space="preserve"> and a streamlined reporting framework is a great start. It evidences DFAT’s responsiveness to lessons learned from previous NGO programs</w:t>
      </w:r>
      <w:r>
        <w:rPr>
          <w:rStyle w:val="FootnoteReference"/>
          <w:rFonts w:cs="Helvetica"/>
          <w:iCs/>
          <w:color w:val="000000"/>
        </w:rPr>
        <w:footnoteReference w:id="40"/>
      </w:r>
      <w:r>
        <w:rPr>
          <w:rFonts w:cs="Helvetica"/>
          <w:iCs/>
          <w:color w:val="000000"/>
        </w:rPr>
        <w:t xml:space="preserve"> and capitalises on AMNEP technical support</w:t>
      </w:r>
      <w:r>
        <w:rPr>
          <w:rStyle w:val="FootnoteReference"/>
          <w:rFonts w:cs="Helvetica"/>
          <w:iCs/>
          <w:color w:val="000000"/>
        </w:rPr>
        <w:footnoteReference w:id="41"/>
      </w:r>
      <w:r>
        <w:rPr>
          <w:rFonts w:cs="Helvetica"/>
          <w:iCs/>
          <w:color w:val="000000"/>
        </w:rPr>
        <w:t xml:space="preserve">. It does not however, capture the breadth of activity and program learning undertaken, nor allow for a more systematic analysis of development outcomes that would be made possible by the existence of program level </w:t>
      </w:r>
      <w:r w:rsidRPr="002F42ED">
        <w:rPr>
          <w:rFonts w:cs="Helvetica"/>
          <w:iCs/>
          <w:color w:val="000000"/>
          <w:u w:val="single"/>
        </w:rPr>
        <w:t>outcome</w:t>
      </w:r>
      <w:r>
        <w:rPr>
          <w:rFonts w:cs="Helvetica"/>
          <w:iCs/>
          <w:color w:val="000000"/>
        </w:rPr>
        <w:t xml:space="preserve"> indicators.</w:t>
      </w:r>
    </w:p>
    <w:p w:rsidR="000B1D99" w:rsidRDefault="000B1D99" w:rsidP="000B1D99">
      <w:pPr>
        <w:pStyle w:val="DonnasStyle"/>
        <w:rPr>
          <w:rFonts w:cs="Helvetica"/>
          <w:iCs/>
          <w:color w:val="000000"/>
        </w:rPr>
      </w:pPr>
    </w:p>
    <w:p w:rsidR="000B1D99" w:rsidRPr="00555C72" w:rsidRDefault="000B1D99" w:rsidP="000B1D99">
      <w:pPr>
        <w:pStyle w:val="DonnasStyle"/>
        <w:rPr>
          <w:szCs w:val="20"/>
        </w:rPr>
      </w:pPr>
      <w:r w:rsidRPr="00545647">
        <w:rPr>
          <w:szCs w:val="20"/>
        </w:rPr>
        <w:t xml:space="preserve">The </w:t>
      </w:r>
      <w:r w:rsidRPr="00545647">
        <w:rPr>
          <w:b/>
          <w:szCs w:val="20"/>
        </w:rPr>
        <w:t>size of the CCCAG funding envelope</w:t>
      </w:r>
      <w:r w:rsidRPr="00545647">
        <w:rPr>
          <w:szCs w:val="20"/>
        </w:rPr>
        <w:t xml:space="preserve"> coupled with the number of partners implementing discrete interventions presents an </w:t>
      </w:r>
      <w:r w:rsidRPr="00545647">
        <w:rPr>
          <w:b/>
          <w:szCs w:val="20"/>
        </w:rPr>
        <w:t>issue of proportionality</w:t>
      </w:r>
      <w:r w:rsidRPr="00545647">
        <w:rPr>
          <w:szCs w:val="20"/>
        </w:rPr>
        <w:t>, where the performance that</w:t>
      </w:r>
      <w:r w:rsidRPr="00545647">
        <w:rPr>
          <w:szCs w:val="20"/>
          <w:lang w:val="en-AU"/>
        </w:rPr>
        <w:t xml:space="preserve"> DFAT</w:t>
      </w:r>
      <w:r w:rsidRPr="00545647">
        <w:rPr>
          <w:szCs w:val="20"/>
        </w:rPr>
        <w:t xml:space="preserve"> would expect for a program of this</w:t>
      </w:r>
      <w:r>
        <w:rPr>
          <w:szCs w:val="20"/>
        </w:rPr>
        <w:t xml:space="preserve"> value, is not</w:t>
      </w:r>
      <w:r w:rsidRPr="00D9715A">
        <w:rPr>
          <w:szCs w:val="20"/>
          <w:lang w:val="en-AU"/>
        </w:rPr>
        <w:t xml:space="preserve"> commensurate</w:t>
      </w:r>
      <w:r>
        <w:rPr>
          <w:szCs w:val="20"/>
        </w:rPr>
        <w:t xml:space="preserve"> with the M&amp;E requirements of $1.5 - 3 million projects. Proportionality</w:t>
      </w:r>
      <w:r>
        <w:rPr>
          <w:color w:val="FF0000"/>
          <w:szCs w:val="20"/>
        </w:rPr>
        <w:t xml:space="preserve"> </w:t>
      </w:r>
      <w:r>
        <w:rPr>
          <w:szCs w:val="20"/>
        </w:rPr>
        <w:t xml:space="preserve">will be as important </w:t>
      </w:r>
      <w:r w:rsidRPr="005F7C20">
        <w:rPr>
          <w:szCs w:val="20"/>
        </w:rPr>
        <w:t xml:space="preserve">consideration for </w:t>
      </w:r>
      <w:r>
        <w:rPr>
          <w:szCs w:val="20"/>
        </w:rPr>
        <w:t xml:space="preserve">the design of the future program and in the context of the new aid policy and performance framework. </w:t>
      </w:r>
      <w:r w:rsidRPr="005F7C20">
        <w:rPr>
          <w:szCs w:val="20"/>
        </w:rPr>
        <w:t xml:space="preserve">DFAT </w:t>
      </w:r>
      <w:r>
        <w:rPr>
          <w:szCs w:val="20"/>
        </w:rPr>
        <w:t>will need to</w:t>
      </w:r>
      <w:r w:rsidRPr="005F7C20">
        <w:rPr>
          <w:szCs w:val="20"/>
        </w:rPr>
        <w:t xml:space="preserve"> consider </w:t>
      </w:r>
      <w:r>
        <w:rPr>
          <w:szCs w:val="20"/>
        </w:rPr>
        <w:t xml:space="preserve">(at design) </w:t>
      </w:r>
      <w:r w:rsidRPr="005F7C20">
        <w:rPr>
          <w:szCs w:val="20"/>
        </w:rPr>
        <w:t xml:space="preserve">practical ways in which it can work with partners to ensure sufficient congruence across the program to </w:t>
      </w:r>
      <w:r>
        <w:rPr>
          <w:szCs w:val="20"/>
        </w:rPr>
        <w:t xml:space="preserve">enable partners to </w:t>
      </w:r>
      <w:r w:rsidRPr="005F7C20">
        <w:rPr>
          <w:szCs w:val="20"/>
        </w:rPr>
        <w:t xml:space="preserve">evidence </w:t>
      </w:r>
      <w:r>
        <w:rPr>
          <w:szCs w:val="20"/>
        </w:rPr>
        <w:t xml:space="preserve">clear development </w:t>
      </w:r>
      <w:r w:rsidRPr="00AF353D">
        <w:rPr>
          <w:szCs w:val="20"/>
          <w:u w:val="single"/>
        </w:rPr>
        <w:t>outcomes</w:t>
      </w:r>
      <w:r w:rsidRPr="005F7C20">
        <w:rPr>
          <w:szCs w:val="20"/>
        </w:rPr>
        <w:t>.</w:t>
      </w:r>
      <w:r>
        <w:rPr>
          <w:szCs w:val="20"/>
        </w:rPr>
        <w:t xml:space="preserve">  Ensuring this level of M&amp;E quality will require sufficient resourcing resourcing for documentation, analysis</w:t>
      </w:r>
      <w:r w:rsidR="00545647">
        <w:rPr>
          <w:szCs w:val="20"/>
        </w:rPr>
        <w:t xml:space="preserve"> and independent/peer </w:t>
      </w:r>
      <w:r>
        <w:rPr>
          <w:szCs w:val="20"/>
        </w:rPr>
        <w:t xml:space="preserve">review </w:t>
      </w:r>
      <w:r w:rsidR="00545647">
        <w:rPr>
          <w:szCs w:val="20"/>
        </w:rPr>
        <w:t>at both the program and project levels.</w:t>
      </w:r>
    </w:p>
    <w:p w:rsidR="000B1D99" w:rsidRPr="00F127C5"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p>
    <w:p w:rsidR="000B1D99" w:rsidRPr="00D76D2E" w:rsidRDefault="000B1D99" w:rsidP="000B1D99">
      <w:pPr>
        <w:pStyle w:val="DonnasStyle"/>
        <w:rPr>
          <w:color w:val="8DB3E2" w:themeColor="text2" w:themeTint="66"/>
        </w:rPr>
      </w:pPr>
      <w:r w:rsidRPr="00D76D2E">
        <w:rPr>
          <w:b/>
          <w:color w:val="8DB3E2" w:themeColor="text2" w:themeTint="66"/>
        </w:rPr>
        <w:t>Pro</w:t>
      </w:r>
      <w:r w:rsidR="00D76D2E" w:rsidRPr="00D76D2E">
        <w:rPr>
          <w:b/>
          <w:color w:val="8DB3E2" w:themeColor="text2" w:themeTint="66"/>
        </w:rPr>
        <w:t>ject</w:t>
      </w:r>
      <w:r w:rsidRPr="00D76D2E">
        <w:rPr>
          <w:b/>
          <w:color w:val="8DB3E2" w:themeColor="text2" w:themeTint="66"/>
        </w:rPr>
        <w:t xml:space="preserve"> Level Observations</w:t>
      </w:r>
    </w:p>
    <w:p w:rsidR="000B1D99" w:rsidRPr="0081795B" w:rsidRDefault="000B1D99" w:rsidP="000B1D99">
      <w:pPr>
        <w:pStyle w:val="DonnasStyle"/>
        <w:rPr>
          <w:color w:val="FF0000"/>
          <w:szCs w:val="20"/>
        </w:rPr>
      </w:pPr>
      <w:r w:rsidRPr="006F01F1">
        <w:t>CCCAG partners have paid independent attention to M&amp;E at the project level. These</w:t>
      </w:r>
      <w:r w:rsidRPr="00153C65">
        <w:rPr>
          <w:b/>
        </w:rPr>
        <w:t xml:space="preserve"> </w:t>
      </w:r>
      <w:r w:rsidRPr="00153C65">
        <w:rPr>
          <w:b/>
        </w:rPr>
        <w:lastRenderedPageBreak/>
        <w:t>efforts have been mixed</w:t>
      </w:r>
      <w:r w:rsidRPr="00153C65">
        <w:rPr>
          <w:rStyle w:val="FootnoteReference"/>
          <w:b/>
          <w:szCs w:val="20"/>
        </w:rPr>
        <w:footnoteReference w:id="42"/>
      </w:r>
      <w:r w:rsidRPr="00153C65">
        <w:rPr>
          <w:b/>
        </w:rPr>
        <w:t xml:space="preserve"> and there is limited uniformity in M&amp;E across the portfolio. </w:t>
      </w:r>
      <w:r w:rsidRPr="008942AA">
        <w:t xml:space="preserve">Activity and output level monitoring and reporting across all projects </w:t>
      </w:r>
      <w:r>
        <w:t>meets DFAT standards. While there is evidence of progress towards the intended project objectives being achieved, there is significant room to strengthen the evaluative (measurement, analysis and learning</w:t>
      </w:r>
      <w:r>
        <w:rPr>
          <w:lang w:val="en-AU"/>
        </w:rPr>
        <w:t xml:space="preserve">) functions at the outcome level across all projects. </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b/>
          <w:i/>
          <w:sz w:val="22"/>
        </w:rPr>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sz w:val="22"/>
        </w:rPr>
        <w:t xml:space="preserve">By nature of their focus on the science of low-input rice cultivation, the </w:t>
      </w:r>
      <w:r w:rsidRPr="0081795B">
        <w:rPr>
          <w:rFonts w:ascii="Century Gothic" w:hAnsi="Century Gothic"/>
          <w:b/>
          <w:sz w:val="22"/>
        </w:rPr>
        <w:t xml:space="preserve">mitigation projects </w:t>
      </w:r>
      <w:r w:rsidRPr="006C7CD2">
        <w:rPr>
          <w:rFonts w:ascii="Century Gothic" w:hAnsi="Century Gothic" w:cs="Helvetica"/>
          <w:b/>
          <w:iCs/>
          <w:color w:val="000000"/>
          <w:sz w:val="22"/>
        </w:rPr>
        <w:t>have a stronger evaluative focus</w:t>
      </w:r>
      <w:r w:rsidRPr="006C7CD2">
        <w:rPr>
          <w:rFonts w:ascii="Century Gothic" w:hAnsi="Century Gothic" w:cs="Helvetica"/>
          <w:iCs/>
          <w:color w:val="000000"/>
          <w:sz w:val="22"/>
        </w:rPr>
        <w:t xml:space="preserve"> particularly in terms of the quantification of results</w:t>
      </w:r>
      <w:r>
        <w:rPr>
          <w:rFonts w:ascii="Century Gothic" w:hAnsi="Century Gothic" w:cs="Helvetica"/>
          <w:iCs/>
          <w:color w:val="000000"/>
          <w:sz w:val="22"/>
        </w:rPr>
        <w:t xml:space="preserve"> relating to increased yields, emissions reductions and improved income. As such they are able to clearly demonstrate and communicate tangible results, particularly to farming communities and local government agencies. SNV and EDF have also secured opportunities to communicate their results within provincial and national government fora.</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 </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r w:rsidRPr="00FD48DA">
        <w:rPr>
          <w:rFonts w:ascii="Century Gothic" w:hAnsi="Century Gothic"/>
          <w:sz w:val="22"/>
        </w:rPr>
        <w:t>Whilst agronomic (yield) and economic (income/pr</w:t>
      </w:r>
      <w:r>
        <w:rPr>
          <w:rFonts w:ascii="Century Gothic" w:hAnsi="Century Gothic"/>
          <w:sz w:val="22"/>
        </w:rPr>
        <w:t>ofit) data is captured through</w:t>
      </w:r>
      <w:r w:rsidRPr="00FD48DA">
        <w:rPr>
          <w:rFonts w:ascii="Century Gothic" w:hAnsi="Century Gothic"/>
          <w:sz w:val="22"/>
        </w:rPr>
        <w:t xml:space="preserve"> M&amp;E,</w:t>
      </w:r>
      <w:r>
        <w:rPr>
          <w:rFonts w:ascii="Century Gothic" w:hAnsi="Century Gothic"/>
          <w:sz w:val="22"/>
        </w:rPr>
        <w:t xml:space="preserve"> </w:t>
      </w:r>
      <w:r>
        <w:rPr>
          <w:rFonts w:ascii="Century Gothic" w:hAnsi="Century Gothic" w:cs="Helvetica"/>
          <w:iCs/>
          <w:color w:val="000000"/>
          <w:sz w:val="22"/>
        </w:rPr>
        <w:t xml:space="preserve">mitigation </w:t>
      </w:r>
      <w:r w:rsidRPr="00FD48DA">
        <w:rPr>
          <w:rFonts w:ascii="Century Gothic" w:hAnsi="Century Gothic" w:cs="Helvetica"/>
          <w:iCs/>
          <w:color w:val="000000"/>
          <w:sz w:val="22"/>
        </w:rPr>
        <w:t>projects pay less attention to more qualitative socio-economic outcomes</w:t>
      </w:r>
      <w:r>
        <w:rPr>
          <w:rFonts w:ascii="Century Gothic" w:hAnsi="Century Gothic" w:cs="Helvetica"/>
          <w:iCs/>
          <w:color w:val="000000"/>
          <w:sz w:val="22"/>
        </w:rPr>
        <w:t xml:space="preserve">. </w:t>
      </w:r>
      <w:r w:rsidRPr="00FD48DA">
        <w:rPr>
          <w:rFonts w:ascii="Century Gothic" w:hAnsi="Century Gothic"/>
          <w:sz w:val="22"/>
        </w:rPr>
        <w:t xml:space="preserve">There is an opportunity to </w:t>
      </w:r>
      <w:r w:rsidRPr="006C7CD2">
        <w:rPr>
          <w:rFonts w:ascii="Century Gothic" w:hAnsi="Century Gothic"/>
          <w:b/>
          <w:sz w:val="22"/>
        </w:rPr>
        <w:t>further strengthen M&amp;E and reporting by capturing the broader environmental and social benefits of these project</w:t>
      </w:r>
      <w:r>
        <w:rPr>
          <w:rFonts w:ascii="Century Gothic" w:hAnsi="Century Gothic"/>
          <w:sz w:val="22"/>
        </w:rPr>
        <w:t>s. D</w:t>
      </w:r>
      <w:r>
        <w:rPr>
          <w:rFonts w:ascii="Century Gothic" w:hAnsi="Century Gothic" w:cs="Helvetica"/>
          <w:iCs/>
          <w:color w:val="000000"/>
          <w:sz w:val="22"/>
        </w:rPr>
        <w:t xml:space="preserve">eveloping stronger analysis of </w:t>
      </w:r>
      <w:r w:rsidRPr="00FD48DA">
        <w:rPr>
          <w:rFonts w:ascii="Century Gothic" w:hAnsi="Century Gothic" w:cs="Helvetica"/>
          <w:iCs/>
          <w:color w:val="000000"/>
          <w:sz w:val="22"/>
        </w:rPr>
        <w:t>gender and inclusion, the extent to which the intervention</w:t>
      </w:r>
      <w:r>
        <w:rPr>
          <w:rFonts w:ascii="Century Gothic" w:hAnsi="Century Gothic" w:cs="Helvetica"/>
          <w:iCs/>
          <w:color w:val="000000"/>
          <w:sz w:val="22"/>
        </w:rPr>
        <w:t>s</w:t>
      </w:r>
      <w:r w:rsidRPr="00FD48DA">
        <w:rPr>
          <w:rFonts w:ascii="Century Gothic" w:hAnsi="Century Gothic" w:cs="Helvetica"/>
          <w:iCs/>
          <w:color w:val="000000"/>
          <w:sz w:val="22"/>
        </w:rPr>
        <w:t xml:space="preserve"> h</w:t>
      </w:r>
      <w:r>
        <w:rPr>
          <w:rFonts w:ascii="Century Gothic" w:hAnsi="Century Gothic" w:cs="Helvetica"/>
          <w:iCs/>
          <w:color w:val="000000"/>
          <w:sz w:val="22"/>
        </w:rPr>
        <w:t>ave</w:t>
      </w:r>
      <w:r w:rsidRPr="00FD48DA">
        <w:rPr>
          <w:rFonts w:ascii="Century Gothic" w:hAnsi="Century Gothic" w:cs="Helvetica"/>
          <w:iCs/>
          <w:color w:val="000000"/>
          <w:sz w:val="22"/>
        </w:rPr>
        <w:t xml:space="preserve"> le</w:t>
      </w:r>
      <w:r>
        <w:rPr>
          <w:rFonts w:ascii="Century Gothic" w:hAnsi="Century Gothic" w:cs="Helvetica"/>
          <w:iCs/>
          <w:color w:val="000000"/>
          <w:sz w:val="22"/>
        </w:rPr>
        <w:t>a</w:t>
      </w:r>
      <w:r w:rsidRPr="00FD48DA">
        <w:rPr>
          <w:rFonts w:ascii="Century Gothic" w:hAnsi="Century Gothic" w:cs="Helvetica"/>
          <w:iCs/>
          <w:color w:val="000000"/>
          <w:sz w:val="22"/>
        </w:rPr>
        <w:t xml:space="preserve">d to changed relationships between farmers, </w:t>
      </w:r>
      <w:r>
        <w:rPr>
          <w:rFonts w:ascii="Century Gothic" w:hAnsi="Century Gothic" w:cs="Helvetica"/>
          <w:iCs/>
          <w:color w:val="000000"/>
          <w:sz w:val="22"/>
        </w:rPr>
        <w:t>their</w:t>
      </w:r>
      <w:r w:rsidRPr="00FD48DA">
        <w:rPr>
          <w:rFonts w:ascii="Century Gothic" w:hAnsi="Century Gothic" w:cs="Helvetica"/>
          <w:iCs/>
          <w:color w:val="000000"/>
          <w:sz w:val="22"/>
        </w:rPr>
        <w:t xml:space="preserve"> organisations and the market, or changes in the bargain</w:t>
      </w:r>
      <w:r>
        <w:rPr>
          <w:rFonts w:ascii="Century Gothic" w:hAnsi="Century Gothic" w:cs="Helvetica"/>
          <w:iCs/>
          <w:color w:val="000000"/>
          <w:sz w:val="22"/>
        </w:rPr>
        <w:t>ing power of primary producers, w</w:t>
      </w:r>
      <w:r>
        <w:rPr>
          <w:rFonts w:ascii="Century Gothic" w:hAnsi="Century Gothic"/>
          <w:sz w:val="22"/>
        </w:rPr>
        <w:t>ould enable mitigation</w:t>
      </w:r>
      <w:r w:rsidRPr="00FD48DA">
        <w:rPr>
          <w:rFonts w:ascii="Century Gothic" w:hAnsi="Century Gothic"/>
          <w:sz w:val="22"/>
        </w:rPr>
        <w:t xml:space="preserve"> project</w:t>
      </w:r>
      <w:r>
        <w:rPr>
          <w:rFonts w:ascii="Century Gothic" w:hAnsi="Century Gothic"/>
          <w:sz w:val="22"/>
        </w:rPr>
        <w:t>s to</w:t>
      </w:r>
      <w:r w:rsidRPr="00FD48DA">
        <w:rPr>
          <w:rFonts w:ascii="Century Gothic" w:hAnsi="Century Gothic"/>
          <w:sz w:val="22"/>
        </w:rPr>
        <w:t xml:space="preserve"> report more fulsomely on how </w:t>
      </w:r>
      <w:r>
        <w:rPr>
          <w:rFonts w:ascii="Century Gothic" w:hAnsi="Century Gothic"/>
          <w:sz w:val="22"/>
        </w:rPr>
        <w:t>they are</w:t>
      </w:r>
      <w:r w:rsidRPr="00FD48DA">
        <w:rPr>
          <w:rFonts w:ascii="Century Gothic" w:hAnsi="Century Gothic"/>
          <w:sz w:val="22"/>
        </w:rPr>
        <w:t xml:space="preserve"> delivering benefits to vulnerable households by reducing poverty and </w:t>
      </w:r>
      <w:r>
        <w:rPr>
          <w:rFonts w:ascii="Century Gothic" w:hAnsi="Century Gothic"/>
          <w:sz w:val="22"/>
        </w:rPr>
        <w:t>impacting on some of the social dynamics within the communities and rice value chain</w:t>
      </w:r>
      <w:r w:rsidRPr="00FD48DA">
        <w:rPr>
          <w:rFonts w:ascii="Century Gothic" w:hAnsi="Century Gothic"/>
          <w:sz w:val="22"/>
        </w:rPr>
        <w:t>.</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p>
    <w:p w:rsidR="007E297E" w:rsidRDefault="000B1D99" w:rsidP="007E2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r>
        <w:rPr>
          <w:rFonts w:ascii="Century Gothic" w:hAnsi="Century Gothic" w:cs="Helvetica"/>
          <w:iCs/>
          <w:color w:val="000000"/>
          <w:sz w:val="22"/>
        </w:rPr>
        <w:t xml:space="preserve">Conversely, adaptation projects could be strengthened by paying more attention to the systematic recording of </w:t>
      </w:r>
      <w:r w:rsidRPr="00FD48DA">
        <w:rPr>
          <w:rFonts w:ascii="Century Gothic" w:hAnsi="Century Gothic"/>
          <w:sz w:val="22"/>
        </w:rPr>
        <w:t>agronomic and economic</w:t>
      </w:r>
      <w:r>
        <w:rPr>
          <w:rFonts w:ascii="Century Gothic" w:hAnsi="Century Gothic"/>
          <w:sz w:val="22"/>
        </w:rPr>
        <w:t xml:space="preserve"> data through for example the use of farmer log books or household income/expenditure or borrowing records in order to evidence the viability and impact of new livelihoods interventions, loan products etc.</w:t>
      </w:r>
    </w:p>
    <w:p w:rsidR="000B1D99" w:rsidRPr="007E297E" w:rsidRDefault="000B1D99" w:rsidP="007E2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22"/>
        </w:rPr>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Adaptation</w:t>
      </w:r>
      <w:r w:rsidRPr="00E66F1B">
        <w:rPr>
          <w:rFonts w:ascii="Century Gothic" w:hAnsi="Century Gothic" w:cs="Helvetica"/>
          <w:iCs/>
          <w:color w:val="000000"/>
          <w:sz w:val="22"/>
        </w:rPr>
        <w:t xml:space="preserve"> </w:t>
      </w:r>
      <w:r>
        <w:rPr>
          <w:rFonts w:ascii="Century Gothic" w:hAnsi="Century Gothic" w:cs="Helvetica"/>
          <w:iCs/>
          <w:color w:val="000000"/>
          <w:sz w:val="22"/>
        </w:rPr>
        <w:t xml:space="preserve">project designs tend to be articulated in terms of objectives and activities as opposed to outcomes. This leads to a tendency for M&amp;E to </w:t>
      </w:r>
      <w:r w:rsidRPr="007D372B">
        <w:rPr>
          <w:rFonts w:ascii="Century Gothic" w:hAnsi="Century Gothic" w:cs="Helvetica"/>
          <w:iCs/>
          <w:color w:val="000000"/>
          <w:sz w:val="22"/>
        </w:rPr>
        <w:t xml:space="preserve">focus </w:t>
      </w:r>
      <w:r>
        <w:rPr>
          <w:rFonts w:ascii="Century Gothic" w:hAnsi="Century Gothic" w:cs="Helvetica"/>
          <w:iCs/>
          <w:color w:val="000000"/>
          <w:sz w:val="22"/>
        </w:rPr>
        <w:t xml:space="preserve">on measuring and </w:t>
      </w:r>
      <w:r w:rsidRPr="007D372B">
        <w:rPr>
          <w:rFonts w:ascii="Century Gothic" w:hAnsi="Century Gothic" w:cs="Helvetica"/>
          <w:iCs/>
          <w:color w:val="000000"/>
          <w:sz w:val="22"/>
        </w:rPr>
        <w:t>r</w:t>
      </w:r>
      <w:r>
        <w:rPr>
          <w:rFonts w:ascii="Century Gothic" w:hAnsi="Century Gothic" w:cs="Helvetica"/>
          <w:iCs/>
          <w:color w:val="000000"/>
          <w:sz w:val="22"/>
        </w:rPr>
        <w:t xml:space="preserve">eporting at the activity/output level. There is </w:t>
      </w:r>
      <w:r w:rsidRPr="002131E8">
        <w:rPr>
          <w:rFonts w:ascii="Century Gothic" w:hAnsi="Century Gothic" w:cs="Helvetica"/>
          <w:b/>
          <w:iCs/>
          <w:color w:val="000000"/>
          <w:sz w:val="22"/>
        </w:rPr>
        <w:t>limited rigour around qualitative measurements and the systematic collection of evidence</w:t>
      </w:r>
      <w:r>
        <w:rPr>
          <w:rFonts w:ascii="Century Gothic" w:hAnsi="Century Gothic" w:cs="Helvetica"/>
          <w:iCs/>
          <w:color w:val="000000"/>
          <w:sz w:val="22"/>
        </w:rPr>
        <w:t xml:space="preserve"> </w:t>
      </w:r>
      <w:r w:rsidRPr="00E775CC">
        <w:rPr>
          <w:rFonts w:ascii="Century Gothic" w:hAnsi="Century Gothic" w:cs="Helvetica"/>
          <w:b/>
          <w:iCs/>
          <w:color w:val="000000"/>
          <w:sz w:val="22"/>
        </w:rPr>
        <w:t>at the outcome level</w:t>
      </w:r>
      <w:r>
        <w:rPr>
          <w:rFonts w:ascii="Century Gothic" w:hAnsi="Century Gothic" w:cs="Helvetica"/>
          <w:b/>
          <w:iCs/>
          <w:color w:val="000000"/>
          <w:sz w:val="22"/>
        </w:rPr>
        <w:t xml:space="preserve">. </w:t>
      </w:r>
      <w:r>
        <w:rPr>
          <w:rFonts w:ascii="Century Gothic" w:hAnsi="Century Gothic" w:cs="Helvetica"/>
          <w:iCs/>
          <w:color w:val="000000"/>
          <w:sz w:val="22"/>
        </w:rPr>
        <w:t>A greater M&amp;E focus on program outcomes may contribute to deepening our understanding of the climate change risks facing communities in Vietnam, identifying adaptive measures which can strengthen resilience to these risks, understanding the obligations of various actors, and in turn how civil society (including international and national NGOs) are best positioned to support these.</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4A1E7C">
        <w:rPr>
          <w:rFonts w:ascii="Century Gothic" w:hAnsi="Century Gothic" w:cs="Helvetica"/>
          <w:b/>
          <w:iCs/>
          <w:color w:val="000000"/>
          <w:sz w:val="22"/>
        </w:rPr>
        <w:t>While terms such as capacity building, behavior change, awareness raising, gender equality etc are commonly expressed as intended objectives of all projects, there is limited articulation of what successful outcomes for these would look like</w:t>
      </w:r>
      <w:r>
        <w:rPr>
          <w:rFonts w:ascii="Century Gothic" w:hAnsi="Century Gothic" w:cs="Helvetica"/>
          <w:iCs/>
          <w:color w:val="000000"/>
          <w:sz w:val="22"/>
        </w:rPr>
        <w:t>. As such indicators for the measurement of these outcomes have either not been established or are poorly formulated. This results in a lack of systematic attention to qualitative data collection and poor selection of appropriate tools and methods for measurement and analysis at the outcome level. A common example is the use of pre and posttests to evidence raised awareness linked to behaviour change. Similarly, while all partners are paying excellent attention to the collection of gender disaggregated data and recording the participation of various vulnerable groups in project activities, there is less gendered analysis of emerging outcomes or project impacts which would lead to a stronger understanding of the ways in which the interventions are contributing positively or negatively to the lives of men, women or other vulnerable groups.</w:t>
      </w:r>
    </w:p>
    <w:p w:rsidR="000B1D99" w:rsidRDefault="000B1D99" w:rsidP="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0B1D99" w:rsidRPr="00844765" w:rsidRDefault="000B1D99" w:rsidP="00844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493828">
        <w:rPr>
          <w:rFonts w:ascii="Century Gothic" w:hAnsi="Century Gothic" w:cs="Helvetica"/>
          <w:iCs/>
          <w:color w:val="000000"/>
          <w:sz w:val="22"/>
        </w:rPr>
        <w:t xml:space="preserve">Given the intent of CCCAG as a first step towards supporting NGO partners to scale up existing </w:t>
      </w:r>
      <w:r w:rsidRPr="00493828">
        <w:rPr>
          <w:rFonts w:ascii="Century Gothic" w:hAnsi="Century Gothic" w:cs="Arial"/>
          <w:color w:val="000000"/>
          <w:sz w:val="22"/>
          <w:szCs w:val="22"/>
        </w:rPr>
        <w:t>successful community-based climate change activities or to build a climate change component into existing community development activities</w:t>
      </w:r>
      <w:r>
        <w:rPr>
          <w:rStyle w:val="FootnoteReference"/>
          <w:rFonts w:ascii="Century Gothic" w:hAnsi="Century Gothic" w:cs="Arial"/>
          <w:color w:val="000000"/>
          <w:sz w:val="22"/>
          <w:szCs w:val="22"/>
        </w:rPr>
        <w:footnoteReference w:id="43"/>
      </w:r>
      <w:r w:rsidRPr="00493828">
        <w:rPr>
          <w:rFonts w:ascii="Century Gothic" w:hAnsi="Century Gothic" w:cs="Arial"/>
          <w:color w:val="000000"/>
          <w:sz w:val="22"/>
          <w:szCs w:val="22"/>
        </w:rPr>
        <w:t xml:space="preserve">, </w:t>
      </w:r>
      <w:r w:rsidRPr="00076561">
        <w:rPr>
          <w:rFonts w:ascii="Century Gothic" w:hAnsi="Century Gothic" w:cs="Arial"/>
          <w:b/>
          <w:color w:val="000000"/>
          <w:sz w:val="22"/>
          <w:szCs w:val="22"/>
        </w:rPr>
        <w:t>the focus on implementation and the delivery of outputs ahead of testing and analysis of outcomes is a missed opportunity</w:t>
      </w:r>
      <w:r w:rsidRPr="00076561">
        <w:rPr>
          <w:rFonts w:ascii="Century Gothic" w:hAnsi="Century Gothic" w:cs="Arial"/>
          <w:color w:val="000000"/>
          <w:sz w:val="22"/>
          <w:szCs w:val="22"/>
        </w:rPr>
        <w:t xml:space="preserve">. </w:t>
      </w:r>
      <w:r w:rsidRPr="00076561">
        <w:rPr>
          <w:rFonts w:ascii="Century Gothic" w:hAnsi="Century Gothic" w:cs="Helvetica"/>
          <w:iCs/>
          <w:color w:val="000000"/>
          <w:sz w:val="22"/>
        </w:rPr>
        <w:t>Not only should M&amp;E efforts seek to systematically document</w:t>
      </w:r>
      <w:r w:rsidRPr="00493828">
        <w:rPr>
          <w:rFonts w:ascii="Century Gothic" w:hAnsi="Century Gothic" w:cs="Helvetica"/>
          <w:iCs/>
          <w:color w:val="000000"/>
          <w:sz w:val="22"/>
        </w:rPr>
        <w:t xml:space="preserve"> evidence (</w:t>
      </w:r>
      <w:r>
        <w:rPr>
          <w:rFonts w:ascii="Century Gothic" w:hAnsi="Century Gothic" w:cs="Helvetica"/>
          <w:iCs/>
          <w:color w:val="000000"/>
          <w:sz w:val="22"/>
        </w:rPr>
        <w:t xml:space="preserve">e.g. the use of farmer log books, </w:t>
      </w:r>
      <w:r w:rsidR="00DF5FDB">
        <w:rPr>
          <w:rFonts w:ascii="Century Gothic" w:hAnsi="Century Gothic" w:cs="Helvetica"/>
          <w:iCs/>
          <w:color w:val="000000"/>
          <w:sz w:val="22"/>
        </w:rPr>
        <w:t>organisational capacity frameworks etc</w:t>
      </w:r>
      <w:r w:rsidRPr="00493828">
        <w:rPr>
          <w:rFonts w:ascii="Century Gothic" w:hAnsi="Century Gothic" w:cs="Helvetica"/>
          <w:iCs/>
          <w:color w:val="000000"/>
          <w:sz w:val="22"/>
        </w:rPr>
        <w:t xml:space="preserve">) but they should also seek to foster </w:t>
      </w:r>
      <w:r>
        <w:rPr>
          <w:rFonts w:ascii="Century Gothic" w:hAnsi="Century Gothic" w:cs="Helvetica"/>
          <w:iCs/>
          <w:color w:val="000000"/>
          <w:sz w:val="22"/>
        </w:rPr>
        <w:t>stronger</w:t>
      </w:r>
      <w:r w:rsidRPr="00493828">
        <w:rPr>
          <w:rFonts w:ascii="Century Gothic" w:hAnsi="Century Gothic" w:cs="Helvetica"/>
          <w:iCs/>
          <w:color w:val="000000"/>
          <w:sz w:val="22"/>
        </w:rPr>
        <w:t xml:space="preserve"> analytics and critical development discussions within and between partners and DFAT.</w:t>
      </w:r>
      <w:r>
        <w:rPr>
          <w:rFonts w:ascii="Century Gothic" w:hAnsi="Century Gothic" w:cs="Helvetica"/>
          <w:iCs/>
          <w:color w:val="000000"/>
          <w:sz w:val="22"/>
        </w:rPr>
        <w:t xml:space="preserve"> </w:t>
      </w:r>
    </w:p>
    <w:p w:rsidR="001630C2" w:rsidRPr="00CE51E6" w:rsidRDefault="000B1D99" w:rsidP="00656038">
      <w:pPr>
        <w:pStyle w:val="Heading3"/>
      </w:pPr>
      <w:bookmarkStart w:id="38" w:name="_Toc266010038"/>
      <w:r w:rsidRPr="00CE51E6">
        <w:t>4.8. Analysis and Learning</w:t>
      </w:r>
      <w:bookmarkEnd w:id="38"/>
    </w:p>
    <w:p w:rsidR="00D27843" w:rsidRPr="00D27843" w:rsidRDefault="00D27843" w:rsidP="00D27843">
      <w:pPr>
        <w:pStyle w:val="DonnasStyle"/>
        <w:rPr>
          <w:color w:val="8DB3E2" w:themeColor="text2" w:themeTint="66"/>
        </w:rPr>
      </w:pPr>
      <w:r>
        <w:rPr>
          <w:b/>
          <w:i/>
          <w:color w:val="8DB3E2" w:themeColor="text2" w:themeTint="66"/>
        </w:rPr>
        <w:t>Project</w:t>
      </w:r>
      <w:r w:rsidRPr="00B10A76">
        <w:rPr>
          <w:b/>
          <w:i/>
          <w:color w:val="8DB3E2" w:themeColor="text2" w:themeTint="66"/>
        </w:rPr>
        <w:t xml:space="preserve"> Level Observations</w:t>
      </w:r>
    </w:p>
    <w:p w:rsidR="00844765" w:rsidRPr="00CE51E6" w:rsidRDefault="005869BF" w:rsidP="00CE51E6">
      <w:pPr>
        <w:jc w:val="both"/>
        <w:rPr>
          <w:rFonts w:ascii="Century Gothic" w:hAnsi="Century Gothic"/>
          <w:sz w:val="22"/>
        </w:rPr>
      </w:pPr>
      <w:r w:rsidRPr="00D27843">
        <w:rPr>
          <w:rFonts w:ascii="Century Gothic" w:hAnsi="Century Gothic"/>
          <w:b/>
          <w:sz w:val="22"/>
        </w:rPr>
        <w:t>CCCAGs strategic value is in the opportunity that it provides in acting as a</w:t>
      </w:r>
      <w:r w:rsidR="00405764" w:rsidRPr="00D27843">
        <w:rPr>
          <w:rFonts w:ascii="Century Gothic" w:hAnsi="Century Gothic"/>
          <w:b/>
          <w:sz w:val="22"/>
        </w:rPr>
        <w:t xml:space="preserve"> vehicle through which DFAT and its partners can test new engagements and approaches</w:t>
      </w:r>
      <w:r w:rsidR="00405764" w:rsidRPr="00CE51E6">
        <w:rPr>
          <w:rFonts w:ascii="Century Gothic" w:hAnsi="Century Gothic"/>
          <w:sz w:val="22"/>
        </w:rPr>
        <w:t xml:space="preserve"> for community based climate change in a new sector. </w:t>
      </w:r>
    </w:p>
    <w:p w:rsidR="00844765" w:rsidRPr="00CE51E6" w:rsidRDefault="00844765" w:rsidP="00CE51E6">
      <w:pPr>
        <w:jc w:val="both"/>
        <w:rPr>
          <w:rFonts w:ascii="Century Gothic" w:hAnsi="Century Gothic"/>
          <w:sz w:val="22"/>
        </w:rPr>
      </w:pPr>
    </w:p>
    <w:p w:rsidR="00222841" w:rsidRPr="00CE51E6" w:rsidRDefault="00844765" w:rsidP="00CE51E6">
      <w:pPr>
        <w:jc w:val="both"/>
        <w:rPr>
          <w:rFonts w:ascii="Century Gothic" w:hAnsi="Century Gothic"/>
          <w:sz w:val="22"/>
        </w:rPr>
      </w:pPr>
      <w:r w:rsidRPr="00CE51E6">
        <w:rPr>
          <w:rFonts w:ascii="Century Gothic" w:hAnsi="Century Gothic"/>
          <w:sz w:val="22"/>
        </w:rPr>
        <w:t xml:space="preserve">The partnership model </w:t>
      </w:r>
      <w:r w:rsidR="00222841" w:rsidRPr="00CE51E6">
        <w:rPr>
          <w:rFonts w:ascii="Century Gothic" w:hAnsi="Century Gothic"/>
          <w:sz w:val="22"/>
        </w:rPr>
        <w:t>seeks to bring</w:t>
      </w:r>
      <w:r w:rsidRPr="00CE51E6">
        <w:rPr>
          <w:rFonts w:ascii="Century Gothic" w:hAnsi="Century Gothic"/>
          <w:sz w:val="22"/>
        </w:rPr>
        <w:t xml:space="preserve"> congruence to the six CCCAG projects by providing opportunities through which partners can share information and learn from each others experience. </w:t>
      </w:r>
      <w:r w:rsidR="004A1E7C">
        <w:rPr>
          <w:rFonts w:ascii="Century Gothic" w:hAnsi="Century Gothic"/>
          <w:sz w:val="22"/>
          <w:lang w:val="en-AU"/>
        </w:rPr>
        <w:t>DFAT has made a systematic</w:t>
      </w:r>
      <w:r w:rsidR="00222841" w:rsidRPr="00CE51E6">
        <w:rPr>
          <w:rFonts w:ascii="Century Gothic" w:hAnsi="Century Gothic"/>
          <w:sz w:val="22"/>
          <w:lang w:val="en-AU"/>
        </w:rPr>
        <w:t xml:space="preserve"> effort to engage partners in this information sharing and cross-program analysis and learning through the implementation of:</w:t>
      </w:r>
    </w:p>
    <w:p w:rsidR="00222841" w:rsidRPr="00CE51E6" w:rsidRDefault="00222841" w:rsidP="00CE51E6">
      <w:pPr>
        <w:jc w:val="both"/>
        <w:rPr>
          <w:rFonts w:ascii="Century Gothic" w:hAnsi="Century Gothic"/>
          <w:sz w:val="22"/>
        </w:rPr>
      </w:pPr>
    </w:p>
    <w:p w:rsidR="00222841" w:rsidRDefault="00222841" w:rsidP="00222841">
      <w:pPr>
        <w:pStyle w:val="DonnasStyle"/>
        <w:numPr>
          <w:ilvl w:val="0"/>
          <w:numId w:val="39"/>
        </w:numPr>
      </w:pPr>
      <w:r w:rsidRPr="001630C2">
        <w:t xml:space="preserve">Six monthly partnership meetings </w:t>
      </w:r>
      <w:r>
        <w:t xml:space="preserve">that </w:t>
      </w:r>
      <w:r w:rsidRPr="001630C2">
        <w:t>provi</w:t>
      </w:r>
      <w:r>
        <w:t>de a structured opportunity for:</w:t>
      </w:r>
    </w:p>
    <w:p w:rsidR="00222841" w:rsidRDefault="00222841" w:rsidP="00222841">
      <w:pPr>
        <w:pStyle w:val="DonnasStyle"/>
        <w:numPr>
          <w:ilvl w:val="1"/>
          <w:numId w:val="39"/>
        </w:numPr>
        <w:ind w:left="567" w:hanging="207"/>
      </w:pPr>
      <w:r>
        <w:t>NGOs</w:t>
      </w:r>
      <w:r w:rsidRPr="001630C2">
        <w:t xml:space="preserve"> to share lessons, discuss key common concerns, cross cutting issues</w:t>
      </w:r>
      <w:r>
        <w:t xml:space="preserve"> and</w:t>
      </w:r>
      <w:r w:rsidRPr="001630C2">
        <w:t xml:space="preserve"> identify synergies and potential shared actions</w:t>
      </w:r>
      <w:r>
        <w:t>; and</w:t>
      </w:r>
    </w:p>
    <w:p w:rsidR="00222841" w:rsidRDefault="00222841" w:rsidP="00222841">
      <w:pPr>
        <w:pStyle w:val="DonnasStyle"/>
        <w:numPr>
          <w:ilvl w:val="1"/>
          <w:numId w:val="39"/>
        </w:numPr>
        <w:ind w:left="567" w:hanging="207"/>
      </w:pPr>
      <w:r>
        <w:t>For DFAT to provide briefings and</w:t>
      </w:r>
      <w:r w:rsidRPr="001630C2">
        <w:t xml:space="preserve"> </w:t>
      </w:r>
      <w:r>
        <w:t>consult on emerging policy issues and bring the experience of NGOs to wider bilateral and multlateral fora (discussed further in 5.)</w:t>
      </w:r>
    </w:p>
    <w:p w:rsidR="00222841" w:rsidRDefault="00222841" w:rsidP="00222841">
      <w:pPr>
        <w:pStyle w:val="DonnasStyle"/>
        <w:rPr>
          <w:lang w:val="en-AU"/>
        </w:rPr>
      </w:pPr>
    </w:p>
    <w:p w:rsidR="00BF44E5" w:rsidRPr="00BF44E5" w:rsidRDefault="00222841" w:rsidP="00BF44E5">
      <w:pPr>
        <w:pStyle w:val="DonnasStyle"/>
        <w:numPr>
          <w:ilvl w:val="0"/>
          <w:numId w:val="39"/>
        </w:numPr>
        <w:rPr>
          <w:lang w:val="en-AU"/>
        </w:rPr>
      </w:pPr>
      <w:r>
        <w:rPr>
          <w:lang w:val="en-AU"/>
        </w:rPr>
        <w:t xml:space="preserve">Undertaking joint monitoring visits, where </w:t>
      </w:r>
      <w:r>
        <w:t xml:space="preserve">DFAT staff join </w:t>
      </w:r>
      <w:r w:rsidR="00BF44E5">
        <w:t xml:space="preserve">the </w:t>
      </w:r>
      <w:r>
        <w:t>routine monitoring visits of CCCAG partners, or key</w:t>
      </w:r>
      <w:r w:rsidR="00BF44E5">
        <w:t xml:space="preserve"> learning functions and events;</w:t>
      </w:r>
    </w:p>
    <w:p w:rsidR="00BF44E5" w:rsidRDefault="00BF44E5" w:rsidP="00BF44E5">
      <w:pPr>
        <w:pStyle w:val="DonnasStyle"/>
        <w:ind w:left="360"/>
        <w:rPr>
          <w:lang w:val="en-AU"/>
        </w:rPr>
      </w:pPr>
    </w:p>
    <w:p w:rsidR="00BF44E5" w:rsidRDefault="00BF44E5" w:rsidP="00BF44E5">
      <w:pPr>
        <w:pStyle w:val="DonnasStyle"/>
        <w:numPr>
          <w:ilvl w:val="0"/>
          <w:numId w:val="39"/>
        </w:numPr>
        <w:rPr>
          <w:lang w:val="en-AU"/>
        </w:rPr>
      </w:pPr>
      <w:r>
        <w:rPr>
          <w:lang w:val="en-AU"/>
        </w:rPr>
        <w:t>Facilitating joint analysis and action planning through investments into the development of a joint advocacy plan (see discussion under 5. Partnership);</w:t>
      </w:r>
    </w:p>
    <w:p w:rsidR="00BF44E5" w:rsidRDefault="00BF44E5" w:rsidP="00BF44E5">
      <w:pPr>
        <w:pStyle w:val="DonnasStyle"/>
        <w:ind w:left="360"/>
        <w:rPr>
          <w:lang w:val="en-AU"/>
        </w:rPr>
      </w:pPr>
    </w:p>
    <w:p w:rsidR="0016532C" w:rsidRDefault="00BF44E5" w:rsidP="00BF44E5">
      <w:pPr>
        <w:pStyle w:val="DonnasStyle"/>
        <w:numPr>
          <w:ilvl w:val="0"/>
          <w:numId w:val="39"/>
        </w:numPr>
        <w:rPr>
          <w:lang w:val="en-AU"/>
        </w:rPr>
      </w:pPr>
      <w:r>
        <w:rPr>
          <w:lang w:val="en-AU"/>
        </w:rPr>
        <w:t>Identifying opportunities to foster linkages between CCCAG partners and those within its wider climate change portfolio in Vietnam – e.g. the ADB and GiZ, and other Australian initiatives such as ACIAR.</w:t>
      </w:r>
    </w:p>
    <w:p w:rsidR="0016532C" w:rsidRDefault="0016532C" w:rsidP="0016532C">
      <w:pPr>
        <w:pStyle w:val="DonnasStyle"/>
        <w:ind w:left="360"/>
        <w:rPr>
          <w:lang w:val="en-AU"/>
        </w:rPr>
      </w:pPr>
    </w:p>
    <w:p w:rsidR="0016532C" w:rsidRDefault="0016532C" w:rsidP="00BF44E5">
      <w:pPr>
        <w:pStyle w:val="DonnasStyle"/>
        <w:numPr>
          <w:ilvl w:val="0"/>
          <w:numId w:val="39"/>
        </w:numPr>
        <w:rPr>
          <w:lang w:val="en-AU"/>
        </w:rPr>
      </w:pPr>
      <w:r>
        <w:rPr>
          <w:lang w:val="en-AU"/>
        </w:rPr>
        <w:t>In April 2014, DFAT worked with the CCCAG partners to develop a presentation on the partnership to the International Institute for Environment and Development 8</w:t>
      </w:r>
      <w:r w:rsidRPr="0016532C">
        <w:rPr>
          <w:vertAlign w:val="superscript"/>
          <w:lang w:val="en-AU"/>
        </w:rPr>
        <w:t>th</w:t>
      </w:r>
      <w:r>
        <w:rPr>
          <w:lang w:val="en-AU"/>
        </w:rPr>
        <w:t xml:space="preserve"> Community-based Adaptation to Climate Change (IIED CBA8) Conference</w:t>
      </w:r>
      <w:r w:rsidR="00FA4B75">
        <w:rPr>
          <w:lang w:val="en-AU"/>
        </w:rPr>
        <w:t>;</w:t>
      </w:r>
    </w:p>
    <w:p w:rsidR="0016532C" w:rsidRDefault="0016532C" w:rsidP="0016532C">
      <w:pPr>
        <w:pStyle w:val="DonnasStyle"/>
        <w:ind w:left="360"/>
        <w:rPr>
          <w:lang w:val="en-AU"/>
        </w:rPr>
      </w:pPr>
    </w:p>
    <w:p w:rsidR="00FA4B75" w:rsidRPr="00D27843" w:rsidRDefault="0016532C" w:rsidP="00FA4B75">
      <w:pPr>
        <w:pStyle w:val="DonnasStyle"/>
        <w:numPr>
          <w:ilvl w:val="0"/>
          <w:numId w:val="39"/>
        </w:numPr>
        <w:rPr>
          <w:lang w:val="en-AU"/>
        </w:rPr>
      </w:pPr>
      <w:r>
        <w:rPr>
          <w:lang w:val="en-AU"/>
        </w:rPr>
        <w:t>The Independent Progress Review is also an example where DFAT and partners have worked collaboratively together to build a shared analysis of the lessons emerging and opportunities presented for their ongoing engagement in community based climate change in Vietnam.</w:t>
      </w:r>
    </w:p>
    <w:p w:rsidR="00D27843" w:rsidRDefault="00D27843" w:rsidP="00FA4B75">
      <w:pPr>
        <w:jc w:val="both"/>
        <w:rPr>
          <w:rFonts w:ascii="Century Gothic" w:hAnsi="Century Gothic"/>
          <w:sz w:val="22"/>
        </w:rPr>
      </w:pPr>
    </w:p>
    <w:p w:rsidR="00AB6236" w:rsidRPr="00B26248"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20"/>
        </w:rPr>
      </w:pPr>
      <w:r w:rsidRPr="00B26248">
        <w:rPr>
          <w:rFonts w:ascii="Century Gothic" w:hAnsi="Century Gothic"/>
          <w:sz w:val="20"/>
        </w:rPr>
        <w:t>We liked the way that DFAT prepared for the knowledge and learning workshop in Katmandu. We hope that this kind of process is ongoing and we can share case studies and other lessons.</w:t>
      </w:r>
    </w:p>
    <w:p w:rsidR="00AB6236"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rPr>
          <w:rFonts w:ascii="Century Gothic" w:hAnsi="Century Gothic"/>
          <w:sz w:val="14"/>
        </w:rPr>
      </w:pPr>
    </w:p>
    <w:p w:rsidR="00AB6236" w:rsidRPr="00B26248"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right"/>
        <w:rPr>
          <w:rFonts w:ascii="Century Gothic" w:hAnsi="Century Gothic"/>
          <w:sz w:val="14"/>
        </w:rPr>
      </w:pPr>
      <w:r>
        <w:rPr>
          <w:rFonts w:ascii="Century Gothic" w:hAnsi="Century Gothic"/>
          <w:sz w:val="14"/>
        </w:rPr>
        <w:t>Anonymous (CCCAG Partner</w:t>
      </w:r>
      <w:r w:rsidRPr="00B26248">
        <w:rPr>
          <w:rFonts w:ascii="Century Gothic" w:hAnsi="Century Gothic"/>
          <w:sz w:val="14"/>
        </w:rPr>
        <w:t>)</w:t>
      </w:r>
    </w:p>
    <w:p w:rsidR="00AB6236" w:rsidRDefault="00AB6236" w:rsidP="00FA4B75">
      <w:pPr>
        <w:jc w:val="both"/>
        <w:rPr>
          <w:rFonts w:ascii="Century Gothic" w:hAnsi="Century Gothic"/>
          <w:sz w:val="22"/>
        </w:rPr>
      </w:pPr>
    </w:p>
    <w:p w:rsidR="009F4427" w:rsidRDefault="009F4427" w:rsidP="00FA4B75">
      <w:pPr>
        <w:jc w:val="both"/>
        <w:rPr>
          <w:rFonts w:ascii="Century Gothic" w:hAnsi="Century Gothic"/>
          <w:sz w:val="22"/>
        </w:rPr>
      </w:pPr>
      <w:r>
        <w:rPr>
          <w:rFonts w:ascii="Century Gothic" w:hAnsi="Century Gothic"/>
          <w:sz w:val="22"/>
        </w:rPr>
        <w:t xml:space="preserve">The Review did not find any evidence that partners felt overburdened by the expectations of the program around learning. In fact, reflections on management </w:t>
      </w:r>
      <w:r>
        <w:rPr>
          <w:rFonts w:ascii="Century Gothic" w:hAnsi="Century Gothic"/>
          <w:sz w:val="22"/>
        </w:rPr>
        <w:lastRenderedPageBreak/>
        <w:t xml:space="preserve">arrangements, learning and partnership all highlighted the positive value that partners placed DFATs efforts to facilitate learning. It should be highlighted that DFAT also valued the commitment of CCCAG partners to engage with them in this new way. </w:t>
      </w:r>
    </w:p>
    <w:p w:rsidR="009F4427" w:rsidRDefault="009F4427" w:rsidP="00FA4B75">
      <w:pPr>
        <w:jc w:val="both"/>
        <w:rPr>
          <w:rFonts w:ascii="Century Gothic" w:hAnsi="Century Gothic"/>
          <w:sz w:val="22"/>
        </w:rPr>
      </w:pPr>
    </w:p>
    <w:p w:rsidR="00FA4B75" w:rsidRDefault="00184905" w:rsidP="00FA4B75">
      <w:pPr>
        <w:jc w:val="both"/>
        <w:rPr>
          <w:rFonts w:ascii="Century Gothic" w:hAnsi="Century Gothic"/>
          <w:sz w:val="22"/>
        </w:rPr>
      </w:pPr>
      <w:r>
        <w:rPr>
          <w:rFonts w:ascii="Century Gothic" w:hAnsi="Century Gothic"/>
          <w:sz w:val="22"/>
        </w:rPr>
        <w:t xml:space="preserve">This </w:t>
      </w:r>
      <w:r w:rsidR="00FA4B75">
        <w:rPr>
          <w:rFonts w:ascii="Century Gothic" w:hAnsi="Century Gothic"/>
          <w:sz w:val="22"/>
        </w:rPr>
        <w:t xml:space="preserve">Review highlights that the opportunity presented by the existence of CCCAG has resulted in </w:t>
      </w:r>
      <w:r w:rsidR="00FA4B75" w:rsidRPr="00FA4B75">
        <w:rPr>
          <w:rFonts w:ascii="Century Gothic" w:hAnsi="Century Gothic"/>
          <w:b/>
          <w:sz w:val="22"/>
        </w:rPr>
        <w:t>significant learning which is informing the development of new tool</w:t>
      </w:r>
      <w:r w:rsidR="00D27843">
        <w:rPr>
          <w:rFonts w:ascii="Century Gothic" w:hAnsi="Century Gothic"/>
          <w:b/>
          <w:sz w:val="22"/>
        </w:rPr>
        <w:t>s</w:t>
      </w:r>
      <w:r w:rsidR="00FA4B75" w:rsidRPr="00FA4B75">
        <w:rPr>
          <w:rFonts w:ascii="Century Gothic" w:hAnsi="Century Gothic"/>
          <w:b/>
          <w:sz w:val="22"/>
        </w:rPr>
        <w:t xml:space="preserve"> and approaches</w:t>
      </w:r>
      <w:r w:rsidR="00FA4B75">
        <w:rPr>
          <w:rFonts w:ascii="Century Gothic" w:hAnsi="Century Gothic"/>
          <w:sz w:val="22"/>
        </w:rPr>
        <w:t xml:space="preserve"> to engaging in community based climate change in Vietnam, and which can inform future investments</w:t>
      </w:r>
      <w:r>
        <w:rPr>
          <w:rFonts w:ascii="Century Gothic" w:hAnsi="Century Gothic"/>
          <w:sz w:val="22"/>
        </w:rPr>
        <w:t>, as well as new ways in which donors and NGOs can engage around shared interests.</w:t>
      </w:r>
    </w:p>
    <w:p w:rsidR="000B1D99" w:rsidRDefault="000B1D99" w:rsidP="000B1D99">
      <w:pPr>
        <w:pStyle w:val="DonnasStyle"/>
      </w:pPr>
    </w:p>
    <w:p w:rsidR="000B1D99" w:rsidRPr="008C2E05" w:rsidRDefault="005869BF" w:rsidP="000B1D99">
      <w:pPr>
        <w:pStyle w:val="DonnasStyle"/>
        <w:rPr>
          <w:color w:val="8DB3E2" w:themeColor="text2" w:themeTint="66"/>
        </w:rPr>
      </w:pPr>
      <w:r>
        <w:rPr>
          <w:b/>
          <w:i/>
          <w:color w:val="8DB3E2" w:themeColor="text2" w:themeTint="66"/>
        </w:rPr>
        <w:t>Project</w:t>
      </w:r>
      <w:r w:rsidR="000B1D99" w:rsidRPr="00B10A76">
        <w:rPr>
          <w:b/>
          <w:i/>
          <w:color w:val="8DB3E2" w:themeColor="text2" w:themeTint="66"/>
        </w:rPr>
        <w:t xml:space="preserve"> Level Observations</w:t>
      </w:r>
    </w:p>
    <w:p w:rsidR="00047EC1" w:rsidRDefault="00047EC1" w:rsidP="002621C6">
      <w:pPr>
        <w:pStyle w:val="DonnasStyle"/>
      </w:pPr>
      <w:r>
        <w:t>P</w:t>
      </w:r>
      <w:r w:rsidR="000B1D99">
        <w:t xml:space="preserve">artners </w:t>
      </w:r>
      <w:r>
        <w:t xml:space="preserve">have </w:t>
      </w:r>
      <w:r w:rsidRPr="00047EC1">
        <w:rPr>
          <w:b/>
        </w:rPr>
        <w:t>established</w:t>
      </w:r>
      <w:r w:rsidR="000B1D99" w:rsidRPr="00047EC1">
        <w:rPr>
          <w:b/>
        </w:rPr>
        <w:t xml:space="preserve"> systems for the exchange of information and learning </w:t>
      </w:r>
      <w:r w:rsidR="000B1D99" w:rsidRPr="00047EC1">
        <w:t>at the field level.</w:t>
      </w:r>
      <w:r w:rsidR="00F16B0D" w:rsidRPr="00047EC1">
        <w:t xml:space="preserve"> All </w:t>
      </w:r>
      <w:r w:rsidR="00B20932" w:rsidRPr="00047EC1">
        <w:t>partners have undertaken foundation studies such as gender analysis</w:t>
      </w:r>
      <w:r w:rsidR="00B20932">
        <w:t>, livelihoods assessments, hazard and vulnerability assessments, and baseline studies. They have used these to inform decision making on project interventions, targeting, training content etc.</w:t>
      </w:r>
      <w:r w:rsidR="00C55791">
        <w:t xml:space="preserve"> </w:t>
      </w:r>
      <w:r>
        <w:t>They have shared them with their own partners and within the CCCAG Partnership.</w:t>
      </w:r>
      <w:r w:rsidR="00BF3D76">
        <w:t xml:space="preserve"> </w:t>
      </w:r>
    </w:p>
    <w:p w:rsidR="00047EC1" w:rsidRDefault="00047EC1" w:rsidP="002621C6">
      <w:pPr>
        <w:pStyle w:val="DonnasStyle"/>
      </w:pPr>
    </w:p>
    <w:p w:rsidR="002621C6" w:rsidRDefault="002621C6" w:rsidP="002621C6">
      <w:pPr>
        <w:pStyle w:val="DonnasStyle"/>
      </w:pPr>
      <w:r w:rsidRPr="00272314">
        <w:rPr>
          <w:lang w:val="en-AU"/>
        </w:rPr>
        <w:t>Organisations</w:t>
      </w:r>
      <w:r>
        <w:rPr>
          <w:lang w:val="en-AU"/>
        </w:rPr>
        <w:t xml:space="preserve"> however learn and</w:t>
      </w:r>
      <w:r w:rsidRPr="00272314">
        <w:rPr>
          <w:lang w:val="en-AU"/>
        </w:rPr>
        <w:t xml:space="preserve"> value learning in different ways</w:t>
      </w:r>
      <w:r>
        <w:rPr>
          <w:lang w:val="en-AU"/>
        </w:rPr>
        <w:t>. As such, and not unexpected</w:t>
      </w:r>
      <w:r w:rsidR="004A1E7C">
        <w:rPr>
          <w:lang w:val="en-AU"/>
        </w:rPr>
        <w:t>ly</w:t>
      </w:r>
      <w:r>
        <w:rPr>
          <w:lang w:val="en-AU"/>
        </w:rPr>
        <w:t>, there is variation in the way in which learning efforts manifest across the different partners.</w:t>
      </w:r>
      <w:r>
        <w:t xml:space="preserve"> For example, the methodologies and tools used and the quality of analyses undertaken</w:t>
      </w:r>
      <w:r w:rsidR="003D25C6">
        <w:t>, many of which have been discussed previously (see 4.2. Effectiveness; 4.6. Sustainability and 4.7 M&amp;E).</w:t>
      </w:r>
    </w:p>
    <w:p w:rsidR="002621C6" w:rsidRDefault="002621C6" w:rsidP="0008773F">
      <w:pPr>
        <w:pStyle w:val="DonnasStyle"/>
      </w:pPr>
    </w:p>
    <w:p w:rsidR="00F741F3" w:rsidRDefault="002621C6" w:rsidP="0008773F">
      <w:pPr>
        <w:pStyle w:val="DonnasStyle"/>
      </w:pPr>
      <w:r>
        <w:t xml:space="preserve">An interesting observation that evidences learning is the extent to which </w:t>
      </w:r>
      <w:r w:rsidRPr="000D2AC5">
        <w:rPr>
          <w:b/>
        </w:rPr>
        <w:t>partners are making adjustments to their interventions in response to learning at the field level</w:t>
      </w:r>
      <w:r>
        <w:t>. This can be as simple as small adjustments to contextual differences between districts</w:t>
      </w:r>
      <w:r w:rsidR="00EB69F7">
        <w:t xml:space="preserve"> or target groups</w:t>
      </w:r>
      <w:r>
        <w:t>. Fo</w:t>
      </w:r>
      <w:r w:rsidR="00EB69F7">
        <w:t xml:space="preserve">r others who are perhaps having </w:t>
      </w:r>
      <w:r>
        <w:t xml:space="preserve">to work outside of their institutional </w:t>
      </w:r>
      <w:r w:rsidR="00F741F3">
        <w:t>competence</w:t>
      </w:r>
      <w:r>
        <w:t xml:space="preserve"> on account of the geographic spread of the program and the requirement for integrated approaches, this is evidenced for example in the manifestation of strategic relationships </w:t>
      </w:r>
      <w:r w:rsidR="0096696B">
        <w:t xml:space="preserve">which build on the relative strengths of </w:t>
      </w:r>
      <w:r>
        <w:t xml:space="preserve">other CCCAG partners. </w:t>
      </w:r>
      <w:r w:rsidR="00F741F3">
        <w:t xml:space="preserve"> </w:t>
      </w:r>
    </w:p>
    <w:p w:rsidR="00F741F3" w:rsidRDefault="00F741F3" w:rsidP="0008773F">
      <w:pPr>
        <w:pStyle w:val="DonnasStyle"/>
      </w:pPr>
    </w:p>
    <w:p w:rsidR="000B1D99" w:rsidRDefault="003A3DAE" w:rsidP="000B1D99">
      <w:pPr>
        <w:pStyle w:val="DonnasStyle"/>
      </w:pPr>
      <w:r>
        <w:t>Our discussion</w:t>
      </w:r>
      <w:r w:rsidR="0008773F">
        <w:t xml:space="preserve"> M&amp;E </w:t>
      </w:r>
      <w:r>
        <w:t xml:space="preserve">(see 4.7) </w:t>
      </w:r>
      <w:r w:rsidR="0008773F">
        <w:t xml:space="preserve">has highlighted the need for partners to pay increasing attention to more detailed and systematic </w:t>
      </w:r>
      <w:r w:rsidR="0008773F" w:rsidRPr="00845E19">
        <w:rPr>
          <w:b/>
        </w:rPr>
        <w:t>analysis</w:t>
      </w:r>
      <w:r w:rsidR="0008773F">
        <w:t xml:space="preserve"> at the field level as they move along the project cycle, in order that they can add further richness to </w:t>
      </w:r>
      <w:r w:rsidR="00845E19">
        <w:t>learning at both the project and program level.</w:t>
      </w:r>
    </w:p>
    <w:p w:rsidR="00CA4827" w:rsidRPr="00737A1E" w:rsidRDefault="005E5A80" w:rsidP="00737A1E">
      <w:pPr>
        <w:pStyle w:val="Heading2"/>
      </w:pPr>
      <w:bookmarkStart w:id="39" w:name="_Toc266010039"/>
      <w:bookmarkStart w:id="40" w:name="_Toc265686025"/>
      <w:r>
        <w:t xml:space="preserve">5. </w:t>
      </w:r>
      <w:r w:rsidR="000B1D99">
        <w:t>Partnership Observations</w:t>
      </w:r>
      <w:bookmarkEnd w:id="39"/>
    </w:p>
    <w:p w:rsidR="005E5A80" w:rsidRPr="00916247" w:rsidRDefault="00916247" w:rsidP="005E5A80">
      <w:pPr>
        <w:rPr>
          <w:rFonts w:ascii="Century Gothic" w:hAnsi="Century Gothic"/>
          <w:b/>
          <w:color w:val="8DB3E2" w:themeColor="text2" w:themeTint="66"/>
          <w:sz w:val="22"/>
        </w:rPr>
      </w:pPr>
      <w:r w:rsidRPr="00916247">
        <w:rPr>
          <w:rFonts w:ascii="Century Gothic" w:hAnsi="Century Gothic"/>
          <w:b/>
          <w:color w:val="8DB3E2" w:themeColor="text2" w:themeTint="66"/>
          <w:sz w:val="22"/>
        </w:rPr>
        <w:t xml:space="preserve">Practical </w:t>
      </w:r>
      <w:r>
        <w:rPr>
          <w:rFonts w:ascii="Century Gothic" w:hAnsi="Century Gothic"/>
          <w:b/>
          <w:color w:val="8DB3E2" w:themeColor="text2" w:themeTint="66"/>
          <w:sz w:val="22"/>
        </w:rPr>
        <w:t xml:space="preserve">Support for </w:t>
      </w:r>
      <w:r w:rsidRPr="00916247">
        <w:rPr>
          <w:rFonts w:ascii="Century Gothic" w:hAnsi="Century Gothic"/>
          <w:b/>
          <w:color w:val="8DB3E2" w:themeColor="text2" w:themeTint="66"/>
          <w:sz w:val="22"/>
        </w:rPr>
        <w:t>Partnership</w:t>
      </w:r>
      <w:r>
        <w:rPr>
          <w:rFonts w:ascii="Century Gothic" w:hAnsi="Century Gothic"/>
          <w:b/>
          <w:color w:val="8DB3E2" w:themeColor="text2" w:themeTint="66"/>
          <w:sz w:val="22"/>
        </w:rPr>
        <w:t xml:space="preserve"> Development</w:t>
      </w:r>
    </w:p>
    <w:p w:rsidR="00262443" w:rsidRDefault="000A287F" w:rsidP="005E2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0A287F">
        <w:rPr>
          <w:rFonts w:ascii="Century Gothic" w:hAnsi="Century Gothic" w:cs="Helvetica"/>
          <w:iCs/>
          <w:color w:val="000000"/>
          <w:sz w:val="22"/>
        </w:rPr>
        <w:t xml:space="preserve">From the outset, </w:t>
      </w:r>
      <w:r w:rsidRPr="000A287F">
        <w:rPr>
          <w:rFonts w:ascii="Century Gothic" w:hAnsi="Century Gothic" w:cs="Helvetica"/>
          <w:b/>
          <w:iCs/>
          <w:color w:val="000000"/>
          <w:sz w:val="22"/>
        </w:rPr>
        <w:t>DFAT Vietnam seized the opportunity presented by CCCAG to progress the regional agenda of strengthening its engagement with NGO</w:t>
      </w:r>
      <w:r w:rsidRPr="004A1E7C">
        <w:rPr>
          <w:rFonts w:ascii="Century Gothic" w:hAnsi="Century Gothic" w:cs="Helvetica"/>
          <w:b/>
          <w:iCs/>
          <w:color w:val="000000"/>
          <w:sz w:val="22"/>
        </w:rPr>
        <w:t>s</w:t>
      </w:r>
      <w:r w:rsidRPr="000A287F">
        <w:rPr>
          <w:rFonts w:ascii="Century Gothic" w:hAnsi="Century Gothic" w:cs="Helvetica"/>
          <w:iCs/>
          <w:color w:val="000000"/>
          <w:sz w:val="22"/>
        </w:rPr>
        <w:t xml:space="preserve">. </w:t>
      </w:r>
      <w:r>
        <w:rPr>
          <w:rFonts w:ascii="Century Gothic" w:hAnsi="Century Gothic" w:cs="Helvetica"/>
          <w:iCs/>
          <w:color w:val="000000"/>
          <w:sz w:val="22"/>
        </w:rPr>
        <w:t xml:space="preserve">DFAT team members have responded well to the new ways of working in partnership and made </w:t>
      </w:r>
      <w:r w:rsidR="005E5A80" w:rsidRPr="00EE3FA7">
        <w:rPr>
          <w:rFonts w:ascii="Century Gothic" w:hAnsi="Century Gothic" w:cs="Helvetica"/>
          <w:b/>
          <w:i/>
          <w:iCs/>
          <w:color w:val="000000"/>
          <w:sz w:val="22"/>
        </w:rPr>
        <w:t xml:space="preserve">concerted efforts </w:t>
      </w:r>
      <w:r w:rsidR="005E5A80" w:rsidRPr="0066788E">
        <w:rPr>
          <w:rFonts w:ascii="Century Gothic" w:hAnsi="Century Gothic" w:cs="Helvetica"/>
          <w:iCs/>
          <w:color w:val="000000"/>
          <w:sz w:val="22"/>
        </w:rPr>
        <w:t xml:space="preserve">to build on the recommendations of the VANGOCA </w:t>
      </w:r>
      <w:r>
        <w:rPr>
          <w:rFonts w:ascii="Century Gothic" w:hAnsi="Century Gothic" w:cs="Helvetica"/>
          <w:iCs/>
          <w:color w:val="000000"/>
          <w:sz w:val="22"/>
        </w:rPr>
        <w:t>R</w:t>
      </w:r>
      <w:r w:rsidR="005E5A80" w:rsidRPr="0066788E">
        <w:rPr>
          <w:rFonts w:ascii="Century Gothic" w:hAnsi="Century Gothic" w:cs="Helvetica"/>
          <w:iCs/>
          <w:color w:val="000000"/>
          <w:sz w:val="22"/>
        </w:rPr>
        <w:t>eview and principles of AMNEP</w:t>
      </w:r>
      <w:r w:rsidR="00262443">
        <w:rPr>
          <w:rFonts w:ascii="Century Gothic" w:hAnsi="Century Gothic" w:cs="Helvetica"/>
          <w:iCs/>
          <w:color w:val="000000"/>
          <w:sz w:val="22"/>
        </w:rPr>
        <w:t xml:space="preserve"> to design and manage an efficient partnering mechanism (see 3. Efficiency).</w:t>
      </w:r>
    </w:p>
    <w:p w:rsidR="000A4BE1" w:rsidRDefault="000A4BE1" w:rsidP="005E2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7F038E" w:rsidRDefault="00017302"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DFAT Vietnam </w:t>
      </w:r>
      <w:r w:rsidR="005E2CD0" w:rsidRPr="005E2CD0">
        <w:rPr>
          <w:rFonts w:ascii="Century Gothic" w:hAnsi="Century Gothic" w:cs="Helvetica"/>
          <w:b/>
          <w:iCs/>
          <w:color w:val="000000"/>
          <w:sz w:val="22"/>
        </w:rPr>
        <w:t xml:space="preserve">has drawn upon resources available through AMNEP to </w:t>
      </w:r>
      <w:r w:rsidR="007F038E">
        <w:rPr>
          <w:rFonts w:ascii="Century Gothic" w:hAnsi="Century Gothic" w:cs="Helvetica"/>
          <w:b/>
          <w:iCs/>
          <w:color w:val="000000"/>
          <w:sz w:val="22"/>
        </w:rPr>
        <w:t xml:space="preserve">build </w:t>
      </w:r>
      <w:r>
        <w:rPr>
          <w:rFonts w:ascii="Century Gothic" w:hAnsi="Century Gothic" w:cs="Helvetica"/>
          <w:b/>
          <w:iCs/>
          <w:color w:val="000000"/>
          <w:sz w:val="22"/>
        </w:rPr>
        <w:t>the partnership</w:t>
      </w:r>
      <w:r w:rsidR="005E2CD0" w:rsidRPr="005E2CD0">
        <w:rPr>
          <w:rFonts w:ascii="Century Gothic" w:hAnsi="Century Gothic" w:cs="Helvetica"/>
          <w:b/>
          <w:iCs/>
          <w:color w:val="000000"/>
          <w:sz w:val="22"/>
        </w:rPr>
        <w:t>.</w:t>
      </w:r>
      <w:r w:rsidR="005E2CD0">
        <w:rPr>
          <w:rFonts w:ascii="Century Gothic" w:hAnsi="Century Gothic" w:cs="Helvetica"/>
          <w:iCs/>
          <w:color w:val="000000"/>
          <w:sz w:val="22"/>
        </w:rPr>
        <w:t xml:space="preserve"> This includes support for the appraisal and selection of projects, </w:t>
      </w:r>
      <w:r>
        <w:rPr>
          <w:rFonts w:ascii="Century Gothic" w:hAnsi="Century Gothic" w:cs="Helvetica"/>
          <w:iCs/>
          <w:color w:val="000000"/>
          <w:sz w:val="22"/>
        </w:rPr>
        <w:t xml:space="preserve">the </w:t>
      </w:r>
      <w:r w:rsidR="005E2CD0">
        <w:rPr>
          <w:rFonts w:ascii="Century Gothic" w:hAnsi="Century Gothic" w:cs="Helvetica"/>
          <w:iCs/>
          <w:color w:val="000000"/>
          <w:sz w:val="22"/>
        </w:rPr>
        <w:t xml:space="preserve">facilitation of pre-design workshops, project level design support, technical support for the development of common results and reporting frameworks to support strengthened M&amp;E at the program level, and the provision of technical advisers to this Review to enable a nuanced reflection on the investment in partnership approaches.  </w:t>
      </w:r>
    </w:p>
    <w:p w:rsidR="00BF42BC" w:rsidRDefault="00BF42BC"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B2657E" w:rsidRPr="00760934" w:rsidRDefault="00C77647"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iCs/>
          <w:color w:val="8DB3E2" w:themeColor="text2" w:themeTint="66"/>
          <w:sz w:val="22"/>
        </w:rPr>
      </w:pPr>
      <w:r>
        <w:rPr>
          <w:rFonts w:ascii="Century Gothic" w:hAnsi="Century Gothic" w:cs="Helvetica"/>
          <w:b/>
          <w:iCs/>
          <w:color w:val="8DB3E2" w:themeColor="text2" w:themeTint="66"/>
          <w:sz w:val="22"/>
        </w:rPr>
        <w:t>Observable B</w:t>
      </w:r>
      <w:r w:rsidR="00BF42BC" w:rsidRPr="007D5EF9">
        <w:rPr>
          <w:rFonts w:ascii="Century Gothic" w:hAnsi="Century Gothic" w:cs="Helvetica"/>
          <w:b/>
          <w:iCs/>
          <w:color w:val="8DB3E2" w:themeColor="text2" w:themeTint="66"/>
          <w:sz w:val="22"/>
        </w:rPr>
        <w:t xml:space="preserve">enefits for </w:t>
      </w:r>
      <w:r>
        <w:rPr>
          <w:rFonts w:ascii="Century Gothic" w:hAnsi="Century Gothic" w:cs="Helvetica"/>
          <w:b/>
          <w:iCs/>
          <w:color w:val="8DB3E2" w:themeColor="text2" w:themeTint="66"/>
          <w:sz w:val="22"/>
        </w:rPr>
        <w:t>Different Partners</w:t>
      </w:r>
    </w:p>
    <w:p w:rsidR="00797656" w:rsidRDefault="00797656" w:rsidP="00797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In assessing the contribution of partnering efforts, we have sought to understand the </w:t>
      </w:r>
      <w:r>
        <w:rPr>
          <w:rFonts w:ascii="Century Gothic" w:hAnsi="Century Gothic" w:cs="Helvetica"/>
          <w:iCs/>
          <w:color w:val="000000"/>
          <w:sz w:val="22"/>
        </w:rPr>
        <w:lastRenderedPageBreak/>
        <w:t>extent to which the partnership adds value to partners i. individually, and ii. collectively. Our assessment also takes</w:t>
      </w:r>
      <w:r w:rsidR="004A1E7C">
        <w:rPr>
          <w:rFonts w:ascii="Century Gothic" w:hAnsi="Century Gothic" w:cs="Helvetica"/>
          <w:iCs/>
          <w:color w:val="000000"/>
          <w:sz w:val="22"/>
        </w:rPr>
        <w:t xml:space="preserve"> into account the stage of the p</w:t>
      </w:r>
      <w:r>
        <w:rPr>
          <w:rFonts w:ascii="Century Gothic" w:hAnsi="Century Gothic" w:cs="Helvetica"/>
          <w:iCs/>
          <w:color w:val="000000"/>
          <w:sz w:val="22"/>
        </w:rPr>
        <w:t xml:space="preserve">artnership. Lessons learned through </w:t>
      </w:r>
      <w:r w:rsidRPr="006A077E">
        <w:rPr>
          <w:rFonts w:ascii="Century Gothic" w:hAnsi="Century Gothic" w:cs="Century Gothic"/>
          <w:sz w:val="22"/>
          <w:szCs w:val="30"/>
        </w:rPr>
        <w:t xml:space="preserve">AMNEP </w:t>
      </w:r>
      <w:r>
        <w:rPr>
          <w:rFonts w:ascii="Century Gothic" w:hAnsi="Century Gothic" w:cs="Century Gothic"/>
          <w:sz w:val="22"/>
          <w:szCs w:val="30"/>
        </w:rPr>
        <w:t>highlight that</w:t>
      </w:r>
      <w:r w:rsidRPr="006A077E">
        <w:rPr>
          <w:rFonts w:ascii="Century Gothic" w:hAnsi="Century Gothic" w:cs="Century Gothic"/>
          <w:sz w:val="22"/>
          <w:szCs w:val="30"/>
        </w:rPr>
        <w:t xml:space="preserve"> </w:t>
      </w:r>
      <w:r>
        <w:rPr>
          <w:rFonts w:ascii="Century Gothic" w:hAnsi="Century Gothic" w:cs="Century Gothic"/>
          <w:sz w:val="22"/>
          <w:szCs w:val="30"/>
        </w:rPr>
        <w:t xml:space="preserve">it is </w:t>
      </w:r>
      <w:r w:rsidRPr="00B2657E">
        <w:rPr>
          <w:rFonts w:ascii="Century Gothic" w:hAnsi="Century Gothic" w:cs="Century Gothic"/>
          <w:sz w:val="22"/>
          <w:szCs w:val="30"/>
        </w:rPr>
        <w:t>challenging at the outset for partners</w:t>
      </w:r>
      <w:r>
        <w:rPr>
          <w:rFonts w:ascii="Century Gothic" w:hAnsi="Century Gothic" w:cs="Century Gothic"/>
          <w:sz w:val="22"/>
          <w:szCs w:val="30"/>
        </w:rPr>
        <w:t xml:space="preserve"> </w:t>
      </w:r>
      <w:r w:rsidRPr="00B2657E">
        <w:rPr>
          <w:rFonts w:ascii="Century Gothic" w:hAnsi="Century Gothic" w:cs="Century Gothic"/>
          <w:sz w:val="22"/>
          <w:szCs w:val="30"/>
        </w:rPr>
        <w:t xml:space="preserve">to arrive at </w:t>
      </w:r>
      <w:r>
        <w:rPr>
          <w:rFonts w:ascii="Century Gothic" w:hAnsi="Century Gothic" w:cs="Century Gothic"/>
          <w:sz w:val="22"/>
          <w:szCs w:val="30"/>
        </w:rPr>
        <w:t>a</w:t>
      </w:r>
      <w:r w:rsidRPr="00B2657E">
        <w:rPr>
          <w:rFonts w:ascii="Century Gothic" w:hAnsi="Century Gothic" w:cs="Century Gothic"/>
          <w:sz w:val="22"/>
          <w:szCs w:val="30"/>
        </w:rPr>
        <w:t xml:space="preserve"> </w:t>
      </w:r>
      <w:r>
        <w:rPr>
          <w:rFonts w:ascii="Century Gothic" w:hAnsi="Century Gothic" w:cs="Century Gothic"/>
          <w:sz w:val="22"/>
          <w:szCs w:val="30"/>
        </w:rPr>
        <w:t xml:space="preserve">shared vision of </w:t>
      </w:r>
      <w:r w:rsidRPr="00B2657E">
        <w:rPr>
          <w:rFonts w:ascii="Century Gothic" w:hAnsi="Century Gothic" w:cs="Century Gothic"/>
          <w:sz w:val="22"/>
          <w:szCs w:val="30"/>
        </w:rPr>
        <w:t xml:space="preserve">what </w:t>
      </w:r>
      <w:r>
        <w:rPr>
          <w:rFonts w:ascii="Century Gothic" w:hAnsi="Century Gothic" w:cs="Century Gothic"/>
          <w:sz w:val="22"/>
          <w:szCs w:val="30"/>
        </w:rPr>
        <w:t>the partnership</w:t>
      </w:r>
      <w:r w:rsidRPr="00B2657E">
        <w:rPr>
          <w:rFonts w:ascii="Century Gothic" w:hAnsi="Century Gothic" w:cs="Century Gothic"/>
          <w:sz w:val="22"/>
          <w:szCs w:val="30"/>
        </w:rPr>
        <w:t xml:space="preserve"> can tangibly achieve</w:t>
      </w:r>
      <w:r w:rsidRPr="006A077E">
        <w:rPr>
          <w:rFonts w:ascii="Century Gothic" w:hAnsi="Century Gothic" w:cs="Century Gothic"/>
          <w:sz w:val="22"/>
          <w:szCs w:val="30"/>
        </w:rPr>
        <w:t xml:space="preserve">. </w:t>
      </w:r>
      <w:r>
        <w:rPr>
          <w:rFonts w:ascii="Century Gothic" w:hAnsi="Century Gothic" w:cs="Century Gothic"/>
          <w:sz w:val="22"/>
          <w:szCs w:val="30"/>
        </w:rPr>
        <w:t>Most often, r</w:t>
      </w:r>
      <w:r w:rsidRPr="006A077E">
        <w:rPr>
          <w:rFonts w:ascii="Century Gothic" w:hAnsi="Century Gothic" w:cs="Century Gothic"/>
          <w:sz w:val="22"/>
          <w:szCs w:val="30"/>
        </w:rPr>
        <w:t xml:space="preserve">ecognition of the </w:t>
      </w:r>
      <w:r>
        <w:rPr>
          <w:rFonts w:ascii="Century Gothic" w:hAnsi="Century Gothic" w:cs="Century Gothic"/>
          <w:sz w:val="22"/>
          <w:szCs w:val="30"/>
        </w:rPr>
        <w:t>real</w:t>
      </w:r>
      <w:r w:rsidRPr="006A077E">
        <w:rPr>
          <w:rFonts w:ascii="Century Gothic" w:hAnsi="Century Gothic" w:cs="Century Gothic"/>
          <w:sz w:val="22"/>
          <w:szCs w:val="30"/>
        </w:rPr>
        <w:t xml:space="preserve"> potential </w:t>
      </w:r>
      <w:r>
        <w:rPr>
          <w:rFonts w:ascii="Century Gothic" w:hAnsi="Century Gothic" w:cs="Century Gothic"/>
          <w:sz w:val="22"/>
          <w:szCs w:val="30"/>
        </w:rPr>
        <w:t xml:space="preserve">of the partnership comes in </w:t>
      </w:r>
      <w:r w:rsidRPr="006A077E">
        <w:rPr>
          <w:rFonts w:ascii="Century Gothic" w:hAnsi="Century Gothic" w:cs="Century Gothic"/>
          <w:sz w:val="22"/>
          <w:szCs w:val="30"/>
        </w:rPr>
        <w:t xml:space="preserve">to play as institutional relationships develop, </w:t>
      </w:r>
      <w:r>
        <w:rPr>
          <w:rFonts w:ascii="Century Gothic" w:hAnsi="Century Gothic" w:cs="Century Gothic"/>
          <w:sz w:val="22"/>
          <w:szCs w:val="30"/>
        </w:rPr>
        <w:t>and there exists a deepened trust and understanding of each other’s mutual interests.</w:t>
      </w:r>
    </w:p>
    <w:p w:rsidR="00797656" w:rsidRDefault="00797656" w:rsidP="000443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iCs/>
          <w:color w:val="000000"/>
          <w:sz w:val="22"/>
        </w:rPr>
      </w:pPr>
    </w:p>
    <w:p w:rsidR="00044334" w:rsidRPr="00797656" w:rsidRDefault="00FD2CDB" w:rsidP="000443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iCs/>
          <w:color w:val="000000"/>
          <w:sz w:val="22"/>
        </w:rPr>
      </w:pPr>
      <w:r w:rsidRPr="00CB0E02">
        <w:rPr>
          <w:rFonts w:ascii="Century Gothic" w:hAnsi="Century Gothic" w:cs="Helvetica"/>
          <w:b/>
          <w:iCs/>
          <w:color w:val="000000"/>
          <w:sz w:val="22"/>
        </w:rPr>
        <w:t xml:space="preserve">Partnering efforts </w:t>
      </w:r>
      <w:r w:rsidR="00797656">
        <w:rPr>
          <w:rFonts w:ascii="Century Gothic" w:hAnsi="Century Gothic" w:cs="Helvetica"/>
          <w:b/>
          <w:iCs/>
          <w:color w:val="000000"/>
          <w:sz w:val="22"/>
        </w:rPr>
        <w:t xml:space="preserve">are providing benefits to </w:t>
      </w:r>
      <w:r w:rsidRPr="00CB0E02">
        <w:rPr>
          <w:rFonts w:ascii="Century Gothic" w:hAnsi="Century Gothic" w:cs="Helvetica"/>
          <w:b/>
          <w:iCs/>
          <w:color w:val="000000"/>
          <w:sz w:val="22"/>
        </w:rPr>
        <w:t>different partners.</w:t>
      </w:r>
      <w:r w:rsidR="00797656">
        <w:rPr>
          <w:rFonts w:ascii="Century Gothic" w:hAnsi="Century Gothic" w:cs="Helvetica"/>
          <w:b/>
          <w:iCs/>
          <w:color w:val="000000"/>
          <w:sz w:val="22"/>
        </w:rPr>
        <w:t xml:space="preserve"> </w:t>
      </w:r>
      <w:r w:rsidR="00A5423F" w:rsidRPr="0043384F">
        <w:rPr>
          <w:rFonts w:ascii="Century Gothic" w:hAnsi="Century Gothic" w:cs="Helvetica"/>
          <w:iCs/>
          <w:color w:val="000000"/>
          <w:sz w:val="22"/>
        </w:rPr>
        <w:t xml:space="preserve">From the </w:t>
      </w:r>
      <w:r w:rsidR="0043384F" w:rsidRPr="0043384F">
        <w:rPr>
          <w:rFonts w:ascii="Century Gothic" w:hAnsi="Century Gothic" w:cs="Helvetica"/>
          <w:iCs/>
          <w:color w:val="000000"/>
          <w:sz w:val="22"/>
        </w:rPr>
        <w:t xml:space="preserve">outset </w:t>
      </w:r>
      <w:r w:rsidR="00A5423F" w:rsidRPr="0043384F">
        <w:rPr>
          <w:rFonts w:ascii="Century Gothic" w:hAnsi="Century Gothic" w:cs="Helvetica"/>
          <w:iCs/>
          <w:color w:val="000000"/>
          <w:sz w:val="22"/>
        </w:rPr>
        <w:t xml:space="preserve">of Review planning </w:t>
      </w:r>
      <w:r w:rsidR="0043384F" w:rsidRPr="0043384F">
        <w:rPr>
          <w:rFonts w:ascii="Century Gothic" w:hAnsi="Century Gothic" w:cs="Helvetica"/>
          <w:iCs/>
          <w:color w:val="000000"/>
          <w:sz w:val="22"/>
        </w:rPr>
        <w:t xml:space="preserve">and through </w:t>
      </w:r>
      <w:r w:rsidR="00A5423F" w:rsidRPr="0043384F">
        <w:rPr>
          <w:rFonts w:ascii="Century Gothic" w:hAnsi="Century Gothic" w:cs="Helvetica"/>
          <w:iCs/>
          <w:color w:val="000000"/>
          <w:sz w:val="22"/>
        </w:rPr>
        <w:t xml:space="preserve">field visits and debriefing sessions, </w:t>
      </w:r>
      <w:r w:rsidR="0043384F" w:rsidRPr="0043384F">
        <w:rPr>
          <w:rFonts w:ascii="Century Gothic" w:hAnsi="Century Gothic" w:cs="Helvetica"/>
          <w:iCs/>
          <w:color w:val="000000"/>
          <w:sz w:val="22"/>
        </w:rPr>
        <w:t xml:space="preserve">we </w:t>
      </w:r>
      <w:r w:rsidR="00A5423F" w:rsidRPr="0043384F">
        <w:rPr>
          <w:rFonts w:ascii="Century Gothic" w:hAnsi="Century Gothic" w:cs="Helvetica"/>
          <w:iCs/>
          <w:color w:val="000000"/>
          <w:sz w:val="22"/>
        </w:rPr>
        <w:t xml:space="preserve">noted openness in the dialogue between DFAT and its partners. In </w:t>
      </w:r>
      <w:r w:rsidR="005C0428" w:rsidRPr="0043384F">
        <w:rPr>
          <w:rFonts w:ascii="Century Gothic" w:hAnsi="Century Gothic" w:cs="Helvetica"/>
          <w:iCs/>
          <w:color w:val="000000"/>
          <w:sz w:val="22"/>
        </w:rPr>
        <w:t>various</w:t>
      </w:r>
      <w:r w:rsidR="00A5423F" w:rsidRPr="0043384F">
        <w:rPr>
          <w:rFonts w:ascii="Century Gothic" w:hAnsi="Century Gothic" w:cs="Helvetica"/>
          <w:iCs/>
          <w:color w:val="000000"/>
          <w:sz w:val="22"/>
        </w:rPr>
        <w:t xml:space="preserve"> fora, DFAT and NGOs were prepared to raise issues and concerns, provide opportunities for all partners to present their views and work collaboratively towards solutions</w:t>
      </w:r>
      <w:r w:rsidR="0043384F" w:rsidRPr="0043384F">
        <w:rPr>
          <w:rFonts w:ascii="Century Gothic" w:hAnsi="Century Gothic" w:cs="Helvetica"/>
          <w:iCs/>
          <w:color w:val="000000"/>
          <w:sz w:val="22"/>
        </w:rPr>
        <w:t xml:space="preserve"> or shared understandings</w:t>
      </w:r>
      <w:r w:rsidR="00A5423F" w:rsidRPr="0043384F">
        <w:rPr>
          <w:rFonts w:ascii="Century Gothic" w:hAnsi="Century Gothic" w:cs="Helvetica"/>
          <w:iCs/>
          <w:color w:val="000000"/>
          <w:sz w:val="22"/>
        </w:rPr>
        <w:t xml:space="preserve">. This is a strong indication that the </w:t>
      </w:r>
      <w:r w:rsidR="00A5423F" w:rsidRPr="0043384F">
        <w:rPr>
          <w:rFonts w:ascii="Century Gothic" w:hAnsi="Century Gothic" w:cs="Helvetica"/>
          <w:b/>
          <w:iCs/>
          <w:color w:val="000000"/>
          <w:sz w:val="22"/>
        </w:rPr>
        <w:t xml:space="preserve">trust required for deepening the functionality of the partnership in the longer term is </w:t>
      </w:r>
      <w:r w:rsidR="005C0428" w:rsidRPr="0043384F">
        <w:rPr>
          <w:rFonts w:ascii="Century Gothic" w:hAnsi="Century Gothic" w:cs="Helvetica"/>
          <w:b/>
          <w:iCs/>
          <w:color w:val="000000"/>
          <w:sz w:val="22"/>
        </w:rPr>
        <w:t>developing.</w:t>
      </w:r>
    </w:p>
    <w:p w:rsidR="0043384F" w:rsidRPr="0043384F" w:rsidRDefault="0043384F"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A70675" w:rsidRDefault="00B32309"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43384F">
        <w:rPr>
          <w:rFonts w:ascii="Century Gothic" w:hAnsi="Century Gothic" w:cs="Helvetica"/>
          <w:iCs/>
          <w:color w:val="000000"/>
          <w:sz w:val="22"/>
        </w:rPr>
        <w:t xml:space="preserve">DFAT staff </w:t>
      </w:r>
      <w:r w:rsidR="0043384F" w:rsidRPr="0043384F">
        <w:rPr>
          <w:rFonts w:ascii="Century Gothic" w:hAnsi="Century Gothic" w:cs="Helvetica"/>
          <w:iCs/>
          <w:color w:val="000000"/>
          <w:sz w:val="22"/>
        </w:rPr>
        <w:t xml:space="preserve">communicated that </w:t>
      </w:r>
      <w:r w:rsidRPr="0043384F">
        <w:rPr>
          <w:rFonts w:ascii="Century Gothic" w:hAnsi="Century Gothic" w:cs="Helvetica"/>
          <w:iCs/>
          <w:color w:val="000000"/>
          <w:sz w:val="22"/>
        </w:rPr>
        <w:t>they have a more detailed and nuanced understanding of the work of their partners</w:t>
      </w:r>
      <w:r w:rsidR="0043384F" w:rsidRPr="0043384F">
        <w:rPr>
          <w:rFonts w:ascii="Century Gothic" w:hAnsi="Century Gothic" w:cs="Helvetica"/>
          <w:iCs/>
          <w:color w:val="000000"/>
          <w:sz w:val="22"/>
        </w:rPr>
        <w:t xml:space="preserve"> and of sub</w:t>
      </w:r>
      <w:r w:rsidR="00A70675">
        <w:rPr>
          <w:rFonts w:ascii="Century Gothic" w:hAnsi="Century Gothic" w:cs="Helvetica"/>
          <w:iCs/>
          <w:color w:val="000000"/>
          <w:sz w:val="22"/>
        </w:rPr>
        <w:t xml:space="preserve"> </w:t>
      </w:r>
      <w:r w:rsidR="0043384F" w:rsidRPr="0043384F">
        <w:rPr>
          <w:rFonts w:ascii="Century Gothic" w:hAnsi="Century Gothic" w:cs="Helvetica"/>
          <w:iCs/>
          <w:color w:val="000000"/>
          <w:sz w:val="22"/>
        </w:rPr>
        <w:t>national contexts. T</w:t>
      </w:r>
      <w:r w:rsidR="007F038E" w:rsidRPr="0043384F">
        <w:rPr>
          <w:rFonts w:ascii="Century Gothic" w:hAnsi="Century Gothic" w:cs="Helvetica"/>
          <w:iCs/>
          <w:color w:val="000000"/>
          <w:sz w:val="22"/>
        </w:rPr>
        <w:t xml:space="preserve">his </w:t>
      </w:r>
      <w:r w:rsidRPr="0043384F">
        <w:rPr>
          <w:rFonts w:ascii="Century Gothic" w:hAnsi="Century Gothic" w:cs="Helvetica"/>
          <w:b/>
          <w:iCs/>
          <w:color w:val="000000"/>
          <w:sz w:val="22"/>
        </w:rPr>
        <w:t>deeper engagement enables DFAT to draw upon field observations and emerging lessons in its wider policy conversations with the GoV and other key development actors</w:t>
      </w:r>
      <w:r w:rsidRPr="0043384F">
        <w:rPr>
          <w:rFonts w:ascii="Century Gothic" w:hAnsi="Century Gothic" w:cs="Helvetica"/>
          <w:iCs/>
          <w:color w:val="000000"/>
          <w:sz w:val="22"/>
        </w:rPr>
        <w:t xml:space="preserve">. Consultations held with GoV and external stakeholders throughout the Review, indicated that </w:t>
      </w:r>
      <w:r w:rsidRPr="0043384F">
        <w:rPr>
          <w:rFonts w:ascii="Century Gothic" w:hAnsi="Century Gothic" w:cs="Helvetica"/>
          <w:b/>
          <w:iCs/>
          <w:color w:val="000000"/>
          <w:sz w:val="22"/>
        </w:rPr>
        <w:t>Australia was seen as a credible and engaged actor</w:t>
      </w:r>
      <w:r w:rsidRPr="0043384F">
        <w:rPr>
          <w:rFonts w:ascii="Century Gothic" w:hAnsi="Century Gothic" w:cs="Helvetica"/>
          <w:iCs/>
          <w:color w:val="000000"/>
          <w:sz w:val="22"/>
        </w:rPr>
        <w:t xml:space="preserve"> within the climate change sector. </w:t>
      </w:r>
    </w:p>
    <w:p w:rsidR="00AB6236" w:rsidRDefault="00AB6236"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AB6236"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20"/>
        </w:rPr>
      </w:pPr>
      <w:r>
        <w:rPr>
          <w:rFonts w:ascii="Century Gothic" w:hAnsi="Century Gothic"/>
          <w:sz w:val="20"/>
        </w:rPr>
        <w:t>“W</w:t>
      </w:r>
      <w:r w:rsidRPr="00C46249">
        <w:rPr>
          <w:rFonts w:ascii="Century Gothic" w:hAnsi="Century Gothic"/>
          <w:sz w:val="20"/>
        </w:rPr>
        <w:t xml:space="preserve">e appreciate the </w:t>
      </w:r>
      <w:r>
        <w:rPr>
          <w:rFonts w:ascii="Century Gothic" w:hAnsi="Century Gothic"/>
          <w:sz w:val="20"/>
        </w:rPr>
        <w:t xml:space="preserve">way DFAT </w:t>
      </w:r>
      <w:r w:rsidRPr="00C46249">
        <w:rPr>
          <w:rFonts w:ascii="Century Gothic" w:hAnsi="Century Gothic"/>
          <w:sz w:val="20"/>
        </w:rPr>
        <w:t>engage</w:t>
      </w:r>
      <w:r>
        <w:rPr>
          <w:rFonts w:ascii="Century Gothic" w:hAnsi="Century Gothic"/>
          <w:sz w:val="20"/>
        </w:rPr>
        <w:t xml:space="preserve">s in our monitoring - </w:t>
      </w:r>
      <w:r w:rsidRPr="00C46249">
        <w:rPr>
          <w:rFonts w:ascii="Century Gothic" w:hAnsi="Century Gothic"/>
          <w:sz w:val="20"/>
        </w:rPr>
        <w:t>not as a big donor visit but more low key</w:t>
      </w:r>
      <w:r>
        <w:rPr>
          <w:rFonts w:ascii="Century Gothic" w:hAnsi="Century Gothic"/>
          <w:sz w:val="20"/>
        </w:rPr>
        <w:t>, talking to our field staff and partners and understanding the local realities.”</w:t>
      </w:r>
    </w:p>
    <w:p w:rsidR="00AB6236"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sz w:val="20"/>
        </w:rPr>
      </w:pPr>
    </w:p>
    <w:p w:rsidR="00AB6236"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both"/>
      </w:pPr>
      <w:r>
        <w:rPr>
          <w:rFonts w:ascii="Century Gothic" w:hAnsi="Century Gothic"/>
          <w:sz w:val="20"/>
        </w:rPr>
        <w:t>“We need to think about how we can better engage our HQ in the partnership”</w:t>
      </w:r>
    </w:p>
    <w:p w:rsidR="00AB6236"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right"/>
        <w:rPr>
          <w:rFonts w:ascii="Century Gothic" w:hAnsi="Century Gothic"/>
          <w:sz w:val="14"/>
        </w:rPr>
      </w:pPr>
    </w:p>
    <w:p w:rsidR="00AB6236" w:rsidRPr="00AD1BE2"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right"/>
        <w:rPr>
          <w:rFonts w:ascii="Century Gothic" w:hAnsi="Century Gothic"/>
          <w:sz w:val="14"/>
        </w:rPr>
      </w:pPr>
      <w:r>
        <w:rPr>
          <w:rFonts w:ascii="Century Gothic" w:hAnsi="Century Gothic"/>
          <w:sz w:val="14"/>
        </w:rPr>
        <w:t>Anonymous (CCCAG Partner)</w:t>
      </w:r>
    </w:p>
    <w:p w:rsidR="00AB6236" w:rsidRDefault="00AB6236"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C81F7F" w:rsidRPr="00C81F7F" w:rsidRDefault="00B32309" w:rsidP="00C81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C81F7F">
        <w:rPr>
          <w:rFonts w:ascii="Century Gothic" w:hAnsi="Century Gothic" w:cs="Helvetica"/>
          <w:iCs/>
          <w:color w:val="000000"/>
          <w:sz w:val="22"/>
        </w:rPr>
        <w:t xml:space="preserve">A second important benefit of this increased engagement is the extent to which it enables DFAT staff to </w:t>
      </w:r>
      <w:r w:rsidRPr="00C81F7F">
        <w:rPr>
          <w:rFonts w:ascii="Century Gothic" w:hAnsi="Century Gothic" w:cs="Helvetica"/>
          <w:b/>
          <w:iCs/>
          <w:color w:val="000000"/>
          <w:sz w:val="22"/>
        </w:rPr>
        <w:t>act as internal brokers</w:t>
      </w:r>
      <w:r w:rsidRPr="00C81F7F">
        <w:rPr>
          <w:rFonts w:ascii="Century Gothic" w:hAnsi="Century Gothic" w:cs="Helvetica"/>
          <w:iCs/>
          <w:color w:val="000000"/>
          <w:sz w:val="22"/>
        </w:rPr>
        <w:t>, who are able to advocate the strategic value of community based climate change investments within a changing policy context.</w:t>
      </w:r>
      <w:r w:rsidR="00412414" w:rsidRPr="00C81F7F">
        <w:rPr>
          <w:rFonts w:ascii="Century Gothic" w:hAnsi="Century Gothic" w:cs="Helvetica"/>
          <w:iCs/>
          <w:color w:val="000000"/>
          <w:sz w:val="22"/>
        </w:rPr>
        <w:t xml:space="preserve"> </w:t>
      </w:r>
      <w:r w:rsidR="00C81F7F" w:rsidRPr="00C81F7F">
        <w:rPr>
          <w:rFonts w:ascii="Century Gothic" w:hAnsi="Century Gothic" w:cs="Helvetica"/>
          <w:iCs/>
          <w:color w:val="000000"/>
          <w:sz w:val="22"/>
        </w:rPr>
        <w:t>This role extends to promoting effective approaches for example, supporting resilience through integrated approaches to CCA, poverty alleviation and DRR; the strategic value of working through civil society; and the importance of working through local government and strengthening inclusive community planning systems.</w:t>
      </w:r>
    </w:p>
    <w:p w:rsidR="00B3199B" w:rsidRDefault="00B3199B" w:rsidP="00B3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495927" w:rsidRDefault="00B3199B" w:rsidP="003E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Century Gothic"/>
          <w:sz w:val="22"/>
          <w:szCs w:val="30"/>
        </w:rPr>
      </w:pPr>
      <w:r>
        <w:rPr>
          <w:rFonts w:ascii="Century Gothic" w:hAnsi="Century Gothic" w:cs="Helvetica"/>
          <w:iCs/>
          <w:color w:val="000000"/>
          <w:sz w:val="22"/>
        </w:rPr>
        <w:t xml:space="preserve">NGOs </w:t>
      </w:r>
      <w:r w:rsidR="004638B8">
        <w:rPr>
          <w:rFonts w:ascii="Century Gothic" w:hAnsi="Century Gothic" w:cs="Helvetica"/>
          <w:iCs/>
          <w:color w:val="000000"/>
          <w:sz w:val="22"/>
        </w:rPr>
        <w:t xml:space="preserve">value a </w:t>
      </w:r>
      <w:r w:rsidR="00405843">
        <w:rPr>
          <w:rFonts w:ascii="Century Gothic" w:hAnsi="Century Gothic" w:cs="Helvetica"/>
          <w:iCs/>
          <w:color w:val="000000"/>
          <w:sz w:val="22"/>
        </w:rPr>
        <w:t xml:space="preserve">collaborative working relationship with DFAT and a reduction in </w:t>
      </w:r>
      <w:r w:rsidR="00A94B24">
        <w:rPr>
          <w:rFonts w:ascii="Century Gothic" w:hAnsi="Century Gothic" w:cs="Helvetica"/>
          <w:iCs/>
          <w:color w:val="000000"/>
          <w:sz w:val="22"/>
        </w:rPr>
        <w:t xml:space="preserve">the </w:t>
      </w:r>
      <w:r w:rsidR="00012F7C">
        <w:rPr>
          <w:rFonts w:ascii="Century Gothic" w:hAnsi="Century Gothic" w:cs="Helvetica"/>
          <w:iCs/>
          <w:color w:val="000000"/>
          <w:sz w:val="22"/>
        </w:rPr>
        <w:t xml:space="preserve">transaction </w:t>
      </w:r>
      <w:r w:rsidR="00405843">
        <w:rPr>
          <w:rFonts w:ascii="Century Gothic" w:hAnsi="Century Gothic" w:cs="Helvetica"/>
          <w:iCs/>
          <w:color w:val="000000"/>
          <w:sz w:val="22"/>
        </w:rPr>
        <w:t>costs to reporti</w:t>
      </w:r>
      <w:r w:rsidR="005B078A">
        <w:rPr>
          <w:rFonts w:ascii="Century Gothic" w:hAnsi="Century Gothic" w:cs="Helvetica"/>
          <w:iCs/>
          <w:color w:val="000000"/>
          <w:sz w:val="22"/>
        </w:rPr>
        <w:t xml:space="preserve">ng and contractual arrangements. </w:t>
      </w:r>
      <w:r w:rsidR="00E07225">
        <w:rPr>
          <w:rFonts w:ascii="Century Gothic" w:hAnsi="Century Gothic" w:cs="Helvetica"/>
          <w:iCs/>
          <w:color w:val="000000"/>
          <w:sz w:val="22"/>
        </w:rPr>
        <w:t>There are also multiple examples of where</w:t>
      </w:r>
      <w:r w:rsidR="003872C5">
        <w:rPr>
          <w:rFonts w:ascii="Century Gothic" w:hAnsi="Century Gothic" w:cs="Helvetica"/>
          <w:iCs/>
          <w:color w:val="000000"/>
          <w:sz w:val="22"/>
        </w:rPr>
        <w:t xml:space="preserve"> NGO</w:t>
      </w:r>
      <w:r w:rsidR="00E07225">
        <w:rPr>
          <w:rFonts w:ascii="Century Gothic" w:hAnsi="Century Gothic" w:cs="Helvetica"/>
          <w:iCs/>
          <w:color w:val="000000"/>
          <w:sz w:val="22"/>
        </w:rPr>
        <w:t xml:space="preserve"> </w:t>
      </w:r>
      <w:r w:rsidR="00E07225" w:rsidRPr="003872C5">
        <w:rPr>
          <w:rFonts w:ascii="Century Gothic" w:hAnsi="Century Gothic" w:cs="Helvetica"/>
          <w:b/>
          <w:iCs/>
          <w:color w:val="000000"/>
          <w:sz w:val="22"/>
        </w:rPr>
        <w:t>partners have identified op</w:t>
      </w:r>
      <w:r w:rsidR="003872C5" w:rsidRPr="003872C5">
        <w:rPr>
          <w:rFonts w:ascii="Century Gothic" w:hAnsi="Century Gothic" w:cs="Helvetica"/>
          <w:b/>
          <w:iCs/>
          <w:color w:val="000000"/>
          <w:sz w:val="22"/>
        </w:rPr>
        <w:t>portunities for collaboration around common needs</w:t>
      </w:r>
      <w:r w:rsidR="003872C5">
        <w:rPr>
          <w:rFonts w:ascii="Century Gothic" w:hAnsi="Century Gothic" w:cs="Helvetica"/>
          <w:iCs/>
          <w:color w:val="000000"/>
          <w:sz w:val="22"/>
        </w:rPr>
        <w:t>.</w:t>
      </w:r>
      <w:r w:rsidR="003872C5" w:rsidRPr="003872C5">
        <w:rPr>
          <w:rFonts w:ascii="Century Gothic" w:hAnsi="Century Gothic" w:cs="Century Gothic"/>
          <w:sz w:val="22"/>
          <w:szCs w:val="30"/>
        </w:rPr>
        <w:t xml:space="preserve"> </w:t>
      </w:r>
      <w:r w:rsidR="003872C5">
        <w:rPr>
          <w:rFonts w:ascii="Century Gothic" w:hAnsi="Century Gothic" w:cs="Century Gothic"/>
          <w:sz w:val="22"/>
          <w:szCs w:val="30"/>
        </w:rPr>
        <w:t xml:space="preserve">This is most reflected in </w:t>
      </w:r>
      <w:r w:rsidR="003872C5" w:rsidRPr="006A077E">
        <w:rPr>
          <w:rFonts w:ascii="Century Gothic" w:hAnsi="Century Gothic" w:cs="Century Gothic"/>
          <w:sz w:val="22"/>
          <w:szCs w:val="30"/>
        </w:rPr>
        <w:t xml:space="preserve">at the project level where partners </w:t>
      </w:r>
      <w:r w:rsidR="003872C5">
        <w:rPr>
          <w:rFonts w:ascii="Century Gothic" w:hAnsi="Century Gothic" w:cs="Century Gothic"/>
          <w:sz w:val="22"/>
          <w:szCs w:val="30"/>
        </w:rPr>
        <w:t xml:space="preserve">are beginning share </w:t>
      </w:r>
      <w:r w:rsidR="00B21E6F">
        <w:rPr>
          <w:rFonts w:ascii="Century Gothic" w:hAnsi="Century Gothic" w:cs="Century Gothic"/>
          <w:sz w:val="22"/>
          <w:szCs w:val="30"/>
        </w:rPr>
        <w:t xml:space="preserve">lessons, </w:t>
      </w:r>
      <w:r w:rsidR="003872C5">
        <w:rPr>
          <w:rFonts w:ascii="Century Gothic" w:hAnsi="Century Gothic" w:cs="Century Gothic"/>
          <w:sz w:val="22"/>
          <w:szCs w:val="30"/>
        </w:rPr>
        <w:t xml:space="preserve">resources and </w:t>
      </w:r>
      <w:r w:rsidR="003E0A44">
        <w:rPr>
          <w:rFonts w:ascii="Century Gothic" w:hAnsi="Century Gothic" w:cs="Century Gothic"/>
          <w:sz w:val="22"/>
          <w:szCs w:val="30"/>
        </w:rPr>
        <w:t xml:space="preserve">in some instances </w:t>
      </w:r>
      <w:r w:rsidR="003872C5">
        <w:rPr>
          <w:rFonts w:ascii="Century Gothic" w:hAnsi="Century Gothic" w:cs="Century Gothic"/>
          <w:sz w:val="22"/>
          <w:szCs w:val="30"/>
        </w:rPr>
        <w:t>implement joint activities</w:t>
      </w:r>
      <w:r w:rsidR="003E0A44">
        <w:rPr>
          <w:rFonts w:ascii="Century Gothic" w:hAnsi="Century Gothic" w:cs="Century Gothic"/>
          <w:sz w:val="22"/>
          <w:szCs w:val="30"/>
        </w:rPr>
        <w:t xml:space="preserve"> such as training. There is some evidence that partners are mobilising the relative strengths of others to </w:t>
      </w:r>
      <w:r w:rsidR="005B078A">
        <w:rPr>
          <w:rFonts w:ascii="Century Gothic" w:hAnsi="Century Gothic" w:cs="Century Gothic"/>
          <w:sz w:val="22"/>
          <w:szCs w:val="30"/>
        </w:rPr>
        <w:t>add value to their own efforts</w:t>
      </w:r>
      <w:r w:rsidR="003E0A44">
        <w:rPr>
          <w:rFonts w:ascii="Century Gothic" w:hAnsi="Century Gothic" w:cs="Century Gothic"/>
          <w:sz w:val="22"/>
          <w:szCs w:val="30"/>
        </w:rPr>
        <w:t xml:space="preserve">. </w:t>
      </w:r>
      <w:r w:rsidR="004638B8">
        <w:rPr>
          <w:rFonts w:ascii="Century Gothic" w:hAnsi="Century Gothic" w:cs="Century Gothic"/>
          <w:sz w:val="22"/>
          <w:szCs w:val="30"/>
        </w:rPr>
        <w:t>Some p</w:t>
      </w:r>
      <w:r w:rsidR="00BF6F6D">
        <w:rPr>
          <w:rFonts w:ascii="Century Gothic" w:hAnsi="Century Gothic" w:cs="Century Gothic"/>
          <w:sz w:val="22"/>
          <w:szCs w:val="30"/>
        </w:rPr>
        <w:t>artners have for example drawn on SC’s experti</w:t>
      </w:r>
      <w:r w:rsidR="004638B8">
        <w:rPr>
          <w:rFonts w:ascii="Century Gothic" w:hAnsi="Century Gothic" w:cs="Century Gothic"/>
          <w:sz w:val="22"/>
          <w:szCs w:val="30"/>
        </w:rPr>
        <w:t>se in child centred approaches. ARC</w:t>
      </w:r>
      <w:r w:rsidR="005B078A">
        <w:rPr>
          <w:rFonts w:ascii="Century Gothic" w:hAnsi="Century Gothic" w:cs="Century Gothic"/>
          <w:sz w:val="22"/>
          <w:szCs w:val="30"/>
        </w:rPr>
        <w:t xml:space="preserve"> </w:t>
      </w:r>
      <w:r w:rsidR="004638B8">
        <w:rPr>
          <w:rFonts w:ascii="Century Gothic" w:hAnsi="Century Gothic" w:cs="Century Gothic"/>
          <w:sz w:val="22"/>
          <w:szCs w:val="30"/>
        </w:rPr>
        <w:t>is</w:t>
      </w:r>
      <w:r w:rsidR="005B078A">
        <w:rPr>
          <w:rFonts w:ascii="Century Gothic" w:hAnsi="Century Gothic" w:cs="Century Gothic"/>
          <w:sz w:val="22"/>
          <w:szCs w:val="30"/>
        </w:rPr>
        <w:t xml:space="preserve"> drawing upon </w:t>
      </w:r>
      <w:r w:rsidR="003E0A44">
        <w:rPr>
          <w:rFonts w:ascii="Century Gothic" w:hAnsi="Century Gothic" w:cs="Century Gothic"/>
          <w:sz w:val="22"/>
          <w:szCs w:val="30"/>
        </w:rPr>
        <w:t>CARE’s expertise in rural development</w:t>
      </w:r>
      <w:r w:rsidR="005B078A">
        <w:rPr>
          <w:rFonts w:ascii="Century Gothic" w:hAnsi="Century Gothic" w:cs="Century Gothic"/>
          <w:sz w:val="22"/>
          <w:szCs w:val="30"/>
        </w:rPr>
        <w:t>,</w:t>
      </w:r>
      <w:r w:rsidR="003E0A44">
        <w:rPr>
          <w:rFonts w:ascii="Century Gothic" w:hAnsi="Century Gothic" w:cs="Century Gothic"/>
          <w:sz w:val="22"/>
          <w:szCs w:val="30"/>
        </w:rPr>
        <w:t xml:space="preserve"> as it takes </w:t>
      </w:r>
      <w:r w:rsidR="005B078A">
        <w:rPr>
          <w:rFonts w:ascii="Century Gothic" w:hAnsi="Century Gothic" w:cs="Century Gothic"/>
          <w:sz w:val="22"/>
          <w:szCs w:val="30"/>
        </w:rPr>
        <w:t xml:space="preserve">its own </w:t>
      </w:r>
      <w:r w:rsidR="003E0A44">
        <w:rPr>
          <w:rFonts w:ascii="Century Gothic" w:hAnsi="Century Gothic" w:cs="Century Gothic"/>
          <w:sz w:val="22"/>
          <w:szCs w:val="30"/>
        </w:rPr>
        <w:t>early steps in this secto</w:t>
      </w:r>
      <w:r w:rsidR="00495927">
        <w:rPr>
          <w:rFonts w:ascii="Century Gothic" w:hAnsi="Century Gothic" w:cs="Century Gothic"/>
          <w:sz w:val="22"/>
          <w:szCs w:val="30"/>
        </w:rPr>
        <w:t>r</w:t>
      </w:r>
      <w:r w:rsidR="00C018E6">
        <w:rPr>
          <w:rFonts w:ascii="Century Gothic" w:hAnsi="Century Gothic" w:cs="Century Gothic"/>
          <w:sz w:val="22"/>
          <w:szCs w:val="30"/>
        </w:rPr>
        <w:t xml:space="preserve">. </w:t>
      </w:r>
      <w:r w:rsidR="004638B8">
        <w:rPr>
          <w:rFonts w:ascii="Century Gothic" w:hAnsi="Century Gothic" w:cs="Century Gothic"/>
          <w:sz w:val="22"/>
          <w:szCs w:val="30"/>
        </w:rPr>
        <w:t>Oxfam has partnered</w:t>
      </w:r>
      <w:r w:rsidR="00C018E6">
        <w:rPr>
          <w:rFonts w:ascii="Century Gothic" w:hAnsi="Century Gothic" w:cs="Century Gothic"/>
          <w:sz w:val="22"/>
          <w:szCs w:val="30"/>
        </w:rPr>
        <w:t xml:space="preserve"> with local NGO </w:t>
      </w:r>
      <w:r w:rsidR="00CD1A56">
        <w:rPr>
          <w:rFonts w:ascii="Century Gothic" w:hAnsi="Century Gothic" w:cs="Century Gothic"/>
          <w:sz w:val="22"/>
          <w:szCs w:val="30"/>
        </w:rPr>
        <w:t>Marinelife</w:t>
      </w:r>
      <w:r w:rsidR="00C018E6">
        <w:rPr>
          <w:rFonts w:ascii="Century Gothic" w:hAnsi="Century Gothic" w:cs="Century Gothic"/>
          <w:sz w:val="22"/>
          <w:szCs w:val="30"/>
        </w:rPr>
        <w:t xml:space="preserve"> Conservation and Development Fund (MCD)</w:t>
      </w:r>
      <w:r w:rsidR="00CD1A56">
        <w:rPr>
          <w:rFonts w:ascii="Century Gothic" w:hAnsi="Century Gothic" w:cs="Century Gothic"/>
          <w:sz w:val="22"/>
          <w:szCs w:val="30"/>
        </w:rPr>
        <w:t xml:space="preserve"> </w:t>
      </w:r>
      <w:r w:rsidR="00DC600E">
        <w:rPr>
          <w:rFonts w:ascii="Century Gothic" w:hAnsi="Century Gothic" w:cs="Century Gothic"/>
          <w:sz w:val="22"/>
          <w:szCs w:val="30"/>
        </w:rPr>
        <w:t>and is</w:t>
      </w:r>
      <w:r w:rsidR="00CD1A56">
        <w:rPr>
          <w:rFonts w:ascii="Century Gothic" w:hAnsi="Century Gothic" w:cs="Century Gothic"/>
          <w:sz w:val="22"/>
          <w:szCs w:val="30"/>
        </w:rPr>
        <w:t xml:space="preserve"> draw</w:t>
      </w:r>
      <w:r w:rsidR="00DC600E">
        <w:rPr>
          <w:rFonts w:ascii="Century Gothic" w:hAnsi="Century Gothic" w:cs="Century Gothic"/>
          <w:sz w:val="22"/>
          <w:szCs w:val="30"/>
        </w:rPr>
        <w:t>ing</w:t>
      </w:r>
      <w:r w:rsidR="00CD1A56">
        <w:rPr>
          <w:rFonts w:ascii="Century Gothic" w:hAnsi="Century Gothic" w:cs="Century Gothic"/>
          <w:sz w:val="22"/>
          <w:szCs w:val="30"/>
        </w:rPr>
        <w:t xml:space="preserve"> </w:t>
      </w:r>
      <w:r w:rsidR="00DC600E">
        <w:rPr>
          <w:rFonts w:ascii="Century Gothic" w:hAnsi="Century Gothic" w:cs="Century Gothic"/>
          <w:sz w:val="22"/>
          <w:szCs w:val="30"/>
        </w:rPr>
        <w:t>on their</w:t>
      </w:r>
      <w:r w:rsidR="00CD1A56">
        <w:rPr>
          <w:rFonts w:ascii="Century Gothic" w:hAnsi="Century Gothic" w:cs="Century Gothic"/>
          <w:sz w:val="22"/>
          <w:szCs w:val="30"/>
        </w:rPr>
        <w:t xml:space="preserve"> expertise in coastal </w:t>
      </w:r>
      <w:r w:rsidR="00495927">
        <w:rPr>
          <w:rFonts w:ascii="Century Gothic" w:hAnsi="Century Gothic" w:cs="Century Gothic"/>
          <w:sz w:val="22"/>
          <w:szCs w:val="30"/>
        </w:rPr>
        <w:t>management.</w:t>
      </w:r>
    </w:p>
    <w:p w:rsidR="00E042C4" w:rsidRDefault="00E042C4" w:rsidP="003E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Century Gothic"/>
          <w:sz w:val="22"/>
          <w:szCs w:val="30"/>
        </w:rPr>
      </w:pPr>
    </w:p>
    <w:p w:rsidR="00FD2CDB" w:rsidRDefault="00BF6F6D" w:rsidP="003E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Century Gothic"/>
          <w:sz w:val="22"/>
          <w:szCs w:val="30"/>
        </w:rPr>
      </w:pPr>
      <w:r>
        <w:rPr>
          <w:rFonts w:ascii="Century Gothic" w:hAnsi="Century Gothic" w:cs="Century Gothic"/>
          <w:sz w:val="22"/>
          <w:szCs w:val="30"/>
        </w:rPr>
        <w:t xml:space="preserve">Not </w:t>
      </w:r>
      <w:r w:rsidR="00E042C4">
        <w:rPr>
          <w:rFonts w:ascii="Century Gothic" w:hAnsi="Century Gothic" w:cs="Century Gothic"/>
          <w:sz w:val="22"/>
          <w:szCs w:val="30"/>
        </w:rPr>
        <w:t>all partners are working collabora</w:t>
      </w:r>
      <w:r>
        <w:rPr>
          <w:rFonts w:ascii="Century Gothic" w:hAnsi="Century Gothic" w:cs="Century Gothic"/>
          <w:sz w:val="22"/>
          <w:szCs w:val="30"/>
        </w:rPr>
        <w:t xml:space="preserve">tively toward common interests. </w:t>
      </w:r>
      <w:r w:rsidR="00A423C3">
        <w:rPr>
          <w:rFonts w:ascii="Century Gothic" w:hAnsi="Century Gothic" w:cs="Century Gothic"/>
          <w:sz w:val="22"/>
          <w:szCs w:val="30"/>
        </w:rPr>
        <w:t>Synergies at this stage of partnership tend to be opportunistic and influenced by a range of factors</w:t>
      </w:r>
      <w:r w:rsidR="009F181E">
        <w:rPr>
          <w:rFonts w:ascii="Century Gothic" w:hAnsi="Century Gothic" w:cs="Century Gothic"/>
          <w:sz w:val="22"/>
          <w:szCs w:val="30"/>
        </w:rPr>
        <w:t xml:space="preserve">, and </w:t>
      </w:r>
      <w:r w:rsidR="00A423C3">
        <w:rPr>
          <w:rFonts w:ascii="Century Gothic" w:hAnsi="Century Gothic" w:cs="Century Gothic"/>
          <w:sz w:val="22"/>
          <w:szCs w:val="30"/>
        </w:rPr>
        <w:t xml:space="preserve">do not exist across </w:t>
      </w:r>
      <w:r w:rsidR="0029571F">
        <w:rPr>
          <w:rFonts w:ascii="Century Gothic" w:hAnsi="Century Gothic" w:cs="Century Gothic"/>
          <w:sz w:val="22"/>
          <w:szCs w:val="30"/>
        </w:rPr>
        <w:t>the</w:t>
      </w:r>
      <w:r w:rsidR="00A423C3">
        <w:rPr>
          <w:rFonts w:ascii="Century Gothic" w:hAnsi="Century Gothic" w:cs="Century Gothic"/>
          <w:sz w:val="22"/>
          <w:szCs w:val="30"/>
        </w:rPr>
        <w:t xml:space="preserve"> portfolio. There is limited collaboration for example between the mitigation projects despite </w:t>
      </w:r>
      <w:r w:rsidR="009F181E">
        <w:rPr>
          <w:rFonts w:ascii="Century Gothic" w:hAnsi="Century Gothic" w:cs="Century Gothic"/>
          <w:sz w:val="22"/>
          <w:szCs w:val="30"/>
        </w:rPr>
        <w:t>shared interests in low emissions rice cultivation</w:t>
      </w:r>
      <w:r w:rsidR="00A423C3">
        <w:rPr>
          <w:rFonts w:ascii="Century Gothic" w:hAnsi="Century Gothic" w:cs="Century Gothic"/>
          <w:sz w:val="22"/>
          <w:szCs w:val="30"/>
        </w:rPr>
        <w:t xml:space="preserve">. </w:t>
      </w:r>
      <w:r w:rsidR="009F181E">
        <w:rPr>
          <w:rFonts w:ascii="Century Gothic" w:hAnsi="Century Gothic" w:cs="Century Gothic"/>
          <w:sz w:val="22"/>
          <w:szCs w:val="30"/>
        </w:rPr>
        <w:t>SC and MDF/Oxfam</w:t>
      </w:r>
      <w:r w:rsidR="00A423C3">
        <w:rPr>
          <w:rFonts w:ascii="Century Gothic" w:hAnsi="Century Gothic" w:cs="Century Gothic"/>
          <w:sz w:val="22"/>
          <w:szCs w:val="30"/>
        </w:rPr>
        <w:t xml:space="preserve"> are also working in the rice sector, but have not drawn on the strengths and </w:t>
      </w:r>
      <w:r w:rsidR="00A423C3">
        <w:rPr>
          <w:rFonts w:ascii="Century Gothic" w:hAnsi="Century Gothic" w:cs="Century Gothic"/>
          <w:sz w:val="22"/>
          <w:szCs w:val="30"/>
        </w:rPr>
        <w:lastRenderedPageBreak/>
        <w:t>extensive technical expertise of EDF and SNV.</w:t>
      </w:r>
      <w:r w:rsidR="0029571F">
        <w:rPr>
          <w:rFonts w:ascii="Century Gothic" w:hAnsi="Century Gothic" w:cs="Century Gothic"/>
          <w:sz w:val="22"/>
          <w:szCs w:val="30"/>
        </w:rPr>
        <w:t xml:space="preserve"> There is limited collaboration between SC and Oxfam despite working with the same partners in Tien Giang.</w:t>
      </w:r>
      <w:r w:rsidR="006329AB">
        <w:rPr>
          <w:rFonts w:ascii="Century Gothic" w:hAnsi="Century Gothic" w:cs="Century Gothic"/>
          <w:sz w:val="22"/>
          <w:szCs w:val="30"/>
        </w:rPr>
        <w:t xml:space="preserve"> </w:t>
      </w:r>
    </w:p>
    <w:p w:rsidR="00A34FD5" w:rsidRPr="003E0A44" w:rsidRDefault="00A34FD5" w:rsidP="003E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Century Gothic"/>
          <w:sz w:val="22"/>
          <w:szCs w:val="30"/>
        </w:rPr>
      </w:pPr>
    </w:p>
    <w:p w:rsidR="00A34FD5" w:rsidRPr="0045479A" w:rsidRDefault="00A34FD5" w:rsidP="00A34FD5">
      <w:pPr>
        <w:pStyle w:val="DonnasStyle"/>
        <w:rPr>
          <w:rFonts w:cs="Helvetica"/>
          <w:b/>
          <w:color w:val="8DB3E2" w:themeColor="text2" w:themeTint="66"/>
        </w:rPr>
      </w:pPr>
      <w:r w:rsidRPr="0045479A">
        <w:rPr>
          <w:rFonts w:cs="Helvetica"/>
          <w:b/>
          <w:color w:val="8DB3E2" w:themeColor="text2" w:themeTint="66"/>
        </w:rPr>
        <w:t>Is the Partnership Moving Forwards?</w:t>
      </w:r>
    </w:p>
    <w:p w:rsidR="00F975C4" w:rsidRDefault="00057141" w:rsidP="00A34FD5">
      <w:pPr>
        <w:pStyle w:val="DonnasStyle"/>
        <w:rPr>
          <w:rFonts w:cs="Helvetica"/>
        </w:rPr>
      </w:pPr>
      <w:r>
        <w:rPr>
          <w:rFonts w:cs="Helvetica"/>
        </w:rPr>
        <w:t xml:space="preserve">A further consideration in assessing partnership is the extent to which there is evidence that the partnership is </w:t>
      </w:r>
      <w:r w:rsidR="006329AB">
        <w:rPr>
          <w:rFonts w:cs="Helvetica"/>
        </w:rPr>
        <w:t>evolving</w:t>
      </w:r>
      <w:r>
        <w:rPr>
          <w:rFonts w:cs="Helvetica"/>
        </w:rPr>
        <w:t xml:space="preserve">. </w:t>
      </w:r>
      <w:r w:rsidR="00A34FD5">
        <w:rPr>
          <w:rFonts w:cs="Helvetica"/>
        </w:rPr>
        <w:t xml:space="preserve">The following case studies </w:t>
      </w:r>
      <w:r w:rsidR="005526DF">
        <w:rPr>
          <w:rFonts w:cs="Helvetica"/>
        </w:rPr>
        <w:t xml:space="preserve">have been </w:t>
      </w:r>
      <w:r w:rsidR="00A34FD5">
        <w:rPr>
          <w:rFonts w:cs="Helvetica"/>
        </w:rPr>
        <w:t xml:space="preserve">provided to illustrate our observations about how </w:t>
      </w:r>
      <w:r w:rsidR="00F975C4">
        <w:rPr>
          <w:rFonts w:cs="Helvetica"/>
        </w:rPr>
        <w:t>different interests may drive the development of the partnership.</w:t>
      </w:r>
    </w:p>
    <w:p w:rsidR="00F975C4" w:rsidRDefault="00F975C4" w:rsidP="00A34FD5">
      <w:pPr>
        <w:pStyle w:val="DonnasStyle"/>
        <w:rPr>
          <w:rFonts w:cs="Helvetica"/>
        </w:rPr>
      </w:pPr>
    </w:p>
    <w:p w:rsidR="00A34FD5" w:rsidRPr="00487EDE" w:rsidRDefault="00A34FD5" w:rsidP="00A34FD5">
      <w:pPr>
        <w:pStyle w:val="DonnasStyle"/>
        <w:rPr>
          <w:rFonts w:cs="Helvetica"/>
          <w:b/>
        </w:rPr>
      </w:pPr>
      <w:r w:rsidRPr="00E469DD">
        <w:rPr>
          <w:rFonts w:cs="Helvetica"/>
          <w:b/>
        </w:rPr>
        <w:t>The Joint Advocacy Plan</w:t>
      </w:r>
      <w:r>
        <w:rPr>
          <w:rFonts w:cs="Helvetica"/>
          <w:b/>
        </w:rPr>
        <w:t xml:space="preserve">: </w:t>
      </w:r>
      <w:r>
        <w:rPr>
          <w:rFonts w:cs="Helvetica"/>
        </w:rPr>
        <w:t xml:space="preserve">A major contribution of </w:t>
      </w:r>
      <w:r w:rsidR="00515BAA">
        <w:rPr>
          <w:rFonts w:cs="Helvetica"/>
        </w:rPr>
        <w:t>AMNEPs</w:t>
      </w:r>
      <w:r>
        <w:rPr>
          <w:rFonts w:cs="Helvetica"/>
        </w:rPr>
        <w:t xml:space="preserve"> support for </w:t>
      </w:r>
      <w:r w:rsidR="006B5800">
        <w:rPr>
          <w:rFonts w:cs="Helvetica"/>
        </w:rPr>
        <w:t xml:space="preserve">the CCCAG </w:t>
      </w:r>
      <w:r>
        <w:rPr>
          <w:rFonts w:cs="Helvetica"/>
        </w:rPr>
        <w:t xml:space="preserve">partnership has been </w:t>
      </w:r>
      <w:r w:rsidRPr="00A718E5">
        <w:rPr>
          <w:rFonts w:cs="Helvetica"/>
        </w:rPr>
        <w:t xml:space="preserve">investment into the development of a joint advocacy </w:t>
      </w:r>
      <w:r>
        <w:rPr>
          <w:rFonts w:cs="Helvetica"/>
        </w:rPr>
        <w:t>plan</w:t>
      </w:r>
      <w:r w:rsidRPr="00A718E5">
        <w:rPr>
          <w:rFonts w:cs="Helvetica"/>
        </w:rPr>
        <w:t>.</w:t>
      </w:r>
      <w:r>
        <w:rPr>
          <w:rFonts w:cs="Helvetica"/>
        </w:rPr>
        <w:t xml:space="preserve"> The process of arriving at this plan has been challenging for all partners. It has taken considerable time to agree advocacy priorities. While DFAT perhaps expected the identification of two or three key messages and </w:t>
      </w:r>
      <w:r w:rsidR="00AA54EB">
        <w:rPr>
          <w:rFonts w:cs="Helvetica"/>
        </w:rPr>
        <w:t>targets</w:t>
      </w:r>
      <w:r>
        <w:rPr>
          <w:rFonts w:cs="Helvetica"/>
        </w:rPr>
        <w:t>, the resulting plan appears to reflect the key advocacy interests of each partner</w:t>
      </w:r>
      <w:r w:rsidR="00AA54EB">
        <w:rPr>
          <w:rFonts w:cs="Helvetica"/>
        </w:rPr>
        <w:t>. It further</w:t>
      </w:r>
      <w:r>
        <w:rPr>
          <w:rFonts w:cs="Helvetica"/>
        </w:rPr>
        <w:t xml:space="preserve"> engages those partners as </w:t>
      </w:r>
      <w:r w:rsidR="00AA54EB">
        <w:rPr>
          <w:rFonts w:cs="Helvetica"/>
        </w:rPr>
        <w:t>the lead agencies within their own</w:t>
      </w:r>
      <w:r>
        <w:rPr>
          <w:rFonts w:cs="Helvetica"/>
        </w:rPr>
        <w:t xml:space="preserve"> spheres of interest. This indicates a siloing of responsibility for existing programmatic or institutional interests rather than a reflection of a higher opportunities or crosscutting level analysis.</w:t>
      </w:r>
    </w:p>
    <w:p w:rsidR="00A34FD5" w:rsidRDefault="00A34FD5" w:rsidP="00A34FD5">
      <w:pPr>
        <w:pStyle w:val="DonnasStyle"/>
        <w:rPr>
          <w:rFonts w:cs="Helvetica"/>
        </w:rPr>
      </w:pPr>
    </w:p>
    <w:p w:rsidR="00A34FD5" w:rsidRDefault="00A34FD5" w:rsidP="00A34FD5">
      <w:pPr>
        <w:pStyle w:val="DonnasStyle"/>
        <w:rPr>
          <w:rFonts w:cs="Helvetica"/>
        </w:rPr>
      </w:pPr>
      <w:r>
        <w:rPr>
          <w:rFonts w:cs="Helvetica"/>
        </w:rPr>
        <w:t xml:space="preserve">There </w:t>
      </w:r>
      <w:r w:rsidR="009D0F57">
        <w:rPr>
          <w:rFonts w:cs="Helvetica"/>
        </w:rPr>
        <w:t>is a sense that</w:t>
      </w:r>
      <w:r>
        <w:rPr>
          <w:rFonts w:cs="Helvetica"/>
        </w:rPr>
        <w:t xml:space="preserve"> the impetus for this plan was driven by DFAT, and more specifically the wider</w:t>
      </w:r>
      <w:r w:rsidR="009D0F57">
        <w:rPr>
          <w:rFonts w:cs="Helvetica"/>
        </w:rPr>
        <w:t xml:space="preserve"> regional </w:t>
      </w:r>
      <w:r>
        <w:rPr>
          <w:rFonts w:cs="Helvetica"/>
        </w:rPr>
        <w:t>agenda of seeking bring the experience of NGO programs to wider bilateral and multilateral policy dialogue</w:t>
      </w:r>
      <w:r w:rsidR="009D0F57">
        <w:rPr>
          <w:rFonts w:cs="Helvetica"/>
        </w:rPr>
        <w:t xml:space="preserve"> which drove the development of AMNEP</w:t>
      </w:r>
      <w:r>
        <w:rPr>
          <w:rFonts w:cs="Helvetica"/>
        </w:rPr>
        <w:t xml:space="preserve">.  As such, while partners engaged in the development of the plan, we did not observe a tangible sense of ownership to drive collective advocacy efforts forwards. Indeed, our observation is that this advocacy plan is seen as being the </w:t>
      </w:r>
      <w:r w:rsidRPr="00905C4D">
        <w:rPr>
          <w:rFonts w:cs="Helvetica"/>
          <w:u w:val="single"/>
        </w:rPr>
        <w:t xml:space="preserve">output </w:t>
      </w:r>
      <w:r>
        <w:rPr>
          <w:rFonts w:cs="Helvetica"/>
        </w:rPr>
        <w:t xml:space="preserve">of the partnership, as opposed to an </w:t>
      </w:r>
      <w:r w:rsidRPr="00905C4D">
        <w:rPr>
          <w:rFonts w:cs="Helvetica"/>
          <w:u w:val="single"/>
        </w:rPr>
        <w:t>outcome</w:t>
      </w:r>
      <w:r>
        <w:rPr>
          <w:rFonts w:cs="Helvetica"/>
        </w:rPr>
        <w:t xml:space="preserve"> of the convergence of shared interests. </w:t>
      </w:r>
    </w:p>
    <w:p w:rsidR="00A34FD5" w:rsidRDefault="00A34FD5" w:rsidP="00A34FD5">
      <w:pPr>
        <w:pStyle w:val="DonnasStyle"/>
        <w:rPr>
          <w:rFonts w:cs="Helvetica"/>
        </w:rPr>
      </w:pPr>
    </w:p>
    <w:p w:rsidR="00A34FD5" w:rsidRDefault="00A34FD5" w:rsidP="00A34FD5">
      <w:pPr>
        <w:pStyle w:val="DonnasStyle"/>
        <w:rPr>
          <w:rFonts w:cs="Helvetica"/>
        </w:rPr>
      </w:pPr>
      <w:r>
        <w:rPr>
          <w:rFonts w:cs="Helvetica"/>
        </w:rPr>
        <w:t xml:space="preserve">This raises a critical point. That the achievement of a successful outcome in terms of the intended higher level purpose of this strategy will rely heavily upon whether the partnership itself can mobilise the level of cross-program learning and analysis that will enable all partners to be sufficiently cognisant of the key issues and advocate outside of their own specific areas of institutional interest and/or competence. This will require a deepened understanding of each other’s approaches, joint analysis and assessment of successes and failures. It requires a high level of trust and openness that enables reflection and action to move well beyond institutional ownership. It further requires attention to field level dialogue, information sharing and analysis. </w:t>
      </w:r>
    </w:p>
    <w:p w:rsidR="00A34FD5" w:rsidRDefault="00A34FD5" w:rsidP="00A34FD5">
      <w:pPr>
        <w:pStyle w:val="DonnasStyle"/>
        <w:rPr>
          <w:rFonts w:cs="Helvetica"/>
        </w:rPr>
      </w:pPr>
    </w:p>
    <w:p w:rsidR="00012F7C" w:rsidRDefault="00A34FD5" w:rsidP="00A34FD5">
      <w:pPr>
        <w:pStyle w:val="DonnasStyle"/>
        <w:rPr>
          <w:rFonts w:cs="Helvetica"/>
        </w:rPr>
      </w:pPr>
      <w:r>
        <w:rPr>
          <w:rFonts w:cs="Helvetica"/>
        </w:rPr>
        <w:t xml:space="preserve">It also requires resourcing. Partners highlight that the advocacy </w:t>
      </w:r>
      <w:r w:rsidR="006B37A5">
        <w:rPr>
          <w:rFonts w:cs="Helvetica"/>
        </w:rPr>
        <w:t>initiative</w:t>
      </w:r>
      <w:r>
        <w:rPr>
          <w:rFonts w:cs="Helvetica"/>
        </w:rPr>
        <w:t xml:space="preserve"> came about aft</w:t>
      </w:r>
      <w:r w:rsidR="006B37A5">
        <w:rPr>
          <w:rFonts w:cs="Helvetica"/>
        </w:rPr>
        <w:t xml:space="preserve">er CCCAG projects had commenced. They </w:t>
      </w:r>
      <w:r>
        <w:rPr>
          <w:rFonts w:cs="Helvetica"/>
        </w:rPr>
        <w:t xml:space="preserve">did not feel that they had sufficiently planned for resourcing </w:t>
      </w:r>
      <w:r w:rsidR="005A6DCA">
        <w:rPr>
          <w:rFonts w:cs="Helvetica"/>
        </w:rPr>
        <w:t>joint advocacy efforts.</w:t>
      </w:r>
      <w:r>
        <w:rPr>
          <w:rFonts w:cs="Helvetica"/>
        </w:rPr>
        <w:t xml:space="preserve"> While we understand that AMNEP </w:t>
      </w:r>
      <w:r w:rsidR="00431274">
        <w:rPr>
          <w:rFonts w:cs="Helvetica"/>
        </w:rPr>
        <w:t xml:space="preserve">may </w:t>
      </w:r>
      <w:r>
        <w:rPr>
          <w:rFonts w:cs="Helvetica"/>
        </w:rPr>
        <w:t>have some resources available to support efforts under this plan, this may not account for the tradeof</w:t>
      </w:r>
      <w:r w:rsidR="00012F7C">
        <w:rPr>
          <w:rFonts w:cs="Helvetica"/>
        </w:rPr>
        <w:t xml:space="preserve">fs that senior staff of partner </w:t>
      </w:r>
      <w:r>
        <w:rPr>
          <w:rFonts w:cs="Helvetica"/>
        </w:rPr>
        <w:t>organisations need to make between advocacy a</w:t>
      </w:r>
      <w:r w:rsidR="006B37A5">
        <w:rPr>
          <w:rFonts w:cs="Helvetica"/>
        </w:rPr>
        <w:t xml:space="preserve">nd management responsibilities, nor the fact that NGOs </w:t>
      </w:r>
      <w:r w:rsidR="00012F7C">
        <w:rPr>
          <w:rFonts w:cs="Helvetica"/>
        </w:rPr>
        <w:t>tend to leave ‘little gravy’ at the field level.</w:t>
      </w:r>
    </w:p>
    <w:p w:rsidR="00A34FD5" w:rsidRDefault="00A34FD5" w:rsidP="00A34FD5">
      <w:pPr>
        <w:pStyle w:val="DonnasStyle"/>
        <w:rPr>
          <w:rFonts w:cs="Helvetica"/>
        </w:rPr>
      </w:pPr>
    </w:p>
    <w:p w:rsidR="00A34FD5" w:rsidRDefault="00A34FD5" w:rsidP="00A34FD5">
      <w:pPr>
        <w:pStyle w:val="DonnasStyle"/>
        <w:rPr>
          <w:rFonts w:cs="Helvetica"/>
        </w:rPr>
      </w:pPr>
      <w:r>
        <w:rPr>
          <w:rFonts w:cs="Helvetica"/>
        </w:rPr>
        <w:t xml:space="preserve">There is </w:t>
      </w:r>
      <w:r w:rsidRPr="00012A35">
        <w:rPr>
          <w:rFonts w:cs="Helvetica"/>
          <w:b/>
        </w:rPr>
        <w:t>strong expectation expressed by CCCAG partners for DFAT to play a stronger role in brokering partnerships for climate change in a new program</w:t>
      </w:r>
      <w:r>
        <w:rPr>
          <w:rFonts w:cs="Helvetica"/>
        </w:rPr>
        <w:t xml:space="preserve">. </w:t>
      </w:r>
    </w:p>
    <w:p w:rsidR="00A34FD5" w:rsidRDefault="00A34FD5" w:rsidP="00A34FD5">
      <w:pPr>
        <w:pStyle w:val="DonnasStyle"/>
        <w:rPr>
          <w:rFonts w:cs="Helvetica"/>
        </w:rPr>
      </w:pPr>
    </w:p>
    <w:p w:rsidR="00A34FD5" w:rsidRPr="006C5EEB" w:rsidRDefault="00A34FD5" w:rsidP="00A34FD5">
      <w:pPr>
        <w:ind w:left="567" w:right="503"/>
        <w:jc w:val="both"/>
        <w:rPr>
          <w:rFonts w:ascii="Century Gothic" w:hAnsi="Century Gothic" w:cs="Arial"/>
          <w:sz w:val="22"/>
          <w:szCs w:val="22"/>
        </w:rPr>
      </w:pPr>
      <w:r w:rsidRPr="006C5EEB">
        <w:rPr>
          <w:rFonts w:ascii="Century Gothic" w:hAnsi="Century Gothic" w:cs="Arial"/>
          <w:sz w:val="22"/>
        </w:rPr>
        <w:t>“While efforts on the joint advocacy plan are commendable, the plan is more a joint information sharing and learning plan than an actual advocacy strategy.</w:t>
      </w:r>
      <w:r w:rsidRPr="006C5EEB">
        <w:rPr>
          <w:rFonts w:ascii="Century Gothic" w:hAnsi="Century Gothic" w:cs="Arial"/>
          <w:sz w:val="22"/>
          <w:szCs w:val="22"/>
        </w:rPr>
        <w:t xml:space="preserve">  A plan for joint information sharing and learning should be design</w:t>
      </w:r>
      <w:r>
        <w:rPr>
          <w:rFonts w:ascii="Century Gothic" w:hAnsi="Century Gothic" w:cs="Arial"/>
          <w:sz w:val="22"/>
          <w:szCs w:val="22"/>
        </w:rPr>
        <w:t>ed</w:t>
      </w:r>
      <w:r w:rsidRPr="006C5EEB">
        <w:rPr>
          <w:rFonts w:ascii="Century Gothic" w:hAnsi="Century Gothic" w:cs="Arial"/>
          <w:sz w:val="22"/>
          <w:szCs w:val="22"/>
        </w:rPr>
        <w:t xml:space="preserve"> from the beginning of the program, including a plan for collaboration between partners. </w:t>
      </w:r>
      <w:r w:rsidRPr="006C5EEB">
        <w:rPr>
          <w:rFonts w:ascii="Century Gothic" w:hAnsi="Century Gothic" w:cs="Arial"/>
          <w:sz w:val="22"/>
          <w:szCs w:val="22"/>
        </w:rPr>
        <w:lastRenderedPageBreak/>
        <w:t xml:space="preserve">DFAT can play a constructive catalyst role in bringing </w:t>
      </w:r>
      <w:r>
        <w:rPr>
          <w:rFonts w:ascii="Century Gothic" w:hAnsi="Century Gothic" w:cs="Arial"/>
          <w:sz w:val="22"/>
          <w:szCs w:val="22"/>
        </w:rPr>
        <w:t>organis</w:t>
      </w:r>
      <w:r w:rsidRPr="006C5EEB">
        <w:rPr>
          <w:rFonts w:ascii="Century Gothic" w:hAnsi="Century Gothic" w:cs="Arial"/>
          <w:sz w:val="22"/>
          <w:szCs w:val="22"/>
        </w:rPr>
        <w:t xml:space="preserve">ations and projects together into a more coherent program. </w:t>
      </w:r>
      <w:r w:rsidRPr="006C5EEB">
        <w:rPr>
          <w:rStyle w:val="FootnoteReference"/>
          <w:rFonts w:ascii="Century Gothic" w:hAnsi="Century Gothic" w:cs="Arial"/>
          <w:sz w:val="22"/>
          <w:szCs w:val="22"/>
        </w:rPr>
        <w:footnoteReference w:id="44"/>
      </w:r>
    </w:p>
    <w:p w:rsidR="00A34FD5" w:rsidRDefault="00A34FD5" w:rsidP="00A34FD5">
      <w:pPr>
        <w:pStyle w:val="DonnasStyle"/>
        <w:rPr>
          <w:rFonts w:cs="Helvetica"/>
        </w:rPr>
      </w:pPr>
    </w:p>
    <w:p w:rsidR="00A34FD5" w:rsidRPr="006434B7" w:rsidRDefault="00A34FD5" w:rsidP="00A34FD5">
      <w:pPr>
        <w:pStyle w:val="DonnasStyle"/>
        <w:rPr>
          <w:rFonts w:cs="Century Gothic"/>
          <w:szCs w:val="30"/>
        </w:rPr>
      </w:pPr>
      <w:r w:rsidRPr="006434B7">
        <w:rPr>
          <w:rFonts w:cs="Century Gothic"/>
          <w:szCs w:val="30"/>
        </w:rPr>
        <w:t xml:space="preserve">This is a sound indication that </w:t>
      </w:r>
      <w:r w:rsidRPr="006434B7">
        <w:rPr>
          <w:rFonts w:cs="Century Gothic"/>
          <w:b/>
          <w:szCs w:val="30"/>
        </w:rPr>
        <w:t>CCCAG partners are prepared to start to consider how to take the partnership forwards to its next stage</w:t>
      </w:r>
      <w:r w:rsidRPr="006434B7">
        <w:rPr>
          <w:rFonts w:cs="Century Gothic"/>
          <w:szCs w:val="30"/>
        </w:rPr>
        <w:t>.</w:t>
      </w:r>
    </w:p>
    <w:p w:rsidR="00A34FD5" w:rsidRDefault="00A34FD5" w:rsidP="00A34FD5">
      <w:pPr>
        <w:pStyle w:val="DonnasStyle"/>
        <w:rPr>
          <w:rFonts w:cs="Century Gothic"/>
          <w:szCs w:val="30"/>
        </w:rPr>
      </w:pPr>
    </w:p>
    <w:p w:rsidR="00B97DBE" w:rsidRDefault="00A34FD5" w:rsidP="00A34FD5">
      <w:pPr>
        <w:pStyle w:val="DonnasStyle"/>
        <w:rPr>
          <w:rFonts w:cs="Century Gothic"/>
          <w:szCs w:val="30"/>
        </w:rPr>
      </w:pPr>
      <w:r>
        <w:rPr>
          <w:rFonts w:cs="Century Gothic"/>
          <w:b/>
          <w:szCs w:val="30"/>
        </w:rPr>
        <w:t xml:space="preserve">CCCAG </w:t>
      </w:r>
      <w:r w:rsidRPr="00E469DD">
        <w:rPr>
          <w:rFonts w:cs="Century Gothic"/>
          <w:b/>
          <w:szCs w:val="30"/>
        </w:rPr>
        <w:t>Issues Paper</w:t>
      </w:r>
      <w:r>
        <w:rPr>
          <w:rFonts w:cs="Century Gothic"/>
          <w:b/>
          <w:szCs w:val="30"/>
        </w:rPr>
        <w:t xml:space="preserve">: </w:t>
      </w:r>
      <w:r>
        <w:rPr>
          <w:rFonts w:cs="Century Gothic"/>
          <w:szCs w:val="30"/>
        </w:rPr>
        <w:t>Prior to the field mission, CCCAG partners came together of their own accord to re</w:t>
      </w:r>
      <w:r w:rsidR="007F3DF8">
        <w:rPr>
          <w:rFonts w:cs="Century Gothic"/>
          <w:szCs w:val="30"/>
        </w:rPr>
        <w:t xml:space="preserve">flect on their experience. The outcome </w:t>
      </w:r>
      <w:r>
        <w:rPr>
          <w:rFonts w:cs="Century Gothic"/>
          <w:szCs w:val="30"/>
        </w:rPr>
        <w:t xml:space="preserve">of this reflection was an Issues and Options Paper </w:t>
      </w:r>
      <w:r w:rsidR="007F3DF8">
        <w:rPr>
          <w:rFonts w:cs="Century Gothic"/>
          <w:szCs w:val="30"/>
        </w:rPr>
        <w:t xml:space="preserve">summarising </w:t>
      </w:r>
      <w:r>
        <w:rPr>
          <w:rFonts w:cs="Century Gothic"/>
          <w:szCs w:val="30"/>
        </w:rPr>
        <w:t xml:space="preserve">the partners </w:t>
      </w:r>
      <w:r w:rsidR="007F3DF8">
        <w:rPr>
          <w:rFonts w:cs="Century Gothic"/>
          <w:szCs w:val="30"/>
        </w:rPr>
        <w:t>reflections on the</w:t>
      </w:r>
      <w:r>
        <w:rPr>
          <w:rFonts w:cs="Century Gothic"/>
          <w:szCs w:val="30"/>
        </w:rPr>
        <w:t xml:space="preserve"> achievements </w:t>
      </w:r>
      <w:r w:rsidR="002C6833">
        <w:rPr>
          <w:rFonts w:cs="Century Gothic"/>
          <w:szCs w:val="30"/>
        </w:rPr>
        <w:t>and lessons</w:t>
      </w:r>
      <w:r>
        <w:rPr>
          <w:rFonts w:cs="Century Gothic"/>
          <w:szCs w:val="30"/>
        </w:rPr>
        <w:t xml:space="preserve"> </w:t>
      </w:r>
      <w:r w:rsidR="007F3DF8">
        <w:rPr>
          <w:rFonts w:cs="Century Gothic"/>
          <w:szCs w:val="30"/>
        </w:rPr>
        <w:t xml:space="preserve">of </w:t>
      </w:r>
      <w:r>
        <w:rPr>
          <w:rFonts w:cs="Century Gothic"/>
          <w:szCs w:val="30"/>
        </w:rPr>
        <w:t xml:space="preserve">CCCAG, and </w:t>
      </w:r>
      <w:r w:rsidR="007F3DF8">
        <w:rPr>
          <w:rFonts w:cs="Century Gothic"/>
          <w:szCs w:val="30"/>
        </w:rPr>
        <w:t xml:space="preserve">the </w:t>
      </w:r>
      <w:r>
        <w:rPr>
          <w:rFonts w:cs="Century Gothic"/>
          <w:szCs w:val="30"/>
        </w:rPr>
        <w:t>options for the design of the future program.</w:t>
      </w:r>
      <w:r w:rsidR="00871528">
        <w:rPr>
          <w:rFonts w:cs="Century Gothic"/>
          <w:szCs w:val="30"/>
        </w:rPr>
        <w:t xml:space="preserve"> The Review Team then met with DFAT, AMNEP and partners to discuss the  observations.</w:t>
      </w:r>
    </w:p>
    <w:p w:rsidR="00AB6236" w:rsidRDefault="00AB6236" w:rsidP="00A34FD5">
      <w:pPr>
        <w:pStyle w:val="DonnasStyle"/>
        <w:rPr>
          <w:rFonts w:cs="Century Gothic"/>
          <w:szCs w:val="30"/>
        </w:rPr>
      </w:pPr>
    </w:p>
    <w:p w:rsidR="00AB6236"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cs="Arial"/>
          <w:sz w:val="20"/>
        </w:rPr>
      </w:pPr>
      <w:r>
        <w:rPr>
          <w:rFonts w:ascii="Century Gothic" w:hAnsi="Century Gothic" w:cs="Arial"/>
          <w:sz w:val="20"/>
        </w:rPr>
        <w:t>“</w:t>
      </w:r>
      <w:r w:rsidRPr="00926185">
        <w:rPr>
          <w:rFonts w:ascii="Century Gothic" w:hAnsi="Century Gothic" w:cs="Arial"/>
          <w:sz w:val="20"/>
        </w:rPr>
        <w:t>The partnership model has the greatest potential for building on each organisation’s comparative advantage and strengths and can overall increase the technical quality of the program as well as the impact at different scales. As it combines national and sub-national interventions, links from the activity level to the programmatic objective and goals is more direct. Advocacy will be more evidence based, strategic and leveraging the partnership and its resources better increasing the potential for influencing national policies and programs on CCA/M and DRR.</w:t>
      </w:r>
      <w:r>
        <w:rPr>
          <w:rFonts w:ascii="Century Gothic" w:hAnsi="Century Gothic" w:cs="Arial"/>
          <w:sz w:val="20"/>
        </w:rPr>
        <w:t>”</w:t>
      </w:r>
    </w:p>
    <w:p w:rsidR="00AB6236"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Century Gothic" w:hAnsi="Century Gothic" w:cs="Arial"/>
          <w:sz w:val="20"/>
        </w:rPr>
      </w:pPr>
    </w:p>
    <w:p w:rsidR="00AB6236" w:rsidRPr="00B97DBE" w:rsidRDefault="00AB6236" w:rsidP="00AB6236">
      <w:pPr>
        <w:pBdr>
          <w:top w:val="single" w:sz="4" w:space="1" w:color="auto"/>
          <w:left w:val="single" w:sz="4" w:space="4" w:color="auto"/>
          <w:bottom w:val="single" w:sz="4" w:space="1" w:color="auto"/>
          <w:right w:val="single" w:sz="4" w:space="4" w:color="auto"/>
        </w:pBdr>
        <w:shd w:val="clear" w:color="auto" w:fill="B8CCE4" w:themeFill="accent1" w:themeFillTint="66"/>
        <w:jc w:val="right"/>
      </w:pPr>
      <w:r w:rsidRPr="00926185">
        <w:rPr>
          <w:rFonts w:ascii="Century Gothic" w:hAnsi="Century Gothic" w:cs="Arial"/>
          <w:sz w:val="16"/>
        </w:rPr>
        <w:t>CCCAG Partner Issues and Options Paper.</w:t>
      </w:r>
    </w:p>
    <w:p w:rsidR="00AB6236" w:rsidRDefault="00AB6236" w:rsidP="00AB6236">
      <w:pPr>
        <w:pStyle w:val="DonnasStyle"/>
        <w:pBdr>
          <w:top w:val="single" w:sz="4" w:space="1" w:color="auto"/>
          <w:left w:val="single" w:sz="4" w:space="4" w:color="auto"/>
          <w:bottom w:val="single" w:sz="4" w:space="1" w:color="auto"/>
          <w:right w:val="single" w:sz="4" w:space="4" w:color="auto"/>
        </w:pBdr>
        <w:shd w:val="clear" w:color="auto" w:fill="B8CCE4" w:themeFill="accent1" w:themeFillTint="66"/>
        <w:rPr>
          <w:rFonts w:cs="Century Gothic"/>
          <w:szCs w:val="30"/>
        </w:rPr>
      </w:pPr>
    </w:p>
    <w:p w:rsidR="00B97DBE" w:rsidRPr="00B97DBE" w:rsidRDefault="00B97DBE" w:rsidP="00B97DBE">
      <w:pPr>
        <w:jc w:val="right"/>
        <w:rPr>
          <w:rFonts w:ascii="Century Gothic" w:hAnsi="Century Gothic" w:cs="Arial"/>
          <w:sz w:val="16"/>
        </w:rPr>
      </w:pPr>
    </w:p>
    <w:p w:rsidR="00A34FD5" w:rsidRPr="00725F00" w:rsidRDefault="00871528" w:rsidP="00725F00">
      <w:pPr>
        <w:pStyle w:val="DonnasStyle"/>
        <w:rPr>
          <w:rFonts w:cs="Century Gothic"/>
          <w:szCs w:val="30"/>
        </w:rPr>
      </w:pPr>
      <w:r>
        <w:rPr>
          <w:rFonts w:cs="Century Gothic"/>
          <w:szCs w:val="30"/>
        </w:rPr>
        <w:t>T</w:t>
      </w:r>
      <w:r w:rsidR="00A34FD5" w:rsidRPr="00525B54">
        <w:t xml:space="preserve">he experience of the development of the Issues Paper is </w:t>
      </w:r>
      <w:r>
        <w:t xml:space="preserve">an </w:t>
      </w:r>
      <w:r w:rsidR="00A34FD5" w:rsidRPr="00525B54">
        <w:t xml:space="preserve">indication that, </w:t>
      </w:r>
      <w:r w:rsidR="00A34FD5" w:rsidRPr="006434B7">
        <w:rPr>
          <w:b/>
        </w:rPr>
        <w:t>not only are partners prepared to move to a new level of partnership, but that the</w:t>
      </w:r>
      <w:r w:rsidR="00C10B88">
        <w:rPr>
          <w:b/>
        </w:rPr>
        <w:t xml:space="preserve">y are actively considering </w:t>
      </w:r>
      <w:r w:rsidR="00A34FD5" w:rsidRPr="006434B7">
        <w:rPr>
          <w:b/>
        </w:rPr>
        <w:t>the shap</w:t>
      </w:r>
      <w:r w:rsidR="00C10B88">
        <w:rPr>
          <w:b/>
        </w:rPr>
        <w:t xml:space="preserve">e and form of that partnership </w:t>
      </w:r>
      <w:r w:rsidR="00A34FD5" w:rsidRPr="006434B7">
        <w:rPr>
          <w:b/>
        </w:rPr>
        <w:t>and seeking to influence it</w:t>
      </w:r>
      <w:r w:rsidR="00A34FD5" w:rsidRPr="00525B54">
        <w:t>.</w:t>
      </w:r>
    </w:p>
    <w:p w:rsidR="00A34FD5" w:rsidRPr="00525B54" w:rsidRDefault="00A34FD5" w:rsidP="00A34FD5">
      <w:pPr>
        <w:jc w:val="both"/>
        <w:rPr>
          <w:rFonts w:ascii="Century Gothic" w:hAnsi="Century Gothic"/>
          <w:sz w:val="22"/>
        </w:rPr>
      </w:pPr>
    </w:p>
    <w:p w:rsidR="00A34FD5" w:rsidRPr="00457AAF" w:rsidRDefault="00C01B44" w:rsidP="00A34FD5">
      <w:pPr>
        <w:jc w:val="both"/>
        <w:rPr>
          <w:rFonts w:ascii="Century Gothic" w:hAnsi="Century Gothic"/>
          <w:sz w:val="22"/>
        </w:rPr>
      </w:pPr>
      <w:r>
        <w:rPr>
          <w:rFonts w:ascii="Century Gothic" w:hAnsi="Century Gothic"/>
          <w:sz w:val="22"/>
        </w:rPr>
        <w:t>Aside from</w:t>
      </w:r>
      <w:r w:rsidR="00A34FD5" w:rsidRPr="00525B54">
        <w:rPr>
          <w:rFonts w:ascii="Century Gothic" w:hAnsi="Century Gothic"/>
          <w:sz w:val="22"/>
        </w:rPr>
        <w:t xml:space="preserve"> </w:t>
      </w:r>
      <w:r>
        <w:rPr>
          <w:rFonts w:ascii="Century Gothic" w:hAnsi="Century Gothic"/>
          <w:sz w:val="22"/>
        </w:rPr>
        <w:t>evidencing the</w:t>
      </w:r>
      <w:r w:rsidR="006F5F6D">
        <w:rPr>
          <w:rFonts w:ascii="Century Gothic" w:hAnsi="Century Gothic"/>
          <w:sz w:val="22"/>
        </w:rPr>
        <w:t xml:space="preserve"> </w:t>
      </w:r>
      <w:r w:rsidR="006F5F6D" w:rsidRPr="00C01B44">
        <w:rPr>
          <w:rFonts w:ascii="Century Gothic" w:hAnsi="Century Gothic"/>
          <w:b/>
          <w:sz w:val="22"/>
        </w:rPr>
        <w:t>value of the</w:t>
      </w:r>
      <w:r w:rsidR="00A34FD5" w:rsidRPr="00C01B44">
        <w:rPr>
          <w:rFonts w:ascii="Century Gothic" w:hAnsi="Century Gothic"/>
          <w:b/>
          <w:sz w:val="22"/>
        </w:rPr>
        <w:t xml:space="preserve"> investments </w:t>
      </w:r>
      <w:r w:rsidR="006F5F6D" w:rsidRPr="00C01B44">
        <w:rPr>
          <w:rFonts w:ascii="Century Gothic" w:hAnsi="Century Gothic"/>
          <w:b/>
          <w:sz w:val="22"/>
        </w:rPr>
        <w:t>of all</w:t>
      </w:r>
      <w:r w:rsidR="006F5F6D">
        <w:rPr>
          <w:rFonts w:ascii="Century Gothic" w:hAnsi="Century Gothic"/>
          <w:sz w:val="22"/>
        </w:rPr>
        <w:t xml:space="preserve"> partners in the partnership,</w:t>
      </w:r>
      <w:r w:rsidR="00A34FD5" w:rsidRPr="00525B54">
        <w:rPr>
          <w:rFonts w:ascii="Century Gothic" w:hAnsi="Century Gothic"/>
          <w:sz w:val="22"/>
        </w:rPr>
        <w:t xml:space="preserve"> </w:t>
      </w:r>
      <w:r>
        <w:rPr>
          <w:rFonts w:ascii="Century Gothic" w:hAnsi="Century Gothic"/>
          <w:sz w:val="22"/>
        </w:rPr>
        <w:t>it</w:t>
      </w:r>
      <w:r w:rsidR="00A34FD5" w:rsidRPr="00525B54">
        <w:rPr>
          <w:rFonts w:ascii="Century Gothic" w:hAnsi="Century Gothic"/>
          <w:sz w:val="22"/>
        </w:rPr>
        <w:t xml:space="preserve"> presents an opportunity for DFAT and </w:t>
      </w:r>
      <w:r>
        <w:rPr>
          <w:rFonts w:ascii="Century Gothic" w:hAnsi="Century Gothic"/>
          <w:sz w:val="22"/>
        </w:rPr>
        <w:t>its NGO partners</w:t>
      </w:r>
      <w:r w:rsidR="00A34FD5" w:rsidRPr="00525B54">
        <w:rPr>
          <w:rFonts w:ascii="Century Gothic" w:hAnsi="Century Gothic"/>
          <w:sz w:val="22"/>
        </w:rPr>
        <w:t xml:space="preserve"> to use the design for the next stage of DFAT’s community based climate change investment to take th</w:t>
      </w:r>
      <w:r w:rsidR="008B32CD">
        <w:rPr>
          <w:rFonts w:ascii="Century Gothic" w:hAnsi="Century Gothic"/>
          <w:sz w:val="22"/>
        </w:rPr>
        <w:t>e partnership to its next level.</w:t>
      </w:r>
      <w:r w:rsidR="005E6355">
        <w:rPr>
          <w:rFonts w:ascii="Century Gothic" w:hAnsi="Century Gothic"/>
          <w:sz w:val="22"/>
        </w:rPr>
        <w:t xml:space="preserve"> </w:t>
      </w:r>
      <w:r w:rsidR="00815A5C">
        <w:rPr>
          <w:rFonts w:ascii="Century Gothic" w:hAnsi="Century Gothic"/>
          <w:sz w:val="22"/>
        </w:rPr>
        <w:t>Annex 11</w:t>
      </w:r>
      <w:r w:rsidR="00054660">
        <w:rPr>
          <w:rFonts w:ascii="Century Gothic" w:hAnsi="Century Gothic"/>
          <w:sz w:val="22"/>
        </w:rPr>
        <w:t xml:space="preserve"> provide</w:t>
      </w:r>
      <w:r w:rsidR="00815A5C">
        <w:rPr>
          <w:rFonts w:ascii="Century Gothic" w:hAnsi="Century Gothic"/>
          <w:sz w:val="22"/>
        </w:rPr>
        <w:t>s</w:t>
      </w:r>
      <w:r w:rsidR="00054660">
        <w:rPr>
          <w:rFonts w:ascii="Century Gothic" w:hAnsi="Century Gothic"/>
          <w:sz w:val="22"/>
        </w:rPr>
        <w:t xml:space="preserve"> some </w:t>
      </w:r>
      <w:r w:rsidR="00815A5C">
        <w:rPr>
          <w:rFonts w:ascii="Century Gothic" w:hAnsi="Century Gothic"/>
          <w:sz w:val="22"/>
        </w:rPr>
        <w:t>ideas</w:t>
      </w:r>
      <w:r w:rsidR="00054660">
        <w:rPr>
          <w:rFonts w:ascii="Century Gothic" w:hAnsi="Century Gothic"/>
          <w:sz w:val="22"/>
        </w:rPr>
        <w:t xml:space="preserve"> about where</w:t>
      </w:r>
      <w:r w:rsidR="008B32CD">
        <w:rPr>
          <w:rFonts w:ascii="Century Gothic" w:hAnsi="Century Gothic"/>
          <w:sz w:val="22"/>
        </w:rPr>
        <w:t xml:space="preserve"> </w:t>
      </w:r>
      <w:r w:rsidR="00A34FD5">
        <w:rPr>
          <w:rFonts w:ascii="Century Gothic" w:hAnsi="Century Gothic"/>
          <w:sz w:val="22"/>
        </w:rPr>
        <w:t>NGOs and DFAT may consider partnering investments in the immediate term and longer term.</w:t>
      </w:r>
      <w:r w:rsidR="00815A5C">
        <w:rPr>
          <w:rFonts w:ascii="Century Gothic" w:hAnsi="Century Gothic"/>
          <w:sz w:val="22"/>
        </w:rPr>
        <w:t xml:space="preserve"> We also acknowledge that both partners and DFAT have great ideas and encourage an ongoing dialogue on partnering investments.</w:t>
      </w:r>
    </w:p>
    <w:p w:rsidR="005E5A80" w:rsidRPr="00457AAF" w:rsidRDefault="005E5A80" w:rsidP="00B97DBE">
      <w:pPr>
        <w:jc w:val="both"/>
        <w:rPr>
          <w:rFonts w:ascii="Century Gothic" w:hAnsi="Century Gothic" w:cs="Arial"/>
          <w:sz w:val="16"/>
        </w:rPr>
      </w:pPr>
    </w:p>
    <w:p w:rsidR="00CC0372" w:rsidRPr="00283436" w:rsidRDefault="00A739A3" w:rsidP="00CC0372">
      <w:pPr>
        <w:pStyle w:val="Heading2"/>
      </w:pPr>
      <w:bookmarkStart w:id="41" w:name="_Toc266010040"/>
      <w:r>
        <w:t>6</w:t>
      </w:r>
      <w:r w:rsidR="00CC0372">
        <w:t>. Civil Society</w:t>
      </w:r>
      <w:r w:rsidR="00320D14">
        <w:t xml:space="preserve"> Engagement</w:t>
      </w:r>
      <w:bookmarkEnd w:id="41"/>
    </w:p>
    <w:p w:rsidR="00CC0372" w:rsidRDefault="00C83FB6" w:rsidP="00CC03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In the context of an NGO partnership we think it valuable to make some a few </w:t>
      </w:r>
      <w:r w:rsidR="002C3854">
        <w:rPr>
          <w:rFonts w:ascii="Century Gothic" w:hAnsi="Century Gothic" w:cs="Helvetica"/>
          <w:iCs/>
          <w:color w:val="000000"/>
          <w:sz w:val="22"/>
        </w:rPr>
        <w:t xml:space="preserve">observations </w:t>
      </w:r>
      <w:r>
        <w:rPr>
          <w:rFonts w:ascii="Century Gothic" w:hAnsi="Century Gothic" w:cs="Helvetica"/>
          <w:iCs/>
          <w:color w:val="000000"/>
          <w:sz w:val="22"/>
        </w:rPr>
        <w:t>with regard to engagement with Vietnamese civil society.</w:t>
      </w:r>
      <w:r w:rsidR="001D3F1F">
        <w:rPr>
          <w:rFonts w:ascii="Century Gothic" w:hAnsi="Century Gothic" w:cs="Helvetica"/>
          <w:iCs/>
          <w:color w:val="000000"/>
          <w:sz w:val="22"/>
        </w:rPr>
        <w:t xml:space="preserve"> </w:t>
      </w:r>
      <w:r w:rsidR="00CC0372">
        <w:rPr>
          <w:rFonts w:ascii="Century Gothic" w:hAnsi="Century Gothic" w:cs="Helvetica"/>
          <w:iCs/>
          <w:color w:val="000000"/>
          <w:sz w:val="22"/>
        </w:rPr>
        <w:t xml:space="preserve">The United Nations </w:t>
      </w:r>
      <w:r w:rsidR="00942CB6">
        <w:rPr>
          <w:rFonts w:ascii="Century Gothic" w:hAnsi="Century Gothic" w:cs="Helvetica"/>
          <w:iCs/>
          <w:color w:val="000000"/>
          <w:sz w:val="22"/>
        </w:rPr>
        <w:t xml:space="preserve">in Vietnam </w:t>
      </w:r>
      <w:r w:rsidR="00CC0372">
        <w:rPr>
          <w:rFonts w:ascii="Century Gothic" w:hAnsi="Century Gothic" w:cs="Helvetica"/>
          <w:iCs/>
          <w:color w:val="000000"/>
          <w:sz w:val="22"/>
        </w:rPr>
        <w:t>claims that:</w:t>
      </w:r>
    </w:p>
    <w:p w:rsidR="00CC0372" w:rsidRDefault="00CC0372" w:rsidP="00CC03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CC0372" w:rsidRPr="00B705CA" w:rsidRDefault="00CC0372" w:rsidP="00CC0372">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362"/>
        <w:jc w:val="both"/>
        <w:rPr>
          <w:rFonts w:ascii="Century Gothic" w:hAnsi="Century Gothic" w:cs="Helvetica"/>
          <w:iCs/>
          <w:color w:val="000000"/>
          <w:sz w:val="22"/>
        </w:rPr>
      </w:pPr>
      <w:r>
        <w:rPr>
          <w:rFonts w:ascii="Century Gothic" w:hAnsi="Century Gothic" w:cs="Arial"/>
          <w:color w:val="262626"/>
          <w:sz w:val="22"/>
          <w:szCs w:val="21"/>
        </w:rPr>
        <w:t>“</w:t>
      </w:r>
      <w:r w:rsidRPr="00B705CA">
        <w:rPr>
          <w:rFonts w:ascii="Century Gothic" w:hAnsi="Century Gothic" w:cs="Arial"/>
          <w:color w:val="262626"/>
          <w:sz w:val="22"/>
          <w:szCs w:val="21"/>
        </w:rPr>
        <w:t>To achieve significantly enhanced awareness</w:t>
      </w:r>
      <w:r>
        <w:rPr>
          <w:rFonts w:ascii="Century Gothic" w:hAnsi="Century Gothic" w:cs="Arial"/>
          <w:color w:val="262626"/>
          <w:sz w:val="22"/>
          <w:szCs w:val="21"/>
        </w:rPr>
        <w:t xml:space="preserve"> (for climate change)</w:t>
      </w:r>
      <w:r w:rsidRPr="00B705CA">
        <w:rPr>
          <w:rFonts w:ascii="Century Gothic" w:hAnsi="Century Gothic" w:cs="Arial"/>
          <w:color w:val="262626"/>
          <w:sz w:val="22"/>
          <w:szCs w:val="21"/>
        </w:rPr>
        <w:t xml:space="preserve"> will require coordinated efforts at an even larger scale by several ministries, mass organisations and both national and international NGOs, and will require involving more stakeholders than those identified in the NTP-RCC</w:t>
      </w:r>
      <w:r>
        <w:rPr>
          <w:rStyle w:val="FootnoteReference"/>
          <w:rFonts w:ascii="Century Gothic" w:hAnsi="Century Gothic" w:cs="Arial"/>
          <w:color w:val="262626"/>
          <w:sz w:val="22"/>
          <w:szCs w:val="21"/>
        </w:rPr>
        <w:footnoteReference w:id="45"/>
      </w:r>
      <w:r>
        <w:rPr>
          <w:rFonts w:ascii="Century Gothic" w:hAnsi="Century Gothic" w:cs="Arial"/>
          <w:color w:val="262626"/>
          <w:sz w:val="22"/>
          <w:szCs w:val="21"/>
        </w:rPr>
        <w:t>”</w:t>
      </w:r>
    </w:p>
    <w:p w:rsidR="00CC0372" w:rsidRDefault="00CC0372" w:rsidP="00CC03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CC0372" w:rsidRDefault="00CC0372" w:rsidP="00CC03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This highlights that DFAT’s commitment to </w:t>
      </w:r>
      <w:r w:rsidRPr="00D65BAD">
        <w:rPr>
          <w:rFonts w:ascii="Century Gothic" w:hAnsi="Century Gothic" w:cs="Helvetica"/>
          <w:b/>
          <w:iCs/>
          <w:color w:val="000000"/>
          <w:sz w:val="22"/>
        </w:rPr>
        <w:t>a funding window that facilitates the engagement of NGOs in community based climate action is both relevant and strategic</w:t>
      </w:r>
      <w:r>
        <w:rPr>
          <w:rFonts w:ascii="Century Gothic" w:hAnsi="Century Gothic" w:cs="Helvetica"/>
          <w:iCs/>
          <w:color w:val="000000"/>
          <w:sz w:val="22"/>
        </w:rPr>
        <w:t>.</w:t>
      </w:r>
    </w:p>
    <w:p w:rsidR="00CC0372" w:rsidRDefault="00CC0372" w:rsidP="00CC03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CC0372" w:rsidRDefault="00CC0372" w:rsidP="00ED0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This report has highlighted that CCCAG partners have formed important partnerships with mass organisations (e.g. the </w:t>
      </w:r>
      <w:r w:rsidR="00AB04C0">
        <w:rPr>
          <w:rFonts w:ascii="Century Gothic" w:hAnsi="Century Gothic" w:cs="Helvetica"/>
          <w:iCs/>
          <w:color w:val="000000"/>
          <w:sz w:val="22"/>
        </w:rPr>
        <w:t>VNRC</w:t>
      </w:r>
      <w:r>
        <w:rPr>
          <w:rFonts w:ascii="Century Gothic" w:hAnsi="Century Gothic" w:cs="Helvetica"/>
          <w:iCs/>
          <w:color w:val="000000"/>
          <w:sz w:val="22"/>
        </w:rPr>
        <w:t xml:space="preserve"> and the WU) who will be key actors for replicating and sustaining CCA efforts. This represents a </w:t>
      </w:r>
      <w:r w:rsidRPr="00577B7C">
        <w:rPr>
          <w:rFonts w:ascii="Century Gothic" w:hAnsi="Century Gothic" w:cs="Helvetica"/>
          <w:b/>
          <w:iCs/>
          <w:color w:val="000000"/>
          <w:sz w:val="22"/>
        </w:rPr>
        <w:t xml:space="preserve">valuable first step in terms of supporting the mainstreaming of CCA within wider government and social programs, and creating the </w:t>
      </w:r>
      <w:r w:rsidRPr="00577B7C">
        <w:rPr>
          <w:rFonts w:ascii="Century Gothic" w:hAnsi="Century Gothic" w:cs="Helvetica"/>
          <w:b/>
          <w:iCs/>
          <w:color w:val="000000"/>
          <w:sz w:val="22"/>
        </w:rPr>
        <w:lastRenderedPageBreak/>
        <w:t>space for civil society action</w:t>
      </w:r>
      <w:r>
        <w:rPr>
          <w:rFonts w:ascii="Century Gothic" w:hAnsi="Century Gothic" w:cs="Helvetica"/>
          <w:iCs/>
          <w:color w:val="000000"/>
          <w:sz w:val="22"/>
        </w:rPr>
        <w:t>.</w:t>
      </w:r>
      <w:r w:rsidR="001D6C47">
        <w:rPr>
          <w:rFonts w:ascii="Century Gothic" w:hAnsi="Century Gothic" w:cs="Helvetica"/>
          <w:iCs/>
          <w:color w:val="000000"/>
          <w:sz w:val="22"/>
        </w:rPr>
        <w:t xml:space="preserve"> However, this will not happen simply through a programming engagement. Strategic investments in the capacity building of these partners is warranted, with consideration of their dual roles as i. service providers and ii. citizens’ organisatons.</w:t>
      </w:r>
    </w:p>
    <w:p w:rsidR="00AB6236" w:rsidRDefault="00AB6236" w:rsidP="00ED0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AB6236" w:rsidRPr="00CC0372"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w:b/>
          <w:iCs/>
          <w:color w:val="000000"/>
          <w:sz w:val="20"/>
        </w:rPr>
      </w:pPr>
      <w:r w:rsidRPr="00CC0372">
        <w:rPr>
          <w:rFonts w:ascii="Century Gothic" w:hAnsi="Century Gothic" w:cs="Helvetica"/>
          <w:b/>
          <w:iCs/>
          <w:color w:val="000000"/>
          <w:sz w:val="20"/>
        </w:rPr>
        <w:t>Engaging with local Civil Society in the South</w:t>
      </w:r>
    </w:p>
    <w:p w:rsidR="00AB6236"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0"/>
        </w:rPr>
      </w:pPr>
    </w:p>
    <w:p w:rsidR="00AB6236"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0"/>
        </w:rPr>
      </w:pPr>
      <w:r w:rsidRPr="00CD19F2">
        <w:rPr>
          <w:rFonts w:ascii="Century Gothic" w:hAnsi="Century Gothic" w:cs="Helvetica"/>
          <w:iCs/>
          <w:color w:val="000000"/>
          <w:sz w:val="20"/>
        </w:rPr>
        <w:t xml:space="preserve">Civil society engagement in climate change in the South is nascent. </w:t>
      </w:r>
    </w:p>
    <w:p w:rsidR="00AB6236"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0"/>
        </w:rPr>
      </w:pPr>
    </w:p>
    <w:p w:rsidR="00AB6236"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sidRPr="00CD19F2">
        <w:rPr>
          <w:rFonts w:ascii="Century Gothic" w:hAnsi="Century Gothic" w:cs="Helvetica"/>
          <w:iCs/>
          <w:color w:val="000000"/>
          <w:sz w:val="20"/>
        </w:rPr>
        <w:t xml:space="preserve">CCCAG partners are positively trying to support the development of the </w:t>
      </w:r>
      <w:r w:rsidRPr="00CD19F2">
        <w:rPr>
          <w:rFonts w:ascii="Century Gothic" w:hAnsi="Century Gothic" w:cs="Helvetica"/>
          <w:sz w:val="20"/>
        </w:rPr>
        <w:t xml:space="preserve">South Mekong Climate Change Working Group.  While we see this is valuable, </w:t>
      </w:r>
      <w:r>
        <w:rPr>
          <w:rFonts w:ascii="Century Gothic" w:hAnsi="Century Gothic" w:cs="Helvetica"/>
          <w:sz w:val="20"/>
        </w:rPr>
        <w:t>the network</w:t>
      </w:r>
      <w:r w:rsidRPr="00CD19F2">
        <w:rPr>
          <w:rFonts w:ascii="Century Gothic" w:hAnsi="Century Gothic" w:cs="Helvetica"/>
          <w:sz w:val="20"/>
        </w:rPr>
        <w:t xml:space="preserve"> is currently attended largely by CSOs</w:t>
      </w:r>
      <w:r>
        <w:rPr>
          <w:rFonts w:ascii="Century Gothic" w:hAnsi="Century Gothic" w:cs="Helvetica"/>
          <w:sz w:val="20"/>
        </w:rPr>
        <w:t>,</w:t>
      </w:r>
      <w:r w:rsidRPr="00CD19F2">
        <w:rPr>
          <w:rFonts w:ascii="Century Gothic" w:hAnsi="Century Gothic" w:cs="Helvetica"/>
          <w:sz w:val="20"/>
        </w:rPr>
        <w:t xml:space="preserve"> and acts </w:t>
      </w:r>
      <w:r>
        <w:rPr>
          <w:rFonts w:ascii="Century Gothic" w:hAnsi="Century Gothic" w:cs="Helvetica"/>
          <w:sz w:val="20"/>
        </w:rPr>
        <w:t>as an</w:t>
      </w:r>
      <w:r w:rsidRPr="00CD19F2">
        <w:rPr>
          <w:rFonts w:ascii="Century Gothic" w:hAnsi="Century Gothic" w:cs="Helvetica"/>
          <w:sz w:val="20"/>
        </w:rPr>
        <w:t xml:space="preserve"> information-sharing forum amongst like-minded actors. </w:t>
      </w:r>
      <w:r>
        <w:rPr>
          <w:rFonts w:ascii="Century Gothic" w:hAnsi="Century Gothic" w:cs="Helvetica"/>
          <w:sz w:val="20"/>
        </w:rPr>
        <w:t>The absence of policy makers, and</w:t>
      </w:r>
      <w:r w:rsidRPr="00CD19F2">
        <w:rPr>
          <w:rFonts w:ascii="Century Gothic" w:hAnsi="Century Gothic" w:cs="Helvetica"/>
          <w:sz w:val="20"/>
        </w:rPr>
        <w:t xml:space="preserve"> </w:t>
      </w:r>
      <w:r>
        <w:rPr>
          <w:rFonts w:ascii="Century Gothic" w:hAnsi="Century Gothic" w:cs="Helvetica"/>
          <w:sz w:val="20"/>
        </w:rPr>
        <w:t xml:space="preserve">actors with other </w:t>
      </w:r>
      <w:r w:rsidRPr="00CD19F2">
        <w:rPr>
          <w:rFonts w:ascii="Century Gothic" w:hAnsi="Century Gothic" w:cs="Helvetica"/>
          <w:sz w:val="20"/>
        </w:rPr>
        <w:t xml:space="preserve">divergent interests that would enable critical debate </w:t>
      </w:r>
      <w:r>
        <w:rPr>
          <w:rFonts w:ascii="Century Gothic" w:hAnsi="Century Gothic" w:cs="Helvetica"/>
          <w:sz w:val="20"/>
        </w:rPr>
        <w:t>presents as a</w:t>
      </w:r>
      <w:r w:rsidRPr="00CD19F2">
        <w:rPr>
          <w:rFonts w:ascii="Century Gothic" w:hAnsi="Century Gothic" w:cs="Helvetica"/>
          <w:sz w:val="20"/>
        </w:rPr>
        <w:t xml:space="preserve"> missed opportunity for CCCAG partners to add value by facilitating opportunities for local stakeholders to debate climate change issues and influence policy at the sub national level. </w:t>
      </w:r>
    </w:p>
    <w:p w:rsidR="00AB6236"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p>
    <w:p w:rsidR="00AB6236"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sidRPr="00CD19F2">
        <w:rPr>
          <w:rFonts w:ascii="Century Gothic" w:hAnsi="Century Gothic" w:cs="Helvetica"/>
          <w:sz w:val="20"/>
        </w:rPr>
        <w:t>When this issue was raised with CCCAG partners, they indicated that this was because their focus on engagement with that forum was capacity building</w:t>
      </w:r>
      <w:r>
        <w:rPr>
          <w:rFonts w:ascii="Century Gothic" w:hAnsi="Century Gothic" w:cs="Helvetica"/>
          <w:sz w:val="20"/>
        </w:rPr>
        <w:t>, although we have not yet been able to identify a plan for how that will happen</w:t>
      </w:r>
      <w:r w:rsidRPr="00CD19F2">
        <w:rPr>
          <w:rFonts w:ascii="Century Gothic" w:hAnsi="Century Gothic" w:cs="Helvetica"/>
          <w:sz w:val="20"/>
        </w:rPr>
        <w:t xml:space="preserve">. </w:t>
      </w:r>
    </w:p>
    <w:p w:rsidR="00AB6236"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p>
    <w:p w:rsidR="00AB6236" w:rsidRPr="00CD19F2"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sidRPr="00CD19F2">
        <w:rPr>
          <w:rFonts w:ascii="Century Gothic" w:hAnsi="Century Gothic" w:cs="Helvetica"/>
          <w:sz w:val="20"/>
        </w:rPr>
        <w:t xml:space="preserve">This </w:t>
      </w:r>
      <w:r>
        <w:rPr>
          <w:rFonts w:ascii="Century Gothic" w:hAnsi="Century Gothic" w:cs="Helvetica"/>
          <w:sz w:val="20"/>
        </w:rPr>
        <w:t xml:space="preserve">example, poses some </w:t>
      </w:r>
      <w:r w:rsidRPr="00CD19F2">
        <w:rPr>
          <w:rFonts w:ascii="Century Gothic" w:hAnsi="Century Gothic" w:cs="Helvetica"/>
          <w:sz w:val="20"/>
        </w:rPr>
        <w:t xml:space="preserve">key questions that we encourage DFAT and partners to </w:t>
      </w:r>
      <w:r>
        <w:rPr>
          <w:rFonts w:ascii="Century Gothic" w:hAnsi="Century Gothic" w:cs="Helvetica"/>
          <w:sz w:val="20"/>
        </w:rPr>
        <w:t xml:space="preserve">reflect on as they </w:t>
      </w:r>
      <w:r w:rsidRPr="00CD19F2">
        <w:rPr>
          <w:rFonts w:ascii="Century Gothic" w:hAnsi="Century Gothic" w:cs="Helvetica"/>
          <w:sz w:val="20"/>
        </w:rPr>
        <w:t>consider future engagement with local civil society</w:t>
      </w:r>
      <w:r>
        <w:rPr>
          <w:rFonts w:ascii="Century Gothic" w:hAnsi="Century Gothic" w:cs="Helvetica"/>
          <w:sz w:val="20"/>
        </w:rPr>
        <w:t xml:space="preserve"> in the context of a new program</w:t>
      </w:r>
      <w:r w:rsidRPr="00CD19F2">
        <w:rPr>
          <w:rFonts w:ascii="Century Gothic" w:hAnsi="Century Gothic" w:cs="Helvetica"/>
          <w:sz w:val="20"/>
        </w:rPr>
        <w:t>:</w:t>
      </w:r>
    </w:p>
    <w:p w:rsidR="00AB6236" w:rsidRPr="00CD19F2" w:rsidRDefault="00AB6236" w:rsidP="00AB6236">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p>
    <w:p w:rsidR="00AB6236" w:rsidRPr="00DA103A" w:rsidRDefault="00AB6236" w:rsidP="00AB6236">
      <w:pPr>
        <w:pStyle w:val="ListParagraph"/>
        <w:widowControl w:val="0"/>
        <w:numPr>
          <w:ilvl w:val="0"/>
          <w:numId w:val="35"/>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sidRPr="00DA103A">
        <w:rPr>
          <w:rFonts w:ascii="Century Gothic" w:hAnsi="Century Gothic" w:cs="Helvetica"/>
          <w:sz w:val="20"/>
        </w:rPr>
        <w:t>What is the role of civil society actors for climate change action in Vietnam in the future (</w:t>
      </w:r>
      <w:r>
        <w:rPr>
          <w:rFonts w:ascii="Century Gothic" w:hAnsi="Century Gothic" w:cs="Helvetica"/>
          <w:sz w:val="20"/>
        </w:rPr>
        <w:t xml:space="preserve">community planning - </w:t>
      </w:r>
      <w:r w:rsidRPr="00DA103A">
        <w:rPr>
          <w:rFonts w:ascii="Century Gothic" w:hAnsi="Century Gothic" w:cs="Helvetica"/>
          <w:sz w:val="20"/>
        </w:rPr>
        <w:t>service delivery</w:t>
      </w:r>
      <w:r>
        <w:rPr>
          <w:rFonts w:ascii="Century Gothic" w:hAnsi="Century Gothic" w:cs="Helvetica"/>
          <w:sz w:val="20"/>
        </w:rPr>
        <w:t xml:space="preserve"> - community mobilisation -  </w:t>
      </w:r>
      <w:r w:rsidRPr="00DA103A">
        <w:rPr>
          <w:rFonts w:ascii="Century Gothic" w:hAnsi="Century Gothic" w:cs="Helvetica"/>
          <w:sz w:val="20"/>
        </w:rPr>
        <w:t>policy dialogue)?</w:t>
      </w:r>
    </w:p>
    <w:p w:rsidR="00AB6236" w:rsidRPr="00DA103A" w:rsidRDefault="00AB6236" w:rsidP="00AB6236">
      <w:pPr>
        <w:pStyle w:val="ListParagraph"/>
        <w:widowControl w:val="0"/>
        <w:numPr>
          <w:ilvl w:val="0"/>
          <w:numId w:val="35"/>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sidRPr="00DA103A">
        <w:rPr>
          <w:rFonts w:ascii="Century Gothic" w:hAnsi="Century Gothic" w:cs="Helvetica"/>
          <w:sz w:val="20"/>
        </w:rPr>
        <w:t>Are these mutually exclusive?</w:t>
      </w:r>
    </w:p>
    <w:p w:rsidR="00AB6236" w:rsidRPr="00DA103A" w:rsidRDefault="00AB6236" w:rsidP="00AB6236">
      <w:pPr>
        <w:pStyle w:val="ListParagraph"/>
        <w:widowControl w:val="0"/>
        <w:numPr>
          <w:ilvl w:val="0"/>
          <w:numId w:val="35"/>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sidRPr="00DA103A">
        <w:rPr>
          <w:rFonts w:ascii="Century Gothic" w:hAnsi="Century Gothic" w:cs="Helvetica"/>
          <w:sz w:val="20"/>
        </w:rPr>
        <w:t>Are we supporting them to engage with each other, or with us?</w:t>
      </w:r>
    </w:p>
    <w:p w:rsidR="00AB6236" w:rsidRDefault="00AB6236" w:rsidP="00AB6236">
      <w:pPr>
        <w:pStyle w:val="ListParagraph"/>
        <w:widowControl w:val="0"/>
        <w:numPr>
          <w:ilvl w:val="0"/>
          <w:numId w:val="35"/>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sidRPr="00DA103A">
        <w:rPr>
          <w:rFonts w:ascii="Century Gothic" w:hAnsi="Century Gothic" w:cs="Helvetica"/>
          <w:sz w:val="20"/>
        </w:rPr>
        <w:t>Are we using the right vehicles for building the right capacities?</w:t>
      </w:r>
    </w:p>
    <w:p w:rsidR="00AB6236" w:rsidRPr="002210F5" w:rsidRDefault="00AB6236" w:rsidP="00AB6236">
      <w:pPr>
        <w:pStyle w:val="ListParagraph"/>
        <w:widowControl w:val="0"/>
        <w:numPr>
          <w:ilvl w:val="0"/>
          <w:numId w:val="35"/>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0"/>
        </w:rPr>
      </w:pPr>
      <w:r>
        <w:rPr>
          <w:rFonts w:ascii="Century Gothic" w:hAnsi="Century Gothic" w:cs="Helvetica"/>
          <w:sz w:val="20"/>
        </w:rPr>
        <w:t>Do we have the capacities required to build capacity?</w:t>
      </w:r>
    </w:p>
    <w:p w:rsidR="00AB6236" w:rsidRPr="00AB6236" w:rsidRDefault="00AB6236" w:rsidP="00ED0670">
      <w:pPr>
        <w:pStyle w:val="ListParagraph"/>
        <w:widowControl w:val="0"/>
        <w:numPr>
          <w:ilvl w:val="0"/>
          <w:numId w:val="35"/>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sidRPr="00AB6236">
        <w:rPr>
          <w:rFonts w:ascii="Century Gothic" w:hAnsi="Century Gothic" w:cs="Helvetica"/>
          <w:sz w:val="20"/>
        </w:rPr>
        <w:t>Do we have a plan, agreed with these actors for what capacities building?</w:t>
      </w:r>
    </w:p>
    <w:p w:rsidR="00CC0372" w:rsidRDefault="00CC0372" w:rsidP="00CC03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p>
    <w:p w:rsidR="00CC0372" w:rsidRDefault="00CC0372" w:rsidP="00CC03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iCs/>
          <w:color w:val="000000"/>
          <w:sz w:val="22"/>
        </w:rPr>
      </w:pPr>
      <w:r>
        <w:rPr>
          <w:rFonts w:ascii="Century Gothic" w:hAnsi="Century Gothic" w:cs="Helvetica"/>
          <w:iCs/>
          <w:color w:val="000000"/>
          <w:sz w:val="22"/>
        </w:rPr>
        <w:t xml:space="preserve">CCCAG partners are also engaging with Vietnamese NGOs, albeit to a lesser degree. Where this is happening, </w:t>
      </w:r>
      <w:r w:rsidR="007A3DF6">
        <w:rPr>
          <w:rFonts w:ascii="Century Gothic" w:hAnsi="Century Gothic" w:cs="Helvetica"/>
          <w:iCs/>
          <w:color w:val="000000"/>
          <w:sz w:val="22"/>
        </w:rPr>
        <w:t>engagements appear to</w:t>
      </w:r>
      <w:r>
        <w:rPr>
          <w:rFonts w:ascii="Century Gothic" w:hAnsi="Century Gothic" w:cs="Helvetica"/>
          <w:iCs/>
          <w:color w:val="000000"/>
          <w:sz w:val="22"/>
        </w:rPr>
        <w:t xml:space="preserve"> focus on the implementation of project interventions</w:t>
      </w:r>
      <w:r>
        <w:rPr>
          <w:rStyle w:val="FootnoteReference"/>
          <w:rFonts w:ascii="Century Gothic" w:hAnsi="Century Gothic" w:cs="Helvetica"/>
          <w:iCs/>
          <w:color w:val="000000"/>
          <w:sz w:val="22"/>
        </w:rPr>
        <w:footnoteReference w:id="46"/>
      </w:r>
      <w:r>
        <w:rPr>
          <w:rFonts w:ascii="Century Gothic" w:hAnsi="Century Gothic" w:cs="Helvetica"/>
          <w:iCs/>
          <w:color w:val="000000"/>
          <w:sz w:val="22"/>
        </w:rPr>
        <w:t xml:space="preserve">. While CCCAG partners stress their own role as capacity builders of these organisations, the Review has not been able to evidence any documented institutional assessments or capacity development plans. Our discussion on effectiveness, sustainability and M&amp;E highlight the need to more </w:t>
      </w:r>
      <w:r w:rsidRPr="00F63F5D">
        <w:rPr>
          <w:rFonts w:ascii="Century Gothic" w:hAnsi="Century Gothic" w:cs="Helvetica"/>
          <w:b/>
          <w:iCs/>
          <w:color w:val="000000"/>
          <w:sz w:val="22"/>
        </w:rPr>
        <w:t>clearly articulate the purpose and targets of capacity building</w:t>
      </w:r>
      <w:r>
        <w:rPr>
          <w:rFonts w:ascii="Century Gothic" w:hAnsi="Century Gothic" w:cs="Helvetica"/>
          <w:iCs/>
          <w:color w:val="000000"/>
          <w:sz w:val="22"/>
        </w:rPr>
        <w:t xml:space="preserve"> in order to better measure outcomes and impact, and so that opportunities for wider partnership are not lost (see box).</w:t>
      </w:r>
    </w:p>
    <w:p w:rsidR="00CC0372" w:rsidRDefault="00CC0372" w:rsidP="00CC0372"/>
    <w:p w:rsidR="00CC0372" w:rsidRDefault="00CC0372" w:rsidP="00CC0372">
      <w:pPr>
        <w:pStyle w:val="DonnasStyle"/>
        <w:rPr>
          <w:rFonts w:cs="Helvetica"/>
        </w:rPr>
      </w:pPr>
      <w:r w:rsidRPr="00D65BAD">
        <w:rPr>
          <w:rFonts w:cs="Helvetica"/>
        </w:rPr>
        <w:t xml:space="preserve">In summary, the engagement of civil society Vietnam is a complex issue. </w:t>
      </w:r>
      <w:r w:rsidR="00505E84">
        <w:rPr>
          <w:rFonts w:cs="Helvetica"/>
        </w:rPr>
        <w:t xml:space="preserve">The engagement of civil society in climate change action in Vietnam </w:t>
      </w:r>
      <w:r w:rsidRPr="00D65BAD">
        <w:rPr>
          <w:rFonts w:cs="Helvetica"/>
        </w:rPr>
        <w:t xml:space="preserve">is however, also fundamental the success of a future community based climate change program. </w:t>
      </w:r>
    </w:p>
    <w:p w:rsidR="00CC0372" w:rsidRDefault="00CC0372" w:rsidP="00CC0372">
      <w:pPr>
        <w:pStyle w:val="DonnasStyle"/>
        <w:rPr>
          <w:rFonts w:cs="Helvetica"/>
        </w:rPr>
      </w:pPr>
    </w:p>
    <w:p w:rsidR="00CC0372" w:rsidRPr="00B96EDC" w:rsidRDefault="00CC0372" w:rsidP="00CC0372">
      <w:pPr>
        <w:pStyle w:val="DonnasStyle"/>
        <w:tabs>
          <w:tab w:val="clear" w:pos="560"/>
          <w:tab w:val="left" w:pos="426"/>
        </w:tabs>
        <w:ind w:left="567" w:right="503" w:hanging="141"/>
        <w:rPr>
          <w:b/>
          <w:sz w:val="20"/>
        </w:rPr>
      </w:pPr>
      <w:r w:rsidRPr="00B96EDC">
        <w:rPr>
          <w:b/>
          <w:sz w:val="20"/>
        </w:rPr>
        <w:t>“The time has passed in Vietnam for funding international NGOs to do more of what they have always been doing.</w:t>
      </w:r>
      <w:r w:rsidR="00F3494F">
        <w:rPr>
          <w:rStyle w:val="FootnoteReference"/>
          <w:b/>
          <w:sz w:val="20"/>
        </w:rPr>
        <w:footnoteReference w:id="47"/>
      </w:r>
      <w:r w:rsidRPr="00B96EDC">
        <w:rPr>
          <w:b/>
          <w:sz w:val="20"/>
        </w:rPr>
        <w:t>”</w:t>
      </w:r>
    </w:p>
    <w:p w:rsidR="00B362AF" w:rsidRDefault="00B362AF" w:rsidP="00CC0372">
      <w:pPr>
        <w:pStyle w:val="DonnasStyle"/>
        <w:tabs>
          <w:tab w:val="clear" w:pos="560"/>
        </w:tabs>
        <w:rPr>
          <w:rFonts w:cs="Helvetica"/>
        </w:rPr>
      </w:pPr>
    </w:p>
    <w:p w:rsidR="00CC0372" w:rsidRDefault="00CC0372" w:rsidP="00CC0372">
      <w:pPr>
        <w:pStyle w:val="DonnasStyle"/>
        <w:tabs>
          <w:tab w:val="clear" w:pos="560"/>
        </w:tabs>
        <w:rPr>
          <w:rFonts w:cs="Helvetica"/>
        </w:rPr>
      </w:pPr>
    </w:p>
    <w:p w:rsidR="00035F72" w:rsidRDefault="00035F72" w:rsidP="00CC0372">
      <w:pPr>
        <w:pStyle w:val="DonnasStyle"/>
        <w:rPr>
          <w:rFonts w:cs="Helvetica"/>
        </w:rPr>
      </w:pPr>
      <w:r>
        <w:rPr>
          <w:rFonts w:cs="Helvetica"/>
        </w:rPr>
        <w:t>We</w:t>
      </w:r>
      <w:r w:rsidR="00CC0372" w:rsidRPr="00D65BAD">
        <w:rPr>
          <w:rFonts w:cs="Helvetica"/>
        </w:rPr>
        <w:t xml:space="preserve"> </w:t>
      </w:r>
      <w:r w:rsidR="00CC0372">
        <w:rPr>
          <w:rFonts w:cs="Helvetica"/>
        </w:rPr>
        <w:t>recommend</w:t>
      </w:r>
      <w:r w:rsidR="00CC0372" w:rsidRPr="00D65BAD">
        <w:rPr>
          <w:rFonts w:cs="Helvetica"/>
        </w:rPr>
        <w:t xml:space="preserve"> that a detailed and objective analysis of the potential ways in which DFAT and its partners </w:t>
      </w:r>
      <w:r w:rsidR="00CC0372">
        <w:rPr>
          <w:rFonts w:cs="Helvetica"/>
        </w:rPr>
        <w:t xml:space="preserve">could </w:t>
      </w:r>
      <w:r w:rsidR="00CC0372" w:rsidRPr="00D65BAD">
        <w:rPr>
          <w:rFonts w:cs="Helvetica"/>
        </w:rPr>
        <w:t>engage with Vietnam</w:t>
      </w:r>
      <w:r w:rsidR="00CC0372">
        <w:rPr>
          <w:rFonts w:cs="Helvetica"/>
        </w:rPr>
        <w:t xml:space="preserve">ese civil society be undertaken as part of the pre-design analytics for the future program. </w:t>
      </w:r>
    </w:p>
    <w:p w:rsidR="00035F72" w:rsidRDefault="00035F72" w:rsidP="00CC0372">
      <w:pPr>
        <w:pStyle w:val="DonnasStyle"/>
        <w:rPr>
          <w:rFonts w:cs="Helvetica"/>
        </w:rPr>
      </w:pPr>
    </w:p>
    <w:p w:rsidR="00CC0372" w:rsidRDefault="00CC0372" w:rsidP="00CC0372">
      <w:pPr>
        <w:pStyle w:val="DonnasStyle"/>
        <w:rPr>
          <w:rFonts w:cs="Helvetica"/>
          <w:b/>
        </w:rPr>
      </w:pPr>
      <w:r>
        <w:rPr>
          <w:rFonts w:cs="Helvetica"/>
        </w:rPr>
        <w:lastRenderedPageBreak/>
        <w:t>We also recommend that this analysis be used to assist DFAT and its partners to develop a clear strategy for how to engage with local civil society as development and climate change actors, of which capacity building may be an activity rather than the objective.</w:t>
      </w:r>
    </w:p>
    <w:p w:rsidR="000B1D99" w:rsidRPr="00AE2419" w:rsidRDefault="00B362AF" w:rsidP="000B1D99">
      <w:pPr>
        <w:pStyle w:val="Heading1"/>
      </w:pPr>
      <w:r>
        <w:br w:type="page"/>
      </w:r>
      <w:bookmarkStart w:id="42" w:name="_Toc266010041"/>
      <w:r w:rsidR="000B1D99">
        <w:lastRenderedPageBreak/>
        <w:t>SECTION 3: SUMMARY AND CONCLUSIONS</w:t>
      </w:r>
      <w:bookmarkEnd w:id="42"/>
    </w:p>
    <w:p w:rsidR="000B1D99" w:rsidRPr="007C386F" w:rsidRDefault="007C386F" w:rsidP="007C386F">
      <w:pPr>
        <w:jc w:val="both"/>
        <w:rPr>
          <w:rFonts w:ascii="Century Gothic" w:hAnsi="Century Gothic"/>
          <w:sz w:val="22"/>
        </w:rPr>
      </w:pPr>
      <w:r>
        <w:rPr>
          <w:rFonts w:ascii="Century Gothic" w:hAnsi="Century Gothic"/>
          <w:sz w:val="22"/>
        </w:rPr>
        <w:t xml:space="preserve">A table containing the </w:t>
      </w:r>
      <w:r w:rsidR="00DD5587" w:rsidRPr="00DD5587">
        <w:rPr>
          <w:rFonts w:ascii="Century Gothic" w:hAnsi="Century Gothic"/>
          <w:sz w:val="22"/>
        </w:rPr>
        <w:t xml:space="preserve">Recommendations of the CCCAG Progress Review has been provided at the beginning of this report. </w:t>
      </w:r>
    </w:p>
    <w:p w:rsidR="000B1D99" w:rsidRDefault="00DD5587" w:rsidP="000B1D99">
      <w:pPr>
        <w:pStyle w:val="Heading2"/>
      </w:pPr>
      <w:bookmarkStart w:id="43" w:name="_Toc266010042"/>
      <w:r>
        <w:t>7</w:t>
      </w:r>
      <w:r w:rsidR="000B1D99">
        <w:t>. Concluding remarks</w:t>
      </w:r>
      <w:bookmarkEnd w:id="40"/>
      <w:bookmarkEnd w:id="43"/>
    </w:p>
    <w:p w:rsidR="000B1D99" w:rsidRDefault="000B1D99" w:rsidP="000B1D99">
      <w:pPr>
        <w:jc w:val="both"/>
        <w:rPr>
          <w:rFonts w:ascii="Century Gothic" w:hAnsi="Century Gothic"/>
          <w:sz w:val="22"/>
        </w:rPr>
      </w:pPr>
      <w:r>
        <w:rPr>
          <w:rFonts w:ascii="Century Gothic" w:hAnsi="Century Gothic"/>
          <w:sz w:val="22"/>
        </w:rPr>
        <w:t xml:space="preserve">CCCAG and its constituent projects have made progress towards delivering on an ambitious set of approaches and activities in a new area of focus for DFAT and many of the NGOs involved. All partners have attempted to align their work with appropriate government agencies, such as those involved in social development planning and agricultural extension services, and have supported sub national governments to better understand their climate risks and to implement localised climate change action.  </w:t>
      </w:r>
    </w:p>
    <w:p w:rsidR="000B1D99" w:rsidRDefault="000B1D99" w:rsidP="000B1D99">
      <w:pPr>
        <w:jc w:val="both"/>
        <w:rPr>
          <w:rFonts w:ascii="Century Gothic" w:hAnsi="Century Gothic"/>
          <w:sz w:val="22"/>
        </w:rPr>
      </w:pPr>
    </w:p>
    <w:p w:rsidR="000B1D99" w:rsidRDefault="000B1D99" w:rsidP="000B1D99">
      <w:pPr>
        <w:jc w:val="both"/>
        <w:rPr>
          <w:rFonts w:ascii="Century Gothic" w:hAnsi="Century Gothic"/>
          <w:sz w:val="22"/>
        </w:rPr>
      </w:pPr>
      <w:r>
        <w:rPr>
          <w:rFonts w:ascii="Century Gothic" w:hAnsi="Century Gothic"/>
          <w:sz w:val="22"/>
        </w:rPr>
        <w:t>CCCAG has enabled DFAT and partners to consider the important interactions and relationships between climate change, poverty, vulnerability, risk and resilience, and to test approaches to addressing these. It has enabled the development of new relationships and partnership between DFAT, implementing partners, their local partners in turn, and promoted opportunities for them to share their experience in sub national, national and international climate fora.</w:t>
      </w:r>
    </w:p>
    <w:p w:rsidR="000B1D99" w:rsidRDefault="000B1D99" w:rsidP="000B1D99">
      <w:pPr>
        <w:jc w:val="both"/>
        <w:rPr>
          <w:rFonts w:ascii="Century Gothic" w:hAnsi="Century Gothic"/>
          <w:sz w:val="22"/>
        </w:rPr>
      </w:pPr>
    </w:p>
    <w:p w:rsidR="000B1D99" w:rsidRDefault="000B1D99" w:rsidP="000B1D99">
      <w:pPr>
        <w:jc w:val="both"/>
        <w:rPr>
          <w:rFonts w:ascii="Century Gothic" w:hAnsi="Century Gothic"/>
          <w:sz w:val="22"/>
        </w:rPr>
      </w:pPr>
      <w:r>
        <w:rPr>
          <w:rFonts w:ascii="Century Gothic" w:hAnsi="Century Gothic"/>
          <w:sz w:val="22"/>
        </w:rPr>
        <w:t>In the absence of a clear overarching program logic and ToC that brings the six investments into congruence, there is a risk that the key learnings and achievements of CCCAG projects will not be fully captured and used to support sustained development models, or bring sufficient evidence to higher level policy dialogue.</w:t>
      </w:r>
    </w:p>
    <w:p w:rsidR="000B1D99" w:rsidRDefault="000B1D99" w:rsidP="000B1D99">
      <w:pPr>
        <w:jc w:val="both"/>
        <w:rPr>
          <w:rFonts w:ascii="Century Gothic" w:hAnsi="Century Gothic"/>
          <w:sz w:val="22"/>
        </w:rPr>
      </w:pPr>
    </w:p>
    <w:p w:rsidR="000B1D99" w:rsidRDefault="000B1D99" w:rsidP="000B1D99">
      <w:pPr>
        <w:jc w:val="both"/>
        <w:rPr>
          <w:rFonts w:ascii="Century Gothic" w:hAnsi="Century Gothic"/>
          <w:sz w:val="22"/>
        </w:rPr>
      </w:pPr>
      <w:r>
        <w:rPr>
          <w:rFonts w:ascii="Century Gothic" w:hAnsi="Century Gothic"/>
          <w:sz w:val="22"/>
        </w:rPr>
        <w:t xml:space="preserve">This Review has been a key process in trying to capture and focus that learning to inform the design of future climate change investments in Vietnam beyond the life of CCCAG. </w:t>
      </w:r>
    </w:p>
    <w:p w:rsidR="000B1D99" w:rsidRDefault="000B1D99" w:rsidP="000B1D99">
      <w:pPr>
        <w:jc w:val="both"/>
        <w:rPr>
          <w:rFonts w:ascii="Century Gothic" w:hAnsi="Century Gothic"/>
          <w:sz w:val="22"/>
        </w:rPr>
      </w:pPr>
    </w:p>
    <w:p w:rsidR="000B1D99" w:rsidRDefault="000B1D99" w:rsidP="000B1D99">
      <w:pPr>
        <w:jc w:val="both"/>
        <w:rPr>
          <w:rFonts w:ascii="Century Gothic" w:hAnsi="Century Gothic"/>
          <w:sz w:val="22"/>
        </w:rPr>
      </w:pPr>
      <w:r>
        <w:rPr>
          <w:rFonts w:ascii="Century Gothic" w:hAnsi="Century Gothic"/>
          <w:sz w:val="22"/>
        </w:rPr>
        <w:t>It is hoped that the combined efforts of all engaged in the Review can support both DFAT and the CCCAG partners to reflect on the progress made to date, refine the delivery of activities for the remaining duration of the program, and underpin critical analysis of future climate change adaptation and mitigation funding.</w:t>
      </w:r>
    </w:p>
    <w:p w:rsidR="000B1D99" w:rsidRDefault="000B1D99" w:rsidP="000B1D99"/>
    <w:p w:rsidR="00FF3107" w:rsidRDefault="00FF3107"/>
    <w:sectPr w:rsidR="00FF3107" w:rsidSect="00FF3107">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9B" w:rsidRDefault="0032489B">
      <w:r>
        <w:separator/>
      </w:r>
    </w:p>
  </w:endnote>
  <w:endnote w:type="continuationSeparator" w:id="0">
    <w:p w:rsidR="0032489B" w:rsidRDefault="0032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Helvetica">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9B" w:rsidRDefault="0032489B" w:rsidP="00FF310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32489B" w:rsidRDefault="0032489B" w:rsidP="00FF310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9B" w:rsidRPr="005E17F8" w:rsidRDefault="0032489B" w:rsidP="00FF3107">
    <w:pPr>
      <w:pStyle w:val="Footer"/>
      <w:framePr w:wrap="around" w:vAnchor="text" w:hAnchor="margin" w:y="1"/>
      <w:pBdr>
        <w:top w:val="single" w:sz="18" w:space="1" w:color="4F81BD" w:themeColor="accent1"/>
      </w:pBdr>
      <w:rPr>
        <w:rStyle w:val="PageNumber"/>
      </w:rPr>
    </w:pPr>
    <w:r>
      <w:rPr>
        <w:rStyle w:val="PageNumber"/>
        <w:rFonts w:ascii="Century Gothic" w:hAnsi="Century Gothic"/>
        <w:sz w:val="18"/>
      </w:rPr>
      <w:tab/>
    </w:r>
    <w:r>
      <w:rPr>
        <w:rStyle w:val="PageNumber"/>
        <w:rFonts w:ascii="Century Gothic" w:hAnsi="Century Gothic"/>
        <w:sz w:val="18"/>
      </w:rPr>
      <w:tab/>
    </w:r>
    <w:r>
      <w:rPr>
        <w:rStyle w:val="PageNumber"/>
        <w:rFonts w:ascii="Century Gothic" w:hAnsi="Century Gothic"/>
        <w:sz w:val="18"/>
      </w:rPr>
      <w:tab/>
    </w:r>
    <w:r w:rsidRPr="005E17F8">
      <w:rPr>
        <w:rStyle w:val="PageNumber"/>
        <w:rFonts w:ascii="Century Gothic" w:hAnsi="Century Gothic"/>
        <w:sz w:val="18"/>
      </w:rPr>
      <w:fldChar w:fldCharType="begin"/>
    </w:r>
    <w:r w:rsidRPr="005E17F8">
      <w:rPr>
        <w:rStyle w:val="PageNumber"/>
        <w:rFonts w:ascii="Century Gothic" w:hAnsi="Century Gothic"/>
        <w:sz w:val="18"/>
      </w:rPr>
      <w:instrText xml:space="preserve">PAGE  </w:instrText>
    </w:r>
    <w:r w:rsidRPr="005E17F8">
      <w:rPr>
        <w:rStyle w:val="PageNumber"/>
        <w:rFonts w:ascii="Century Gothic" w:hAnsi="Century Gothic"/>
        <w:sz w:val="18"/>
      </w:rPr>
      <w:fldChar w:fldCharType="separate"/>
    </w:r>
    <w:r w:rsidR="00084AAF">
      <w:rPr>
        <w:rStyle w:val="PageNumber"/>
        <w:rFonts w:ascii="Century Gothic" w:hAnsi="Century Gothic"/>
        <w:noProof/>
        <w:sz w:val="18"/>
      </w:rPr>
      <w:t>2</w:t>
    </w:r>
    <w:r w:rsidRPr="005E17F8">
      <w:rPr>
        <w:rStyle w:val="PageNumber"/>
        <w:rFonts w:ascii="Century Gothic" w:hAnsi="Century Gothic"/>
        <w:sz w:val="18"/>
      </w:rPr>
      <w:fldChar w:fldCharType="end"/>
    </w:r>
  </w:p>
  <w:p w:rsidR="0032489B" w:rsidRDefault="0032489B" w:rsidP="00FF3107">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AF" w:rsidRDefault="00084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9B" w:rsidRDefault="0032489B">
      <w:r>
        <w:separator/>
      </w:r>
    </w:p>
  </w:footnote>
  <w:footnote w:type="continuationSeparator" w:id="0">
    <w:p w:rsidR="0032489B" w:rsidRDefault="0032489B">
      <w:r>
        <w:continuationSeparator/>
      </w:r>
    </w:p>
  </w:footnote>
  <w:footnote w:id="1">
    <w:p w:rsidR="0032489B" w:rsidRPr="005A3DD7" w:rsidRDefault="0032489B">
      <w:pPr>
        <w:pStyle w:val="FootnoteText"/>
        <w:rPr>
          <w:rFonts w:ascii="Century Gothic" w:hAnsi="Century Gothic"/>
          <w:sz w:val="16"/>
        </w:rPr>
      </w:pPr>
      <w:r w:rsidRPr="005A3DD7">
        <w:rPr>
          <w:rStyle w:val="FootnoteReference"/>
          <w:rFonts w:ascii="Century Gothic" w:hAnsi="Century Gothic"/>
          <w:sz w:val="16"/>
        </w:rPr>
        <w:footnoteRef/>
      </w:r>
      <w:r>
        <w:rPr>
          <w:rFonts w:ascii="Century Gothic" w:hAnsi="Century Gothic"/>
          <w:sz w:val="16"/>
        </w:rPr>
        <w:t xml:space="preserve"> In line with DFAT M&amp;E standards. </w:t>
      </w:r>
      <w:r w:rsidRPr="005A3DD7">
        <w:rPr>
          <w:rFonts w:ascii="Century Gothic" w:hAnsi="Century Gothic"/>
          <w:sz w:val="16"/>
        </w:rPr>
        <w:t xml:space="preserve"> Impact is not rated at mid</w:t>
      </w:r>
      <w:r>
        <w:rPr>
          <w:rFonts w:ascii="Century Gothic" w:hAnsi="Century Gothic"/>
          <w:sz w:val="16"/>
        </w:rPr>
        <w:t>-</w:t>
      </w:r>
      <w:r w:rsidRPr="005A3DD7">
        <w:rPr>
          <w:rFonts w:ascii="Century Gothic" w:hAnsi="Century Gothic"/>
          <w:sz w:val="16"/>
        </w:rPr>
        <w:t>term</w:t>
      </w:r>
    </w:p>
  </w:footnote>
  <w:footnote w:id="2">
    <w:p w:rsidR="0032489B" w:rsidRPr="006F4ED9" w:rsidRDefault="0032489B" w:rsidP="000B1D99">
      <w:pPr>
        <w:pStyle w:val="FootnoteText"/>
        <w:jc w:val="both"/>
        <w:rPr>
          <w:rFonts w:ascii="Century Gothic" w:hAnsi="Century Gothic"/>
          <w:sz w:val="16"/>
          <w:lang w:val="en-US"/>
        </w:rPr>
      </w:pPr>
      <w:r w:rsidRPr="006F4ED9">
        <w:rPr>
          <w:rStyle w:val="FootnoteReference"/>
          <w:rFonts w:ascii="Century Gothic" w:hAnsi="Century Gothic"/>
          <w:sz w:val="16"/>
        </w:rPr>
        <w:footnoteRef/>
      </w:r>
      <w:r w:rsidRPr="006F4ED9">
        <w:rPr>
          <w:rFonts w:ascii="Century Gothic" w:hAnsi="Century Gothic"/>
          <w:sz w:val="16"/>
        </w:rPr>
        <w:t xml:space="preserve"> </w:t>
      </w:r>
      <w:hyperlink r:id="rId1" w:history="1">
        <w:r w:rsidRPr="0032489B">
          <w:rPr>
            <w:rStyle w:val="Hyperlink"/>
            <w:rFonts w:ascii="Century Gothic" w:hAnsi="Century Gothic"/>
            <w:sz w:val="16"/>
          </w:rPr>
          <w:t>IPCC TAR (2001a) in OECD. International Energy Agency. Adaptation to Climate Change - Key Terms. Ellina Levina and Dennis Tirpak, OECD. May2006</w:t>
        </w:r>
      </w:hyperlink>
      <w:r w:rsidRPr="006F4ED9">
        <w:rPr>
          <w:rFonts w:ascii="Century Gothic" w:hAnsi="Century Gothic"/>
          <w:sz w:val="16"/>
        </w:rPr>
        <w:t xml:space="preserve"> </w:t>
      </w:r>
    </w:p>
  </w:footnote>
  <w:footnote w:id="3">
    <w:p w:rsidR="0032489B" w:rsidRPr="00EC4EFC" w:rsidRDefault="0032489B" w:rsidP="000B1D99">
      <w:pPr>
        <w:jc w:val="both"/>
        <w:rPr>
          <w:rFonts w:asciiTheme="majorHAnsi" w:eastAsiaTheme="majorEastAsia" w:hAnsiTheme="majorHAnsi" w:cstheme="majorBidi"/>
          <w:b/>
          <w:bCs/>
          <w:color w:val="345A8A" w:themeColor="accent1" w:themeShade="B5"/>
          <w:sz w:val="32"/>
          <w:szCs w:val="32"/>
        </w:rPr>
      </w:pPr>
      <w:r w:rsidRPr="00744DE8">
        <w:rPr>
          <w:rStyle w:val="FootnoteReference"/>
          <w:rFonts w:ascii="Century Gothic" w:hAnsi="Century Gothic"/>
          <w:i/>
          <w:sz w:val="16"/>
        </w:rPr>
        <w:footnoteRef/>
      </w:r>
      <w:r w:rsidRPr="00744DE8">
        <w:rPr>
          <w:rFonts w:ascii="Century Gothic" w:hAnsi="Century Gothic"/>
          <w:i/>
          <w:sz w:val="16"/>
        </w:rPr>
        <w:t xml:space="preserve"> </w:t>
      </w:r>
      <w:r w:rsidRPr="00744DE8">
        <w:rPr>
          <w:rFonts w:ascii="Century Gothic" w:hAnsi="Century Gothic" w:cs="Helvetica"/>
          <w:iCs/>
          <w:sz w:val="16"/>
          <w:szCs w:val="26"/>
        </w:rPr>
        <w:t>Adapted from IPCC Fourth Assessment Report: Climate Change 2007, Glossary.</w:t>
      </w:r>
    </w:p>
  </w:footnote>
  <w:footnote w:id="4">
    <w:p w:rsidR="0032489B" w:rsidRDefault="0032489B" w:rsidP="000B1D99">
      <w:pPr>
        <w:pStyle w:val="FootnoteText"/>
      </w:pPr>
      <w:r w:rsidRPr="00EA4468">
        <w:rPr>
          <w:rStyle w:val="FootnoteReference"/>
          <w:rFonts w:ascii="Century Gothic" w:hAnsi="Century Gothic"/>
          <w:sz w:val="16"/>
        </w:rPr>
        <w:footnoteRef/>
      </w:r>
      <w:r w:rsidRPr="00EA4468">
        <w:rPr>
          <w:rFonts w:ascii="Century Gothic" w:hAnsi="Century Gothic"/>
          <w:sz w:val="16"/>
        </w:rPr>
        <w:t xml:space="preserve">  </w:t>
      </w:r>
      <w:r>
        <w:rPr>
          <w:rFonts w:ascii="Century Gothic" w:hAnsi="Century Gothic"/>
          <w:sz w:val="16"/>
        </w:rPr>
        <w:t xml:space="preserve">DFAT: </w:t>
      </w:r>
      <w:r w:rsidRPr="00EA4468">
        <w:rPr>
          <w:rFonts w:ascii="Century Gothic" w:hAnsi="Century Gothic"/>
          <w:sz w:val="16"/>
        </w:rPr>
        <w:t>Australian Aid Civil Society Engagement Framework p.2</w:t>
      </w:r>
    </w:p>
  </w:footnote>
  <w:footnote w:id="5">
    <w:p w:rsidR="0032489B" w:rsidRPr="00C514AC" w:rsidRDefault="0032489B" w:rsidP="000B1D99">
      <w:pPr>
        <w:pStyle w:val="FootnoteText"/>
        <w:rPr>
          <w:rFonts w:ascii="Century Gothic" w:hAnsi="Century Gothic"/>
          <w:sz w:val="16"/>
        </w:rPr>
      </w:pPr>
      <w:r w:rsidRPr="00C514AC">
        <w:rPr>
          <w:rStyle w:val="FootnoteReference"/>
          <w:rFonts w:ascii="Century Gothic" w:hAnsi="Century Gothic"/>
          <w:sz w:val="16"/>
        </w:rPr>
        <w:footnoteRef/>
      </w:r>
      <w:r w:rsidRPr="00C514AC">
        <w:rPr>
          <w:rFonts w:ascii="Century Gothic" w:hAnsi="Century Gothic"/>
          <w:sz w:val="16"/>
        </w:rPr>
        <w:t xml:space="preserve"> </w:t>
      </w:r>
      <w:hyperlink r:id="rId2" w:history="1">
        <w:r w:rsidRPr="0032489B">
          <w:rPr>
            <w:rStyle w:val="Hyperlink"/>
            <w:rFonts w:ascii="Century Gothic" w:hAnsi="Century Gothic"/>
            <w:sz w:val="16"/>
          </w:rPr>
          <w:t>UNISDR Portal</w:t>
        </w:r>
      </w:hyperlink>
      <w:r w:rsidRPr="00C514AC">
        <w:rPr>
          <w:rFonts w:ascii="Century Gothic" w:hAnsi="Century Gothic"/>
          <w:sz w:val="16"/>
        </w:rPr>
        <w:t xml:space="preserve"> </w:t>
      </w:r>
    </w:p>
  </w:footnote>
  <w:footnote w:id="6">
    <w:p w:rsidR="0032489B" w:rsidRDefault="0032489B" w:rsidP="000B1D99">
      <w:pPr>
        <w:pStyle w:val="FootnoteText"/>
        <w:jc w:val="both"/>
        <w:rPr>
          <w:rFonts w:ascii="Century Gothic" w:hAnsi="Century Gothic"/>
          <w:sz w:val="16"/>
        </w:rPr>
      </w:pPr>
      <w:r w:rsidRPr="001B391D">
        <w:rPr>
          <w:rStyle w:val="FootnoteReference"/>
          <w:rFonts w:ascii="Century Gothic" w:hAnsi="Century Gothic"/>
          <w:sz w:val="18"/>
        </w:rPr>
        <w:footnoteRef/>
      </w:r>
      <w:r w:rsidRPr="001B391D">
        <w:rPr>
          <w:rFonts w:ascii="Century Gothic" w:hAnsi="Century Gothic"/>
          <w:sz w:val="18"/>
        </w:rPr>
        <w:t xml:space="preserve"> </w:t>
      </w:r>
      <w:r w:rsidRPr="00221CD4">
        <w:rPr>
          <w:rFonts w:ascii="Century Gothic" w:hAnsi="Century Gothic"/>
          <w:sz w:val="16"/>
        </w:rPr>
        <w:t xml:space="preserve">DFAT </w:t>
      </w:r>
      <w:hyperlink r:id="rId3" w:history="1">
        <w:r w:rsidRPr="0032489B">
          <w:rPr>
            <w:rStyle w:val="Hyperlink"/>
            <w:rFonts w:ascii="Century Gothic" w:hAnsi="Century Gothic"/>
            <w:sz w:val="16"/>
          </w:rPr>
          <w:t>AMNEP Design Document</w:t>
        </w:r>
      </w:hyperlink>
      <w:r w:rsidRPr="00221CD4">
        <w:rPr>
          <w:rFonts w:ascii="Century Gothic" w:hAnsi="Century Gothic"/>
          <w:sz w:val="16"/>
        </w:rPr>
        <w:t xml:space="preserve"> p. 3</w:t>
      </w:r>
      <w:r>
        <w:rPr>
          <w:rFonts w:ascii="Century Gothic" w:hAnsi="Century Gothic"/>
          <w:sz w:val="16"/>
        </w:rPr>
        <w:t xml:space="preserve"> </w:t>
      </w:r>
    </w:p>
    <w:p w:rsidR="0032489B" w:rsidRPr="00221CD4" w:rsidRDefault="0032489B" w:rsidP="000B1D99">
      <w:pPr>
        <w:pStyle w:val="FootnoteText"/>
        <w:jc w:val="both"/>
        <w:rPr>
          <w:rFonts w:ascii="Century Gothic" w:hAnsi="Century Gothic"/>
          <w:sz w:val="16"/>
        </w:rPr>
      </w:pPr>
    </w:p>
  </w:footnote>
  <w:footnote w:id="7">
    <w:p w:rsidR="0032489B" w:rsidRDefault="0032489B">
      <w:pPr>
        <w:pStyle w:val="FootnoteText"/>
      </w:pPr>
      <w:r>
        <w:rPr>
          <w:rStyle w:val="FootnoteReference"/>
        </w:rPr>
        <w:footnoteRef/>
      </w:r>
      <w:r>
        <w:t xml:space="preserve"> </w:t>
      </w:r>
      <w:r w:rsidRPr="00D34EC9">
        <w:rPr>
          <w:rFonts w:ascii="Century Gothic" w:hAnsi="Century Gothic"/>
          <w:sz w:val="16"/>
        </w:rPr>
        <w:t>We have tried to keep recommendations to a minimum for the current term. Partners have a lot to do with their existing projects. The design of the new program will also provide opportunities as well as additional burdens.</w:t>
      </w:r>
    </w:p>
  </w:footnote>
  <w:footnote w:id="8">
    <w:p w:rsidR="0032489B" w:rsidRDefault="0032489B" w:rsidP="000B1D99">
      <w:pPr>
        <w:pStyle w:val="FootnoteText"/>
        <w:jc w:val="both"/>
      </w:pPr>
      <w:r>
        <w:rPr>
          <w:rStyle w:val="FootnoteReference"/>
        </w:rPr>
        <w:footnoteRef/>
      </w:r>
      <w:r>
        <w:t xml:space="preserve"> </w:t>
      </w:r>
      <w:r w:rsidRPr="001425F8">
        <w:rPr>
          <w:rFonts w:ascii="Century Gothic" w:eastAsia="Times New Roman" w:hAnsi="Century Gothic" w:cs="Arial"/>
          <w:sz w:val="16"/>
          <w:lang w:eastAsia="en-AU"/>
        </w:rPr>
        <w:t xml:space="preserve">These grants form </w:t>
      </w:r>
      <w:r>
        <w:rPr>
          <w:rFonts w:ascii="Century Gothic" w:eastAsia="Times New Roman" w:hAnsi="Century Gothic" w:cs="Arial"/>
          <w:sz w:val="16"/>
          <w:lang w:eastAsia="en-AU"/>
        </w:rPr>
        <w:t>part of Australia’s $599m</w:t>
      </w:r>
      <w:r w:rsidRPr="001425F8">
        <w:rPr>
          <w:rFonts w:ascii="Century Gothic" w:eastAsia="Times New Roman" w:hAnsi="Century Gothic" w:cs="Arial"/>
          <w:sz w:val="16"/>
          <w:lang w:eastAsia="en-AU"/>
        </w:rPr>
        <w:t xml:space="preserve"> three year ‘fast-start’ commitment (2010 - 13)</w:t>
      </w:r>
      <w:r>
        <w:rPr>
          <w:rFonts w:ascii="Century Gothic" w:eastAsia="Times New Roman" w:hAnsi="Century Gothic" w:cs="Arial"/>
          <w:sz w:val="16"/>
          <w:lang w:eastAsia="en-AU"/>
        </w:rPr>
        <w:t xml:space="preserve">, see </w:t>
      </w:r>
      <w:r w:rsidRPr="003A622D">
        <w:rPr>
          <w:rFonts w:ascii="Century Gothic" w:hAnsi="Century Gothic"/>
          <w:sz w:val="16"/>
        </w:rPr>
        <w:t xml:space="preserve">ToR </w:t>
      </w:r>
      <w:r>
        <w:rPr>
          <w:rFonts w:ascii="Century Gothic" w:hAnsi="Century Gothic"/>
          <w:sz w:val="16"/>
        </w:rPr>
        <w:t>(Annex 1)</w:t>
      </w:r>
    </w:p>
  </w:footnote>
  <w:footnote w:id="9">
    <w:p w:rsidR="0032489B" w:rsidRDefault="0032489B" w:rsidP="000B1D99">
      <w:pPr>
        <w:pStyle w:val="FootnoteText"/>
        <w:jc w:val="both"/>
      </w:pPr>
      <w:r>
        <w:rPr>
          <w:rStyle w:val="FootnoteReference"/>
        </w:rPr>
        <w:footnoteRef/>
      </w:r>
      <w:r>
        <w:t xml:space="preserve"> </w:t>
      </w:r>
      <w:r w:rsidRPr="00B42779">
        <w:rPr>
          <w:rFonts w:ascii="Century Gothic" w:hAnsi="Century Gothic" w:cs="Arial"/>
          <w:sz w:val="16"/>
        </w:rPr>
        <w:t xml:space="preserve">In April 2014, DFAT approved the extension of </w:t>
      </w:r>
      <w:r>
        <w:rPr>
          <w:rFonts w:ascii="Century Gothic" w:hAnsi="Century Gothic" w:cs="Arial"/>
          <w:sz w:val="16"/>
        </w:rPr>
        <w:t>CCCAG projects</w:t>
      </w:r>
      <w:r w:rsidRPr="00B42779">
        <w:rPr>
          <w:rFonts w:ascii="Century Gothic" w:hAnsi="Century Gothic" w:cs="Arial"/>
          <w:sz w:val="16"/>
        </w:rPr>
        <w:t xml:space="preserve"> to end of </w:t>
      </w:r>
      <w:r>
        <w:rPr>
          <w:rFonts w:ascii="Century Gothic" w:hAnsi="Century Gothic" w:cs="Arial"/>
          <w:sz w:val="16"/>
        </w:rPr>
        <w:t>FY</w:t>
      </w:r>
      <w:r w:rsidRPr="00B42779">
        <w:rPr>
          <w:rFonts w:ascii="Century Gothic" w:hAnsi="Century Gothic" w:cs="Arial"/>
          <w:sz w:val="16"/>
        </w:rPr>
        <w:t xml:space="preserve"> 2014/15 pending the outcomes of the Independent Progress Review and the design of a future program of support for climate change in Vietnam </w:t>
      </w:r>
      <w:r>
        <w:rPr>
          <w:rFonts w:ascii="Century Gothic" w:hAnsi="Century Gothic" w:cs="Arial"/>
          <w:sz w:val="16"/>
        </w:rPr>
        <w:t>post CCCAG.</w:t>
      </w:r>
    </w:p>
  </w:footnote>
  <w:footnote w:id="10">
    <w:p w:rsidR="0032489B" w:rsidRPr="00D140BA" w:rsidRDefault="0032489B" w:rsidP="000B1D99">
      <w:pPr>
        <w:pStyle w:val="FootnoteText"/>
        <w:jc w:val="both"/>
        <w:rPr>
          <w:rFonts w:ascii="Century Gothic" w:hAnsi="Century Gothic"/>
          <w:sz w:val="16"/>
        </w:rPr>
      </w:pPr>
      <w:r>
        <w:rPr>
          <w:rStyle w:val="FootnoteReference"/>
        </w:rPr>
        <w:footnoteRef/>
      </w:r>
      <w:r>
        <w:t xml:space="preserve"> </w:t>
      </w:r>
      <w:r>
        <w:rPr>
          <w:rFonts w:ascii="Century Gothic" w:hAnsi="Century Gothic"/>
          <w:sz w:val="16"/>
        </w:rPr>
        <w:t>UNFCC</w:t>
      </w:r>
      <w:r w:rsidRPr="00D140BA">
        <w:rPr>
          <w:rFonts w:ascii="Century Gothic" w:hAnsi="Century Gothic"/>
          <w:sz w:val="16"/>
        </w:rPr>
        <w:t xml:space="preserve"> </w:t>
      </w:r>
      <w:r>
        <w:rPr>
          <w:rFonts w:ascii="Century Gothic" w:hAnsi="Century Gothic"/>
          <w:sz w:val="16"/>
        </w:rPr>
        <w:t>(2009)</w:t>
      </w:r>
      <w:r w:rsidRPr="00D140BA">
        <w:rPr>
          <w:rFonts w:ascii="Century Gothic" w:hAnsi="Century Gothic"/>
          <w:sz w:val="16"/>
        </w:rPr>
        <w:t xml:space="preserve">. Vietnam and Climate Change. </w:t>
      </w:r>
      <w:hyperlink r:id="rId4" w:history="1">
        <w:r w:rsidRPr="00D140BA">
          <w:rPr>
            <w:rStyle w:val="Hyperlink"/>
            <w:rFonts w:ascii="Century Gothic" w:hAnsi="Century Gothic"/>
            <w:sz w:val="16"/>
          </w:rPr>
          <w:t>http://www.un.org.vn/en/feature-articles-press-centre-submenu-252/1020-viet-nam-and-climate-change-a-discussion-paper-on-policies-for-sustainable-human-development-viet-nam-and-climate-change-a-discussion-paper-on-policies-for-sustainable-human-development.html</w:t>
        </w:r>
      </w:hyperlink>
    </w:p>
  </w:footnote>
  <w:footnote w:id="11">
    <w:p w:rsidR="0032489B" w:rsidRPr="00302E3B" w:rsidRDefault="0032489B" w:rsidP="000B1D99">
      <w:pPr>
        <w:pStyle w:val="FootnoteText"/>
        <w:jc w:val="both"/>
        <w:rPr>
          <w:rFonts w:ascii="Century Gothic" w:hAnsi="Century Gothic"/>
          <w:sz w:val="16"/>
        </w:rPr>
      </w:pPr>
      <w:r w:rsidRPr="00302E3B">
        <w:rPr>
          <w:rStyle w:val="FootnoteReference"/>
          <w:rFonts w:ascii="Century Gothic" w:hAnsi="Century Gothic"/>
          <w:sz w:val="16"/>
        </w:rPr>
        <w:footnoteRef/>
      </w:r>
      <w:r w:rsidRPr="00302E3B">
        <w:rPr>
          <w:rFonts w:ascii="Century Gothic" w:hAnsi="Century Gothic"/>
          <w:sz w:val="16"/>
        </w:rPr>
        <w:t xml:space="preserve"> </w:t>
      </w:r>
      <w:hyperlink r:id="rId5" w:history="1">
        <w:r w:rsidRPr="0032489B">
          <w:rPr>
            <w:rStyle w:val="Hyperlink"/>
            <w:rFonts w:ascii="Century Gothic" w:hAnsi="Century Gothic"/>
            <w:sz w:val="16"/>
          </w:rPr>
          <w:t>IFAD. Climate Change Analysis and Adaptation Responses</w:t>
        </w:r>
      </w:hyperlink>
      <w:r w:rsidRPr="00302E3B">
        <w:rPr>
          <w:rFonts w:ascii="Century Gothic" w:hAnsi="Century Gothic"/>
          <w:sz w:val="16"/>
        </w:rPr>
        <w:t xml:space="preserve">. </w:t>
      </w:r>
    </w:p>
  </w:footnote>
  <w:footnote w:id="12">
    <w:p w:rsidR="0032489B" w:rsidRPr="0017104B" w:rsidRDefault="0032489B" w:rsidP="000B1D99">
      <w:pPr>
        <w:pStyle w:val="FootnoteText"/>
        <w:jc w:val="both"/>
        <w:rPr>
          <w:rFonts w:ascii="Century Gothic" w:hAnsi="Century Gothic"/>
          <w:sz w:val="16"/>
          <w:lang w:val="en-US"/>
        </w:rPr>
      </w:pPr>
      <w:r w:rsidRPr="0017104B">
        <w:rPr>
          <w:rStyle w:val="FootnoteReference"/>
          <w:rFonts w:ascii="Century Gothic" w:hAnsi="Century Gothic"/>
          <w:sz w:val="16"/>
        </w:rPr>
        <w:footnoteRef/>
      </w:r>
      <w:r w:rsidRPr="0017104B">
        <w:rPr>
          <w:rFonts w:ascii="Century Gothic" w:hAnsi="Century Gothic"/>
          <w:sz w:val="16"/>
        </w:rPr>
        <w:t xml:space="preserve"> </w:t>
      </w:r>
      <w:hyperlink r:id="rId6" w:history="1">
        <w:r w:rsidRPr="0032489B">
          <w:rPr>
            <w:rStyle w:val="Hyperlink"/>
            <w:rFonts w:ascii="Century Gothic" w:hAnsi="Century Gothic"/>
            <w:sz w:val="16"/>
            <w:lang w:val="en-US"/>
          </w:rPr>
          <w:t>VGGS</w:t>
        </w:r>
      </w:hyperlink>
      <w:r w:rsidRPr="0017104B">
        <w:rPr>
          <w:rFonts w:ascii="Century Gothic" w:hAnsi="Century Gothic"/>
          <w:sz w:val="16"/>
          <w:lang w:val="en-US"/>
        </w:rPr>
        <w:t xml:space="preserve"> </w:t>
      </w:r>
    </w:p>
  </w:footnote>
  <w:footnote w:id="13">
    <w:p w:rsidR="0032489B" w:rsidRDefault="0032489B" w:rsidP="000B1D99">
      <w:pPr>
        <w:pStyle w:val="FootnoteText"/>
        <w:jc w:val="both"/>
      </w:pPr>
      <w:r w:rsidRPr="0052740B">
        <w:rPr>
          <w:rStyle w:val="FootnoteReference"/>
          <w:rFonts w:ascii="Century Gothic" w:hAnsi="Century Gothic"/>
          <w:sz w:val="16"/>
        </w:rPr>
        <w:footnoteRef/>
      </w:r>
      <w:r w:rsidRPr="0052740B">
        <w:rPr>
          <w:rFonts w:ascii="Century Gothic" w:hAnsi="Century Gothic"/>
          <w:sz w:val="16"/>
        </w:rPr>
        <w:t xml:space="preserve"> Socialist Republic of Vietnam,</w:t>
      </w:r>
      <w:r>
        <w:t xml:space="preserve"> </w:t>
      </w:r>
      <w:hyperlink r:id="rId7" w:history="1">
        <w:r w:rsidRPr="0032489B">
          <w:rPr>
            <w:rStyle w:val="Hyperlink"/>
            <w:rFonts w:ascii="Century Gothic" w:eastAsia="Cambria" w:hAnsi="Century Gothic" w:cs="Times New Roman"/>
            <w:sz w:val="16"/>
            <w:szCs w:val="22"/>
          </w:rPr>
          <w:t>National Strategy for Natural Disaster Prevention, Response and Mitigation</w:t>
        </w:r>
      </w:hyperlink>
      <w:r w:rsidRPr="0052740B">
        <w:rPr>
          <w:rFonts w:ascii="Century Gothic" w:hAnsi="Century Gothic"/>
          <w:sz w:val="16"/>
        </w:rPr>
        <w:t xml:space="preserve"> </w:t>
      </w:r>
    </w:p>
  </w:footnote>
  <w:footnote w:id="14">
    <w:p w:rsidR="0032489B" w:rsidRDefault="0032489B" w:rsidP="000B1D99">
      <w:pPr>
        <w:pStyle w:val="FootnoteText"/>
        <w:jc w:val="both"/>
      </w:pPr>
      <w:r>
        <w:rPr>
          <w:rStyle w:val="FootnoteReference"/>
        </w:rPr>
        <w:footnoteRef/>
      </w:r>
      <w:r>
        <w:rPr>
          <w:rFonts w:ascii="Century Gothic" w:hAnsi="Century Gothic"/>
          <w:sz w:val="16"/>
        </w:rPr>
        <w:t xml:space="preserve">DFAT </w:t>
      </w:r>
      <w:hyperlink r:id="rId8" w:history="1">
        <w:r w:rsidRPr="0032489B">
          <w:rPr>
            <w:rStyle w:val="Hyperlink"/>
            <w:rFonts w:ascii="Century Gothic" w:hAnsi="Century Gothic"/>
            <w:sz w:val="16"/>
          </w:rPr>
          <w:t>Australian Aid Policy (2014)</w:t>
        </w:r>
      </w:hyperlink>
      <w:r w:rsidRPr="00250207">
        <w:rPr>
          <w:rFonts w:ascii="Century Gothic" w:hAnsi="Century Gothic"/>
          <w:sz w:val="16"/>
        </w:rPr>
        <w:t xml:space="preserve"> </w:t>
      </w:r>
    </w:p>
    <w:p w:rsidR="0032489B" w:rsidRDefault="0032489B" w:rsidP="000B1D99">
      <w:pPr>
        <w:pStyle w:val="FootnoteText"/>
      </w:pPr>
    </w:p>
  </w:footnote>
  <w:footnote w:id="15">
    <w:p w:rsidR="0032489B" w:rsidRPr="005822E3" w:rsidRDefault="0032489B" w:rsidP="000B1D99">
      <w:pPr>
        <w:jc w:val="both"/>
        <w:rPr>
          <w:rFonts w:ascii="Century Gothic" w:hAnsi="Century Gothic" w:cs="Arial"/>
          <w:sz w:val="22"/>
          <w:szCs w:val="22"/>
        </w:rPr>
      </w:pPr>
      <w:r w:rsidRPr="00FA49F7">
        <w:rPr>
          <w:rStyle w:val="FootnoteReference"/>
          <w:rFonts w:ascii="Century Gothic" w:hAnsi="Century Gothic"/>
          <w:sz w:val="18"/>
        </w:rPr>
        <w:footnoteRef/>
      </w:r>
      <w:r w:rsidRPr="00FA49F7">
        <w:rPr>
          <w:rFonts w:ascii="Century Gothic" w:hAnsi="Century Gothic"/>
          <w:sz w:val="18"/>
        </w:rPr>
        <w:t xml:space="preserve"> </w:t>
      </w:r>
      <w:r>
        <w:rPr>
          <w:rFonts w:ascii="Century Gothic" w:hAnsi="Century Gothic"/>
          <w:sz w:val="16"/>
        </w:rPr>
        <w:t xml:space="preserve">The TOR refers to an </w:t>
      </w:r>
      <w:r>
        <w:rPr>
          <w:rFonts w:ascii="Century Gothic" w:hAnsi="Century Gothic" w:cs="Arial"/>
          <w:sz w:val="16"/>
          <w:szCs w:val="22"/>
        </w:rPr>
        <w:t xml:space="preserve">assessment of </w:t>
      </w:r>
      <w:r w:rsidRPr="005822E3">
        <w:rPr>
          <w:rFonts w:ascii="Century Gothic" w:hAnsi="Century Gothic" w:cs="Arial"/>
          <w:sz w:val="16"/>
          <w:szCs w:val="22"/>
        </w:rPr>
        <w:t xml:space="preserve">projects </w:t>
      </w:r>
      <w:r>
        <w:rPr>
          <w:rFonts w:ascii="Century Gothic" w:hAnsi="Century Gothic" w:cs="Arial"/>
          <w:sz w:val="16"/>
          <w:szCs w:val="22"/>
        </w:rPr>
        <w:t>ongoing</w:t>
      </w:r>
      <w:r w:rsidRPr="005822E3">
        <w:rPr>
          <w:rFonts w:ascii="Century Gothic" w:hAnsi="Century Gothic" w:cs="Arial"/>
          <w:sz w:val="16"/>
          <w:szCs w:val="22"/>
        </w:rPr>
        <w:t xml:space="preserve"> </w:t>
      </w:r>
      <w:r>
        <w:rPr>
          <w:rFonts w:ascii="Century Gothic" w:hAnsi="Century Gothic" w:cs="Arial"/>
          <w:sz w:val="16"/>
          <w:szCs w:val="22"/>
        </w:rPr>
        <w:t>funding</w:t>
      </w:r>
      <w:r w:rsidRPr="005822E3">
        <w:rPr>
          <w:rFonts w:ascii="Century Gothic" w:hAnsi="Century Gothic" w:cs="Arial"/>
          <w:sz w:val="16"/>
          <w:szCs w:val="22"/>
        </w:rPr>
        <w:t>. Since the writing of the TOR</w:t>
      </w:r>
      <w:r>
        <w:rPr>
          <w:rFonts w:ascii="Century Gothic" w:hAnsi="Century Gothic" w:cs="Arial"/>
          <w:sz w:val="16"/>
          <w:szCs w:val="22"/>
        </w:rPr>
        <w:t xml:space="preserve">, DFAT has moved forward with extensions </w:t>
      </w:r>
      <w:r w:rsidRPr="005822E3">
        <w:rPr>
          <w:rFonts w:ascii="Century Gothic" w:hAnsi="Century Gothic" w:cs="Arial"/>
          <w:sz w:val="16"/>
          <w:szCs w:val="22"/>
        </w:rPr>
        <w:t xml:space="preserve">to 2015. As such the review </w:t>
      </w:r>
      <w:r>
        <w:rPr>
          <w:rFonts w:ascii="Century Gothic" w:hAnsi="Century Gothic" w:cs="Arial"/>
          <w:sz w:val="16"/>
          <w:szCs w:val="22"/>
        </w:rPr>
        <w:t>has not made</w:t>
      </w:r>
      <w:r w:rsidRPr="005822E3">
        <w:rPr>
          <w:rFonts w:ascii="Century Gothic" w:hAnsi="Century Gothic" w:cs="Arial"/>
          <w:sz w:val="16"/>
          <w:szCs w:val="22"/>
        </w:rPr>
        <w:t xml:space="preserve"> recommendations regar</w:t>
      </w:r>
      <w:r>
        <w:rPr>
          <w:rFonts w:ascii="Century Gothic" w:hAnsi="Century Gothic" w:cs="Arial"/>
          <w:sz w:val="16"/>
          <w:szCs w:val="22"/>
        </w:rPr>
        <w:t xml:space="preserve">ding future funding of existing </w:t>
      </w:r>
      <w:r w:rsidRPr="005822E3">
        <w:rPr>
          <w:rFonts w:ascii="Century Gothic" w:hAnsi="Century Gothic" w:cs="Arial"/>
          <w:sz w:val="16"/>
          <w:szCs w:val="22"/>
        </w:rPr>
        <w:t>projects.</w:t>
      </w:r>
    </w:p>
  </w:footnote>
  <w:footnote w:id="16">
    <w:p w:rsidR="0032489B" w:rsidRPr="00114929" w:rsidRDefault="0032489B" w:rsidP="000B1D99">
      <w:pPr>
        <w:pStyle w:val="FootnoteText"/>
        <w:rPr>
          <w:rFonts w:ascii="Century Gothic" w:hAnsi="Century Gothic"/>
          <w:sz w:val="16"/>
        </w:rPr>
      </w:pPr>
      <w:r w:rsidRPr="00022DF9">
        <w:rPr>
          <w:rStyle w:val="FootnoteReference"/>
          <w:rFonts w:ascii="Century Gothic" w:hAnsi="Century Gothic"/>
          <w:sz w:val="16"/>
        </w:rPr>
        <w:footnoteRef/>
      </w:r>
      <w:r>
        <w:rPr>
          <w:rFonts w:ascii="Century Gothic" w:hAnsi="Century Gothic"/>
          <w:sz w:val="16"/>
        </w:rPr>
        <w:t xml:space="preserve"> DFAT </w:t>
      </w:r>
      <w:hyperlink r:id="rId9" w:history="1">
        <w:r w:rsidRPr="0032489B">
          <w:rPr>
            <w:rStyle w:val="Hyperlink"/>
            <w:rFonts w:ascii="Century Gothic" w:hAnsi="Century Gothic"/>
            <w:sz w:val="16"/>
          </w:rPr>
          <w:t>VANGOCA Review</w:t>
        </w:r>
      </w:hyperlink>
      <w:r w:rsidRPr="00022DF9">
        <w:rPr>
          <w:rFonts w:ascii="Century Gothic" w:hAnsi="Century Gothic"/>
          <w:sz w:val="16"/>
        </w:rPr>
        <w:t xml:space="preserve"> (2009) </w:t>
      </w:r>
    </w:p>
  </w:footnote>
  <w:footnote w:id="17">
    <w:p w:rsidR="0032489B" w:rsidRPr="00045C6F" w:rsidRDefault="0032489B" w:rsidP="000B1D99">
      <w:pPr>
        <w:pStyle w:val="FootnoteText"/>
        <w:jc w:val="both"/>
        <w:rPr>
          <w:rFonts w:ascii="Century Gothic" w:hAnsi="Century Gothic"/>
          <w:sz w:val="16"/>
        </w:rPr>
      </w:pPr>
      <w:r w:rsidRPr="00045C6F">
        <w:rPr>
          <w:rStyle w:val="FootnoteReference"/>
          <w:rFonts w:ascii="Century Gothic" w:hAnsi="Century Gothic"/>
          <w:sz w:val="16"/>
        </w:rPr>
        <w:footnoteRef/>
      </w:r>
      <w:r w:rsidRPr="00045C6F">
        <w:rPr>
          <w:rFonts w:ascii="Century Gothic" w:hAnsi="Century Gothic"/>
          <w:sz w:val="16"/>
        </w:rPr>
        <w:t xml:space="preserve"> </w:t>
      </w:r>
      <w:r>
        <w:rPr>
          <w:rFonts w:ascii="Century Gothic" w:hAnsi="Century Gothic"/>
          <w:sz w:val="16"/>
        </w:rPr>
        <w:t>We have</w:t>
      </w:r>
      <w:r w:rsidRPr="00045C6F">
        <w:rPr>
          <w:rFonts w:ascii="Century Gothic" w:hAnsi="Century Gothic"/>
          <w:sz w:val="16"/>
        </w:rPr>
        <w:t xml:space="preserve"> developed br</w:t>
      </w:r>
      <w:r>
        <w:rPr>
          <w:rFonts w:ascii="Century Gothic" w:hAnsi="Century Gothic"/>
          <w:sz w:val="16"/>
        </w:rPr>
        <w:t xml:space="preserve">ief summaries of each </w:t>
      </w:r>
      <w:r w:rsidRPr="00045C6F">
        <w:rPr>
          <w:rFonts w:ascii="Century Gothic" w:hAnsi="Century Gothic"/>
          <w:sz w:val="16"/>
        </w:rPr>
        <w:t>CC</w:t>
      </w:r>
      <w:r>
        <w:rPr>
          <w:rFonts w:ascii="Century Gothic" w:hAnsi="Century Gothic"/>
          <w:sz w:val="16"/>
        </w:rPr>
        <w:t>CAG project</w:t>
      </w:r>
      <w:r w:rsidRPr="00045C6F">
        <w:rPr>
          <w:rFonts w:ascii="Century Gothic" w:hAnsi="Century Gothic"/>
          <w:sz w:val="16"/>
        </w:rPr>
        <w:t xml:space="preserve"> to highlight </w:t>
      </w:r>
      <w:r>
        <w:rPr>
          <w:rFonts w:ascii="Century Gothic" w:hAnsi="Century Gothic"/>
          <w:sz w:val="16"/>
        </w:rPr>
        <w:t>our</w:t>
      </w:r>
      <w:r w:rsidRPr="00045C6F">
        <w:rPr>
          <w:rFonts w:ascii="Century Gothic" w:hAnsi="Century Gothic"/>
          <w:sz w:val="16"/>
        </w:rPr>
        <w:t xml:space="preserve"> observations regarding the progress and challenges facing each partner. </w:t>
      </w:r>
      <w:r>
        <w:rPr>
          <w:rFonts w:ascii="Century Gothic" w:hAnsi="Century Gothic"/>
          <w:sz w:val="16"/>
        </w:rPr>
        <w:t>D</w:t>
      </w:r>
      <w:r w:rsidRPr="00045C6F">
        <w:rPr>
          <w:rFonts w:ascii="Century Gothic" w:hAnsi="Century Gothic"/>
          <w:sz w:val="16"/>
        </w:rPr>
        <w:t xml:space="preserve">ue to time constraints and the configuration of the mission, these </w:t>
      </w:r>
      <w:r w:rsidRPr="00045C6F">
        <w:rPr>
          <w:rFonts w:ascii="Century Gothic" w:hAnsi="Century Gothic"/>
          <w:b/>
          <w:sz w:val="16"/>
        </w:rPr>
        <w:t>do not</w:t>
      </w:r>
      <w:r w:rsidRPr="00045C6F">
        <w:rPr>
          <w:rFonts w:ascii="Century Gothic" w:hAnsi="Century Gothic"/>
          <w:sz w:val="16"/>
        </w:rPr>
        <w:t xml:space="preserve"> represent substantive reviews of </w:t>
      </w:r>
      <w:r>
        <w:rPr>
          <w:rFonts w:ascii="Century Gothic" w:hAnsi="Century Gothic"/>
          <w:sz w:val="16"/>
        </w:rPr>
        <w:t xml:space="preserve">projects and are internal documents </w:t>
      </w:r>
      <w:r w:rsidRPr="00045C6F">
        <w:rPr>
          <w:rFonts w:ascii="Century Gothic" w:hAnsi="Century Gothic"/>
          <w:sz w:val="16"/>
        </w:rPr>
        <w:t xml:space="preserve">provided to DFAT </w:t>
      </w:r>
      <w:r>
        <w:rPr>
          <w:rFonts w:ascii="Century Gothic" w:hAnsi="Century Gothic"/>
          <w:sz w:val="16"/>
        </w:rPr>
        <w:t xml:space="preserve">and </w:t>
      </w:r>
      <w:r w:rsidRPr="00045C6F">
        <w:rPr>
          <w:rFonts w:ascii="Century Gothic" w:hAnsi="Century Gothic"/>
          <w:sz w:val="16"/>
        </w:rPr>
        <w:t>partner</w:t>
      </w:r>
      <w:r>
        <w:rPr>
          <w:rFonts w:ascii="Century Gothic" w:hAnsi="Century Gothic"/>
          <w:sz w:val="16"/>
        </w:rPr>
        <w:t>s to inform implementation.</w:t>
      </w:r>
    </w:p>
  </w:footnote>
  <w:footnote w:id="18">
    <w:p w:rsidR="0032489B" w:rsidRPr="006566B7" w:rsidRDefault="0032489B" w:rsidP="000B1D99">
      <w:pPr>
        <w:pStyle w:val="FootnoteText"/>
        <w:rPr>
          <w:rFonts w:ascii="Century Gothic" w:hAnsi="Century Gothic"/>
          <w:sz w:val="16"/>
        </w:rPr>
      </w:pPr>
      <w:r w:rsidRPr="006566B7">
        <w:rPr>
          <w:rStyle w:val="FootnoteReference"/>
          <w:rFonts w:ascii="Century Gothic" w:hAnsi="Century Gothic"/>
          <w:sz w:val="16"/>
        </w:rPr>
        <w:footnoteRef/>
      </w:r>
      <w:r w:rsidRPr="006566B7">
        <w:rPr>
          <w:rFonts w:ascii="Century Gothic" w:hAnsi="Century Gothic"/>
          <w:sz w:val="16"/>
        </w:rPr>
        <w:t xml:space="preserve"> DFAT: Australia – Vietnam Climate Change Delivery Strategy p.4</w:t>
      </w:r>
    </w:p>
  </w:footnote>
  <w:footnote w:id="19">
    <w:p w:rsidR="0032489B" w:rsidRPr="00A04A35" w:rsidRDefault="0032489B" w:rsidP="000B1D99">
      <w:pPr>
        <w:pStyle w:val="FootnoteText"/>
        <w:rPr>
          <w:rFonts w:ascii="Century Gothic" w:hAnsi="Century Gothic"/>
          <w:sz w:val="16"/>
        </w:rPr>
      </w:pPr>
      <w:r w:rsidRPr="00DB404A">
        <w:rPr>
          <w:rStyle w:val="FootnoteReference"/>
          <w:rFonts w:ascii="Century Gothic" w:hAnsi="Century Gothic"/>
        </w:rPr>
        <w:footnoteRef/>
      </w:r>
      <w:r w:rsidRPr="00DB404A">
        <w:rPr>
          <w:rFonts w:ascii="Century Gothic" w:hAnsi="Century Gothic"/>
        </w:rPr>
        <w:t xml:space="preserve"> </w:t>
      </w:r>
      <w:r w:rsidRPr="00A04A35">
        <w:rPr>
          <w:rFonts w:ascii="Century Gothic" w:hAnsi="Century Gothic"/>
          <w:sz w:val="16"/>
        </w:rPr>
        <w:t>Vietnam’s 2</w:t>
      </w:r>
      <w:r w:rsidRPr="00A04A35">
        <w:rPr>
          <w:rFonts w:ascii="Century Gothic" w:hAnsi="Century Gothic"/>
          <w:sz w:val="16"/>
          <w:vertAlign w:val="superscript"/>
        </w:rPr>
        <w:t>nd</w:t>
      </w:r>
      <w:r w:rsidRPr="00A04A35">
        <w:rPr>
          <w:rFonts w:ascii="Century Gothic" w:hAnsi="Century Gothic"/>
          <w:sz w:val="16"/>
        </w:rPr>
        <w:t xml:space="preserve"> National Communication to the UNFCCC, MONRE 2010</w:t>
      </w:r>
    </w:p>
  </w:footnote>
  <w:footnote w:id="20">
    <w:p w:rsidR="0032489B" w:rsidRPr="00A04A35" w:rsidRDefault="0032489B" w:rsidP="000B1D99">
      <w:pPr>
        <w:pStyle w:val="FootnoteText"/>
        <w:jc w:val="both"/>
        <w:rPr>
          <w:rFonts w:ascii="Century Gothic" w:hAnsi="Century Gothic"/>
          <w:sz w:val="16"/>
        </w:rPr>
      </w:pPr>
      <w:r w:rsidRPr="00A04A35">
        <w:rPr>
          <w:rStyle w:val="FootnoteReference"/>
          <w:rFonts w:ascii="Century Gothic" w:hAnsi="Century Gothic"/>
          <w:sz w:val="16"/>
        </w:rPr>
        <w:footnoteRef/>
      </w:r>
      <w:r w:rsidRPr="00A04A35">
        <w:rPr>
          <w:rFonts w:ascii="Century Gothic" w:hAnsi="Century Gothic"/>
          <w:sz w:val="16"/>
        </w:rPr>
        <w:t xml:space="preserve"> Salas, W. et al, 2012. “National-level Crop Mitigation Potential for key Food Crops in Vietnam”. </w:t>
      </w:r>
      <w:hyperlink r:id="rId10" w:history="1">
        <w:r w:rsidRPr="0032489B">
          <w:rPr>
            <w:rStyle w:val="Hyperlink"/>
            <w:rFonts w:ascii="Century Gothic" w:hAnsi="Century Gothic"/>
            <w:sz w:val="16"/>
          </w:rPr>
          <w:t>IFAD-IFPRI Partnership Program - Climate Mitigation Activity</w:t>
        </w:r>
      </w:hyperlink>
      <w:r w:rsidRPr="00A04A35">
        <w:rPr>
          <w:rFonts w:ascii="Century Gothic" w:hAnsi="Century Gothic"/>
          <w:sz w:val="16"/>
        </w:rPr>
        <w:t xml:space="preserve">. </w:t>
      </w:r>
    </w:p>
  </w:footnote>
  <w:footnote w:id="21">
    <w:p w:rsidR="0032489B" w:rsidRPr="00A04A35" w:rsidRDefault="0032489B" w:rsidP="000B1D99">
      <w:pPr>
        <w:pStyle w:val="FootnoteText"/>
        <w:jc w:val="both"/>
        <w:rPr>
          <w:rFonts w:ascii="Century Gothic" w:hAnsi="Century Gothic"/>
          <w:sz w:val="16"/>
        </w:rPr>
      </w:pPr>
      <w:r w:rsidRPr="00A04A35">
        <w:rPr>
          <w:rStyle w:val="FootnoteReference"/>
          <w:rFonts w:ascii="Century Gothic" w:hAnsi="Century Gothic"/>
          <w:sz w:val="16"/>
        </w:rPr>
        <w:footnoteRef/>
      </w:r>
      <w:r w:rsidRPr="00A04A35">
        <w:rPr>
          <w:rFonts w:ascii="Century Gothic" w:hAnsi="Century Gothic"/>
          <w:sz w:val="16"/>
        </w:rPr>
        <w:t xml:space="preserve"> </w:t>
      </w:r>
      <w:hyperlink r:id="rId11" w:history="1">
        <w:r w:rsidRPr="0032489B">
          <w:rPr>
            <w:rStyle w:val="Hyperlink"/>
            <w:rFonts w:ascii="Century Gothic" w:hAnsi="Century Gothic"/>
            <w:sz w:val="16"/>
          </w:rPr>
          <w:t>Australian Aid Policy (2014)</w:t>
        </w:r>
      </w:hyperlink>
      <w:r w:rsidRPr="00A04A35">
        <w:rPr>
          <w:rFonts w:ascii="Century Gothic" w:hAnsi="Century Gothic"/>
          <w:sz w:val="16"/>
        </w:rPr>
        <w:t xml:space="preserve"> </w:t>
      </w:r>
    </w:p>
  </w:footnote>
  <w:footnote w:id="22">
    <w:p w:rsidR="0032489B" w:rsidRPr="00146C2A" w:rsidRDefault="0032489B" w:rsidP="000B1D99">
      <w:pPr>
        <w:pStyle w:val="FootnoteText"/>
        <w:rPr>
          <w:rFonts w:ascii="Century Gothic" w:hAnsi="Century Gothic"/>
          <w:sz w:val="18"/>
        </w:rPr>
      </w:pPr>
      <w:r w:rsidRPr="00A04A35">
        <w:rPr>
          <w:rStyle w:val="FootnoteReference"/>
          <w:rFonts w:ascii="Century Gothic" w:hAnsi="Century Gothic"/>
          <w:sz w:val="16"/>
        </w:rPr>
        <w:footnoteRef/>
      </w:r>
      <w:r w:rsidRPr="00A04A35">
        <w:rPr>
          <w:rFonts w:ascii="Century Gothic" w:hAnsi="Century Gothic"/>
          <w:sz w:val="16"/>
        </w:rPr>
        <w:t xml:space="preserve"> </w:t>
      </w:r>
      <w:r w:rsidRPr="00A04A35">
        <w:rPr>
          <w:rFonts w:ascii="Century Gothic" w:hAnsi="Century Gothic"/>
          <w:i/>
          <w:sz w:val="16"/>
        </w:rPr>
        <w:t xml:space="preserve">Australia – Vietnam Climate Change Delivery Strategy 2011-2016. </w:t>
      </w:r>
      <w:r w:rsidRPr="00A04A35">
        <w:rPr>
          <w:rFonts w:ascii="Century Gothic" w:hAnsi="Century Gothic"/>
          <w:sz w:val="16"/>
        </w:rPr>
        <w:t>Australian AID, http://aid.dfat.gov.au/Publications/Pages/vietnam-climate-change-strategy-2011-16.aspx</w:t>
      </w:r>
    </w:p>
  </w:footnote>
  <w:footnote w:id="23">
    <w:p w:rsidR="0032489B" w:rsidRDefault="0032489B" w:rsidP="000B1D99">
      <w:pPr>
        <w:pStyle w:val="FootnoteText"/>
      </w:pPr>
      <w:r>
        <w:rPr>
          <w:rStyle w:val="FootnoteReference"/>
        </w:rPr>
        <w:footnoteRef/>
      </w:r>
      <w:r>
        <w:t xml:space="preserve"> </w:t>
      </w:r>
      <w:r w:rsidRPr="00F8741E">
        <w:rPr>
          <w:rFonts w:ascii="Century Gothic" w:hAnsi="Century Gothic"/>
          <w:sz w:val="16"/>
        </w:rPr>
        <w:t>Minutes of CCCAG Review Presentation.</w:t>
      </w:r>
    </w:p>
  </w:footnote>
  <w:footnote w:id="24">
    <w:p w:rsidR="0032489B" w:rsidRPr="00D76012" w:rsidRDefault="0032489B" w:rsidP="000B1D99">
      <w:pPr>
        <w:pStyle w:val="FootnoteText"/>
        <w:rPr>
          <w:rFonts w:ascii="Century Gothic" w:hAnsi="Century Gothic"/>
          <w:sz w:val="16"/>
        </w:rPr>
      </w:pPr>
      <w:r>
        <w:rPr>
          <w:rStyle w:val="FootnoteReference"/>
        </w:rPr>
        <w:footnoteRef/>
      </w:r>
      <w:r>
        <w:t xml:space="preserve"> </w:t>
      </w:r>
      <w:r w:rsidRPr="00C5597A">
        <w:rPr>
          <w:rFonts w:ascii="Century Gothic" w:hAnsi="Century Gothic"/>
          <w:sz w:val="16"/>
        </w:rPr>
        <w:t>AusAID (2010) Community-based Climate Chan</w:t>
      </w:r>
      <w:r>
        <w:rPr>
          <w:rFonts w:ascii="Century Gothic" w:hAnsi="Century Gothic"/>
          <w:sz w:val="16"/>
        </w:rPr>
        <w:t>ge Action Grants Guidelines p.7</w:t>
      </w:r>
    </w:p>
  </w:footnote>
  <w:footnote w:id="25">
    <w:p w:rsidR="0032489B" w:rsidRDefault="0032489B" w:rsidP="000B1D99">
      <w:pPr>
        <w:pStyle w:val="FootnoteText"/>
      </w:pPr>
      <w:r>
        <w:rPr>
          <w:rStyle w:val="FootnoteReference"/>
        </w:rPr>
        <w:footnoteRef/>
      </w:r>
      <w:r>
        <w:rPr>
          <w:rFonts w:ascii="Century Gothic" w:hAnsi="Century Gothic"/>
          <w:sz w:val="16"/>
        </w:rPr>
        <w:t xml:space="preserve"> </w:t>
      </w:r>
      <w:hyperlink r:id="rId12" w:history="1">
        <w:r w:rsidRPr="0032489B">
          <w:rPr>
            <w:rStyle w:val="Hyperlink"/>
            <w:rFonts w:ascii="Century Gothic" w:hAnsi="Century Gothic"/>
            <w:sz w:val="16"/>
          </w:rPr>
          <w:t>VANGOCA Review (2009)</w:t>
        </w:r>
      </w:hyperlink>
      <w:r w:rsidRPr="00022DF9">
        <w:rPr>
          <w:rFonts w:ascii="Century Gothic" w:hAnsi="Century Gothic"/>
          <w:sz w:val="16"/>
        </w:rPr>
        <w:t xml:space="preserve"> </w:t>
      </w:r>
    </w:p>
  </w:footnote>
  <w:footnote w:id="26">
    <w:p w:rsidR="0032489B" w:rsidRPr="00E75E58" w:rsidRDefault="0032489B" w:rsidP="000B1D99">
      <w:pPr>
        <w:pStyle w:val="FootnoteText"/>
        <w:rPr>
          <w:rFonts w:ascii="Century Gothic" w:hAnsi="Century Gothic"/>
          <w:sz w:val="16"/>
        </w:rPr>
      </w:pPr>
      <w:r>
        <w:rPr>
          <w:rStyle w:val="FootnoteReference"/>
        </w:rPr>
        <w:footnoteRef/>
      </w:r>
      <w:r>
        <w:t xml:space="preserve"> </w:t>
      </w:r>
      <w:r w:rsidRPr="00E75E58">
        <w:rPr>
          <w:rFonts w:ascii="Century Gothic" w:hAnsi="Century Gothic"/>
          <w:sz w:val="16"/>
        </w:rPr>
        <w:t xml:space="preserve">Hall and Howell, </w:t>
      </w:r>
      <w:hyperlink r:id="rId13" w:history="1">
        <w:r w:rsidRPr="0032489B">
          <w:rPr>
            <w:rStyle w:val="Hyperlink"/>
            <w:rFonts w:ascii="Century Gothic" w:hAnsi="Century Gothic"/>
            <w:sz w:val="16"/>
          </w:rPr>
          <w:t>ODE Working Paper: Good Practice Donor Engagement with Civil Society</w:t>
        </w:r>
      </w:hyperlink>
      <w:r w:rsidRPr="00E75E58">
        <w:rPr>
          <w:rFonts w:ascii="Century Gothic" w:hAnsi="Century Gothic"/>
          <w:sz w:val="16"/>
        </w:rPr>
        <w:t xml:space="preserve"> (2010) p. 26</w:t>
      </w:r>
      <w:r>
        <w:t xml:space="preserve"> </w:t>
      </w:r>
    </w:p>
  </w:footnote>
  <w:footnote w:id="27">
    <w:p w:rsidR="0032489B" w:rsidRPr="0064764A" w:rsidRDefault="0032489B" w:rsidP="000B1D99">
      <w:pPr>
        <w:pStyle w:val="FootnoteText"/>
        <w:jc w:val="both"/>
        <w:rPr>
          <w:rFonts w:ascii="Century Gothic" w:hAnsi="Century Gothic"/>
          <w:sz w:val="18"/>
        </w:rPr>
      </w:pPr>
      <w:r>
        <w:rPr>
          <w:rStyle w:val="FootnoteReference"/>
        </w:rPr>
        <w:footnoteRef/>
      </w:r>
      <w:r>
        <w:t xml:space="preserve"> </w:t>
      </w:r>
      <w:r>
        <w:rPr>
          <w:rFonts w:ascii="Century Gothic" w:hAnsi="Century Gothic"/>
          <w:sz w:val="18"/>
        </w:rPr>
        <w:t>1M6R or “</w:t>
      </w:r>
      <w:r w:rsidRPr="0024390A">
        <w:rPr>
          <w:rFonts w:ascii="Century Gothic" w:hAnsi="Century Gothic"/>
          <w:sz w:val="18"/>
        </w:rPr>
        <w:t>One must, six reductions”</w:t>
      </w:r>
      <w:r>
        <w:rPr>
          <w:rFonts w:ascii="Century Gothic" w:hAnsi="Century Gothic"/>
          <w:sz w:val="18"/>
        </w:rPr>
        <w:t xml:space="preserve">: Must use certified/quality seeds; plus reduction of seed density, fertiliser, herbicide, water, post-harvest loss and GHG emissions. </w:t>
      </w:r>
    </w:p>
  </w:footnote>
  <w:footnote w:id="28">
    <w:p w:rsidR="0032489B" w:rsidRPr="0064764A" w:rsidRDefault="0032489B" w:rsidP="000B1D99">
      <w:pPr>
        <w:pStyle w:val="FootnoteText"/>
        <w:jc w:val="both"/>
        <w:rPr>
          <w:rFonts w:ascii="Century Gothic" w:hAnsi="Century Gothic"/>
          <w:sz w:val="18"/>
        </w:rPr>
      </w:pPr>
      <w:r>
        <w:rPr>
          <w:rStyle w:val="FootnoteReference"/>
        </w:rPr>
        <w:footnoteRef/>
      </w:r>
      <w:r>
        <w:rPr>
          <w:rFonts w:ascii="Century Gothic" w:hAnsi="Century Gothic"/>
          <w:sz w:val="18"/>
        </w:rPr>
        <w:t xml:space="preserve">SRI uses a similar approach of reduced inputs and alternate wetting and drying of paddies. </w:t>
      </w:r>
    </w:p>
  </w:footnote>
  <w:footnote w:id="29">
    <w:p w:rsidR="0032489B" w:rsidRPr="00A82AD1" w:rsidRDefault="0032489B" w:rsidP="000B1D99">
      <w:pPr>
        <w:pStyle w:val="FootnoteText"/>
        <w:jc w:val="both"/>
        <w:rPr>
          <w:rFonts w:ascii="Century Gothic" w:hAnsi="Century Gothic"/>
          <w:sz w:val="16"/>
        </w:rPr>
      </w:pPr>
      <w:r w:rsidRPr="00A82AD1">
        <w:rPr>
          <w:rStyle w:val="FootnoteReference"/>
          <w:rFonts w:ascii="Century Gothic" w:hAnsi="Century Gothic"/>
          <w:sz w:val="16"/>
        </w:rPr>
        <w:footnoteRef/>
      </w:r>
      <w:r w:rsidRPr="00A82AD1">
        <w:rPr>
          <w:rFonts w:ascii="Century Gothic" w:hAnsi="Century Gothic"/>
          <w:sz w:val="16"/>
        </w:rPr>
        <w:t xml:space="preserve"> </w:t>
      </w:r>
      <w:r>
        <w:rPr>
          <w:rFonts w:ascii="Century Gothic" w:hAnsi="Century Gothic"/>
          <w:sz w:val="16"/>
        </w:rPr>
        <w:t>Projects require GoV approval which can take varying periods. The norm would be 3 months. In</w:t>
      </w:r>
      <w:r w:rsidRPr="00A82AD1">
        <w:rPr>
          <w:rFonts w:ascii="Century Gothic" w:hAnsi="Century Gothic"/>
          <w:sz w:val="16"/>
        </w:rPr>
        <w:t xml:space="preserve"> the case of </w:t>
      </w:r>
      <w:r>
        <w:rPr>
          <w:rFonts w:ascii="Century Gothic" w:hAnsi="Century Gothic"/>
          <w:sz w:val="16"/>
        </w:rPr>
        <w:t>SC,</w:t>
      </w:r>
      <w:r w:rsidRPr="00A82AD1">
        <w:rPr>
          <w:rFonts w:ascii="Century Gothic" w:hAnsi="Century Gothic"/>
          <w:sz w:val="16"/>
        </w:rPr>
        <w:t xml:space="preserve"> approval was not yet granted at the 9-month milestone </w:t>
      </w:r>
      <w:r>
        <w:rPr>
          <w:rFonts w:ascii="Century Gothic" w:hAnsi="Century Gothic"/>
          <w:sz w:val="16"/>
        </w:rPr>
        <w:t>forcing the selection of a</w:t>
      </w:r>
      <w:r w:rsidRPr="00A82AD1">
        <w:rPr>
          <w:rFonts w:ascii="Century Gothic" w:hAnsi="Century Gothic"/>
          <w:sz w:val="16"/>
        </w:rPr>
        <w:t xml:space="preserve"> new location.</w:t>
      </w:r>
    </w:p>
  </w:footnote>
  <w:footnote w:id="30">
    <w:p w:rsidR="0032489B" w:rsidRPr="004D2935" w:rsidRDefault="0032489B" w:rsidP="000B1D99">
      <w:pPr>
        <w:pStyle w:val="FootnoteText"/>
        <w:jc w:val="both"/>
        <w:rPr>
          <w:rFonts w:ascii="Century Gothic" w:hAnsi="Century Gothic"/>
          <w:sz w:val="16"/>
        </w:rPr>
      </w:pPr>
      <w:r>
        <w:rPr>
          <w:rStyle w:val="FootnoteReference"/>
        </w:rPr>
        <w:footnoteRef/>
      </w:r>
      <w:r>
        <w:t xml:space="preserve"> </w:t>
      </w:r>
      <w:r w:rsidRPr="004D2935">
        <w:rPr>
          <w:rFonts w:ascii="Century Gothic" w:hAnsi="Century Gothic"/>
          <w:sz w:val="16"/>
        </w:rPr>
        <w:t>This issue is taken up further in the Sustainability and M&amp;E sections of this report.</w:t>
      </w:r>
    </w:p>
  </w:footnote>
  <w:footnote w:id="31">
    <w:p w:rsidR="0032489B" w:rsidRDefault="0032489B" w:rsidP="000B1D99">
      <w:pPr>
        <w:pStyle w:val="FootnoteText"/>
        <w:jc w:val="both"/>
      </w:pPr>
      <w:r w:rsidRPr="004D2935">
        <w:rPr>
          <w:rStyle w:val="FootnoteReference"/>
          <w:rFonts w:ascii="Century Gothic" w:hAnsi="Century Gothic"/>
          <w:sz w:val="16"/>
        </w:rPr>
        <w:footnoteRef/>
      </w:r>
      <w:r w:rsidRPr="004D2935">
        <w:rPr>
          <w:rFonts w:ascii="Century Gothic" w:hAnsi="Century Gothic"/>
          <w:sz w:val="16"/>
        </w:rPr>
        <w:t xml:space="preserve"> Note, not all of these apply equally to all partners. Partner specific observations have been provided separately within project summaries.</w:t>
      </w:r>
      <w:r>
        <w:rPr>
          <w:rFonts w:ascii="Century Gothic" w:hAnsi="Century Gothic"/>
          <w:sz w:val="16"/>
        </w:rPr>
        <w:t xml:space="preserve"> </w:t>
      </w:r>
    </w:p>
  </w:footnote>
  <w:footnote w:id="32">
    <w:p w:rsidR="0032489B" w:rsidRDefault="0032489B" w:rsidP="00DE3A4D">
      <w:pPr>
        <w:pStyle w:val="FootnoteText"/>
        <w:jc w:val="both"/>
      </w:pPr>
      <w:r>
        <w:rPr>
          <w:rStyle w:val="FootnoteReference"/>
        </w:rPr>
        <w:footnoteRef/>
      </w:r>
      <w:r>
        <w:t xml:space="preserve"> </w:t>
      </w:r>
      <w:r w:rsidRPr="005626D1">
        <w:rPr>
          <w:rFonts w:ascii="Century Gothic" w:hAnsi="Century Gothic"/>
          <w:sz w:val="16"/>
        </w:rPr>
        <w:t xml:space="preserve">ARC plans to expand some of the adaptive livelihoods strategies developed through the CARE project are </w:t>
      </w:r>
      <w:r>
        <w:rPr>
          <w:rFonts w:ascii="Century Gothic" w:hAnsi="Century Gothic"/>
          <w:sz w:val="16"/>
        </w:rPr>
        <w:t>planned</w:t>
      </w:r>
    </w:p>
  </w:footnote>
  <w:footnote w:id="33">
    <w:p w:rsidR="0032489B" w:rsidRPr="00501A0C" w:rsidRDefault="0032489B" w:rsidP="000B1D99">
      <w:pPr>
        <w:pStyle w:val="DonnasStyle"/>
        <w:rPr>
          <w:b/>
        </w:rPr>
      </w:pPr>
      <w:r>
        <w:rPr>
          <w:rStyle w:val="FootnoteReference"/>
        </w:rPr>
        <w:footnoteRef/>
      </w:r>
      <w:r>
        <w:t xml:space="preserve"> </w:t>
      </w:r>
      <w:r w:rsidRPr="00501A0C">
        <w:rPr>
          <w:sz w:val="16"/>
        </w:rPr>
        <w:t xml:space="preserve">In line with DFAT M&amp;E Guidelines, </w:t>
      </w:r>
      <w:r>
        <w:rPr>
          <w:sz w:val="16"/>
        </w:rPr>
        <w:t>i</w:t>
      </w:r>
      <w:r w:rsidRPr="00501A0C">
        <w:rPr>
          <w:sz w:val="16"/>
        </w:rPr>
        <w:t>mpact is not rated at mid term</w:t>
      </w:r>
    </w:p>
  </w:footnote>
  <w:footnote w:id="34">
    <w:p w:rsidR="0032489B" w:rsidRPr="00192D64" w:rsidRDefault="0032489B" w:rsidP="000B1D99">
      <w:pPr>
        <w:pStyle w:val="FootnoteText"/>
        <w:rPr>
          <w:rFonts w:ascii="Century Gothic" w:hAnsi="Century Gothic"/>
          <w:sz w:val="18"/>
        </w:rPr>
      </w:pPr>
      <w:r w:rsidRPr="00192D64">
        <w:rPr>
          <w:rStyle w:val="FootnoteReference"/>
          <w:rFonts w:ascii="Century Gothic" w:hAnsi="Century Gothic"/>
        </w:rPr>
        <w:footnoteRef/>
      </w:r>
      <w:r w:rsidRPr="00192D64">
        <w:rPr>
          <w:rFonts w:ascii="Century Gothic" w:hAnsi="Century Gothic"/>
          <w:sz w:val="18"/>
        </w:rPr>
        <w:t xml:space="preserve"> Vietnam’s 2</w:t>
      </w:r>
      <w:r w:rsidRPr="00192D64">
        <w:rPr>
          <w:rFonts w:ascii="Century Gothic" w:hAnsi="Century Gothic"/>
          <w:sz w:val="18"/>
          <w:vertAlign w:val="superscript"/>
        </w:rPr>
        <w:t>nd</w:t>
      </w:r>
      <w:r w:rsidRPr="00192D64">
        <w:rPr>
          <w:rFonts w:ascii="Century Gothic" w:hAnsi="Century Gothic"/>
          <w:sz w:val="18"/>
        </w:rPr>
        <w:t xml:space="preserve"> National Communication to the UNFCCC, MNRE 2010</w:t>
      </w:r>
    </w:p>
  </w:footnote>
  <w:footnote w:id="35">
    <w:p w:rsidR="0032489B" w:rsidRPr="00574548" w:rsidRDefault="0032489B" w:rsidP="000B1D99">
      <w:pPr>
        <w:pStyle w:val="FootnoteText"/>
        <w:jc w:val="both"/>
        <w:rPr>
          <w:rFonts w:ascii="Century Gothic" w:hAnsi="Century Gothic"/>
          <w:sz w:val="16"/>
        </w:rPr>
      </w:pPr>
      <w:r w:rsidRPr="00574548">
        <w:rPr>
          <w:rStyle w:val="FootnoteReference"/>
          <w:rFonts w:ascii="Century Gothic" w:hAnsi="Century Gothic"/>
          <w:sz w:val="16"/>
        </w:rPr>
        <w:footnoteRef/>
      </w:r>
      <w:r w:rsidRPr="00574548">
        <w:rPr>
          <w:rFonts w:ascii="Century Gothic" w:hAnsi="Century Gothic"/>
          <w:sz w:val="16"/>
        </w:rPr>
        <w:t xml:space="preserve"> </w:t>
      </w:r>
      <w:r>
        <w:rPr>
          <w:rFonts w:ascii="Century Gothic" w:hAnsi="Century Gothic"/>
          <w:i/>
          <w:sz w:val="16"/>
        </w:rPr>
        <w:t>Production Survey of Paddy in Vietnam</w:t>
      </w:r>
      <w:r>
        <w:rPr>
          <w:rFonts w:ascii="Century Gothic" w:hAnsi="Century Gothic"/>
          <w:sz w:val="16"/>
        </w:rPr>
        <w:t>, General Statistics Office – Ministry of Planning &amp; Investment</w:t>
      </w:r>
      <w:r w:rsidRPr="00574548">
        <w:rPr>
          <w:rFonts w:ascii="Century Gothic" w:hAnsi="Century Gothic"/>
          <w:sz w:val="16"/>
        </w:rPr>
        <w:t>.</w:t>
      </w:r>
      <w:r>
        <w:rPr>
          <w:rFonts w:ascii="Century Gothic" w:hAnsi="Century Gothic"/>
          <w:sz w:val="16"/>
        </w:rPr>
        <w:t xml:space="preserve"> </w:t>
      </w:r>
      <w:r w:rsidRPr="00331B75">
        <w:rPr>
          <w:rFonts w:ascii="Century Gothic" w:hAnsi="Century Gothic"/>
          <w:sz w:val="16"/>
        </w:rPr>
        <w:t>http://www.fao.org/fileadmin/templates/ess/ess_test_folder/Workshops_Events/APCAS_24/PPT_after/APCAS-12-20-Rice_Production_Viet_Nam.pdf</w:t>
      </w:r>
    </w:p>
  </w:footnote>
  <w:footnote w:id="36">
    <w:p w:rsidR="0032489B" w:rsidRDefault="0032489B" w:rsidP="000B1D99">
      <w:pPr>
        <w:pStyle w:val="DonnasStyle"/>
      </w:pPr>
      <w:r>
        <w:rPr>
          <w:rStyle w:val="FootnoteReference"/>
        </w:rPr>
        <w:footnoteRef/>
      </w:r>
      <w:r>
        <w:t xml:space="preserve"> </w:t>
      </w:r>
      <w:r w:rsidRPr="000A1CA9">
        <w:rPr>
          <w:sz w:val="16"/>
        </w:rPr>
        <w:t>Note that the results presented in the table above are aggregated over multiple crops and regions based on data reported by the partners. There is significant variation between crops, within and across different districts, however, these results do give an indication of the potential impact possible if these production techniques were replicated at scale.</w:t>
      </w:r>
    </w:p>
  </w:footnote>
  <w:footnote w:id="37">
    <w:p w:rsidR="0032489B" w:rsidRPr="00CB507A" w:rsidRDefault="0032489B" w:rsidP="0032489B">
      <w:pPr>
        <w:pStyle w:val="FootnoteText"/>
        <w:rPr>
          <w:rFonts w:ascii="Century Gothic" w:hAnsi="Century Gothic"/>
          <w:sz w:val="16"/>
        </w:rPr>
      </w:pPr>
      <w:r w:rsidRPr="00CB507A">
        <w:rPr>
          <w:rStyle w:val="FootnoteReference"/>
          <w:sz w:val="16"/>
        </w:rPr>
        <w:footnoteRef/>
      </w:r>
      <w:r w:rsidRPr="00CB507A">
        <w:rPr>
          <w:rFonts w:ascii="Century Gothic" w:hAnsi="Century Gothic"/>
          <w:sz w:val="16"/>
        </w:rPr>
        <w:t xml:space="preserve">Kirchmann, K (2006) </w:t>
      </w:r>
      <w:hyperlink r:id="rId14" w:history="1">
        <w:r w:rsidRPr="0032489B">
          <w:rPr>
            <w:rStyle w:val="Hyperlink"/>
            <w:rFonts w:ascii="Century Gothic" w:hAnsi="Century Gothic"/>
            <w:sz w:val="16"/>
          </w:rPr>
          <w:t>“Participatory Planning in Communes”</w:t>
        </w:r>
      </w:hyperlink>
      <w:r w:rsidRPr="00CB507A">
        <w:rPr>
          <w:rFonts w:ascii="Century Gothic" w:hAnsi="Century Gothic"/>
          <w:sz w:val="16"/>
        </w:rPr>
        <w:t xml:space="preserve"> </w:t>
      </w:r>
    </w:p>
  </w:footnote>
  <w:footnote w:id="38">
    <w:p w:rsidR="0032489B" w:rsidRPr="00CB507A" w:rsidRDefault="0032489B" w:rsidP="000B1D99">
      <w:pPr>
        <w:pStyle w:val="FootnoteText"/>
        <w:rPr>
          <w:rFonts w:ascii="Century Gothic" w:hAnsi="Century Gothic"/>
          <w:sz w:val="16"/>
        </w:rPr>
      </w:pPr>
      <w:r w:rsidRPr="00CB507A">
        <w:rPr>
          <w:rStyle w:val="FootnoteReference"/>
          <w:rFonts w:ascii="Century Gothic" w:hAnsi="Century Gothic"/>
          <w:sz w:val="16"/>
        </w:rPr>
        <w:footnoteRef/>
      </w:r>
      <w:r w:rsidRPr="00CB507A">
        <w:rPr>
          <w:rFonts w:ascii="Century Gothic" w:hAnsi="Century Gothic"/>
          <w:sz w:val="16"/>
        </w:rPr>
        <w:t xml:space="preserve"> </w:t>
      </w:r>
      <w:hyperlink r:id="rId15" w:history="1">
        <w:r w:rsidRPr="0032489B">
          <w:rPr>
            <w:rStyle w:val="Hyperlink"/>
            <w:rFonts w:ascii="Century Gothic" w:hAnsi="Century Gothic"/>
            <w:sz w:val="16"/>
          </w:rPr>
          <w:t>Holden et al: World Bank, Peduli</w:t>
        </w:r>
      </w:hyperlink>
      <w:r w:rsidRPr="00CB507A">
        <w:rPr>
          <w:rFonts w:ascii="Century Gothic" w:hAnsi="Century Gothic"/>
          <w:sz w:val="16"/>
        </w:rPr>
        <w:t xml:space="preserve"> </w:t>
      </w:r>
    </w:p>
  </w:footnote>
  <w:footnote w:id="39">
    <w:p w:rsidR="0032489B" w:rsidRDefault="0032489B" w:rsidP="000B1D99">
      <w:pPr>
        <w:pStyle w:val="FootnoteText"/>
      </w:pPr>
      <w:r>
        <w:rPr>
          <w:rStyle w:val="FootnoteReference"/>
        </w:rPr>
        <w:footnoteRef/>
      </w:r>
      <w:r>
        <w:t xml:space="preserve"> </w:t>
      </w:r>
      <w:r w:rsidRPr="00142668">
        <w:rPr>
          <w:rFonts w:ascii="Century Gothic" w:hAnsi="Century Gothic"/>
          <w:sz w:val="16"/>
        </w:rPr>
        <w:t>This is consistent with the lessons from the Review of the previous VANGOCA program</w:t>
      </w:r>
      <w:r>
        <w:t xml:space="preserve"> </w:t>
      </w:r>
    </w:p>
  </w:footnote>
  <w:footnote w:id="40">
    <w:p w:rsidR="0032489B" w:rsidRDefault="0032489B" w:rsidP="000B1D99">
      <w:pPr>
        <w:pStyle w:val="FootnoteText"/>
      </w:pPr>
      <w:r>
        <w:rPr>
          <w:rStyle w:val="FootnoteReference"/>
        </w:rPr>
        <w:footnoteRef/>
      </w:r>
      <w:r>
        <w:t xml:space="preserve"> </w:t>
      </w:r>
      <w:r w:rsidRPr="002772F1">
        <w:rPr>
          <w:rFonts w:ascii="Century Gothic" w:hAnsi="Century Gothic"/>
          <w:sz w:val="18"/>
        </w:rPr>
        <w:t xml:space="preserve">DFAT; VANGOCA Review Report (2009) </w:t>
      </w:r>
    </w:p>
  </w:footnote>
  <w:footnote w:id="41">
    <w:p w:rsidR="0032489B" w:rsidRDefault="0032489B" w:rsidP="000B1D99">
      <w:pPr>
        <w:pStyle w:val="FootnoteText"/>
      </w:pPr>
      <w:r>
        <w:rPr>
          <w:rStyle w:val="FootnoteReference"/>
        </w:rPr>
        <w:footnoteRef/>
      </w:r>
      <w:r>
        <w:t xml:space="preserve"> </w:t>
      </w:r>
      <w:r w:rsidRPr="00525688">
        <w:rPr>
          <w:rFonts w:ascii="Century Gothic" w:hAnsi="Century Gothic"/>
          <w:sz w:val="16"/>
        </w:rPr>
        <w:t>AMNEP provided support for the development of common indicators.</w:t>
      </w:r>
    </w:p>
  </w:footnote>
  <w:footnote w:id="42">
    <w:p w:rsidR="0032489B" w:rsidRPr="00446007" w:rsidRDefault="0032489B" w:rsidP="000B1D99">
      <w:pPr>
        <w:pStyle w:val="FootnoteText"/>
        <w:jc w:val="both"/>
        <w:rPr>
          <w:rFonts w:ascii="Century Gothic" w:hAnsi="Century Gothic"/>
          <w:color w:val="FF0000"/>
          <w:sz w:val="16"/>
        </w:rPr>
      </w:pPr>
      <w:r w:rsidRPr="00446007">
        <w:rPr>
          <w:rStyle w:val="FootnoteReference"/>
          <w:rFonts w:ascii="Century Gothic" w:hAnsi="Century Gothic"/>
          <w:sz w:val="16"/>
        </w:rPr>
        <w:footnoteRef/>
      </w:r>
      <w:r w:rsidRPr="00446007">
        <w:rPr>
          <w:rFonts w:ascii="Century Gothic" w:hAnsi="Century Gothic"/>
          <w:sz w:val="16"/>
        </w:rPr>
        <w:t xml:space="preserve"> DFAT QaI reporting indicates considerable variation in M&amp;E capacity amongst CCCAG partners </w:t>
      </w:r>
    </w:p>
  </w:footnote>
  <w:footnote w:id="43">
    <w:p w:rsidR="0032489B" w:rsidRPr="00C5470F" w:rsidRDefault="0032489B" w:rsidP="000B1D99">
      <w:pPr>
        <w:pStyle w:val="FootnoteText"/>
        <w:rPr>
          <w:rFonts w:ascii="Century Gothic" w:hAnsi="Century Gothic"/>
          <w:sz w:val="16"/>
        </w:rPr>
      </w:pPr>
      <w:r w:rsidRPr="00C5470F">
        <w:rPr>
          <w:rStyle w:val="FootnoteReference"/>
          <w:rFonts w:ascii="Century Gothic" w:hAnsi="Century Gothic"/>
          <w:sz w:val="16"/>
        </w:rPr>
        <w:footnoteRef/>
      </w:r>
      <w:r w:rsidRPr="00C5470F">
        <w:rPr>
          <w:rFonts w:ascii="Century Gothic" w:hAnsi="Century Gothic"/>
          <w:sz w:val="16"/>
        </w:rPr>
        <w:t xml:space="preserve"> DFAT: CCCAG Program Specific Guidelines p.3</w:t>
      </w:r>
    </w:p>
  </w:footnote>
  <w:footnote w:id="44">
    <w:p w:rsidR="0032489B" w:rsidRPr="00F24DD3" w:rsidRDefault="0032489B" w:rsidP="00A34FD5">
      <w:pPr>
        <w:pStyle w:val="FootnoteText"/>
        <w:rPr>
          <w:rFonts w:ascii="Century Gothic" w:hAnsi="Century Gothic"/>
          <w:sz w:val="16"/>
        </w:rPr>
      </w:pPr>
      <w:r w:rsidRPr="00F24DD3">
        <w:rPr>
          <w:rStyle w:val="FootnoteReference"/>
          <w:rFonts w:ascii="Century Gothic" w:hAnsi="Century Gothic"/>
          <w:sz w:val="16"/>
        </w:rPr>
        <w:footnoteRef/>
      </w:r>
      <w:r w:rsidRPr="00F24DD3">
        <w:rPr>
          <w:rFonts w:ascii="Century Gothic" w:hAnsi="Century Gothic"/>
          <w:sz w:val="16"/>
        </w:rPr>
        <w:t xml:space="preserve"> CCCAG Partners: Issues and Options Paper (May, 2014)</w:t>
      </w:r>
    </w:p>
  </w:footnote>
  <w:footnote w:id="45">
    <w:p w:rsidR="0032489B" w:rsidRPr="00406496" w:rsidRDefault="0032489B" w:rsidP="00CC0372">
      <w:pPr>
        <w:pStyle w:val="FootnoteText"/>
        <w:jc w:val="both"/>
        <w:rPr>
          <w:rFonts w:ascii="Century Gothic" w:hAnsi="Century Gothic"/>
          <w:sz w:val="16"/>
        </w:rPr>
      </w:pPr>
      <w:r w:rsidRPr="00C54AA6">
        <w:rPr>
          <w:rStyle w:val="FootnoteReference"/>
          <w:rFonts w:ascii="Century Gothic" w:hAnsi="Century Gothic"/>
        </w:rPr>
        <w:footnoteRef/>
      </w:r>
      <w:r w:rsidRPr="00C54AA6">
        <w:rPr>
          <w:rFonts w:ascii="Century Gothic" w:hAnsi="Century Gothic"/>
        </w:rPr>
        <w:t xml:space="preserve"> </w:t>
      </w:r>
      <w:r w:rsidRPr="00406496">
        <w:rPr>
          <w:rFonts w:ascii="Century Gothic" w:hAnsi="Century Gothic"/>
          <w:sz w:val="16"/>
        </w:rPr>
        <w:t>UN (2009) Vietnam and Climate Change: Discussion Paper on Policies for Sustainable Human Development p,24</w:t>
      </w:r>
    </w:p>
  </w:footnote>
  <w:footnote w:id="46">
    <w:p w:rsidR="0032489B" w:rsidRPr="00406496" w:rsidRDefault="0032489B" w:rsidP="00CC0372">
      <w:pPr>
        <w:pStyle w:val="FootnoteText"/>
        <w:jc w:val="both"/>
        <w:rPr>
          <w:rFonts w:ascii="Century Gothic" w:hAnsi="Century Gothic"/>
          <w:sz w:val="16"/>
        </w:rPr>
      </w:pPr>
      <w:r w:rsidRPr="00406496">
        <w:rPr>
          <w:rStyle w:val="FootnoteReference"/>
          <w:rFonts w:ascii="Century Gothic" w:hAnsi="Century Gothic"/>
          <w:sz w:val="16"/>
        </w:rPr>
        <w:footnoteRef/>
      </w:r>
      <w:r w:rsidRPr="00406496">
        <w:rPr>
          <w:rFonts w:ascii="Century Gothic" w:hAnsi="Century Gothic"/>
          <w:sz w:val="16"/>
        </w:rPr>
        <w:t xml:space="preserve"> This is with the possible exception of Oxfam’s engagement with MCD where MCD is expected to provide some technical transfer on natural resource management to Oxfam, although we have not seen evidence that that has happened.</w:t>
      </w:r>
    </w:p>
  </w:footnote>
  <w:footnote w:id="47">
    <w:p w:rsidR="0032489B" w:rsidRDefault="0032489B">
      <w:pPr>
        <w:pStyle w:val="FootnoteText"/>
      </w:pPr>
      <w:r>
        <w:rPr>
          <w:rStyle w:val="FootnoteReference"/>
        </w:rPr>
        <w:footnoteRef/>
      </w:r>
      <w:r>
        <w:t xml:space="preserve"> </w:t>
      </w:r>
      <w:r w:rsidRPr="00F3494F">
        <w:rPr>
          <w:rFonts w:ascii="Century Gothic" w:hAnsi="Century Gothic"/>
          <w:sz w:val="16"/>
        </w:rPr>
        <w:t xml:space="preserve">Anonymous </w:t>
      </w:r>
      <w:r>
        <w:rPr>
          <w:rFonts w:ascii="Century Gothic" w:hAnsi="Century Gothic"/>
          <w:sz w:val="16"/>
        </w:rPr>
        <w:t>Donor Representative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AF" w:rsidRDefault="00084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9B" w:rsidRPr="005E17F8" w:rsidRDefault="0032489B" w:rsidP="00FF3107">
    <w:pPr>
      <w:pStyle w:val="Header"/>
      <w:pBdr>
        <w:bottom w:val="single" w:sz="4" w:space="1" w:color="1F497D" w:themeColor="text2"/>
      </w:pBdr>
      <w:jc w:val="right"/>
      <w:rPr>
        <w:rFonts w:ascii="Century Gothic" w:hAnsi="Century Gothic"/>
        <w:sz w:val="16"/>
      </w:rPr>
    </w:pPr>
    <w:r w:rsidRPr="005E17F8">
      <w:rPr>
        <w:rFonts w:ascii="Century Gothic" w:hAnsi="Century Gothic"/>
        <w:sz w:val="16"/>
      </w:rPr>
      <w:t>Independent Review: Community-based Climate Change Action Grants (CCCAG)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AF" w:rsidRDefault="00084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B00"/>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8E101A"/>
    <w:multiLevelType w:val="hybridMultilevel"/>
    <w:tmpl w:val="B75A86D8"/>
    <w:lvl w:ilvl="0" w:tplc="BCD495DA">
      <w:start w:val="1"/>
      <w:numFmt w:val="decimal"/>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8733D"/>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58F6911"/>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8C76A21"/>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2A5C3D"/>
    <w:multiLevelType w:val="multilevel"/>
    <w:tmpl w:val="EF0E95A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851"/>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7EC5DB4"/>
    <w:multiLevelType w:val="multilevel"/>
    <w:tmpl w:val="EF0E95A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851"/>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9712A7E"/>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03B2FD2"/>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18B790A"/>
    <w:multiLevelType w:val="hybridMultilevel"/>
    <w:tmpl w:val="B19C1A52"/>
    <w:lvl w:ilvl="0" w:tplc="7944B510">
      <w:start w:val="1"/>
      <w:numFmt w:val="bullet"/>
      <w:pStyle w:val="BCCompany"/>
      <w:lvlText w:val="—"/>
      <w:lvlJc w:val="left"/>
      <w:pPr>
        <w:tabs>
          <w:tab w:val="num" w:pos="567"/>
        </w:tabs>
        <w:ind w:left="284" w:firstLine="0"/>
      </w:pPr>
      <w:rPr>
        <w:rFonts w:ascii="Arial" w:hAnsi="Arial" w:hint="default"/>
        <w:color w:val="E87B00"/>
      </w:rPr>
    </w:lvl>
    <w:lvl w:ilvl="1" w:tplc="0C090003" w:tentative="1">
      <w:start w:val="1"/>
      <w:numFmt w:val="bullet"/>
      <w:lvlText w:val="o"/>
      <w:lvlJc w:val="left"/>
      <w:pPr>
        <w:tabs>
          <w:tab w:val="num" w:pos="1440"/>
        </w:tabs>
        <w:ind w:left="1440" w:hanging="360"/>
      </w:pPr>
      <w:rPr>
        <w:rFonts w:ascii="Courier New" w:hAnsi="Courier New" w:cs="Wingdings 2"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2"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2"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5264A5A"/>
    <w:multiLevelType w:val="hybridMultilevel"/>
    <w:tmpl w:val="0D2C9A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6E55E40"/>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6FB1AA8"/>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8E229BA"/>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B662993"/>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C5F6833"/>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C9E5F29"/>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FF9137D"/>
    <w:multiLevelType w:val="multilevel"/>
    <w:tmpl w:val="02BC5E4C"/>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23"/>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30AF74AA"/>
    <w:multiLevelType w:val="multilevel"/>
    <w:tmpl w:val="40CAF15C"/>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21C12AD"/>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7A20EC5"/>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39163C41"/>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302636A"/>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4AB36B6B"/>
    <w:multiLevelType w:val="hybridMultilevel"/>
    <w:tmpl w:val="B75A86D8"/>
    <w:lvl w:ilvl="0" w:tplc="BCD495DA">
      <w:start w:val="1"/>
      <w:numFmt w:val="decimal"/>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F5858"/>
    <w:multiLevelType w:val="hybridMultilevel"/>
    <w:tmpl w:val="B75A86D8"/>
    <w:lvl w:ilvl="0" w:tplc="BCD495DA">
      <w:start w:val="1"/>
      <w:numFmt w:val="decimal"/>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892F0A"/>
    <w:multiLevelType w:val="hybridMultilevel"/>
    <w:tmpl w:val="AC0AAD18"/>
    <w:lvl w:ilvl="0" w:tplc="04090017">
      <w:start w:val="1"/>
      <w:numFmt w:val="lowerLetter"/>
      <w:lvlText w:val="%1)"/>
      <w:lvlJc w:val="left"/>
      <w:pPr>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F5C3C11"/>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41E48D4"/>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D857F2C"/>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ECA3E21"/>
    <w:multiLevelType w:val="multilevel"/>
    <w:tmpl w:val="B47EEEF0"/>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A0474A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7B582D"/>
    <w:multiLevelType w:val="hybridMultilevel"/>
    <w:tmpl w:val="B75A86D8"/>
    <w:lvl w:ilvl="0" w:tplc="BCD495DA">
      <w:start w:val="1"/>
      <w:numFmt w:val="decimal"/>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6">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5B5985"/>
    <w:multiLevelType w:val="multilevel"/>
    <w:tmpl w:val="E35A92AC"/>
    <w:lvl w:ilvl="0">
      <w:start w:val="1"/>
      <w:numFmt w:val="bullet"/>
      <w:lvlText w:val=""/>
      <w:lvlJc w:val="left"/>
      <w:pPr>
        <w:ind w:left="397" w:hanging="397"/>
      </w:pPr>
      <w:rPr>
        <w:rFonts w:ascii="Wingdings 2" w:hAnsi="Wingdings 2" w:hint="default"/>
      </w:rPr>
    </w:lvl>
    <w:lvl w:ilvl="1">
      <w:start w:val="1"/>
      <w:numFmt w:val="bullet"/>
      <w:suff w:val="nothing"/>
      <w:lvlText w:val=""/>
      <w:lvlJc w:val="left"/>
      <w:pPr>
        <w:ind w:left="720" w:hanging="38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AA6739E"/>
    <w:multiLevelType w:val="multilevel"/>
    <w:tmpl w:val="AF002B98"/>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18"/>
  </w:num>
  <w:num w:numId="3">
    <w:abstractNumId w:val="25"/>
  </w:num>
  <w:num w:numId="4">
    <w:abstractNumId w:val="35"/>
  </w:num>
  <w:num w:numId="5">
    <w:abstractNumId w:val="36"/>
  </w:num>
  <w:num w:numId="6">
    <w:abstractNumId w:val="5"/>
  </w:num>
  <w:num w:numId="7">
    <w:abstractNumId w:val="23"/>
  </w:num>
  <w:num w:numId="8">
    <w:abstractNumId w:val="30"/>
  </w:num>
  <w:num w:numId="9">
    <w:abstractNumId w:val="19"/>
  </w:num>
  <w:num w:numId="10">
    <w:abstractNumId w:val="37"/>
  </w:num>
  <w:num w:numId="11">
    <w:abstractNumId w:val="31"/>
  </w:num>
  <w:num w:numId="12">
    <w:abstractNumId w:val="10"/>
  </w:num>
  <w:num w:numId="13">
    <w:abstractNumId w:val="3"/>
  </w:num>
  <w:num w:numId="14">
    <w:abstractNumId w:val="13"/>
  </w:num>
  <w:num w:numId="15">
    <w:abstractNumId w:val="9"/>
  </w:num>
  <w:num w:numId="16">
    <w:abstractNumId w:val="29"/>
  </w:num>
  <w:num w:numId="17">
    <w:abstractNumId w:val="28"/>
  </w:num>
  <w:num w:numId="18">
    <w:abstractNumId w:val="1"/>
  </w:num>
  <w:num w:numId="19">
    <w:abstractNumId w:val="8"/>
  </w:num>
  <w:num w:numId="20">
    <w:abstractNumId w:val="0"/>
  </w:num>
  <w:num w:numId="21">
    <w:abstractNumId w:val="2"/>
  </w:num>
  <w:num w:numId="22">
    <w:abstractNumId w:val="12"/>
  </w:num>
  <w:num w:numId="23">
    <w:abstractNumId w:val="38"/>
  </w:num>
  <w:num w:numId="24">
    <w:abstractNumId w:val="7"/>
  </w:num>
  <w:num w:numId="25">
    <w:abstractNumId w:val="20"/>
  </w:num>
  <w:num w:numId="26">
    <w:abstractNumId w:val="6"/>
  </w:num>
  <w:num w:numId="27">
    <w:abstractNumId w:val="4"/>
  </w:num>
  <w:num w:numId="28">
    <w:abstractNumId w:val="17"/>
  </w:num>
  <w:num w:numId="29">
    <w:abstractNumId w:val="22"/>
  </w:num>
  <w:num w:numId="30">
    <w:abstractNumId w:val="27"/>
  </w:num>
  <w:num w:numId="31">
    <w:abstractNumId w:val="34"/>
  </w:num>
  <w:num w:numId="32">
    <w:abstractNumId w:val="24"/>
  </w:num>
  <w:num w:numId="33">
    <w:abstractNumId w:val="26"/>
  </w:num>
  <w:num w:numId="34">
    <w:abstractNumId w:val="14"/>
  </w:num>
  <w:num w:numId="35">
    <w:abstractNumId w:val="16"/>
  </w:num>
  <w:num w:numId="36">
    <w:abstractNumId w:val="21"/>
  </w:num>
  <w:num w:numId="37">
    <w:abstractNumId w:val="33"/>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99"/>
    <w:rsid w:val="00012A35"/>
    <w:rsid w:val="00012F7C"/>
    <w:rsid w:val="00014B9B"/>
    <w:rsid w:val="00015373"/>
    <w:rsid w:val="00017302"/>
    <w:rsid w:val="0001744F"/>
    <w:rsid w:val="00017D89"/>
    <w:rsid w:val="00034168"/>
    <w:rsid w:val="000357D2"/>
    <w:rsid w:val="00035F72"/>
    <w:rsid w:val="00040C54"/>
    <w:rsid w:val="00044334"/>
    <w:rsid w:val="00047EC1"/>
    <w:rsid w:val="00051559"/>
    <w:rsid w:val="00054660"/>
    <w:rsid w:val="00056059"/>
    <w:rsid w:val="00057141"/>
    <w:rsid w:val="000605CA"/>
    <w:rsid w:val="00061906"/>
    <w:rsid w:val="00062DD1"/>
    <w:rsid w:val="00063300"/>
    <w:rsid w:val="00064A11"/>
    <w:rsid w:val="00067366"/>
    <w:rsid w:val="000748E2"/>
    <w:rsid w:val="00075CCD"/>
    <w:rsid w:val="00076561"/>
    <w:rsid w:val="000769DE"/>
    <w:rsid w:val="000838FB"/>
    <w:rsid w:val="00084AAF"/>
    <w:rsid w:val="0008773F"/>
    <w:rsid w:val="00095FF8"/>
    <w:rsid w:val="000A287F"/>
    <w:rsid w:val="000A3D43"/>
    <w:rsid w:val="000A4BE1"/>
    <w:rsid w:val="000A76FB"/>
    <w:rsid w:val="000A780F"/>
    <w:rsid w:val="000A7CBE"/>
    <w:rsid w:val="000B1C18"/>
    <w:rsid w:val="000B1D99"/>
    <w:rsid w:val="000C1031"/>
    <w:rsid w:val="000C10C2"/>
    <w:rsid w:val="000C3659"/>
    <w:rsid w:val="000D1E73"/>
    <w:rsid w:val="000D2AC5"/>
    <w:rsid w:val="000D6FC8"/>
    <w:rsid w:val="000D7B45"/>
    <w:rsid w:val="000E280B"/>
    <w:rsid w:val="000E2B7E"/>
    <w:rsid w:val="000E33FA"/>
    <w:rsid w:val="000E67D4"/>
    <w:rsid w:val="000F05ED"/>
    <w:rsid w:val="000F752F"/>
    <w:rsid w:val="000F7AD0"/>
    <w:rsid w:val="0011033F"/>
    <w:rsid w:val="00113C7B"/>
    <w:rsid w:val="00116E84"/>
    <w:rsid w:val="00117860"/>
    <w:rsid w:val="001228FD"/>
    <w:rsid w:val="00127277"/>
    <w:rsid w:val="00127470"/>
    <w:rsid w:val="001404DD"/>
    <w:rsid w:val="00141536"/>
    <w:rsid w:val="001427E1"/>
    <w:rsid w:val="00146541"/>
    <w:rsid w:val="00150ED1"/>
    <w:rsid w:val="001540EB"/>
    <w:rsid w:val="001630C2"/>
    <w:rsid w:val="0016425A"/>
    <w:rsid w:val="0016532C"/>
    <w:rsid w:val="001710F7"/>
    <w:rsid w:val="00184905"/>
    <w:rsid w:val="00195D83"/>
    <w:rsid w:val="00195DCE"/>
    <w:rsid w:val="001A03B3"/>
    <w:rsid w:val="001A178F"/>
    <w:rsid w:val="001A754F"/>
    <w:rsid w:val="001A7BE8"/>
    <w:rsid w:val="001B1249"/>
    <w:rsid w:val="001B1470"/>
    <w:rsid w:val="001B5FBD"/>
    <w:rsid w:val="001B62C0"/>
    <w:rsid w:val="001C0EEE"/>
    <w:rsid w:val="001D276C"/>
    <w:rsid w:val="001D3CAA"/>
    <w:rsid w:val="001D3F1F"/>
    <w:rsid w:val="001D6C47"/>
    <w:rsid w:val="001E0D8D"/>
    <w:rsid w:val="001E3DB1"/>
    <w:rsid w:val="001E410C"/>
    <w:rsid w:val="001F4039"/>
    <w:rsid w:val="001F7A37"/>
    <w:rsid w:val="002041AF"/>
    <w:rsid w:val="00204442"/>
    <w:rsid w:val="00205EBC"/>
    <w:rsid w:val="00211B03"/>
    <w:rsid w:val="00220E02"/>
    <w:rsid w:val="002210F5"/>
    <w:rsid w:val="00222841"/>
    <w:rsid w:val="0023593E"/>
    <w:rsid w:val="00254513"/>
    <w:rsid w:val="002621C6"/>
    <w:rsid w:val="00262443"/>
    <w:rsid w:val="00262EED"/>
    <w:rsid w:val="002640BD"/>
    <w:rsid w:val="0027734A"/>
    <w:rsid w:val="0028070C"/>
    <w:rsid w:val="002812EB"/>
    <w:rsid w:val="002815C9"/>
    <w:rsid w:val="00291C02"/>
    <w:rsid w:val="0029571F"/>
    <w:rsid w:val="00297DEF"/>
    <w:rsid w:val="002A00C3"/>
    <w:rsid w:val="002A01D7"/>
    <w:rsid w:val="002A112F"/>
    <w:rsid w:val="002A1431"/>
    <w:rsid w:val="002A77A0"/>
    <w:rsid w:val="002A7918"/>
    <w:rsid w:val="002B0149"/>
    <w:rsid w:val="002B1825"/>
    <w:rsid w:val="002B34D7"/>
    <w:rsid w:val="002B350A"/>
    <w:rsid w:val="002B72B9"/>
    <w:rsid w:val="002C3854"/>
    <w:rsid w:val="002C3A6A"/>
    <w:rsid w:val="002C599E"/>
    <w:rsid w:val="002C6833"/>
    <w:rsid w:val="002D325C"/>
    <w:rsid w:val="002D6F6D"/>
    <w:rsid w:val="002E13B1"/>
    <w:rsid w:val="002E3C29"/>
    <w:rsid w:val="002E4CC1"/>
    <w:rsid w:val="002E67AA"/>
    <w:rsid w:val="002E7699"/>
    <w:rsid w:val="002F2CE4"/>
    <w:rsid w:val="00301880"/>
    <w:rsid w:val="00302A09"/>
    <w:rsid w:val="00303841"/>
    <w:rsid w:val="003122D6"/>
    <w:rsid w:val="00320D14"/>
    <w:rsid w:val="0032489B"/>
    <w:rsid w:val="00325CA7"/>
    <w:rsid w:val="00327676"/>
    <w:rsid w:val="00331DDB"/>
    <w:rsid w:val="00333CF9"/>
    <w:rsid w:val="00335CF9"/>
    <w:rsid w:val="003377A4"/>
    <w:rsid w:val="00337D5B"/>
    <w:rsid w:val="00337F8D"/>
    <w:rsid w:val="00350D3F"/>
    <w:rsid w:val="00351E06"/>
    <w:rsid w:val="003545FE"/>
    <w:rsid w:val="00357F5E"/>
    <w:rsid w:val="00375FCA"/>
    <w:rsid w:val="003768B9"/>
    <w:rsid w:val="00385F65"/>
    <w:rsid w:val="003872C5"/>
    <w:rsid w:val="00390C59"/>
    <w:rsid w:val="003A1DB4"/>
    <w:rsid w:val="003A3DAE"/>
    <w:rsid w:val="003B5163"/>
    <w:rsid w:val="003D01B8"/>
    <w:rsid w:val="003D25C6"/>
    <w:rsid w:val="003D4B7E"/>
    <w:rsid w:val="003D66D2"/>
    <w:rsid w:val="003D6C65"/>
    <w:rsid w:val="003E0A44"/>
    <w:rsid w:val="003E0F84"/>
    <w:rsid w:val="003E1ED7"/>
    <w:rsid w:val="004004A0"/>
    <w:rsid w:val="00401FAA"/>
    <w:rsid w:val="00405764"/>
    <w:rsid w:val="00405843"/>
    <w:rsid w:val="0041215E"/>
    <w:rsid w:val="00412414"/>
    <w:rsid w:val="00417D2B"/>
    <w:rsid w:val="00420DEE"/>
    <w:rsid w:val="00423F16"/>
    <w:rsid w:val="004302CE"/>
    <w:rsid w:val="00431274"/>
    <w:rsid w:val="00431CD3"/>
    <w:rsid w:val="0043384F"/>
    <w:rsid w:val="00446C35"/>
    <w:rsid w:val="0045403F"/>
    <w:rsid w:val="0045479A"/>
    <w:rsid w:val="00457AAF"/>
    <w:rsid w:val="00461064"/>
    <w:rsid w:val="004638B8"/>
    <w:rsid w:val="00465744"/>
    <w:rsid w:val="0046771A"/>
    <w:rsid w:val="00474C94"/>
    <w:rsid w:val="0047563A"/>
    <w:rsid w:val="00481DA0"/>
    <w:rsid w:val="00490C05"/>
    <w:rsid w:val="004929A2"/>
    <w:rsid w:val="004932FE"/>
    <w:rsid w:val="00495927"/>
    <w:rsid w:val="004A14AA"/>
    <w:rsid w:val="004A1E7C"/>
    <w:rsid w:val="004A2BB9"/>
    <w:rsid w:val="004A30A3"/>
    <w:rsid w:val="004B7E74"/>
    <w:rsid w:val="004C1FF2"/>
    <w:rsid w:val="004C5840"/>
    <w:rsid w:val="004E0F8C"/>
    <w:rsid w:val="004F0815"/>
    <w:rsid w:val="004F2071"/>
    <w:rsid w:val="00502509"/>
    <w:rsid w:val="005030C7"/>
    <w:rsid w:val="00505E84"/>
    <w:rsid w:val="00507BC7"/>
    <w:rsid w:val="00507E31"/>
    <w:rsid w:val="005101C7"/>
    <w:rsid w:val="00514981"/>
    <w:rsid w:val="00514BB7"/>
    <w:rsid w:val="00515A85"/>
    <w:rsid w:val="00515BAA"/>
    <w:rsid w:val="00524D76"/>
    <w:rsid w:val="00530F66"/>
    <w:rsid w:val="005315B4"/>
    <w:rsid w:val="005336E1"/>
    <w:rsid w:val="00545647"/>
    <w:rsid w:val="005462EB"/>
    <w:rsid w:val="005464F4"/>
    <w:rsid w:val="00551F49"/>
    <w:rsid w:val="005526DF"/>
    <w:rsid w:val="00560BFC"/>
    <w:rsid w:val="00567055"/>
    <w:rsid w:val="005732FD"/>
    <w:rsid w:val="00574D36"/>
    <w:rsid w:val="0058143D"/>
    <w:rsid w:val="0058360C"/>
    <w:rsid w:val="005869BF"/>
    <w:rsid w:val="00594F9A"/>
    <w:rsid w:val="005A3DD7"/>
    <w:rsid w:val="005A6DCA"/>
    <w:rsid w:val="005B078A"/>
    <w:rsid w:val="005B0E82"/>
    <w:rsid w:val="005B1BB8"/>
    <w:rsid w:val="005B793A"/>
    <w:rsid w:val="005C0428"/>
    <w:rsid w:val="005C5FC9"/>
    <w:rsid w:val="005C7B00"/>
    <w:rsid w:val="005D0A1D"/>
    <w:rsid w:val="005D1507"/>
    <w:rsid w:val="005D18FF"/>
    <w:rsid w:val="005D2544"/>
    <w:rsid w:val="005E00D1"/>
    <w:rsid w:val="005E0243"/>
    <w:rsid w:val="005E0DDF"/>
    <w:rsid w:val="005E0EA0"/>
    <w:rsid w:val="005E1564"/>
    <w:rsid w:val="005E165A"/>
    <w:rsid w:val="005E2CD0"/>
    <w:rsid w:val="005E5A80"/>
    <w:rsid w:val="005E6355"/>
    <w:rsid w:val="005F5747"/>
    <w:rsid w:val="0060008D"/>
    <w:rsid w:val="0060062C"/>
    <w:rsid w:val="00617CC8"/>
    <w:rsid w:val="006268BF"/>
    <w:rsid w:val="006329AB"/>
    <w:rsid w:val="00632DDD"/>
    <w:rsid w:val="00640AF2"/>
    <w:rsid w:val="0064436F"/>
    <w:rsid w:val="00656038"/>
    <w:rsid w:val="0065787D"/>
    <w:rsid w:val="00661455"/>
    <w:rsid w:val="00662DD6"/>
    <w:rsid w:val="00671CD7"/>
    <w:rsid w:val="00675A07"/>
    <w:rsid w:val="0068190C"/>
    <w:rsid w:val="00682AE8"/>
    <w:rsid w:val="00683018"/>
    <w:rsid w:val="006877FF"/>
    <w:rsid w:val="0069223D"/>
    <w:rsid w:val="0069400A"/>
    <w:rsid w:val="006A0C91"/>
    <w:rsid w:val="006A2283"/>
    <w:rsid w:val="006B37A5"/>
    <w:rsid w:val="006B3B20"/>
    <w:rsid w:val="006B5800"/>
    <w:rsid w:val="006B7A9F"/>
    <w:rsid w:val="006C1EBD"/>
    <w:rsid w:val="006C7CD2"/>
    <w:rsid w:val="006D24F8"/>
    <w:rsid w:val="006D34DE"/>
    <w:rsid w:val="006E039B"/>
    <w:rsid w:val="006E1A04"/>
    <w:rsid w:val="006E1B38"/>
    <w:rsid w:val="006E478D"/>
    <w:rsid w:val="006F1381"/>
    <w:rsid w:val="006F5F6D"/>
    <w:rsid w:val="006F67EA"/>
    <w:rsid w:val="006F7E2C"/>
    <w:rsid w:val="007043C5"/>
    <w:rsid w:val="0072047A"/>
    <w:rsid w:val="007207F5"/>
    <w:rsid w:val="00725F00"/>
    <w:rsid w:val="00725F76"/>
    <w:rsid w:val="00730F94"/>
    <w:rsid w:val="007347C3"/>
    <w:rsid w:val="00734A2E"/>
    <w:rsid w:val="00735372"/>
    <w:rsid w:val="0073546C"/>
    <w:rsid w:val="00737398"/>
    <w:rsid w:val="00737A1E"/>
    <w:rsid w:val="0074556C"/>
    <w:rsid w:val="00746B24"/>
    <w:rsid w:val="0075108B"/>
    <w:rsid w:val="00757026"/>
    <w:rsid w:val="00760934"/>
    <w:rsid w:val="00766621"/>
    <w:rsid w:val="00767BB0"/>
    <w:rsid w:val="00771E99"/>
    <w:rsid w:val="0077255C"/>
    <w:rsid w:val="007872F9"/>
    <w:rsid w:val="00787A3B"/>
    <w:rsid w:val="00791B9B"/>
    <w:rsid w:val="00796679"/>
    <w:rsid w:val="00797656"/>
    <w:rsid w:val="007A3DF6"/>
    <w:rsid w:val="007B4AE4"/>
    <w:rsid w:val="007C386F"/>
    <w:rsid w:val="007D37FB"/>
    <w:rsid w:val="007D39EC"/>
    <w:rsid w:val="007D5EF9"/>
    <w:rsid w:val="007D7B0D"/>
    <w:rsid w:val="007E0104"/>
    <w:rsid w:val="007E297E"/>
    <w:rsid w:val="007E4D60"/>
    <w:rsid w:val="007E5778"/>
    <w:rsid w:val="007F038E"/>
    <w:rsid w:val="007F3DF8"/>
    <w:rsid w:val="0080102C"/>
    <w:rsid w:val="00811FD0"/>
    <w:rsid w:val="0081397F"/>
    <w:rsid w:val="00815A5C"/>
    <w:rsid w:val="00821B72"/>
    <w:rsid w:val="008313E5"/>
    <w:rsid w:val="0083351D"/>
    <w:rsid w:val="00844765"/>
    <w:rsid w:val="00845E19"/>
    <w:rsid w:val="00852A6C"/>
    <w:rsid w:val="0085622A"/>
    <w:rsid w:val="00857942"/>
    <w:rsid w:val="0087050C"/>
    <w:rsid w:val="00871528"/>
    <w:rsid w:val="008729FE"/>
    <w:rsid w:val="008847DB"/>
    <w:rsid w:val="008A16D1"/>
    <w:rsid w:val="008A1BFC"/>
    <w:rsid w:val="008B32CD"/>
    <w:rsid w:val="008B3C5D"/>
    <w:rsid w:val="008C659C"/>
    <w:rsid w:val="008D3620"/>
    <w:rsid w:val="008E53D9"/>
    <w:rsid w:val="00904387"/>
    <w:rsid w:val="009063C0"/>
    <w:rsid w:val="00910213"/>
    <w:rsid w:val="00913C82"/>
    <w:rsid w:val="00916247"/>
    <w:rsid w:val="00933165"/>
    <w:rsid w:val="00933B89"/>
    <w:rsid w:val="0093624E"/>
    <w:rsid w:val="00936A9E"/>
    <w:rsid w:val="00942CB6"/>
    <w:rsid w:val="009502B7"/>
    <w:rsid w:val="00951920"/>
    <w:rsid w:val="00956BE7"/>
    <w:rsid w:val="0096416E"/>
    <w:rsid w:val="00964529"/>
    <w:rsid w:val="00965F7E"/>
    <w:rsid w:val="0096696B"/>
    <w:rsid w:val="00981190"/>
    <w:rsid w:val="00986FD8"/>
    <w:rsid w:val="00995DA1"/>
    <w:rsid w:val="009A100E"/>
    <w:rsid w:val="009A236D"/>
    <w:rsid w:val="009A4699"/>
    <w:rsid w:val="009A517D"/>
    <w:rsid w:val="009C02EC"/>
    <w:rsid w:val="009D0F57"/>
    <w:rsid w:val="009D5615"/>
    <w:rsid w:val="009D695D"/>
    <w:rsid w:val="009D6F58"/>
    <w:rsid w:val="009E2CCA"/>
    <w:rsid w:val="009E7614"/>
    <w:rsid w:val="009F181E"/>
    <w:rsid w:val="009F4427"/>
    <w:rsid w:val="00A04A35"/>
    <w:rsid w:val="00A125B9"/>
    <w:rsid w:val="00A12F69"/>
    <w:rsid w:val="00A12F86"/>
    <w:rsid w:val="00A14C1F"/>
    <w:rsid w:val="00A23ABB"/>
    <w:rsid w:val="00A259CD"/>
    <w:rsid w:val="00A330D2"/>
    <w:rsid w:val="00A34FD5"/>
    <w:rsid w:val="00A36520"/>
    <w:rsid w:val="00A423C3"/>
    <w:rsid w:val="00A42BCE"/>
    <w:rsid w:val="00A47E05"/>
    <w:rsid w:val="00A5423F"/>
    <w:rsid w:val="00A5731C"/>
    <w:rsid w:val="00A60C93"/>
    <w:rsid w:val="00A626B2"/>
    <w:rsid w:val="00A6276D"/>
    <w:rsid w:val="00A671AA"/>
    <w:rsid w:val="00A70675"/>
    <w:rsid w:val="00A739A3"/>
    <w:rsid w:val="00A73EAC"/>
    <w:rsid w:val="00A7400A"/>
    <w:rsid w:val="00A836F8"/>
    <w:rsid w:val="00A878B5"/>
    <w:rsid w:val="00A90262"/>
    <w:rsid w:val="00A94B24"/>
    <w:rsid w:val="00AA54EB"/>
    <w:rsid w:val="00AA7B61"/>
    <w:rsid w:val="00AB04C0"/>
    <w:rsid w:val="00AB321B"/>
    <w:rsid w:val="00AB51F3"/>
    <w:rsid w:val="00AB6236"/>
    <w:rsid w:val="00AC2C8F"/>
    <w:rsid w:val="00AD53E5"/>
    <w:rsid w:val="00AE01DD"/>
    <w:rsid w:val="00AE0E5E"/>
    <w:rsid w:val="00AE23E7"/>
    <w:rsid w:val="00AE320F"/>
    <w:rsid w:val="00AE364E"/>
    <w:rsid w:val="00AF3DA9"/>
    <w:rsid w:val="00AF3F29"/>
    <w:rsid w:val="00AF723E"/>
    <w:rsid w:val="00B0354B"/>
    <w:rsid w:val="00B13DB6"/>
    <w:rsid w:val="00B20932"/>
    <w:rsid w:val="00B21E6F"/>
    <w:rsid w:val="00B2657E"/>
    <w:rsid w:val="00B274C6"/>
    <w:rsid w:val="00B3199B"/>
    <w:rsid w:val="00B32309"/>
    <w:rsid w:val="00B332BA"/>
    <w:rsid w:val="00B362AF"/>
    <w:rsid w:val="00B41CE9"/>
    <w:rsid w:val="00B42E39"/>
    <w:rsid w:val="00B46C0D"/>
    <w:rsid w:val="00B47ADD"/>
    <w:rsid w:val="00B61375"/>
    <w:rsid w:val="00B67C70"/>
    <w:rsid w:val="00B74497"/>
    <w:rsid w:val="00B7500D"/>
    <w:rsid w:val="00B823B1"/>
    <w:rsid w:val="00B96EDC"/>
    <w:rsid w:val="00B97DBE"/>
    <w:rsid w:val="00BB16DC"/>
    <w:rsid w:val="00BC71B9"/>
    <w:rsid w:val="00BE0B7F"/>
    <w:rsid w:val="00BE163C"/>
    <w:rsid w:val="00BE378A"/>
    <w:rsid w:val="00BE4992"/>
    <w:rsid w:val="00BF3D76"/>
    <w:rsid w:val="00BF42BC"/>
    <w:rsid w:val="00BF44E5"/>
    <w:rsid w:val="00BF54E5"/>
    <w:rsid w:val="00BF6F6D"/>
    <w:rsid w:val="00BF7C9E"/>
    <w:rsid w:val="00C018E6"/>
    <w:rsid w:val="00C01B44"/>
    <w:rsid w:val="00C01FF0"/>
    <w:rsid w:val="00C10B88"/>
    <w:rsid w:val="00C170ED"/>
    <w:rsid w:val="00C300F4"/>
    <w:rsid w:val="00C51F9D"/>
    <w:rsid w:val="00C55791"/>
    <w:rsid w:val="00C56087"/>
    <w:rsid w:val="00C77647"/>
    <w:rsid w:val="00C77B56"/>
    <w:rsid w:val="00C81F7F"/>
    <w:rsid w:val="00C83FB6"/>
    <w:rsid w:val="00C84103"/>
    <w:rsid w:val="00C85B6A"/>
    <w:rsid w:val="00C92069"/>
    <w:rsid w:val="00CA4282"/>
    <w:rsid w:val="00CA4827"/>
    <w:rsid w:val="00CA4DFA"/>
    <w:rsid w:val="00CB0E02"/>
    <w:rsid w:val="00CB4967"/>
    <w:rsid w:val="00CB5963"/>
    <w:rsid w:val="00CC0372"/>
    <w:rsid w:val="00CC2A0E"/>
    <w:rsid w:val="00CC3F7B"/>
    <w:rsid w:val="00CD145D"/>
    <w:rsid w:val="00CD1A56"/>
    <w:rsid w:val="00CD2735"/>
    <w:rsid w:val="00CD3120"/>
    <w:rsid w:val="00CE13A3"/>
    <w:rsid w:val="00CE3595"/>
    <w:rsid w:val="00CE51E6"/>
    <w:rsid w:val="00D05FFF"/>
    <w:rsid w:val="00D128E2"/>
    <w:rsid w:val="00D1416A"/>
    <w:rsid w:val="00D1494E"/>
    <w:rsid w:val="00D178E8"/>
    <w:rsid w:val="00D27317"/>
    <w:rsid w:val="00D27843"/>
    <w:rsid w:val="00D30EC9"/>
    <w:rsid w:val="00D31F9E"/>
    <w:rsid w:val="00D34EC9"/>
    <w:rsid w:val="00D422A7"/>
    <w:rsid w:val="00D42B37"/>
    <w:rsid w:val="00D50089"/>
    <w:rsid w:val="00D56540"/>
    <w:rsid w:val="00D679C0"/>
    <w:rsid w:val="00D71C2A"/>
    <w:rsid w:val="00D7532C"/>
    <w:rsid w:val="00D756A7"/>
    <w:rsid w:val="00D76D2E"/>
    <w:rsid w:val="00D81E4E"/>
    <w:rsid w:val="00D91EE5"/>
    <w:rsid w:val="00D94793"/>
    <w:rsid w:val="00DA103A"/>
    <w:rsid w:val="00DB1840"/>
    <w:rsid w:val="00DC1951"/>
    <w:rsid w:val="00DC2E49"/>
    <w:rsid w:val="00DC5F7B"/>
    <w:rsid w:val="00DC600E"/>
    <w:rsid w:val="00DC7852"/>
    <w:rsid w:val="00DD521E"/>
    <w:rsid w:val="00DD5587"/>
    <w:rsid w:val="00DD666B"/>
    <w:rsid w:val="00DE1986"/>
    <w:rsid w:val="00DE3A4D"/>
    <w:rsid w:val="00DF5FDB"/>
    <w:rsid w:val="00DF6424"/>
    <w:rsid w:val="00E00A84"/>
    <w:rsid w:val="00E037BA"/>
    <w:rsid w:val="00E042C4"/>
    <w:rsid w:val="00E0513C"/>
    <w:rsid w:val="00E07225"/>
    <w:rsid w:val="00E14804"/>
    <w:rsid w:val="00E14854"/>
    <w:rsid w:val="00E20F77"/>
    <w:rsid w:val="00E25DEE"/>
    <w:rsid w:val="00E262F9"/>
    <w:rsid w:val="00E438AB"/>
    <w:rsid w:val="00E44339"/>
    <w:rsid w:val="00E477AD"/>
    <w:rsid w:val="00E478A9"/>
    <w:rsid w:val="00E545FF"/>
    <w:rsid w:val="00E57BDD"/>
    <w:rsid w:val="00E57E85"/>
    <w:rsid w:val="00E65CD5"/>
    <w:rsid w:val="00E672F2"/>
    <w:rsid w:val="00E76AD7"/>
    <w:rsid w:val="00E826F9"/>
    <w:rsid w:val="00E84928"/>
    <w:rsid w:val="00E85892"/>
    <w:rsid w:val="00E86205"/>
    <w:rsid w:val="00E86534"/>
    <w:rsid w:val="00E86E41"/>
    <w:rsid w:val="00E94C69"/>
    <w:rsid w:val="00E96355"/>
    <w:rsid w:val="00E9656C"/>
    <w:rsid w:val="00EA25E7"/>
    <w:rsid w:val="00EB0C77"/>
    <w:rsid w:val="00EB5BA8"/>
    <w:rsid w:val="00EB69F7"/>
    <w:rsid w:val="00ED0670"/>
    <w:rsid w:val="00EE27A1"/>
    <w:rsid w:val="00EF462C"/>
    <w:rsid w:val="00EF68DE"/>
    <w:rsid w:val="00F07375"/>
    <w:rsid w:val="00F1317E"/>
    <w:rsid w:val="00F16B0D"/>
    <w:rsid w:val="00F304F4"/>
    <w:rsid w:val="00F308C9"/>
    <w:rsid w:val="00F3494F"/>
    <w:rsid w:val="00F519A5"/>
    <w:rsid w:val="00F53E4F"/>
    <w:rsid w:val="00F575D9"/>
    <w:rsid w:val="00F6210C"/>
    <w:rsid w:val="00F638F0"/>
    <w:rsid w:val="00F7161B"/>
    <w:rsid w:val="00F72F70"/>
    <w:rsid w:val="00F72F76"/>
    <w:rsid w:val="00F73105"/>
    <w:rsid w:val="00F73FA3"/>
    <w:rsid w:val="00F741F3"/>
    <w:rsid w:val="00F84D82"/>
    <w:rsid w:val="00F90ACC"/>
    <w:rsid w:val="00F91E2A"/>
    <w:rsid w:val="00F96323"/>
    <w:rsid w:val="00F975C4"/>
    <w:rsid w:val="00FA285C"/>
    <w:rsid w:val="00FA4B75"/>
    <w:rsid w:val="00FB00A5"/>
    <w:rsid w:val="00FB1CD1"/>
    <w:rsid w:val="00FB4D0A"/>
    <w:rsid w:val="00FC2592"/>
    <w:rsid w:val="00FC760F"/>
    <w:rsid w:val="00FD2CDB"/>
    <w:rsid w:val="00FE5F0E"/>
    <w:rsid w:val="00FF310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sdException w:name="List Paragraph" w:uiPriority="34" w:qFormat="1"/>
  </w:latentStyles>
  <w:style w:type="paragraph" w:default="1" w:styleId="Normal">
    <w:name w:val="Normal"/>
    <w:qFormat/>
    <w:rsid w:val="000B1D99"/>
  </w:style>
  <w:style w:type="paragraph" w:styleId="Heading1">
    <w:name w:val="heading 1"/>
    <w:basedOn w:val="Normal"/>
    <w:next w:val="Normal"/>
    <w:link w:val="Heading1Char"/>
    <w:qFormat/>
    <w:rsid w:val="000B1D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B1D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B1D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B1D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0B1D99"/>
    <w:rPr>
      <w:rFonts w:ascii="Lucida Grande" w:hAnsi="Lucida Grande"/>
      <w:sz w:val="18"/>
      <w:szCs w:val="18"/>
    </w:rPr>
  </w:style>
  <w:style w:type="character" w:customStyle="1" w:styleId="BalloonTextChar">
    <w:name w:val="Balloon Text Char"/>
    <w:basedOn w:val="DefaultParagraphFont"/>
    <w:uiPriority w:val="99"/>
    <w:semiHidden/>
    <w:rsid w:val="00F92C9F"/>
    <w:rPr>
      <w:rFonts w:ascii="Lucida Grande" w:hAnsi="Lucida Grande"/>
      <w:sz w:val="18"/>
      <w:szCs w:val="18"/>
    </w:rPr>
  </w:style>
  <w:style w:type="character" w:customStyle="1" w:styleId="BalloonTextChar0">
    <w:name w:val="Balloon Text Char"/>
    <w:basedOn w:val="DefaultParagraphFont"/>
    <w:uiPriority w:val="99"/>
    <w:semiHidden/>
    <w:rsid w:val="00F92C9F"/>
    <w:rPr>
      <w:rFonts w:ascii="Lucida Grande" w:hAnsi="Lucida Grande"/>
      <w:sz w:val="18"/>
      <w:szCs w:val="18"/>
    </w:rPr>
  </w:style>
  <w:style w:type="character" w:customStyle="1" w:styleId="BalloonTextChar2">
    <w:name w:val="Balloon Text Char"/>
    <w:basedOn w:val="DefaultParagraphFont"/>
    <w:uiPriority w:val="99"/>
    <w:semiHidden/>
    <w:rsid w:val="00F92C9F"/>
    <w:rPr>
      <w:rFonts w:ascii="Lucida Grande" w:hAnsi="Lucida Grande"/>
      <w:sz w:val="18"/>
      <w:szCs w:val="18"/>
    </w:rPr>
  </w:style>
  <w:style w:type="character" w:customStyle="1" w:styleId="BalloonTextChar3">
    <w:name w:val="Balloon Text Char"/>
    <w:basedOn w:val="DefaultParagraphFont"/>
    <w:uiPriority w:val="99"/>
    <w:semiHidden/>
    <w:rsid w:val="00F92C9F"/>
    <w:rPr>
      <w:rFonts w:ascii="Lucida Grande" w:hAnsi="Lucida Grande"/>
      <w:sz w:val="18"/>
      <w:szCs w:val="18"/>
    </w:rPr>
  </w:style>
  <w:style w:type="character" w:customStyle="1" w:styleId="BalloonTextChar4">
    <w:name w:val="Balloon Text Char"/>
    <w:basedOn w:val="DefaultParagraphFont"/>
    <w:uiPriority w:val="99"/>
    <w:semiHidden/>
    <w:rsid w:val="00F92C9F"/>
    <w:rPr>
      <w:rFonts w:ascii="Lucida Grande" w:hAnsi="Lucida Grande"/>
      <w:sz w:val="18"/>
      <w:szCs w:val="18"/>
    </w:rPr>
  </w:style>
  <w:style w:type="character" w:customStyle="1" w:styleId="BalloonTextChar5">
    <w:name w:val="Balloon Text Char"/>
    <w:basedOn w:val="DefaultParagraphFont"/>
    <w:uiPriority w:val="99"/>
    <w:semiHidden/>
    <w:rsid w:val="00F92C9F"/>
    <w:rPr>
      <w:rFonts w:ascii="Lucida Grande" w:hAnsi="Lucida Grande"/>
      <w:sz w:val="18"/>
      <w:szCs w:val="18"/>
    </w:rPr>
  </w:style>
  <w:style w:type="character" w:customStyle="1" w:styleId="BalloonTextChar6">
    <w:name w:val="Balloon Text Char"/>
    <w:basedOn w:val="DefaultParagraphFont"/>
    <w:uiPriority w:val="99"/>
    <w:semiHidden/>
    <w:rsid w:val="00F92C9F"/>
    <w:rPr>
      <w:rFonts w:ascii="Lucida Grande" w:hAnsi="Lucida Grande"/>
      <w:sz w:val="18"/>
      <w:szCs w:val="18"/>
    </w:rPr>
  </w:style>
  <w:style w:type="character" w:customStyle="1" w:styleId="BalloonTextChar7">
    <w:name w:val="Balloon Text Char"/>
    <w:basedOn w:val="DefaultParagraphFont"/>
    <w:uiPriority w:val="99"/>
    <w:semiHidden/>
    <w:rsid w:val="00F92C9F"/>
    <w:rPr>
      <w:rFonts w:ascii="Lucida Grande" w:hAnsi="Lucida Grande"/>
      <w:sz w:val="18"/>
      <w:szCs w:val="18"/>
    </w:rPr>
  </w:style>
  <w:style w:type="character" w:customStyle="1" w:styleId="BalloonTextChar8">
    <w:name w:val="Balloon Text Char"/>
    <w:basedOn w:val="DefaultParagraphFont"/>
    <w:uiPriority w:val="99"/>
    <w:semiHidden/>
    <w:rsid w:val="00F92C9F"/>
    <w:rPr>
      <w:rFonts w:ascii="Lucida Grande" w:hAnsi="Lucida Grande"/>
      <w:sz w:val="18"/>
      <w:szCs w:val="18"/>
    </w:rPr>
  </w:style>
  <w:style w:type="character" w:customStyle="1" w:styleId="BalloonTextChar9">
    <w:name w:val="Balloon Text Char"/>
    <w:basedOn w:val="DefaultParagraphFont"/>
    <w:uiPriority w:val="99"/>
    <w:semiHidden/>
    <w:rsid w:val="00F92C9F"/>
    <w:rPr>
      <w:rFonts w:ascii="Lucida Grande" w:hAnsi="Lucida Grande"/>
      <w:sz w:val="18"/>
      <w:szCs w:val="18"/>
    </w:rPr>
  </w:style>
  <w:style w:type="character" w:customStyle="1" w:styleId="BalloonTextChara">
    <w:name w:val="Balloon Text Char"/>
    <w:basedOn w:val="DefaultParagraphFont"/>
    <w:uiPriority w:val="99"/>
    <w:semiHidden/>
    <w:rsid w:val="00F92C9F"/>
    <w:rPr>
      <w:rFonts w:ascii="Lucida Grande" w:hAnsi="Lucida Grande"/>
      <w:sz w:val="18"/>
      <w:szCs w:val="18"/>
    </w:rPr>
  </w:style>
  <w:style w:type="character" w:customStyle="1" w:styleId="Heading1Char">
    <w:name w:val="Heading 1 Char"/>
    <w:basedOn w:val="DefaultParagraphFont"/>
    <w:link w:val="Heading1"/>
    <w:rsid w:val="000B1D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B1D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B1D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B1D99"/>
    <w:rPr>
      <w:rFonts w:asciiTheme="majorHAnsi" w:eastAsiaTheme="majorEastAsia" w:hAnsiTheme="majorHAnsi" w:cstheme="majorBidi"/>
      <w:b/>
      <w:bCs/>
      <w:i/>
      <w:iCs/>
      <w:color w:val="4F81BD" w:themeColor="accent1"/>
    </w:rPr>
  </w:style>
  <w:style w:type="character" w:customStyle="1" w:styleId="BalloonTextCharb">
    <w:name w:val="Balloon Text Char"/>
    <w:basedOn w:val="DefaultParagraphFont"/>
    <w:uiPriority w:val="99"/>
    <w:semiHidden/>
    <w:rsid w:val="000B1D99"/>
    <w:rPr>
      <w:rFonts w:ascii="Lucida Grande" w:hAnsi="Lucida Grande"/>
      <w:sz w:val="18"/>
      <w:szCs w:val="18"/>
    </w:rPr>
  </w:style>
  <w:style w:type="character" w:customStyle="1" w:styleId="BalloonTextChar1">
    <w:name w:val="Balloon Text Char1"/>
    <w:basedOn w:val="DefaultParagraphFont"/>
    <w:link w:val="BalloonText"/>
    <w:uiPriority w:val="99"/>
    <w:rsid w:val="000B1D99"/>
    <w:rPr>
      <w:rFonts w:ascii="Lucida Grande" w:hAnsi="Lucida Grande"/>
      <w:sz w:val="18"/>
      <w:szCs w:val="18"/>
    </w:rPr>
  </w:style>
  <w:style w:type="paragraph" w:styleId="ListParagraph">
    <w:name w:val="List Paragraph"/>
    <w:basedOn w:val="Normal"/>
    <w:link w:val="ListParagraphChar"/>
    <w:uiPriority w:val="34"/>
    <w:qFormat/>
    <w:rsid w:val="000B1D99"/>
    <w:pPr>
      <w:ind w:left="720"/>
      <w:contextualSpacing/>
    </w:pPr>
  </w:style>
  <w:style w:type="table" w:styleId="TableGrid">
    <w:name w:val="Table Grid"/>
    <w:basedOn w:val="TableNormal"/>
    <w:uiPriority w:val="59"/>
    <w:rsid w:val="000B1D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nnasStyle">
    <w:name w:val="Donna's Style"/>
    <w:basedOn w:val="Normal"/>
    <w:qFormat/>
    <w:rsid w:val="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Century Gothic" w:hAnsi="Century Gothic" w:cs="Times New Roman"/>
      <w:bCs/>
      <w:sz w:val="22"/>
    </w:rPr>
  </w:style>
  <w:style w:type="character" w:styleId="CommentReference">
    <w:name w:val="annotation reference"/>
    <w:basedOn w:val="DefaultParagraphFont"/>
    <w:uiPriority w:val="99"/>
    <w:unhideWhenUsed/>
    <w:rsid w:val="000B1D99"/>
    <w:rPr>
      <w:sz w:val="18"/>
      <w:szCs w:val="18"/>
    </w:rPr>
  </w:style>
  <w:style w:type="paragraph" w:styleId="CommentText">
    <w:name w:val="annotation text"/>
    <w:basedOn w:val="Normal"/>
    <w:link w:val="CommentTextChar"/>
    <w:uiPriority w:val="99"/>
    <w:unhideWhenUsed/>
    <w:rsid w:val="000B1D99"/>
  </w:style>
  <w:style w:type="character" w:customStyle="1" w:styleId="CommentTextChar">
    <w:name w:val="Comment Text Char"/>
    <w:basedOn w:val="DefaultParagraphFont"/>
    <w:link w:val="CommentText"/>
    <w:uiPriority w:val="99"/>
    <w:rsid w:val="000B1D99"/>
  </w:style>
  <w:style w:type="paragraph" w:styleId="CommentSubject">
    <w:name w:val="annotation subject"/>
    <w:basedOn w:val="CommentText"/>
    <w:next w:val="CommentText"/>
    <w:link w:val="CommentSubjectChar"/>
    <w:unhideWhenUsed/>
    <w:rsid w:val="000B1D99"/>
    <w:rPr>
      <w:b/>
      <w:bCs/>
      <w:sz w:val="20"/>
      <w:szCs w:val="20"/>
    </w:rPr>
  </w:style>
  <w:style w:type="character" w:customStyle="1" w:styleId="CommentSubjectChar">
    <w:name w:val="Comment Subject Char"/>
    <w:basedOn w:val="CommentTextChar"/>
    <w:link w:val="CommentSubject"/>
    <w:rsid w:val="000B1D99"/>
    <w:rPr>
      <w:b/>
      <w:bCs/>
      <w:sz w:val="20"/>
      <w:szCs w:val="20"/>
    </w:rPr>
  </w:style>
  <w:style w:type="paragraph" w:styleId="Header">
    <w:name w:val="header"/>
    <w:basedOn w:val="Normal"/>
    <w:link w:val="HeaderChar"/>
    <w:unhideWhenUsed/>
    <w:rsid w:val="000B1D99"/>
    <w:pPr>
      <w:tabs>
        <w:tab w:val="center" w:pos="4320"/>
        <w:tab w:val="right" w:pos="8640"/>
      </w:tabs>
    </w:pPr>
  </w:style>
  <w:style w:type="character" w:customStyle="1" w:styleId="HeaderChar">
    <w:name w:val="Header Char"/>
    <w:basedOn w:val="DefaultParagraphFont"/>
    <w:link w:val="Header"/>
    <w:rsid w:val="000B1D99"/>
  </w:style>
  <w:style w:type="paragraph" w:styleId="Footer">
    <w:name w:val="footer"/>
    <w:basedOn w:val="Normal"/>
    <w:link w:val="FooterChar"/>
    <w:unhideWhenUsed/>
    <w:rsid w:val="000B1D99"/>
    <w:pPr>
      <w:tabs>
        <w:tab w:val="center" w:pos="4320"/>
        <w:tab w:val="right" w:pos="8640"/>
      </w:tabs>
    </w:pPr>
  </w:style>
  <w:style w:type="character" w:customStyle="1" w:styleId="FooterChar">
    <w:name w:val="Footer Char"/>
    <w:basedOn w:val="DefaultParagraphFont"/>
    <w:link w:val="Footer"/>
    <w:rsid w:val="000B1D99"/>
  </w:style>
  <w:style w:type="paragraph" w:customStyle="1" w:styleId="List-bullet-1">
    <w:name w:val="List-bullet-1"/>
    <w:basedOn w:val="Normal"/>
    <w:link w:val="List-bullet-1Char"/>
    <w:rsid w:val="000B1D99"/>
    <w:pPr>
      <w:numPr>
        <w:numId w:val="1"/>
      </w:numPr>
      <w:spacing w:before="120"/>
    </w:pPr>
    <w:rPr>
      <w:rFonts w:ascii="Arial" w:eastAsia="Times New Roman" w:hAnsi="Arial" w:cs="Arial"/>
      <w:sz w:val="20"/>
      <w:szCs w:val="22"/>
      <w:lang w:val="en-AU"/>
    </w:rPr>
  </w:style>
  <w:style w:type="character" w:customStyle="1" w:styleId="List-bullet-1Char">
    <w:name w:val="List-bullet-1 Char"/>
    <w:link w:val="List-bullet-1"/>
    <w:rsid w:val="000B1D99"/>
    <w:rPr>
      <w:rFonts w:ascii="Arial" w:eastAsia="Times New Roman" w:hAnsi="Arial" w:cs="Arial"/>
      <w:sz w:val="20"/>
      <w:szCs w:val="22"/>
      <w:lang w:val="en-AU"/>
    </w:rPr>
  </w:style>
  <w:style w:type="paragraph" w:styleId="TOC1">
    <w:name w:val="toc 1"/>
    <w:basedOn w:val="Normal"/>
    <w:next w:val="Normal"/>
    <w:autoRedefine/>
    <w:uiPriority w:val="39"/>
    <w:rsid w:val="000B1D99"/>
    <w:pPr>
      <w:spacing w:before="120"/>
    </w:pPr>
    <w:rPr>
      <w:b/>
    </w:rPr>
  </w:style>
  <w:style w:type="paragraph" w:styleId="TOC2">
    <w:name w:val="toc 2"/>
    <w:basedOn w:val="Normal"/>
    <w:next w:val="Normal"/>
    <w:autoRedefine/>
    <w:uiPriority w:val="39"/>
    <w:rsid w:val="000B1D99"/>
    <w:pPr>
      <w:ind w:left="240"/>
    </w:pPr>
    <w:rPr>
      <w:b/>
      <w:sz w:val="22"/>
      <w:szCs w:val="22"/>
    </w:rPr>
  </w:style>
  <w:style w:type="paragraph" w:styleId="TOC3">
    <w:name w:val="toc 3"/>
    <w:basedOn w:val="Normal"/>
    <w:next w:val="Normal"/>
    <w:autoRedefine/>
    <w:uiPriority w:val="39"/>
    <w:rsid w:val="000B1D99"/>
    <w:pPr>
      <w:ind w:left="480"/>
    </w:pPr>
    <w:rPr>
      <w:sz w:val="22"/>
      <w:szCs w:val="22"/>
    </w:rPr>
  </w:style>
  <w:style w:type="paragraph" w:styleId="TOC4">
    <w:name w:val="toc 4"/>
    <w:basedOn w:val="Normal"/>
    <w:next w:val="Normal"/>
    <w:autoRedefine/>
    <w:uiPriority w:val="39"/>
    <w:rsid w:val="000B1D99"/>
    <w:pPr>
      <w:ind w:left="720"/>
    </w:pPr>
    <w:rPr>
      <w:sz w:val="20"/>
      <w:szCs w:val="20"/>
    </w:rPr>
  </w:style>
  <w:style w:type="paragraph" w:styleId="TOC5">
    <w:name w:val="toc 5"/>
    <w:basedOn w:val="Normal"/>
    <w:next w:val="Normal"/>
    <w:autoRedefine/>
    <w:uiPriority w:val="39"/>
    <w:rsid w:val="000B1D99"/>
    <w:pPr>
      <w:ind w:left="960"/>
    </w:pPr>
    <w:rPr>
      <w:sz w:val="20"/>
      <w:szCs w:val="20"/>
    </w:rPr>
  </w:style>
  <w:style w:type="paragraph" w:styleId="TOC6">
    <w:name w:val="toc 6"/>
    <w:basedOn w:val="Normal"/>
    <w:next w:val="Normal"/>
    <w:autoRedefine/>
    <w:uiPriority w:val="39"/>
    <w:rsid w:val="000B1D99"/>
    <w:pPr>
      <w:ind w:left="1200"/>
    </w:pPr>
    <w:rPr>
      <w:sz w:val="20"/>
      <w:szCs w:val="20"/>
    </w:rPr>
  </w:style>
  <w:style w:type="paragraph" w:styleId="TOC7">
    <w:name w:val="toc 7"/>
    <w:basedOn w:val="Normal"/>
    <w:next w:val="Normal"/>
    <w:autoRedefine/>
    <w:uiPriority w:val="39"/>
    <w:rsid w:val="000B1D99"/>
    <w:pPr>
      <w:ind w:left="1440"/>
    </w:pPr>
    <w:rPr>
      <w:sz w:val="20"/>
      <w:szCs w:val="20"/>
    </w:rPr>
  </w:style>
  <w:style w:type="paragraph" w:styleId="TOC8">
    <w:name w:val="toc 8"/>
    <w:basedOn w:val="Normal"/>
    <w:next w:val="Normal"/>
    <w:autoRedefine/>
    <w:uiPriority w:val="39"/>
    <w:rsid w:val="000B1D99"/>
    <w:pPr>
      <w:ind w:left="1680"/>
    </w:pPr>
    <w:rPr>
      <w:sz w:val="20"/>
      <w:szCs w:val="20"/>
    </w:rPr>
  </w:style>
  <w:style w:type="paragraph" w:styleId="TOC9">
    <w:name w:val="toc 9"/>
    <w:basedOn w:val="Normal"/>
    <w:next w:val="Normal"/>
    <w:autoRedefine/>
    <w:uiPriority w:val="39"/>
    <w:rsid w:val="000B1D99"/>
    <w:pPr>
      <w:ind w:left="1920"/>
    </w:pPr>
    <w:rPr>
      <w:sz w:val="20"/>
      <w:szCs w:val="20"/>
    </w:rPr>
  </w:style>
  <w:style w:type="paragraph" w:styleId="FootnoteText">
    <w:name w:val="footnote text"/>
    <w:aliases w:val="Footnote,single space,fn,FOOTNOTES,脚注文字列 Char,ft,Texto nota pie Car,ft Car,ft Car Car,Texto nota pie2,ft1,ft Car Car Car1,Texto nota pie Car2,ft Car Car2,ft Car Car Car,ADB,ALTS FOOTNOTE,FN,Geneva 9,Font: Geneva 9,Boston 10,f,Footnot"/>
    <w:basedOn w:val="Normal"/>
    <w:link w:val="FootnoteTextChar"/>
    <w:uiPriority w:val="99"/>
    <w:unhideWhenUsed/>
    <w:rsid w:val="000B1D99"/>
    <w:rPr>
      <w:sz w:val="20"/>
      <w:szCs w:val="20"/>
      <w:lang w:val="en-GB"/>
    </w:rPr>
  </w:style>
  <w:style w:type="character" w:customStyle="1" w:styleId="FootnoteTextChar">
    <w:name w:val="Footnote Text Char"/>
    <w:aliases w:val="Footnote Char,single space Char,fn Char,FOOTNOTES Char,脚注文字列 Char Char,ft Char,Texto nota pie Car Char,ft Car Char,ft Car Car Char,Texto nota pie2 Char,ft1 Char,ft Car Car Car1 Char,Texto nota pie Car2 Char,ft Car Car2 Char,ADB Char"/>
    <w:basedOn w:val="DefaultParagraphFont"/>
    <w:link w:val="FootnoteText"/>
    <w:uiPriority w:val="99"/>
    <w:rsid w:val="000B1D99"/>
    <w:rPr>
      <w:sz w:val="20"/>
      <w:szCs w:val="20"/>
      <w:lang w:val="en-GB"/>
    </w:rPr>
  </w:style>
  <w:style w:type="character" w:styleId="FootnoteReference">
    <w:name w:val="footnote reference"/>
    <w:aliases w:val="ftref,footnote ref,SUPERS,EN Footnote Reference,16 Point,Superscript 6 Point,Footnote Reference Number,Style 6,(NECG) Footnote Reference,Ref,de nota al pie"/>
    <w:basedOn w:val="DefaultParagraphFont"/>
    <w:uiPriority w:val="99"/>
    <w:unhideWhenUsed/>
    <w:rsid w:val="000B1D99"/>
    <w:rPr>
      <w:vertAlign w:val="superscript"/>
    </w:rPr>
  </w:style>
  <w:style w:type="character" w:styleId="Hyperlink">
    <w:name w:val="Hyperlink"/>
    <w:basedOn w:val="DefaultParagraphFont"/>
    <w:uiPriority w:val="99"/>
    <w:rsid w:val="000B1D99"/>
    <w:rPr>
      <w:color w:val="0000FF" w:themeColor="hyperlink"/>
      <w:u w:val="single"/>
    </w:rPr>
  </w:style>
  <w:style w:type="character" w:customStyle="1" w:styleId="ListParagraphChar">
    <w:name w:val="List Paragraph Char"/>
    <w:basedOn w:val="DefaultParagraphFont"/>
    <w:link w:val="ListParagraph"/>
    <w:uiPriority w:val="34"/>
    <w:rsid w:val="000B1D99"/>
  </w:style>
  <w:style w:type="paragraph" w:styleId="BodyText">
    <w:name w:val="Body Text"/>
    <w:basedOn w:val="Normal"/>
    <w:link w:val="BodyTextChar"/>
    <w:uiPriority w:val="99"/>
    <w:rsid w:val="000B1D99"/>
    <w:pPr>
      <w:jc w:val="both"/>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0B1D99"/>
    <w:rPr>
      <w:rFonts w:ascii="Calibri" w:eastAsia="Times New Roman" w:hAnsi="Calibri" w:cs="Times New Roman"/>
      <w:szCs w:val="20"/>
    </w:rPr>
  </w:style>
  <w:style w:type="character" w:styleId="PageNumber">
    <w:name w:val="page number"/>
    <w:basedOn w:val="DefaultParagraphFont"/>
    <w:rsid w:val="000B1D99"/>
  </w:style>
  <w:style w:type="character" w:styleId="FollowedHyperlink">
    <w:name w:val="FollowedHyperlink"/>
    <w:basedOn w:val="DefaultParagraphFont"/>
    <w:rsid w:val="000B1D99"/>
    <w:rPr>
      <w:color w:val="800080" w:themeColor="followedHyperlink"/>
      <w:u w:val="single"/>
    </w:rPr>
  </w:style>
  <w:style w:type="paragraph" w:customStyle="1" w:styleId="regtext">
    <w:name w:val="regtext"/>
    <w:basedOn w:val="Normal"/>
    <w:rsid w:val="000B1D99"/>
    <w:pPr>
      <w:spacing w:before="100" w:beforeAutospacing="1" w:after="100" w:afterAutospacing="1"/>
    </w:pPr>
    <w:rPr>
      <w:rFonts w:ascii="Times New Roman" w:eastAsia="Times New Roman" w:hAnsi="Times New Roman" w:cs="Times New Roman"/>
    </w:rPr>
  </w:style>
  <w:style w:type="paragraph" w:styleId="NormalWeb">
    <w:name w:val="Normal (Web)"/>
    <w:basedOn w:val="Normal"/>
    <w:rsid w:val="000B1D99"/>
    <w:pPr>
      <w:spacing w:before="100" w:beforeAutospacing="1" w:after="100" w:afterAutospacing="1"/>
    </w:pPr>
    <w:rPr>
      <w:rFonts w:ascii="Times New Roman" w:eastAsia="MS Mincho" w:hAnsi="Times New Roman" w:cs="Times New Roman"/>
      <w:lang w:eastAsia="ja-JP"/>
    </w:rPr>
  </w:style>
  <w:style w:type="paragraph" w:customStyle="1" w:styleId="DocName">
    <w:name w:val="DocName"/>
    <w:basedOn w:val="Normal"/>
    <w:link w:val="DocNameChar"/>
    <w:rsid w:val="000B1D99"/>
    <w:pPr>
      <w:jc w:val="center"/>
    </w:pPr>
    <w:rPr>
      <w:rFonts w:ascii="Arial" w:eastAsia="Times New Roman" w:hAnsi="Arial" w:cs="Times New Roman"/>
      <w:b/>
      <w:bCs/>
      <w:sz w:val="28"/>
      <w:lang w:val="en-AU"/>
    </w:rPr>
  </w:style>
  <w:style w:type="paragraph" w:customStyle="1" w:styleId="DocStatus">
    <w:name w:val="DocStatus"/>
    <w:basedOn w:val="Normal"/>
    <w:rsid w:val="000B1D99"/>
    <w:pPr>
      <w:spacing w:before="120" w:after="60"/>
      <w:jc w:val="center"/>
    </w:pPr>
    <w:rPr>
      <w:rFonts w:ascii="Arial" w:eastAsia="Times New Roman" w:hAnsi="Arial" w:cs="Times New Roman"/>
      <w:b/>
      <w:sz w:val="22"/>
      <w:lang w:val="en-AU"/>
    </w:rPr>
  </w:style>
  <w:style w:type="paragraph" w:customStyle="1" w:styleId="List-number-2">
    <w:name w:val="List-number-2"/>
    <w:basedOn w:val="Normal"/>
    <w:link w:val="List-number-2Char"/>
    <w:rsid w:val="000B1D99"/>
    <w:pPr>
      <w:numPr>
        <w:ilvl w:val="1"/>
        <w:numId w:val="2"/>
      </w:numPr>
      <w:spacing w:before="120"/>
    </w:pPr>
    <w:rPr>
      <w:rFonts w:ascii="Arial" w:eastAsia="Times New Roman" w:hAnsi="Arial" w:cs="Times New Roman"/>
      <w:sz w:val="20"/>
      <w:lang w:val="en-AU"/>
    </w:rPr>
  </w:style>
  <w:style w:type="paragraph" w:customStyle="1" w:styleId="List-number-1">
    <w:name w:val="List-number-1"/>
    <w:basedOn w:val="Normal"/>
    <w:link w:val="List-number-1CharChar"/>
    <w:rsid w:val="000B1D99"/>
    <w:pPr>
      <w:numPr>
        <w:numId w:val="2"/>
      </w:numPr>
      <w:spacing w:before="120"/>
    </w:pPr>
    <w:rPr>
      <w:rFonts w:ascii="Arial" w:eastAsia="Times New Roman" w:hAnsi="Arial" w:cs="Times New Roman"/>
      <w:sz w:val="20"/>
      <w:lang w:val="en-AU"/>
    </w:rPr>
  </w:style>
  <w:style w:type="character" w:customStyle="1" w:styleId="List-number-2Char">
    <w:name w:val="List-number-2 Char"/>
    <w:link w:val="List-number-2"/>
    <w:rsid w:val="000B1D99"/>
    <w:rPr>
      <w:rFonts w:ascii="Arial" w:eastAsia="Times New Roman" w:hAnsi="Arial" w:cs="Times New Roman"/>
      <w:sz w:val="20"/>
      <w:lang w:val="en-AU"/>
    </w:rPr>
  </w:style>
  <w:style w:type="character" w:customStyle="1" w:styleId="DocNameChar">
    <w:name w:val="DocName Char"/>
    <w:link w:val="DocName"/>
    <w:rsid w:val="000B1D99"/>
    <w:rPr>
      <w:rFonts w:ascii="Arial" w:eastAsia="Times New Roman" w:hAnsi="Arial" w:cs="Times New Roman"/>
      <w:b/>
      <w:bCs/>
      <w:sz w:val="28"/>
      <w:lang w:val="en-AU"/>
    </w:rPr>
  </w:style>
  <w:style w:type="paragraph" w:customStyle="1" w:styleId="Heading2numbered">
    <w:name w:val="Heading 2 numbered"/>
    <w:basedOn w:val="Heading2"/>
    <w:next w:val="Normal"/>
    <w:rsid w:val="000B1D99"/>
    <w:pPr>
      <w:keepLines w:val="0"/>
      <w:numPr>
        <w:ilvl w:val="1"/>
        <w:numId w:val="4"/>
      </w:numPr>
      <w:spacing w:before="360" w:after="120"/>
    </w:pPr>
    <w:rPr>
      <w:rFonts w:ascii="Arial" w:eastAsia="Times New Roman" w:hAnsi="Arial" w:cs="Arial"/>
      <w:bCs w:val="0"/>
      <w:iCs/>
      <w:color w:val="auto"/>
      <w:sz w:val="24"/>
      <w:szCs w:val="20"/>
      <w:lang w:val="en-AU" w:eastAsia="en-AU"/>
    </w:rPr>
  </w:style>
  <w:style w:type="paragraph" w:customStyle="1" w:styleId="Heading3numbered">
    <w:name w:val="Heading 3 numbered"/>
    <w:basedOn w:val="Heading3"/>
    <w:next w:val="Normal"/>
    <w:rsid w:val="000B1D99"/>
    <w:pPr>
      <w:keepLines w:val="0"/>
      <w:numPr>
        <w:ilvl w:val="2"/>
        <w:numId w:val="4"/>
      </w:numPr>
      <w:tabs>
        <w:tab w:val="clear" w:pos="851"/>
        <w:tab w:val="num" w:pos="494"/>
      </w:tabs>
      <w:spacing w:before="240" w:after="120"/>
      <w:ind w:left="494"/>
    </w:pPr>
    <w:rPr>
      <w:rFonts w:ascii="Arial" w:eastAsia="Times New Roman" w:hAnsi="Arial" w:cs="Times New Roman"/>
      <w:iCs/>
      <w:color w:val="auto"/>
      <w:sz w:val="22"/>
      <w:szCs w:val="26"/>
      <w:lang w:val="en-AU"/>
    </w:rPr>
  </w:style>
  <w:style w:type="paragraph" w:customStyle="1" w:styleId="List-bullet-2">
    <w:name w:val="List-bullet-2"/>
    <w:basedOn w:val="Normal"/>
    <w:rsid w:val="000B1D99"/>
    <w:pPr>
      <w:numPr>
        <w:numId w:val="3"/>
      </w:numPr>
      <w:spacing w:before="80" w:after="120"/>
    </w:pPr>
    <w:rPr>
      <w:rFonts w:ascii="Arial" w:eastAsia="Times New Roman" w:hAnsi="Arial" w:cs="Arial"/>
      <w:sz w:val="20"/>
      <w:szCs w:val="22"/>
    </w:rPr>
  </w:style>
  <w:style w:type="paragraph" w:customStyle="1" w:styleId="Normal-indent">
    <w:name w:val="Normal-indent"/>
    <w:basedOn w:val="Normal"/>
    <w:rsid w:val="000B1D99"/>
    <w:pPr>
      <w:spacing w:before="120" w:after="120"/>
      <w:ind w:left="357"/>
    </w:pPr>
    <w:rPr>
      <w:rFonts w:ascii="Arial" w:eastAsia="Times New Roman" w:hAnsi="Arial" w:cs="Times New Roman"/>
      <w:sz w:val="20"/>
      <w:lang w:val="en-AU" w:eastAsia="en-AU"/>
    </w:rPr>
  </w:style>
  <w:style w:type="paragraph" w:customStyle="1" w:styleId="TableHeader">
    <w:name w:val="TableHeader"/>
    <w:basedOn w:val="Normal"/>
    <w:rsid w:val="000B1D99"/>
    <w:pPr>
      <w:keepNext/>
      <w:spacing w:before="60" w:after="40"/>
      <w:jc w:val="center"/>
    </w:pPr>
    <w:rPr>
      <w:rFonts w:ascii="Arial" w:eastAsia="Times New Roman" w:hAnsi="Arial" w:cs="Arial"/>
      <w:b/>
      <w:sz w:val="18"/>
      <w:lang w:val="en-AU"/>
    </w:rPr>
  </w:style>
  <w:style w:type="paragraph" w:customStyle="1" w:styleId="Table-normal-text">
    <w:name w:val="Table-normal-text"/>
    <w:basedOn w:val="Normal"/>
    <w:rsid w:val="000B1D99"/>
    <w:pPr>
      <w:spacing w:before="60"/>
    </w:pPr>
    <w:rPr>
      <w:rFonts w:ascii="Arial" w:eastAsia="Times New Roman" w:hAnsi="Arial" w:cs="Times New Roman"/>
      <w:sz w:val="20"/>
      <w:lang w:val="en-AU"/>
    </w:rPr>
  </w:style>
  <w:style w:type="paragraph" w:customStyle="1" w:styleId="Table-list-bullet">
    <w:name w:val="Table-list-bullet"/>
    <w:basedOn w:val="Table-normal-text"/>
    <w:uiPriority w:val="99"/>
    <w:rsid w:val="000B1D99"/>
    <w:pPr>
      <w:numPr>
        <w:numId w:val="5"/>
      </w:numPr>
    </w:pPr>
  </w:style>
  <w:style w:type="paragraph" w:customStyle="1" w:styleId="Table-list-number">
    <w:name w:val="Table-list-number"/>
    <w:basedOn w:val="Table-normal-text"/>
    <w:rsid w:val="000B1D99"/>
    <w:pPr>
      <w:numPr>
        <w:numId w:val="6"/>
      </w:numPr>
    </w:pPr>
  </w:style>
  <w:style w:type="paragraph" w:customStyle="1" w:styleId="TableTitle">
    <w:name w:val="TableTitle"/>
    <w:basedOn w:val="Normal"/>
    <w:next w:val="Table-normal-text"/>
    <w:rsid w:val="000B1D99"/>
    <w:pPr>
      <w:keepNext/>
      <w:spacing w:before="240" w:after="120"/>
      <w:jc w:val="center"/>
    </w:pPr>
    <w:rPr>
      <w:rFonts w:ascii="Arial" w:eastAsia="Times New Roman" w:hAnsi="Arial" w:cs="Times New Roman"/>
      <w:b/>
      <w:sz w:val="20"/>
      <w:lang w:val="en-AU"/>
    </w:rPr>
  </w:style>
  <w:style w:type="paragraph" w:customStyle="1" w:styleId="List-outline-numbered">
    <w:name w:val="List-outline-numbered"/>
    <w:basedOn w:val="Normal"/>
    <w:rsid w:val="000B1D99"/>
    <w:pPr>
      <w:numPr>
        <w:ilvl w:val="3"/>
        <w:numId w:val="4"/>
      </w:numPr>
      <w:spacing w:before="120" w:after="120"/>
    </w:pPr>
    <w:rPr>
      <w:rFonts w:ascii="Arial" w:eastAsia="Times New Roman" w:hAnsi="Arial" w:cs="Times New Roman"/>
      <w:sz w:val="20"/>
      <w:lang w:val="en-AU"/>
    </w:rPr>
  </w:style>
  <w:style w:type="table" w:customStyle="1" w:styleId="TableCheckList-1">
    <w:name w:val="TableCheckList-1"/>
    <w:basedOn w:val="TableNormal"/>
    <w:rsid w:val="000B1D99"/>
    <w:pPr>
      <w:spacing w:before="60"/>
    </w:pPr>
    <w:rPr>
      <w:rFonts w:ascii="Arial" w:eastAsia="Times New Roman" w:hAnsi="Arial" w:cs="Times New Roman"/>
      <w:sz w:val="18"/>
      <w:szCs w:val="20"/>
      <w:lang w:val="en-AU"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0B1D99"/>
    <w:pPr>
      <w:spacing w:before="60"/>
    </w:pPr>
    <w:rPr>
      <w:rFonts w:ascii="Arial" w:eastAsia="Times New Roman" w:hAnsi="Arial" w:cs="Times New Roman"/>
      <w:sz w:val="18"/>
      <w:szCs w:val="20"/>
      <w:lang w:val="en-AU"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table" w:customStyle="1" w:styleId="Tablewithnoheader">
    <w:name w:val="Table with no header"/>
    <w:basedOn w:val="TableNormal"/>
    <w:rsid w:val="000B1D99"/>
    <w:rPr>
      <w:rFonts w:ascii="Arial" w:eastAsia="Times New Roman"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0B1D99"/>
    <w:tblPr/>
    <w:tcPr>
      <w:shd w:val="clear" w:color="auto" w:fill="auto"/>
    </w:tcPr>
  </w:style>
  <w:style w:type="character" w:customStyle="1" w:styleId="hps">
    <w:name w:val="hps"/>
    <w:basedOn w:val="DefaultParagraphFont"/>
    <w:rsid w:val="000B1D99"/>
  </w:style>
  <w:style w:type="character" w:customStyle="1" w:styleId="newsdetailcontent">
    <w:name w:val="newsdetailcontent"/>
    <w:basedOn w:val="DefaultParagraphFont"/>
    <w:rsid w:val="000B1D99"/>
  </w:style>
  <w:style w:type="paragraph" w:styleId="NoSpacing">
    <w:name w:val="No Spacing"/>
    <w:uiPriority w:val="1"/>
    <w:qFormat/>
    <w:rsid w:val="000B1D99"/>
    <w:rPr>
      <w:sz w:val="22"/>
      <w:szCs w:val="22"/>
      <w:lang w:val="en-AU"/>
    </w:rPr>
  </w:style>
  <w:style w:type="character" w:customStyle="1" w:styleId="List-number-1CharChar">
    <w:name w:val="List-number-1 Char Char"/>
    <w:link w:val="List-number-1"/>
    <w:rsid w:val="000B1D99"/>
    <w:rPr>
      <w:rFonts w:ascii="Arial" w:eastAsia="Times New Roman" w:hAnsi="Arial" w:cs="Times New Roman"/>
      <w:sz w:val="20"/>
      <w:lang w:val="en-AU"/>
    </w:rPr>
  </w:style>
  <w:style w:type="paragraph" w:styleId="Revision">
    <w:name w:val="Revision"/>
    <w:hidden/>
    <w:uiPriority w:val="99"/>
    <w:rsid w:val="000B1D99"/>
    <w:rPr>
      <w:sz w:val="22"/>
      <w:szCs w:val="22"/>
      <w:lang w:val="en-AU"/>
    </w:rPr>
  </w:style>
  <w:style w:type="table" w:styleId="TableWeb1">
    <w:name w:val="Table Web 1"/>
    <w:basedOn w:val="TableNormal"/>
    <w:rsid w:val="000B1D99"/>
    <w:rPr>
      <w:rFonts w:ascii="Times New Roman" w:eastAsia="Times New Roman" w:hAnsi="Times New Roman" w:cs="Times New Roman"/>
      <w:sz w:val="20"/>
      <w:szCs w:val="20"/>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Grid-Accent3">
    <w:name w:val="Light Grid Accent 3"/>
    <w:basedOn w:val="TableNormal"/>
    <w:uiPriority w:val="62"/>
    <w:rsid w:val="000B1D99"/>
    <w:rPr>
      <w:rFonts w:ascii="Times New Roman" w:eastAsia="Times New Roman" w:hAnsi="Times New Roman" w:cs="Times New Roman"/>
      <w:sz w:val="20"/>
      <w:szCs w:val="20"/>
      <w:lang w:val="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1">
    <w:name w:val="Light List Accent 1"/>
    <w:basedOn w:val="TableNormal"/>
    <w:uiPriority w:val="61"/>
    <w:rsid w:val="000B1D99"/>
    <w:rPr>
      <w:rFonts w:ascii="Times New Roman" w:eastAsia="Times New Roman" w:hAnsi="Times New Roman" w:cs="Times New Roman"/>
      <w:sz w:val="20"/>
      <w:szCs w:val="20"/>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rsid w:val="000B1D99"/>
    <w:rPr>
      <w:rFonts w:ascii="Times New Roman" w:eastAsia="Times New Roman" w:hAnsi="Times New Roman" w:cs="Times New Roman"/>
      <w:sz w:val="20"/>
      <w:szCs w:val="20"/>
      <w:lang w:val="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0B1D99"/>
    <w:rPr>
      <w:rFonts w:ascii="Times New Roman" w:eastAsia="Times New Roman" w:hAnsi="Times New Roman" w:cs="Times New Roman"/>
      <w:sz w:val="20"/>
      <w:szCs w:val="20"/>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7">
    <w:name w:val="Table List 7"/>
    <w:basedOn w:val="TableNormal"/>
    <w:rsid w:val="000B1D99"/>
    <w:rPr>
      <w:rFonts w:ascii="Times New Roman" w:eastAsia="Times New Roman" w:hAnsi="Times New Roman" w:cs="Times New Roman"/>
      <w:sz w:val="20"/>
      <w:szCs w:val="20"/>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ghtGrid-Accent4">
    <w:name w:val="Light Grid Accent 4"/>
    <w:basedOn w:val="TableNormal"/>
    <w:uiPriority w:val="62"/>
    <w:rsid w:val="000B1D99"/>
    <w:rPr>
      <w:rFonts w:ascii="Times New Roman" w:eastAsia="Times New Roman" w:hAnsi="Times New Roman" w:cs="Times New Roman"/>
      <w:sz w:val="20"/>
      <w:szCs w:val="20"/>
      <w:lang w:val="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BCCompany">
    <w:name w:val="BC Company"/>
    <w:basedOn w:val="Normal"/>
    <w:rsid w:val="000B1D99"/>
    <w:pPr>
      <w:numPr>
        <w:numId w:val="12"/>
      </w:numPr>
      <w:tabs>
        <w:tab w:val="clear" w:pos="567"/>
      </w:tabs>
      <w:spacing w:after="60"/>
      <w:ind w:left="0"/>
    </w:pPr>
    <w:rPr>
      <w:rFonts w:ascii="Arial" w:eastAsia="Times New Roman" w:hAnsi="Arial" w:cs="Times New Roman"/>
      <w:sz w:val="18"/>
      <w:lang w:val="en-AU" w:eastAsia="en-AU"/>
    </w:rPr>
  </w:style>
  <w:style w:type="character" w:customStyle="1" w:styleId="apple-style-span">
    <w:name w:val="apple-style-span"/>
    <w:basedOn w:val="DefaultParagraphFont"/>
    <w:rsid w:val="000B1D99"/>
  </w:style>
  <w:style w:type="table" w:styleId="ColorfulGrid-Accent1">
    <w:name w:val="Colorful Grid Accent 1"/>
    <w:basedOn w:val="TableNormal"/>
    <w:uiPriority w:val="73"/>
    <w:rsid w:val="000B1D99"/>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styleId="111111">
    <w:name w:val="Outline List 2"/>
    <w:basedOn w:val="NoList"/>
    <w:rsid w:val="00E76AD7"/>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sdException w:name="List Paragraph" w:uiPriority="34" w:qFormat="1"/>
  </w:latentStyles>
  <w:style w:type="paragraph" w:default="1" w:styleId="Normal">
    <w:name w:val="Normal"/>
    <w:qFormat/>
    <w:rsid w:val="000B1D99"/>
  </w:style>
  <w:style w:type="paragraph" w:styleId="Heading1">
    <w:name w:val="heading 1"/>
    <w:basedOn w:val="Normal"/>
    <w:next w:val="Normal"/>
    <w:link w:val="Heading1Char"/>
    <w:qFormat/>
    <w:rsid w:val="000B1D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B1D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B1D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B1D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0B1D99"/>
    <w:rPr>
      <w:rFonts w:ascii="Lucida Grande" w:hAnsi="Lucida Grande"/>
      <w:sz w:val="18"/>
      <w:szCs w:val="18"/>
    </w:rPr>
  </w:style>
  <w:style w:type="character" w:customStyle="1" w:styleId="BalloonTextChar">
    <w:name w:val="Balloon Text Char"/>
    <w:basedOn w:val="DefaultParagraphFont"/>
    <w:uiPriority w:val="99"/>
    <w:semiHidden/>
    <w:rsid w:val="00F92C9F"/>
    <w:rPr>
      <w:rFonts w:ascii="Lucida Grande" w:hAnsi="Lucida Grande"/>
      <w:sz w:val="18"/>
      <w:szCs w:val="18"/>
    </w:rPr>
  </w:style>
  <w:style w:type="character" w:customStyle="1" w:styleId="BalloonTextChar0">
    <w:name w:val="Balloon Text Char"/>
    <w:basedOn w:val="DefaultParagraphFont"/>
    <w:uiPriority w:val="99"/>
    <w:semiHidden/>
    <w:rsid w:val="00F92C9F"/>
    <w:rPr>
      <w:rFonts w:ascii="Lucida Grande" w:hAnsi="Lucida Grande"/>
      <w:sz w:val="18"/>
      <w:szCs w:val="18"/>
    </w:rPr>
  </w:style>
  <w:style w:type="character" w:customStyle="1" w:styleId="BalloonTextChar2">
    <w:name w:val="Balloon Text Char"/>
    <w:basedOn w:val="DefaultParagraphFont"/>
    <w:uiPriority w:val="99"/>
    <w:semiHidden/>
    <w:rsid w:val="00F92C9F"/>
    <w:rPr>
      <w:rFonts w:ascii="Lucida Grande" w:hAnsi="Lucida Grande"/>
      <w:sz w:val="18"/>
      <w:szCs w:val="18"/>
    </w:rPr>
  </w:style>
  <w:style w:type="character" w:customStyle="1" w:styleId="BalloonTextChar3">
    <w:name w:val="Balloon Text Char"/>
    <w:basedOn w:val="DefaultParagraphFont"/>
    <w:uiPriority w:val="99"/>
    <w:semiHidden/>
    <w:rsid w:val="00F92C9F"/>
    <w:rPr>
      <w:rFonts w:ascii="Lucida Grande" w:hAnsi="Lucida Grande"/>
      <w:sz w:val="18"/>
      <w:szCs w:val="18"/>
    </w:rPr>
  </w:style>
  <w:style w:type="character" w:customStyle="1" w:styleId="BalloonTextChar4">
    <w:name w:val="Balloon Text Char"/>
    <w:basedOn w:val="DefaultParagraphFont"/>
    <w:uiPriority w:val="99"/>
    <w:semiHidden/>
    <w:rsid w:val="00F92C9F"/>
    <w:rPr>
      <w:rFonts w:ascii="Lucida Grande" w:hAnsi="Lucida Grande"/>
      <w:sz w:val="18"/>
      <w:szCs w:val="18"/>
    </w:rPr>
  </w:style>
  <w:style w:type="character" w:customStyle="1" w:styleId="BalloonTextChar5">
    <w:name w:val="Balloon Text Char"/>
    <w:basedOn w:val="DefaultParagraphFont"/>
    <w:uiPriority w:val="99"/>
    <w:semiHidden/>
    <w:rsid w:val="00F92C9F"/>
    <w:rPr>
      <w:rFonts w:ascii="Lucida Grande" w:hAnsi="Lucida Grande"/>
      <w:sz w:val="18"/>
      <w:szCs w:val="18"/>
    </w:rPr>
  </w:style>
  <w:style w:type="character" w:customStyle="1" w:styleId="BalloonTextChar6">
    <w:name w:val="Balloon Text Char"/>
    <w:basedOn w:val="DefaultParagraphFont"/>
    <w:uiPriority w:val="99"/>
    <w:semiHidden/>
    <w:rsid w:val="00F92C9F"/>
    <w:rPr>
      <w:rFonts w:ascii="Lucida Grande" w:hAnsi="Lucida Grande"/>
      <w:sz w:val="18"/>
      <w:szCs w:val="18"/>
    </w:rPr>
  </w:style>
  <w:style w:type="character" w:customStyle="1" w:styleId="BalloonTextChar7">
    <w:name w:val="Balloon Text Char"/>
    <w:basedOn w:val="DefaultParagraphFont"/>
    <w:uiPriority w:val="99"/>
    <w:semiHidden/>
    <w:rsid w:val="00F92C9F"/>
    <w:rPr>
      <w:rFonts w:ascii="Lucida Grande" w:hAnsi="Lucida Grande"/>
      <w:sz w:val="18"/>
      <w:szCs w:val="18"/>
    </w:rPr>
  </w:style>
  <w:style w:type="character" w:customStyle="1" w:styleId="BalloonTextChar8">
    <w:name w:val="Balloon Text Char"/>
    <w:basedOn w:val="DefaultParagraphFont"/>
    <w:uiPriority w:val="99"/>
    <w:semiHidden/>
    <w:rsid w:val="00F92C9F"/>
    <w:rPr>
      <w:rFonts w:ascii="Lucida Grande" w:hAnsi="Lucida Grande"/>
      <w:sz w:val="18"/>
      <w:szCs w:val="18"/>
    </w:rPr>
  </w:style>
  <w:style w:type="character" w:customStyle="1" w:styleId="BalloonTextChar9">
    <w:name w:val="Balloon Text Char"/>
    <w:basedOn w:val="DefaultParagraphFont"/>
    <w:uiPriority w:val="99"/>
    <w:semiHidden/>
    <w:rsid w:val="00F92C9F"/>
    <w:rPr>
      <w:rFonts w:ascii="Lucida Grande" w:hAnsi="Lucida Grande"/>
      <w:sz w:val="18"/>
      <w:szCs w:val="18"/>
    </w:rPr>
  </w:style>
  <w:style w:type="character" w:customStyle="1" w:styleId="BalloonTextChara">
    <w:name w:val="Balloon Text Char"/>
    <w:basedOn w:val="DefaultParagraphFont"/>
    <w:uiPriority w:val="99"/>
    <w:semiHidden/>
    <w:rsid w:val="00F92C9F"/>
    <w:rPr>
      <w:rFonts w:ascii="Lucida Grande" w:hAnsi="Lucida Grande"/>
      <w:sz w:val="18"/>
      <w:szCs w:val="18"/>
    </w:rPr>
  </w:style>
  <w:style w:type="character" w:customStyle="1" w:styleId="Heading1Char">
    <w:name w:val="Heading 1 Char"/>
    <w:basedOn w:val="DefaultParagraphFont"/>
    <w:link w:val="Heading1"/>
    <w:rsid w:val="000B1D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B1D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B1D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B1D99"/>
    <w:rPr>
      <w:rFonts w:asciiTheme="majorHAnsi" w:eastAsiaTheme="majorEastAsia" w:hAnsiTheme="majorHAnsi" w:cstheme="majorBidi"/>
      <w:b/>
      <w:bCs/>
      <w:i/>
      <w:iCs/>
      <w:color w:val="4F81BD" w:themeColor="accent1"/>
    </w:rPr>
  </w:style>
  <w:style w:type="character" w:customStyle="1" w:styleId="BalloonTextCharb">
    <w:name w:val="Balloon Text Char"/>
    <w:basedOn w:val="DefaultParagraphFont"/>
    <w:uiPriority w:val="99"/>
    <w:semiHidden/>
    <w:rsid w:val="000B1D99"/>
    <w:rPr>
      <w:rFonts w:ascii="Lucida Grande" w:hAnsi="Lucida Grande"/>
      <w:sz w:val="18"/>
      <w:szCs w:val="18"/>
    </w:rPr>
  </w:style>
  <w:style w:type="character" w:customStyle="1" w:styleId="BalloonTextChar1">
    <w:name w:val="Balloon Text Char1"/>
    <w:basedOn w:val="DefaultParagraphFont"/>
    <w:link w:val="BalloonText"/>
    <w:uiPriority w:val="99"/>
    <w:rsid w:val="000B1D99"/>
    <w:rPr>
      <w:rFonts w:ascii="Lucida Grande" w:hAnsi="Lucida Grande"/>
      <w:sz w:val="18"/>
      <w:szCs w:val="18"/>
    </w:rPr>
  </w:style>
  <w:style w:type="paragraph" w:styleId="ListParagraph">
    <w:name w:val="List Paragraph"/>
    <w:basedOn w:val="Normal"/>
    <w:link w:val="ListParagraphChar"/>
    <w:uiPriority w:val="34"/>
    <w:qFormat/>
    <w:rsid w:val="000B1D99"/>
    <w:pPr>
      <w:ind w:left="720"/>
      <w:contextualSpacing/>
    </w:pPr>
  </w:style>
  <w:style w:type="table" w:styleId="TableGrid">
    <w:name w:val="Table Grid"/>
    <w:basedOn w:val="TableNormal"/>
    <w:uiPriority w:val="59"/>
    <w:rsid w:val="000B1D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nnasStyle">
    <w:name w:val="Donna's Style"/>
    <w:basedOn w:val="Normal"/>
    <w:qFormat/>
    <w:rsid w:val="000B1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Century Gothic" w:hAnsi="Century Gothic" w:cs="Times New Roman"/>
      <w:bCs/>
      <w:sz w:val="22"/>
    </w:rPr>
  </w:style>
  <w:style w:type="character" w:styleId="CommentReference">
    <w:name w:val="annotation reference"/>
    <w:basedOn w:val="DefaultParagraphFont"/>
    <w:uiPriority w:val="99"/>
    <w:unhideWhenUsed/>
    <w:rsid w:val="000B1D99"/>
    <w:rPr>
      <w:sz w:val="18"/>
      <w:szCs w:val="18"/>
    </w:rPr>
  </w:style>
  <w:style w:type="paragraph" w:styleId="CommentText">
    <w:name w:val="annotation text"/>
    <w:basedOn w:val="Normal"/>
    <w:link w:val="CommentTextChar"/>
    <w:uiPriority w:val="99"/>
    <w:unhideWhenUsed/>
    <w:rsid w:val="000B1D99"/>
  </w:style>
  <w:style w:type="character" w:customStyle="1" w:styleId="CommentTextChar">
    <w:name w:val="Comment Text Char"/>
    <w:basedOn w:val="DefaultParagraphFont"/>
    <w:link w:val="CommentText"/>
    <w:uiPriority w:val="99"/>
    <w:rsid w:val="000B1D99"/>
  </w:style>
  <w:style w:type="paragraph" w:styleId="CommentSubject">
    <w:name w:val="annotation subject"/>
    <w:basedOn w:val="CommentText"/>
    <w:next w:val="CommentText"/>
    <w:link w:val="CommentSubjectChar"/>
    <w:unhideWhenUsed/>
    <w:rsid w:val="000B1D99"/>
    <w:rPr>
      <w:b/>
      <w:bCs/>
      <w:sz w:val="20"/>
      <w:szCs w:val="20"/>
    </w:rPr>
  </w:style>
  <w:style w:type="character" w:customStyle="1" w:styleId="CommentSubjectChar">
    <w:name w:val="Comment Subject Char"/>
    <w:basedOn w:val="CommentTextChar"/>
    <w:link w:val="CommentSubject"/>
    <w:rsid w:val="000B1D99"/>
    <w:rPr>
      <w:b/>
      <w:bCs/>
      <w:sz w:val="20"/>
      <w:szCs w:val="20"/>
    </w:rPr>
  </w:style>
  <w:style w:type="paragraph" w:styleId="Header">
    <w:name w:val="header"/>
    <w:basedOn w:val="Normal"/>
    <w:link w:val="HeaderChar"/>
    <w:unhideWhenUsed/>
    <w:rsid w:val="000B1D99"/>
    <w:pPr>
      <w:tabs>
        <w:tab w:val="center" w:pos="4320"/>
        <w:tab w:val="right" w:pos="8640"/>
      </w:tabs>
    </w:pPr>
  </w:style>
  <w:style w:type="character" w:customStyle="1" w:styleId="HeaderChar">
    <w:name w:val="Header Char"/>
    <w:basedOn w:val="DefaultParagraphFont"/>
    <w:link w:val="Header"/>
    <w:rsid w:val="000B1D99"/>
  </w:style>
  <w:style w:type="paragraph" w:styleId="Footer">
    <w:name w:val="footer"/>
    <w:basedOn w:val="Normal"/>
    <w:link w:val="FooterChar"/>
    <w:unhideWhenUsed/>
    <w:rsid w:val="000B1D99"/>
    <w:pPr>
      <w:tabs>
        <w:tab w:val="center" w:pos="4320"/>
        <w:tab w:val="right" w:pos="8640"/>
      </w:tabs>
    </w:pPr>
  </w:style>
  <w:style w:type="character" w:customStyle="1" w:styleId="FooterChar">
    <w:name w:val="Footer Char"/>
    <w:basedOn w:val="DefaultParagraphFont"/>
    <w:link w:val="Footer"/>
    <w:rsid w:val="000B1D99"/>
  </w:style>
  <w:style w:type="paragraph" w:customStyle="1" w:styleId="List-bullet-1">
    <w:name w:val="List-bullet-1"/>
    <w:basedOn w:val="Normal"/>
    <w:link w:val="List-bullet-1Char"/>
    <w:rsid w:val="000B1D99"/>
    <w:pPr>
      <w:numPr>
        <w:numId w:val="1"/>
      </w:numPr>
      <w:spacing w:before="120"/>
    </w:pPr>
    <w:rPr>
      <w:rFonts w:ascii="Arial" w:eastAsia="Times New Roman" w:hAnsi="Arial" w:cs="Arial"/>
      <w:sz w:val="20"/>
      <w:szCs w:val="22"/>
      <w:lang w:val="en-AU"/>
    </w:rPr>
  </w:style>
  <w:style w:type="character" w:customStyle="1" w:styleId="List-bullet-1Char">
    <w:name w:val="List-bullet-1 Char"/>
    <w:link w:val="List-bullet-1"/>
    <w:rsid w:val="000B1D99"/>
    <w:rPr>
      <w:rFonts w:ascii="Arial" w:eastAsia="Times New Roman" w:hAnsi="Arial" w:cs="Arial"/>
      <w:sz w:val="20"/>
      <w:szCs w:val="22"/>
      <w:lang w:val="en-AU"/>
    </w:rPr>
  </w:style>
  <w:style w:type="paragraph" w:styleId="TOC1">
    <w:name w:val="toc 1"/>
    <w:basedOn w:val="Normal"/>
    <w:next w:val="Normal"/>
    <w:autoRedefine/>
    <w:uiPriority w:val="39"/>
    <w:rsid w:val="000B1D99"/>
    <w:pPr>
      <w:spacing w:before="120"/>
    </w:pPr>
    <w:rPr>
      <w:b/>
    </w:rPr>
  </w:style>
  <w:style w:type="paragraph" w:styleId="TOC2">
    <w:name w:val="toc 2"/>
    <w:basedOn w:val="Normal"/>
    <w:next w:val="Normal"/>
    <w:autoRedefine/>
    <w:uiPriority w:val="39"/>
    <w:rsid w:val="000B1D99"/>
    <w:pPr>
      <w:ind w:left="240"/>
    </w:pPr>
    <w:rPr>
      <w:b/>
      <w:sz w:val="22"/>
      <w:szCs w:val="22"/>
    </w:rPr>
  </w:style>
  <w:style w:type="paragraph" w:styleId="TOC3">
    <w:name w:val="toc 3"/>
    <w:basedOn w:val="Normal"/>
    <w:next w:val="Normal"/>
    <w:autoRedefine/>
    <w:uiPriority w:val="39"/>
    <w:rsid w:val="000B1D99"/>
    <w:pPr>
      <w:ind w:left="480"/>
    </w:pPr>
    <w:rPr>
      <w:sz w:val="22"/>
      <w:szCs w:val="22"/>
    </w:rPr>
  </w:style>
  <w:style w:type="paragraph" w:styleId="TOC4">
    <w:name w:val="toc 4"/>
    <w:basedOn w:val="Normal"/>
    <w:next w:val="Normal"/>
    <w:autoRedefine/>
    <w:uiPriority w:val="39"/>
    <w:rsid w:val="000B1D99"/>
    <w:pPr>
      <w:ind w:left="720"/>
    </w:pPr>
    <w:rPr>
      <w:sz w:val="20"/>
      <w:szCs w:val="20"/>
    </w:rPr>
  </w:style>
  <w:style w:type="paragraph" w:styleId="TOC5">
    <w:name w:val="toc 5"/>
    <w:basedOn w:val="Normal"/>
    <w:next w:val="Normal"/>
    <w:autoRedefine/>
    <w:uiPriority w:val="39"/>
    <w:rsid w:val="000B1D99"/>
    <w:pPr>
      <w:ind w:left="960"/>
    </w:pPr>
    <w:rPr>
      <w:sz w:val="20"/>
      <w:szCs w:val="20"/>
    </w:rPr>
  </w:style>
  <w:style w:type="paragraph" w:styleId="TOC6">
    <w:name w:val="toc 6"/>
    <w:basedOn w:val="Normal"/>
    <w:next w:val="Normal"/>
    <w:autoRedefine/>
    <w:uiPriority w:val="39"/>
    <w:rsid w:val="000B1D99"/>
    <w:pPr>
      <w:ind w:left="1200"/>
    </w:pPr>
    <w:rPr>
      <w:sz w:val="20"/>
      <w:szCs w:val="20"/>
    </w:rPr>
  </w:style>
  <w:style w:type="paragraph" w:styleId="TOC7">
    <w:name w:val="toc 7"/>
    <w:basedOn w:val="Normal"/>
    <w:next w:val="Normal"/>
    <w:autoRedefine/>
    <w:uiPriority w:val="39"/>
    <w:rsid w:val="000B1D99"/>
    <w:pPr>
      <w:ind w:left="1440"/>
    </w:pPr>
    <w:rPr>
      <w:sz w:val="20"/>
      <w:szCs w:val="20"/>
    </w:rPr>
  </w:style>
  <w:style w:type="paragraph" w:styleId="TOC8">
    <w:name w:val="toc 8"/>
    <w:basedOn w:val="Normal"/>
    <w:next w:val="Normal"/>
    <w:autoRedefine/>
    <w:uiPriority w:val="39"/>
    <w:rsid w:val="000B1D99"/>
    <w:pPr>
      <w:ind w:left="1680"/>
    </w:pPr>
    <w:rPr>
      <w:sz w:val="20"/>
      <w:szCs w:val="20"/>
    </w:rPr>
  </w:style>
  <w:style w:type="paragraph" w:styleId="TOC9">
    <w:name w:val="toc 9"/>
    <w:basedOn w:val="Normal"/>
    <w:next w:val="Normal"/>
    <w:autoRedefine/>
    <w:uiPriority w:val="39"/>
    <w:rsid w:val="000B1D99"/>
    <w:pPr>
      <w:ind w:left="1920"/>
    </w:pPr>
    <w:rPr>
      <w:sz w:val="20"/>
      <w:szCs w:val="20"/>
    </w:rPr>
  </w:style>
  <w:style w:type="paragraph" w:styleId="FootnoteText">
    <w:name w:val="footnote text"/>
    <w:aliases w:val="Footnote,single space,fn,FOOTNOTES,脚注文字列 Char,ft,Texto nota pie Car,ft Car,ft Car Car,Texto nota pie2,ft1,ft Car Car Car1,Texto nota pie Car2,ft Car Car2,ft Car Car Car,ADB,ALTS FOOTNOTE,FN,Geneva 9,Font: Geneva 9,Boston 10,f,Footnot"/>
    <w:basedOn w:val="Normal"/>
    <w:link w:val="FootnoteTextChar"/>
    <w:uiPriority w:val="99"/>
    <w:unhideWhenUsed/>
    <w:rsid w:val="000B1D99"/>
    <w:rPr>
      <w:sz w:val="20"/>
      <w:szCs w:val="20"/>
      <w:lang w:val="en-GB"/>
    </w:rPr>
  </w:style>
  <w:style w:type="character" w:customStyle="1" w:styleId="FootnoteTextChar">
    <w:name w:val="Footnote Text Char"/>
    <w:aliases w:val="Footnote Char,single space Char,fn Char,FOOTNOTES Char,脚注文字列 Char Char,ft Char,Texto nota pie Car Char,ft Car Char,ft Car Car Char,Texto nota pie2 Char,ft1 Char,ft Car Car Car1 Char,Texto nota pie Car2 Char,ft Car Car2 Char,ADB Char"/>
    <w:basedOn w:val="DefaultParagraphFont"/>
    <w:link w:val="FootnoteText"/>
    <w:uiPriority w:val="99"/>
    <w:rsid w:val="000B1D99"/>
    <w:rPr>
      <w:sz w:val="20"/>
      <w:szCs w:val="20"/>
      <w:lang w:val="en-GB"/>
    </w:rPr>
  </w:style>
  <w:style w:type="character" w:styleId="FootnoteReference">
    <w:name w:val="footnote reference"/>
    <w:aliases w:val="ftref,footnote ref,SUPERS,EN Footnote Reference,16 Point,Superscript 6 Point,Footnote Reference Number,Style 6,(NECG) Footnote Reference,Ref,de nota al pie"/>
    <w:basedOn w:val="DefaultParagraphFont"/>
    <w:uiPriority w:val="99"/>
    <w:unhideWhenUsed/>
    <w:rsid w:val="000B1D99"/>
    <w:rPr>
      <w:vertAlign w:val="superscript"/>
    </w:rPr>
  </w:style>
  <w:style w:type="character" w:styleId="Hyperlink">
    <w:name w:val="Hyperlink"/>
    <w:basedOn w:val="DefaultParagraphFont"/>
    <w:uiPriority w:val="99"/>
    <w:rsid w:val="000B1D99"/>
    <w:rPr>
      <w:color w:val="0000FF" w:themeColor="hyperlink"/>
      <w:u w:val="single"/>
    </w:rPr>
  </w:style>
  <w:style w:type="character" w:customStyle="1" w:styleId="ListParagraphChar">
    <w:name w:val="List Paragraph Char"/>
    <w:basedOn w:val="DefaultParagraphFont"/>
    <w:link w:val="ListParagraph"/>
    <w:uiPriority w:val="34"/>
    <w:rsid w:val="000B1D99"/>
  </w:style>
  <w:style w:type="paragraph" w:styleId="BodyText">
    <w:name w:val="Body Text"/>
    <w:basedOn w:val="Normal"/>
    <w:link w:val="BodyTextChar"/>
    <w:uiPriority w:val="99"/>
    <w:rsid w:val="000B1D99"/>
    <w:pPr>
      <w:jc w:val="both"/>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0B1D99"/>
    <w:rPr>
      <w:rFonts w:ascii="Calibri" w:eastAsia="Times New Roman" w:hAnsi="Calibri" w:cs="Times New Roman"/>
      <w:szCs w:val="20"/>
    </w:rPr>
  </w:style>
  <w:style w:type="character" w:styleId="PageNumber">
    <w:name w:val="page number"/>
    <w:basedOn w:val="DefaultParagraphFont"/>
    <w:rsid w:val="000B1D99"/>
  </w:style>
  <w:style w:type="character" w:styleId="FollowedHyperlink">
    <w:name w:val="FollowedHyperlink"/>
    <w:basedOn w:val="DefaultParagraphFont"/>
    <w:rsid w:val="000B1D99"/>
    <w:rPr>
      <w:color w:val="800080" w:themeColor="followedHyperlink"/>
      <w:u w:val="single"/>
    </w:rPr>
  </w:style>
  <w:style w:type="paragraph" w:customStyle="1" w:styleId="regtext">
    <w:name w:val="regtext"/>
    <w:basedOn w:val="Normal"/>
    <w:rsid w:val="000B1D99"/>
    <w:pPr>
      <w:spacing w:before="100" w:beforeAutospacing="1" w:after="100" w:afterAutospacing="1"/>
    </w:pPr>
    <w:rPr>
      <w:rFonts w:ascii="Times New Roman" w:eastAsia="Times New Roman" w:hAnsi="Times New Roman" w:cs="Times New Roman"/>
    </w:rPr>
  </w:style>
  <w:style w:type="paragraph" w:styleId="NormalWeb">
    <w:name w:val="Normal (Web)"/>
    <w:basedOn w:val="Normal"/>
    <w:rsid w:val="000B1D99"/>
    <w:pPr>
      <w:spacing w:before="100" w:beforeAutospacing="1" w:after="100" w:afterAutospacing="1"/>
    </w:pPr>
    <w:rPr>
      <w:rFonts w:ascii="Times New Roman" w:eastAsia="MS Mincho" w:hAnsi="Times New Roman" w:cs="Times New Roman"/>
      <w:lang w:eastAsia="ja-JP"/>
    </w:rPr>
  </w:style>
  <w:style w:type="paragraph" w:customStyle="1" w:styleId="DocName">
    <w:name w:val="DocName"/>
    <w:basedOn w:val="Normal"/>
    <w:link w:val="DocNameChar"/>
    <w:rsid w:val="000B1D99"/>
    <w:pPr>
      <w:jc w:val="center"/>
    </w:pPr>
    <w:rPr>
      <w:rFonts w:ascii="Arial" w:eastAsia="Times New Roman" w:hAnsi="Arial" w:cs="Times New Roman"/>
      <w:b/>
      <w:bCs/>
      <w:sz w:val="28"/>
      <w:lang w:val="en-AU"/>
    </w:rPr>
  </w:style>
  <w:style w:type="paragraph" w:customStyle="1" w:styleId="DocStatus">
    <w:name w:val="DocStatus"/>
    <w:basedOn w:val="Normal"/>
    <w:rsid w:val="000B1D99"/>
    <w:pPr>
      <w:spacing w:before="120" w:after="60"/>
      <w:jc w:val="center"/>
    </w:pPr>
    <w:rPr>
      <w:rFonts w:ascii="Arial" w:eastAsia="Times New Roman" w:hAnsi="Arial" w:cs="Times New Roman"/>
      <w:b/>
      <w:sz w:val="22"/>
      <w:lang w:val="en-AU"/>
    </w:rPr>
  </w:style>
  <w:style w:type="paragraph" w:customStyle="1" w:styleId="List-number-2">
    <w:name w:val="List-number-2"/>
    <w:basedOn w:val="Normal"/>
    <w:link w:val="List-number-2Char"/>
    <w:rsid w:val="000B1D99"/>
    <w:pPr>
      <w:numPr>
        <w:ilvl w:val="1"/>
        <w:numId w:val="2"/>
      </w:numPr>
      <w:spacing w:before="120"/>
    </w:pPr>
    <w:rPr>
      <w:rFonts w:ascii="Arial" w:eastAsia="Times New Roman" w:hAnsi="Arial" w:cs="Times New Roman"/>
      <w:sz w:val="20"/>
      <w:lang w:val="en-AU"/>
    </w:rPr>
  </w:style>
  <w:style w:type="paragraph" w:customStyle="1" w:styleId="List-number-1">
    <w:name w:val="List-number-1"/>
    <w:basedOn w:val="Normal"/>
    <w:link w:val="List-number-1CharChar"/>
    <w:rsid w:val="000B1D99"/>
    <w:pPr>
      <w:numPr>
        <w:numId w:val="2"/>
      </w:numPr>
      <w:spacing w:before="120"/>
    </w:pPr>
    <w:rPr>
      <w:rFonts w:ascii="Arial" w:eastAsia="Times New Roman" w:hAnsi="Arial" w:cs="Times New Roman"/>
      <w:sz w:val="20"/>
      <w:lang w:val="en-AU"/>
    </w:rPr>
  </w:style>
  <w:style w:type="character" w:customStyle="1" w:styleId="List-number-2Char">
    <w:name w:val="List-number-2 Char"/>
    <w:link w:val="List-number-2"/>
    <w:rsid w:val="000B1D99"/>
    <w:rPr>
      <w:rFonts w:ascii="Arial" w:eastAsia="Times New Roman" w:hAnsi="Arial" w:cs="Times New Roman"/>
      <w:sz w:val="20"/>
      <w:lang w:val="en-AU"/>
    </w:rPr>
  </w:style>
  <w:style w:type="character" w:customStyle="1" w:styleId="DocNameChar">
    <w:name w:val="DocName Char"/>
    <w:link w:val="DocName"/>
    <w:rsid w:val="000B1D99"/>
    <w:rPr>
      <w:rFonts w:ascii="Arial" w:eastAsia="Times New Roman" w:hAnsi="Arial" w:cs="Times New Roman"/>
      <w:b/>
      <w:bCs/>
      <w:sz w:val="28"/>
      <w:lang w:val="en-AU"/>
    </w:rPr>
  </w:style>
  <w:style w:type="paragraph" w:customStyle="1" w:styleId="Heading2numbered">
    <w:name w:val="Heading 2 numbered"/>
    <w:basedOn w:val="Heading2"/>
    <w:next w:val="Normal"/>
    <w:rsid w:val="000B1D99"/>
    <w:pPr>
      <w:keepLines w:val="0"/>
      <w:numPr>
        <w:ilvl w:val="1"/>
        <w:numId w:val="4"/>
      </w:numPr>
      <w:spacing w:before="360" w:after="120"/>
    </w:pPr>
    <w:rPr>
      <w:rFonts w:ascii="Arial" w:eastAsia="Times New Roman" w:hAnsi="Arial" w:cs="Arial"/>
      <w:bCs w:val="0"/>
      <w:iCs/>
      <w:color w:val="auto"/>
      <w:sz w:val="24"/>
      <w:szCs w:val="20"/>
      <w:lang w:val="en-AU" w:eastAsia="en-AU"/>
    </w:rPr>
  </w:style>
  <w:style w:type="paragraph" w:customStyle="1" w:styleId="Heading3numbered">
    <w:name w:val="Heading 3 numbered"/>
    <w:basedOn w:val="Heading3"/>
    <w:next w:val="Normal"/>
    <w:rsid w:val="000B1D99"/>
    <w:pPr>
      <w:keepLines w:val="0"/>
      <w:numPr>
        <w:ilvl w:val="2"/>
        <w:numId w:val="4"/>
      </w:numPr>
      <w:tabs>
        <w:tab w:val="clear" w:pos="851"/>
        <w:tab w:val="num" w:pos="494"/>
      </w:tabs>
      <w:spacing w:before="240" w:after="120"/>
      <w:ind w:left="494"/>
    </w:pPr>
    <w:rPr>
      <w:rFonts w:ascii="Arial" w:eastAsia="Times New Roman" w:hAnsi="Arial" w:cs="Times New Roman"/>
      <w:iCs/>
      <w:color w:val="auto"/>
      <w:sz w:val="22"/>
      <w:szCs w:val="26"/>
      <w:lang w:val="en-AU"/>
    </w:rPr>
  </w:style>
  <w:style w:type="paragraph" w:customStyle="1" w:styleId="List-bullet-2">
    <w:name w:val="List-bullet-2"/>
    <w:basedOn w:val="Normal"/>
    <w:rsid w:val="000B1D99"/>
    <w:pPr>
      <w:numPr>
        <w:numId w:val="3"/>
      </w:numPr>
      <w:spacing w:before="80" w:after="120"/>
    </w:pPr>
    <w:rPr>
      <w:rFonts w:ascii="Arial" w:eastAsia="Times New Roman" w:hAnsi="Arial" w:cs="Arial"/>
      <w:sz w:val="20"/>
      <w:szCs w:val="22"/>
    </w:rPr>
  </w:style>
  <w:style w:type="paragraph" w:customStyle="1" w:styleId="Normal-indent">
    <w:name w:val="Normal-indent"/>
    <w:basedOn w:val="Normal"/>
    <w:rsid w:val="000B1D99"/>
    <w:pPr>
      <w:spacing w:before="120" w:after="120"/>
      <w:ind w:left="357"/>
    </w:pPr>
    <w:rPr>
      <w:rFonts w:ascii="Arial" w:eastAsia="Times New Roman" w:hAnsi="Arial" w:cs="Times New Roman"/>
      <w:sz w:val="20"/>
      <w:lang w:val="en-AU" w:eastAsia="en-AU"/>
    </w:rPr>
  </w:style>
  <w:style w:type="paragraph" w:customStyle="1" w:styleId="TableHeader">
    <w:name w:val="TableHeader"/>
    <w:basedOn w:val="Normal"/>
    <w:rsid w:val="000B1D99"/>
    <w:pPr>
      <w:keepNext/>
      <w:spacing w:before="60" w:after="40"/>
      <w:jc w:val="center"/>
    </w:pPr>
    <w:rPr>
      <w:rFonts w:ascii="Arial" w:eastAsia="Times New Roman" w:hAnsi="Arial" w:cs="Arial"/>
      <w:b/>
      <w:sz w:val="18"/>
      <w:lang w:val="en-AU"/>
    </w:rPr>
  </w:style>
  <w:style w:type="paragraph" w:customStyle="1" w:styleId="Table-normal-text">
    <w:name w:val="Table-normal-text"/>
    <w:basedOn w:val="Normal"/>
    <w:rsid w:val="000B1D99"/>
    <w:pPr>
      <w:spacing w:before="60"/>
    </w:pPr>
    <w:rPr>
      <w:rFonts w:ascii="Arial" w:eastAsia="Times New Roman" w:hAnsi="Arial" w:cs="Times New Roman"/>
      <w:sz w:val="20"/>
      <w:lang w:val="en-AU"/>
    </w:rPr>
  </w:style>
  <w:style w:type="paragraph" w:customStyle="1" w:styleId="Table-list-bullet">
    <w:name w:val="Table-list-bullet"/>
    <w:basedOn w:val="Table-normal-text"/>
    <w:uiPriority w:val="99"/>
    <w:rsid w:val="000B1D99"/>
    <w:pPr>
      <w:numPr>
        <w:numId w:val="5"/>
      </w:numPr>
    </w:pPr>
  </w:style>
  <w:style w:type="paragraph" w:customStyle="1" w:styleId="Table-list-number">
    <w:name w:val="Table-list-number"/>
    <w:basedOn w:val="Table-normal-text"/>
    <w:rsid w:val="000B1D99"/>
    <w:pPr>
      <w:numPr>
        <w:numId w:val="6"/>
      </w:numPr>
    </w:pPr>
  </w:style>
  <w:style w:type="paragraph" w:customStyle="1" w:styleId="TableTitle">
    <w:name w:val="TableTitle"/>
    <w:basedOn w:val="Normal"/>
    <w:next w:val="Table-normal-text"/>
    <w:rsid w:val="000B1D99"/>
    <w:pPr>
      <w:keepNext/>
      <w:spacing w:before="240" w:after="120"/>
      <w:jc w:val="center"/>
    </w:pPr>
    <w:rPr>
      <w:rFonts w:ascii="Arial" w:eastAsia="Times New Roman" w:hAnsi="Arial" w:cs="Times New Roman"/>
      <w:b/>
      <w:sz w:val="20"/>
      <w:lang w:val="en-AU"/>
    </w:rPr>
  </w:style>
  <w:style w:type="paragraph" w:customStyle="1" w:styleId="List-outline-numbered">
    <w:name w:val="List-outline-numbered"/>
    <w:basedOn w:val="Normal"/>
    <w:rsid w:val="000B1D99"/>
    <w:pPr>
      <w:numPr>
        <w:ilvl w:val="3"/>
        <w:numId w:val="4"/>
      </w:numPr>
      <w:spacing w:before="120" w:after="120"/>
    </w:pPr>
    <w:rPr>
      <w:rFonts w:ascii="Arial" w:eastAsia="Times New Roman" w:hAnsi="Arial" w:cs="Times New Roman"/>
      <w:sz w:val="20"/>
      <w:lang w:val="en-AU"/>
    </w:rPr>
  </w:style>
  <w:style w:type="table" w:customStyle="1" w:styleId="TableCheckList-1">
    <w:name w:val="TableCheckList-1"/>
    <w:basedOn w:val="TableNormal"/>
    <w:rsid w:val="000B1D99"/>
    <w:pPr>
      <w:spacing w:before="60"/>
    </w:pPr>
    <w:rPr>
      <w:rFonts w:ascii="Arial" w:eastAsia="Times New Roman" w:hAnsi="Arial" w:cs="Times New Roman"/>
      <w:sz w:val="18"/>
      <w:szCs w:val="20"/>
      <w:lang w:val="en-AU"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0B1D99"/>
    <w:pPr>
      <w:spacing w:before="60"/>
    </w:pPr>
    <w:rPr>
      <w:rFonts w:ascii="Arial" w:eastAsia="Times New Roman" w:hAnsi="Arial" w:cs="Times New Roman"/>
      <w:sz w:val="18"/>
      <w:szCs w:val="20"/>
      <w:lang w:val="en-AU"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table" w:customStyle="1" w:styleId="Tablewithnoheader">
    <w:name w:val="Table with no header"/>
    <w:basedOn w:val="TableNormal"/>
    <w:rsid w:val="000B1D99"/>
    <w:rPr>
      <w:rFonts w:ascii="Arial" w:eastAsia="Times New Roman"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0B1D99"/>
    <w:tblPr/>
    <w:tcPr>
      <w:shd w:val="clear" w:color="auto" w:fill="auto"/>
    </w:tcPr>
  </w:style>
  <w:style w:type="character" w:customStyle="1" w:styleId="hps">
    <w:name w:val="hps"/>
    <w:basedOn w:val="DefaultParagraphFont"/>
    <w:rsid w:val="000B1D99"/>
  </w:style>
  <w:style w:type="character" w:customStyle="1" w:styleId="newsdetailcontent">
    <w:name w:val="newsdetailcontent"/>
    <w:basedOn w:val="DefaultParagraphFont"/>
    <w:rsid w:val="000B1D99"/>
  </w:style>
  <w:style w:type="paragraph" w:styleId="NoSpacing">
    <w:name w:val="No Spacing"/>
    <w:uiPriority w:val="1"/>
    <w:qFormat/>
    <w:rsid w:val="000B1D99"/>
    <w:rPr>
      <w:sz w:val="22"/>
      <w:szCs w:val="22"/>
      <w:lang w:val="en-AU"/>
    </w:rPr>
  </w:style>
  <w:style w:type="character" w:customStyle="1" w:styleId="List-number-1CharChar">
    <w:name w:val="List-number-1 Char Char"/>
    <w:link w:val="List-number-1"/>
    <w:rsid w:val="000B1D99"/>
    <w:rPr>
      <w:rFonts w:ascii="Arial" w:eastAsia="Times New Roman" w:hAnsi="Arial" w:cs="Times New Roman"/>
      <w:sz w:val="20"/>
      <w:lang w:val="en-AU"/>
    </w:rPr>
  </w:style>
  <w:style w:type="paragraph" w:styleId="Revision">
    <w:name w:val="Revision"/>
    <w:hidden/>
    <w:uiPriority w:val="99"/>
    <w:rsid w:val="000B1D99"/>
    <w:rPr>
      <w:sz w:val="22"/>
      <w:szCs w:val="22"/>
      <w:lang w:val="en-AU"/>
    </w:rPr>
  </w:style>
  <w:style w:type="table" w:styleId="TableWeb1">
    <w:name w:val="Table Web 1"/>
    <w:basedOn w:val="TableNormal"/>
    <w:rsid w:val="000B1D99"/>
    <w:rPr>
      <w:rFonts w:ascii="Times New Roman" w:eastAsia="Times New Roman" w:hAnsi="Times New Roman" w:cs="Times New Roman"/>
      <w:sz w:val="20"/>
      <w:szCs w:val="20"/>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Grid-Accent3">
    <w:name w:val="Light Grid Accent 3"/>
    <w:basedOn w:val="TableNormal"/>
    <w:uiPriority w:val="62"/>
    <w:rsid w:val="000B1D99"/>
    <w:rPr>
      <w:rFonts w:ascii="Times New Roman" w:eastAsia="Times New Roman" w:hAnsi="Times New Roman" w:cs="Times New Roman"/>
      <w:sz w:val="20"/>
      <w:szCs w:val="20"/>
      <w:lang w:val="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1">
    <w:name w:val="Light List Accent 1"/>
    <w:basedOn w:val="TableNormal"/>
    <w:uiPriority w:val="61"/>
    <w:rsid w:val="000B1D99"/>
    <w:rPr>
      <w:rFonts w:ascii="Times New Roman" w:eastAsia="Times New Roman" w:hAnsi="Times New Roman" w:cs="Times New Roman"/>
      <w:sz w:val="20"/>
      <w:szCs w:val="20"/>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rsid w:val="000B1D99"/>
    <w:rPr>
      <w:rFonts w:ascii="Times New Roman" w:eastAsia="Times New Roman" w:hAnsi="Times New Roman" w:cs="Times New Roman"/>
      <w:sz w:val="20"/>
      <w:szCs w:val="20"/>
      <w:lang w:val="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0B1D99"/>
    <w:rPr>
      <w:rFonts w:ascii="Times New Roman" w:eastAsia="Times New Roman" w:hAnsi="Times New Roman" w:cs="Times New Roman"/>
      <w:sz w:val="20"/>
      <w:szCs w:val="20"/>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7">
    <w:name w:val="Table List 7"/>
    <w:basedOn w:val="TableNormal"/>
    <w:rsid w:val="000B1D99"/>
    <w:rPr>
      <w:rFonts w:ascii="Times New Roman" w:eastAsia="Times New Roman" w:hAnsi="Times New Roman" w:cs="Times New Roman"/>
      <w:sz w:val="20"/>
      <w:szCs w:val="20"/>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ghtGrid-Accent4">
    <w:name w:val="Light Grid Accent 4"/>
    <w:basedOn w:val="TableNormal"/>
    <w:uiPriority w:val="62"/>
    <w:rsid w:val="000B1D99"/>
    <w:rPr>
      <w:rFonts w:ascii="Times New Roman" w:eastAsia="Times New Roman" w:hAnsi="Times New Roman" w:cs="Times New Roman"/>
      <w:sz w:val="20"/>
      <w:szCs w:val="20"/>
      <w:lang w:val="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BCCompany">
    <w:name w:val="BC Company"/>
    <w:basedOn w:val="Normal"/>
    <w:rsid w:val="000B1D99"/>
    <w:pPr>
      <w:numPr>
        <w:numId w:val="12"/>
      </w:numPr>
      <w:tabs>
        <w:tab w:val="clear" w:pos="567"/>
      </w:tabs>
      <w:spacing w:after="60"/>
      <w:ind w:left="0"/>
    </w:pPr>
    <w:rPr>
      <w:rFonts w:ascii="Arial" w:eastAsia="Times New Roman" w:hAnsi="Arial" w:cs="Times New Roman"/>
      <w:sz w:val="18"/>
      <w:lang w:val="en-AU" w:eastAsia="en-AU"/>
    </w:rPr>
  </w:style>
  <w:style w:type="character" w:customStyle="1" w:styleId="apple-style-span">
    <w:name w:val="apple-style-span"/>
    <w:basedOn w:val="DefaultParagraphFont"/>
    <w:rsid w:val="000B1D99"/>
  </w:style>
  <w:style w:type="table" w:styleId="ColorfulGrid-Accent1">
    <w:name w:val="Colorful Grid Accent 1"/>
    <w:basedOn w:val="TableNormal"/>
    <w:uiPriority w:val="73"/>
    <w:rsid w:val="000B1D99"/>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styleId="111111">
    <w:name w:val="Outline List 2"/>
    <w:basedOn w:val="NoList"/>
    <w:rsid w:val="00E76AD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trade-union-4"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nswers.com/topic/social-movement-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aid.dfat.gov.au/aidpolicy/developmentpolicy/Pages/building-resilience.aspx" TargetMode="External"/><Relationship Id="rId13" Type="http://schemas.openxmlformats.org/officeDocument/2006/relationships/hyperlink" Target="http://www.ode.dfat.gov.au/current_work/documents/donor-engagement2010.pdf" TargetMode="External"/><Relationship Id="rId3" Type="http://schemas.openxmlformats.org/officeDocument/2006/relationships/hyperlink" Target="http://aid.dfat.gov.au/Publications/Documents/mekong-ngo-engagement-platform-design-doc.pdf" TargetMode="External"/><Relationship Id="rId7" Type="http://schemas.openxmlformats.org/officeDocument/2006/relationships/hyperlink" Target="http://www.isgmard.org.vn/VHDocs/NationalPrograms/National%20Strategyfordisasterprevention2020.pdf" TargetMode="External"/><Relationship Id="rId12" Type="http://schemas.openxmlformats.org/officeDocument/2006/relationships/hyperlink" Target="http://aid.dfat.gov.au/Publications/Documents/vietnam-australia-ngo-cooperation-jun09.pdf" TargetMode="External"/><Relationship Id="rId2" Type="http://schemas.openxmlformats.org/officeDocument/2006/relationships/hyperlink" Target="http://www.unisdr.org/who-we-are/what-is-drr" TargetMode="External"/><Relationship Id="rId1" Type="http://schemas.openxmlformats.org/officeDocument/2006/relationships/hyperlink" Target="http://www.oecd.org/env/cc/36736773.pdf" TargetMode="External"/><Relationship Id="rId6" Type="http://schemas.openxmlformats.org/officeDocument/2006/relationships/hyperlink" Target="http://www.greengrowthelearning.org/pdf/VietNam-GreenGrowth-Strategy.pdf" TargetMode="External"/><Relationship Id="rId11" Type="http://schemas.openxmlformats.org/officeDocument/2006/relationships/hyperlink" Target="http://aid.dfat.gov.au/aidpolicy/developmentpolicy/Pages/building-resilience.aspx" TargetMode="External"/><Relationship Id="rId5" Type="http://schemas.openxmlformats.org/officeDocument/2006/relationships/hyperlink" Target="http://www.ifad.org/climate/asap/cc_vietnam.pdf" TargetMode="External"/><Relationship Id="rId15" Type="http://schemas.openxmlformats.org/officeDocument/2006/relationships/hyperlink" Target="http://psflibrary.org/catalog/repository/PNPM%20Peduli_One%20Year%20On_Independent%20Review%20of%20Lessons%20Learned_2012.pdf" TargetMode="External"/><Relationship Id="rId10" Type="http://schemas.openxmlformats.org/officeDocument/2006/relationships/hyperlink" Target="http://ifadifpri.wordpress.com/2012/03/24/new-project-brief-crop-mitigation-potential-for-key-food-crops/" TargetMode="External"/><Relationship Id="rId4" Type="http://schemas.openxmlformats.org/officeDocument/2006/relationships/hyperlink" Target="http://www.un.org.vn/en/feature-articles-press-centre-submenu-252/1020-viet-nam-and-climate-change-a-discussion-paper-on-policies-for-sustainable-human-development-viet-nam-and-climate-change-a-discussion-paper-on-policies-for-sustainable-human-development" TargetMode="External"/><Relationship Id="rId9" Type="http://schemas.openxmlformats.org/officeDocument/2006/relationships/hyperlink" Target="http://aid.dfat.gov.au/Publications/Documents/vietnam-australia-ngo-cooperation-jun09.pdf" TargetMode="External"/><Relationship Id="rId14" Type="http://schemas.openxmlformats.org/officeDocument/2006/relationships/hyperlink" Target="http://www.smnr-cv.org/downloads/webdownloads/558875/0612-Participatory_SEDPinCommunes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E5166-413F-4126-BEB3-AF7CC81CE2DC}"/>
</file>

<file path=customXml/itemProps2.xml><?xml version="1.0" encoding="utf-8"?>
<ds:datastoreItem xmlns:ds="http://schemas.openxmlformats.org/officeDocument/2006/customXml" ds:itemID="{37839D4E-B632-4EC8-91DF-3419685E18D9}"/>
</file>

<file path=customXml/itemProps3.xml><?xml version="1.0" encoding="utf-8"?>
<ds:datastoreItem xmlns:ds="http://schemas.openxmlformats.org/officeDocument/2006/customXml" ds:itemID="{9342935A-C44C-4AA6-B45C-587009BAB7F0}"/>
</file>

<file path=docProps/app.xml><?xml version="1.0" encoding="utf-8"?>
<Properties xmlns="http://schemas.openxmlformats.org/officeDocument/2006/extended-properties" xmlns:vt="http://schemas.openxmlformats.org/officeDocument/2006/docPropsVTypes">
  <Template>6BEB1649</Template>
  <TotalTime>0</TotalTime>
  <Pages>35</Pages>
  <Words>15118</Words>
  <Characters>86179</Characters>
  <Application>Microsoft Office Word</Application>
  <DocSecurity>0</DocSecurity>
  <Lines>718</Lines>
  <Paragraphs>202</Paragraphs>
  <ScaleCrop>false</ScaleCrop>
  <Company/>
  <LinksUpToDate>false</LinksUpToDate>
  <CharactersWithSpaces>101095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2016-02-11T00:48:00Z</dcterms:created>
  <dcterms:modified xsi:type="dcterms:W3CDTF">2016-02-11T00:48:00Z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c27ba0c0-3f71-4ab7-b9ea-e17a039de4ca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