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862AB" w14:textId="1B04B29D" w:rsidR="00AE5BD1" w:rsidRPr="00D60D1F" w:rsidRDefault="00AE5BD1" w:rsidP="00C3293F">
      <w:pPr>
        <w:pStyle w:val="G-heading2"/>
        <w:numPr>
          <w:ilvl w:val="0"/>
          <w:numId w:val="0"/>
        </w:numPr>
        <w:ind w:left="576" w:hanging="576"/>
      </w:pPr>
      <w:bookmarkStart w:id="0" w:name="_Toc71726294"/>
      <w:r w:rsidRPr="00D60D1F">
        <w:t xml:space="preserve">Management </w:t>
      </w:r>
      <w:r w:rsidR="001828B0">
        <w:t>R</w:t>
      </w:r>
      <w:r w:rsidRPr="00D60D1F">
        <w:t>esponse</w:t>
      </w:r>
      <w:bookmarkEnd w:id="0"/>
    </w:p>
    <w:p w14:paraId="0B9DFF95" w14:textId="77777777" w:rsidR="00AE5BD1" w:rsidRPr="00BF5D14" w:rsidRDefault="00AE5BD1" w:rsidP="00C3293F">
      <w:pPr>
        <w:spacing w:after="0" w:line="240" w:lineRule="auto"/>
        <w:rPr>
          <w:rFonts w:cstheme="minorHAnsi"/>
          <w:b/>
        </w:rPr>
      </w:pPr>
    </w:p>
    <w:p w14:paraId="4CBBC7F7" w14:textId="77777777" w:rsidR="001828B0" w:rsidRDefault="00AE5BD1" w:rsidP="00C3293F">
      <w:pPr>
        <w:spacing w:after="0" w:line="240" w:lineRule="auto"/>
        <w:rPr>
          <w:rFonts w:cstheme="minorHAnsi"/>
          <w:b/>
        </w:rPr>
      </w:pPr>
      <w:r w:rsidRPr="00BF5D14">
        <w:rPr>
          <w:rFonts w:cstheme="minorHAnsi"/>
          <w:b/>
        </w:rPr>
        <w:t xml:space="preserve">UNDP </w:t>
      </w:r>
      <w:r w:rsidR="001828B0">
        <w:rPr>
          <w:rFonts w:cstheme="minorHAnsi"/>
          <w:b/>
        </w:rPr>
        <w:t>M</w:t>
      </w:r>
      <w:r w:rsidRPr="00BF5D14">
        <w:rPr>
          <w:rFonts w:cstheme="minorHAnsi"/>
          <w:b/>
        </w:rPr>
        <w:t xml:space="preserve">anagement </w:t>
      </w:r>
      <w:r w:rsidR="001828B0">
        <w:rPr>
          <w:rFonts w:cstheme="minorHAnsi"/>
          <w:b/>
        </w:rPr>
        <w:t>R</w:t>
      </w:r>
      <w:r w:rsidRPr="00BF5D14">
        <w:rPr>
          <w:rFonts w:cstheme="minorHAnsi"/>
          <w:b/>
        </w:rPr>
        <w:t>esponse</w:t>
      </w:r>
    </w:p>
    <w:p w14:paraId="4762B937" w14:textId="3F702803" w:rsidR="00AE5BD1" w:rsidRPr="00BF5D14" w:rsidRDefault="00AE5BD1" w:rsidP="00C3293F">
      <w:pPr>
        <w:spacing w:after="0" w:line="240" w:lineRule="auto"/>
        <w:rPr>
          <w:rFonts w:cstheme="minorHAnsi"/>
          <w:b/>
        </w:rPr>
      </w:pPr>
      <w:r w:rsidRPr="00BF5D14">
        <w:rPr>
          <w:rFonts w:cstheme="minorHAnsi"/>
          <w:b/>
        </w:rPr>
        <w:t xml:space="preserve"> </w:t>
      </w:r>
    </w:p>
    <w:p w14:paraId="037B0C39" w14:textId="5DA23CF7" w:rsidR="003F7FD5" w:rsidRDefault="003F7FD5" w:rsidP="00C3293F">
      <w:pPr>
        <w:spacing w:after="0" w:line="240" w:lineRule="auto"/>
        <w:rPr>
          <w:rFonts w:cstheme="minorHAnsi"/>
        </w:rPr>
      </w:pPr>
      <w:r>
        <w:rPr>
          <w:rFonts w:cstheme="minorHAnsi"/>
          <w:b/>
        </w:rPr>
        <w:t xml:space="preserve">Mid-Term Review of </w:t>
      </w:r>
      <w:r w:rsidRPr="003F7FD5">
        <w:rPr>
          <w:rFonts w:cstheme="minorHAnsi"/>
          <w:b/>
        </w:rPr>
        <w:t>the Viet Nam Provincial Governance and Public Administration Performance Index (PAPI) Research and Advocacy Programme</w:t>
      </w:r>
      <w:r>
        <w:rPr>
          <w:rFonts w:cstheme="minorHAnsi"/>
          <w:b/>
        </w:rPr>
        <w:t xml:space="preserve"> for the period from </w:t>
      </w:r>
      <w:r w:rsidRPr="00D86E41">
        <w:rPr>
          <w:rFonts w:cs="Times New Roman"/>
          <w:b/>
          <w:bCs/>
          <w:szCs w:val="24"/>
          <w:lang w:val="en-US"/>
        </w:rPr>
        <w:t>November 2019 - October 2023</w:t>
      </w:r>
      <w:r w:rsidRPr="003F7FD5">
        <w:rPr>
          <w:rFonts w:cstheme="minorHAnsi"/>
          <w:b/>
        </w:rPr>
        <w:br/>
      </w:r>
    </w:p>
    <w:p w14:paraId="316854C3" w14:textId="5729A718" w:rsidR="00AE5BD1" w:rsidRPr="00BF5D14" w:rsidRDefault="00AE5BD1" w:rsidP="00C3293F">
      <w:pPr>
        <w:spacing w:after="0" w:line="240" w:lineRule="auto"/>
        <w:rPr>
          <w:rFonts w:cstheme="minorHAnsi"/>
        </w:rPr>
      </w:pPr>
      <w:r w:rsidRPr="00BF5D14">
        <w:rPr>
          <w:rFonts w:cstheme="minorHAnsi"/>
        </w:rPr>
        <w:t>Date:</w:t>
      </w:r>
      <w:r w:rsidR="003F7FD5">
        <w:rPr>
          <w:rFonts w:cstheme="minorHAnsi"/>
        </w:rPr>
        <w:t xml:space="preserve"> </w:t>
      </w:r>
      <w:r w:rsidR="00931D6A" w:rsidRPr="003136D8">
        <w:rPr>
          <w:rFonts w:cstheme="minorHAnsi"/>
        </w:rPr>
        <w:t>1</w:t>
      </w:r>
      <w:r w:rsidR="009056DA">
        <w:rPr>
          <w:rFonts w:cstheme="minorHAnsi"/>
        </w:rPr>
        <w:t>8</w:t>
      </w:r>
      <w:r w:rsidR="006A57D2" w:rsidRPr="003136D8">
        <w:rPr>
          <w:rFonts w:cstheme="minorHAnsi"/>
        </w:rPr>
        <w:t xml:space="preserve"> </w:t>
      </w:r>
      <w:r w:rsidR="00931D6A" w:rsidRPr="003136D8">
        <w:rPr>
          <w:rFonts w:cstheme="minorHAnsi"/>
        </w:rPr>
        <w:t>December</w:t>
      </w:r>
      <w:r w:rsidR="003F7FD5" w:rsidRPr="003136D8">
        <w:rPr>
          <w:rFonts w:cstheme="minorHAnsi"/>
        </w:rPr>
        <w:t xml:space="preserve"> 2023</w:t>
      </w:r>
    </w:p>
    <w:p w14:paraId="0A889842" w14:textId="77777777" w:rsidR="00AE5BD1" w:rsidRPr="00BF5D14" w:rsidRDefault="00AE5BD1" w:rsidP="00C3293F">
      <w:pPr>
        <w:spacing w:after="0" w:line="240" w:lineRule="auto"/>
        <w:ind w:left="5040" w:firstLine="720"/>
        <w:rPr>
          <w:rFonts w:cstheme="minorHAnsi"/>
        </w:rPr>
      </w:pPr>
    </w:p>
    <w:p w14:paraId="75963DE3" w14:textId="77777777" w:rsidR="006666C0" w:rsidRDefault="00AE5BD1" w:rsidP="00C3293F">
      <w:pPr>
        <w:tabs>
          <w:tab w:val="left" w:pos="4320"/>
          <w:tab w:val="left" w:pos="7200"/>
        </w:tabs>
        <w:spacing w:after="0" w:line="240" w:lineRule="auto"/>
        <w:rPr>
          <w:rFonts w:cstheme="minorHAnsi"/>
        </w:rPr>
      </w:pPr>
      <w:r w:rsidRPr="00BF5D14">
        <w:rPr>
          <w:rFonts w:cstheme="minorHAnsi"/>
        </w:rPr>
        <w:t>Prepared by:</w:t>
      </w:r>
      <w:r w:rsidR="00E4300E">
        <w:rPr>
          <w:rFonts w:cstheme="minorHAnsi"/>
        </w:rPr>
        <w:t xml:space="preserve"> </w:t>
      </w:r>
    </w:p>
    <w:p w14:paraId="3545C02B" w14:textId="4F5348F4" w:rsidR="00AE5BD1" w:rsidRDefault="00E4300E" w:rsidP="006666C0">
      <w:pPr>
        <w:pStyle w:val="ListParagraph"/>
        <w:numPr>
          <w:ilvl w:val="0"/>
          <w:numId w:val="12"/>
        </w:numPr>
        <w:tabs>
          <w:tab w:val="left" w:pos="4320"/>
          <w:tab w:val="left" w:pos="7200"/>
        </w:tabs>
        <w:spacing w:after="0" w:line="240" w:lineRule="auto"/>
        <w:rPr>
          <w:rFonts w:cstheme="minorHAnsi"/>
        </w:rPr>
      </w:pPr>
      <w:r w:rsidRPr="00BE192E">
        <w:rPr>
          <w:rFonts w:cstheme="minorHAnsi"/>
        </w:rPr>
        <w:t>Do Thanh Huyen</w:t>
      </w:r>
      <w:r w:rsidR="00C216AE" w:rsidRPr="00BE192E">
        <w:rPr>
          <w:rFonts w:cstheme="minorHAnsi"/>
        </w:rPr>
        <w:t xml:space="preserve">, </w:t>
      </w:r>
      <w:r w:rsidRPr="00BE192E">
        <w:rPr>
          <w:rFonts w:cstheme="minorHAnsi"/>
        </w:rPr>
        <w:t>Programme and Policy Analyst</w:t>
      </w:r>
      <w:r w:rsidR="00C216AE" w:rsidRPr="00BE192E">
        <w:rPr>
          <w:rFonts w:cstheme="minorHAnsi"/>
        </w:rPr>
        <w:t xml:space="preserve">, </w:t>
      </w:r>
      <w:r w:rsidRPr="00BE192E">
        <w:rPr>
          <w:rFonts w:cstheme="minorHAnsi"/>
        </w:rPr>
        <w:t>Governance and Participation Unit</w:t>
      </w:r>
    </w:p>
    <w:p w14:paraId="4030FB0B" w14:textId="3A437FEE" w:rsidR="00DA3D30" w:rsidRDefault="006666C0" w:rsidP="006666C0">
      <w:pPr>
        <w:pStyle w:val="ListParagraph"/>
        <w:numPr>
          <w:ilvl w:val="0"/>
          <w:numId w:val="12"/>
        </w:numPr>
        <w:tabs>
          <w:tab w:val="left" w:pos="4320"/>
          <w:tab w:val="left" w:pos="7200"/>
        </w:tabs>
        <w:spacing w:after="0" w:line="240" w:lineRule="auto"/>
        <w:rPr>
          <w:rFonts w:cstheme="minorHAnsi"/>
        </w:rPr>
      </w:pPr>
      <w:r>
        <w:rPr>
          <w:rFonts w:cstheme="minorHAnsi"/>
        </w:rPr>
        <w:t xml:space="preserve">Do Le Thu Ngoc, Assistant Resident </w:t>
      </w:r>
      <w:r w:rsidR="00DA3D30">
        <w:rPr>
          <w:rFonts w:cstheme="minorHAnsi"/>
        </w:rPr>
        <w:t>Representative</w:t>
      </w:r>
      <w:r w:rsidR="00BE192E">
        <w:rPr>
          <w:rFonts w:cstheme="minorHAnsi"/>
        </w:rPr>
        <w:t>,</w:t>
      </w:r>
      <w:r w:rsidR="00345873">
        <w:rPr>
          <w:rFonts w:cstheme="minorHAnsi"/>
        </w:rPr>
        <w:t xml:space="preserve"> </w:t>
      </w:r>
      <w:proofErr w:type="spellStart"/>
      <w:r w:rsidR="00345873">
        <w:rPr>
          <w:rFonts w:cstheme="minorHAnsi"/>
        </w:rPr>
        <w:t>a.i</w:t>
      </w:r>
      <w:r w:rsidR="00BE192E">
        <w:rPr>
          <w:rFonts w:cstheme="minorHAnsi"/>
        </w:rPr>
        <w:t>.</w:t>
      </w:r>
      <w:proofErr w:type="spellEnd"/>
      <w:r w:rsidR="00DA3D30">
        <w:rPr>
          <w:rFonts w:cstheme="minorHAnsi"/>
        </w:rPr>
        <w:t xml:space="preserve"> </w:t>
      </w:r>
    </w:p>
    <w:p w14:paraId="73183D86" w14:textId="7AE145F1" w:rsidR="006666C0" w:rsidRPr="00DA3D30" w:rsidRDefault="00345873" w:rsidP="00BE192E">
      <w:pPr>
        <w:pStyle w:val="ListParagraph"/>
        <w:numPr>
          <w:ilvl w:val="0"/>
          <w:numId w:val="12"/>
        </w:numPr>
        <w:tabs>
          <w:tab w:val="left" w:pos="4320"/>
          <w:tab w:val="left" w:pos="7200"/>
        </w:tabs>
        <w:spacing w:after="0" w:line="240" w:lineRule="auto"/>
        <w:rPr>
          <w:rFonts w:cstheme="minorHAnsi"/>
        </w:rPr>
      </w:pPr>
      <w:r w:rsidRPr="2E577EF3">
        <w:t xml:space="preserve">Nguyen Thi Ngoc Han, M&amp;E Analyst, PAPI MTR Evaluation Manager </w:t>
      </w:r>
      <w:r w:rsidR="006666C0" w:rsidRPr="2E577EF3">
        <w:t xml:space="preserve"> </w:t>
      </w:r>
    </w:p>
    <w:p w14:paraId="0D222839" w14:textId="77777777" w:rsidR="00345873" w:rsidRDefault="00345873" w:rsidP="00C3293F">
      <w:pPr>
        <w:tabs>
          <w:tab w:val="left" w:pos="4320"/>
          <w:tab w:val="left" w:pos="7200"/>
        </w:tabs>
        <w:spacing w:after="0" w:line="240" w:lineRule="auto"/>
        <w:rPr>
          <w:rFonts w:cstheme="minorHAnsi"/>
        </w:rPr>
      </w:pPr>
    </w:p>
    <w:p w14:paraId="4FEA0132" w14:textId="46592BED" w:rsidR="00AE5BD1" w:rsidRPr="00BF5D14" w:rsidRDefault="00AE5BD1" w:rsidP="00C3293F">
      <w:pPr>
        <w:tabs>
          <w:tab w:val="left" w:pos="4320"/>
          <w:tab w:val="left" w:pos="7200"/>
        </w:tabs>
        <w:spacing w:after="0" w:line="240" w:lineRule="auto"/>
        <w:rPr>
          <w:rFonts w:cstheme="minorHAnsi"/>
        </w:rPr>
      </w:pPr>
      <w:r w:rsidRPr="00BF5D14">
        <w:rPr>
          <w:rFonts w:cstheme="minorHAnsi"/>
        </w:rPr>
        <w:t>Cleared by:</w:t>
      </w:r>
      <w:r w:rsidR="006A2642">
        <w:rPr>
          <w:rFonts w:cstheme="minorHAnsi"/>
        </w:rPr>
        <w:t xml:space="preserve"> </w:t>
      </w:r>
      <w:r w:rsidR="0099414C">
        <w:rPr>
          <w:rFonts w:cstheme="minorHAnsi"/>
        </w:rPr>
        <w:t>Patrick Haverman</w:t>
      </w:r>
      <w:r w:rsidR="00C216AE">
        <w:rPr>
          <w:rFonts w:cstheme="minorHAnsi"/>
        </w:rPr>
        <w:t>, Resident Representative, UNDP in Viet Nam</w:t>
      </w:r>
    </w:p>
    <w:p w14:paraId="5F3CB141" w14:textId="49285DEE" w:rsidR="00AE5BD1" w:rsidRDefault="00AE5BD1" w:rsidP="00C3293F">
      <w:pPr>
        <w:tabs>
          <w:tab w:val="left" w:pos="4320"/>
          <w:tab w:val="left" w:pos="7200"/>
        </w:tabs>
        <w:spacing w:after="0" w:line="240" w:lineRule="auto"/>
        <w:rPr>
          <w:rFonts w:cstheme="minorHAnsi"/>
        </w:rPr>
      </w:pPr>
      <w:r w:rsidRPr="00BF5D14">
        <w:rPr>
          <w:rFonts w:cstheme="minorHAnsi"/>
        </w:rPr>
        <w:t>Input into and update in ERC:</w:t>
      </w:r>
      <w:r w:rsidR="006A4D5B">
        <w:rPr>
          <w:rFonts w:cstheme="minorHAnsi"/>
        </w:rPr>
        <w:t xml:space="preserve"> </w:t>
      </w:r>
      <w:r w:rsidR="00C216AE">
        <w:rPr>
          <w:rFonts w:cstheme="minorHAnsi"/>
        </w:rPr>
        <w:t xml:space="preserve">Nguyen Thi Ngoc Han, M&amp;E </w:t>
      </w:r>
      <w:r w:rsidR="00C770B4">
        <w:rPr>
          <w:rFonts w:cstheme="minorHAnsi"/>
        </w:rPr>
        <w:t>Analy</w:t>
      </w:r>
      <w:r w:rsidR="00B65514">
        <w:rPr>
          <w:rFonts w:cstheme="minorHAnsi"/>
        </w:rPr>
        <w:t>st</w:t>
      </w:r>
      <w:r w:rsidR="00C216AE">
        <w:rPr>
          <w:rFonts w:cstheme="minorHAnsi"/>
        </w:rPr>
        <w:t>, UNDP in Viet Nam</w:t>
      </w:r>
    </w:p>
    <w:p w14:paraId="2CA83D91" w14:textId="77777777" w:rsidR="00931D6A" w:rsidRPr="00BF5D14" w:rsidRDefault="00931D6A" w:rsidP="00C3293F">
      <w:pPr>
        <w:pBdr>
          <w:bottom w:val="double" w:sz="6" w:space="1" w:color="auto"/>
        </w:pBdr>
        <w:tabs>
          <w:tab w:val="left" w:pos="4320"/>
          <w:tab w:val="left" w:pos="7200"/>
        </w:tabs>
        <w:spacing w:after="0" w:line="240" w:lineRule="auto"/>
        <w:rPr>
          <w:rFonts w:cstheme="minorHAnsi"/>
        </w:rPr>
      </w:pPr>
    </w:p>
    <w:p w14:paraId="14EA1101" w14:textId="77777777" w:rsidR="00C325C3" w:rsidRPr="00C325C3" w:rsidRDefault="00C325C3" w:rsidP="00C325C3">
      <w:pPr>
        <w:spacing w:after="0" w:line="240" w:lineRule="auto"/>
        <w:rPr>
          <w:rFonts w:cstheme="minorHAnsi"/>
          <w:b/>
          <w:bCs/>
        </w:rPr>
      </w:pPr>
    </w:p>
    <w:p w14:paraId="20457DFD" w14:textId="79C1A529" w:rsidR="00C325C3" w:rsidRPr="00C325C3" w:rsidRDefault="00C325C3" w:rsidP="00C325C3">
      <w:pPr>
        <w:spacing w:after="0" w:line="240" w:lineRule="auto"/>
        <w:rPr>
          <w:rFonts w:cstheme="minorHAnsi"/>
        </w:rPr>
      </w:pPr>
      <w:r w:rsidRPr="00C325C3">
        <w:rPr>
          <w:rFonts w:cstheme="minorHAnsi"/>
          <w:b/>
          <w:bCs/>
        </w:rPr>
        <w:t>Evaluation recommendation 1</w:t>
      </w:r>
      <w:r w:rsidRPr="00C325C3">
        <w:rPr>
          <w:rFonts w:cstheme="minorHAnsi"/>
        </w:rPr>
        <w:t>: “PAPI team should develop a sounder results framework, transitioning from an output-focused approach, such as the mere number of reports or events, to a results-oriented one that measures tangible effects on governance improvements. Additionally, the team should develop a well-articulated theory of change to map how PAPI’s outputs, such as data and reports, directly contribute to intended outcomes, such as improvements in governance and social inclusion.”</w:t>
      </w:r>
    </w:p>
    <w:p w14:paraId="42E61ACF" w14:textId="77777777" w:rsidR="00C325C3" w:rsidRDefault="00C325C3" w:rsidP="00C325C3">
      <w:pPr>
        <w:spacing w:after="0" w:line="240" w:lineRule="auto"/>
        <w:rPr>
          <w:rFonts w:cstheme="minorHAnsi"/>
          <w:b/>
          <w:bCs/>
        </w:rPr>
      </w:pPr>
    </w:p>
    <w:p w14:paraId="24FF1752" w14:textId="729B179F" w:rsidR="00C325C3" w:rsidRPr="00C325C3" w:rsidRDefault="00C325C3" w:rsidP="00C325C3">
      <w:pPr>
        <w:spacing w:after="0" w:line="240" w:lineRule="auto"/>
        <w:rPr>
          <w:rFonts w:cstheme="minorHAnsi"/>
          <w:b/>
          <w:bCs/>
        </w:rPr>
      </w:pPr>
      <w:r w:rsidRPr="00C325C3">
        <w:rPr>
          <w:rFonts w:cstheme="minorHAnsi"/>
          <w:b/>
          <w:bCs/>
        </w:rPr>
        <w:t>Management response:  Agreed</w:t>
      </w:r>
    </w:p>
    <w:p w14:paraId="692E7868" w14:textId="77777777" w:rsidR="00C325C3" w:rsidRPr="00C325C3" w:rsidRDefault="00C325C3" w:rsidP="00C325C3">
      <w:pPr>
        <w:spacing w:after="0" w:line="240" w:lineRule="auto"/>
        <w:rPr>
          <w:rFonts w:cstheme="minorHAnsi"/>
          <w:b/>
          <w:bCs/>
        </w:rPr>
      </w:pPr>
    </w:p>
    <w:p w14:paraId="36CE22E5" w14:textId="77777777" w:rsidR="00C325C3" w:rsidRPr="00C325C3" w:rsidRDefault="00C325C3" w:rsidP="00C325C3">
      <w:pPr>
        <w:spacing w:after="0" w:line="240" w:lineRule="auto"/>
        <w:rPr>
          <w:rFonts w:cstheme="minorHAnsi"/>
        </w:rPr>
      </w:pPr>
      <w:r w:rsidRPr="00C325C3">
        <w:rPr>
          <w:rFonts w:cstheme="minorHAnsi"/>
        </w:rPr>
        <w:t>-</w:t>
      </w:r>
      <w:r w:rsidRPr="00C325C3">
        <w:rPr>
          <w:rFonts w:cstheme="minorHAnsi"/>
        </w:rPr>
        <w:tab/>
        <w:t xml:space="preserve">We note that the PAPI Programme’s outputs have been included in UNDP CO’s CPD to be both as indicators for measurement of Outcome 3.4. We also note that the PAPI Programme’s annual work plans highlight key outcomes in the UNDP CO’s CPD that it contributes to. </w:t>
      </w:r>
    </w:p>
    <w:p w14:paraId="1D1D815D" w14:textId="77777777" w:rsidR="00C325C3" w:rsidRPr="00C325C3" w:rsidRDefault="00C325C3" w:rsidP="00C325C3">
      <w:pPr>
        <w:spacing w:after="0" w:line="240" w:lineRule="auto"/>
        <w:rPr>
          <w:rFonts w:cstheme="minorHAnsi"/>
        </w:rPr>
      </w:pPr>
      <w:r w:rsidRPr="00C325C3">
        <w:rPr>
          <w:rFonts w:cstheme="minorHAnsi"/>
        </w:rPr>
        <w:t>-</w:t>
      </w:r>
      <w:r w:rsidRPr="00C325C3">
        <w:rPr>
          <w:rFonts w:cstheme="minorHAnsi"/>
        </w:rPr>
        <w:tab/>
        <w:t xml:space="preserve">We note the importance of a well-articulated theory of change and have developed it but have not called it “a theory of change,” but a workflow that result in outputs and developmental outcomes for specific groups of people (for all) as provided in our annual progress reports. We can strengthen this part to make the theory of change more explicitly in our upcoming cycle if PAPI programme is continued after 2025. </w:t>
      </w:r>
    </w:p>
    <w:p w14:paraId="0F810FD4" w14:textId="77777777" w:rsidR="00693BFB" w:rsidRPr="00BF5D14" w:rsidRDefault="00693BFB" w:rsidP="00C3293F">
      <w:pPr>
        <w:spacing w:after="0" w:line="240" w:lineRule="auto"/>
        <w:rPr>
          <w:rFonts w:cstheme="minorHAnsi"/>
        </w:rPr>
      </w:pPr>
    </w:p>
    <w:tbl>
      <w:tblPr>
        <w:tblStyle w:val="TableGrid"/>
        <w:tblpPr w:leftFromText="180" w:rightFromText="180" w:vertAnchor="text" w:tblpY="31"/>
        <w:tblW w:w="8312" w:type="dxa"/>
        <w:tblLook w:val="01E0" w:firstRow="1" w:lastRow="1" w:firstColumn="1" w:lastColumn="1" w:noHBand="0" w:noVBand="0"/>
      </w:tblPr>
      <w:tblGrid>
        <w:gridCol w:w="2766"/>
        <w:gridCol w:w="1970"/>
        <w:gridCol w:w="1863"/>
        <w:gridCol w:w="1713"/>
      </w:tblGrid>
      <w:tr w:rsidR="00E50C9B" w:rsidRPr="008711DF" w14:paraId="6E0E844C" w14:textId="77777777" w:rsidTr="00E50C9B">
        <w:tc>
          <w:tcPr>
            <w:tcW w:w="2766" w:type="dxa"/>
          </w:tcPr>
          <w:p w14:paraId="12D73CE3" w14:textId="2CCCD027" w:rsidR="00E50C9B" w:rsidRDefault="00E50C9B" w:rsidP="000F4661">
            <w:pPr>
              <w:tabs>
                <w:tab w:val="left" w:pos="1080"/>
              </w:tabs>
              <w:rPr>
                <w:rFonts w:cstheme="minorHAnsi"/>
                <w:color w:val="185262"/>
              </w:rPr>
            </w:pPr>
            <w:r w:rsidRPr="008711DF">
              <w:rPr>
                <w:rFonts w:cstheme="minorHAnsi"/>
                <w:b/>
                <w:color w:val="185262"/>
              </w:rPr>
              <w:t>Key action(s)</w:t>
            </w:r>
          </w:p>
        </w:tc>
        <w:tc>
          <w:tcPr>
            <w:tcW w:w="1970" w:type="dxa"/>
          </w:tcPr>
          <w:p w14:paraId="66479253" w14:textId="18E83AEA" w:rsidR="00E50C9B" w:rsidRDefault="00E50C9B" w:rsidP="000F4661">
            <w:pPr>
              <w:tabs>
                <w:tab w:val="left" w:pos="1080"/>
              </w:tabs>
              <w:rPr>
                <w:rFonts w:cstheme="minorHAnsi"/>
                <w:color w:val="185262"/>
              </w:rPr>
            </w:pPr>
            <w:r w:rsidRPr="008711DF">
              <w:rPr>
                <w:rFonts w:cstheme="minorHAnsi"/>
                <w:b/>
                <w:color w:val="185262"/>
              </w:rPr>
              <w:t>Completion date</w:t>
            </w:r>
          </w:p>
        </w:tc>
        <w:tc>
          <w:tcPr>
            <w:tcW w:w="1863" w:type="dxa"/>
          </w:tcPr>
          <w:p w14:paraId="62C56D64" w14:textId="164DC593" w:rsidR="00E50C9B" w:rsidRDefault="00E50C9B" w:rsidP="000F4661">
            <w:pPr>
              <w:tabs>
                <w:tab w:val="left" w:pos="1080"/>
              </w:tabs>
              <w:rPr>
                <w:rFonts w:cstheme="minorHAnsi"/>
                <w:color w:val="185262"/>
              </w:rPr>
            </w:pPr>
            <w:r w:rsidRPr="008711DF">
              <w:rPr>
                <w:rFonts w:cstheme="minorHAnsi"/>
                <w:b/>
                <w:color w:val="185262"/>
              </w:rPr>
              <w:t>Responsible unit(s)</w:t>
            </w:r>
          </w:p>
        </w:tc>
        <w:tc>
          <w:tcPr>
            <w:tcW w:w="1713" w:type="dxa"/>
          </w:tcPr>
          <w:p w14:paraId="44602272" w14:textId="4A878A6B" w:rsidR="00E50C9B" w:rsidRPr="008711DF" w:rsidRDefault="00E50C9B" w:rsidP="000F4661">
            <w:pPr>
              <w:tabs>
                <w:tab w:val="left" w:pos="1080"/>
              </w:tabs>
              <w:rPr>
                <w:rFonts w:asciiTheme="majorHAnsi" w:eastAsiaTheme="majorEastAsia" w:hAnsiTheme="majorHAnsi" w:cstheme="minorHAnsi"/>
                <w:b/>
                <w:color w:val="185262"/>
                <w:sz w:val="21"/>
                <w:szCs w:val="21"/>
              </w:rPr>
            </w:pPr>
            <w:r w:rsidRPr="008711DF">
              <w:rPr>
                <w:rFonts w:cstheme="minorHAnsi"/>
                <w:b/>
                <w:color w:val="185262"/>
              </w:rPr>
              <w:t>Tracking</w:t>
            </w:r>
            <w:r>
              <w:rPr>
                <w:rFonts w:cstheme="minorHAnsi"/>
                <w:b/>
                <w:color w:val="185262"/>
              </w:rPr>
              <w:t xml:space="preserve"> </w:t>
            </w:r>
            <w:r w:rsidRPr="008711DF">
              <w:rPr>
                <w:rFonts w:cstheme="minorHAnsi"/>
                <w:b/>
                <w:color w:val="185262"/>
              </w:rPr>
              <w:t>Status</w:t>
            </w:r>
            <w:r>
              <w:rPr>
                <w:rFonts w:cstheme="minorHAnsi"/>
                <w:b/>
                <w:color w:val="185262"/>
              </w:rPr>
              <w:t>*</w:t>
            </w:r>
          </w:p>
          <w:p w14:paraId="39863E3D" w14:textId="371654A5" w:rsidR="00E50C9B" w:rsidRDefault="00E50C9B" w:rsidP="000F4661">
            <w:pPr>
              <w:tabs>
                <w:tab w:val="left" w:pos="1080"/>
              </w:tabs>
              <w:rPr>
                <w:rFonts w:cstheme="minorHAnsi"/>
                <w:color w:val="185262"/>
              </w:rPr>
            </w:pPr>
            <w:r w:rsidRPr="008711DF">
              <w:rPr>
                <w:rFonts w:cstheme="minorHAnsi"/>
                <w:b/>
                <w:color w:val="185262"/>
              </w:rPr>
              <w:t>(</w:t>
            </w:r>
            <w:proofErr w:type="gramStart"/>
            <w:r w:rsidRPr="008711DF">
              <w:rPr>
                <w:rFonts w:cstheme="minorHAnsi"/>
                <w:b/>
                <w:color w:val="185262"/>
              </w:rPr>
              <w:t>initiated</w:t>
            </w:r>
            <w:proofErr w:type="gramEnd"/>
            <w:r w:rsidRPr="008711DF">
              <w:rPr>
                <w:rFonts w:cstheme="minorHAnsi"/>
                <w:b/>
                <w:color w:val="185262"/>
              </w:rPr>
              <w:t>, completed or no due date)</w:t>
            </w:r>
          </w:p>
        </w:tc>
      </w:tr>
      <w:tr w:rsidR="00E50C9B" w:rsidRPr="008711DF" w14:paraId="0C51D927" w14:textId="77777777" w:rsidTr="00E50C9B">
        <w:tc>
          <w:tcPr>
            <w:tcW w:w="2766" w:type="dxa"/>
          </w:tcPr>
          <w:p w14:paraId="4183DAC3" w14:textId="6054EE80" w:rsidR="00E50C9B" w:rsidRPr="00342138" w:rsidRDefault="00E50C9B" w:rsidP="000F4661">
            <w:pPr>
              <w:tabs>
                <w:tab w:val="left" w:pos="1080"/>
              </w:tabs>
              <w:rPr>
                <w:rFonts w:cstheme="minorHAnsi"/>
                <w:color w:val="185262"/>
              </w:rPr>
            </w:pPr>
            <w:r>
              <w:rPr>
                <w:rFonts w:cstheme="minorHAnsi"/>
                <w:color w:val="185262"/>
              </w:rPr>
              <w:t xml:space="preserve">1.1. Link </w:t>
            </w:r>
            <w:r w:rsidRPr="00043929">
              <w:rPr>
                <w:color w:val="185262"/>
              </w:rPr>
              <w:t>PAPI</w:t>
            </w:r>
            <w:r>
              <w:rPr>
                <w:rFonts w:cstheme="minorHAnsi"/>
                <w:color w:val="185262"/>
              </w:rPr>
              <w:t xml:space="preserve"> results to UNDP’s CPD result framework</w:t>
            </w:r>
            <w:r w:rsidRPr="00342138">
              <w:rPr>
                <w:rFonts w:cstheme="minorHAnsi"/>
                <w:color w:val="185262"/>
              </w:rPr>
              <w:t xml:space="preserve"> </w:t>
            </w:r>
            <w:r>
              <w:rPr>
                <w:rFonts w:cstheme="minorHAnsi"/>
                <w:color w:val="185262"/>
              </w:rPr>
              <w:t>in annual progress reports</w:t>
            </w:r>
          </w:p>
        </w:tc>
        <w:tc>
          <w:tcPr>
            <w:tcW w:w="1970" w:type="dxa"/>
          </w:tcPr>
          <w:p w14:paraId="7A6C4F51" w14:textId="35439315" w:rsidR="00E50C9B" w:rsidRPr="008711DF" w:rsidRDefault="00E50C9B" w:rsidP="000F4661">
            <w:pPr>
              <w:tabs>
                <w:tab w:val="left" w:pos="1080"/>
              </w:tabs>
              <w:rPr>
                <w:rFonts w:cstheme="minorHAnsi"/>
                <w:color w:val="185262"/>
              </w:rPr>
            </w:pPr>
            <w:r>
              <w:rPr>
                <w:rFonts w:cstheme="minorHAnsi"/>
                <w:color w:val="185262"/>
              </w:rPr>
              <w:t xml:space="preserve">30 January 2024, </w:t>
            </w:r>
            <w:proofErr w:type="gramStart"/>
            <w:r>
              <w:rPr>
                <w:rFonts w:cstheme="minorHAnsi"/>
                <w:color w:val="185262"/>
              </w:rPr>
              <w:t>2025</w:t>
            </w:r>
            <w:proofErr w:type="gramEnd"/>
            <w:r>
              <w:rPr>
                <w:rFonts w:cstheme="minorHAnsi"/>
                <w:color w:val="185262"/>
              </w:rPr>
              <w:t xml:space="preserve"> </w:t>
            </w:r>
          </w:p>
        </w:tc>
        <w:tc>
          <w:tcPr>
            <w:tcW w:w="1863" w:type="dxa"/>
          </w:tcPr>
          <w:p w14:paraId="282BC685" w14:textId="5F164200" w:rsidR="00E50C9B" w:rsidRPr="008711DF" w:rsidRDefault="00E50C9B" w:rsidP="000F4661">
            <w:pPr>
              <w:tabs>
                <w:tab w:val="left" w:pos="1080"/>
              </w:tabs>
              <w:rPr>
                <w:rFonts w:cstheme="minorHAnsi"/>
                <w:color w:val="185262"/>
              </w:rPr>
            </w:pPr>
            <w:r>
              <w:rPr>
                <w:rFonts w:cstheme="minorHAnsi"/>
                <w:color w:val="185262"/>
              </w:rPr>
              <w:t>UNDP/GPT/PAPI Team</w:t>
            </w:r>
          </w:p>
        </w:tc>
        <w:tc>
          <w:tcPr>
            <w:tcW w:w="1713" w:type="dxa"/>
          </w:tcPr>
          <w:p w14:paraId="67B0FFCA" w14:textId="341A3CCE" w:rsidR="00E50C9B" w:rsidRPr="008711DF" w:rsidRDefault="00E50C9B" w:rsidP="000F4661">
            <w:pPr>
              <w:tabs>
                <w:tab w:val="left" w:pos="1080"/>
              </w:tabs>
              <w:rPr>
                <w:rFonts w:cstheme="minorHAnsi"/>
                <w:color w:val="185262"/>
              </w:rPr>
            </w:pPr>
            <w:r>
              <w:rPr>
                <w:rFonts w:cstheme="minorHAnsi"/>
                <w:color w:val="185262"/>
              </w:rPr>
              <w:t>Initiated</w:t>
            </w:r>
          </w:p>
        </w:tc>
      </w:tr>
      <w:tr w:rsidR="00E50C9B" w:rsidRPr="008711DF" w14:paraId="4007FF13" w14:textId="77777777" w:rsidTr="00E50C9B">
        <w:tc>
          <w:tcPr>
            <w:tcW w:w="2766" w:type="dxa"/>
          </w:tcPr>
          <w:p w14:paraId="3B046ECE" w14:textId="55859664" w:rsidR="00E50C9B" w:rsidRPr="00043929" w:rsidRDefault="00E50C9B" w:rsidP="000F4661">
            <w:pPr>
              <w:tabs>
                <w:tab w:val="left" w:pos="1080"/>
              </w:tabs>
              <w:rPr>
                <w:rFonts w:cstheme="minorHAnsi"/>
                <w:color w:val="185262"/>
              </w:rPr>
            </w:pPr>
            <w:r>
              <w:rPr>
                <w:rFonts w:cstheme="minorHAnsi"/>
                <w:color w:val="185262"/>
              </w:rPr>
              <w:t xml:space="preserve">1.2. </w:t>
            </w:r>
            <w:r w:rsidRPr="00043929">
              <w:rPr>
                <w:rFonts w:cstheme="minorHAnsi"/>
                <w:color w:val="185262"/>
              </w:rPr>
              <w:t xml:space="preserve">Draft a well-articulated Theory of Change for PAPI when developing the 2025-2030 project document </w:t>
            </w:r>
          </w:p>
        </w:tc>
        <w:tc>
          <w:tcPr>
            <w:tcW w:w="1970" w:type="dxa"/>
          </w:tcPr>
          <w:p w14:paraId="341BB32C" w14:textId="73A888F6" w:rsidR="00E50C9B" w:rsidRPr="008711DF" w:rsidRDefault="00E50C9B" w:rsidP="000F4661">
            <w:pPr>
              <w:tabs>
                <w:tab w:val="left" w:pos="1080"/>
              </w:tabs>
              <w:rPr>
                <w:rFonts w:cstheme="minorHAnsi"/>
                <w:color w:val="185262"/>
              </w:rPr>
            </w:pPr>
            <w:r>
              <w:rPr>
                <w:rFonts w:cstheme="minorHAnsi"/>
                <w:color w:val="185262"/>
              </w:rPr>
              <w:t>30 June 2025</w:t>
            </w:r>
          </w:p>
        </w:tc>
        <w:tc>
          <w:tcPr>
            <w:tcW w:w="1863" w:type="dxa"/>
          </w:tcPr>
          <w:p w14:paraId="25B56CC3" w14:textId="3B654911" w:rsidR="00E50C9B" w:rsidRPr="008711DF" w:rsidRDefault="00E50C9B" w:rsidP="000F4661">
            <w:pPr>
              <w:tabs>
                <w:tab w:val="left" w:pos="1080"/>
              </w:tabs>
              <w:rPr>
                <w:rFonts w:cstheme="minorHAnsi"/>
                <w:color w:val="185262"/>
              </w:rPr>
            </w:pPr>
            <w:r>
              <w:rPr>
                <w:rFonts w:cstheme="minorHAnsi"/>
                <w:color w:val="185262"/>
              </w:rPr>
              <w:t>UNDP/GPT/PAPI Team</w:t>
            </w:r>
          </w:p>
        </w:tc>
        <w:tc>
          <w:tcPr>
            <w:tcW w:w="1713" w:type="dxa"/>
          </w:tcPr>
          <w:p w14:paraId="55A89925" w14:textId="2532C899" w:rsidR="00E50C9B" w:rsidRPr="008711DF" w:rsidRDefault="00E50C9B" w:rsidP="000F4661">
            <w:pPr>
              <w:tabs>
                <w:tab w:val="left" w:pos="1080"/>
              </w:tabs>
              <w:rPr>
                <w:rFonts w:cstheme="minorHAnsi"/>
                <w:color w:val="185262"/>
              </w:rPr>
            </w:pPr>
            <w:r>
              <w:rPr>
                <w:rFonts w:cstheme="minorHAnsi"/>
                <w:color w:val="185262"/>
              </w:rPr>
              <w:t>Initiated</w:t>
            </w:r>
          </w:p>
        </w:tc>
      </w:tr>
    </w:tbl>
    <w:p w14:paraId="00C4E836" w14:textId="77777777" w:rsidR="00AE5BD1" w:rsidRPr="00CF3C0B" w:rsidRDefault="00AE5BD1" w:rsidP="00C3293F">
      <w:pPr>
        <w:spacing w:after="0" w:line="240" w:lineRule="auto"/>
        <w:rPr>
          <w:rFonts w:cstheme="minorHAnsi"/>
          <w:b/>
          <w:bCs/>
          <w:vanish/>
          <w:color w:val="185262"/>
        </w:rPr>
      </w:pPr>
    </w:p>
    <w:p w14:paraId="169ECEC6" w14:textId="77777777" w:rsidR="00E50C9B" w:rsidRDefault="00E50C9B" w:rsidP="00CF3C0B">
      <w:pPr>
        <w:rPr>
          <w:b/>
          <w:bCs/>
        </w:rPr>
      </w:pPr>
    </w:p>
    <w:p w14:paraId="7674C78B" w14:textId="77777777" w:rsidR="00E50C9B" w:rsidRDefault="00E50C9B" w:rsidP="00CF3C0B">
      <w:pPr>
        <w:rPr>
          <w:b/>
          <w:bCs/>
        </w:rPr>
      </w:pPr>
    </w:p>
    <w:p w14:paraId="2EE0B80D" w14:textId="77777777" w:rsidR="00E50C9B" w:rsidRDefault="00E50C9B" w:rsidP="00CF3C0B">
      <w:pPr>
        <w:rPr>
          <w:b/>
          <w:bCs/>
        </w:rPr>
      </w:pPr>
    </w:p>
    <w:p w14:paraId="20077A81" w14:textId="77777777" w:rsidR="00E50C9B" w:rsidRDefault="00E50C9B" w:rsidP="00CF3C0B">
      <w:pPr>
        <w:rPr>
          <w:b/>
          <w:bCs/>
        </w:rPr>
      </w:pPr>
    </w:p>
    <w:p w14:paraId="6A4A7157" w14:textId="77777777" w:rsidR="00E50C9B" w:rsidRDefault="00E50C9B" w:rsidP="00CF3C0B">
      <w:pPr>
        <w:rPr>
          <w:b/>
          <w:bCs/>
        </w:rPr>
      </w:pPr>
    </w:p>
    <w:p w14:paraId="089AA31A" w14:textId="77777777" w:rsidR="00E50C9B" w:rsidRDefault="00E50C9B" w:rsidP="00CF3C0B">
      <w:pPr>
        <w:rPr>
          <w:b/>
          <w:bCs/>
        </w:rPr>
      </w:pPr>
    </w:p>
    <w:p w14:paraId="6E68EF56" w14:textId="77777777" w:rsidR="00E50C9B" w:rsidRDefault="00E50C9B" w:rsidP="00CF3C0B">
      <w:pPr>
        <w:rPr>
          <w:b/>
          <w:bCs/>
        </w:rPr>
      </w:pPr>
    </w:p>
    <w:p w14:paraId="43815702" w14:textId="77777777" w:rsidR="00E50C9B" w:rsidRDefault="00E50C9B" w:rsidP="00CF3C0B">
      <w:pPr>
        <w:rPr>
          <w:b/>
          <w:bCs/>
        </w:rPr>
      </w:pPr>
    </w:p>
    <w:p w14:paraId="0DB573FF" w14:textId="4AB2AC1B" w:rsidR="00CF3C0B" w:rsidRDefault="00CF3C0B" w:rsidP="00CF3C0B">
      <w:r w:rsidRPr="00CF3C0B">
        <w:rPr>
          <w:b/>
          <w:bCs/>
        </w:rPr>
        <w:t>Evaluation recommendation 2:</w:t>
      </w:r>
      <w:r>
        <w:t xml:space="preserve"> “To ensure PAPI’s data quality and assessment neutrality, PAPI team should maintain high vigilance around potential interference in PAPI's data collection process. PAPI will </w:t>
      </w:r>
      <w:r>
        <w:lastRenderedPageBreak/>
        <w:t>benefit from Viet Nam Fatherland Front (VFF) becoming a strong advocate for data integrity, given VFF’s role in the data collection process. UNDP’s leadership should engage national VFF leaders more directly on the importance of safeguarding the integrity of data collection on the ground from potential interference by officials at lower levels in the provinces. Also, UNDP and PAPI team should institute regular consultative meetings with provincial officials around the data integrity issue to build support and prevent interference.”</w:t>
      </w:r>
    </w:p>
    <w:p w14:paraId="052FC499" w14:textId="77777777" w:rsidR="00CF3C0B" w:rsidRPr="00CF3C0B" w:rsidRDefault="00CF3C0B" w:rsidP="00CF3C0B">
      <w:pPr>
        <w:rPr>
          <w:b/>
          <w:bCs/>
        </w:rPr>
      </w:pPr>
      <w:r w:rsidRPr="00CF3C0B">
        <w:rPr>
          <w:b/>
          <w:bCs/>
        </w:rPr>
        <w:t>Management response: Agreed</w:t>
      </w:r>
    </w:p>
    <w:p w14:paraId="532F9137" w14:textId="77777777" w:rsidR="00CF3C0B" w:rsidRDefault="00CF3C0B" w:rsidP="00CF3C0B">
      <w:r>
        <w:t>-</w:t>
      </w:r>
      <w:r>
        <w:tab/>
        <w:t>We will work further with the Consortium of CECODES-VFF to engage the VFF and VFF-</w:t>
      </w:r>
      <w:proofErr w:type="spellStart"/>
      <w:r>
        <w:t>Center</w:t>
      </w:r>
      <w:proofErr w:type="spellEnd"/>
      <w:r>
        <w:t xml:space="preserve"> for Research and Training more deeply to talk about how to mitigate potential interference from local authorities in PAPI’s data collection process as recommended.</w:t>
      </w:r>
    </w:p>
    <w:p w14:paraId="62E2CDE2" w14:textId="77777777" w:rsidR="00CF3C0B" w:rsidRDefault="00CF3C0B" w:rsidP="00CF3C0B">
      <w:r>
        <w:t>-</w:t>
      </w:r>
      <w:r>
        <w:tab/>
        <w:t xml:space="preserve">We will continue our reiteration of the importance of the data integrity issue during our meetings with provincial authorities to prevent their potential interference in our data collection processes during the National Launch and during our diagnostic workshops with provinces. Regular meetings with local authorities only on the matter of potential interference will not be feasible. </w:t>
      </w:r>
    </w:p>
    <w:tbl>
      <w:tblPr>
        <w:tblStyle w:val="TableGrid"/>
        <w:tblW w:w="8396" w:type="dxa"/>
        <w:tblLook w:val="01E0" w:firstRow="1" w:lastRow="1" w:firstColumn="1" w:lastColumn="1" w:noHBand="0" w:noVBand="0"/>
      </w:tblPr>
      <w:tblGrid>
        <w:gridCol w:w="2965"/>
        <w:gridCol w:w="1890"/>
        <w:gridCol w:w="1738"/>
        <w:gridCol w:w="1803"/>
      </w:tblGrid>
      <w:tr w:rsidR="00E50C9B" w:rsidRPr="008711DF" w14:paraId="79932541" w14:textId="77777777" w:rsidTr="00E50C9B">
        <w:tc>
          <w:tcPr>
            <w:tcW w:w="2965" w:type="dxa"/>
          </w:tcPr>
          <w:p w14:paraId="2A921F43" w14:textId="61C28EEB" w:rsidR="00E50C9B" w:rsidRPr="2E577EF3" w:rsidRDefault="00E50C9B" w:rsidP="003B5EBF">
            <w:pPr>
              <w:tabs>
                <w:tab w:val="left" w:pos="1080"/>
              </w:tabs>
              <w:rPr>
                <w:color w:val="185262"/>
              </w:rPr>
            </w:pPr>
            <w:r w:rsidRPr="008711DF">
              <w:rPr>
                <w:rFonts w:cstheme="minorHAnsi"/>
                <w:b/>
                <w:color w:val="185262"/>
              </w:rPr>
              <w:t>Key action(s)</w:t>
            </w:r>
          </w:p>
        </w:tc>
        <w:tc>
          <w:tcPr>
            <w:tcW w:w="1890" w:type="dxa"/>
          </w:tcPr>
          <w:p w14:paraId="42C60C94" w14:textId="79CA392F" w:rsidR="00E50C9B" w:rsidRDefault="00E50C9B" w:rsidP="003B5EBF">
            <w:pPr>
              <w:tabs>
                <w:tab w:val="left" w:pos="1080"/>
              </w:tabs>
              <w:rPr>
                <w:rFonts w:cstheme="minorHAnsi"/>
                <w:color w:val="185262"/>
              </w:rPr>
            </w:pPr>
            <w:r w:rsidRPr="008711DF">
              <w:rPr>
                <w:rFonts w:cstheme="minorHAnsi"/>
                <w:b/>
                <w:color w:val="185262"/>
              </w:rPr>
              <w:t>Completion date</w:t>
            </w:r>
          </w:p>
        </w:tc>
        <w:tc>
          <w:tcPr>
            <w:tcW w:w="1738" w:type="dxa"/>
          </w:tcPr>
          <w:p w14:paraId="42DD6F4B" w14:textId="5D47BC43" w:rsidR="00E50C9B" w:rsidRDefault="00E50C9B" w:rsidP="003B5EBF">
            <w:pPr>
              <w:tabs>
                <w:tab w:val="left" w:pos="1080"/>
              </w:tabs>
              <w:rPr>
                <w:rFonts w:cstheme="minorHAnsi"/>
                <w:color w:val="185262"/>
              </w:rPr>
            </w:pPr>
            <w:r w:rsidRPr="008711DF">
              <w:rPr>
                <w:rFonts w:cstheme="minorHAnsi"/>
                <w:b/>
                <w:color w:val="185262"/>
              </w:rPr>
              <w:t>Responsible unit(s)</w:t>
            </w:r>
          </w:p>
        </w:tc>
        <w:tc>
          <w:tcPr>
            <w:tcW w:w="1803" w:type="dxa"/>
          </w:tcPr>
          <w:p w14:paraId="691AB6D2" w14:textId="77777777" w:rsidR="00E50C9B" w:rsidRPr="008711DF" w:rsidRDefault="00E50C9B" w:rsidP="008C7B14">
            <w:pPr>
              <w:tabs>
                <w:tab w:val="left" w:pos="1080"/>
              </w:tabs>
              <w:rPr>
                <w:rFonts w:asciiTheme="majorHAnsi" w:eastAsiaTheme="majorEastAsia" w:hAnsiTheme="majorHAnsi" w:cstheme="minorHAnsi"/>
                <w:b/>
                <w:color w:val="185262"/>
                <w:sz w:val="21"/>
                <w:szCs w:val="21"/>
              </w:rPr>
            </w:pPr>
            <w:r w:rsidRPr="008711DF">
              <w:rPr>
                <w:rFonts w:cstheme="minorHAnsi"/>
                <w:b/>
                <w:color w:val="185262"/>
              </w:rPr>
              <w:t>Tracking</w:t>
            </w:r>
            <w:r>
              <w:rPr>
                <w:rFonts w:cstheme="minorHAnsi"/>
                <w:b/>
                <w:color w:val="185262"/>
              </w:rPr>
              <w:t xml:space="preserve"> </w:t>
            </w:r>
            <w:r w:rsidRPr="008711DF">
              <w:rPr>
                <w:rFonts w:cstheme="minorHAnsi"/>
                <w:b/>
                <w:color w:val="185262"/>
              </w:rPr>
              <w:t>Status</w:t>
            </w:r>
            <w:r>
              <w:rPr>
                <w:rFonts w:cstheme="minorHAnsi"/>
                <w:b/>
                <w:color w:val="185262"/>
              </w:rPr>
              <w:t>*</w:t>
            </w:r>
          </w:p>
          <w:p w14:paraId="52BEB784" w14:textId="40E49046" w:rsidR="00E50C9B" w:rsidRDefault="00E50C9B" w:rsidP="008C7B14">
            <w:pPr>
              <w:tabs>
                <w:tab w:val="left" w:pos="1080"/>
              </w:tabs>
              <w:rPr>
                <w:rFonts w:cstheme="minorHAnsi"/>
                <w:color w:val="185262"/>
              </w:rPr>
            </w:pPr>
            <w:r w:rsidRPr="008711DF">
              <w:rPr>
                <w:rFonts w:cstheme="minorHAnsi"/>
                <w:b/>
                <w:color w:val="185262"/>
              </w:rPr>
              <w:t>(</w:t>
            </w:r>
            <w:proofErr w:type="gramStart"/>
            <w:r w:rsidRPr="008711DF">
              <w:rPr>
                <w:rFonts w:cstheme="minorHAnsi"/>
                <w:b/>
                <w:color w:val="185262"/>
              </w:rPr>
              <w:t>initiated</w:t>
            </w:r>
            <w:proofErr w:type="gramEnd"/>
            <w:r w:rsidRPr="008711DF">
              <w:rPr>
                <w:rFonts w:cstheme="minorHAnsi"/>
                <w:b/>
                <w:color w:val="185262"/>
              </w:rPr>
              <w:t>, completed or no due date)</w:t>
            </w:r>
          </w:p>
        </w:tc>
      </w:tr>
      <w:tr w:rsidR="00E50C9B" w:rsidRPr="008711DF" w14:paraId="5BE55430" w14:textId="77777777" w:rsidTr="00E50C9B">
        <w:tc>
          <w:tcPr>
            <w:tcW w:w="2965" w:type="dxa"/>
          </w:tcPr>
          <w:p w14:paraId="01B8FFC3" w14:textId="7709B090" w:rsidR="00E50C9B" w:rsidRPr="008711DF" w:rsidRDefault="00E50C9B" w:rsidP="2E577EF3">
            <w:pPr>
              <w:tabs>
                <w:tab w:val="left" w:pos="1080"/>
              </w:tabs>
              <w:rPr>
                <w:color w:val="185262"/>
              </w:rPr>
            </w:pPr>
            <w:r w:rsidRPr="2E577EF3">
              <w:rPr>
                <w:color w:val="185262"/>
              </w:rPr>
              <w:t>2.1. Discuss with international experts and the PAPI Advisory Board</w:t>
            </w:r>
            <w:r>
              <w:rPr>
                <w:color w:val="185262"/>
              </w:rPr>
              <w:t>, with VFF representatives as members as well,</w:t>
            </w:r>
            <w:r w:rsidRPr="2E577EF3">
              <w:rPr>
                <w:color w:val="185262"/>
              </w:rPr>
              <w:t xml:space="preserve"> on </w:t>
            </w:r>
            <w:r w:rsidRPr="00BE192E">
              <w:rPr>
                <w:color w:val="185262"/>
              </w:rPr>
              <w:t>a set of recommendations</w:t>
            </w:r>
            <w:r w:rsidRPr="2E577EF3">
              <w:rPr>
                <w:color w:val="185262"/>
              </w:rPr>
              <w:t xml:space="preserve"> to avoid potential interference in PAPI’s data collection process to be applied in 2024 PAPI data collection processes. </w:t>
            </w:r>
          </w:p>
        </w:tc>
        <w:tc>
          <w:tcPr>
            <w:tcW w:w="1890" w:type="dxa"/>
          </w:tcPr>
          <w:p w14:paraId="31387F0F" w14:textId="5664F1D5" w:rsidR="00E50C9B" w:rsidRPr="008711DF" w:rsidRDefault="00E50C9B" w:rsidP="00C3293F">
            <w:pPr>
              <w:tabs>
                <w:tab w:val="left" w:pos="1080"/>
              </w:tabs>
              <w:rPr>
                <w:rFonts w:cstheme="minorHAnsi"/>
                <w:color w:val="185262"/>
              </w:rPr>
            </w:pPr>
            <w:r>
              <w:rPr>
                <w:rFonts w:cstheme="minorHAnsi"/>
                <w:color w:val="185262"/>
              </w:rPr>
              <w:t xml:space="preserve">15 March 2024 </w:t>
            </w:r>
          </w:p>
        </w:tc>
        <w:tc>
          <w:tcPr>
            <w:tcW w:w="1738" w:type="dxa"/>
          </w:tcPr>
          <w:p w14:paraId="5F6F2429" w14:textId="58DEB153" w:rsidR="00E50C9B" w:rsidRPr="008711DF" w:rsidRDefault="00E50C9B" w:rsidP="00C3293F">
            <w:pPr>
              <w:tabs>
                <w:tab w:val="left" w:pos="1080"/>
              </w:tabs>
              <w:rPr>
                <w:rFonts w:cstheme="minorHAnsi"/>
                <w:color w:val="185262"/>
              </w:rPr>
            </w:pPr>
            <w:r>
              <w:rPr>
                <w:rFonts w:cstheme="minorHAnsi"/>
                <w:color w:val="185262"/>
              </w:rPr>
              <w:t>UNDP/GPT/PAPI Team</w:t>
            </w:r>
          </w:p>
        </w:tc>
        <w:tc>
          <w:tcPr>
            <w:tcW w:w="1803" w:type="dxa"/>
          </w:tcPr>
          <w:p w14:paraId="1FC4CC7B" w14:textId="23AA43A2" w:rsidR="00E50C9B" w:rsidRPr="008711DF" w:rsidRDefault="00E50C9B" w:rsidP="00C3293F">
            <w:pPr>
              <w:tabs>
                <w:tab w:val="left" w:pos="1080"/>
              </w:tabs>
              <w:rPr>
                <w:rFonts w:cstheme="minorHAnsi"/>
                <w:color w:val="185262"/>
              </w:rPr>
            </w:pPr>
            <w:r>
              <w:rPr>
                <w:rFonts w:cstheme="minorHAnsi"/>
                <w:color w:val="185262"/>
              </w:rPr>
              <w:t>Initiated</w:t>
            </w:r>
          </w:p>
        </w:tc>
      </w:tr>
      <w:tr w:rsidR="00E50C9B" w:rsidRPr="008711DF" w14:paraId="5182BD97" w14:textId="77777777" w:rsidTr="00E50C9B">
        <w:tc>
          <w:tcPr>
            <w:tcW w:w="2965" w:type="dxa"/>
          </w:tcPr>
          <w:p w14:paraId="7B6D8528" w14:textId="156430F0" w:rsidR="00E50C9B" w:rsidRPr="008711DF" w:rsidRDefault="00E50C9B" w:rsidP="2E577EF3">
            <w:pPr>
              <w:tabs>
                <w:tab w:val="left" w:pos="1080"/>
              </w:tabs>
              <w:rPr>
                <w:color w:val="185262"/>
              </w:rPr>
            </w:pPr>
            <w:r w:rsidRPr="2E577EF3">
              <w:rPr>
                <w:color w:val="185262"/>
              </w:rPr>
              <w:t>2.</w:t>
            </w:r>
            <w:r>
              <w:rPr>
                <w:color w:val="185262"/>
              </w:rPr>
              <w:t>2</w:t>
            </w:r>
            <w:r w:rsidRPr="2E577EF3">
              <w:rPr>
                <w:color w:val="185262"/>
              </w:rPr>
              <w:t>. Advise provincial focal points on the negative impact of provincial interference in data collection on anticipatory governance through national launches and provincial diagnostic workshops</w:t>
            </w:r>
          </w:p>
        </w:tc>
        <w:tc>
          <w:tcPr>
            <w:tcW w:w="1890" w:type="dxa"/>
          </w:tcPr>
          <w:p w14:paraId="339A5CC6" w14:textId="30BACE79" w:rsidR="00E50C9B" w:rsidRPr="008711DF" w:rsidDel="00BA6647" w:rsidRDefault="00E50C9B" w:rsidP="00C3293F">
            <w:pPr>
              <w:tabs>
                <w:tab w:val="left" w:pos="1080"/>
              </w:tabs>
              <w:rPr>
                <w:rFonts w:cstheme="minorHAnsi"/>
                <w:color w:val="185262"/>
              </w:rPr>
            </w:pPr>
            <w:r>
              <w:rPr>
                <w:rFonts w:cstheme="minorHAnsi"/>
                <w:color w:val="185262"/>
              </w:rPr>
              <w:t xml:space="preserve">Throughout 2024 and 2025, with the ending date in June 2025 </w:t>
            </w:r>
          </w:p>
        </w:tc>
        <w:tc>
          <w:tcPr>
            <w:tcW w:w="1738" w:type="dxa"/>
          </w:tcPr>
          <w:p w14:paraId="43E5DA8B" w14:textId="1A07CDE8" w:rsidR="00E50C9B" w:rsidRPr="008711DF" w:rsidDel="00BA6647" w:rsidRDefault="00E50C9B" w:rsidP="00C3293F">
            <w:pPr>
              <w:tabs>
                <w:tab w:val="left" w:pos="1080"/>
              </w:tabs>
              <w:rPr>
                <w:rFonts w:cstheme="minorHAnsi"/>
                <w:color w:val="185262"/>
              </w:rPr>
            </w:pPr>
            <w:r>
              <w:rPr>
                <w:rFonts w:cstheme="minorHAnsi"/>
                <w:color w:val="185262"/>
              </w:rPr>
              <w:t>UNDP/GPT/PAPI Team together with CECODES and relevant Advisory Board members</w:t>
            </w:r>
          </w:p>
        </w:tc>
        <w:tc>
          <w:tcPr>
            <w:tcW w:w="1803" w:type="dxa"/>
          </w:tcPr>
          <w:p w14:paraId="1A949772" w14:textId="7BF051D7" w:rsidR="00E50C9B" w:rsidRPr="008711DF" w:rsidRDefault="00E50C9B" w:rsidP="00C3293F">
            <w:pPr>
              <w:tabs>
                <w:tab w:val="left" w:pos="1080"/>
              </w:tabs>
              <w:rPr>
                <w:rFonts w:cstheme="minorHAnsi"/>
                <w:color w:val="185262"/>
              </w:rPr>
            </w:pPr>
            <w:r>
              <w:rPr>
                <w:rFonts w:cstheme="minorHAnsi"/>
                <w:color w:val="185262"/>
              </w:rPr>
              <w:t xml:space="preserve">Initiated </w:t>
            </w:r>
          </w:p>
        </w:tc>
      </w:tr>
    </w:tbl>
    <w:p w14:paraId="1FB02725" w14:textId="77777777" w:rsidR="00AE5BD1" w:rsidRPr="008711DF" w:rsidRDefault="00AE5BD1" w:rsidP="00C3293F">
      <w:pPr>
        <w:spacing w:after="0" w:line="240" w:lineRule="auto"/>
        <w:rPr>
          <w:rFonts w:cstheme="minorHAnsi"/>
          <w:vanish/>
          <w:color w:val="185262"/>
        </w:rPr>
      </w:pPr>
    </w:p>
    <w:p w14:paraId="4E2E6DD8" w14:textId="2B7B570D" w:rsidR="00497926" w:rsidRDefault="00497926" w:rsidP="00497926">
      <w:r w:rsidRPr="00497926">
        <w:rPr>
          <w:b/>
          <w:bCs/>
        </w:rPr>
        <w:t>Evaluation recommendation 3:</w:t>
      </w:r>
      <w:r>
        <w:t xml:space="preserve"> “To better communicate PAPI research data and reports, the PAPI team should simplify the language and formats used in PAPI and thematic reports without compromising the analytical quality. This will make PAPI’s insights and messages more accessible and comprehensible to general audiences and enhance impact.”</w:t>
      </w:r>
    </w:p>
    <w:p w14:paraId="6638C71E" w14:textId="77777777" w:rsidR="00497926" w:rsidRPr="00497926" w:rsidRDefault="00497926" w:rsidP="00497926">
      <w:pPr>
        <w:rPr>
          <w:b/>
          <w:bCs/>
        </w:rPr>
      </w:pPr>
      <w:r w:rsidRPr="00497926">
        <w:rPr>
          <w:b/>
          <w:bCs/>
        </w:rPr>
        <w:t xml:space="preserve">Management response: Agreed </w:t>
      </w:r>
    </w:p>
    <w:p w14:paraId="2A80F5C6" w14:textId="77777777" w:rsidR="00497926" w:rsidRDefault="00497926" w:rsidP="00497926">
      <w:r>
        <w:t>-</w:t>
      </w:r>
      <w:r>
        <w:tab/>
        <w:t xml:space="preserve">We note that our research work involves innovative and novice research methodology that may be little known among non-statistical readers. We also note that the annual PAPI reports are laid out professionally but economical in terms of the number of pages to make the reports lean and light. </w:t>
      </w:r>
    </w:p>
    <w:p w14:paraId="30616E91" w14:textId="77777777" w:rsidR="00497926" w:rsidRDefault="00497926" w:rsidP="00497926">
      <w:r>
        <w:t>-</w:t>
      </w:r>
      <w:r>
        <w:tab/>
        <w:t xml:space="preserve">We can simplify the language used in and the formats of our PAPI and thematic reports for the targeted audience who are policymakers and provincial authorities, while keeping the annual PAPI reports </w:t>
      </w:r>
      <w:r>
        <w:lastRenderedPageBreak/>
        <w:t xml:space="preserve">inclusive of all types of readers (including policymakers, provincial authorities, the media, the </w:t>
      </w:r>
      <w:proofErr w:type="gramStart"/>
      <w:r>
        <w:t>academia</w:t>
      </w:r>
      <w:proofErr w:type="gramEnd"/>
      <w:r>
        <w:t xml:space="preserve"> and the public). </w:t>
      </w:r>
    </w:p>
    <w:p w14:paraId="1990CDB6" w14:textId="19D732F9" w:rsidR="00BE192E" w:rsidRDefault="00BE192E"/>
    <w:tbl>
      <w:tblPr>
        <w:tblStyle w:val="TableGrid"/>
        <w:tblpPr w:leftFromText="180" w:rightFromText="180" w:vertAnchor="text" w:horzAnchor="margin" w:tblpY="16"/>
        <w:tblW w:w="8396" w:type="dxa"/>
        <w:tblLook w:val="01E0" w:firstRow="1" w:lastRow="1" w:firstColumn="1" w:lastColumn="1" w:noHBand="0" w:noVBand="0"/>
      </w:tblPr>
      <w:tblGrid>
        <w:gridCol w:w="2785"/>
        <w:gridCol w:w="1980"/>
        <w:gridCol w:w="1828"/>
        <w:gridCol w:w="1803"/>
      </w:tblGrid>
      <w:tr w:rsidR="00E50C9B" w:rsidRPr="008711DF" w14:paraId="7873F7A5" w14:textId="77777777" w:rsidTr="00E50C9B">
        <w:tc>
          <w:tcPr>
            <w:tcW w:w="2785" w:type="dxa"/>
          </w:tcPr>
          <w:p w14:paraId="5C872904" w14:textId="5EF44727" w:rsidR="00E50C9B" w:rsidRPr="008711DF" w:rsidRDefault="00E50C9B" w:rsidP="00E3573D">
            <w:pPr>
              <w:tabs>
                <w:tab w:val="left" w:pos="1080"/>
              </w:tabs>
              <w:rPr>
                <w:rFonts w:cstheme="minorHAnsi"/>
                <w:color w:val="185262"/>
              </w:rPr>
            </w:pPr>
            <w:r w:rsidRPr="008711DF">
              <w:rPr>
                <w:rFonts w:cstheme="minorHAnsi"/>
                <w:b/>
                <w:color w:val="185262"/>
              </w:rPr>
              <w:t>Key action(s)</w:t>
            </w:r>
          </w:p>
        </w:tc>
        <w:tc>
          <w:tcPr>
            <w:tcW w:w="1980" w:type="dxa"/>
          </w:tcPr>
          <w:p w14:paraId="483D66AE" w14:textId="18ED2B35" w:rsidR="00E50C9B" w:rsidRDefault="00E50C9B" w:rsidP="00E3573D">
            <w:pPr>
              <w:tabs>
                <w:tab w:val="left" w:pos="1080"/>
              </w:tabs>
              <w:rPr>
                <w:rFonts w:cstheme="minorHAnsi"/>
                <w:color w:val="185262"/>
              </w:rPr>
            </w:pPr>
            <w:r w:rsidRPr="008711DF">
              <w:rPr>
                <w:rFonts w:cstheme="minorHAnsi"/>
                <w:b/>
                <w:color w:val="185262"/>
              </w:rPr>
              <w:t>Completion date</w:t>
            </w:r>
          </w:p>
        </w:tc>
        <w:tc>
          <w:tcPr>
            <w:tcW w:w="1828" w:type="dxa"/>
          </w:tcPr>
          <w:p w14:paraId="7698EE16" w14:textId="453D88D8" w:rsidR="00E50C9B" w:rsidRDefault="00E50C9B" w:rsidP="00E3573D">
            <w:pPr>
              <w:tabs>
                <w:tab w:val="left" w:pos="1080"/>
              </w:tabs>
              <w:rPr>
                <w:rFonts w:cstheme="minorHAnsi"/>
                <w:color w:val="185262"/>
              </w:rPr>
            </w:pPr>
            <w:r w:rsidRPr="008711DF">
              <w:rPr>
                <w:rFonts w:cstheme="minorHAnsi"/>
                <w:b/>
                <w:color w:val="185262"/>
              </w:rPr>
              <w:t>Responsible unit(s)</w:t>
            </w:r>
          </w:p>
        </w:tc>
        <w:tc>
          <w:tcPr>
            <w:tcW w:w="1803" w:type="dxa"/>
          </w:tcPr>
          <w:p w14:paraId="6C27CDBA" w14:textId="77777777" w:rsidR="00E50C9B" w:rsidRPr="008711DF" w:rsidRDefault="00E50C9B" w:rsidP="008C7B14">
            <w:pPr>
              <w:tabs>
                <w:tab w:val="left" w:pos="1080"/>
              </w:tabs>
              <w:rPr>
                <w:rFonts w:asciiTheme="majorHAnsi" w:eastAsiaTheme="majorEastAsia" w:hAnsiTheme="majorHAnsi" w:cstheme="minorHAnsi"/>
                <w:b/>
                <w:color w:val="185262"/>
                <w:sz w:val="21"/>
                <w:szCs w:val="21"/>
              </w:rPr>
            </w:pPr>
            <w:r w:rsidRPr="008711DF">
              <w:rPr>
                <w:rFonts w:cstheme="minorHAnsi"/>
                <w:b/>
                <w:color w:val="185262"/>
              </w:rPr>
              <w:t>Tracking</w:t>
            </w:r>
            <w:r>
              <w:rPr>
                <w:rFonts w:cstheme="minorHAnsi"/>
                <w:b/>
                <w:color w:val="185262"/>
              </w:rPr>
              <w:t xml:space="preserve"> </w:t>
            </w:r>
            <w:r w:rsidRPr="008711DF">
              <w:rPr>
                <w:rFonts w:cstheme="minorHAnsi"/>
                <w:b/>
                <w:color w:val="185262"/>
              </w:rPr>
              <w:t>Status</w:t>
            </w:r>
            <w:r>
              <w:rPr>
                <w:rFonts w:cstheme="minorHAnsi"/>
                <w:b/>
                <w:color w:val="185262"/>
              </w:rPr>
              <w:t>*</w:t>
            </w:r>
          </w:p>
          <w:p w14:paraId="6F67B412" w14:textId="4E0C5720" w:rsidR="00E50C9B" w:rsidRDefault="00E50C9B" w:rsidP="008C7B14">
            <w:pPr>
              <w:tabs>
                <w:tab w:val="left" w:pos="1080"/>
              </w:tabs>
              <w:rPr>
                <w:rFonts w:cstheme="minorHAnsi"/>
                <w:color w:val="185262"/>
              </w:rPr>
            </w:pPr>
            <w:r w:rsidRPr="008711DF">
              <w:rPr>
                <w:rFonts w:cstheme="minorHAnsi"/>
                <w:b/>
                <w:color w:val="185262"/>
              </w:rPr>
              <w:t>(</w:t>
            </w:r>
            <w:proofErr w:type="gramStart"/>
            <w:r w:rsidRPr="008711DF">
              <w:rPr>
                <w:rFonts w:cstheme="minorHAnsi"/>
                <w:b/>
                <w:color w:val="185262"/>
              </w:rPr>
              <w:t>initiated</w:t>
            </w:r>
            <w:proofErr w:type="gramEnd"/>
            <w:r w:rsidRPr="008711DF">
              <w:rPr>
                <w:rFonts w:cstheme="minorHAnsi"/>
                <w:b/>
                <w:color w:val="185262"/>
              </w:rPr>
              <w:t>, completed or no due date)</w:t>
            </w:r>
          </w:p>
        </w:tc>
      </w:tr>
      <w:tr w:rsidR="00E50C9B" w:rsidRPr="008711DF" w14:paraId="1B142ABF" w14:textId="77777777" w:rsidTr="00E50C9B">
        <w:tc>
          <w:tcPr>
            <w:tcW w:w="2785" w:type="dxa"/>
          </w:tcPr>
          <w:p w14:paraId="24B830A6" w14:textId="7CA8F8E4" w:rsidR="00E50C9B" w:rsidRPr="008711DF" w:rsidRDefault="00E50C9B" w:rsidP="00C3293F">
            <w:pPr>
              <w:tabs>
                <w:tab w:val="left" w:pos="1080"/>
              </w:tabs>
              <w:rPr>
                <w:rFonts w:cstheme="minorHAnsi"/>
                <w:color w:val="185262"/>
              </w:rPr>
            </w:pPr>
            <w:r w:rsidRPr="008711DF">
              <w:rPr>
                <w:rFonts w:cstheme="minorHAnsi"/>
                <w:color w:val="185262"/>
              </w:rPr>
              <w:t>3.1</w:t>
            </w:r>
            <w:r>
              <w:rPr>
                <w:rFonts w:cstheme="minorHAnsi"/>
                <w:color w:val="185262"/>
              </w:rPr>
              <w:t>. Reduce the use of technical terms in executive summaries of each report to serve policymakers and provincial authorities, while putting methodological parts in annexes for interested technical readers</w:t>
            </w:r>
            <w:r w:rsidRPr="008711DF">
              <w:rPr>
                <w:rFonts w:cstheme="minorHAnsi"/>
                <w:color w:val="185262"/>
              </w:rPr>
              <w:t xml:space="preserve"> </w:t>
            </w:r>
          </w:p>
        </w:tc>
        <w:tc>
          <w:tcPr>
            <w:tcW w:w="1980" w:type="dxa"/>
          </w:tcPr>
          <w:p w14:paraId="492F0E7F" w14:textId="04447F0F" w:rsidR="00E50C9B" w:rsidRPr="008711DF" w:rsidRDefault="00E50C9B" w:rsidP="00C3293F">
            <w:pPr>
              <w:tabs>
                <w:tab w:val="left" w:pos="1080"/>
              </w:tabs>
              <w:rPr>
                <w:rFonts w:cstheme="minorHAnsi"/>
                <w:color w:val="185262"/>
              </w:rPr>
            </w:pPr>
            <w:r>
              <w:rPr>
                <w:rFonts w:cstheme="minorHAnsi"/>
                <w:color w:val="185262"/>
              </w:rPr>
              <w:t>Throughout 2024 and 2025, with the ending date in June 2025</w:t>
            </w:r>
          </w:p>
        </w:tc>
        <w:tc>
          <w:tcPr>
            <w:tcW w:w="1828" w:type="dxa"/>
          </w:tcPr>
          <w:p w14:paraId="2D4BEED6" w14:textId="1B225AFB" w:rsidR="00E50C9B" w:rsidRPr="008711DF" w:rsidRDefault="00E50C9B" w:rsidP="00C3293F">
            <w:pPr>
              <w:tabs>
                <w:tab w:val="left" w:pos="1080"/>
              </w:tabs>
              <w:rPr>
                <w:rFonts w:cstheme="minorHAnsi"/>
                <w:color w:val="185262"/>
              </w:rPr>
            </w:pPr>
            <w:r>
              <w:rPr>
                <w:rFonts w:cstheme="minorHAnsi"/>
                <w:color w:val="185262"/>
              </w:rPr>
              <w:t>UNDP/GPT/PAPI Team</w:t>
            </w:r>
          </w:p>
        </w:tc>
        <w:tc>
          <w:tcPr>
            <w:tcW w:w="1803" w:type="dxa"/>
          </w:tcPr>
          <w:p w14:paraId="54855B80" w14:textId="7ABC233E" w:rsidR="00E50C9B" w:rsidRPr="008711DF" w:rsidRDefault="00E50C9B" w:rsidP="00C3293F">
            <w:pPr>
              <w:tabs>
                <w:tab w:val="left" w:pos="1080"/>
              </w:tabs>
              <w:rPr>
                <w:rFonts w:cstheme="minorHAnsi"/>
                <w:color w:val="185262"/>
              </w:rPr>
            </w:pPr>
            <w:r>
              <w:rPr>
                <w:rFonts w:cstheme="minorHAnsi"/>
                <w:color w:val="185262"/>
              </w:rPr>
              <w:t>Initiated</w:t>
            </w:r>
          </w:p>
        </w:tc>
      </w:tr>
      <w:tr w:rsidR="00E50C9B" w:rsidRPr="008711DF" w14:paraId="1DF167C0" w14:textId="77777777" w:rsidTr="00E50C9B">
        <w:tc>
          <w:tcPr>
            <w:tcW w:w="2785" w:type="dxa"/>
          </w:tcPr>
          <w:p w14:paraId="6FB8B4C8" w14:textId="5F4A086D" w:rsidR="00E50C9B" w:rsidRPr="008711DF" w:rsidRDefault="00E50C9B" w:rsidP="00C3293F">
            <w:pPr>
              <w:tabs>
                <w:tab w:val="left" w:pos="1080"/>
              </w:tabs>
              <w:rPr>
                <w:rFonts w:cstheme="minorHAnsi"/>
                <w:color w:val="185262"/>
              </w:rPr>
            </w:pPr>
            <w:r w:rsidRPr="008711DF">
              <w:rPr>
                <w:rFonts w:cstheme="minorHAnsi"/>
                <w:color w:val="185262"/>
              </w:rPr>
              <w:t>3.2</w:t>
            </w:r>
            <w:r>
              <w:rPr>
                <w:rFonts w:cstheme="minorHAnsi"/>
                <w:color w:val="185262"/>
              </w:rPr>
              <w:t>. Hire professional copyeditors in both languages (English and Vietnamese) to review PAPI and thematic reports</w:t>
            </w:r>
            <w:r w:rsidRPr="008711DF">
              <w:rPr>
                <w:rFonts w:cstheme="minorHAnsi"/>
                <w:color w:val="185262"/>
              </w:rPr>
              <w:t xml:space="preserve"> </w:t>
            </w:r>
          </w:p>
        </w:tc>
        <w:tc>
          <w:tcPr>
            <w:tcW w:w="1980" w:type="dxa"/>
          </w:tcPr>
          <w:p w14:paraId="1BFC3CDE" w14:textId="52CB27FB" w:rsidR="00E50C9B" w:rsidRPr="008711DF" w:rsidRDefault="00E50C9B" w:rsidP="00C3293F">
            <w:pPr>
              <w:tabs>
                <w:tab w:val="left" w:pos="1080"/>
              </w:tabs>
              <w:rPr>
                <w:rFonts w:cstheme="minorHAnsi"/>
                <w:color w:val="185262"/>
              </w:rPr>
            </w:pPr>
            <w:r>
              <w:rPr>
                <w:rFonts w:cstheme="minorHAnsi"/>
                <w:color w:val="185262"/>
              </w:rPr>
              <w:t>Throughout 2024 and 2025, with the ending date in June 2025</w:t>
            </w:r>
          </w:p>
        </w:tc>
        <w:tc>
          <w:tcPr>
            <w:tcW w:w="1828" w:type="dxa"/>
          </w:tcPr>
          <w:p w14:paraId="36B7CCD1" w14:textId="45A0B497" w:rsidR="00E50C9B" w:rsidRPr="008711DF" w:rsidRDefault="00E50C9B" w:rsidP="00C3293F">
            <w:pPr>
              <w:tabs>
                <w:tab w:val="left" w:pos="1080"/>
              </w:tabs>
              <w:rPr>
                <w:rFonts w:cstheme="minorHAnsi"/>
                <w:color w:val="185262"/>
              </w:rPr>
            </w:pPr>
            <w:r>
              <w:rPr>
                <w:rFonts w:cstheme="minorHAnsi"/>
                <w:color w:val="185262"/>
              </w:rPr>
              <w:t>UNDP/GPT/PAPI Team</w:t>
            </w:r>
          </w:p>
        </w:tc>
        <w:tc>
          <w:tcPr>
            <w:tcW w:w="1803" w:type="dxa"/>
          </w:tcPr>
          <w:p w14:paraId="63B12550" w14:textId="58834A04" w:rsidR="00E50C9B" w:rsidRPr="008711DF" w:rsidRDefault="00E50C9B" w:rsidP="00C3293F">
            <w:pPr>
              <w:tabs>
                <w:tab w:val="left" w:pos="1080"/>
              </w:tabs>
              <w:rPr>
                <w:rFonts w:cstheme="minorHAnsi"/>
                <w:color w:val="185262"/>
              </w:rPr>
            </w:pPr>
            <w:r>
              <w:rPr>
                <w:rFonts w:cstheme="minorHAnsi"/>
                <w:color w:val="185262"/>
              </w:rPr>
              <w:t>Initiated</w:t>
            </w:r>
          </w:p>
        </w:tc>
      </w:tr>
    </w:tbl>
    <w:p w14:paraId="79BCD1A7" w14:textId="77777777" w:rsidR="00B168FF" w:rsidRDefault="00B168FF" w:rsidP="0083559B">
      <w:pPr>
        <w:rPr>
          <w:rFonts w:cstheme="minorHAnsi"/>
          <w:color w:val="185262"/>
          <w:lang w:eastAsia="ja-JP"/>
        </w:rPr>
      </w:pPr>
    </w:p>
    <w:p w14:paraId="7C81528D" w14:textId="77777777" w:rsidR="00E50C9B" w:rsidRDefault="00E50C9B" w:rsidP="0083559B">
      <w:pPr>
        <w:rPr>
          <w:rFonts w:cstheme="minorHAnsi"/>
          <w:b/>
          <w:bCs/>
          <w:color w:val="185262"/>
          <w:lang w:eastAsia="ja-JP"/>
        </w:rPr>
      </w:pPr>
    </w:p>
    <w:p w14:paraId="4218FAB4" w14:textId="77777777" w:rsidR="00E50C9B" w:rsidRDefault="00E50C9B" w:rsidP="0083559B">
      <w:pPr>
        <w:rPr>
          <w:rFonts w:cstheme="minorHAnsi"/>
          <w:b/>
          <w:bCs/>
          <w:color w:val="185262"/>
          <w:lang w:eastAsia="ja-JP"/>
        </w:rPr>
      </w:pPr>
    </w:p>
    <w:p w14:paraId="3DF69B24" w14:textId="77777777" w:rsidR="00E50C9B" w:rsidRDefault="00E50C9B" w:rsidP="0083559B">
      <w:pPr>
        <w:rPr>
          <w:rFonts w:cstheme="minorHAnsi"/>
          <w:b/>
          <w:bCs/>
          <w:color w:val="185262"/>
          <w:lang w:eastAsia="ja-JP"/>
        </w:rPr>
      </w:pPr>
    </w:p>
    <w:p w14:paraId="01330C22" w14:textId="77777777" w:rsidR="00E50C9B" w:rsidRDefault="00E50C9B" w:rsidP="0083559B">
      <w:pPr>
        <w:rPr>
          <w:rFonts w:cstheme="minorHAnsi"/>
          <w:b/>
          <w:bCs/>
          <w:color w:val="185262"/>
          <w:lang w:eastAsia="ja-JP"/>
        </w:rPr>
      </w:pPr>
    </w:p>
    <w:p w14:paraId="2BD22960" w14:textId="77777777" w:rsidR="00E50C9B" w:rsidRDefault="00E50C9B" w:rsidP="0083559B">
      <w:pPr>
        <w:rPr>
          <w:rFonts w:cstheme="minorHAnsi"/>
          <w:b/>
          <w:bCs/>
          <w:color w:val="185262"/>
          <w:lang w:eastAsia="ja-JP"/>
        </w:rPr>
      </w:pPr>
    </w:p>
    <w:p w14:paraId="26C4C503" w14:textId="77777777" w:rsidR="00E50C9B" w:rsidRDefault="00E50C9B" w:rsidP="0083559B">
      <w:pPr>
        <w:rPr>
          <w:rFonts w:cstheme="minorHAnsi"/>
          <w:b/>
          <w:bCs/>
          <w:color w:val="185262"/>
          <w:lang w:eastAsia="ja-JP"/>
        </w:rPr>
      </w:pPr>
    </w:p>
    <w:p w14:paraId="15B34DE0" w14:textId="77777777" w:rsidR="00E50C9B" w:rsidRDefault="00E50C9B" w:rsidP="0083559B">
      <w:pPr>
        <w:rPr>
          <w:rFonts w:cstheme="minorHAnsi"/>
          <w:b/>
          <w:bCs/>
          <w:color w:val="185262"/>
          <w:lang w:eastAsia="ja-JP"/>
        </w:rPr>
      </w:pPr>
    </w:p>
    <w:p w14:paraId="34B4D161" w14:textId="77777777" w:rsidR="00E50C9B" w:rsidRDefault="00E50C9B" w:rsidP="0083559B">
      <w:pPr>
        <w:rPr>
          <w:rFonts w:cstheme="minorHAnsi"/>
          <w:b/>
          <w:bCs/>
          <w:color w:val="185262"/>
          <w:lang w:eastAsia="ja-JP"/>
        </w:rPr>
      </w:pPr>
    </w:p>
    <w:p w14:paraId="5161DED0" w14:textId="77777777" w:rsidR="00E50C9B" w:rsidRDefault="00E50C9B" w:rsidP="0083559B">
      <w:pPr>
        <w:rPr>
          <w:rFonts w:cstheme="minorHAnsi"/>
          <w:b/>
          <w:bCs/>
          <w:color w:val="185262"/>
          <w:lang w:eastAsia="ja-JP"/>
        </w:rPr>
      </w:pPr>
    </w:p>
    <w:p w14:paraId="4A730D27" w14:textId="77777777" w:rsidR="00E50C9B" w:rsidRDefault="00E50C9B" w:rsidP="0083559B">
      <w:pPr>
        <w:rPr>
          <w:rFonts w:cstheme="minorHAnsi"/>
          <w:b/>
          <w:bCs/>
          <w:color w:val="185262"/>
          <w:lang w:eastAsia="ja-JP"/>
        </w:rPr>
      </w:pPr>
    </w:p>
    <w:p w14:paraId="09BCD513" w14:textId="32ADA3D6" w:rsidR="0083559B" w:rsidRPr="0083559B" w:rsidRDefault="0083559B" w:rsidP="0083559B">
      <w:pPr>
        <w:rPr>
          <w:rFonts w:cstheme="minorHAnsi"/>
          <w:color w:val="185262"/>
          <w:lang w:eastAsia="ja-JP"/>
        </w:rPr>
      </w:pPr>
      <w:r w:rsidRPr="00B168FF">
        <w:rPr>
          <w:rFonts w:cstheme="minorHAnsi"/>
          <w:b/>
          <w:bCs/>
          <w:color w:val="185262"/>
          <w:lang w:eastAsia="ja-JP"/>
        </w:rPr>
        <w:t>Evaluation recommendation 4:</w:t>
      </w:r>
      <w:r w:rsidRPr="0083559B">
        <w:rPr>
          <w:rFonts w:cstheme="minorHAnsi"/>
          <w:color w:val="185262"/>
          <w:lang w:eastAsia="ja-JP"/>
        </w:rPr>
        <w:t xml:space="preserve"> “PAPI team should actively seek avenues to further integrate PAPI’s insights and evidence into existing national policy frameworks and governmental planning/review processes. By bringing PAPI closer to internal oversight systems, its impact will be ingrained into the iterative process of policy formulation and review, moving beyond its current role as an external assessment.”</w:t>
      </w:r>
    </w:p>
    <w:p w14:paraId="2C46E8F5" w14:textId="77777777" w:rsidR="0083559B" w:rsidRPr="00B168FF" w:rsidRDefault="0083559B" w:rsidP="0083559B">
      <w:pPr>
        <w:rPr>
          <w:rFonts w:cstheme="minorHAnsi"/>
          <w:b/>
          <w:bCs/>
          <w:color w:val="185262"/>
          <w:lang w:eastAsia="ja-JP"/>
        </w:rPr>
      </w:pPr>
      <w:r w:rsidRPr="00B168FF">
        <w:rPr>
          <w:rFonts w:cstheme="minorHAnsi"/>
          <w:b/>
          <w:bCs/>
          <w:color w:val="185262"/>
          <w:lang w:eastAsia="ja-JP"/>
        </w:rPr>
        <w:t>Management response: Agreed</w:t>
      </w:r>
    </w:p>
    <w:p w14:paraId="0CEA237D" w14:textId="77777777" w:rsidR="0083559B" w:rsidRPr="0083559B" w:rsidRDefault="0083559B" w:rsidP="0083559B">
      <w:pPr>
        <w:rPr>
          <w:rFonts w:cstheme="minorHAnsi"/>
          <w:color w:val="185262"/>
          <w:lang w:eastAsia="ja-JP"/>
        </w:rPr>
      </w:pPr>
      <w:r w:rsidRPr="0083559B">
        <w:rPr>
          <w:rFonts w:cstheme="minorHAnsi"/>
          <w:color w:val="185262"/>
          <w:lang w:eastAsia="ja-JP"/>
        </w:rPr>
        <w:t>-</w:t>
      </w:r>
      <w:r w:rsidRPr="0083559B">
        <w:rPr>
          <w:rFonts w:cstheme="minorHAnsi"/>
          <w:color w:val="185262"/>
          <w:lang w:eastAsia="ja-JP"/>
        </w:rPr>
        <w:tab/>
        <w:t xml:space="preserve">We note the importance of continuing our efforts in advocacy for PAPI’s insights and evidence to be further integrated into existing national policy frameworks, while noting also that PAPI and its follow-up action research are to provide external sources of data and information for the Government of Viet Nam to actively refer to and use. In fact, some PAPI indicators have been included in the Government’s SDG monitoring indicators. But more work can/should be done to have PAPI data and information officially recognized by the Government’s administrative data systems. </w:t>
      </w:r>
    </w:p>
    <w:tbl>
      <w:tblPr>
        <w:tblStyle w:val="TableGrid"/>
        <w:tblpPr w:leftFromText="180" w:rightFromText="180" w:vertAnchor="text" w:horzAnchor="margin" w:tblpY="16"/>
        <w:tblW w:w="8396" w:type="dxa"/>
        <w:tblLook w:val="01E0" w:firstRow="1" w:lastRow="1" w:firstColumn="1" w:lastColumn="1" w:noHBand="0" w:noVBand="0"/>
      </w:tblPr>
      <w:tblGrid>
        <w:gridCol w:w="2785"/>
        <w:gridCol w:w="2070"/>
        <w:gridCol w:w="1738"/>
        <w:gridCol w:w="1803"/>
      </w:tblGrid>
      <w:tr w:rsidR="00E50C9B" w:rsidRPr="008711DF" w14:paraId="59832215" w14:textId="77777777" w:rsidTr="00E50C9B">
        <w:tc>
          <w:tcPr>
            <w:tcW w:w="2785" w:type="dxa"/>
          </w:tcPr>
          <w:p w14:paraId="7A56F811" w14:textId="5820DC11" w:rsidR="00E50C9B" w:rsidRDefault="00E50C9B" w:rsidP="00001F87">
            <w:pPr>
              <w:tabs>
                <w:tab w:val="left" w:pos="1080"/>
              </w:tabs>
              <w:rPr>
                <w:rFonts w:cstheme="minorHAnsi"/>
                <w:color w:val="185262"/>
              </w:rPr>
            </w:pPr>
            <w:r w:rsidRPr="008711DF">
              <w:rPr>
                <w:rFonts w:cstheme="minorHAnsi"/>
                <w:b/>
                <w:color w:val="185262"/>
              </w:rPr>
              <w:t>Key action(s)</w:t>
            </w:r>
          </w:p>
        </w:tc>
        <w:tc>
          <w:tcPr>
            <w:tcW w:w="2070" w:type="dxa"/>
          </w:tcPr>
          <w:p w14:paraId="75779CE2" w14:textId="4FD182D5" w:rsidR="00E50C9B" w:rsidRDefault="00E50C9B" w:rsidP="00001F87">
            <w:pPr>
              <w:tabs>
                <w:tab w:val="left" w:pos="1080"/>
              </w:tabs>
              <w:rPr>
                <w:rFonts w:cstheme="minorHAnsi"/>
                <w:color w:val="185262"/>
              </w:rPr>
            </w:pPr>
            <w:r w:rsidRPr="008711DF">
              <w:rPr>
                <w:rFonts w:cstheme="minorHAnsi"/>
                <w:b/>
                <w:color w:val="185262"/>
              </w:rPr>
              <w:t>Completion date</w:t>
            </w:r>
          </w:p>
        </w:tc>
        <w:tc>
          <w:tcPr>
            <w:tcW w:w="1738" w:type="dxa"/>
          </w:tcPr>
          <w:p w14:paraId="08CA7BEC" w14:textId="7837C02F" w:rsidR="00E50C9B" w:rsidRDefault="00E50C9B" w:rsidP="00001F87">
            <w:pPr>
              <w:tabs>
                <w:tab w:val="left" w:pos="1080"/>
              </w:tabs>
              <w:rPr>
                <w:rFonts w:cstheme="minorHAnsi"/>
                <w:color w:val="185262"/>
              </w:rPr>
            </w:pPr>
            <w:r w:rsidRPr="008711DF">
              <w:rPr>
                <w:rFonts w:cstheme="minorHAnsi"/>
                <w:b/>
                <w:color w:val="185262"/>
              </w:rPr>
              <w:t>Responsible unit(s)</w:t>
            </w:r>
          </w:p>
        </w:tc>
        <w:tc>
          <w:tcPr>
            <w:tcW w:w="1803" w:type="dxa"/>
          </w:tcPr>
          <w:p w14:paraId="6EA45316" w14:textId="77777777" w:rsidR="00E50C9B" w:rsidRPr="008711DF" w:rsidRDefault="00E50C9B" w:rsidP="008C7B14">
            <w:pPr>
              <w:tabs>
                <w:tab w:val="left" w:pos="1080"/>
              </w:tabs>
              <w:rPr>
                <w:rFonts w:asciiTheme="majorHAnsi" w:eastAsiaTheme="majorEastAsia" w:hAnsiTheme="majorHAnsi" w:cstheme="minorHAnsi"/>
                <w:b/>
                <w:color w:val="185262"/>
                <w:sz w:val="21"/>
                <w:szCs w:val="21"/>
              </w:rPr>
            </w:pPr>
            <w:r w:rsidRPr="008711DF">
              <w:rPr>
                <w:rFonts w:cstheme="minorHAnsi"/>
                <w:b/>
                <w:color w:val="185262"/>
              </w:rPr>
              <w:t>Tracking</w:t>
            </w:r>
            <w:r>
              <w:rPr>
                <w:rFonts w:cstheme="minorHAnsi"/>
                <w:b/>
                <w:color w:val="185262"/>
              </w:rPr>
              <w:t xml:space="preserve"> </w:t>
            </w:r>
            <w:r w:rsidRPr="008711DF">
              <w:rPr>
                <w:rFonts w:cstheme="minorHAnsi"/>
                <w:b/>
                <w:color w:val="185262"/>
              </w:rPr>
              <w:t>Status</w:t>
            </w:r>
            <w:r>
              <w:rPr>
                <w:rFonts w:cstheme="minorHAnsi"/>
                <w:b/>
                <w:color w:val="185262"/>
              </w:rPr>
              <w:t>*</w:t>
            </w:r>
          </w:p>
          <w:p w14:paraId="465C2EFB" w14:textId="3114737F" w:rsidR="00E50C9B" w:rsidRDefault="00E50C9B" w:rsidP="008C7B14">
            <w:pPr>
              <w:tabs>
                <w:tab w:val="left" w:pos="1080"/>
              </w:tabs>
              <w:rPr>
                <w:rFonts w:cstheme="minorHAnsi"/>
                <w:color w:val="185262"/>
              </w:rPr>
            </w:pPr>
            <w:r w:rsidRPr="008711DF">
              <w:rPr>
                <w:rFonts w:cstheme="minorHAnsi"/>
                <w:b/>
                <w:color w:val="185262"/>
              </w:rPr>
              <w:t>(</w:t>
            </w:r>
            <w:proofErr w:type="gramStart"/>
            <w:r w:rsidRPr="008711DF">
              <w:rPr>
                <w:rFonts w:cstheme="minorHAnsi"/>
                <w:b/>
                <w:color w:val="185262"/>
              </w:rPr>
              <w:t>initiated</w:t>
            </w:r>
            <w:proofErr w:type="gramEnd"/>
            <w:r w:rsidRPr="008711DF">
              <w:rPr>
                <w:rFonts w:cstheme="minorHAnsi"/>
                <w:b/>
                <w:color w:val="185262"/>
              </w:rPr>
              <w:t>, completed or no due date)</w:t>
            </w:r>
          </w:p>
        </w:tc>
      </w:tr>
      <w:tr w:rsidR="00E50C9B" w:rsidRPr="008711DF" w14:paraId="5BB996AA" w14:textId="77777777" w:rsidTr="00E50C9B">
        <w:tc>
          <w:tcPr>
            <w:tcW w:w="2785" w:type="dxa"/>
          </w:tcPr>
          <w:p w14:paraId="7B55211F" w14:textId="02F26043" w:rsidR="00E50C9B" w:rsidRPr="008711DF" w:rsidRDefault="00E50C9B" w:rsidP="00C3293F">
            <w:pPr>
              <w:tabs>
                <w:tab w:val="left" w:pos="1080"/>
              </w:tabs>
              <w:rPr>
                <w:rFonts w:cstheme="minorHAnsi"/>
                <w:color w:val="185262"/>
              </w:rPr>
            </w:pPr>
            <w:r>
              <w:rPr>
                <w:rFonts w:cstheme="minorHAnsi"/>
                <w:color w:val="185262"/>
              </w:rPr>
              <w:t>4</w:t>
            </w:r>
            <w:r w:rsidRPr="008711DF">
              <w:rPr>
                <w:rFonts w:cstheme="minorHAnsi"/>
                <w:color w:val="185262"/>
              </w:rPr>
              <w:t>.1</w:t>
            </w:r>
            <w:r>
              <w:rPr>
                <w:rFonts w:cstheme="minorHAnsi"/>
                <w:color w:val="185262"/>
              </w:rPr>
              <w:t>. Advocate for PAPI data to be further used in Viet Nam’s SDG monitoring system</w:t>
            </w:r>
            <w:r w:rsidRPr="008711DF">
              <w:rPr>
                <w:rFonts w:cstheme="minorHAnsi"/>
                <w:color w:val="185262"/>
              </w:rPr>
              <w:t xml:space="preserve"> </w:t>
            </w:r>
          </w:p>
        </w:tc>
        <w:tc>
          <w:tcPr>
            <w:tcW w:w="2070" w:type="dxa"/>
          </w:tcPr>
          <w:p w14:paraId="0BE48C37" w14:textId="58579231" w:rsidR="00E50C9B" w:rsidRPr="008711DF" w:rsidRDefault="00E50C9B" w:rsidP="00C3293F">
            <w:pPr>
              <w:tabs>
                <w:tab w:val="left" w:pos="1080"/>
              </w:tabs>
              <w:rPr>
                <w:rFonts w:cstheme="minorHAnsi"/>
                <w:color w:val="185262"/>
              </w:rPr>
            </w:pPr>
            <w:r>
              <w:rPr>
                <w:rFonts w:cstheme="minorHAnsi"/>
                <w:color w:val="185262"/>
              </w:rPr>
              <w:t>Throughout 2024 and 2025, with the ending date in June 2025</w:t>
            </w:r>
          </w:p>
        </w:tc>
        <w:tc>
          <w:tcPr>
            <w:tcW w:w="1738" w:type="dxa"/>
          </w:tcPr>
          <w:p w14:paraId="59E3C776" w14:textId="0665016F" w:rsidR="00E50C9B" w:rsidRPr="008711DF" w:rsidRDefault="00E50C9B" w:rsidP="00C3293F">
            <w:pPr>
              <w:tabs>
                <w:tab w:val="left" w:pos="1080"/>
              </w:tabs>
              <w:rPr>
                <w:rFonts w:cstheme="minorHAnsi"/>
                <w:color w:val="185262"/>
              </w:rPr>
            </w:pPr>
            <w:r>
              <w:rPr>
                <w:rFonts w:cstheme="minorHAnsi"/>
                <w:color w:val="185262"/>
              </w:rPr>
              <w:t>UNDP SM and UNDP/GPT/PAPI Team</w:t>
            </w:r>
          </w:p>
        </w:tc>
        <w:tc>
          <w:tcPr>
            <w:tcW w:w="1803" w:type="dxa"/>
          </w:tcPr>
          <w:p w14:paraId="35AA277C" w14:textId="1FAF417A" w:rsidR="00E50C9B" w:rsidRPr="008711DF" w:rsidRDefault="00E50C9B" w:rsidP="00C3293F">
            <w:pPr>
              <w:tabs>
                <w:tab w:val="left" w:pos="1080"/>
              </w:tabs>
              <w:rPr>
                <w:rFonts w:cstheme="minorHAnsi"/>
                <w:color w:val="185262"/>
              </w:rPr>
            </w:pPr>
            <w:r>
              <w:rPr>
                <w:rFonts w:cstheme="minorHAnsi"/>
                <w:color w:val="185262"/>
              </w:rPr>
              <w:t>Initiated</w:t>
            </w:r>
          </w:p>
        </w:tc>
      </w:tr>
      <w:tr w:rsidR="00E50C9B" w:rsidRPr="008711DF" w14:paraId="103606B3" w14:textId="77777777" w:rsidTr="00E50C9B">
        <w:tc>
          <w:tcPr>
            <w:tcW w:w="2785" w:type="dxa"/>
          </w:tcPr>
          <w:p w14:paraId="631EEB14" w14:textId="7351D6D7" w:rsidR="00E50C9B" w:rsidRPr="008711DF" w:rsidRDefault="00E50C9B" w:rsidP="2E577EF3">
            <w:pPr>
              <w:tabs>
                <w:tab w:val="left" w:pos="1080"/>
              </w:tabs>
              <w:rPr>
                <w:color w:val="185262"/>
              </w:rPr>
            </w:pPr>
            <w:r w:rsidRPr="2E577EF3">
              <w:rPr>
                <w:color w:val="185262"/>
              </w:rPr>
              <w:t>4.2. Keep advocating for PAPI data and information to be officially recognized by the Vietnam General Statistics Office’s administrative data systems</w:t>
            </w:r>
          </w:p>
        </w:tc>
        <w:tc>
          <w:tcPr>
            <w:tcW w:w="2070" w:type="dxa"/>
          </w:tcPr>
          <w:p w14:paraId="70FCDBA5" w14:textId="25ABF530" w:rsidR="00E50C9B" w:rsidRDefault="00E50C9B" w:rsidP="2E577EF3">
            <w:pPr>
              <w:tabs>
                <w:tab w:val="left" w:pos="1080"/>
              </w:tabs>
              <w:rPr>
                <w:color w:val="185262"/>
              </w:rPr>
            </w:pPr>
            <w:r w:rsidRPr="2E577EF3">
              <w:rPr>
                <w:color w:val="185262"/>
              </w:rPr>
              <w:t xml:space="preserve"> Throughout 2024 and 2025, with the ending date in June 2025</w:t>
            </w:r>
          </w:p>
          <w:p w14:paraId="342D46B7" w14:textId="042158E8" w:rsidR="00E50C9B" w:rsidRDefault="00E50C9B" w:rsidP="2E577EF3">
            <w:pPr>
              <w:tabs>
                <w:tab w:val="left" w:pos="1080"/>
              </w:tabs>
              <w:rPr>
                <w:color w:val="185262"/>
              </w:rPr>
            </w:pPr>
          </w:p>
        </w:tc>
        <w:tc>
          <w:tcPr>
            <w:tcW w:w="1738" w:type="dxa"/>
          </w:tcPr>
          <w:p w14:paraId="47FEBC43" w14:textId="465CDB6D" w:rsidR="00E50C9B" w:rsidRDefault="00E50C9B" w:rsidP="00C3293F">
            <w:pPr>
              <w:tabs>
                <w:tab w:val="left" w:pos="1080"/>
              </w:tabs>
              <w:rPr>
                <w:rFonts w:cstheme="minorHAnsi"/>
                <w:color w:val="185262"/>
              </w:rPr>
            </w:pPr>
            <w:r>
              <w:rPr>
                <w:rFonts w:cstheme="minorHAnsi"/>
                <w:color w:val="185262"/>
              </w:rPr>
              <w:t>UNDP/GPT/PAPI Team</w:t>
            </w:r>
          </w:p>
        </w:tc>
        <w:tc>
          <w:tcPr>
            <w:tcW w:w="1803" w:type="dxa"/>
          </w:tcPr>
          <w:p w14:paraId="344683AB" w14:textId="02FA6194" w:rsidR="00E50C9B" w:rsidRPr="008711DF" w:rsidRDefault="00E50C9B" w:rsidP="00C3293F">
            <w:pPr>
              <w:tabs>
                <w:tab w:val="left" w:pos="1080"/>
              </w:tabs>
              <w:rPr>
                <w:rFonts w:cstheme="minorHAnsi"/>
                <w:color w:val="185262"/>
              </w:rPr>
            </w:pPr>
            <w:r>
              <w:rPr>
                <w:rFonts w:cstheme="minorHAnsi"/>
                <w:color w:val="185262"/>
              </w:rPr>
              <w:t>Initiated</w:t>
            </w:r>
          </w:p>
        </w:tc>
      </w:tr>
    </w:tbl>
    <w:p w14:paraId="063518D1" w14:textId="796C4498" w:rsidR="00BE192E" w:rsidRDefault="00BE192E"/>
    <w:p w14:paraId="0B091B27" w14:textId="77777777" w:rsidR="00E50C9B" w:rsidRDefault="00E50C9B" w:rsidP="00D55DA3">
      <w:pPr>
        <w:rPr>
          <w:b/>
          <w:bCs/>
        </w:rPr>
      </w:pPr>
    </w:p>
    <w:p w14:paraId="39098415" w14:textId="77777777" w:rsidR="00E50C9B" w:rsidRDefault="00E50C9B" w:rsidP="00D55DA3">
      <w:pPr>
        <w:rPr>
          <w:b/>
          <w:bCs/>
        </w:rPr>
      </w:pPr>
    </w:p>
    <w:p w14:paraId="17063EB0" w14:textId="77777777" w:rsidR="00E50C9B" w:rsidRDefault="00E50C9B" w:rsidP="00D55DA3">
      <w:pPr>
        <w:rPr>
          <w:b/>
          <w:bCs/>
        </w:rPr>
      </w:pPr>
    </w:p>
    <w:p w14:paraId="3814FA70" w14:textId="77777777" w:rsidR="00E50C9B" w:rsidRDefault="00E50C9B" w:rsidP="00D55DA3">
      <w:pPr>
        <w:rPr>
          <w:b/>
          <w:bCs/>
        </w:rPr>
      </w:pPr>
    </w:p>
    <w:p w14:paraId="647FC1C9" w14:textId="77777777" w:rsidR="00E50C9B" w:rsidRDefault="00E50C9B" w:rsidP="00D55DA3">
      <w:pPr>
        <w:rPr>
          <w:b/>
          <w:bCs/>
        </w:rPr>
      </w:pPr>
    </w:p>
    <w:p w14:paraId="145C9F7A" w14:textId="77777777" w:rsidR="00E50C9B" w:rsidRDefault="00E50C9B" w:rsidP="00D55DA3">
      <w:pPr>
        <w:rPr>
          <w:b/>
          <w:bCs/>
        </w:rPr>
      </w:pPr>
    </w:p>
    <w:p w14:paraId="0C5A7A57" w14:textId="77777777" w:rsidR="00E50C9B" w:rsidRDefault="00E50C9B" w:rsidP="00D55DA3">
      <w:pPr>
        <w:rPr>
          <w:b/>
          <w:bCs/>
        </w:rPr>
      </w:pPr>
    </w:p>
    <w:p w14:paraId="49123BA1" w14:textId="77777777" w:rsidR="00E50C9B" w:rsidRDefault="00E50C9B" w:rsidP="00D55DA3">
      <w:pPr>
        <w:rPr>
          <w:b/>
          <w:bCs/>
        </w:rPr>
      </w:pPr>
    </w:p>
    <w:p w14:paraId="5D4D6932" w14:textId="0614050B" w:rsidR="00D55DA3" w:rsidRDefault="00D55DA3" w:rsidP="00D55DA3">
      <w:r w:rsidRPr="00D55DA3">
        <w:rPr>
          <w:b/>
          <w:bCs/>
        </w:rPr>
        <w:lastRenderedPageBreak/>
        <w:t>Evaluation recommendation 5:</w:t>
      </w:r>
      <w:r>
        <w:t xml:space="preserve"> “There is also an opportunity for PAPI to organize regular policy dialogues that include a diverse range of stakeholders such as academics, policymakers, and civil society organizations. These forums could be utilized to dissect complex policy issues, using PAPI’s empirical evidence as a basis for targeted interventions.”</w:t>
      </w:r>
    </w:p>
    <w:p w14:paraId="7DC99880" w14:textId="77777777" w:rsidR="00D55DA3" w:rsidRPr="00D55DA3" w:rsidRDefault="00D55DA3" w:rsidP="00D55DA3">
      <w:pPr>
        <w:rPr>
          <w:b/>
          <w:bCs/>
        </w:rPr>
      </w:pPr>
      <w:r w:rsidRPr="00D55DA3">
        <w:rPr>
          <w:b/>
          <w:bCs/>
        </w:rPr>
        <w:t xml:space="preserve">Management response: Agreed </w:t>
      </w:r>
    </w:p>
    <w:p w14:paraId="3A023D9C" w14:textId="77777777" w:rsidR="00D55DA3" w:rsidRDefault="00D55DA3" w:rsidP="00D55DA3">
      <w:r>
        <w:t>-</w:t>
      </w:r>
      <w:r>
        <w:tab/>
        <w:t xml:space="preserve">We note the importance of regular thematic policy dialogues and thematic discussions that involve a diverse range of stakeholders as recommended. In fact, we have proactively convened such dialogues and discussions on various PAPI-related topics with also in-depth research findings through action-oriented studies every quarter and have engaged all types of relevant stakeholders including policymakers, practitioners from provinces, civil society organizations and the academia. </w:t>
      </w:r>
    </w:p>
    <w:tbl>
      <w:tblPr>
        <w:tblStyle w:val="TableGrid"/>
        <w:tblpPr w:leftFromText="180" w:rightFromText="180" w:vertAnchor="text" w:horzAnchor="margin" w:tblpY="16"/>
        <w:tblW w:w="8398" w:type="dxa"/>
        <w:tblLook w:val="01E0" w:firstRow="1" w:lastRow="1" w:firstColumn="1" w:lastColumn="1" w:noHBand="0" w:noVBand="0"/>
      </w:tblPr>
      <w:tblGrid>
        <w:gridCol w:w="3145"/>
        <w:gridCol w:w="1768"/>
        <w:gridCol w:w="1688"/>
        <w:gridCol w:w="1797"/>
      </w:tblGrid>
      <w:tr w:rsidR="00E50C9B" w:rsidRPr="008711DF" w14:paraId="3B5F274E" w14:textId="77777777" w:rsidTr="00E50C9B">
        <w:tc>
          <w:tcPr>
            <w:tcW w:w="3145" w:type="dxa"/>
          </w:tcPr>
          <w:p w14:paraId="787FB747" w14:textId="76638082" w:rsidR="00E50C9B" w:rsidRPr="2E577EF3" w:rsidRDefault="00E50C9B" w:rsidP="00001F87">
            <w:pPr>
              <w:tabs>
                <w:tab w:val="left" w:pos="1080"/>
              </w:tabs>
              <w:rPr>
                <w:color w:val="185262"/>
              </w:rPr>
            </w:pPr>
            <w:r w:rsidRPr="008711DF">
              <w:rPr>
                <w:rFonts w:cstheme="minorHAnsi"/>
                <w:b/>
                <w:color w:val="185262"/>
              </w:rPr>
              <w:t>Key action(s)</w:t>
            </w:r>
          </w:p>
        </w:tc>
        <w:tc>
          <w:tcPr>
            <w:tcW w:w="1768" w:type="dxa"/>
          </w:tcPr>
          <w:p w14:paraId="56A71A20" w14:textId="3235D7D9" w:rsidR="00E50C9B" w:rsidRPr="2E577EF3" w:rsidRDefault="00E50C9B" w:rsidP="00001F87">
            <w:pPr>
              <w:tabs>
                <w:tab w:val="left" w:pos="1080"/>
              </w:tabs>
              <w:rPr>
                <w:color w:val="185262"/>
              </w:rPr>
            </w:pPr>
            <w:r w:rsidRPr="008711DF">
              <w:rPr>
                <w:rFonts w:cstheme="minorHAnsi"/>
                <w:b/>
                <w:color w:val="185262"/>
              </w:rPr>
              <w:t>Completion date</w:t>
            </w:r>
          </w:p>
        </w:tc>
        <w:tc>
          <w:tcPr>
            <w:tcW w:w="1688" w:type="dxa"/>
          </w:tcPr>
          <w:p w14:paraId="63A216DD" w14:textId="4BAAAC40" w:rsidR="00E50C9B" w:rsidRDefault="00E50C9B" w:rsidP="00001F87">
            <w:pPr>
              <w:tabs>
                <w:tab w:val="left" w:pos="1080"/>
              </w:tabs>
              <w:rPr>
                <w:rFonts w:cstheme="minorHAnsi"/>
                <w:color w:val="185262"/>
              </w:rPr>
            </w:pPr>
            <w:r w:rsidRPr="008711DF">
              <w:rPr>
                <w:rFonts w:cstheme="minorHAnsi"/>
                <w:b/>
                <w:color w:val="185262"/>
              </w:rPr>
              <w:t>Responsible unit(s)</w:t>
            </w:r>
          </w:p>
        </w:tc>
        <w:tc>
          <w:tcPr>
            <w:tcW w:w="1797" w:type="dxa"/>
          </w:tcPr>
          <w:p w14:paraId="00B6CC10" w14:textId="77777777" w:rsidR="00E50C9B" w:rsidRPr="008711DF" w:rsidRDefault="00E50C9B" w:rsidP="008C7B14">
            <w:pPr>
              <w:tabs>
                <w:tab w:val="left" w:pos="1080"/>
              </w:tabs>
              <w:rPr>
                <w:rFonts w:asciiTheme="majorHAnsi" w:eastAsiaTheme="majorEastAsia" w:hAnsiTheme="majorHAnsi" w:cstheme="minorHAnsi"/>
                <w:b/>
                <w:color w:val="185262"/>
                <w:sz w:val="21"/>
                <w:szCs w:val="21"/>
              </w:rPr>
            </w:pPr>
            <w:r w:rsidRPr="008711DF">
              <w:rPr>
                <w:rFonts w:cstheme="minorHAnsi"/>
                <w:b/>
                <w:color w:val="185262"/>
              </w:rPr>
              <w:t>Tracking</w:t>
            </w:r>
            <w:r>
              <w:rPr>
                <w:rFonts w:cstheme="minorHAnsi"/>
                <w:b/>
                <w:color w:val="185262"/>
              </w:rPr>
              <w:t xml:space="preserve"> </w:t>
            </w:r>
            <w:r w:rsidRPr="008711DF">
              <w:rPr>
                <w:rFonts w:cstheme="minorHAnsi"/>
                <w:b/>
                <w:color w:val="185262"/>
              </w:rPr>
              <w:t>Status</w:t>
            </w:r>
            <w:r>
              <w:rPr>
                <w:rFonts w:cstheme="minorHAnsi"/>
                <w:b/>
                <w:color w:val="185262"/>
              </w:rPr>
              <w:t>*</w:t>
            </w:r>
          </w:p>
          <w:p w14:paraId="1E01852F" w14:textId="7FBF3117" w:rsidR="00E50C9B" w:rsidRDefault="00E50C9B" w:rsidP="008C7B14">
            <w:pPr>
              <w:tabs>
                <w:tab w:val="left" w:pos="1080"/>
              </w:tabs>
              <w:rPr>
                <w:rFonts w:cstheme="minorHAnsi"/>
                <w:color w:val="185262"/>
              </w:rPr>
            </w:pPr>
            <w:r w:rsidRPr="008711DF">
              <w:rPr>
                <w:rFonts w:cstheme="minorHAnsi"/>
                <w:b/>
                <w:color w:val="185262"/>
              </w:rPr>
              <w:t>(</w:t>
            </w:r>
            <w:proofErr w:type="gramStart"/>
            <w:r w:rsidRPr="008711DF">
              <w:rPr>
                <w:rFonts w:cstheme="minorHAnsi"/>
                <w:b/>
                <w:color w:val="185262"/>
              </w:rPr>
              <w:t>initiated</w:t>
            </w:r>
            <w:proofErr w:type="gramEnd"/>
            <w:r w:rsidRPr="008711DF">
              <w:rPr>
                <w:rFonts w:cstheme="minorHAnsi"/>
                <w:b/>
                <w:color w:val="185262"/>
              </w:rPr>
              <w:t>, completed or no due date)</w:t>
            </w:r>
          </w:p>
        </w:tc>
      </w:tr>
      <w:tr w:rsidR="00E50C9B" w:rsidRPr="008711DF" w14:paraId="5888B14F" w14:textId="77777777" w:rsidTr="00E50C9B">
        <w:tc>
          <w:tcPr>
            <w:tcW w:w="3145" w:type="dxa"/>
          </w:tcPr>
          <w:p w14:paraId="269A7E97" w14:textId="7B18861E" w:rsidR="00E50C9B" w:rsidRPr="008711DF" w:rsidRDefault="00E50C9B" w:rsidP="2E577EF3">
            <w:pPr>
              <w:tabs>
                <w:tab w:val="left" w:pos="1080"/>
              </w:tabs>
              <w:rPr>
                <w:color w:val="185262"/>
              </w:rPr>
            </w:pPr>
            <w:r w:rsidRPr="2E577EF3">
              <w:rPr>
                <w:color w:val="185262"/>
              </w:rPr>
              <w:t xml:space="preserve">5.1. Keep convening thematic policy discussions following the National Assembly’s Legal and Legislative Development Agendas to feed data and information for topical issues that PAPI covers or should cover to inform the policy and </w:t>
            </w:r>
            <w:r w:rsidRPr="00BE192E">
              <w:rPr>
                <w:color w:val="185262"/>
              </w:rPr>
              <w:t>report in the final PAPI project report</w:t>
            </w:r>
            <w:r w:rsidRPr="2E577EF3">
              <w:rPr>
                <w:color w:val="185262"/>
              </w:rPr>
              <w:t xml:space="preserve"> </w:t>
            </w:r>
          </w:p>
        </w:tc>
        <w:tc>
          <w:tcPr>
            <w:tcW w:w="1768" w:type="dxa"/>
          </w:tcPr>
          <w:p w14:paraId="0FF736CF" w14:textId="249D79E9" w:rsidR="00E50C9B" w:rsidRPr="008711DF" w:rsidRDefault="00E50C9B" w:rsidP="2E577EF3">
            <w:pPr>
              <w:tabs>
                <w:tab w:val="left" w:pos="1080"/>
              </w:tabs>
              <w:rPr>
                <w:color w:val="185262"/>
              </w:rPr>
            </w:pPr>
            <w:r w:rsidRPr="2E577EF3">
              <w:rPr>
                <w:color w:val="185262"/>
              </w:rPr>
              <w:t>Throughout until 30 June 2025</w:t>
            </w:r>
          </w:p>
        </w:tc>
        <w:tc>
          <w:tcPr>
            <w:tcW w:w="1688" w:type="dxa"/>
          </w:tcPr>
          <w:p w14:paraId="19FE4F69" w14:textId="5A5D5054" w:rsidR="00E50C9B" w:rsidRPr="008711DF" w:rsidRDefault="00E50C9B" w:rsidP="00C3293F">
            <w:pPr>
              <w:tabs>
                <w:tab w:val="left" w:pos="1080"/>
              </w:tabs>
              <w:rPr>
                <w:rFonts w:cstheme="minorHAnsi"/>
                <w:color w:val="185262"/>
              </w:rPr>
            </w:pPr>
            <w:r>
              <w:rPr>
                <w:rFonts w:cstheme="minorHAnsi"/>
                <w:color w:val="185262"/>
              </w:rPr>
              <w:t>UNDP/GPT/PAPI Team</w:t>
            </w:r>
          </w:p>
        </w:tc>
        <w:tc>
          <w:tcPr>
            <w:tcW w:w="1797" w:type="dxa"/>
          </w:tcPr>
          <w:p w14:paraId="47E93450" w14:textId="20374262" w:rsidR="00E50C9B" w:rsidRPr="008711DF" w:rsidRDefault="00E50C9B" w:rsidP="00C3293F">
            <w:pPr>
              <w:tabs>
                <w:tab w:val="left" w:pos="1080"/>
              </w:tabs>
              <w:rPr>
                <w:rFonts w:cstheme="minorHAnsi"/>
                <w:color w:val="185262"/>
              </w:rPr>
            </w:pPr>
            <w:r>
              <w:rPr>
                <w:rFonts w:cstheme="minorHAnsi"/>
                <w:color w:val="185262"/>
              </w:rPr>
              <w:t>Initiated</w:t>
            </w:r>
          </w:p>
        </w:tc>
      </w:tr>
    </w:tbl>
    <w:p w14:paraId="1BD0A941" w14:textId="31C20D64" w:rsidR="00916CD0" w:rsidRDefault="00916CD0"/>
    <w:p w14:paraId="29FD9EB1" w14:textId="77777777" w:rsidR="00E50C9B" w:rsidRDefault="00E50C9B" w:rsidP="00D55DA3">
      <w:pPr>
        <w:rPr>
          <w:b/>
          <w:bCs/>
        </w:rPr>
      </w:pPr>
    </w:p>
    <w:p w14:paraId="6567A747" w14:textId="77777777" w:rsidR="00E50C9B" w:rsidRDefault="00E50C9B" w:rsidP="00D55DA3">
      <w:pPr>
        <w:rPr>
          <w:b/>
          <w:bCs/>
        </w:rPr>
      </w:pPr>
    </w:p>
    <w:p w14:paraId="30C2AB2B" w14:textId="77777777" w:rsidR="00E50C9B" w:rsidRDefault="00E50C9B" w:rsidP="00D55DA3">
      <w:pPr>
        <w:rPr>
          <w:b/>
          <w:bCs/>
        </w:rPr>
      </w:pPr>
    </w:p>
    <w:p w14:paraId="63D008BF" w14:textId="77777777" w:rsidR="00E50C9B" w:rsidRDefault="00E50C9B" w:rsidP="00D55DA3">
      <w:pPr>
        <w:rPr>
          <w:b/>
          <w:bCs/>
        </w:rPr>
      </w:pPr>
    </w:p>
    <w:p w14:paraId="0E2F762D" w14:textId="77777777" w:rsidR="00E50C9B" w:rsidRDefault="00E50C9B" w:rsidP="00D55DA3">
      <w:pPr>
        <w:rPr>
          <w:b/>
          <w:bCs/>
        </w:rPr>
      </w:pPr>
    </w:p>
    <w:p w14:paraId="0B9DA0BE" w14:textId="77777777" w:rsidR="00E50C9B" w:rsidRDefault="00E50C9B" w:rsidP="00D55DA3">
      <w:pPr>
        <w:rPr>
          <w:b/>
          <w:bCs/>
        </w:rPr>
      </w:pPr>
    </w:p>
    <w:p w14:paraId="7293E6C6" w14:textId="77777777" w:rsidR="00E50C9B" w:rsidRDefault="00E50C9B" w:rsidP="00D55DA3">
      <w:pPr>
        <w:rPr>
          <w:b/>
          <w:bCs/>
        </w:rPr>
      </w:pPr>
    </w:p>
    <w:p w14:paraId="0EDD098D" w14:textId="77777777" w:rsidR="00E50C9B" w:rsidRDefault="00E50C9B" w:rsidP="00D55DA3">
      <w:pPr>
        <w:rPr>
          <w:b/>
          <w:bCs/>
        </w:rPr>
      </w:pPr>
    </w:p>
    <w:p w14:paraId="7239C43F" w14:textId="2F093257" w:rsidR="00D55DA3" w:rsidRDefault="00D55DA3" w:rsidP="00D55DA3">
      <w:r w:rsidRPr="00D55DA3">
        <w:rPr>
          <w:b/>
          <w:bCs/>
        </w:rPr>
        <w:t>Evaluation recommendation 6:</w:t>
      </w:r>
      <w:r>
        <w:t xml:space="preserve"> “PAPI team should continue and expand the recent practice of complementary research and advocacy that goes beyond mere assessment to propose tailored community-level solutions for specific localities. The team should promote complementary research that identifies good practices from high performing provinces that can be replicated across Vietnam.”</w:t>
      </w:r>
    </w:p>
    <w:p w14:paraId="2D2A8F83" w14:textId="77777777" w:rsidR="00D55DA3" w:rsidRPr="00D55DA3" w:rsidRDefault="00D55DA3" w:rsidP="00D55DA3">
      <w:pPr>
        <w:rPr>
          <w:b/>
          <w:bCs/>
        </w:rPr>
      </w:pPr>
      <w:r w:rsidRPr="00D55DA3">
        <w:rPr>
          <w:b/>
          <w:bCs/>
        </w:rPr>
        <w:t xml:space="preserve">Management response: Agreed </w:t>
      </w:r>
    </w:p>
    <w:p w14:paraId="5826E64A" w14:textId="77777777" w:rsidR="00D55DA3" w:rsidRDefault="00D55DA3" w:rsidP="00D55DA3">
      <w:r>
        <w:t>-</w:t>
      </w:r>
      <w:r>
        <w:tab/>
        <w:t xml:space="preserve">With additional funding from DFAT and Ireland since 2020, we have been able to convene complementary research and advocacy activities as well as to support for community-level innovation initiatives. Such complementary research has helped identify also good practices from several provinces to advocate for upscaling in other provinces. </w:t>
      </w:r>
    </w:p>
    <w:tbl>
      <w:tblPr>
        <w:tblStyle w:val="TableGrid"/>
        <w:tblpPr w:leftFromText="180" w:rightFromText="180" w:vertAnchor="text" w:horzAnchor="margin" w:tblpY="16"/>
        <w:tblW w:w="8399" w:type="dxa"/>
        <w:tblLook w:val="01E0" w:firstRow="1" w:lastRow="1" w:firstColumn="1" w:lastColumn="1" w:noHBand="0" w:noVBand="0"/>
      </w:tblPr>
      <w:tblGrid>
        <w:gridCol w:w="3033"/>
        <w:gridCol w:w="1881"/>
        <w:gridCol w:w="1688"/>
        <w:gridCol w:w="1797"/>
      </w:tblGrid>
      <w:tr w:rsidR="00E50C9B" w:rsidRPr="008711DF" w14:paraId="7633EE35" w14:textId="77777777" w:rsidTr="00E50C9B">
        <w:tc>
          <w:tcPr>
            <w:tcW w:w="3033" w:type="dxa"/>
          </w:tcPr>
          <w:p w14:paraId="0DB10E0E" w14:textId="06A7EDC9" w:rsidR="00E50C9B" w:rsidRDefault="00E50C9B" w:rsidP="00F327F3">
            <w:pPr>
              <w:tabs>
                <w:tab w:val="left" w:pos="1080"/>
              </w:tabs>
              <w:rPr>
                <w:rFonts w:cstheme="minorHAnsi"/>
                <w:color w:val="185262"/>
              </w:rPr>
            </w:pPr>
            <w:r w:rsidRPr="008711DF">
              <w:rPr>
                <w:rFonts w:cstheme="minorHAnsi"/>
                <w:b/>
                <w:color w:val="185262"/>
              </w:rPr>
              <w:t>Key action(s)</w:t>
            </w:r>
          </w:p>
        </w:tc>
        <w:tc>
          <w:tcPr>
            <w:tcW w:w="1881" w:type="dxa"/>
          </w:tcPr>
          <w:p w14:paraId="5C74F777" w14:textId="5A39697E" w:rsidR="00E50C9B" w:rsidRDefault="00E50C9B" w:rsidP="00F327F3">
            <w:pPr>
              <w:tabs>
                <w:tab w:val="left" w:pos="1080"/>
              </w:tabs>
              <w:rPr>
                <w:rFonts w:cstheme="minorHAnsi"/>
                <w:color w:val="185262"/>
              </w:rPr>
            </w:pPr>
            <w:r w:rsidRPr="008711DF">
              <w:rPr>
                <w:rFonts w:cstheme="minorHAnsi"/>
                <w:b/>
                <w:color w:val="185262"/>
              </w:rPr>
              <w:t>Completion date</w:t>
            </w:r>
          </w:p>
        </w:tc>
        <w:tc>
          <w:tcPr>
            <w:tcW w:w="1688" w:type="dxa"/>
          </w:tcPr>
          <w:p w14:paraId="0E467BE8" w14:textId="3B2582CC" w:rsidR="00E50C9B" w:rsidRDefault="00E50C9B" w:rsidP="00F327F3">
            <w:pPr>
              <w:tabs>
                <w:tab w:val="left" w:pos="1080"/>
              </w:tabs>
              <w:rPr>
                <w:rFonts w:cstheme="minorHAnsi"/>
                <w:color w:val="185262"/>
              </w:rPr>
            </w:pPr>
            <w:r w:rsidRPr="008711DF">
              <w:rPr>
                <w:rFonts w:cstheme="minorHAnsi"/>
                <w:b/>
                <w:color w:val="185262"/>
              </w:rPr>
              <w:t>Responsible unit(s)</w:t>
            </w:r>
          </w:p>
        </w:tc>
        <w:tc>
          <w:tcPr>
            <w:tcW w:w="1797" w:type="dxa"/>
          </w:tcPr>
          <w:p w14:paraId="3874E2A6" w14:textId="77777777" w:rsidR="00E50C9B" w:rsidRPr="008711DF" w:rsidRDefault="00E50C9B" w:rsidP="008C7B14">
            <w:pPr>
              <w:tabs>
                <w:tab w:val="left" w:pos="1080"/>
              </w:tabs>
              <w:rPr>
                <w:rFonts w:asciiTheme="majorHAnsi" w:eastAsiaTheme="majorEastAsia" w:hAnsiTheme="majorHAnsi" w:cstheme="minorHAnsi"/>
                <w:b/>
                <w:color w:val="185262"/>
                <w:sz w:val="21"/>
                <w:szCs w:val="21"/>
              </w:rPr>
            </w:pPr>
            <w:r w:rsidRPr="008711DF">
              <w:rPr>
                <w:rFonts w:cstheme="minorHAnsi"/>
                <w:b/>
                <w:color w:val="185262"/>
              </w:rPr>
              <w:t>Tracking</w:t>
            </w:r>
            <w:r>
              <w:rPr>
                <w:rFonts w:cstheme="minorHAnsi"/>
                <w:b/>
                <w:color w:val="185262"/>
              </w:rPr>
              <w:t xml:space="preserve"> </w:t>
            </w:r>
            <w:r w:rsidRPr="008711DF">
              <w:rPr>
                <w:rFonts w:cstheme="minorHAnsi"/>
                <w:b/>
                <w:color w:val="185262"/>
              </w:rPr>
              <w:t>Status</w:t>
            </w:r>
            <w:r>
              <w:rPr>
                <w:rFonts w:cstheme="minorHAnsi"/>
                <w:b/>
                <w:color w:val="185262"/>
              </w:rPr>
              <w:t>*</w:t>
            </w:r>
          </w:p>
          <w:p w14:paraId="0A5190FD" w14:textId="7727CE5F" w:rsidR="00E50C9B" w:rsidRDefault="00E50C9B" w:rsidP="008C7B14">
            <w:pPr>
              <w:tabs>
                <w:tab w:val="left" w:pos="1080"/>
              </w:tabs>
              <w:rPr>
                <w:rFonts w:cstheme="minorHAnsi"/>
                <w:color w:val="185262"/>
              </w:rPr>
            </w:pPr>
            <w:r w:rsidRPr="008711DF">
              <w:rPr>
                <w:rFonts w:cstheme="minorHAnsi"/>
                <w:b/>
                <w:color w:val="185262"/>
              </w:rPr>
              <w:t>(</w:t>
            </w:r>
            <w:proofErr w:type="gramStart"/>
            <w:r w:rsidRPr="008711DF">
              <w:rPr>
                <w:rFonts w:cstheme="minorHAnsi"/>
                <w:b/>
                <w:color w:val="185262"/>
              </w:rPr>
              <w:t>initiated</w:t>
            </w:r>
            <w:proofErr w:type="gramEnd"/>
            <w:r w:rsidRPr="008711DF">
              <w:rPr>
                <w:rFonts w:cstheme="minorHAnsi"/>
                <w:b/>
                <w:color w:val="185262"/>
              </w:rPr>
              <w:t>, completed or no due date)</w:t>
            </w:r>
          </w:p>
        </w:tc>
      </w:tr>
      <w:tr w:rsidR="00E50C9B" w:rsidRPr="008711DF" w14:paraId="59AE20DB" w14:textId="77777777" w:rsidTr="00E50C9B">
        <w:tc>
          <w:tcPr>
            <w:tcW w:w="3033" w:type="dxa"/>
          </w:tcPr>
          <w:p w14:paraId="0825C5AC" w14:textId="77777777" w:rsidR="00E50C9B" w:rsidRPr="008711DF" w:rsidRDefault="00E50C9B" w:rsidP="00F327F3">
            <w:pPr>
              <w:tabs>
                <w:tab w:val="left" w:pos="1080"/>
              </w:tabs>
              <w:rPr>
                <w:rFonts w:cstheme="minorHAnsi"/>
                <w:b/>
                <w:color w:val="185262"/>
              </w:rPr>
            </w:pPr>
          </w:p>
        </w:tc>
        <w:tc>
          <w:tcPr>
            <w:tcW w:w="1881" w:type="dxa"/>
          </w:tcPr>
          <w:p w14:paraId="2C1D0A5D" w14:textId="77777777" w:rsidR="00E50C9B" w:rsidRPr="008711DF" w:rsidRDefault="00E50C9B" w:rsidP="00F327F3">
            <w:pPr>
              <w:tabs>
                <w:tab w:val="left" w:pos="1080"/>
              </w:tabs>
              <w:rPr>
                <w:rFonts w:cstheme="minorHAnsi"/>
                <w:b/>
                <w:color w:val="185262"/>
              </w:rPr>
            </w:pPr>
          </w:p>
        </w:tc>
        <w:tc>
          <w:tcPr>
            <w:tcW w:w="1688" w:type="dxa"/>
          </w:tcPr>
          <w:p w14:paraId="71235212" w14:textId="77777777" w:rsidR="00E50C9B" w:rsidRPr="008711DF" w:rsidRDefault="00E50C9B" w:rsidP="00F327F3">
            <w:pPr>
              <w:tabs>
                <w:tab w:val="left" w:pos="1080"/>
              </w:tabs>
              <w:rPr>
                <w:rFonts w:cstheme="minorHAnsi"/>
                <w:b/>
                <w:color w:val="185262"/>
              </w:rPr>
            </w:pPr>
          </w:p>
        </w:tc>
        <w:tc>
          <w:tcPr>
            <w:tcW w:w="1797" w:type="dxa"/>
          </w:tcPr>
          <w:p w14:paraId="731076E5" w14:textId="77777777" w:rsidR="00E50C9B" w:rsidRPr="008711DF" w:rsidRDefault="00E50C9B" w:rsidP="008C7B14">
            <w:pPr>
              <w:tabs>
                <w:tab w:val="left" w:pos="1080"/>
              </w:tabs>
              <w:rPr>
                <w:rFonts w:cstheme="minorHAnsi"/>
                <w:b/>
                <w:color w:val="185262"/>
              </w:rPr>
            </w:pPr>
          </w:p>
        </w:tc>
      </w:tr>
      <w:tr w:rsidR="00E50C9B" w:rsidRPr="008711DF" w14:paraId="5EEE5403" w14:textId="77777777" w:rsidTr="00E50C9B">
        <w:tc>
          <w:tcPr>
            <w:tcW w:w="3033" w:type="dxa"/>
          </w:tcPr>
          <w:p w14:paraId="06E79B5C" w14:textId="76DE1738" w:rsidR="00E50C9B" w:rsidRPr="008711DF" w:rsidRDefault="00E50C9B" w:rsidP="00C3293F">
            <w:pPr>
              <w:tabs>
                <w:tab w:val="left" w:pos="1080"/>
              </w:tabs>
              <w:rPr>
                <w:rFonts w:cstheme="minorHAnsi"/>
                <w:color w:val="185262"/>
              </w:rPr>
            </w:pPr>
            <w:r>
              <w:rPr>
                <w:rFonts w:cstheme="minorHAnsi"/>
                <w:color w:val="185262"/>
              </w:rPr>
              <w:t>6</w:t>
            </w:r>
            <w:r w:rsidRPr="008711DF">
              <w:rPr>
                <w:rFonts w:cstheme="minorHAnsi"/>
                <w:color w:val="185262"/>
              </w:rPr>
              <w:t>.1</w:t>
            </w:r>
            <w:r>
              <w:rPr>
                <w:rFonts w:cstheme="minorHAnsi"/>
                <w:color w:val="185262"/>
              </w:rPr>
              <w:t xml:space="preserve">. </w:t>
            </w:r>
            <w:r w:rsidRPr="008711DF">
              <w:rPr>
                <w:rFonts w:cstheme="minorHAnsi"/>
                <w:color w:val="185262"/>
              </w:rPr>
              <w:t xml:space="preserve"> </w:t>
            </w:r>
            <w:r>
              <w:rPr>
                <w:rFonts w:cstheme="minorHAnsi"/>
                <w:color w:val="185262"/>
              </w:rPr>
              <w:t>Explore key points for in-depth complementary research and advocacy as follow-ups to PAPI findings and good practices in inclusive governance and participation at the local level to provide technical support and to advocate for upscaling</w:t>
            </w:r>
          </w:p>
        </w:tc>
        <w:tc>
          <w:tcPr>
            <w:tcW w:w="1881" w:type="dxa"/>
          </w:tcPr>
          <w:p w14:paraId="7E3FC7C6" w14:textId="7ED06929" w:rsidR="00E50C9B" w:rsidRPr="008711DF" w:rsidRDefault="00E50C9B" w:rsidP="00C3293F">
            <w:pPr>
              <w:tabs>
                <w:tab w:val="left" w:pos="1080"/>
              </w:tabs>
              <w:rPr>
                <w:rFonts w:cstheme="minorHAnsi"/>
                <w:color w:val="185262"/>
              </w:rPr>
            </w:pPr>
            <w:r>
              <w:rPr>
                <w:rFonts w:cstheme="minorHAnsi"/>
                <w:color w:val="185262"/>
              </w:rPr>
              <w:t xml:space="preserve">Throughout until 30 June 2025 </w:t>
            </w:r>
          </w:p>
        </w:tc>
        <w:tc>
          <w:tcPr>
            <w:tcW w:w="1688" w:type="dxa"/>
          </w:tcPr>
          <w:p w14:paraId="6FDFEF56" w14:textId="765CFCD4" w:rsidR="00E50C9B" w:rsidRPr="008711DF" w:rsidRDefault="00E50C9B" w:rsidP="00C3293F">
            <w:pPr>
              <w:tabs>
                <w:tab w:val="left" w:pos="1080"/>
              </w:tabs>
              <w:rPr>
                <w:rFonts w:cstheme="minorHAnsi"/>
                <w:color w:val="185262"/>
              </w:rPr>
            </w:pPr>
            <w:r>
              <w:rPr>
                <w:rFonts w:cstheme="minorHAnsi"/>
                <w:color w:val="185262"/>
              </w:rPr>
              <w:t>UNDP/GPT/PAPI Team; national counterparts and development partners</w:t>
            </w:r>
          </w:p>
        </w:tc>
        <w:tc>
          <w:tcPr>
            <w:tcW w:w="1797" w:type="dxa"/>
          </w:tcPr>
          <w:p w14:paraId="6CC2C7F5" w14:textId="77777777" w:rsidR="00E50C9B" w:rsidRDefault="00E50C9B" w:rsidP="00C3293F">
            <w:pPr>
              <w:tabs>
                <w:tab w:val="left" w:pos="1080"/>
              </w:tabs>
              <w:rPr>
                <w:rFonts w:cstheme="minorHAnsi"/>
                <w:color w:val="185262"/>
              </w:rPr>
            </w:pPr>
            <w:r>
              <w:rPr>
                <w:rFonts w:cstheme="minorHAnsi"/>
                <w:color w:val="185262"/>
              </w:rPr>
              <w:t>Initiated</w:t>
            </w:r>
          </w:p>
          <w:p w14:paraId="45E78BE3" w14:textId="6CA0B814" w:rsidR="00E50C9B" w:rsidRPr="008711DF" w:rsidRDefault="00E50C9B" w:rsidP="00C3293F">
            <w:pPr>
              <w:tabs>
                <w:tab w:val="left" w:pos="1080"/>
              </w:tabs>
              <w:rPr>
                <w:rFonts w:cstheme="minorHAnsi"/>
                <w:color w:val="185262"/>
              </w:rPr>
            </w:pPr>
          </w:p>
        </w:tc>
      </w:tr>
    </w:tbl>
    <w:p w14:paraId="3E975194" w14:textId="17FBD489" w:rsidR="000715F3" w:rsidRDefault="000715F3" w:rsidP="00C3293F">
      <w:pPr>
        <w:tabs>
          <w:tab w:val="left" w:pos="1080"/>
        </w:tabs>
        <w:spacing w:after="0" w:line="240" w:lineRule="auto"/>
        <w:rPr>
          <w:rFonts w:cstheme="minorHAnsi"/>
          <w:color w:val="185262"/>
          <w:lang w:eastAsia="ja-JP"/>
        </w:rPr>
      </w:pPr>
    </w:p>
    <w:p w14:paraId="2C71CC34" w14:textId="77777777" w:rsidR="00D55DA3" w:rsidRPr="00D55DA3" w:rsidRDefault="00D55DA3" w:rsidP="00D55DA3">
      <w:pPr>
        <w:tabs>
          <w:tab w:val="left" w:pos="1080"/>
        </w:tabs>
        <w:spacing w:after="0" w:line="240" w:lineRule="auto"/>
        <w:rPr>
          <w:rFonts w:cstheme="minorHAnsi"/>
          <w:color w:val="185262"/>
          <w:lang w:eastAsia="ja-JP"/>
        </w:rPr>
      </w:pPr>
      <w:r w:rsidRPr="00D55DA3">
        <w:rPr>
          <w:rFonts w:cstheme="minorHAnsi"/>
          <w:b/>
          <w:bCs/>
          <w:color w:val="185262"/>
          <w:lang w:eastAsia="ja-JP"/>
        </w:rPr>
        <w:lastRenderedPageBreak/>
        <w:t>Evaluation recommendation 7:</w:t>
      </w:r>
      <w:r w:rsidRPr="00D55DA3">
        <w:rPr>
          <w:rFonts w:cstheme="minorHAnsi"/>
          <w:color w:val="185262"/>
          <w:lang w:eastAsia="ja-JP"/>
        </w:rPr>
        <w:t xml:space="preserve"> “PAPI team should explore options to engage more actively in creating avenues for the empowerment of women. This could include leadership training programmes, mentoring networks with existing female officials, and media campaigns specifically designed to build confidence and encourage political participation among women.”</w:t>
      </w:r>
    </w:p>
    <w:p w14:paraId="7D1D8E0A" w14:textId="77777777" w:rsidR="00780057" w:rsidRDefault="00780057" w:rsidP="00D55DA3">
      <w:pPr>
        <w:tabs>
          <w:tab w:val="left" w:pos="1080"/>
        </w:tabs>
        <w:spacing w:after="0" w:line="240" w:lineRule="auto"/>
        <w:rPr>
          <w:rFonts w:cstheme="minorHAnsi"/>
          <w:b/>
          <w:bCs/>
          <w:color w:val="185262"/>
          <w:lang w:eastAsia="ja-JP"/>
        </w:rPr>
      </w:pPr>
    </w:p>
    <w:p w14:paraId="24B3B0FF" w14:textId="3798D484" w:rsidR="00D55DA3" w:rsidRPr="00780057" w:rsidRDefault="00D55DA3" w:rsidP="00D55DA3">
      <w:pPr>
        <w:tabs>
          <w:tab w:val="left" w:pos="1080"/>
        </w:tabs>
        <w:spacing w:after="0" w:line="240" w:lineRule="auto"/>
        <w:rPr>
          <w:rFonts w:cstheme="minorHAnsi"/>
          <w:b/>
          <w:bCs/>
          <w:color w:val="185262"/>
          <w:lang w:eastAsia="ja-JP"/>
        </w:rPr>
      </w:pPr>
      <w:r w:rsidRPr="00780057">
        <w:rPr>
          <w:rFonts w:cstheme="minorHAnsi"/>
          <w:b/>
          <w:bCs/>
          <w:color w:val="185262"/>
          <w:lang w:eastAsia="ja-JP"/>
        </w:rPr>
        <w:t>Management response: Agreed</w:t>
      </w:r>
    </w:p>
    <w:p w14:paraId="1C99F2C4" w14:textId="77777777" w:rsidR="00D55DA3" w:rsidRPr="00D55DA3" w:rsidRDefault="00D55DA3" w:rsidP="00D55DA3">
      <w:pPr>
        <w:tabs>
          <w:tab w:val="left" w:pos="1080"/>
        </w:tabs>
        <w:spacing w:after="0" w:line="240" w:lineRule="auto"/>
        <w:rPr>
          <w:rFonts w:cstheme="minorHAnsi"/>
          <w:color w:val="185262"/>
          <w:lang w:eastAsia="ja-JP"/>
        </w:rPr>
      </w:pPr>
    </w:p>
    <w:p w14:paraId="590311A8" w14:textId="77777777" w:rsidR="00D55DA3" w:rsidRPr="00D55DA3" w:rsidRDefault="00D55DA3" w:rsidP="00D55DA3">
      <w:pPr>
        <w:tabs>
          <w:tab w:val="left" w:pos="1080"/>
        </w:tabs>
        <w:spacing w:after="0" w:line="240" w:lineRule="auto"/>
        <w:rPr>
          <w:rFonts w:cstheme="minorHAnsi"/>
          <w:color w:val="185262"/>
          <w:lang w:eastAsia="ja-JP"/>
        </w:rPr>
      </w:pPr>
      <w:r w:rsidRPr="00D55DA3">
        <w:rPr>
          <w:rFonts w:cstheme="minorHAnsi"/>
          <w:color w:val="185262"/>
          <w:lang w:eastAsia="ja-JP"/>
        </w:rPr>
        <w:t>-</w:t>
      </w:r>
      <w:r w:rsidRPr="00D55DA3">
        <w:rPr>
          <w:rFonts w:cstheme="minorHAnsi"/>
          <w:color w:val="185262"/>
          <w:lang w:eastAsia="ja-JP"/>
        </w:rPr>
        <w:tab/>
        <w:t xml:space="preserve">We note the importance of gender equity in governance and participation, so over the past 15 years, we have been active in advocating for the role of women in elected agencies and in politics. The support has been precisely on what the MTR is recommending. However, we will/can do more to work towards gender equity in governance, especially in politics and local governance, primarily towards 2026 National Elections if/when we secure funding for such activities from 2024 onwards. </w:t>
      </w:r>
    </w:p>
    <w:p w14:paraId="6A0FFEBB" w14:textId="77777777" w:rsidR="00D55DA3" w:rsidRDefault="00D55DA3" w:rsidP="00C3293F">
      <w:pPr>
        <w:tabs>
          <w:tab w:val="left" w:pos="1080"/>
        </w:tabs>
        <w:spacing w:after="0" w:line="240" w:lineRule="auto"/>
        <w:rPr>
          <w:rFonts w:cstheme="minorHAnsi"/>
          <w:color w:val="185262"/>
          <w:lang w:eastAsia="ja-JP"/>
        </w:rPr>
      </w:pPr>
    </w:p>
    <w:tbl>
      <w:tblPr>
        <w:tblStyle w:val="TableGrid"/>
        <w:tblpPr w:leftFromText="180" w:rightFromText="180" w:vertAnchor="text" w:horzAnchor="margin" w:tblpY="16"/>
        <w:tblW w:w="8397" w:type="dxa"/>
        <w:tblLook w:val="01E0" w:firstRow="1" w:lastRow="1" w:firstColumn="1" w:lastColumn="1" w:noHBand="0" w:noVBand="0"/>
      </w:tblPr>
      <w:tblGrid>
        <w:gridCol w:w="2680"/>
        <w:gridCol w:w="2008"/>
        <w:gridCol w:w="1906"/>
        <w:gridCol w:w="1803"/>
      </w:tblGrid>
      <w:tr w:rsidR="00E50C9B" w:rsidRPr="008711DF" w14:paraId="52FB56A0" w14:textId="77777777" w:rsidTr="00E50C9B">
        <w:tc>
          <w:tcPr>
            <w:tcW w:w="2680" w:type="dxa"/>
          </w:tcPr>
          <w:p w14:paraId="70B9BFFB" w14:textId="28E11D1E" w:rsidR="00E50C9B" w:rsidRPr="2E577EF3" w:rsidRDefault="00E50C9B" w:rsidP="00F327F3">
            <w:pPr>
              <w:tabs>
                <w:tab w:val="left" w:pos="1080"/>
              </w:tabs>
              <w:rPr>
                <w:color w:val="185262"/>
              </w:rPr>
            </w:pPr>
            <w:r w:rsidRPr="008711DF">
              <w:rPr>
                <w:rFonts w:cstheme="minorHAnsi"/>
                <w:b/>
                <w:color w:val="185262"/>
              </w:rPr>
              <w:t>Key action(s)</w:t>
            </w:r>
          </w:p>
        </w:tc>
        <w:tc>
          <w:tcPr>
            <w:tcW w:w="2008" w:type="dxa"/>
          </w:tcPr>
          <w:p w14:paraId="2106E497" w14:textId="6D5C331F" w:rsidR="00E50C9B" w:rsidRPr="2E577EF3" w:rsidRDefault="00E50C9B" w:rsidP="00F327F3">
            <w:pPr>
              <w:tabs>
                <w:tab w:val="left" w:pos="1080"/>
              </w:tabs>
              <w:rPr>
                <w:color w:val="185262"/>
              </w:rPr>
            </w:pPr>
            <w:r w:rsidRPr="008711DF">
              <w:rPr>
                <w:rFonts w:cstheme="minorHAnsi"/>
                <w:b/>
                <w:color w:val="185262"/>
              </w:rPr>
              <w:t>Completion date</w:t>
            </w:r>
          </w:p>
        </w:tc>
        <w:tc>
          <w:tcPr>
            <w:tcW w:w="1906" w:type="dxa"/>
          </w:tcPr>
          <w:p w14:paraId="207C379E" w14:textId="074DAE3B" w:rsidR="00E50C9B" w:rsidRDefault="00E50C9B" w:rsidP="00F327F3">
            <w:pPr>
              <w:tabs>
                <w:tab w:val="left" w:pos="1080"/>
              </w:tabs>
              <w:rPr>
                <w:rFonts w:cstheme="minorHAnsi"/>
                <w:color w:val="185262"/>
              </w:rPr>
            </w:pPr>
            <w:r w:rsidRPr="008711DF">
              <w:rPr>
                <w:rFonts w:cstheme="minorHAnsi"/>
                <w:b/>
                <w:color w:val="185262"/>
              </w:rPr>
              <w:t>Responsible unit(s)</w:t>
            </w:r>
          </w:p>
        </w:tc>
        <w:tc>
          <w:tcPr>
            <w:tcW w:w="1803" w:type="dxa"/>
          </w:tcPr>
          <w:p w14:paraId="5FB0DB7C" w14:textId="77777777" w:rsidR="00E50C9B" w:rsidRPr="008711DF" w:rsidRDefault="00E50C9B" w:rsidP="008C7B14">
            <w:pPr>
              <w:tabs>
                <w:tab w:val="left" w:pos="1080"/>
              </w:tabs>
              <w:rPr>
                <w:rFonts w:asciiTheme="majorHAnsi" w:eastAsiaTheme="majorEastAsia" w:hAnsiTheme="majorHAnsi" w:cstheme="minorHAnsi"/>
                <w:b/>
                <w:color w:val="185262"/>
                <w:sz w:val="21"/>
                <w:szCs w:val="21"/>
              </w:rPr>
            </w:pPr>
            <w:r w:rsidRPr="008711DF">
              <w:rPr>
                <w:rFonts w:cstheme="minorHAnsi"/>
                <w:b/>
                <w:color w:val="185262"/>
              </w:rPr>
              <w:t>Tracking</w:t>
            </w:r>
            <w:r>
              <w:rPr>
                <w:rFonts w:cstheme="minorHAnsi"/>
                <w:b/>
                <w:color w:val="185262"/>
              </w:rPr>
              <w:t xml:space="preserve"> </w:t>
            </w:r>
            <w:r w:rsidRPr="008711DF">
              <w:rPr>
                <w:rFonts w:cstheme="minorHAnsi"/>
                <w:b/>
                <w:color w:val="185262"/>
              </w:rPr>
              <w:t>Status</w:t>
            </w:r>
            <w:r>
              <w:rPr>
                <w:rFonts w:cstheme="minorHAnsi"/>
                <w:b/>
                <w:color w:val="185262"/>
              </w:rPr>
              <w:t>*</w:t>
            </w:r>
          </w:p>
          <w:p w14:paraId="219E5A4F" w14:textId="1EE0FF03" w:rsidR="00E50C9B" w:rsidRDefault="00E50C9B" w:rsidP="008C7B14">
            <w:pPr>
              <w:tabs>
                <w:tab w:val="left" w:pos="1080"/>
              </w:tabs>
              <w:rPr>
                <w:rFonts w:cstheme="minorHAnsi"/>
                <w:color w:val="185262"/>
              </w:rPr>
            </w:pPr>
            <w:r w:rsidRPr="008711DF">
              <w:rPr>
                <w:rFonts w:cstheme="minorHAnsi"/>
                <w:b/>
                <w:color w:val="185262"/>
              </w:rPr>
              <w:t>(</w:t>
            </w:r>
            <w:proofErr w:type="gramStart"/>
            <w:r w:rsidRPr="008711DF">
              <w:rPr>
                <w:rFonts w:cstheme="minorHAnsi"/>
                <w:b/>
                <w:color w:val="185262"/>
              </w:rPr>
              <w:t>initiated</w:t>
            </w:r>
            <w:proofErr w:type="gramEnd"/>
            <w:r w:rsidRPr="008711DF">
              <w:rPr>
                <w:rFonts w:cstheme="minorHAnsi"/>
                <w:b/>
                <w:color w:val="185262"/>
              </w:rPr>
              <w:t>, completed or no due date)</w:t>
            </w:r>
          </w:p>
        </w:tc>
      </w:tr>
      <w:tr w:rsidR="00E50C9B" w:rsidRPr="008711DF" w14:paraId="0CD861F0" w14:textId="77777777" w:rsidTr="00E50C9B">
        <w:tc>
          <w:tcPr>
            <w:tcW w:w="2680" w:type="dxa"/>
          </w:tcPr>
          <w:p w14:paraId="468FFA4C" w14:textId="2EF19585" w:rsidR="00E50C9B" w:rsidRPr="008711DF" w:rsidRDefault="00E50C9B" w:rsidP="2E577EF3">
            <w:pPr>
              <w:tabs>
                <w:tab w:val="left" w:pos="1080"/>
              </w:tabs>
              <w:rPr>
                <w:color w:val="185262"/>
              </w:rPr>
            </w:pPr>
            <w:r w:rsidRPr="2E577EF3">
              <w:rPr>
                <w:color w:val="185262"/>
              </w:rPr>
              <w:t xml:space="preserve">7.1. Keep advocating for women in politics using PAPI findings through thematic discussions  </w:t>
            </w:r>
          </w:p>
        </w:tc>
        <w:tc>
          <w:tcPr>
            <w:tcW w:w="2008" w:type="dxa"/>
          </w:tcPr>
          <w:p w14:paraId="1C821AB1" w14:textId="447321D8" w:rsidR="00E50C9B" w:rsidRPr="008711DF" w:rsidRDefault="00E50C9B" w:rsidP="2E577EF3">
            <w:pPr>
              <w:tabs>
                <w:tab w:val="left" w:pos="1080"/>
              </w:tabs>
              <w:rPr>
                <w:color w:val="185262"/>
              </w:rPr>
            </w:pPr>
            <w:r w:rsidRPr="2E577EF3">
              <w:rPr>
                <w:color w:val="185262"/>
              </w:rPr>
              <w:t>30 June 2025</w:t>
            </w:r>
          </w:p>
        </w:tc>
        <w:tc>
          <w:tcPr>
            <w:tcW w:w="1906" w:type="dxa"/>
          </w:tcPr>
          <w:p w14:paraId="4646AD0D" w14:textId="57A5794B" w:rsidR="00E50C9B" w:rsidRPr="008711DF" w:rsidRDefault="00E50C9B" w:rsidP="00C3293F">
            <w:pPr>
              <w:tabs>
                <w:tab w:val="left" w:pos="1080"/>
              </w:tabs>
              <w:rPr>
                <w:rFonts w:cstheme="minorHAnsi"/>
                <w:color w:val="185262"/>
              </w:rPr>
            </w:pPr>
            <w:r>
              <w:rPr>
                <w:rFonts w:cstheme="minorHAnsi"/>
                <w:color w:val="185262"/>
              </w:rPr>
              <w:t>UNDP/GPT/PAPI Team; national counterparts and development partners</w:t>
            </w:r>
          </w:p>
        </w:tc>
        <w:tc>
          <w:tcPr>
            <w:tcW w:w="1803" w:type="dxa"/>
          </w:tcPr>
          <w:p w14:paraId="0F495F44" w14:textId="6AA0024F" w:rsidR="00E50C9B" w:rsidRPr="008711DF" w:rsidRDefault="00E50C9B" w:rsidP="00C3293F">
            <w:pPr>
              <w:tabs>
                <w:tab w:val="left" w:pos="1080"/>
              </w:tabs>
              <w:rPr>
                <w:rFonts w:cstheme="minorHAnsi"/>
                <w:color w:val="185262"/>
              </w:rPr>
            </w:pPr>
            <w:r>
              <w:rPr>
                <w:rFonts w:cstheme="minorHAnsi"/>
                <w:color w:val="185262"/>
              </w:rPr>
              <w:t>Initiated</w:t>
            </w:r>
          </w:p>
        </w:tc>
      </w:tr>
    </w:tbl>
    <w:p w14:paraId="43B089D8" w14:textId="6977C083" w:rsidR="00916CD0" w:rsidRDefault="00916CD0"/>
    <w:p w14:paraId="36126CED" w14:textId="77777777" w:rsidR="00E50C9B" w:rsidRDefault="00E50C9B" w:rsidP="00780057">
      <w:pPr>
        <w:rPr>
          <w:b/>
          <w:bCs/>
        </w:rPr>
      </w:pPr>
    </w:p>
    <w:p w14:paraId="4C6A165C" w14:textId="77777777" w:rsidR="00E50C9B" w:rsidRDefault="00E50C9B" w:rsidP="00780057">
      <w:pPr>
        <w:rPr>
          <w:b/>
          <w:bCs/>
        </w:rPr>
      </w:pPr>
    </w:p>
    <w:p w14:paraId="221AE90D" w14:textId="77777777" w:rsidR="00E50C9B" w:rsidRDefault="00E50C9B" w:rsidP="00780057">
      <w:pPr>
        <w:rPr>
          <w:b/>
          <w:bCs/>
        </w:rPr>
      </w:pPr>
    </w:p>
    <w:p w14:paraId="19F6E0C5" w14:textId="77777777" w:rsidR="00E50C9B" w:rsidRDefault="00E50C9B" w:rsidP="00780057">
      <w:pPr>
        <w:rPr>
          <w:b/>
          <w:bCs/>
        </w:rPr>
      </w:pPr>
    </w:p>
    <w:p w14:paraId="04280BA3" w14:textId="77777777" w:rsidR="00E50C9B" w:rsidRDefault="00E50C9B" w:rsidP="00780057">
      <w:pPr>
        <w:rPr>
          <w:b/>
          <w:bCs/>
        </w:rPr>
      </w:pPr>
    </w:p>
    <w:p w14:paraId="00750274" w14:textId="2F1999A5" w:rsidR="00780057" w:rsidRDefault="00780057" w:rsidP="00780057">
      <w:r w:rsidRPr="00780057">
        <w:rPr>
          <w:b/>
          <w:bCs/>
        </w:rPr>
        <w:t>Evaluation recommendation 8:</w:t>
      </w:r>
      <w:r>
        <w:t xml:space="preserve"> “PAPI team could also intensify partnerships with civil society and other relevant stakeholders to leverage PAPI data for targeted advocacy campaigns promoting gender equality, especially for LGBTIQ+ inclusion, in provinces. As PAPI works towards inclusive governance, the promotion of the participation and inclusion of LGBTIQ+ in local governance should be a priority to build on what has been done in 2023. Also, in preparation for 2026 Elections, the promotion of women in politics, including representatives of women with disabilities, should be continued as a focus in PAPI advocacy activities towards 2026.”</w:t>
      </w:r>
    </w:p>
    <w:p w14:paraId="23EBC4FB" w14:textId="77777777" w:rsidR="00780057" w:rsidRPr="00780057" w:rsidRDefault="00780057" w:rsidP="00780057">
      <w:pPr>
        <w:rPr>
          <w:b/>
          <w:bCs/>
        </w:rPr>
      </w:pPr>
      <w:r w:rsidRPr="00780057">
        <w:rPr>
          <w:b/>
          <w:bCs/>
        </w:rPr>
        <w:t>Management response: Agreed</w:t>
      </w:r>
    </w:p>
    <w:p w14:paraId="741584F4" w14:textId="77777777" w:rsidR="00780057" w:rsidRDefault="00780057" w:rsidP="00780057">
      <w:r>
        <w:t>-</w:t>
      </w:r>
      <w:r>
        <w:tab/>
        <w:t>We have always emphasized the role of civil society and other relevant stakeholders in governance and participation work, so the PAPI research and advocacy programme has always conducted with the direct and indirect participation of civil society organizations and ordinary citizens, including persons with disability (</w:t>
      </w:r>
      <w:proofErr w:type="spellStart"/>
      <w:r>
        <w:t>PwDs</w:t>
      </w:r>
      <w:proofErr w:type="spellEnd"/>
      <w:r>
        <w:t xml:space="preserve">), ethnic minorities and the LGBTIQ+ community. The PAPI data and findings have been the evidence for such work to be done. </w:t>
      </w:r>
    </w:p>
    <w:p w14:paraId="789A790A" w14:textId="77777777" w:rsidR="00780057" w:rsidRDefault="00780057" w:rsidP="00780057">
      <w:r>
        <w:t>-</w:t>
      </w:r>
      <w:r>
        <w:tab/>
        <w:t xml:space="preserve">We note the importance of the promotion of the participation and inclusion of LGBTIQ+ people in local governance as well as women’s and </w:t>
      </w:r>
      <w:proofErr w:type="spellStart"/>
      <w:r>
        <w:t>PwDs’</w:t>
      </w:r>
      <w:proofErr w:type="spellEnd"/>
      <w:r>
        <w:t xml:space="preserve"> political participation. Therefore, in our PAPI programme towards 2025, we have planned research and advocacy activities on these key areas. We hope we can secure more funding for such activities from 2024 onwards and that the civil society environment in Viet Nam will be more open. </w:t>
      </w:r>
    </w:p>
    <w:tbl>
      <w:tblPr>
        <w:tblStyle w:val="TableGrid"/>
        <w:tblpPr w:leftFromText="180" w:rightFromText="180" w:vertAnchor="text" w:horzAnchor="margin" w:tblpY="16"/>
        <w:tblW w:w="8396" w:type="dxa"/>
        <w:tblLook w:val="01E0" w:firstRow="1" w:lastRow="1" w:firstColumn="1" w:lastColumn="1" w:noHBand="0" w:noVBand="0"/>
      </w:tblPr>
      <w:tblGrid>
        <w:gridCol w:w="2626"/>
        <w:gridCol w:w="2037"/>
        <w:gridCol w:w="1930"/>
        <w:gridCol w:w="1803"/>
      </w:tblGrid>
      <w:tr w:rsidR="00E50C9B" w:rsidRPr="008711DF" w14:paraId="0419F19E" w14:textId="77777777" w:rsidTr="00E50C9B">
        <w:tc>
          <w:tcPr>
            <w:tcW w:w="2626" w:type="dxa"/>
          </w:tcPr>
          <w:p w14:paraId="13AC7F05" w14:textId="15BA1EEB" w:rsidR="00E50C9B" w:rsidRDefault="00E50C9B" w:rsidP="00F327F3">
            <w:pPr>
              <w:tabs>
                <w:tab w:val="left" w:pos="1080"/>
              </w:tabs>
              <w:rPr>
                <w:rFonts w:cstheme="minorHAnsi"/>
                <w:color w:val="185262"/>
              </w:rPr>
            </w:pPr>
            <w:r w:rsidRPr="008711DF">
              <w:rPr>
                <w:rFonts w:cstheme="minorHAnsi"/>
                <w:b/>
                <w:color w:val="185262"/>
              </w:rPr>
              <w:t>Key action(s)</w:t>
            </w:r>
          </w:p>
        </w:tc>
        <w:tc>
          <w:tcPr>
            <w:tcW w:w="2037" w:type="dxa"/>
          </w:tcPr>
          <w:p w14:paraId="5B918F53" w14:textId="74D4C141" w:rsidR="00E50C9B" w:rsidRPr="2E577EF3" w:rsidRDefault="00E50C9B" w:rsidP="00F327F3">
            <w:pPr>
              <w:tabs>
                <w:tab w:val="left" w:pos="1080"/>
              </w:tabs>
              <w:rPr>
                <w:color w:val="185262"/>
              </w:rPr>
            </w:pPr>
            <w:r w:rsidRPr="008711DF">
              <w:rPr>
                <w:rFonts w:cstheme="minorHAnsi"/>
                <w:b/>
                <w:color w:val="185262"/>
              </w:rPr>
              <w:t>Completion date</w:t>
            </w:r>
          </w:p>
        </w:tc>
        <w:tc>
          <w:tcPr>
            <w:tcW w:w="1930" w:type="dxa"/>
          </w:tcPr>
          <w:p w14:paraId="7A3438F1" w14:textId="1F501250" w:rsidR="00E50C9B" w:rsidRDefault="00E50C9B" w:rsidP="00F327F3">
            <w:pPr>
              <w:tabs>
                <w:tab w:val="left" w:pos="1080"/>
              </w:tabs>
              <w:rPr>
                <w:rFonts w:cstheme="minorHAnsi"/>
                <w:color w:val="185262"/>
              </w:rPr>
            </w:pPr>
            <w:r w:rsidRPr="008711DF">
              <w:rPr>
                <w:rFonts w:cstheme="minorHAnsi"/>
                <w:b/>
                <w:color w:val="185262"/>
              </w:rPr>
              <w:t>Responsible unit(s)</w:t>
            </w:r>
          </w:p>
        </w:tc>
        <w:tc>
          <w:tcPr>
            <w:tcW w:w="1803" w:type="dxa"/>
          </w:tcPr>
          <w:p w14:paraId="00F251F3" w14:textId="77777777" w:rsidR="00E50C9B" w:rsidRPr="008711DF" w:rsidRDefault="00E50C9B" w:rsidP="008C7B14">
            <w:pPr>
              <w:tabs>
                <w:tab w:val="left" w:pos="1080"/>
              </w:tabs>
              <w:rPr>
                <w:rFonts w:asciiTheme="majorHAnsi" w:eastAsiaTheme="majorEastAsia" w:hAnsiTheme="majorHAnsi" w:cstheme="minorHAnsi"/>
                <w:b/>
                <w:color w:val="185262"/>
                <w:sz w:val="21"/>
                <w:szCs w:val="21"/>
              </w:rPr>
            </w:pPr>
            <w:r w:rsidRPr="008711DF">
              <w:rPr>
                <w:rFonts w:cstheme="minorHAnsi"/>
                <w:b/>
                <w:color w:val="185262"/>
              </w:rPr>
              <w:t>Tracking</w:t>
            </w:r>
            <w:r>
              <w:rPr>
                <w:rFonts w:cstheme="minorHAnsi"/>
                <w:b/>
                <w:color w:val="185262"/>
              </w:rPr>
              <w:t xml:space="preserve"> </w:t>
            </w:r>
            <w:r w:rsidRPr="008711DF">
              <w:rPr>
                <w:rFonts w:cstheme="minorHAnsi"/>
                <w:b/>
                <w:color w:val="185262"/>
              </w:rPr>
              <w:t>Status</w:t>
            </w:r>
            <w:r>
              <w:rPr>
                <w:rFonts w:cstheme="minorHAnsi"/>
                <w:b/>
                <w:color w:val="185262"/>
              </w:rPr>
              <w:t>*</w:t>
            </w:r>
          </w:p>
          <w:p w14:paraId="0E87A036" w14:textId="6B3E7925" w:rsidR="00E50C9B" w:rsidRDefault="00E50C9B" w:rsidP="008C7B14">
            <w:pPr>
              <w:tabs>
                <w:tab w:val="left" w:pos="1080"/>
              </w:tabs>
              <w:rPr>
                <w:rFonts w:cstheme="minorHAnsi"/>
                <w:color w:val="185262"/>
              </w:rPr>
            </w:pPr>
            <w:r w:rsidRPr="008711DF">
              <w:rPr>
                <w:rFonts w:cstheme="minorHAnsi"/>
                <w:b/>
                <w:color w:val="185262"/>
              </w:rPr>
              <w:t>(</w:t>
            </w:r>
            <w:proofErr w:type="gramStart"/>
            <w:r w:rsidRPr="008711DF">
              <w:rPr>
                <w:rFonts w:cstheme="minorHAnsi"/>
                <w:b/>
                <w:color w:val="185262"/>
              </w:rPr>
              <w:t>initiated</w:t>
            </w:r>
            <w:proofErr w:type="gramEnd"/>
            <w:r w:rsidRPr="008711DF">
              <w:rPr>
                <w:rFonts w:cstheme="minorHAnsi"/>
                <w:b/>
                <w:color w:val="185262"/>
              </w:rPr>
              <w:t>, completed or no due date)</w:t>
            </w:r>
          </w:p>
        </w:tc>
      </w:tr>
      <w:tr w:rsidR="00E50C9B" w:rsidRPr="008711DF" w14:paraId="7780CF15" w14:textId="77777777" w:rsidTr="00E50C9B">
        <w:tc>
          <w:tcPr>
            <w:tcW w:w="2626" w:type="dxa"/>
          </w:tcPr>
          <w:p w14:paraId="39F9055C" w14:textId="56E78C5A" w:rsidR="00E50C9B" w:rsidRPr="008711DF" w:rsidRDefault="00E50C9B" w:rsidP="00C3293F">
            <w:pPr>
              <w:tabs>
                <w:tab w:val="left" w:pos="1080"/>
              </w:tabs>
              <w:rPr>
                <w:rFonts w:cstheme="minorHAnsi"/>
                <w:color w:val="185262"/>
              </w:rPr>
            </w:pPr>
            <w:r>
              <w:rPr>
                <w:rFonts w:cstheme="minorHAnsi"/>
                <w:color w:val="185262"/>
              </w:rPr>
              <w:t>8</w:t>
            </w:r>
            <w:r w:rsidRPr="008711DF">
              <w:rPr>
                <w:rFonts w:cstheme="minorHAnsi"/>
                <w:color w:val="185262"/>
              </w:rPr>
              <w:t>.1</w:t>
            </w:r>
            <w:r>
              <w:rPr>
                <w:rFonts w:cstheme="minorHAnsi"/>
                <w:color w:val="185262"/>
              </w:rPr>
              <w:t>.</w:t>
            </w:r>
            <w:r w:rsidRPr="008711DF">
              <w:rPr>
                <w:rFonts w:cstheme="minorHAnsi"/>
                <w:color w:val="185262"/>
              </w:rPr>
              <w:t xml:space="preserve"> </w:t>
            </w:r>
            <w:r>
              <w:rPr>
                <w:rFonts w:cstheme="minorHAnsi"/>
                <w:color w:val="185262"/>
              </w:rPr>
              <w:t xml:space="preserve">Continue using PAPI data as pointers for policy advocacy to promote the roles of </w:t>
            </w:r>
            <w:proofErr w:type="spellStart"/>
            <w:r>
              <w:rPr>
                <w:rFonts w:cstheme="minorHAnsi"/>
                <w:color w:val="185262"/>
              </w:rPr>
              <w:t>PwDs</w:t>
            </w:r>
            <w:proofErr w:type="spellEnd"/>
            <w:r>
              <w:rPr>
                <w:rFonts w:cstheme="minorHAnsi"/>
                <w:color w:val="185262"/>
              </w:rPr>
              <w:t xml:space="preserve">, women and </w:t>
            </w:r>
            <w:r>
              <w:rPr>
                <w:rFonts w:cstheme="minorHAnsi"/>
                <w:color w:val="185262"/>
              </w:rPr>
              <w:lastRenderedPageBreak/>
              <w:t>LGBTIQ+ people in local governance and politics</w:t>
            </w:r>
          </w:p>
        </w:tc>
        <w:tc>
          <w:tcPr>
            <w:tcW w:w="2037" w:type="dxa"/>
          </w:tcPr>
          <w:p w14:paraId="194AAEAA" w14:textId="79E400A8" w:rsidR="00E50C9B" w:rsidRPr="008711DF" w:rsidRDefault="00E50C9B" w:rsidP="2E577EF3">
            <w:pPr>
              <w:tabs>
                <w:tab w:val="left" w:pos="1080"/>
              </w:tabs>
              <w:rPr>
                <w:color w:val="185262"/>
              </w:rPr>
            </w:pPr>
            <w:r w:rsidRPr="2E577EF3">
              <w:rPr>
                <w:color w:val="185262"/>
              </w:rPr>
              <w:lastRenderedPageBreak/>
              <w:t xml:space="preserve"> Throughout until 30 June 2025</w:t>
            </w:r>
          </w:p>
          <w:p w14:paraId="214F74F0" w14:textId="6DC4806E" w:rsidR="00E50C9B" w:rsidRPr="008711DF" w:rsidRDefault="00E50C9B" w:rsidP="2E577EF3">
            <w:pPr>
              <w:tabs>
                <w:tab w:val="left" w:pos="1080"/>
              </w:tabs>
              <w:rPr>
                <w:color w:val="185262"/>
              </w:rPr>
            </w:pPr>
          </w:p>
        </w:tc>
        <w:tc>
          <w:tcPr>
            <w:tcW w:w="1930" w:type="dxa"/>
          </w:tcPr>
          <w:p w14:paraId="0045DEDA" w14:textId="17EA78FA" w:rsidR="00E50C9B" w:rsidRPr="008711DF" w:rsidRDefault="00E50C9B" w:rsidP="00C3293F">
            <w:pPr>
              <w:tabs>
                <w:tab w:val="left" w:pos="1080"/>
              </w:tabs>
              <w:rPr>
                <w:rFonts w:cstheme="minorHAnsi"/>
                <w:color w:val="185262"/>
              </w:rPr>
            </w:pPr>
            <w:r>
              <w:rPr>
                <w:rFonts w:cstheme="minorHAnsi"/>
                <w:color w:val="185262"/>
              </w:rPr>
              <w:t xml:space="preserve">UNDP/GPT/PAPI Team; national counterparts and </w:t>
            </w:r>
            <w:r>
              <w:rPr>
                <w:rFonts w:cstheme="minorHAnsi"/>
                <w:color w:val="185262"/>
              </w:rPr>
              <w:lastRenderedPageBreak/>
              <w:t>development partners</w:t>
            </w:r>
          </w:p>
        </w:tc>
        <w:tc>
          <w:tcPr>
            <w:tcW w:w="1803" w:type="dxa"/>
          </w:tcPr>
          <w:p w14:paraId="2476AABD" w14:textId="06439B0D" w:rsidR="00E50C9B" w:rsidRPr="008711DF" w:rsidRDefault="00E50C9B" w:rsidP="00C3293F">
            <w:pPr>
              <w:tabs>
                <w:tab w:val="left" w:pos="1080"/>
              </w:tabs>
              <w:rPr>
                <w:rFonts w:cstheme="minorHAnsi"/>
                <w:color w:val="185262"/>
              </w:rPr>
            </w:pPr>
            <w:r>
              <w:rPr>
                <w:rFonts w:cstheme="minorHAnsi"/>
                <w:color w:val="185262"/>
              </w:rPr>
              <w:lastRenderedPageBreak/>
              <w:t>Initiated</w:t>
            </w:r>
          </w:p>
        </w:tc>
      </w:tr>
    </w:tbl>
    <w:p w14:paraId="05E164F0" w14:textId="710298EE" w:rsidR="00BE192E" w:rsidRDefault="00BE192E">
      <w:pPr>
        <w:rPr>
          <w:sz w:val="10"/>
          <w:szCs w:val="10"/>
        </w:rPr>
      </w:pPr>
    </w:p>
    <w:p w14:paraId="1FACDDA3" w14:textId="77777777" w:rsidR="00E50C9B" w:rsidRDefault="00E50C9B" w:rsidP="00780057">
      <w:pPr>
        <w:rPr>
          <w:b/>
          <w:bCs/>
        </w:rPr>
      </w:pPr>
    </w:p>
    <w:p w14:paraId="3D930574" w14:textId="2FB07608" w:rsidR="00780057" w:rsidRPr="00780057" w:rsidRDefault="00780057" w:rsidP="00780057">
      <w:r w:rsidRPr="00780057">
        <w:rPr>
          <w:b/>
          <w:bCs/>
        </w:rPr>
        <w:t>Evaluation recommendation 9:</w:t>
      </w:r>
      <w:r w:rsidRPr="00780057">
        <w:t xml:space="preserve"> “PAPI team should proactively share relevant PAPI data with government report writers for human rights mechanisms like the Universal Periodic Review, </w:t>
      </w:r>
      <w:proofErr w:type="gramStart"/>
      <w:r w:rsidRPr="00780057">
        <w:t>SDGs</w:t>
      </w:r>
      <w:proofErr w:type="gramEnd"/>
      <w:r w:rsidRPr="00780057">
        <w:t xml:space="preserve"> and the Voluntary National Review. PAPI team should continue to leverage e-governance research and initiatives to expand vulnerable groups’ access to digital public services.”</w:t>
      </w:r>
    </w:p>
    <w:p w14:paraId="4C451AB1" w14:textId="77777777" w:rsidR="00780057" w:rsidRPr="00780057" w:rsidRDefault="00780057" w:rsidP="00780057">
      <w:pPr>
        <w:rPr>
          <w:b/>
          <w:bCs/>
        </w:rPr>
      </w:pPr>
      <w:r w:rsidRPr="00780057">
        <w:rPr>
          <w:b/>
          <w:bCs/>
        </w:rPr>
        <w:t>Management response: Agreed</w:t>
      </w:r>
    </w:p>
    <w:p w14:paraId="1D3BBEF1" w14:textId="77777777" w:rsidR="00780057" w:rsidRPr="00780057" w:rsidRDefault="00780057" w:rsidP="00780057">
      <w:r w:rsidRPr="00780057">
        <w:t>-</w:t>
      </w:r>
      <w:r w:rsidRPr="00780057">
        <w:tab/>
        <w:t xml:space="preserve">We note the importance of incorporating PAPI findings in the Government’s and UN/DP’s reporting, so we have actively provided such data and information upon requests from all parties. In fact, PAPI has proactively generated data for tracking SDG indicators, and over the years, the data points have been incorporated into Viet Nam’s voluntary national review of SDG implementation. PAPI data have also been used effectively by relevant civil society organizations in their contribution to Viet Nam’s Universal Periodical Reviews of human rights commitments. </w:t>
      </w:r>
    </w:p>
    <w:p w14:paraId="1818E99D" w14:textId="77777777" w:rsidR="00780057" w:rsidRPr="00780057" w:rsidRDefault="00780057" w:rsidP="00780057">
      <w:r w:rsidRPr="00780057">
        <w:t>-</w:t>
      </w:r>
      <w:r w:rsidRPr="00780057">
        <w:tab/>
        <w:t xml:space="preserve">We expect to leverage inclusive e-governance research and initiatives to expand vulnerable groups’ access to digital public services if/when we secure funding for such activities from 2024 onwards. </w:t>
      </w:r>
    </w:p>
    <w:p w14:paraId="07D4636B" w14:textId="77777777" w:rsidR="00780057" w:rsidRDefault="00780057">
      <w:pPr>
        <w:rPr>
          <w:sz w:val="10"/>
          <w:szCs w:val="10"/>
        </w:rPr>
      </w:pPr>
    </w:p>
    <w:tbl>
      <w:tblPr>
        <w:tblStyle w:val="TableGrid"/>
        <w:tblpPr w:leftFromText="180" w:rightFromText="180" w:vertAnchor="text" w:horzAnchor="margin" w:tblpY="16"/>
        <w:tblW w:w="8396" w:type="dxa"/>
        <w:tblLook w:val="01E0" w:firstRow="1" w:lastRow="1" w:firstColumn="1" w:lastColumn="1" w:noHBand="0" w:noVBand="0"/>
      </w:tblPr>
      <w:tblGrid>
        <w:gridCol w:w="2716"/>
        <w:gridCol w:w="1988"/>
        <w:gridCol w:w="1889"/>
        <w:gridCol w:w="1803"/>
      </w:tblGrid>
      <w:tr w:rsidR="00E50C9B" w14:paraId="49F792AF" w14:textId="77777777" w:rsidTr="00E50C9B">
        <w:tc>
          <w:tcPr>
            <w:tcW w:w="2716" w:type="dxa"/>
          </w:tcPr>
          <w:p w14:paraId="2639D9FB" w14:textId="68653082" w:rsidR="00E50C9B" w:rsidRPr="2E577EF3" w:rsidRDefault="00E50C9B" w:rsidP="00F327F3">
            <w:pPr>
              <w:tabs>
                <w:tab w:val="left" w:pos="1080"/>
              </w:tabs>
              <w:rPr>
                <w:color w:val="185262"/>
              </w:rPr>
            </w:pPr>
            <w:r w:rsidRPr="008711DF">
              <w:rPr>
                <w:rFonts w:cstheme="minorHAnsi"/>
                <w:b/>
                <w:color w:val="185262"/>
              </w:rPr>
              <w:t>Key action(s)</w:t>
            </w:r>
          </w:p>
        </w:tc>
        <w:tc>
          <w:tcPr>
            <w:tcW w:w="1988" w:type="dxa"/>
          </w:tcPr>
          <w:p w14:paraId="146C2AB8" w14:textId="3FEFBC18" w:rsidR="00E50C9B" w:rsidRPr="00997AD3" w:rsidRDefault="00E50C9B" w:rsidP="00F327F3">
            <w:pPr>
              <w:tabs>
                <w:tab w:val="left" w:pos="1080"/>
              </w:tabs>
              <w:rPr>
                <w:rFonts w:cstheme="minorHAnsi"/>
                <w:color w:val="185262"/>
              </w:rPr>
            </w:pPr>
            <w:r w:rsidRPr="008711DF">
              <w:rPr>
                <w:rFonts w:cstheme="minorHAnsi"/>
                <w:b/>
                <w:color w:val="185262"/>
              </w:rPr>
              <w:t>Completion date</w:t>
            </w:r>
          </w:p>
        </w:tc>
        <w:tc>
          <w:tcPr>
            <w:tcW w:w="1889" w:type="dxa"/>
          </w:tcPr>
          <w:p w14:paraId="14AF9D57" w14:textId="586CCA55" w:rsidR="00E50C9B" w:rsidRDefault="00E50C9B" w:rsidP="00F327F3">
            <w:pPr>
              <w:tabs>
                <w:tab w:val="left" w:pos="1080"/>
              </w:tabs>
              <w:rPr>
                <w:rFonts w:cstheme="minorHAnsi"/>
                <w:color w:val="185262"/>
              </w:rPr>
            </w:pPr>
            <w:r w:rsidRPr="008711DF">
              <w:rPr>
                <w:rFonts w:cstheme="minorHAnsi"/>
                <w:b/>
                <w:color w:val="185262"/>
              </w:rPr>
              <w:t>Responsible unit(s)</w:t>
            </w:r>
          </w:p>
        </w:tc>
        <w:tc>
          <w:tcPr>
            <w:tcW w:w="1803" w:type="dxa"/>
          </w:tcPr>
          <w:p w14:paraId="5F4666FD" w14:textId="77777777" w:rsidR="00E50C9B" w:rsidRPr="008711DF" w:rsidRDefault="00E50C9B" w:rsidP="008C7B14">
            <w:pPr>
              <w:tabs>
                <w:tab w:val="left" w:pos="1080"/>
              </w:tabs>
              <w:rPr>
                <w:rFonts w:asciiTheme="majorHAnsi" w:eastAsiaTheme="majorEastAsia" w:hAnsiTheme="majorHAnsi" w:cstheme="minorHAnsi"/>
                <w:b/>
                <w:color w:val="185262"/>
                <w:sz w:val="21"/>
                <w:szCs w:val="21"/>
              </w:rPr>
            </w:pPr>
            <w:r w:rsidRPr="008711DF">
              <w:rPr>
                <w:rFonts w:cstheme="minorHAnsi"/>
                <w:b/>
                <w:color w:val="185262"/>
              </w:rPr>
              <w:t>Tracking</w:t>
            </w:r>
            <w:r>
              <w:rPr>
                <w:rFonts w:cstheme="minorHAnsi"/>
                <w:b/>
                <w:color w:val="185262"/>
              </w:rPr>
              <w:t xml:space="preserve"> </w:t>
            </w:r>
            <w:r w:rsidRPr="008711DF">
              <w:rPr>
                <w:rFonts w:cstheme="minorHAnsi"/>
                <w:b/>
                <w:color w:val="185262"/>
              </w:rPr>
              <w:t>Status</w:t>
            </w:r>
            <w:r>
              <w:rPr>
                <w:rFonts w:cstheme="minorHAnsi"/>
                <w:b/>
                <w:color w:val="185262"/>
              </w:rPr>
              <w:t>*</w:t>
            </w:r>
          </w:p>
          <w:p w14:paraId="70CED613" w14:textId="2AE9E3E2" w:rsidR="00E50C9B" w:rsidRDefault="00E50C9B" w:rsidP="008C7B14">
            <w:pPr>
              <w:tabs>
                <w:tab w:val="left" w:pos="1080"/>
              </w:tabs>
              <w:rPr>
                <w:rFonts w:cstheme="minorHAnsi"/>
                <w:color w:val="185262"/>
              </w:rPr>
            </w:pPr>
            <w:r w:rsidRPr="008711DF">
              <w:rPr>
                <w:rFonts w:cstheme="minorHAnsi"/>
                <w:b/>
                <w:color w:val="185262"/>
              </w:rPr>
              <w:t>(</w:t>
            </w:r>
            <w:proofErr w:type="gramStart"/>
            <w:r w:rsidRPr="008711DF">
              <w:rPr>
                <w:rFonts w:cstheme="minorHAnsi"/>
                <w:b/>
                <w:color w:val="185262"/>
              </w:rPr>
              <w:t>initiated</w:t>
            </w:r>
            <w:proofErr w:type="gramEnd"/>
            <w:r w:rsidRPr="008711DF">
              <w:rPr>
                <w:rFonts w:cstheme="minorHAnsi"/>
                <w:b/>
                <w:color w:val="185262"/>
              </w:rPr>
              <w:t>, completed or no due date)</w:t>
            </w:r>
          </w:p>
        </w:tc>
      </w:tr>
      <w:tr w:rsidR="00E50C9B" w:rsidRPr="008711DF" w14:paraId="370570C5" w14:textId="77777777" w:rsidTr="00E50C9B">
        <w:tc>
          <w:tcPr>
            <w:tcW w:w="2716" w:type="dxa"/>
          </w:tcPr>
          <w:p w14:paraId="39C3201D" w14:textId="77777777" w:rsidR="00E50C9B" w:rsidRPr="009E2BE7" w:rsidRDefault="00E50C9B" w:rsidP="00835683">
            <w:pPr>
              <w:tabs>
                <w:tab w:val="left" w:pos="1080"/>
              </w:tabs>
              <w:rPr>
                <w:color w:val="185262"/>
              </w:rPr>
            </w:pPr>
            <w:r w:rsidRPr="2E577EF3">
              <w:rPr>
                <w:color w:val="185262"/>
              </w:rPr>
              <w:t>9.1.  Continue our active work in promoting inclusive e-governance through local initiatives to expand vulnerable groups’ access to digital public services</w:t>
            </w:r>
          </w:p>
        </w:tc>
        <w:tc>
          <w:tcPr>
            <w:tcW w:w="1988" w:type="dxa"/>
          </w:tcPr>
          <w:p w14:paraId="0DB3B887" w14:textId="77777777" w:rsidR="00E50C9B" w:rsidRPr="008711DF" w:rsidRDefault="00E50C9B" w:rsidP="00835683">
            <w:pPr>
              <w:tabs>
                <w:tab w:val="left" w:pos="1080"/>
              </w:tabs>
              <w:rPr>
                <w:rFonts w:cstheme="minorHAnsi"/>
                <w:color w:val="185262"/>
              </w:rPr>
            </w:pPr>
            <w:r w:rsidRPr="00997AD3">
              <w:rPr>
                <w:rFonts w:cstheme="minorHAnsi"/>
                <w:color w:val="185262"/>
              </w:rPr>
              <w:t>Throughout until 30 June 2025</w:t>
            </w:r>
          </w:p>
        </w:tc>
        <w:tc>
          <w:tcPr>
            <w:tcW w:w="1889" w:type="dxa"/>
          </w:tcPr>
          <w:p w14:paraId="42BACB2A" w14:textId="77777777" w:rsidR="00E50C9B" w:rsidRPr="008711DF" w:rsidRDefault="00E50C9B" w:rsidP="00835683">
            <w:pPr>
              <w:tabs>
                <w:tab w:val="left" w:pos="1080"/>
              </w:tabs>
              <w:rPr>
                <w:rFonts w:cstheme="minorHAnsi"/>
                <w:color w:val="185262"/>
              </w:rPr>
            </w:pPr>
            <w:r>
              <w:rPr>
                <w:rFonts w:cstheme="minorHAnsi"/>
                <w:color w:val="185262"/>
              </w:rPr>
              <w:t xml:space="preserve">UNDP/GPT/PAPI Team; provincial and national counterparts </w:t>
            </w:r>
          </w:p>
        </w:tc>
        <w:tc>
          <w:tcPr>
            <w:tcW w:w="1803" w:type="dxa"/>
          </w:tcPr>
          <w:p w14:paraId="0A534186" w14:textId="77777777" w:rsidR="00E50C9B" w:rsidRPr="008711DF" w:rsidRDefault="00E50C9B" w:rsidP="00835683">
            <w:pPr>
              <w:tabs>
                <w:tab w:val="left" w:pos="1080"/>
              </w:tabs>
              <w:rPr>
                <w:rFonts w:cstheme="minorHAnsi"/>
                <w:color w:val="185262"/>
              </w:rPr>
            </w:pPr>
            <w:r>
              <w:rPr>
                <w:rFonts w:cstheme="minorHAnsi"/>
                <w:color w:val="185262"/>
              </w:rPr>
              <w:t>Initiated</w:t>
            </w:r>
          </w:p>
        </w:tc>
      </w:tr>
    </w:tbl>
    <w:p w14:paraId="05DB6B12" w14:textId="77777777" w:rsidR="00780057" w:rsidRDefault="00780057">
      <w:pPr>
        <w:rPr>
          <w:sz w:val="10"/>
          <w:szCs w:val="10"/>
        </w:rPr>
      </w:pPr>
    </w:p>
    <w:p w14:paraId="79460824" w14:textId="77777777" w:rsidR="00E50C9B" w:rsidRDefault="00E50C9B" w:rsidP="008F53EE">
      <w:pPr>
        <w:rPr>
          <w:b/>
          <w:bCs/>
        </w:rPr>
      </w:pPr>
    </w:p>
    <w:p w14:paraId="0D586F8C" w14:textId="77777777" w:rsidR="00E50C9B" w:rsidRDefault="00E50C9B" w:rsidP="008F53EE">
      <w:pPr>
        <w:rPr>
          <w:b/>
          <w:bCs/>
        </w:rPr>
      </w:pPr>
    </w:p>
    <w:p w14:paraId="0D43DE21" w14:textId="77777777" w:rsidR="00E50C9B" w:rsidRDefault="00E50C9B" w:rsidP="008F53EE">
      <w:pPr>
        <w:rPr>
          <w:b/>
          <w:bCs/>
        </w:rPr>
      </w:pPr>
    </w:p>
    <w:p w14:paraId="3962614E" w14:textId="77777777" w:rsidR="00E50C9B" w:rsidRDefault="00E50C9B" w:rsidP="008F53EE">
      <w:pPr>
        <w:rPr>
          <w:b/>
          <w:bCs/>
        </w:rPr>
      </w:pPr>
    </w:p>
    <w:p w14:paraId="23F9362E" w14:textId="77777777" w:rsidR="00E50C9B" w:rsidRDefault="00E50C9B" w:rsidP="008F53EE">
      <w:pPr>
        <w:rPr>
          <w:b/>
          <w:bCs/>
        </w:rPr>
      </w:pPr>
    </w:p>
    <w:p w14:paraId="62707CE5" w14:textId="77777777" w:rsidR="00E50C9B" w:rsidRDefault="00E50C9B" w:rsidP="008F53EE">
      <w:pPr>
        <w:rPr>
          <w:b/>
          <w:bCs/>
        </w:rPr>
      </w:pPr>
    </w:p>
    <w:p w14:paraId="7533218C" w14:textId="2AA04B2B" w:rsidR="008F53EE" w:rsidRPr="0022689F" w:rsidRDefault="008F53EE" w:rsidP="008F53EE">
      <w:r w:rsidRPr="0022689F">
        <w:rPr>
          <w:b/>
          <w:bCs/>
        </w:rPr>
        <w:t xml:space="preserve">Evaluation recommendation 10: </w:t>
      </w:r>
      <w:r w:rsidRPr="0022689F">
        <w:t>“PAPI team has an opportunity to expand the provision of specialized training and capacity building for provincial government departments, especially in key sectors such as health and education, to effectively interpret and utilize PAPI data for sectoral strategies, planning and budgeting. A focused effort should be made to incorporate PAPI findings and research into local authorities’ annual planning and budgeting processes, thus facilitating more targeted governance reforms. The team explore collaborative capacity building with agencies like the Departments of Home Affairs.”</w:t>
      </w:r>
    </w:p>
    <w:p w14:paraId="459B0027" w14:textId="77777777" w:rsidR="008F53EE" w:rsidRPr="0022689F" w:rsidRDefault="008F53EE" w:rsidP="008F53EE">
      <w:pPr>
        <w:rPr>
          <w:b/>
          <w:bCs/>
        </w:rPr>
      </w:pPr>
      <w:r w:rsidRPr="0022689F">
        <w:rPr>
          <w:b/>
          <w:bCs/>
        </w:rPr>
        <w:t xml:space="preserve">Management response: Agreed </w:t>
      </w:r>
    </w:p>
    <w:p w14:paraId="4F4CAD7F" w14:textId="77777777" w:rsidR="008F53EE" w:rsidRPr="0022689F" w:rsidRDefault="008F53EE" w:rsidP="008F53EE">
      <w:r w:rsidRPr="0022689F">
        <w:t>-</w:t>
      </w:r>
      <w:r w:rsidRPr="0022689F">
        <w:tab/>
        <w:t xml:space="preserve">We note the importance of such collaborative capacity building because we have been engaged by provinces in such work. But if/when we secure funding for such activities from either the provinces themselves or from our interested donors, we can do more of it. </w:t>
      </w:r>
    </w:p>
    <w:p w14:paraId="4BA8D3B4" w14:textId="77777777" w:rsidR="008F53EE" w:rsidRPr="0022689F" w:rsidRDefault="008F53EE" w:rsidP="008F53EE">
      <w:r w:rsidRPr="0022689F">
        <w:t>-</w:t>
      </w:r>
      <w:r w:rsidRPr="0022689F">
        <w:tab/>
        <w:t xml:space="preserve">We emphasise, however, provincial authorities’ proactiveness in and ownership of incorporating PAPI’s findings and recommendations from our thematic research in their local planning and budgeting processes. </w:t>
      </w:r>
    </w:p>
    <w:p w14:paraId="1E4DD016" w14:textId="77777777" w:rsidR="008F53EE" w:rsidRPr="002D2C0E" w:rsidRDefault="008F53EE">
      <w:pPr>
        <w:rPr>
          <w:sz w:val="10"/>
          <w:szCs w:val="10"/>
        </w:rPr>
      </w:pPr>
    </w:p>
    <w:tbl>
      <w:tblPr>
        <w:tblStyle w:val="TableGrid"/>
        <w:tblpPr w:leftFromText="180" w:rightFromText="180" w:vertAnchor="text" w:horzAnchor="margin" w:tblpY="16"/>
        <w:tblW w:w="8405" w:type="dxa"/>
        <w:tblLook w:val="01E0" w:firstRow="1" w:lastRow="1" w:firstColumn="1" w:lastColumn="1" w:noHBand="0" w:noVBand="0"/>
      </w:tblPr>
      <w:tblGrid>
        <w:gridCol w:w="3415"/>
        <w:gridCol w:w="1567"/>
        <w:gridCol w:w="1688"/>
        <w:gridCol w:w="1735"/>
      </w:tblGrid>
      <w:tr w:rsidR="00E50C9B" w:rsidRPr="008711DF" w14:paraId="05FC1A60" w14:textId="77777777" w:rsidTr="00E50C9B">
        <w:tc>
          <w:tcPr>
            <w:tcW w:w="3415" w:type="dxa"/>
          </w:tcPr>
          <w:p w14:paraId="44336BCB" w14:textId="305C50DE" w:rsidR="00E50C9B" w:rsidRPr="00130C0E" w:rsidRDefault="00E50C9B" w:rsidP="00F327F3">
            <w:pPr>
              <w:tabs>
                <w:tab w:val="left" w:pos="1080"/>
              </w:tabs>
              <w:rPr>
                <w:rFonts w:cstheme="minorHAnsi"/>
                <w:color w:val="185262"/>
              </w:rPr>
            </w:pPr>
            <w:r w:rsidRPr="008711DF">
              <w:rPr>
                <w:rFonts w:cstheme="minorHAnsi"/>
                <w:b/>
                <w:color w:val="185262"/>
              </w:rPr>
              <w:t>Key action(s)</w:t>
            </w:r>
          </w:p>
        </w:tc>
        <w:tc>
          <w:tcPr>
            <w:tcW w:w="1567" w:type="dxa"/>
          </w:tcPr>
          <w:p w14:paraId="03BB336D" w14:textId="22B9E4C4" w:rsidR="00E50C9B" w:rsidRPr="00997AD3" w:rsidRDefault="00E50C9B" w:rsidP="00F327F3">
            <w:pPr>
              <w:tabs>
                <w:tab w:val="left" w:pos="1080"/>
              </w:tabs>
              <w:rPr>
                <w:rFonts w:cstheme="minorHAnsi"/>
                <w:color w:val="185262"/>
              </w:rPr>
            </w:pPr>
            <w:r w:rsidRPr="008711DF">
              <w:rPr>
                <w:rFonts w:cstheme="minorHAnsi"/>
                <w:b/>
                <w:color w:val="185262"/>
              </w:rPr>
              <w:t>Completion date</w:t>
            </w:r>
          </w:p>
        </w:tc>
        <w:tc>
          <w:tcPr>
            <w:tcW w:w="1688" w:type="dxa"/>
          </w:tcPr>
          <w:p w14:paraId="3FB0868F" w14:textId="5799B968" w:rsidR="00E50C9B" w:rsidRDefault="00E50C9B" w:rsidP="00F327F3">
            <w:pPr>
              <w:tabs>
                <w:tab w:val="left" w:pos="1080"/>
              </w:tabs>
              <w:rPr>
                <w:rFonts w:cstheme="minorHAnsi"/>
                <w:color w:val="185262"/>
              </w:rPr>
            </w:pPr>
            <w:r w:rsidRPr="008711DF">
              <w:rPr>
                <w:rFonts w:cstheme="minorHAnsi"/>
                <w:b/>
                <w:color w:val="185262"/>
              </w:rPr>
              <w:t>Responsible unit(s)</w:t>
            </w:r>
          </w:p>
        </w:tc>
        <w:tc>
          <w:tcPr>
            <w:tcW w:w="1735" w:type="dxa"/>
          </w:tcPr>
          <w:p w14:paraId="29722960" w14:textId="77777777" w:rsidR="00E50C9B" w:rsidRPr="008711DF" w:rsidRDefault="00E50C9B" w:rsidP="008C7B14">
            <w:pPr>
              <w:tabs>
                <w:tab w:val="left" w:pos="1080"/>
              </w:tabs>
              <w:rPr>
                <w:rFonts w:asciiTheme="majorHAnsi" w:eastAsiaTheme="majorEastAsia" w:hAnsiTheme="majorHAnsi" w:cstheme="minorHAnsi"/>
                <w:b/>
                <w:color w:val="185262"/>
                <w:sz w:val="21"/>
                <w:szCs w:val="21"/>
              </w:rPr>
            </w:pPr>
            <w:r w:rsidRPr="008711DF">
              <w:rPr>
                <w:rFonts w:cstheme="minorHAnsi"/>
                <w:b/>
                <w:color w:val="185262"/>
              </w:rPr>
              <w:t>Tracking</w:t>
            </w:r>
            <w:r>
              <w:rPr>
                <w:rFonts w:cstheme="minorHAnsi"/>
                <w:b/>
                <w:color w:val="185262"/>
              </w:rPr>
              <w:t xml:space="preserve"> </w:t>
            </w:r>
            <w:r w:rsidRPr="008711DF">
              <w:rPr>
                <w:rFonts w:cstheme="minorHAnsi"/>
                <w:b/>
                <w:color w:val="185262"/>
              </w:rPr>
              <w:t>Status</w:t>
            </w:r>
            <w:r>
              <w:rPr>
                <w:rFonts w:cstheme="minorHAnsi"/>
                <w:b/>
                <w:color w:val="185262"/>
              </w:rPr>
              <w:t>*</w:t>
            </w:r>
          </w:p>
          <w:p w14:paraId="5A122AAD" w14:textId="1BAA198D" w:rsidR="00E50C9B" w:rsidRDefault="00E50C9B" w:rsidP="008C7B14">
            <w:pPr>
              <w:tabs>
                <w:tab w:val="left" w:pos="1080"/>
              </w:tabs>
              <w:rPr>
                <w:rFonts w:cstheme="minorHAnsi"/>
                <w:color w:val="185262"/>
              </w:rPr>
            </w:pPr>
            <w:r w:rsidRPr="008711DF">
              <w:rPr>
                <w:rFonts w:cstheme="minorHAnsi"/>
                <w:b/>
                <w:color w:val="185262"/>
              </w:rPr>
              <w:t>(</w:t>
            </w:r>
            <w:proofErr w:type="gramStart"/>
            <w:r w:rsidRPr="008711DF">
              <w:rPr>
                <w:rFonts w:cstheme="minorHAnsi"/>
                <w:b/>
                <w:color w:val="185262"/>
              </w:rPr>
              <w:t>initiated</w:t>
            </w:r>
            <w:proofErr w:type="gramEnd"/>
            <w:r w:rsidRPr="008711DF">
              <w:rPr>
                <w:rFonts w:cstheme="minorHAnsi"/>
                <w:b/>
                <w:color w:val="185262"/>
              </w:rPr>
              <w:t>, completed or no due date)</w:t>
            </w:r>
          </w:p>
        </w:tc>
      </w:tr>
      <w:tr w:rsidR="00E50C9B" w:rsidRPr="008711DF" w14:paraId="00CCCD21" w14:textId="77777777" w:rsidTr="00E50C9B">
        <w:tc>
          <w:tcPr>
            <w:tcW w:w="3415" w:type="dxa"/>
          </w:tcPr>
          <w:p w14:paraId="1803F2DB" w14:textId="35D1E8A1" w:rsidR="00E50C9B" w:rsidRPr="00130C0E" w:rsidRDefault="00E50C9B" w:rsidP="00C3293F">
            <w:pPr>
              <w:tabs>
                <w:tab w:val="left" w:pos="1080"/>
              </w:tabs>
              <w:rPr>
                <w:rFonts w:cstheme="minorHAnsi"/>
                <w:color w:val="185262"/>
              </w:rPr>
            </w:pPr>
            <w:r w:rsidRPr="00130C0E">
              <w:rPr>
                <w:rFonts w:cstheme="minorHAnsi"/>
                <w:color w:val="185262"/>
              </w:rPr>
              <w:lastRenderedPageBreak/>
              <w:t xml:space="preserve">10.1. </w:t>
            </w:r>
            <w:r>
              <w:rPr>
                <w:rFonts w:cstheme="minorHAnsi"/>
                <w:color w:val="185262"/>
              </w:rPr>
              <w:t>Support</w:t>
            </w:r>
            <w:r w:rsidRPr="00130C0E">
              <w:rPr>
                <w:rFonts w:cstheme="minorHAnsi"/>
                <w:color w:val="185262"/>
              </w:rPr>
              <w:t xml:space="preserve"> provincial authorities in incorporating PAPI’s findings and recommendations in local planning and budgeting processes</w:t>
            </w:r>
            <w:r>
              <w:rPr>
                <w:rFonts w:cstheme="minorHAnsi"/>
                <w:color w:val="185262"/>
              </w:rPr>
              <w:t xml:space="preserve"> (analysing PAPI data and capacity building as requested by local authorities).</w:t>
            </w:r>
          </w:p>
        </w:tc>
        <w:tc>
          <w:tcPr>
            <w:tcW w:w="1567" w:type="dxa"/>
          </w:tcPr>
          <w:p w14:paraId="6A8872B4" w14:textId="523C0324" w:rsidR="00E50C9B" w:rsidRPr="008711DF" w:rsidRDefault="00E50C9B" w:rsidP="00C3293F">
            <w:pPr>
              <w:tabs>
                <w:tab w:val="left" w:pos="1080"/>
              </w:tabs>
              <w:rPr>
                <w:rFonts w:cstheme="minorHAnsi"/>
                <w:color w:val="185262"/>
              </w:rPr>
            </w:pPr>
            <w:r w:rsidRPr="00997AD3">
              <w:rPr>
                <w:rFonts w:cstheme="minorHAnsi"/>
                <w:color w:val="185262"/>
              </w:rPr>
              <w:t>Throughout until 30 June 2025</w:t>
            </w:r>
          </w:p>
        </w:tc>
        <w:tc>
          <w:tcPr>
            <w:tcW w:w="1688" w:type="dxa"/>
          </w:tcPr>
          <w:p w14:paraId="0FA5579C" w14:textId="689DFCAC" w:rsidR="00E50C9B" w:rsidRPr="008711DF" w:rsidRDefault="00E50C9B" w:rsidP="00C3293F">
            <w:pPr>
              <w:tabs>
                <w:tab w:val="left" w:pos="1080"/>
              </w:tabs>
              <w:rPr>
                <w:rFonts w:cstheme="minorHAnsi"/>
                <w:color w:val="185262"/>
              </w:rPr>
            </w:pPr>
            <w:r>
              <w:rPr>
                <w:rFonts w:cstheme="minorHAnsi"/>
                <w:color w:val="185262"/>
              </w:rPr>
              <w:t>UNDP/GPT/PAPI Team; provincial and national counterparts</w:t>
            </w:r>
          </w:p>
        </w:tc>
        <w:tc>
          <w:tcPr>
            <w:tcW w:w="1735" w:type="dxa"/>
          </w:tcPr>
          <w:p w14:paraId="139CC8B7" w14:textId="10462171" w:rsidR="00E50C9B" w:rsidRPr="008711DF" w:rsidRDefault="00E50C9B" w:rsidP="00C3293F">
            <w:pPr>
              <w:tabs>
                <w:tab w:val="left" w:pos="1080"/>
              </w:tabs>
              <w:rPr>
                <w:rFonts w:cstheme="minorHAnsi"/>
                <w:color w:val="185262"/>
              </w:rPr>
            </w:pPr>
            <w:r>
              <w:rPr>
                <w:rFonts w:cstheme="minorHAnsi"/>
                <w:color w:val="185262"/>
              </w:rPr>
              <w:t>Initiated</w:t>
            </w:r>
          </w:p>
        </w:tc>
      </w:tr>
    </w:tbl>
    <w:p w14:paraId="7A5C3198" w14:textId="77777777" w:rsidR="00283F93" w:rsidRDefault="00283F93" w:rsidP="00283F93">
      <w:pPr>
        <w:rPr>
          <w:b/>
          <w:bCs/>
        </w:rPr>
      </w:pPr>
    </w:p>
    <w:p w14:paraId="1AF199E5" w14:textId="77777777" w:rsidR="00E50C9B" w:rsidRDefault="00E50C9B" w:rsidP="00283F93">
      <w:pPr>
        <w:rPr>
          <w:b/>
          <w:bCs/>
        </w:rPr>
      </w:pPr>
    </w:p>
    <w:p w14:paraId="229005C3" w14:textId="77777777" w:rsidR="00E50C9B" w:rsidRDefault="00E50C9B" w:rsidP="00283F93">
      <w:pPr>
        <w:rPr>
          <w:b/>
          <w:bCs/>
        </w:rPr>
      </w:pPr>
    </w:p>
    <w:p w14:paraId="64DE558F" w14:textId="77777777" w:rsidR="00E50C9B" w:rsidRDefault="00E50C9B" w:rsidP="00283F93">
      <w:pPr>
        <w:rPr>
          <w:b/>
          <w:bCs/>
        </w:rPr>
      </w:pPr>
    </w:p>
    <w:p w14:paraId="06D3678D" w14:textId="40854B41" w:rsidR="00283F93" w:rsidRPr="00283F93" w:rsidRDefault="00283F93" w:rsidP="00283F93">
      <w:r w:rsidRPr="00283F93">
        <w:rPr>
          <w:b/>
          <w:bCs/>
        </w:rPr>
        <w:t xml:space="preserve">Evaluation recommendation 11: </w:t>
      </w:r>
      <w:r w:rsidRPr="00283F93">
        <w:t xml:space="preserve">“The PAPI team should further partnerships with media and journalists to produce in-depth reports that utilize PAPI’s granular data to advocate for reforms in local-level governance. The PAPI team should increase the turnover of regular PAPI-based content (op-eds, policy briefs) for dissemination across print, </w:t>
      </w:r>
      <w:proofErr w:type="gramStart"/>
      <w:r w:rsidRPr="00283F93">
        <w:t>broadcast</w:t>
      </w:r>
      <w:proofErr w:type="gramEnd"/>
      <w:r w:rsidRPr="00283F93">
        <w:t xml:space="preserve"> and digital media to expand public awareness The PAPI team should offer customized data analytics support to media outlets to strengthen reporting on local governance issues.”</w:t>
      </w:r>
    </w:p>
    <w:p w14:paraId="773841A5" w14:textId="77777777" w:rsidR="00283F93" w:rsidRPr="00283F93" w:rsidRDefault="00283F93" w:rsidP="00283F93">
      <w:pPr>
        <w:rPr>
          <w:b/>
          <w:bCs/>
        </w:rPr>
      </w:pPr>
      <w:r w:rsidRPr="00283F93">
        <w:rPr>
          <w:b/>
          <w:bCs/>
        </w:rPr>
        <w:t>Management response: Agreed</w:t>
      </w:r>
    </w:p>
    <w:p w14:paraId="30B97893" w14:textId="77777777" w:rsidR="00283F93" w:rsidRPr="00283F93" w:rsidRDefault="00283F93" w:rsidP="00283F93">
      <w:r w:rsidRPr="00283F93">
        <w:rPr>
          <w:b/>
          <w:bCs/>
        </w:rPr>
        <w:t>-</w:t>
      </w:r>
      <w:r w:rsidRPr="00283F93">
        <w:rPr>
          <w:b/>
          <w:bCs/>
        </w:rPr>
        <w:tab/>
      </w:r>
      <w:r w:rsidRPr="00283F93">
        <w:t xml:space="preserve">We note the essence of communicating and disseminating PAPI and thematic research findings and recommendations to policymakers, </w:t>
      </w:r>
      <w:proofErr w:type="gramStart"/>
      <w:r w:rsidRPr="00283F93">
        <w:t>practitioners</w:t>
      </w:r>
      <w:proofErr w:type="gramEnd"/>
      <w:r w:rsidRPr="00283F93">
        <w:t xml:space="preserve"> and the public, so we have proactively engaged with the media and journalists in producing op-eds, long-form articles and media interviews to deliver on our advocacy messages over the past 15 years. We have also actively provided customized data analytics upon requests from the media and the journalists over the years. </w:t>
      </w:r>
    </w:p>
    <w:tbl>
      <w:tblPr>
        <w:tblStyle w:val="TableGrid"/>
        <w:tblpPr w:leftFromText="180" w:rightFromText="180" w:vertAnchor="text" w:horzAnchor="margin" w:tblpY="16"/>
        <w:tblW w:w="8400" w:type="dxa"/>
        <w:tblLook w:val="01E0" w:firstRow="1" w:lastRow="1" w:firstColumn="1" w:lastColumn="1" w:noHBand="0" w:noVBand="0"/>
      </w:tblPr>
      <w:tblGrid>
        <w:gridCol w:w="2965"/>
        <w:gridCol w:w="1807"/>
        <w:gridCol w:w="1825"/>
        <w:gridCol w:w="1803"/>
      </w:tblGrid>
      <w:tr w:rsidR="00E50C9B" w14:paraId="6B1336C4" w14:textId="77777777" w:rsidTr="00E50C9B">
        <w:tc>
          <w:tcPr>
            <w:tcW w:w="2965" w:type="dxa"/>
          </w:tcPr>
          <w:p w14:paraId="6680CB38" w14:textId="5608D0A1" w:rsidR="00E50C9B" w:rsidRDefault="00E50C9B" w:rsidP="00F327F3">
            <w:pPr>
              <w:tabs>
                <w:tab w:val="left" w:pos="1080"/>
              </w:tabs>
              <w:rPr>
                <w:rFonts w:cstheme="minorHAnsi"/>
                <w:color w:val="185262"/>
              </w:rPr>
            </w:pPr>
            <w:r w:rsidRPr="008711DF">
              <w:rPr>
                <w:rFonts w:cstheme="minorHAnsi"/>
                <w:b/>
                <w:color w:val="185262"/>
              </w:rPr>
              <w:t>Key action(s)</w:t>
            </w:r>
          </w:p>
        </w:tc>
        <w:tc>
          <w:tcPr>
            <w:tcW w:w="1807" w:type="dxa"/>
          </w:tcPr>
          <w:p w14:paraId="760122F2" w14:textId="33D1C22C" w:rsidR="00E50C9B" w:rsidRPr="00544ED9" w:rsidRDefault="00E50C9B" w:rsidP="00F327F3">
            <w:pPr>
              <w:tabs>
                <w:tab w:val="left" w:pos="1080"/>
              </w:tabs>
              <w:rPr>
                <w:rFonts w:cstheme="minorHAnsi"/>
                <w:color w:val="185262"/>
              </w:rPr>
            </w:pPr>
            <w:r w:rsidRPr="008711DF">
              <w:rPr>
                <w:rFonts w:cstheme="minorHAnsi"/>
                <w:b/>
                <w:color w:val="185262"/>
              </w:rPr>
              <w:t>Completion date</w:t>
            </w:r>
          </w:p>
        </w:tc>
        <w:tc>
          <w:tcPr>
            <w:tcW w:w="1825" w:type="dxa"/>
          </w:tcPr>
          <w:p w14:paraId="24A68491" w14:textId="1A10FBD1" w:rsidR="00E50C9B" w:rsidRDefault="00E50C9B" w:rsidP="00F327F3">
            <w:pPr>
              <w:tabs>
                <w:tab w:val="left" w:pos="1080"/>
              </w:tabs>
              <w:rPr>
                <w:rFonts w:cstheme="minorHAnsi"/>
                <w:color w:val="185262"/>
              </w:rPr>
            </w:pPr>
            <w:r w:rsidRPr="008711DF">
              <w:rPr>
                <w:rFonts w:cstheme="minorHAnsi"/>
                <w:b/>
                <w:color w:val="185262"/>
              </w:rPr>
              <w:t>Responsible unit(s)</w:t>
            </w:r>
          </w:p>
        </w:tc>
        <w:tc>
          <w:tcPr>
            <w:tcW w:w="1803" w:type="dxa"/>
          </w:tcPr>
          <w:p w14:paraId="79589C2B" w14:textId="77777777" w:rsidR="00E50C9B" w:rsidRPr="008711DF" w:rsidRDefault="00E50C9B" w:rsidP="008C7B14">
            <w:pPr>
              <w:tabs>
                <w:tab w:val="left" w:pos="1080"/>
              </w:tabs>
              <w:rPr>
                <w:rFonts w:asciiTheme="majorHAnsi" w:eastAsiaTheme="majorEastAsia" w:hAnsiTheme="majorHAnsi" w:cstheme="minorHAnsi"/>
                <w:b/>
                <w:color w:val="185262"/>
                <w:sz w:val="21"/>
                <w:szCs w:val="21"/>
              </w:rPr>
            </w:pPr>
            <w:r w:rsidRPr="008711DF">
              <w:rPr>
                <w:rFonts w:cstheme="minorHAnsi"/>
                <w:b/>
                <w:color w:val="185262"/>
              </w:rPr>
              <w:t>Tracking</w:t>
            </w:r>
            <w:r>
              <w:rPr>
                <w:rFonts w:cstheme="minorHAnsi"/>
                <w:b/>
                <w:color w:val="185262"/>
              </w:rPr>
              <w:t xml:space="preserve"> </w:t>
            </w:r>
            <w:r w:rsidRPr="008711DF">
              <w:rPr>
                <w:rFonts w:cstheme="minorHAnsi"/>
                <w:b/>
                <w:color w:val="185262"/>
              </w:rPr>
              <w:t>Status</w:t>
            </w:r>
            <w:r>
              <w:rPr>
                <w:rFonts w:cstheme="minorHAnsi"/>
                <w:b/>
                <w:color w:val="185262"/>
              </w:rPr>
              <w:t>*</w:t>
            </w:r>
          </w:p>
          <w:p w14:paraId="6B95C0D2" w14:textId="576C1A13" w:rsidR="00E50C9B" w:rsidRDefault="00E50C9B" w:rsidP="008C7B14">
            <w:pPr>
              <w:tabs>
                <w:tab w:val="left" w:pos="1080"/>
              </w:tabs>
              <w:rPr>
                <w:rFonts w:cstheme="minorHAnsi"/>
                <w:color w:val="185262"/>
              </w:rPr>
            </w:pPr>
            <w:r w:rsidRPr="008711DF">
              <w:rPr>
                <w:rFonts w:cstheme="minorHAnsi"/>
                <w:b/>
                <w:color w:val="185262"/>
              </w:rPr>
              <w:t>(</w:t>
            </w:r>
            <w:proofErr w:type="gramStart"/>
            <w:r w:rsidRPr="008711DF">
              <w:rPr>
                <w:rFonts w:cstheme="minorHAnsi"/>
                <w:b/>
                <w:color w:val="185262"/>
              </w:rPr>
              <w:t>initiated</w:t>
            </w:r>
            <w:proofErr w:type="gramEnd"/>
            <w:r w:rsidRPr="008711DF">
              <w:rPr>
                <w:rFonts w:cstheme="minorHAnsi"/>
                <w:b/>
                <w:color w:val="185262"/>
              </w:rPr>
              <w:t>, completed or no due date)</w:t>
            </w:r>
          </w:p>
        </w:tc>
      </w:tr>
      <w:tr w:rsidR="00E50C9B" w:rsidRPr="008711DF" w14:paraId="77D3805D" w14:textId="77777777" w:rsidTr="00E50C9B">
        <w:tc>
          <w:tcPr>
            <w:tcW w:w="2965" w:type="dxa"/>
          </w:tcPr>
          <w:p w14:paraId="5B28EE6B" w14:textId="33F1EEE6" w:rsidR="00E50C9B" w:rsidRPr="008711DF" w:rsidRDefault="00E50C9B" w:rsidP="00835683">
            <w:pPr>
              <w:tabs>
                <w:tab w:val="left" w:pos="1080"/>
              </w:tabs>
              <w:rPr>
                <w:rFonts w:cstheme="minorHAnsi"/>
                <w:color w:val="185262"/>
              </w:rPr>
            </w:pPr>
            <w:r>
              <w:rPr>
                <w:rFonts w:cstheme="minorHAnsi"/>
                <w:color w:val="185262"/>
              </w:rPr>
              <w:t>1</w:t>
            </w:r>
            <w:r w:rsidRPr="008711DF">
              <w:rPr>
                <w:rFonts w:cstheme="minorHAnsi"/>
                <w:color w:val="185262"/>
              </w:rPr>
              <w:t>.1</w:t>
            </w:r>
            <w:r>
              <w:rPr>
                <w:rFonts w:cstheme="minorHAnsi"/>
                <w:color w:val="185262"/>
              </w:rPr>
              <w:t>. Continue working closely with the media and journalists to communicate and disseminate findings and recommendations from PAPI and thematic studies</w:t>
            </w:r>
            <w:r w:rsidRPr="008711DF">
              <w:rPr>
                <w:rFonts w:cstheme="minorHAnsi"/>
                <w:color w:val="185262"/>
              </w:rPr>
              <w:t xml:space="preserve"> </w:t>
            </w:r>
          </w:p>
        </w:tc>
        <w:tc>
          <w:tcPr>
            <w:tcW w:w="1807" w:type="dxa"/>
          </w:tcPr>
          <w:p w14:paraId="4C4F6A65" w14:textId="77777777" w:rsidR="00E50C9B" w:rsidRPr="008711DF" w:rsidRDefault="00E50C9B" w:rsidP="00835683">
            <w:pPr>
              <w:tabs>
                <w:tab w:val="left" w:pos="1080"/>
              </w:tabs>
              <w:rPr>
                <w:rFonts w:cstheme="minorHAnsi"/>
                <w:color w:val="185262"/>
              </w:rPr>
            </w:pPr>
            <w:r w:rsidRPr="00544ED9">
              <w:rPr>
                <w:rFonts w:cstheme="minorHAnsi"/>
                <w:color w:val="185262"/>
              </w:rPr>
              <w:t>Throughout until 30 June 2025</w:t>
            </w:r>
          </w:p>
        </w:tc>
        <w:tc>
          <w:tcPr>
            <w:tcW w:w="1825" w:type="dxa"/>
          </w:tcPr>
          <w:p w14:paraId="1DB17145" w14:textId="77777777" w:rsidR="00E50C9B" w:rsidRPr="008711DF" w:rsidRDefault="00E50C9B" w:rsidP="00835683">
            <w:pPr>
              <w:tabs>
                <w:tab w:val="left" w:pos="1080"/>
              </w:tabs>
              <w:rPr>
                <w:rFonts w:cstheme="minorHAnsi"/>
                <w:color w:val="185262"/>
              </w:rPr>
            </w:pPr>
            <w:r>
              <w:rPr>
                <w:rFonts w:cstheme="minorHAnsi"/>
                <w:color w:val="185262"/>
              </w:rPr>
              <w:t>UNDP/GPT/PAPI Team; provincial and national counterparts</w:t>
            </w:r>
          </w:p>
        </w:tc>
        <w:tc>
          <w:tcPr>
            <w:tcW w:w="1803" w:type="dxa"/>
          </w:tcPr>
          <w:p w14:paraId="01641703" w14:textId="77777777" w:rsidR="00E50C9B" w:rsidRPr="008711DF" w:rsidRDefault="00E50C9B" w:rsidP="00835683">
            <w:pPr>
              <w:tabs>
                <w:tab w:val="left" w:pos="1080"/>
              </w:tabs>
              <w:rPr>
                <w:rFonts w:cstheme="minorHAnsi"/>
                <w:color w:val="185262"/>
              </w:rPr>
            </w:pPr>
            <w:r>
              <w:rPr>
                <w:rFonts w:cstheme="minorHAnsi"/>
                <w:color w:val="185262"/>
              </w:rPr>
              <w:t>Initiated</w:t>
            </w:r>
          </w:p>
        </w:tc>
      </w:tr>
      <w:tr w:rsidR="00E50C9B" w:rsidRPr="008711DF" w14:paraId="608B0BC2" w14:textId="77777777" w:rsidTr="00E50C9B">
        <w:tc>
          <w:tcPr>
            <w:tcW w:w="2965" w:type="dxa"/>
          </w:tcPr>
          <w:p w14:paraId="07F06B6C" w14:textId="77777777" w:rsidR="00E50C9B" w:rsidRPr="008711DF" w:rsidRDefault="00E50C9B" w:rsidP="00835683">
            <w:pPr>
              <w:tabs>
                <w:tab w:val="left" w:pos="1080"/>
              </w:tabs>
              <w:rPr>
                <w:rFonts w:cstheme="minorHAnsi"/>
                <w:color w:val="185262"/>
              </w:rPr>
            </w:pPr>
            <w:r>
              <w:rPr>
                <w:rFonts w:cstheme="minorHAnsi"/>
                <w:color w:val="185262"/>
              </w:rPr>
              <w:t>11</w:t>
            </w:r>
            <w:r w:rsidRPr="008711DF">
              <w:rPr>
                <w:rFonts w:cstheme="minorHAnsi"/>
                <w:color w:val="185262"/>
              </w:rPr>
              <w:t>.2</w:t>
            </w:r>
            <w:r>
              <w:rPr>
                <w:rFonts w:cstheme="minorHAnsi"/>
                <w:color w:val="185262"/>
              </w:rPr>
              <w:t xml:space="preserve">. Regularly write up articles, </w:t>
            </w:r>
            <w:proofErr w:type="gramStart"/>
            <w:r>
              <w:rPr>
                <w:rFonts w:cstheme="minorHAnsi"/>
                <w:color w:val="185262"/>
              </w:rPr>
              <w:t>op-eds</w:t>
            </w:r>
            <w:proofErr w:type="gramEnd"/>
            <w:r>
              <w:rPr>
                <w:rFonts w:cstheme="minorHAnsi"/>
                <w:color w:val="185262"/>
              </w:rPr>
              <w:t xml:space="preserve"> and long-form articles in Vietnamese for better outreach to the public</w:t>
            </w:r>
            <w:r w:rsidRPr="008711DF">
              <w:rPr>
                <w:rFonts w:cstheme="minorHAnsi"/>
                <w:color w:val="185262"/>
              </w:rPr>
              <w:t xml:space="preserve"> </w:t>
            </w:r>
          </w:p>
        </w:tc>
        <w:tc>
          <w:tcPr>
            <w:tcW w:w="1807" w:type="dxa"/>
          </w:tcPr>
          <w:p w14:paraId="2D55C203" w14:textId="77777777" w:rsidR="00E50C9B" w:rsidRPr="008711DF" w:rsidRDefault="00E50C9B" w:rsidP="00835683">
            <w:pPr>
              <w:tabs>
                <w:tab w:val="left" w:pos="1080"/>
              </w:tabs>
              <w:rPr>
                <w:rFonts w:cstheme="minorHAnsi"/>
                <w:color w:val="185262"/>
              </w:rPr>
            </w:pPr>
            <w:r w:rsidRPr="00544ED9">
              <w:rPr>
                <w:rFonts w:cstheme="minorHAnsi"/>
                <w:color w:val="185262"/>
              </w:rPr>
              <w:t>Throughout until 30 June 2025</w:t>
            </w:r>
          </w:p>
        </w:tc>
        <w:tc>
          <w:tcPr>
            <w:tcW w:w="1825" w:type="dxa"/>
          </w:tcPr>
          <w:p w14:paraId="4E00B445" w14:textId="77777777" w:rsidR="00E50C9B" w:rsidRPr="008711DF" w:rsidRDefault="00E50C9B" w:rsidP="00835683">
            <w:pPr>
              <w:tabs>
                <w:tab w:val="left" w:pos="1080"/>
              </w:tabs>
              <w:rPr>
                <w:rFonts w:cstheme="minorHAnsi"/>
                <w:color w:val="185262"/>
              </w:rPr>
            </w:pPr>
            <w:r>
              <w:rPr>
                <w:rFonts w:cstheme="minorHAnsi"/>
                <w:color w:val="185262"/>
              </w:rPr>
              <w:t>UNDP/GPT/PAPI Team; provincial and national counterparts</w:t>
            </w:r>
          </w:p>
        </w:tc>
        <w:tc>
          <w:tcPr>
            <w:tcW w:w="1803" w:type="dxa"/>
          </w:tcPr>
          <w:p w14:paraId="766374F7" w14:textId="77777777" w:rsidR="00E50C9B" w:rsidRPr="008711DF" w:rsidRDefault="00E50C9B" w:rsidP="00835683">
            <w:pPr>
              <w:tabs>
                <w:tab w:val="left" w:pos="1080"/>
              </w:tabs>
              <w:rPr>
                <w:rFonts w:cstheme="minorHAnsi"/>
                <w:color w:val="185262"/>
              </w:rPr>
            </w:pPr>
            <w:r>
              <w:rPr>
                <w:rFonts w:cstheme="minorHAnsi"/>
                <w:color w:val="185262"/>
              </w:rPr>
              <w:t>Initiated</w:t>
            </w:r>
          </w:p>
        </w:tc>
      </w:tr>
    </w:tbl>
    <w:p w14:paraId="751988E0" w14:textId="77777777" w:rsidR="00283F93" w:rsidRDefault="00283F93" w:rsidP="00283F93">
      <w:pPr>
        <w:rPr>
          <w:b/>
          <w:bCs/>
        </w:rPr>
      </w:pPr>
    </w:p>
    <w:p w14:paraId="45F0EC6E" w14:textId="77777777" w:rsidR="00E50C9B" w:rsidRDefault="00E50C9B" w:rsidP="00283F93">
      <w:pPr>
        <w:rPr>
          <w:b/>
          <w:bCs/>
        </w:rPr>
      </w:pPr>
    </w:p>
    <w:p w14:paraId="29C00F33" w14:textId="77777777" w:rsidR="00E50C9B" w:rsidRDefault="00E50C9B" w:rsidP="00283F93">
      <w:pPr>
        <w:rPr>
          <w:b/>
          <w:bCs/>
        </w:rPr>
      </w:pPr>
    </w:p>
    <w:p w14:paraId="3FF176E4" w14:textId="77777777" w:rsidR="00E50C9B" w:rsidRDefault="00E50C9B" w:rsidP="00283F93">
      <w:pPr>
        <w:rPr>
          <w:b/>
          <w:bCs/>
        </w:rPr>
      </w:pPr>
    </w:p>
    <w:p w14:paraId="76D75F30" w14:textId="77777777" w:rsidR="00E50C9B" w:rsidRDefault="00E50C9B" w:rsidP="00283F93">
      <w:pPr>
        <w:rPr>
          <w:b/>
          <w:bCs/>
        </w:rPr>
      </w:pPr>
    </w:p>
    <w:p w14:paraId="2293429A" w14:textId="77777777" w:rsidR="00E50C9B" w:rsidRDefault="00E50C9B" w:rsidP="00283F93">
      <w:pPr>
        <w:rPr>
          <w:b/>
          <w:bCs/>
        </w:rPr>
      </w:pPr>
    </w:p>
    <w:p w14:paraId="655A973C" w14:textId="77777777" w:rsidR="00E50C9B" w:rsidRDefault="00E50C9B" w:rsidP="00283F93">
      <w:pPr>
        <w:rPr>
          <w:b/>
          <w:bCs/>
        </w:rPr>
      </w:pPr>
    </w:p>
    <w:p w14:paraId="53990F56" w14:textId="77777777" w:rsidR="00E50C9B" w:rsidRDefault="00E50C9B" w:rsidP="00283F93">
      <w:pPr>
        <w:rPr>
          <w:b/>
          <w:bCs/>
        </w:rPr>
      </w:pPr>
    </w:p>
    <w:p w14:paraId="1AC87B04" w14:textId="77777777" w:rsidR="00E50C9B" w:rsidRDefault="00E50C9B" w:rsidP="00283F93">
      <w:pPr>
        <w:rPr>
          <w:b/>
          <w:bCs/>
        </w:rPr>
      </w:pPr>
    </w:p>
    <w:p w14:paraId="3C055746" w14:textId="77777777" w:rsidR="00E50C9B" w:rsidRDefault="00E50C9B" w:rsidP="00283F93">
      <w:pPr>
        <w:rPr>
          <w:b/>
          <w:bCs/>
        </w:rPr>
      </w:pPr>
    </w:p>
    <w:p w14:paraId="1037FE13" w14:textId="182419FA" w:rsidR="00283F93" w:rsidRDefault="00283F93" w:rsidP="00283F93">
      <w:r w:rsidRPr="00283F93">
        <w:rPr>
          <w:b/>
          <w:bCs/>
        </w:rPr>
        <w:t>Evaluation recommendation 12:</w:t>
      </w:r>
      <w:r>
        <w:t xml:space="preserve"> “PAPI team should explore ways of strengthening coordination and cooperation with other governance surveys in Vietnam, without jeopardizing the independence and integrity of the initiative. There is an opportunity to strengthen cooperation with PCI through joint dissemination events and publications to maximize reach and provide multi-dimensional insights into governance. To this end, it will be useful to institute regular consultative meetings between PAPI and PCI teams to identify collaboration opportunities on operations and stakeholder engagement.”</w:t>
      </w:r>
    </w:p>
    <w:p w14:paraId="4F1ADFB7" w14:textId="77777777" w:rsidR="00283F93" w:rsidRPr="00283F93" w:rsidRDefault="00283F93" w:rsidP="00283F93">
      <w:pPr>
        <w:rPr>
          <w:b/>
          <w:bCs/>
        </w:rPr>
      </w:pPr>
      <w:r w:rsidRPr="00283F93">
        <w:rPr>
          <w:b/>
          <w:bCs/>
        </w:rPr>
        <w:t>Management response:  Agreed</w:t>
      </w:r>
    </w:p>
    <w:p w14:paraId="4789F892" w14:textId="77777777" w:rsidR="00283F93" w:rsidRDefault="00283F93" w:rsidP="00283F93">
      <w:r>
        <w:t>-</w:t>
      </w:r>
      <w:r>
        <w:tab/>
        <w:t xml:space="preserve">We note the importance of the correlation between different indexes on governance in Viet Nam (e.g., the PAR-Index, the PCI, the SIPAS and the VDI), as it will provide insights for policymakers into areas of strengths and weaknesses from different angles and levels of government. In fact, we have worked together with agencies in charge of those indexes, especially VCCI in charge of PCI, during our diagnostic workshops with provinces over the past 15 years. The PCI and the PAPI teams have one technical advisor in common as well. </w:t>
      </w:r>
    </w:p>
    <w:p w14:paraId="6C19DB12" w14:textId="1311E397" w:rsidR="00916CD0" w:rsidRDefault="00283F93" w:rsidP="00283F93">
      <w:r>
        <w:lastRenderedPageBreak/>
        <w:t>-</w:t>
      </w:r>
      <w:r>
        <w:tab/>
        <w:t>What can be done more may be to share questions and run correlation of findings between PCI and PAPI so that we can offer central and provincial governments useful suggestions on ways forward to strengthening local governance for both businesses and citizens towards even the commune levels, rather than just at the provincial level (since PCI focuses more on the provincial-level governance).</w:t>
      </w:r>
    </w:p>
    <w:tbl>
      <w:tblPr>
        <w:tblStyle w:val="TableGrid"/>
        <w:tblpPr w:leftFromText="180" w:rightFromText="180" w:vertAnchor="text" w:horzAnchor="margin" w:tblpY="16"/>
        <w:tblW w:w="8213" w:type="dxa"/>
        <w:tblLook w:val="01E0" w:firstRow="1" w:lastRow="1" w:firstColumn="1" w:lastColumn="1" w:noHBand="0" w:noVBand="0"/>
      </w:tblPr>
      <w:tblGrid>
        <w:gridCol w:w="2965"/>
        <w:gridCol w:w="1800"/>
        <w:gridCol w:w="1828"/>
        <w:gridCol w:w="1620"/>
      </w:tblGrid>
      <w:tr w:rsidR="00E50C9B" w:rsidRPr="008711DF" w14:paraId="051AD470" w14:textId="77777777" w:rsidTr="00E50C9B">
        <w:trPr>
          <w:trHeight w:val="841"/>
        </w:trPr>
        <w:tc>
          <w:tcPr>
            <w:tcW w:w="2965" w:type="dxa"/>
          </w:tcPr>
          <w:p w14:paraId="28B8C7AD" w14:textId="2F0AB9C2" w:rsidR="00E50C9B" w:rsidRPr="2E577EF3" w:rsidRDefault="00E50C9B" w:rsidP="00F327F3">
            <w:pPr>
              <w:tabs>
                <w:tab w:val="left" w:pos="1080"/>
              </w:tabs>
              <w:rPr>
                <w:color w:val="185262"/>
              </w:rPr>
            </w:pPr>
            <w:r w:rsidRPr="008711DF">
              <w:rPr>
                <w:rFonts w:cstheme="minorHAnsi"/>
                <w:b/>
                <w:color w:val="185262"/>
              </w:rPr>
              <w:t>Key action(s)</w:t>
            </w:r>
          </w:p>
        </w:tc>
        <w:tc>
          <w:tcPr>
            <w:tcW w:w="1800" w:type="dxa"/>
          </w:tcPr>
          <w:p w14:paraId="53D11116" w14:textId="13FA0AFD" w:rsidR="00E50C9B" w:rsidRPr="00544ED9" w:rsidRDefault="00E50C9B" w:rsidP="00F327F3">
            <w:pPr>
              <w:tabs>
                <w:tab w:val="left" w:pos="1080"/>
              </w:tabs>
              <w:rPr>
                <w:rFonts w:cstheme="minorHAnsi"/>
                <w:color w:val="185262"/>
              </w:rPr>
            </w:pPr>
            <w:r w:rsidRPr="008711DF">
              <w:rPr>
                <w:rFonts w:cstheme="minorHAnsi"/>
                <w:b/>
                <w:color w:val="185262"/>
              </w:rPr>
              <w:t>Completion date</w:t>
            </w:r>
          </w:p>
        </w:tc>
        <w:tc>
          <w:tcPr>
            <w:tcW w:w="1828" w:type="dxa"/>
          </w:tcPr>
          <w:p w14:paraId="16895FA6" w14:textId="3EF66556" w:rsidR="00E50C9B" w:rsidRDefault="00E50C9B" w:rsidP="00F327F3">
            <w:pPr>
              <w:tabs>
                <w:tab w:val="left" w:pos="1080"/>
              </w:tabs>
              <w:rPr>
                <w:rFonts w:cstheme="minorHAnsi"/>
                <w:color w:val="185262"/>
              </w:rPr>
            </w:pPr>
            <w:r w:rsidRPr="008711DF">
              <w:rPr>
                <w:rFonts w:cstheme="minorHAnsi"/>
                <w:b/>
                <w:color w:val="185262"/>
              </w:rPr>
              <w:t>Responsible unit(s)</w:t>
            </w:r>
          </w:p>
        </w:tc>
        <w:tc>
          <w:tcPr>
            <w:tcW w:w="1620" w:type="dxa"/>
          </w:tcPr>
          <w:p w14:paraId="6E951D08" w14:textId="77777777" w:rsidR="00E50C9B" w:rsidRPr="008711DF" w:rsidRDefault="00E50C9B" w:rsidP="008C7B14">
            <w:pPr>
              <w:tabs>
                <w:tab w:val="left" w:pos="1080"/>
              </w:tabs>
              <w:rPr>
                <w:rFonts w:asciiTheme="majorHAnsi" w:eastAsiaTheme="majorEastAsia" w:hAnsiTheme="majorHAnsi" w:cstheme="minorHAnsi"/>
                <w:b/>
                <w:color w:val="185262"/>
                <w:sz w:val="21"/>
                <w:szCs w:val="21"/>
              </w:rPr>
            </w:pPr>
            <w:r w:rsidRPr="008711DF">
              <w:rPr>
                <w:rFonts w:cstheme="minorHAnsi"/>
                <w:b/>
                <w:color w:val="185262"/>
              </w:rPr>
              <w:t>Tracking</w:t>
            </w:r>
            <w:r>
              <w:rPr>
                <w:rFonts w:cstheme="minorHAnsi"/>
                <w:b/>
                <w:color w:val="185262"/>
              </w:rPr>
              <w:t xml:space="preserve"> </w:t>
            </w:r>
            <w:r w:rsidRPr="008711DF">
              <w:rPr>
                <w:rFonts w:cstheme="minorHAnsi"/>
                <w:b/>
                <w:color w:val="185262"/>
              </w:rPr>
              <w:t>Status</w:t>
            </w:r>
            <w:r>
              <w:rPr>
                <w:rFonts w:cstheme="minorHAnsi"/>
                <w:b/>
                <w:color w:val="185262"/>
              </w:rPr>
              <w:t>*</w:t>
            </w:r>
          </w:p>
          <w:p w14:paraId="08C1926B" w14:textId="6987B6B6" w:rsidR="00E50C9B" w:rsidRDefault="00E50C9B" w:rsidP="008C7B14">
            <w:pPr>
              <w:tabs>
                <w:tab w:val="left" w:pos="1080"/>
              </w:tabs>
              <w:rPr>
                <w:rFonts w:cstheme="minorHAnsi"/>
                <w:color w:val="185262"/>
              </w:rPr>
            </w:pPr>
            <w:r w:rsidRPr="008711DF">
              <w:rPr>
                <w:rFonts w:cstheme="minorHAnsi"/>
                <w:b/>
                <w:color w:val="185262"/>
              </w:rPr>
              <w:t>(</w:t>
            </w:r>
            <w:proofErr w:type="gramStart"/>
            <w:r w:rsidRPr="008711DF">
              <w:rPr>
                <w:rFonts w:cstheme="minorHAnsi"/>
                <w:b/>
                <w:color w:val="185262"/>
              </w:rPr>
              <w:t>initiated</w:t>
            </w:r>
            <w:proofErr w:type="gramEnd"/>
            <w:r w:rsidRPr="008711DF">
              <w:rPr>
                <w:rFonts w:cstheme="minorHAnsi"/>
                <w:b/>
                <w:color w:val="185262"/>
              </w:rPr>
              <w:t>, completed or no due date)</w:t>
            </w:r>
          </w:p>
        </w:tc>
      </w:tr>
      <w:tr w:rsidR="00E50C9B" w:rsidRPr="008711DF" w14:paraId="41C13E0D" w14:textId="77777777" w:rsidTr="00E50C9B">
        <w:trPr>
          <w:trHeight w:val="2829"/>
        </w:trPr>
        <w:tc>
          <w:tcPr>
            <w:tcW w:w="2965" w:type="dxa"/>
          </w:tcPr>
          <w:p w14:paraId="6988DAD9" w14:textId="3BE955D2" w:rsidR="00E50C9B" w:rsidRPr="008711DF" w:rsidRDefault="00E50C9B" w:rsidP="2E577EF3">
            <w:pPr>
              <w:tabs>
                <w:tab w:val="left" w:pos="1080"/>
              </w:tabs>
              <w:rPr>
                <w:color w:val="185262"/>
              </w:rPr>
            </w:pPr>
            <w:r w:rsidRPr="2E577EF3">
              <w:rPr>
                <w:color w:val="185262"/>
              </w:rPr>
              <w:t xml:space="preserve">12.1. Continue discussing with government agencies such as the Ministry of Home Affairs, the Ministry of Information and Communication and the Vietnam Chamber of Commerce and Industry to strengthen the complementary values of existing governance assessment tools, reflected in meeting minutes. </w:t>
            </w:r>
          </w:p>
        </w:tc>
        <w:tc>
          <w:tcPr>
            <w:tcW w:w="1800" w:type="dxa"/>
          </w:tcPr>
          <w:p w14:paraId="42409684" w14:textId="4148795B" w:rsidR="00E50C9B" w:rsidRPr="008711DF" w:rsidRDefault="00E50C9B" w:rsidP="00C3293F">
            <w:pPr>
              <w:tabs>
                <w:tab w:val="left" w:pos="1080"/>
              </w:tabs>
              <w:rPr>
                <w:rFonts w:cstheme="minorHAnsi"/>
                <w:color w:val="185262"/>
              </w:rPr>
            </w:pPr>
            <w:r w:rsidRPr="00544ED9">
              <w:rPr>
                <w:rFonts w:cstheme="minorHAnsi"/>
                <w:color w:val="185262"/>
              </w:rPr>
              <w:t>Throughout until 30 June 2025</w:t>
            </w:r>
          </w:p>
        </w:tc>
        <w:tc>
          <w:tcPr>
            <w:tcW w:w="1828" w:type="dxa"/>
          </w:tcPr>
          <w:p w14:paraId="42DB1E12" w14:textId="4768FB6F" w:rsidR="00E50C9B" w:rsidRPr="008711DF" w:rsidRDefault="00E50C9B" w:rsidP="00C3293F">
            <w:pPr>
              <w:tabs>
                <w:tab w:val="left" w:pos="1080"/>
              </w:tabs>
              <w:rPr>
                <w:rFonts w:cstheme="minorHAnsi"/>
                <w:color w:val="185262"/>
              </w:rPr>
            </w:pPr>
            <w:r>
              <w:rPr>
                <w:rFonts w:cstheme="minorHAnsi"/>
                <w:color w:val="185262"/>
              </w:rPr>
              <w:t xml:space="preserve">UNDP/GPT/PAPI Team in collaboration with relevant national partners at MOHA, MOIC, VCCI, etc. </w:t>
            </w:r>
          </w:p>
        </w:tc>
        <w:tc>
          <w:tcPr>
            <w:tcW w:w="1620" w:type="dxa"/>
          </w:tcPr>
          <w:p w14:paraId="617ADEC6" w14:textId="17858092" w:rsidR="00E50C9B" w:rsidRPr="008711DF" w:rsidRDefault="00E50C9B" w:rsidP="00C3293F">
            <w:pPr>
              <w:tabs>
                <w:tab w:val="left" w:pos="1080"/>
              </w:tabs>
              <w:rPr>
                <w:rFonts w:cstheme="minorHAnsi"/>
                <w:color w:val="185262"/>
              </w:rPr>
            </w:pPr>
            <w:r>
              <w:rPr>
                <w:rFonts w:cstheme="minorHAnsi"/>
                <w:color w:val="185262"/>
              </w:rPr>
              <w:t>Initiated</w:t>
            </w:r>
          </w:p>
        </w:tc>
      </w:tr>
      <w:tr w:rsidR="00E50C9B" w:rsidRPr="008711DF" w14:paraId="1463640C" w14:textId="77777777" w:rsidTr="00E50C9B">
        <w:tc>
          <w:tcPr>
            <w:tcW w:w="2965" w:type="dxa"/>
          </w:tcPr>
          <w:p w14:paraId="2D7656AF" w14:textId="443DC8AC" w:rsidR="00E50C9B" w:rsidRPr="008711DF" w:rsidRDefault="00E50C9B" w:rsidP="2E577EF3">
            <w:pPr>
              <w:tabs>
                <w:tab w:val="left" w:pos="1080"/>
              </w:tabs>
              <w:rPr>
                <w:color w:val="185262"/>
              </w:rPr>
            </w:pPr>
            <w:r w:rsidRPr="2E577EF3">
              <w:rPr>
                <w:color w:val="185262"/>
              </w:rPr>
              <w:t xml:space="preserve">12.2. Collaborate with VCCI in designing survey questionnaires of PAPI and PCI to have several common themes but assessing from both </w:t>
            </w:r>
            <w:proofErr w:type="gramStart"/>
            <w:r w:rsidRPr="2E577EF3">
              <w:rPr>
                <w:color w:val="185262"/>
              </w:rPr>
              <w:t>businesses’</w:t>
            </w:r>
            <w:proofErr w:type="gramEnd"/>
            <w:r w:rsidRPr="2E577EF3">
              <w:rPr>
                <w:color w:val="185262"/>
              </w:rPr>
              <w:t xml:space="preserve"> and citizens’ perspectives to provide insightful advice to provincial leaders to improve performance in both economic and social governance pillars; and produce correlation graphs and analysis and have these featured in both PCI and PAPI reports or policy briefs. </w:t>
            </w:r>
          </w:p>
        </w:tc>
        <w:tc>
          <w:tcPr>
            <w:tcW w:w="1800" w:type="dxa"/>
          </w:tcPr>
          <w:p w14:paraId="2FE848DF" w14:textId="14645D98" w:rsidR="00E50C9B" w:rsidRPr="008711DF" w:rsidRDefault="00E50C9B" w:rsidP="00C3293F">
            <w:pPr>
              <w:tabs>
                <w:tab w:val="left" w:pos="1080"/>
              </w:tabs>
              <w:rPr>
                <w:rFonts w:cstheme="minorHAnsi"/>
                <w:color w:val="185262"/>
              </w:rPr>
            </w:pPr>
            <w:r w:rsidRPr="00544ED9">
              <w:rPr>
                <w:rFonts w:cstheme="minorHAnsi"/>
                <w:color w:val="185262"/>
              </w:rPr>
              <w:t>Throughout until 30 June 2025</w:t>
            </w:r>
          </w:p>
        </w:tc>
        <w:tc>
          <w:tcPr>
            <w:tcW w:w="1828" w:type="dxa"/>
          </w:tcPr>
          <w:p w14:paraId="7D406FEB" w14:textId="3D9E7861" w:rsidR="00E50C9B" w:rsidRPr="008711DF" w:rsidRDefault="00E50C9B" w:rsidP="00C3293F">
            <w:pPr>
              <w:tabs>
                <w:tab w:val="left" w:pos="1080"/>
              </w:tabs>
              <w:rPr>
                <w:rFonts w:cstheme="minorHAnsi"/>
                <w:color w:val="185262"/>
              </w:rPr>
            </w:pPr>
            <w:r>
              <w:rPr>
                <w:rFonts w:cstheme="minorHAnsi"/>
                <w:color w:val="185262"/>
              </w:rPr>
              <w:t>UNDP/GPT/PAPI Team in collaboration with relevant national partners at VCCI</w:t>
            </w:r>
          </w:p>
        </w:tc>
        <w:tc>
          <w:tcPr>
            <w:tcW w:w="1620" w:type="dxa"/>
          </w:tcPr>
          <w:p w14:paraId="5FB3EBA1" w14:textId="77A21BC8" w:rsidR="00E50C9B" w:rsidRPr="008711DF" w:rsidRDefault="00E50C9B" w:rsidP="00C3293F">
            <w:pPr>
              <w:tabs>
                <w:tab w:val="left" w:pos="1080"/>
              </w:tabs>
              <w:rPr>
                <w:rFonts w:cstheme="minorHAnsi"/>
                <w:color w:val="185262"/>
              </w:rPr>
            </w:pPr>
            <w:r>
              <w:rPr>
                <w:rFonts w:cstheme="minorHAnsi"/>
                <w:color w:val="185262"/>
              </w:rPr>
              <w:t>Initiated</w:t>
            </w:r>
          </w:p>
        </w:tc>
      </w:tr>
    </w:tbl>
    <w:p w14:paraId="1F5CB9AD" w14:textId="77777777" w:rsidR="00E50C9B" w:rsidRDefault="00E50C9B" w:rsidP="00916CD0">
      <w:pPr>
        <w:tabs>
          <w:tab w:val="left" w:pos="1080"/>
        </w:tabs>
        <w:spacing w:before="60" w:after="0" w:line="240" w:lineRule="auto"/>
        <w:rPr>
          <w:rFonts w:cstheme="minorHAnsi"/>
          <w:i/>
          <w:iCs/>
          <w:lang w:eastAsia="ja-JP"/>
        </w:rPr>
      </w:pPr>
    </w:p>
    <w:p w14:paraId="2D65F5FC" w14:textId="77777777" w:rsidR="00E50C9B" w:rsidRDefault="00E50C9B" w:rsidP="00916CD0">
      <w:pPr>
        <w:tabs>
          <w:tab w:val="left" w:pos="1080"/>
        </w:tabs>
        <w:spacing w:before="60" w:after="0" w:line="240" w:lineRule="auto"/>
        <w:rPr>
          <w:rFonts w:cstheme="minorHAnsi"/>
          <w:i/>
          <w:iCs/>
          <w:lang w:eastAsia="ja-JP"/>
        </w:rPr>
      </w:pPr>
    </w:p>
    <w:p w14:paraId="331A6BE6" w14:textId="77777777" w:rsidR="00E50C9B" w:rsidRDefault="00E50C9B" w:rsidP="00916CD0">
      <w:pPr>
        <w:tabs>
          <w:tab w:val="left" w:pos="1080"/>
        </w:tabs>
        <w:spacing w:before="60" w:after="0" w:line="240" w:lineRule="auto"/>
        <w:rPr>
          <w:rFonts w:cstheme="minorHAnsi"/>
          <w:i/>
          <w:iCs/>
          <w:lang w:eastAsia="ja-JP"/>
        </w:rPr>
      </w:pPr>
    </w:p>
    <w:p w14:paraId="77C75C15" w14:textId="77777777" w:rsidR="00E50C9B" w:rsidRDefault="00E50C9B" w:rsidP="00916CD0">
      <w:pPr>
        <w:tabs>
          <w:tab w:val="left" w:pos="1080"/>
        </w:tabs>
        <w:spacing w:before="60" w:after="0" w:line="240" w:lineRule="auto"/>
        <w:rPr>
          <w:rFonts w:cstheme="minorHAnsi"/>
          <w:i/>
          <w:iCs/>
          <w:lang w:eastAsia="ja-JP"/>
        </w:rPr>
      </w:pPr>
    </w:p>
    <w:p w14:paraId="34A222A0" w14:textId="77777777" w:rsidR="00E50C9B" w:rsidRDefault="00E50C9B" w:rsidP="00916CD0">
      <w:pPr>
        <w:tabs>
          <w:tab w:val="left" w:pos="1080"/>
        </w:tabs>
        <w:spacing w:before="60" w:after="0" w:line="240" w:lineRule="auto"/>
        <w:rPr>
          <w:rFonts w:cstheme="minorHAnsi"/>
          <w:i/>
          <w:iCs/>
          <w:lang w:eastAsia="ja-JP"/>
        </w:rPr>
      </w:pPr>
    </w:p>
    <w:p w14:paraId="52F21269" w14:textId="77777777" w:rsidR="00E50C9B" w:rsidRDefault="00E50C9B" w:rsidP="00916CD0">
      <w:pPr>
        <w:tabs>
          <w:tab w:val="left" w:pos="1080"/>
        </w:tabs>
        <w:spacing w:before="60" w:after="0" w:line="240" w:lineRule="auto"/>
        <w:rPr>
          <w:rFonts w:cstheme="minorHAnsi"/>
          <w:i/>
          <w:iCs/>
          <w:lang w:eastAsia="ja-JP"/>
        </w:rPr>
      </w:pPr>
    </w:p>
    <w:p w14:paraId="79E16323" w14:textId="77777777" w:rsidR="00E50C9B" w:rsidRDefault="00E50C9B" w:rsidP="00916CD0">
      <w:pPr>
        <w:tabs>
          <w:tab w:val="left" w:pos="1080"/>
        </w:tabs>
        <w:spacing w:before="60" w:after="0" w:line="240" w:lineRule="auto"/>
        <w:rPr>
          <w:rFonts w:cstheme="minorHAnsi"/>
          <w:i/>
          <w:iCs/>
          <w:lang w:eastAsia="ja-JP"/>
        </w:rPr>
      </w:pPr>
    </w:p>
    <w:p w14:paraId="1812CC93" w14:textId="77777777" w:rsidR="00E50C9B" w:rsidRDefault="00E50C9B" w:rsidP="00916CD0">
      <w:pPr>
        <w:tabs>
          <w:tab w:val="left" w:pos="1080"/>
        </w:tabs>
        <w:spacing w:before="60" w:after="0" w:line="240" w:lineRule="auto"/>
        <w:rPr>
          <w:rFonts w:cstheme="minorHAnsi"/>
          <w:i/>
          <w:iCs/>
          <w:lang w:eastAsia="ja-JP"/>
        </w:rPr>
      </w:pPr>
    </w:p>
    <w:p w14:paraId="1DA03B0E" w14:textId="77777777" w:rsidR="00E50C9B" w:rsidRDefault="00E50C9B" w:rsidP="00916CD0">
      <w:pPr>
        <w:tabs>
          <w:tab w:val="left" w:pos="1080"/>
        </w:tabs>
        <w:spacing w:before="60" w:after="0" w:line="240" w:lineRule="auto"/>
        <w:rPr>
          <w:rFonts w:cstheme="minorHAnsi"/>
          <w:i/>
          <w:iCs/>
          <w:lang w:eastAsia="ja-JP"/>
        </w:rPr>
      </w:pPr>
    </w:p>
    <w:p w14:paraId="35F9AB8B" w14:textId="77777777" w:rsidR="00E50C9B" w:rsidRDefault="00E50C9B" w:rsidP="00916CD0">
      <w:pPr>
        <w:tabs>
          <w:tab w:val="left" w:pos="1080"/>
        </w:tabs>
        <w:spacing w:before="60" w:after="0" w:line="240" w:lineRule="auto"/>
        <w:rPr>
          <w:rFonts w:cstheme="minorHAnsi"/>
          <w:i/>
          <w:iCs/>
          <w:lang w:eastAsia="ja-JP"/>
        </w:rPr>
      </w:pPr>
    </w:p>
    <w:p w14:paraId="4047C437" w14:textId="77777777" w:rsidR="00E50C9B" w:rsidRDefault="00E50C9B" w:rsidP="00916CD0">
      <w:pPr>
        <w:tabs>
          <w:tab w:val="left" w:pos="1080"/>
        </w:tabs>
        <w:spacing w:before="60" w:after="0" w:line="240" w:lineRule="auto"/>
        <w:rPr>
          <w:rFonts w:cstheme="minorHAnsi"/>
          <w:i/>
          <w:iCs/>
          <w:lang w:eastAsia="ja-JP"/>
        </w:rPr>
      </w:pPr>
    </w:p>
    <w:p w14:paraId="42E7ED7D" w14:textId="77777777" w:rsidR="00E50C9B" w:rsidRDefault="00E50C9B" w:rsidP="00916CD0">
      <w:pPr>
        <w:tabs>
          <w:tab w:val="left" w:pos="1080"/>
        </w:tabs>
        <w:spacing w:before="60" w:after="0" w:line="240" w:lineRule="auto"/>
        <w:rPr>
          <w:rFonts w:cstheme="minorHAnsi"/>
          <w:i/>
          <w:iCs/>
          <w:lang w:eastAsia="ja-JP"/>
        </w:rPr>
      </w:pPr>
    </w:p>
    <w:p w14:paraId="394CCF9B" w14:textId="77777777" w:rsidR="00E50C9B" w:rsidRDefault="00E50C9B" w:rsidP="00916CD0">
      <w:pPr>
        <w:tabs>
          <w:tab w:val="left" w:pos="1080"/>
        </w:tabs>
        <w:spacing w:before="60" w:after="0" w:line="240" w:lineRule="auto"/>
        <w:rPr>
          <w:rFonts w:cstheme="minorHAnsi"/>
          <w:i/>
          <w:iCs/>
          <w:lang w:eastAsia="ja-JP"/>
        </w:rPr>
      </w:pPr>
    </w:p>
    <w:p w14:paraId="746438B1" w14:textId="77777777" w:rsidR="00E50C9B" w:rsidRDefault="00E50C9B" w:rsidP="00916CD0">
      <w:pPr>
        <w:tabs>
          <w:tab w:val="left" w:pos="1080"/>
        </w:tabs>
        <w:spacing w:before="60" w:after="0" w:line="240" w:lineRule="auto"/>
        <w:rPr>
          <w:rFonts w:cstheme="minorHAnsi"/>
          <w:i/>
          <w:iCs/>
          <w:lang w:eastAsia="ja-JP"/>
        </w:rPr>
      </w:pPr>
    </w:p>
    <w:p w14:paraId="7B628F78" w14:textId="77777777" w:rsidR="00E50C9B" w:rsidRDefault="00E50C9B" w:rsidP="00916CD0">
      <w:pPr>
        <w:tabs>
          <w:tab w:val="left" w:pos="1080"/>
        </w:tabs>
        <w:spacing w:before="60" w:after="0" w:line="240" w:lineRule="auto"/>
        <w:rPr>
          <w:rFonts w:cstheme="minorHAnsi"/>
          <w:i/>
          <w:iCs/>
          <w:lang w:eastAsia="ja-JP"/>
        </w:rPr>
      </w:pPr>
    </w:p>
    <w:p w14:paraId="6510E981" w14:textId="77777777" w:rsidR="00E50C9B" w:rsidRDefault="00E50C9B" w:rsidP="00916CD0">
      <w:pPr>
        <w:tabs>
          <w:tab w:val="left" w:pos="1080"/>
        </w:tabs>
        <w:spacing w:before="60" w:after="0" w:line="240" w:lineRule="auto"/>
        <w:rPr>
          <w:rFonts w:cstheme="minorHAnsi"/>
          <w:i/>
          <w:iCs/>
          <w:lang w:eastAsia="ja-JP"/>
        </w:rPr>
      </w:pPr>
    </w:p>
    <w:p w14:paraId="6E0BE31D" w14:textId="77777777" w:rsidR="00E50C9B" w:rsidRDefault="00E50C9B" w:rsidP="00916CD0">
      <w:pPr>
        <w:tabs>
          <w:tab w:val="left" w:pos="1080"/>
        </w:tabs>
        <w:spacing w:before="60" w:after="0" w:line="240" w:lineRule="auto"/>
        <w:rPr>
          <w:rFonts w:cstheme="minorHAnsi"/>
          <w:i/>
          <w:iCs/>
          <w:lang w:eastAsia="ja-JP"/>
        </w:rPr>
      </w:pPr>
    </w:p>
    <w:p w14:paraId="0E69B7B9" w14:textId="77777777" w:rsidR="00E50C9B" w:rsidRDefault="00E50C9B" w:rsidP="00916CD0">
      <w:pPr>
        <w:tabs>
          <w:tab w:val="left" w:pos="1080"/>
        </w:tabs>
        <w:spacing w:before="60" w:after="0" w:line="240" w:lineRule="auto"/>
        <w:rPr>
          <w:rFonts w:cstheme="minorHAnsi"/>
          <w:i/>
          <w:iCs/>
          <w:lang w:eastAsia="ja-JP"/>
        </w:rPr>
      </w:pPr>
    </w:p>
    <w:p w14:paraId="60C301AE" w14:textId="77777777" w:rsidR="00E50C9B" w:rsidRDefault="00E50C9B" w:rsidP="00916CD0">
      <w:pPr>
        <w:tabs>
          <w:tab w:val="left" w:pos="1080"/>
        </w:tabs>
        <w:spacing w:before="60" w:after="0" w:line="240" w:lineRule="auto"/>
        <w:rPr>
          <w:rFonts w:cstheme="minorHAnsi"/>
          <w:i/>
          <w:iCs/>
          <w:lang w:eastAsia="ja-JP"/>
        </w:rPr>
      </w:pPr>
    </w:p>
    <w:p w14:paraId="74724A41" w14:textId="77777777" w:rsidR="00E50C9B" w:rsidRDefault="00E50C9B" w:rsidP="00916CD0">
      <w:pPr>
        <w:tabs>
          <w:tab w:val="left" w:pos="1080"/>
        </w:tabs>
        <w:spacing w:before="60" w:after="0" w:line="240" w:lineRule="auto"/>
        <w:rPr>
          <w:rFonts w:cstheme="minorHAnsi"/>
          <w:i/>
          <w:iCs/>
          <w:lang w:eastAsia="ja-JP"/>
        </w:rPr>
      </w:pPr>
    </w:p>
    <w:p w14:paraId="5711844A" w14:textId="77777777" w:rsidR="00E50C9B" w:rsidRDefault="00E50C9B" w:rsidP="00916CD0">
      <w:pPr>
        <w:tabs>
          <w:tab w:val="left" w:pos="1080"/>
        </w:tabs>
        <w:spacing w:before="60" w:after="0" w:line="240" w:lineRule="auto"/>
        <w:rPr>
          <w:rFonts w:cstheme="minorHAnsi"/>
          <w:i/>
          <w:iCs/>
          <w:lang w:eastAsia="ja-JP"/>
        </w:rPr>
      </w:pPr>
    </w:p>
    <w:p w14:paraId="49786A51" w14:textId="77777777" w:rsidR="00E50C9B" w:rsidRDefault="00E50C9B" w:rsidP="00916CD0">
      <w:pPr>
        <w:tabs>
          <w:tab w:val="left" w:pos="1080"/>
        </w:tabs>
        <w:spacing w:before="60" w:after="0" w:line="240" w:lineRule="auto"/>
        <w:rPr>
          <w:rFonts w:cstheme="minorHAnsi"/>
          <w:i/>
          <w:iCs/>
          <w:lang w:eastAsia="ja-JP"/>
        </w:rPr>
      </w:pPr>
    </w:p>
    <w:p w14:paraId="53FF0B74" w14:textId="77777777" w:rsidR="00E50C9B" w:rsidRDefault="00E50C9B" w:rsidP="00916CD0">
      <w:pPr>
        <w:tabs>
          <w:tab w:val="left" w:pos="1080"/>
        </w:tabs>
        <w:spacing w:before="60" w:after="0" w:line="240" w:lineRule="auto"/>
        <w:rPr>
          <w:rFonts w:cstheme="minorHAnsi"/>
          <w:i/>
          <w:iCs/>
          <w:lang w:eastAsia="ja-JP"/>
        </w:rPr>
      </w:pPr>
    </w:p>
    <w:p w14:paraId="65851E65" w14:textId="77777777" w:rsidR="00E50C9B" w:rsidRDefault="00E50C9B" w:rsidP="00916CD0">
      <w:pPr>
        <w:tabs>
          <w:tab w:val="left" w:pos="1080"/>
        </w:tabs>
        <w:spacing w:before="60" w:after="0" w:line="240" w:lineRule="auto"/>
        <w:rPr>
          <w:rFonts w:cstheme="minorHAnsi"/>
          <w:i/>
          <w:iCs/>
          <w:lang w:eastAsia="ja-JP"/>
        </w:rPr>
      </w:pPr>
    </w:p>
    <w:p w14:paraId="7FD34E39" w14:textId="77777777" w:rsidR="00E50C9B" w:rsidRDefault="00E50C9B" w:rsidP="00916CD0">
      <w:pPr>
        <w:tabs>
          <w:tab w:val="left" w:pos="1080"/>
        </w:tabs>
        <w:spacing w:before="60" w:after="0" w:line="240" w:lineRule="auto"/>
        <w:rPr>
          <w:rFonts w:cstheme="minorHAnsi"/>
          <w:i/>
          <w:iCs/>
          <w:lang w:eastAsia="ja-JP"/>
        </w:rPr>
      </w:pPr>
    </w:p>
    <w:p w14:paraId="744892EC" w14:textId="77777777" w:rsidR="00B33E4A" w:rsidRDefault="00B33E4A" w:rsidP="00916CD0">
      <w:pPr>
        <w:tabs>
          <w:tab w:val="left" w:pos="1080"/>
        </w:tabs>
        <w:spacing w:before="60" w:after="0" w:line="240" w:lineRule="auto"/>
        <w:rPr>
          <w:rFonts w:cstheme="minorHAnsi"/>
          <w:i/>
          <w:iCs/>
          <w:lang w:eastAsia="ja-JP"/>
        </w:rPr>
      </w:pPr>
    </w:p>
    <w:p w14:paraId="77D9996B" w14:textId="77777777" w:rsidR="00B33E4A" w:rsidRDefault="00B33E4A" w:rsidP="00916CD0">
      <w:pPr>
        <w:tabs>
          <w:tab w:val="left" w:pos="1080"/>
        </w:tabs>
        <w:spacing w:before="60" w:after="0" w:line="240" w:lineRule="auto"/>
        <w:rPr>
          <w:rFonts w:cstheme="minorHAnsi"/>
          <w:i/>
          <w:iCs/>
          <w:lang w:eastAsia="ja-JP"/>
        </w:rPr>
      </w:pPr>
    </w:p>
    <w:p w14:paraId="287E4AB8" w14:textId="77777777" w:rsidR="00B33E4A" w:rsidRDefault="00B33E4A" w:rsidP="00916CD0">
      <w:pPr>
        <w:tabs>
          <w:tab w:val="left" w:pos="1080"/>
        </w:tabs>
        <w:spacing w:before="60" w:after="0" w:line="240" w:lineRule="auto"/>
        <w:rPr>
          <w:rFonts w:cstheme="minorHAnsi"/>
          <w:i/>
          <w:iCs/>
          <w:lang w:eastAsia="ja-JP"/>
        </w:rPr>
      </w:pPr>
    </w:p>
    <w:p w14:paraId="15FCECD4" w14:textId="71DF8F03" w:rsidR="00125323" w:rsidRPr="002E2797" w:rsidRDefault="00AE5BD1" w:rsidP="00916CD0">
      <w:pPr>
        <w:tabs>
          <w:tab w:val="left" w:pos="1080"/>
        </w:tabs>
        <w:spacing w:before="60" w:after="0" w:line="240" w:lineRule="auto"/>
        <w:rPr>
          <w:i/>
          <w:iCs/>
        </w:rPr>
      </w:pPr>
      <w:r w:rsidRPr="002E2797">
        <w:rPr>
          <w:rFonts w:cstheme="minorHAnsi"/>
          <w:i/>
          <w:iCs/>
          <w:lang w:eastAsia="ja-JP"/>
        </w:rPr>
        <w:t xml:space="preserve">* </w:t>
      </w:r>
      <w:r w:rsidRPr="002E2797">
        <w:rPr>
          <w:rFonts w:cstheme="minorHAnsi"/>
          <w:i/>
          <w:iCs/>
        </w:rPr>
        <w:t>Status of implementation is tracked electronically in the ERC database.</w:t>
      </w:r>
    </w:p>
    <w:sectPr w:rsidR="00125323" w:rsidRPr="002E2797" w:rsidSect="00916CD0">
      <w:footerReference w:type="default" r:id="rId8"/>
      <w:headerReference w:type="first" r:id="rId9"/>
      <w:footerReference w:type="first" r:id="rId10"/>
      <w:pgSz w:w="11906" w:h="16838" w:code="9"/>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A805" w14:textId="77777777" w:rsidR="006D6FBC" w:rsidRDefault="006D6FBC" w:rsidP="00AE5BD1">
      <w:pPr>
        <w:spacing w:after="0" w:line="240" w:lineRule="auto"/>
      </w:pPr>
      <w:r>
        <w:separator/>
      </w:r>
    </w:p>
  </w:endnote>
  <w:endnote w:type="continuationSeparator" w:id="0">
    <w:p w14:paraId="61E3171E" w14:textId="77777777" w:rsidR="006D6FBC" w:rsidRDefault="006D6FBC" w:rsidP="00AE5BD1">
      <w:pPr>
        <w:spacing w:after="0" w:line="240" w:lineRule="auto"/>
      </w:pPr>
      <w:r>
        <w:continuationSeparator/>
      </w:r>
    </w:p>
  </w:endnote>
  <w:endnote w:type="continuationNotice" w:id="1">
    <w:p w14:paraId="2FCB8C8D" w14:textId="77777777" w:rsidR="001F1810" w:rsidRDefault="001F18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933696"/>
      <w:docPartObj>
        <w:docPartGallery w:val="Page Numbers (Bottom of Page)"/>
        <w:docPartUnique/>
      </w:docPartObj>
    </w:sdtPr>
    <w:sdtEndPr>
      <w:rPr>
        <w:noProof/>
      </w:rPr>
    </w:sdtEndPr>
    <w:sdtContent>
      <w:p w14:paraId="487181BA" w14:textId="3EA5501E" w:rsidR="00916CD0" w:rsidRDefault="00916C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04122B" w14:textId="77777777" w:rsidR="006D3005" w:rsidRDefault="006D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597182"/>
      <w:docPartObj>
        <w:docPartGallery w:val="Page Numbers (Bottom of Page)"/>
        <w:docPartUnique/>
      </w:docPartObj>
    </w:sdtPr>
    <w:sdtEndPr>
      <w:rPr>
        <w:noProof/>
      </w:rPr>
    </w:sdtEndPr>
    <w:sdtContent>
      <w:p w14:paraId="6F468716" w14:textId="5E42950B" w:rsidR="00AE5BD1" w:rsidRDefault="00AE5BD1" w:rsidP="00916CD0">
        <w:pPr>
          <w:pStyle w:val="Footer"/>
          <w:jc w:val="right"/>
        </w:pPr>
        <w:r>
          <w:t>1</w:t>
        </w:r>
      </w:p>
    </w:sdtContent>
  </w:sdt>
  <w:p w14:paraId="3892B56A" w14:textId="77777777" w:rsidR="00AE5BD1" w:rsidRDefault="00AE5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5DEA" w14:textId="77777777" w:rsidR="006D6FBC" w:rsidRDefault="006D6FBC" w:rsidP="00AE5BD1">
      <w:pPr>
        <w:spacing w:after="0" w:line="240" w:lineRule="auto"/>
      </w:pPr>
      <w:r>
        <w:separator/>
      </w:r>
    </w:p>
  </w:footnote>
  <w:footnote w:type="continuationSeparator" w:id="0">
    <w:p w14:paraId="32A2712A" w14:textId="77777777" w:rsidR="006D6FBC" w:rsidRDefault="006D6FBC" w:rsidP="00AE5BD1">
      <w:pPr>
        <w:spacing w:after="0" w:line="240" w:lineRule="auto"/>
      </w:pPr>
      <w:r>
        <w:continuationSeparator/>
      </w:r>
    </w:p>
  </w:footnote>
  <w:footnote w:type="continuationNotice" w:id="1">
    <w:p w14:paraId="73052210" w14:textId="77777777" w:rsidR="001F1810" w:rsidRDefault="001F18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BA7D" w14:textId="14DAD885" w:rsidR="006D3005" w:rsidRDefault="006D3005" w:rsidP="006D3005">
    <w:pPr>
      <w:pStyle w:val="Header"/>
    </w:pPr>
    <w:r>
      <w:t>UNDP Evaluation Guidelines</w:t>
    </w:r>
  </w:p>
  <w:p w14:paraId="5CF6065B" w14:textId="77777777" w:rsidR="006D3005" w:rsidRDefault="006D3005" w:rsidP="006D3005">
    <w:pPr>
      <w:pStyle w:val="Header"/>
    </w:pPr>
    <w:r>
      <w:t>June 2021 update</w:t>
    </w:r>
  </w:p>
  <w:p w14:paraId="6E7BEAF6" w14:textId="77777777" w:rsidR="006D3005" w:rsidRDefault="006D3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029"/>
    <w:multiLevelType w:val="hybridMultilevel"/>
    <w:tmpl w:val="870EA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A01A77"/>
    <w:multiLevelType w:val="multilevel"/>
    <w:tmpl w:val="35AA41EE"/>
    <w:lvl w:ilvl="0">
      <w:start w:val="4"/>
      <w:numFmt w:val="decimal"/>
      <w:pStyle w:val="Heading1"/>
      <w:lvlText w:val="%1"/>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bCs w:val="0"/>
        <w:i w:val="0"/>
        <w:iCs w:val="0"/>
        <w:caps w:val="0"/>
        <w:smallCaps w:val="0"/>
        <w:strike w:val="0"/>
        <w:dstrike w:val="0"/>
        <w:noProof w:val="0"/>
        <w:vanish w:val="0"/>
        <w:color w:val="18526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00" w:hanging="720"/>
      </w:pPr>
      <w:rPr>
        <w:rFonts w:hint="default"/>
        <w:b w:val="0"/>
        <w:bCs w:val="0"/>
        <w:i w:val="0"/>
        <w:iCs w:val="0"/>
        <w:caps w:val="0"/>
        <w:smallCaps w:val="0"/>
        <w:strike w:val="0"/>
        <w:dstrike w:val="0"/>
        <w:noProof w:val="0"/>
        <w:vanish w:val="0"/>
        <w:color w:val="1896A3"/>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F9E39D4"/>
    <w:multiLevelType w:val="hybridMultilevel"/>
    <w:tmpl w:val="7034FAFE"/>
    <w:lvl w:ilvl="0" w:tplc="DEFAA70E">
      <w:start w:val="3"/>
      <w:numFmt w:val="bullet"/>
      <w:lvlText w:val="-"/>
      <w:lvlJc w:val="left"/>
      <w:pPr>
        <w:ind w:left="360" w:hanging="360"/>
      </w:pPr>
      <w:rPr>
        <w:rFonts w:ascii="Calibri" w:eastAsiaTheme="minorHAnsi" w:hAnsi="Calibri" w:cs="Calibri"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FC2EBA"/>
    <w:multiLevelType w:val="hybridMultilevel"/>
    <w:tmpl w:val="0E2CEA3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BE243D6"/>
    <w:multiLevelType w:val="hybridMultilevel"/>
    <w:tmpl w:val="7332A2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9E6DAC"/>
    <w:multiLevelType w:val="hybridMultilevel"/>
    <w:tmpl w:val="23C4A104"/>
    <w:lvl w:ilvl="0" w:tplc="92D6C3F2">
      <w:start w:val="3"/>
      <w:numFmt w:val="bullet"/>
      <w:lvlText w:val="-"/>
      <w:lvlJc w:val="left"/>
      <w:pPr>
        <w:ind w:left="360" w:hanging="360"/>
      </w:pPr>
      <w:rPr>
        <w:rFonts w:ascii="Calibri" w:eastAsiaTheme="minorHAnsi" w:hAnsi="Calibri" w:cs="Calibri" w:hint="default"/>
        <w:b w:val="0"/>
        <w:color w:val="44546A"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6567F1"/>
    <w:multiLevelType w:val="hybridMultilevel"/>
    <w:tmpl w:val="A4FCF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900A0B"/>
    <w:multiLevelType w:val="hybridMultilevel"/>
    <w:tmpl w:val="BFEAF37C"/>
    <w:lvl w:ilvl="0" w:tplc="92D6C3F2">
      <w:start w:val="3"/>
      <w:numFmt w:val="bullet"/>
      <w:lvlText w:val="-"/>
      <w:lvlJc w:val="left"/>
      <w:pPr>
        <w:ind w:left="360" w:hanging="360"/>
      </w:pPr>
      <w:rPr>
        <w:rFonts w:ascii="Calibri" w:eastAsiaTheme="minorHAnsi" w:hAnsi="Calibri" w:cs="Calibri" w:hint="default"/>
        <w:b w:val="0"/>
        <w:color w:val="44546A"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214D84"/>
    <w:multiLevelType w:val="hybridMultilevel"/>
    <w:tmpl w:val="E23A85E2"/>
    <w:lvl w:ilvl="0" w:tplc="D1BCA5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9715CF"/>
    <w:multiLevelType w:val="hybridMultilevel"/>
    <w:tmpl w:val="9B908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4145CF"/>
    <w:multiLevelType w:val="hybridMultilevel"/>
    <w:tmpl w:val="32A40A2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9692597"/>
    <w:multiLevelType w:val="hybridMultilevel"/>
    <w:tmpl w:val="A02E8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7D06E9"/>
    <w:multiLevelType w:val="multilevel"/>
    <w:tmpl w:val="6C36C8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4559993">
    <w:abstractNumId w:val="1"/>
  </w:num>
  <w:num w:numId="2" w16cid:durableId="924071867">
    <w:abstractNumId w:val="12"/>
  </w:num>
  <w:num w:numId="3" w16cid:durableId="628821493">
    <w:abstractNumId w:val="7"/>
  </w:num>
  <w:num w:numId="4" w16cid:durableId="594361472">
    <w:abstractNumId w:val="2"/>
  </w:num>
  <w:num w:numId="5" w16cid:durableId="536936453">
    <w:abstractNumId w:val="6"/>
  </w:num>
  <w:num w:numId="6" w16cid:durableId="1740178292">
    <w:abstractNumId w:val="9"/>
  </w:num>
  <w:num w:numId="7" w16cid:durableId="1899319900">
    <w:abstractNumId w:val="11"/>
  </w:num>
  <w:num w:numId="8" w16cid:durableId="1559435753">
    <w:abstractNumId w:val="0"/>
  </w:num>
  <w:num w:numId="9" w16cid:durableId="1662154581">
    <w:abstractNumId w:val="3"/>
  </w:num>
  <w:num w:numId="10" w16cid:durableId="1858688784">
    <w:abstractNumId w:val="4"/>
  </w:num>
  <w:num w:numId="11" w16cid:durableId="311058056">
    <w:abstractNumId w:val="10"/>
  </w:num>
  <w:num w:numId="12" w16cid:durableId="1812361491">
    <w:abstractNumId w:val="8"/>
  </w:num>
  <w:num w:numId="13" w16cid:durableId="89544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D1"/>
    <w:rsid w:val="00001D85"/>
    <w:rsid w:val="00001F87"/>
    <w:rsid w:val="00011E0C"/>
    <w:rsid w:val="0002463A"/>
    <w:rsid w:val="000277F2"/>
    <w:rsid w:val="0003100A"/>
    <w:rsid w:val="00031AC3"/>
    <w:rsid w:val="00033C8A"/>
    <w:rsid w:val="00042556"/>
    <w:rsid w:val="00043929"/>
    <w:rsid w:val="00045415"/>
    <w:rsid w:val="0005367B"/>
    <w:rsid w:val="00063549"/>
    <w:rsid w:val="000715F3"/>
    <w:rsid w:val="000731D1"/>
    <w:rsid w:val="00077C67"/>
    <w:rsid w:val="0008332B"/>
    <w:rsid w:val="00083ADC"/>
    <w:rsid w:val="00090BC4"/>
    <w:rsid w:val="00093F0C"/>
    <w:rsid w:val="000A04EA"/>
    <w:rsid w:val="000A597C"/>
    <w:rsid w:val="000B16DD"/>
    <w:rsid w:val="000B77F1"/>
    <w:rsid w:val="000C5C21"/>
    <w:rsid w:val="000D3396"/>
    <w:rsid w:val="000D4B9D"/>
    <w:rsid w:val="000E30E6"/>
    <w:rsid w:val="000E5FE2"/>
    <w:rsid w:val="000F1080"/>
    <w:rsid w:val="000F4661"/>
    <w:rsid w:val="001102CC"/>
    <w:rsid w:val="001169AC"/>
    <w:rsid w:val="0012475C"/>
    <w:rsid w:val="00125323"/>
    <w:rsid w:val="00130C0E"/>
    <w:rsid w:val="00131E42"/>
    <w:rsid w:val="001352D9"/>
    <w:rsid w:val="00137F37"/>
    <w:rsid w:val="00137F78"/>
    <w:rsid w:val="00153F09"/>
    <w:rsid w:val="001661C0"/>
    <w:rsid w:val="00180739"/>
    <w:rsid w:val="001828B0"/>
    <w:rsid w:val="00185119"/>
    <w:rsid w:val="001855D5"/>
    <w:rsid w:val="00190258"/>
    <w:rsid w:val="00191D37"/>
    <w:rsid w:val="00196190"/>
    <w:rsid w:val="00196BEA"/>
    <w:rsid w:val="001A79D5"/>
    <w:rsid w:val="001B628F"/>
    <w:rsid w:val="001B62D9"/>
    <w:rsid w:val="001C0543"/>
    <w:rsid w:val="001C0CAC"/>
    <w:rsid w:val="001C2B1D"/>
    <w:rsid w:val="001C4294"/>
    <w:rsid w:val="001D4EB4"/>
    <w:rsid w:val="001E055B"/>
    <w:rsid w:val="001F0571"/>
    <w:rsid w:val="001F1810"/>
    <w:rsid w:val="001F661A"/>
    <w:rsid w:val="00204D8C"/>
    <w:rsid w:val="00206C7E"/>
    <w:rsid w:val="00210867"/>
    <w:rsid w:val="00210EA8"/>
    <w:rsid w:val="0021566A"/>
    <w:rsid w:val="002238AA"/>
    <w:rsid w:val="002239C1"/>
    <w:rsid w:val="00225C9A"/>
    <w:rsid w:val="0022689F"/>
    <w:rsid w:val="00227E28"/>
    <w:rsid w:val="002443CB"/>
    <w:rsid w:val="002541D1"/>
    <w:rsid w:val="002552AE"/>
    <w:rsid w:val="0026412E"/>
    <w:rsid w:val="002650C8"/>
    <w:rsid w:val="00273BFF"/>
    <w:rsid w:val="00283F93"/>
    <w:rsid w:val="0028607F"/>
    <w:rsid w:val="00292AB8"/>
    <w:rsid w:val="002A4669"/>
    <w:rsid w:val="002A4AB7"/>
    <w:rsid w:val="002B568D"/>
    <w:rsid w:val="002C3ED4"/>
    <w:rsid w:val="002C401D"/>
    <w:rsid w:val="002D2C0E"/>
    <w:rsid w:val="002D2E77"/>
    <w:rsid w:val="002D3B44"/>
    <w:rsid w:val="002D5F14"/>
    <w:rsid w:val="002D6F37"/>
    <w:rsid w:val="002E0785"/>
    <w:rsid w:val="002E182F"/>
    <w:rsid w:val="002E2797"/>
    <w:rsid w:val="002E7B49"/>
    <w:rsid w:val="002F3D55"/>
    <w:rsid w:val="00302023"/>
    <w:rsid w:val="00302D72"/>
    <w:rsid w:val="00305692"/>
    <w:rsid w:val="003136D8"/>
    <w:rsid w:val="003149BA"/>
    <w:rsid w:val="00317068"/>
    <w:rsid w:val="003237F0"/>
    <w:rsid w:val="00333FDD"/>
    <w:rsid w:val="00342138"/>
    <w:rsid w:val="00345873"/>
    <w:rsid w:val="00362D68"/>
    <w:rsid w:val="00372E04"/>
    <w:rsid w:val="00374CE1"/>
    <w:rsid w:val="00374F5C"/>
    <w:rsid w:val="00375C4C"/>
    <w:rsid w:val="0038164C"/>
    <w:rsid w:val="003B3E73"/>
    <w:rsid w:val="003B5EBF"/>
    <w:rsid w:val="003C2996"/>
    <w:rsid w:val="003D6C96"/>
    <w:rsid w:val="003E1EC6"/>
    <w:rsid w:val="003F4214"/>
    <w:rsid w:val="003F5EBF"/>
    <w:rsid w:val="003F6AA8"/>
    <w:rsid w:val="003F7FD5"/>
    <w:rsid w:val="00402494"/>
    <w:rsid w:val="0040339E"/>
    <w:rsid w:val="00407DE4"/>
    <w:rsid w:val="00410B5C"/>
    <w:rsid w:val="004116A9"/>
    <w:rsid w:val="00425B61"/>
    <w:rsid w:val="004307F4"/>
    <w:rsid w:val="0044538D"/>
    <w:rsid w:val="004464CC"/>
    <w:rsid w:val="00446876"/>
    <w:rsid w:val="00452EA2"/>
    <w:rsid w:val="00462F3A"/>
    <w:rsid w:val="004638A5"/>
    <w:rsid w:val="00480B47"/>
    <w:rsid w:val="00492C52"/>
    <w:rsid w:val="00495295"/>
    <w:rsid w:val="00495711"/>
    <w:rsid w:val="00495F89"/>
    <w:rsid w:val="0049659B"/>
    <w:rsid w:val="00497926"/>
    <w:rsid w:val="004A06F3"/>
    <w:rsid w:val="004D3E7C"/>
    <w:rsid w:val="004D4A89"/>
    <w:rsid w:val="004D7101"/>
    <w:rsid w:val="004E231C"/>
    <w:rsid w:val="004E6D0B"/>
    <w:rsid w:val="00500B8D"/>
    <w:rsid w:val="0050521A"/>
    <w:rsid w:val="00506C18"/>
    <w:rsid w:val="00517964"/>
    <w:rsid w:val="00521D55"/>
    <w:rsid w:val="0053575F"/>
    <w:rsid w:val="00544A83"/>
    <w:rsid w:val="0056266A"/>
    <w:rsid w:val="005647DA"/>
    <w:rsid w:val="00571538"/>
    <w:rsid w:val="00592491"/>
    <w:rsid w:val="005927A8"/>
    <w:rsid w:val="005954D7"/>
    <w:rsid w:val="0059623A"/>
    <w:rsid w:val="00597B5D"/>
    <w:rsid w:val="005A01F0"/>
    <w:rsid w:val="005B0715"/>
    <w:rsid w:val="005C6D6A"/>
    <w:rsid w:val="005D0FA7"/>
    <w:rsid w:val="005E22E4"/>
    <w:rsid w:val="005E7733"/>
    <w:rsid w:val="005E7C4F"/>
    <w:rsid w:val="005F1870"/>
    <w:rsid w:val="00612B03"/>
    <w:rsid w:val="0061310F"/>
    <w:rsid w:val="00623C3B"/>
    <w:rsid w:val="00643DD3"/>
    <w:rsid w:val="006458A6"/>
    <w:rsid w:val="00646AB0"/>
    <w:rsid w:val="00647428"/>
    <w:rsid w:val="00665A01"/>
    <w:rsid w:val="006666C0"/>
    <w:rsid w:val="00666B31"/>
    <w:rsid w:val="0067345A"/>
    <w:rsid w:val="006828C3"/>
    <w:rsid w:val="00683762"/>
    <w:rsid w:val="00684C5A"/>
    <w:rsid w:val="0068622E"/>
    <w:rsid w:val="00693BFB"/>
    <w:rsid w:val="006A05EC"/>
    <w:rsid w:val="006A2642"/>
    <w:rsid w:val="006A30E1"/>
    <w:rsid w:val="006A4D5B"/>
    <w:rsid w:val="006A5675"/>
    <w:rsid w:val="006A57D2"/>
    <w:rsid w:val="006B379B"/>
    <w:rsid w:val="006B6472"/>
    <w:rsid w:val="006B6E39"/>
    <w:rsid w:val="006C688B"/>
    <w:rsid w:val="006C6D1E"/>
    <w:rsid w:val="006D3005"/>
    <w:rsid w:val="006D4596"/>
    <w:rsid w:val="006D6FBC"/>
    <w:rsid w:val="006F30C5"/>
    <w:rsid w:val="007140F8"/>
    <w:rsid w:val="00714FC2"/>
    <w:rsid w:val="00735888"/>
    <w:rsid w:val="00744AA3"/>
    <w:rsid w:val="00747797"/>
    <w:rsid w:val="00747DDE"/>
    <w:rsid w:val="00750769"/>
    <w:rsid w:val="0075092D"/>
    <w:rsid w:val="007558D5"/>
    <w:rsid w:val="00761C87"/>
    <w:rsid w:val="00766A45"/>
    <w:rsid w:val="00771B4C"/>
    <w:rsid w:val="00780057"/>
    <w:rsid w:val="007830FD"/>
    <w:rsid w:val="007842C1"/>
    <w:rsid w:val="00784DB3"/>
    <w:rsid w:val="007945FE"/>
    <w:rsid w:val="007A1E6B"/>
    <w:rsid w:val="007A1FCB"/>
    <w:rsid w:val="007B0BF5"/>
    <w:rsid w:val="007B4265"/>
    <w:rsid w:val="007C2B2C"/>
    <w:rsid w:val="007C41CC"/>
    <w:rsid w:val="007C7BA8"/>
    <w:rsid w:val="007D510C"/>
    <w:rsid w:val="007D73C7"/>
    <w:rsid w:val="007E259B"/>
    <w:rsid w:val="007F0E67"/>
    <w:rsid w:val="00813107"/>
    <w:rsid w:val="00813496"/>
    <w:rsid w:val="00814012"/>
    <w:rsid w:val="00815A8E"/>
    <w:rsid w:val="00822315"/>
    <w:rsid w:val="008273A0"/>
    <w:rsid w:val="00830C24"/>
    <w:rsid w:val="00833037"/>
    <w:rsid w:val="0083559B"/>
    <w:rsid w:val="00835E02"/>
    <w:rsid w:val="008475E2"/>
    <w:rsid w:val="0085C0CD"/>
    <w:rsid w:val="00861E6F"/>
    <w:rsid w:val="00870325"/>
    <w:rsid w:val="00870403"/>
    <w:rsid w:val="008814AA"/>
    <w:rsid w:val="00891685"/>
    <w:rsid w:val="008A61B6"/>
    <w:rsid w:val="008B08A2"/>
    <w:rsid w:val="008B4D7F"/>
    <w:rsid w:val="008C7B14"/>
    <w:rsid w:val="008D0422"/>
    <w:rsid w:val="008D6860"/>
    <w:rsid w:val="008E39AA"/>
    <w:rsid w:val="008E49D7"/>
    <w:rsid w:val="008F53EE"/>
    <w:rsid w:val="009056DA"/>
    <w:rsid w:val="00916CD0"/>
    <w:rsid w:val="00920D22"/>
    <w:rsid w:val="00922B22"/>
    <w:rsid w:val="00927DD0"/>
    <w:rsid w:val="00931D6A"/>
    <w:rsid w:val="009326E6"/>
    <w:rsid w:val="009406E2"/>
    <w:rsid w:val="00941EB3"/>
    <w:rsid w:val="009455F7"/>
    <w:rsid w:val="009526DE"/>
    <w:rsid w:val="00954133"/>
    <w:rsid w:val="00960F74"/>
    <w:rsid w:val="009659B3"/>
    <w:rsid w:val="00975A59"/>
    <w:rsid w:val="00980D47"/>
    <w:rsid w:val="00987764"/>
    <w:rsid w:val="00992E5B"/>
    <w:rsid w:val="0099414C"/>
    <w:rsid w:val="009A09E0"/>
    <w:rsid w:val="009A4F71"/>
    <w:rsid w:val="009B06E0"/>
    <w:rsid w:val="009B395B"/>
    <w:rsid w:val="009C00B1"/>
    <w:rsid w:val="009D0C22"/>
    <w:rsid w:val="009D0D20"/>
    <w:rsid w:val="009D1829"/>
    <w:rsid w:val="009D2E87"/>
    <w:rsid w:val="009E1BC7"/>
    <w:rsid w:val="009E2BE7"/>
    <w:rsid w:val="009F1C1F"/>
    <w:rsid w:val="009F32B7"/>
    <w:rsid w:val="00A016AC"/>
    <w:rsid w:val="00A0750B"/>
    <w:rsid w:val="00A10E24"/>
    <w:rsid w:val="00A145D0"/>
    <w:rsid w:val="00A17763"/>
    <w:rsid w:val="00A20FBB"/>
    <w:rsid w:val="00A440F5"/>
    <w:rsid w:val="00A44CDB"/>
    <w:rsid w:val="00A549B0"/>
    <w:rsid w:val="00A57A7F"/>
    <w:rsid w:val="00A74393"/>
    <w:rsid w:val="00A74A0E"/>
    <w:rsid w:val="00A9680D"/>
    <w:rsid w:val="00AA0796"/>
    <w:rsid w:val="00AA5ADC"/>
    <w:rsid w:val="00AA63F6"/>
    <w:rsid w:val="00AB7C4C"/>
    <w:rsid w:val="00AC2449"/>
    <w:rsid w:val="00AC64F1"/>
    <w:rsid w:val="00AD7668"/>
    <w:rsid w:val="00AE2C0C"/>
    <w:rsid w:val="00AE5BD1"/>
    <w:rsid w:val="00AF0CBE"/>
    <w:rsid w:val="00AF4983"/>
    <w:rsid w:val="00B00D79"/>
    <w:rsid w:val="00B0449C"/>
    <w:rsid w:val="00B168FF"/>
    <w:rsid w:val="00B24886"/>
    <w:rsid w:val="00B25E86"/>
    <w:rsid w:val="00B33E4A"/>
    <w:rsid w:val="00B345B8"/>
    <w:rsid w:val="00B363F0"/>
    <w:rsid w:val="00B40393"/>
    <w:rsid w:val="00B472C8"/>
    <w:rsid w:val="00B54FB2"/>
    <w:rsid w:val="00B65514"/>
    <w:rsid w:val="00B67A82"/>
    <w:rsid w:val="00B726BD"/>
    <w:rsid w:val="00B74359"/>
    <w:rsid w:val="00B778C3"/>
    <w:rsid w:val="00BA6AF3"/>
    <w:rsid w:val="00BB1441"/>
    <w:rsid w:val="00BB5FFE"/>
    <w:rsid w:val="00BC09C8"/>
    <w:rsid w:val="00BC5F8D"/>
    <w:rsid w:val="00BC6296"/>
    <w:rsid w:val="00BD596D"/>
    <w:rsid w:val="00BD7214"/>
    <w:rsid w:val="00BE192E"/>
    <w:rsid w:val="00BF056E"/>
    <w:rsid w:val="00BF1ADE"/>
    <w:rsid w:val="00C03932"/>
    <w:rsid w:val="00C1729A"/>
    <w:rsid w:val="00C216AE"/>
    <w:rsid w:val="00C25A8B"/>
    <w:rsid w:val="00C30F75"/>
    <w:rsid w:val="00C325C3"/>
    <w:rsid w:val="00C3293F"/>
    <w:rsid w:val="00C4383A"/>
    <w:rsid w:val="00C56D16"/>
    <w:rsid w:val="00C71547"/>
    <w:rsid w:val="00C71610"/>
    <w:rsid w:val="00C7175F"/>
    <w:rsid w:val="00C770B4"/>
    <w:rsid w:val="00C860D6"/>
    <w:rsid w:val="00CA0DCA"/>
    <w:rsid w:val="00CA7CDF"/>
    <w:rsid w:val="00CB08B9"/>
    <w:rsid w:val="00CB370C"/>
    <w:rsid w:val="00CC240B"/>
    <w:rsid w:val="00CD1629"/>
    <w:rsid w:val="00CF0520"/>
    <w:rsid w:val="00CF3C0B"/>
    <w:rsid w:val="00D049F0"/>
    <w:rsid w:val="00D2142C"/>
    <w:rsid w:val="00D21C7B"/>
    <w:rsid w:val="00D37600"/>
    <w:rsid w:val="00D419BF"/>
    <w:rsid w:val="00D43BCC"/>
    <w:rsid w:val="00D46DBA"/>
    <w:rsid w:val="00D54FB0"/>
    <w:rsid w:val="00D55DA3"/>
    <w:rsid w:val="00D60CCD"/>
    <w:rsid w:val="00D754DD"/>
    <w:rsid w:val="00D903B7"/>
    <w:rsid w:val="00DA0A6D"/>
    <w:rsid w:val="00DA3D30"/>
    <w:rsid w:val="00DB099F"/>
    <w:rsid w:val="00DB6CFD"/>
    <w:rsid w:val="00DD14C2"/>
    <w:rsid w:val="00DD59CB"/>
    <w:rsid w:val="00DF4706"/>
    <w:rsid w:val="00DF5C3B"/>
    <w:rsid w:val="00E1217C"/>
    <w:rsid w:val="00E20607"/>
    <w:rsid w:val="00E222EA"/>
    <w:rsid w:val="00E30E31"/>
    <w:rsid w:val="00E3573D"/>
    <w:rsid w:val="00E4300E"/>
    <w:rsid w:val="00E50C9B"/>
    <w:rsid w:val="00E5551A"/>
    <w:rsid w:val="00E6061F"/>
    <w:rsid w:val="00E64AD4"/>
    <w:rsid w:val="00E7133D"/>
    <w:rsid w:val="00E77280"/>
    <w:rsid w:val="00E92182"/>
    <w:rsid w:val="00EA0C45"/>
    <w:rsid w:val="00EA268E"/>
    <w:rsid w:val="00EB5079"/>
    <w:rsid w:val="00EB725A"/>
    <w:rsid w:val="00EC3289"/>
    <w:rsid w:val="00EC5D61"/>
    <w:rsid w:val="00EC7AF2"/>
    <w:rsid w:val="00ED5C56"/>
    <w:rsid w:val="00EE13AD"/>
    <w:rsid w:val="00EF201D"/>
    <w:rsid w:val="00EF359B"/>
    <w:rsid w:val="00F17026"/>
    <w:rsid w:val="00F265A6"/>
    <w:rsid w:val="00F327F3"/>
    <w:rsid w:val="00F330EC"/>
    <w:rsid w:val="00F36EBF"/>
    <w:rsid w:val="00F377A9"/>
    <w:rsid w:val="00F45FBE"/>
    <w:rsid w:val="00F46026"/>
    <w:rsid w:val="00F52B55"/>
    <w:rsid w:val="00F54BD3"/>
    <w:rsid w:val="00F60F22"/>
    <w:rsid w:val="00F64C5B"/>
    <w:rsid w:val="00F83C75"/>
    <w:rsid w:val="00F869EF"/>
    <w:rsid w:val="00F87D3A"/>
    <w:rsid w:val="00F92655"/>
    <w:rsid w:val="00F9460B"/>
    <w:rsid w:val="00FA3020"/>
    <w:rsid w:val="00FA5B97"/>
    <w:rsid w:val="00FC5ACA"/>
    <w:rsid w:val="00FD344A"/>
    <w:rsid w:val="00FE5350"/>
    <w:rsid w:val="00FE5E54"/>
    <w:rsid w:val="00FE6289"/>
    <w:rsid w:val="00FF33A3"/>
    <w:rsid w:val="013F6AF7"/>
    <w:rsid w:val="02703BA5"/>
    <w:rsid w:val="030E5EFD"/>
    <w:rsid w:val="055C2290"/>
    <w:rsid w:val="0A97708A"/>
    <w:rsid w:val="0AE02FE5"/>
    <w:rsid w:val="0C6AB1AF"/>
    <w:rsid w:val="0DF00C4A"/>
    <w:rsid w:val="0F4BF7D4"/>
    <w:rsid w:val="102FE0B6"/>
    <w:rsid w:val="1181DCEC"/>
    <w:rsid w:val="12D14813"/>
    <w:rsid w:val="14C840AE"/>
    <w:rsid w:val="16E93A4F"/>
    <w:rsid w:val="16FB3DD2"/>
    <w:rsid w:val="17160441"/>
    <w:rsid w:val="1A0586E6"/>
    <w:rsid w:val="1A4C1101"/>
    <w:rsid w:val="1A4C332B"/>
    <w:rsid w:val="1B378232"/>
    <w:rsid w:val="1D57DBB8"/>
    <w:rsid w:val="1D8545C5"/>
    <w:rsid w:val="1FD006AF"/>
    <w:rsid w:val="270095E7"/>
    <w:rsid w:val="29A06651"/>
    <w:rsid w:val="2B144AC4"/>
    <w:rsid w:val="2CC7F37F"/>
    <w:rsid w:val="2E577EF3"/>
    <w:rsid w:val="2F1235CB"/>
    <w:rsid w:val="30F91B3E"/>
    <w:rsid w:val="31DA1FDC"/>
    <w:rsid w:val="32665010"/>
    <w:rsid w:val="379768D4"/>
    <w:rsid w:val="37F13B8A"/>
    <w:rsid w:val="38EAB7C9"/>
    <w:rsid w:val="3AF4CF4B"/>
    <w:rsid w:val="3B9D7A2B"/>
    <w:rsid w:val="3C506768"/>
    <w:rsid w:val="3D7FB925"/>
    <w:rsid w:val="3DAB0C2C"/>
    <w:rsid w:val="40C22DDF"/>
    <w:rsid w:val="46F528DC"/>
    <w:rsid w:val="47982E28"/>
    <w:rsid w:val="496533F4"/>
    <w:rsid w:val="4A4E63C5"/>
    <w:rsid w:val="4B300C06"/>
    <w:rsid w:val="4F13F1A8"/>
    <w:rsid w:val="51994C4C"/>
    <w:rsid w:val="53D4E4A4"/>
    <w:rsid w:val="564F6D49"/>
    <w:rsid w:val="566A5227"/>
    <w:rsid w:val="59C38D10"/>
    <w:rsid w:val="5AD5439D"/>
    <w:rsid w:val="5DE06882"/>
    <w:rsid w:val="5E0FBAF3"/>
    <w:rsid w:val="5E143066"/>
    <w:rsid w:val="6252E7A6"/>
    <w:rsid w:val="62D29861"/>
    <w:rsid w:val="63A54571"/>
    <w:rsid w:val="63DE5E5E"/>
    <w:rsid w:val="657A2EBF"/>
    <w:rsid w:val="670B8EA8"/>
    <w:rsid w:val="6715FF20"/>
    <w:rsid w:val="676DB0F0"/>
    <w:rsid w:val="6A768383"/>
    <w:rsid w:val="6AC5C3B0"/>
    <w:rsid w:val="6BDCEA80"/>
    <w:rsid w:val="6C8933C0"/>
    <w:rsid w:val="6DB4048E"/>
    <w:rsid w:val="6EC0D3A0"/>
    <w:rsid w:val="6ED9D319"/>
    <w:rsid w:val="6F4FD4EF"/>
    <w:rsid w:val="6F5033FE"/>
    <w:rsid w:val="704ED4EB"/>
    <w:rsid w:val="7133C36D"/>
    <w:rsid w:val="71536730"/>
    <w:rsid w:val="74AF7C9B"/>
    <w:rsid w:val="75BC4E5D"/>
    <w:rsid w:val="7717DF8E"/>
    <w:rsid w:val="78276DC1"/>
    <w:rsid w:val="785582B9"/>
    <w:rsid w:val="7980A513"/>
    <w:rsid w:val="7A5C201B"/>
    <w:rsid w:val="7BE43826"/>
    <w:rsid w:val="7C7FB717"/>
    <w:rsid w:val="7CBECFFD"/>
    <w:rsid w:val="7CFAE239"/>
    <w:rsid w:val="7D30F8DC"/>
    <w:rsid w:val="7D6840C9"/>
    <w:rsid w:val="7EBC191D"/>
    <w:rsid w:val="7FEAFE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5B9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BD1"/>
    <w:rPr>
      <w:lang w:val="en-GB"/>
    </w:rPr>
  </w:style>
  <w:style w:type="paragraph" w:styleId="Heading1">
    <w:name w:val="heading 1"/>
    <w:basedOn w:val="Normal"/>
    <w:next w:val="Normal"/>
    <w:link w:val="Heading1Char"/>
    <w:uiPriority w:val="9"/>
    <w:qFormat/>
    <w:rsid w:val="00AE5BD1"/>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5BD1"/>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5BD1"/>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E5BD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5BD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E5BD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E5BD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E5BD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5BD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BD1"/>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AE5BD1"/>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AE5BD1"/>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AE5BD1"/>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AE5BD1"/>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AE5BD1"/>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rsid w:val="00AE5BD1"/>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AE5BD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AE5BD1"/>
    <w:rPr>
      <w:rFonts w:asciiTheme="majorHAnsi" w:eastAsiaTheme="majorEastAsia" w:hAnsiTheme="majorHAnsi" w:cstheme="majorBidi"/>
      <w:i/>
      <w:iCs/>
      <w:color w:val="272727" w:themeColor="text1" w:themeTint="D8"/>
      <w:sz w:val="21"/>
      <w:szCs w:val="21"/>
      <w:lang w:val="en-GB"/>
    </w:rPr>
  </w:style>
  <w:style w:type="paragraph" w:customStyle="1" w:styleId="G-heading2">
    <w:name w:val="G-heading2"/>
    <w:basedOn w:val="Heading2"/>
    <w:link w:val="G-heading2Char"/>
    <w:qFormat/>
    <w:rsid w:val="00AE5BD1"/>
    <w:pPr>
      <w:pBdr>
        <w:top w:val="nil"/>
        <w:left w:val="nil"/>
        <w:bottom w:val="nil"/>
        <w:right w:val="nil"/>
        <w:between w:val="nil"/>
        <w:bar w:val="nil"/>
      </w:pBdr>
    </w:pPr>
    <w:rPr>
      <w:rFonts w:ascii="Calibri" w:eastAsia="Calibri" w:hAnsi="Calibri" w:cs="Calibri"/>
      <w:b/>
      <w:color w:val="185262"/>
      <w:u w:color="374C80"/>
      <w:bdr w:val="nil"/>
      <w:lang w:eastAsia="zh-CN"/>
    </w:rPr>
  </w:style>
  <w:style w:type="character" w:customStyle="1" w:styleId="G-heading2Char">
    <w:name w:val="G-heading2 Char"/>
    <w:basedOn w:val="Heading2Char"/>
    <w:link w:val="G-heading2"/>
    <w:rsid w:val="00AE5BD1"/>
    <w:rPr>
      <w:rFonts w:ascii="Calibri" w:eastAsia="Calibri" w:hAnsi="Calibri" w:cs="Calibri"/>
      <w:b/>
      <w:color w:val="185262"/>
      <w:sz w:val="26"/>
      <w:szCs w:val="26"/>
      <w:u w:color="374C80"/>
      <w:bdr w:val="nil"/>
      <w:lang w:val="en-GB" w:eastAsia="zh-CN"/>
    </w:rPr>
  </w:style>
  <w:style w:type="paragraph" w:styleId="Header">
    <w:name w:val="header"/>
    <w:basedOn w:val="Normal"/>
    <w:link w:val="HeaderChar"/>
    <w:uiPriority w:val="99"/>
    <w:unhideWhenUsed/>
    <w:rsid w:val="00AE5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BD1"/>
    <w:rPr>
      <w:lang w:val="en-GB"/>
    </w:rPr>
  </w:style>
  <w:style w:type="paragraph" w:styleId="Footer">
    <w:name w:val="footer"/>
    <w:basedOn w:val="Normal"/>
    <w:link w:val="FooterChar"/>
    <w:uiPriority w:val="99"/>
    <w:unhideWhenUsed/>
    <w:rsid w:val="00AE5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BD1"/>
    <w:rPr>
      <w:lang w:val="en-GB"/>
    </w:rPr>
  </w:style>
  <w:style w:type="paragraph" w:styleId="ListParagraph">
    <w:name w:val="List Paragraph"/>
    <w:aliases w:val="List Paragraph1,Left Bullet L1,Bullets,List Paragraph (numbered (a)),Akapit z listą BS,WB Para,NumberedParas,Lapis Bulleted List,Dot pt,F5 List Paragraph,No Spacing1,List Paragraph Char Char Char,Indicator Text,Numbered Para 1,Bullet 1,L"/>
    <w:basedOn w:val="Normal"/>
    <w:link w:val="ListParagraphChar"/>
    <w:uiPriority w:val="34"/>
    <w:qFormat/>
    <w:rsid w:val="00342138"/>
    <w:pPr>
      <w:ind w:left="720"/>
      <w:contextualSpacing/>
    </w:pPr>
  </w:style>
  <w:style w:type="character" w:customStyle="1" w:styleId="ListParagraphChar">
    <w:name w:val="List Paragraph Char"/>
    <w:aliases w:val="List Paragraph1 Char,Left Bullet L1 Char,Bullets Char,List Paragraph (numbered (a)) Char,Akapit z listą BS Char,WB Para Char,NumberedParas Char,Lapis Bulleted List Char,Dot pt Char,F5 List Paragraph Char,No Spacing1 Char,L Char"/>
    <w:link w:val="ListParagraph"/>
    <w:uiPriority w:val="34"/>
    <w:qFormat/>
    <w:rsid w:val="001D4EB4"/>
    <w:rPr>
      <w:lang w:val="en-GB"/>
    </w:rPr>
  </w:style>
  <w:style w:type="character" w:styleId="CommentReference">
    <w:name w:val="annotation reference"/>
    <w:basedOn w:val="DefaultParagraphFont"/>
    <w:uiPriority w:val="99"/>
    <w:semiHidden/>
    <w:unhideWhenUsed/>
    <w:rsid w:val="001D4EB4"/>
    <w:rPr>
      <w:sz w:val="16"/>
      <w:szCs w:val="16"/>
    </w:rPr>
  </w:style>
  <w:style w:type="paragraph" w:styleId="CommentText">
    <w:name w:val="annotation text"/>
    <w:basedOn w:val="Normal"/>
    <w:link w:val="CommentTextChar"/>
    <w:uiPriority w:val="99"/>
    <w:unhideWhenUsed/>
    <w:rsid w:val="001D4EB4"/>
    <w:pPr>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1D4EB4"/>
    <w:rPr>
      <w:rFonts w:ascii="Calibri" w:eastAsia="Calibri" w:hAnsi="Calibri" w:cs="Times New Roman"/>
      <w:sz w:val="20"/>
      <w:szCs w:val="20"/>
    </w:rPr>
  </w:style>
  <w:style w:type="paragraph" w:styleId="BodyText2">
    <w:name w:val="Body Text 2"/>
    <w:basedOn w:val="Normal"/>
    <w:link w:val="BodyText2Char"/>
    <w:rsid w:val="0044538D"/>
    <w:pPr>
      <w:numPr>
        <w:ilvl w:val="12"/>
      </w:numPr>
      <w:tabs>
        <w:tab w:val="left" w:pos="720"/>
        <w:tab w:val="left" w:pos="1440"/>
        <w:tab w:val="right" w:pos="9026"/>
      </w:tabs>
      <w:spacing w:after="0" w:line="240" w:lineRule="auto"/>
      <w:jc w:val="both"/>
    </w:pPr>
    <w:rPr>
      <w:rFonts w:ascii="Times New Roman" w:eastAsia="Times New Roman" w:hAnsi="Times New Roman" w:cs="Times New Roman"/>
      <w:spacing w:val="-2"/>
      <w:sz w:val="24"/>
      <w:szCs w:val="20"/>
    </w:rPr>
  </w:style>
  <w:style w:type="character" w:customStyle="1" w:styleId="BodyText2Char">
    <w:name w:val="Body Text 2 Char"/>
    <w:basedOn w:val="DefaultParagraphFont"/>
    <w:link w:val="BodyText2"/>
    <w:rsid w:val="0044538D"/>
    <w:rPr>
      <w:rFonts w:ascii="Times New Roman" w:eastAsia="Times New Roman" w:hAnsi="Times New Roman" w:cs="Times New Roman"/>
      <w:spacing w:val="-2"/>
      <w:sz w:val="24"/>
      <w:szCs w:val="20"/>
      <w:lang w:val="en-GB"/>
    </w:rPr>
  </w:style>
  <w:style w:type="paragraph" w:styleId="CommentSubject">
    <w:name w:val="annotation subject"/>
    <w:basedOn w:val="CommentText"/>
    <w:next w:val="CommentText"/>
    <w:link w:val="CommentSubjectChar"/>
    <w:uiPriority w:val="99"/>
    <w:semiHidden/>
    <w:unhideWhenUsed/>
    <w:rsid w:val="00402494"/>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402494"/>
    <w:rPr>
      <w:rFonts w:ascii="Calibri" w:eastAsia="Calibri" w:hAnsi="Calibri" w:cs="Times New Roman"/>
      <w:b/>
      <w:bCs/>
      <w:sz w:val="20"/>
      <w:szCs w:val="20"/>
      <w:lang w:val="en-GB"/>
    </w:rPr>
  </w:style>
  <w:style w:type="paragraph" w:styleId="Revision">
    <w:name w:val="Revision"/>
    <w:hidden/>
    <w:uiPriority w:val="99"/>
    <w:semiHidden/>
    <w:rsid w:val="00BE192E"/>
    <w:pPr>
      <w:spacing w:after="0" w:line="240" w:lineRule="auto"/>
    </w:pPr>
    <w:rPr>
      <w:lang w:val="en-GB"/>
    </w:rPr>
  </w:style>
  <w:style w:type="table" w:styleId="TableGrid">
    <w:name w:val="Table Grid"/>
    <w:basedOn w:val="TableNormal"/>
    <w:uiPriority w:val="39"/>
    <w:rsid w:val="001B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22D98-08AC-40EE-9C82-B3CD3EF5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2964</Words>
  <Characters>17390</Characters>
  <Application>Microsoft Office Word</Application>
  <DocSecurity>0</DocSecurity>
  <Lines>642</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Review of the Viet Nam Provincial Governance and Public Administration Performance Index (PAPI) Research and Advocacy Programme for the period from November 2019 - October 2023 - UNDP Management Response</dc:title>
  <dc:subject/>
  <dc:creator/>
  <cp:keywords>[SEC=OFFICIAL]</cp:keywords>
  <dc:description/>
  <cp:lastModifiedBy/>
  <cp:revision>1</cp:revision>
  <dcterms:created xsi:type="dcterms:W3CDTF">2024-01-04T23:53:00Z</dcterms:created>
  <dcterms:modified xsi:type="dcterms:W3CDTF">2024-01-04T23:59:00Z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v=2022.1;a=SHA256;h=3E92AD946C215960CF343DD8464B780514EC61A41DD9BDDF0658D78184BD67B3</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2023-12-20T02:45:54Z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A64EC81D5DA54F6D916A59D298F62935</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BC9ED654F9317E24A82A46596036B2CD</vt:lpwstr>
  </property>
  <property fmtid="{D5CDD505-2E9C-101B-9397-08002B2CF9AE}" pid="24" name="PM_Hash_Salt">
    <vt:lpwstr>2F9E8E5678F20CDD83CC1B918C7CF934</vt:lpwstr>
  </property>
  <property fmtid="{D5CDD505-2E9C-101B-9397-08002B2CF9AE}" pid="25" name="PM_Hash_SHA1">
    <vt:lpwstr>00FAAF85BA2A351768EB146466BDDB8BF6064DCE</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